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4.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5.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6.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7.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9.xml" ContentType="application/vnd.openxmlformats-officedocument.themeOverrid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0.xml" ContentType="application/vnd.openxmlformats-officedocument.themeOverrid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1.xml" ContentType="application/vnd.openxmlformats-officedocument.themeOverride+xml"/>
  <Override PartName="/word/charts/chart32.xml" ContentType="application/vnd.openxmlformats-officedocument.drawingml.chart+xml"/>
  <Override PartName="/word/theme/themeOverride22.xml" ContentType="application/vnd.openxmlformats-officedocument.themeOverrid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3.xml" ContentType="application/vnd.openxmlformats-officedocument.themeOverride+xml"/>
  <Override PartName="/word/charts/chart34.xml" ContentType="application/vnd.openxmlformats-officedocument.drawingml.chart+xml"/>
  <Override PartName="/word/theme/themeOverride24.xml" ContentType="application/vnd.openxmlformats-officedocument.themeOverrid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5.xml" ContentType="application/vnd.openxmlformats-officedocument.themeOverrid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6.xml" ContentType="application/vnd.openxmlformats-officedocument.themeOverride+xml"/>
  <Override PartName="/word/charts/chart37.xml" ContentType="application/vnd.openxmlformats-officedocument.drawingml.chart+xml"/>
  <Override PartName="/word/theme/themeOverride27.xml" ContentType="application/vnd.openxmlformats-officedocument.themeOverride+xml"/>
  <Override PartName="/word/drawings/drawing3.xml" ContentType="application/vnd.openxmlformats-officedocument.drawingml.chartshapes+xml"/>
  <Override PartName="/word/charts/chart38.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9.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9.xml" ContentType="application/vnd.openxmlformats-officedocument.themeOverride+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0.xml" ContentType="application/vnd.openxmlformats-officedocument.themeOverride+xml"/>
  <Override PartName="/word/charts/chart41.xml" ContentType="application/vnd.openxmlformats-officedocument.drawingml.chart+xml"/>
  <Override PartName="/word/theme/themeOverride31.xml" ContentType="application/vnd.openxmlformats-officedocument.themeOverride+xml"/>
  <Override PartName="/word/charts/chart42.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43.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44.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drawings/drawing4.xml" ContentType="application/vnd.openxmlformats-officedocument.drawingml.chartshapes+xml"/>
  <Override PartName="/word/charts/chart45.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46.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7.xml" ContentType="application/vnd.openxmlformats-officedocument.drawingml.chart+xml"/>
  <Override PartName="/word/theme/themeOverride37.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E586E" w14:textId="77777777" w:rsidR="003F3FCD" w:rsidRDefault="003F3FCD" w:rsidP="00401A5B">
      <w:pPr>
        <w:widowControl w:val="0"/>
      </w:pPr>
    </w:p>
    <w:p w14:paraId="3B9355BE" w14:textId="77777777" w:rsidR="00A5237F" w:rsidRDefault="00A5237F" w:rsidP="00401A5B">
      <w:pPr>
        <w:widowControl w:val="0"/>
      </w:pPr>
    </w:p>
    <w:p w14:paraId="1E4D3570" w14:textId="77777777" w:rsidR="00A5237F" w:rsidRDefault="00A5237F" w:rsidP="00401A5B">
      <w:pPr>
        <w:widowControl w:val="0"/>
      </w:pPr>
    </w:p>
    <w:p w14:paraId="1307D43F" w14:textId="77777777" w:rsidR="00A5237F" w:rsidRDefault="00A5237F" w:rsidP="00401A5B">
      <w:pPr>
        <w:widowControl w:val="0"/>
      </w:pPr>
    </w:p>
    <w:p w14:paraId="2E661E19" w14:textId="77777777" w:rsidR="00A5237F" w:rsidRDefault="00A5237F" w:rsidP="00401A5B">
      <w:pPr>
        <w:widowControl w:val="0"/>
      </w:pPr>
    </w:p>
    <w:p w14:paraId="1E9D7B2D" w14:textId="77777777" w:rsidR="00A5237F" w:rsidRDefault="00A5237F" w:rsidP="00401A5B">
      <w:pPr>
        <w:widowControl w:val="0"/>
        <w:rPr>
          <w:rFonts w:ascii="Calibri" w:eastAsia="Calibri" w:hAnsi="Calibri" w:cs="Calibri"/>
        </w:rPr>
      </w:pPr>
    </w:p>
    <w:p w14:paraId="1A8B3BE0" w14:textId="77777777" w:rsidR="003F3FCD" w:rsidRDefault="003F3FCD" w:rsidP="00401A5B">
      <w:pPr>
        <w:widowControl w:val="0"/>
        <w:rPr>
          <w:rFonts w:ascii="Calibri" w:eastAsia="Calibri" w:hAnsi="Calibri" w:cs="Calibri"/>
        </w:rPr>
      </w:pPr>
    </w:p>
    <w:p w14:paraId="6A84C1A3" w14:textId="77777777" w:rsidR="003F3FCD" w:rsidRDefault="003F3FCD" w:rsidP="00401A5B">
      <w:pPr>
        <w:widowControl w:val="0"/>
        <w:rPr>
          <w:rFonts w:ascii="Calibri" w:eastAsia="Calibri" w:hAnsi="Calibri" w:cs="Calibri"/>
        </w:rPr>
      </w:pPr>
    </w:p>
    <w:p w14:paraId="02056C13" w14:textId="77777777" w:rsidR="003F3FCD" w:rsidRDefault="003F3FCD" w:rsidP="00401A5B">
      <w:pPr>
        <w:widowControl w:val="0"/>
        <w:rPr>
          <w:rFonts w:ascii="Calibri" w:eastAsia="Calibri" w:hAnsi="Calibri" w:cs="Calibri"/>
        </w:rPr>
      </w:pPr>
    </w:p>
    <w:p w14:paraId="250FD0EC" w14:textId="77777777" w:rsidR="003F3FCD" w:rsidRDefault="003F3FCD" w:rsidP="00401A5B">
      <w:pPr>
        <w:widowControl w:val="0"/>
        <w:rPr>
          <w:rFonts w:ascii="Calibri" w:eastAsia="Calibri" w:hAnsi="Calibri" w:cs="Calibri"/>
        </w:rPr>
      </w:pPr>
    </w:p>
    <w:p w14:paraId="6ACEB42B" w14:textId="77777777" w:rsidR="003F3FCD" w:rsidRDefault="003F3FCD" w:rsidP="00401A5B">
      <w:pPr>
        <w:widowControl w:val="0"/>
        <w:rPr>
          <w:rFonts w:ascii="Calibri" w:eastAsia="Calibri" w:hAnsi="Calibri" w:cs="Calibri"/>
        </w:rPr>
      </w:pPr>
    </w:p>
    <w:p w14:paraId="16E2BC93" w14:textId="77777777" w:rsidR="003F3FCD" w:rsidRDefault="003F3FCD" w:rsidP="00401A5B">
      <w:pPr>
        <w:widowControl w:val="0"/>
        <w:rPr>
          <w:rFonts w:ascii="Calibri" w:eastAsia="Calibri" w:hAnsi="Calibri" w:cs="Calibri"/>
        </w:rPr>
      </w:pPr>
    </w:p>
    <w:p w14:paraId="13691D0F" w14:textId="77777777" w:rsidR="003F3FCD" w:rsidRDefault="00BC779F" w:rsidP="00401A5B">
      <w:pPr>
        <w:widowControl w:val="0"/>
        <w:jc w:val="center"/>
        <w:rPr>
          <w:rFonts w:ascii="Times New Roman" w:eastAsia="Times New Roman" w:hAnsi="Times New Roman" w:cs="Times New Roman"/>
          <w:b/>
          <w:sz w:val="36"/>
        </w:rPr>
      </w:pPr>
      <w:r>
        <w:rPr>
          <w:rFonts w:ascii="Times New Roman" w:eastAsia="Times New Roman" w:hAnsi="Times New Roman" w:cs="Times New Roman"/>
          <w:b/>
          <w:sz w:val="36"/>
        </w:rPr>
        <w:t xml:space="preserve">Likuma </w:t>
      </w:r>
      <w:r w:rsidR="000548A5">
        <w:rPr>
          <w:rFonts w:ascii="Times New Roman" w:eastAsia="Times New Roman" w:hAnsi="Times New Roman" w:cs="Times New Roman"/>
          <w:b/>
          <w:sz w:val="36"/>
        </w:rPr>
        <w:t>“Par vid</w:t>
      </w:r>
      <w:r>
        <w:rPr>
          <w:rFonts w:ascii="Times New Roman" w:eastAsia="Times New Roman" w:hAnsi="Times New Roman" w:cs="Times New Roman"/>
          <w:b/>
          <w:sz w:val="36"/>
        </w:rPr>
        <w:t>ēja termiņa budžeta ietvaru 2021., 2022. un 2023</w:t>
      </w:r>
      <w:r w:rsidR="002D0756">
        <w:rPr>
          <w:rFonts w:ascii="Times New Roman" w:eastAsia="Times New Roman" w:hAnsi="Times New Roman" w:cs="Times New Roman"/>
          <w:b/>
          <w:sz w:val="36"/>
        </w:rPr>
        <w:t>.</w:t>
      </w:r>
      <w:r w:rsidR="000548A5">
        <w:rPr>
          <w:rFonts w:ascii="Times New Roman" w:eastAsia="Times New Roman" w:hAnsi="Times New Roman" w:cs="Times New Roman"/>
          <w:b/>
          <w:sz w:val="36"/>
        </w:rPr>
        <w:t>gadam”</w:t>
      </w:r>
    </w:p>
    <w:p w14:paraId="428C9121" w14:textId="77777777" w:rsidR="003F3FCD" w:rsidRDefault="003F3FCD" w:rsidP="00401A5B">
      <w:pPr>
        <w:widowControl w:val="0"/>
        <w:jc w:val="center"/>
        <w:rPr>
          <w:rFonts w:ascii="Times New Roman" w:eastAsia="Times New Roman" w:hAnsi="Times New Roman" w:cs="Times New Roman"/>
          <w:b/>
          <w:sz w:val="36"/>
        </w:rPr>
      </w:pPr>
    </w:p>
    <w:p w14:paraId="25A8802C" w14:textId="77777777" w:rsidR="004D28CD" w:rsidRDefault="004D28CD" w:rsidP="00401A5B">
      <w:pPr>
        <w:widowControl w:val="0"/>
        <w:jc w:val="center"/>
        <w:rPr>
          <w:rFonts w:ascii="Times New Roman" w:eastAsia="Times New Roman" w:hAnsi="Times New Roman" w:cs="Times New Roman"/>
          <w:b/>
          <w:sz w:val="36"/>
        </w:rPr>
      </w:pPr>
    </w:p>
    <w:p w14:paraId="4C49E203" w14:textId="77777777" w:rsidR="003F3FCD" w:rsidRDefault="000548A5" w:rsidP="00401A5B">
      <w:pPr>
        <w:widowControl w:val="0"/>
        <w:jc w:val="center"/>
        <w:rPr>
          <w:rFonts w:ascii="Times New Roman" w:eastAsia="Times New Roman" w:hAnsi="Times New Roman" w:cs="Times New Roman"/>
          <w:b/>
          <w:sz w:val="36"/>
        </w:rPr>
      </w:pPr>
      <w:r>
        <w:rPr>
          <w:rFonts w:ascii="Times New Roman" w:eastAsia="Times New Roman" w:hAnsi="Times New Roman" w:cs="Times New Roman"/>
          <w:b/>
          <w:sz w:val="36"/>
        </w:rPr>
        <w:t>PASKAIDROJUMI</w:t>
      </w:r>
    </w:p>
    <w:p w14:paraId="4970789D" w14:textId="77777777" w:rsidR="003F3FCD" w:rsidRDefault="003F3FCD" w:rsidP="00401A5B">
      <w:pPr>
        <w:widowControl w:val="0"/>
        <w:rPr>
          <w:rFonts w:ascii="Calibri" w:eastAsia="Calibri" w:hAnsi="Calibri" w:cs="Calibri"/>
        </w:rPr>
      </w:pPr>
    </w:p>
    <w:p w14:paraId="7ACFEB9C" w14:textId="77777777" w:rsidR="003F3FCD" w:rsidRDefault="003F3FCD" w:rsidP="00401A5B">
      <w:pPr>
        <w:widowControl w:val="0"/>
        <w:rPr>
          <w:rFonts w:ascii="Calibri" w:eastAsia="Calibri" w:hAnsi="Calibri" w:cs="Calibri"/>
        </w:rPr>
      </w:pPr>
    </w:p>
    <w:p w14:paraId="158EB1F1" w14:textId="77777777" w:rsidR="004D28CD" w:rsidRDefault="004D28CD" w:rsidP="00401A5B">
      <w:pPr>
        <w:widowControl w:val="0"/>
        <w:rPr>
          <w:rFonts w:ascii="Calibri" w:eastAsia="Calibri" w:hAnsi="Calibri" w:cs="Calibri"/>
        </w:rPr>
      </w:pPr>
    </w:p>
    <w:p w14:paraId="1E4D1E2E" w14:textId="77777777" w:rsidR="004D28CD" w:rsidRDefault="004D28CD" w:rsidP="00401A5B">
      <w:pPr>
        <w:widowControl w:val="0"/>
        <w:rPr>
          <w:rFonts w:ascii="Calibri" w:eastAsia="Calibri" w:hAnsi="Calibri" w:cs="Calibri"/>
        </w:rPr>
      </w:pPr>
    </w:p>
    <w:p w14:paraId="0F8B83F6" w14:textId="77777777" w:rsidR="004D28CD" w:rsidRDefault="004D28CD" w:rsidP="00401A5B">
      <w:pPr>
        <w:widowControl w:val="0"/>
        <w:rPr>
          <w:rFonts w:ascii="Calibri" w:eastAsia="Calibri" w:hAnsi="Calibri" w:cs="Calibri"/>
        </w:rPr>
      </w:pPr>
    </w:p>
    <w:p w14:paraId="76521F26" w14:textId="77777777" w:rsidR="004D28CD" w:rsidRDefault="004D28CD" w:rsidP="00401A5B">
      <w:pPr>
        <w:widowControl w:val="0"/>
        <w:rPr>
          <w:rFonts w:ascii="Calibri" w:eastAsia="Calibri" w:hAnsi="Calibri" w:cs="Calibri"/>
        </w:rPr>
      </w:pPr>
    </w:p>
    <w:p w14:paraId="4781EA24" w14:textId="77777777" w:rsidR="004D28CD" w:rsidRDefault="004D28CD" w:rsidP="00401A5B">
      <w:pPr>
        <w:widowControl w:val="0"/>
        <w:rPr>
          <w:rFonts w:ascii="Calibri" w:eastAsia="Calibri" w:hAnsi="Calibri" w:cs="Calibri"/>
        </w:rPr>
      </w:pPr>
    </w:p>
    <w:p w14:paraId="5E00524D" w14:textId="77777777" w:rsidR="004D28CD" w:rsidRDefault="004D28CD" w:rsidP="00401A5B">
      <w:pPr>
        <w:widowControl w:val="0"/>
        <w:rPr>
          <w:rFonts w:ascii="Calibri" w:eastAsia="Calibri" w:hAnsi="Calibri" w:cs="Calibri"/>
        </w:rPr>
      </w:pPr>
    </w:p>
    <w:p w14:paraId="4D622B0A" w14:textId="77777777" w:rsidR="004D28CD" w:rsidRDefault="004D28CD" w:rsidP="00401A5B">
      <w:pPr>
        <w:widowControl w:val="0"/>
        <w:rPr>
          <w:rFonts w:ascii="Calibri" w:eastAsia="Calibri" w:hAnsi="Calibri" w:cs="Calibri"/>
        </w:rPr>
      </w:pPr>
    </w:p>
    <w:p w14:paraId="4A19FB05" w14:textId="77777777" w:rsidR="004D28CD" w:rsidRDefault="004D28CD" w:rsidP="00401A5B">
      <w:pPr>
        <w:widowControl w:val="0"/>
        <w:rPr>
          <w:rFonts w:ascii="Calibri" w:eastAsia="Calibri" w:hAnsi="Calibri" w:cs="Calibri"/>
        </w:rPr>
      </w:pPr>
    </w:p>
    <w:p w14:paraId="61BFC73B" w14:textId="77777777" w:rsidR="004D28CD" w:rsidRDefault="004D28CD" w:rsidP="00401A5B">
      <w:pPr>
        <w:widowControl w:val="0"/>
        <w:rPr>
          <w:rFonts w:ascii="Calibri" w:eastAsia="Calibri" w:hAnsi="Calibri" w:cs="Calibri"/>
        </w:rPr>
      </w:pPr>
    </w:p>
    <w:p w14:paraId="154B092A" w14:textId="77777777" w:rsidR="004D28CD" w:rsidRDefault="004D28CD" w:rsidP="00401A5B">
      <w:pPr>
        <w:widowControl w:val="0"/>
        <w:rPr>
          <w:rFonts w:ascii="Calibri" w:eastAsia="Calibri" w:hAnsi="Calibri" w:cs="Calibri"/>
        </w:rPr>
      </w:pPr>
    </w:p>
    <w:p w14:paraId="7AAB44DB" w14:textId="77777777" w:rsidR="004D28CD" w:rsidRDefault="004D28CD" w:rsidP="00401A5B">
      <w:pPr>
        <w:widowControl w:val="0"/>
        <w:rPr>
          <w:rFonts w:ascii="Calibri" w:eastAsia="Calibri" w:hAnsi="Calibri" w:cs="Calibri"/>
        </w:rPr>
      </w:pPr>
    </w:p>
    <w:p w14:paraId="177D7308" w14:textId="77777777" w:rsidR="004D28CD" w:rsidRDefault="004D28CD" w:rsidP="00401A5B">
      <w:pPr>
        <w:widowControl w:val="0"/>
        <w:rPr>
          <w:rFonts w:ascii="Calibri" w:eastAsia="Calibri" w:hAnsi="Calibri" w:cs="Calibri"/>
        </w:rPr>
      </w:pPr>
    </w:p>
    <w:p w14:paraId="42B2BBEB" w14:textId="77777777" w:rsidR="004D28CD" w:rsidRDefault="004D28CD" w:rsidP="00401A5B">
      <w:pPr>
        <w:widowControl w:val="0"/>
        <w:rPr>
          <w:rFonts w:ascii="Calibri" w:eastAsia="Calibri" w:hAnsi="Calibri" w:cs="Calibri"/>
        </w:rPr>
      </w:pPr>
    </w:p>
    <w:p w14:paraId="5DE0012F" w14:textId="77777777" w:rsidR="004D28CD" w:rsidRDefault="004D28CD" w:rsidP="00401A5B">
      <w:pPr>
        <w:widowControl w:val="0"/>
        <w:rPr>
          <w:rFonts w:ascii="Calibri" w:eastAsia="Calibri" w:hAnsi="Calibri" w:cs="Calibri"/>
        </w:rPr>
      </w:pPr>
    </w:p>
    <w:p w14:paraId="759A479B" w14:textId="77777777" w:rsidR="004D28CD" w:rsidRDefault="004D28CD" w:rsidP="00401A5B">
      <w:pPr>
        <w:widowControl w:val="0"/>
        <w:rPr>
          <w:rFonts w:ascii="Calibri" w:eastAsia="Calibri" w:hAnsi="Calibri" w:cs="Calibri"/>
        </w:rPr>
      </w:pPr>
    </w:p>
    <w:p w14:paraId="3AB9F5DA" w14:textId="77777777" w:rsidR="004D28CD" w:rsidRDefault="004D28CD" w:rsidP="00401A5B">
      <w:pPr>
        <w:widowControl w:val="0"/>
        <w:rPr>
          <w:rFonts w:ascii="Calibri" w:eastAsia="Calibri" w:hAnsi="Calibri" w:cs="Calibri"/>
        </w:rPr>
      </w:pPr>
    </w:p>
    <w:p w14:paraId="0B197F72" w14:textId="77777777" w:rsidR="004D28CD" w:rsidRDefault="004D28CD" w:rsidP="00401A5B">
      <w:pPr>
        <w:widowControl w:val="0"/>
        <w:rPr>
          <w:rFonts w:ascii="Calibri" w:eastAsia="Calibri" w:hAnsi="Calibri" w:cs="Calibri"/>
        </w:rPr>
      </w:pPr>
    </w:p>
    <w:p w14:paraId="6C3AE452" w14:textId="77777777" w:rsidR="004D28CD" w:rsidRDefault="004D28CD" w:rsidP="00401A5B">
      <w:pPr>
        <w:widowControl w:val="0"/>
        <w:rPr>
          <w:rFonts w:ascii="Calibri" w:eastAsia="Calibri" w:hAnsi="Calibri" w:cs="Calibri"/>
        </w:rPr>
      </w:pPr>
    </w:p>
    <w:p w14:paraId="2A560890" w14:textId="77777777" w:rsidR="004D28CD" w:rsidRDefault="004D28CD" w:rsidP="00401A5B">
      <w:pPr>
        <w:widowControl w:val="0"/>
        <w:rPr>
          <w:rFonts w:ascii="Calibri" w:eastAsia="Calibri" w:hAnsi="Calibri" w:cs="Calibri"/>
        </w:rPr>
      </w:pPr>
    </w:p>
    <w:p w14:paraId="41935002" w14:textId="77777777" w:rsidR="004D28CD" w:rsidRDefault="004D28CD" w:rsidP="00401A5B">
      <w:pPr>
        <w:widowControl w:val="0"/>
        <w:rPr>
          <w:rFonts w:ascii="Calibri" w:eastAsia="Calibri" w:hAnsi="Calibri" w:cs="Calibri"/>
        </w:rPr>
      </w:pPr>
    </w:p>
    <w:p w14:paraId="4B713272" w14:textId="77777777" w:rsidR="00027929" w:rsidRDefault="00027929" w:rsidP="00401A5B">
      <w:pPr>
        <w:widowControl w:val="0"/>
        <w:rPr>
          <w:rFonts w:ascii="Calibri" w:eastAsia="Calibri" w:hAnsi="Calibri" w:cs="Calibri"/>
        </w:rPr>
      </w:pPr>
    </w:p>
    <w:p w14:paraId="50A91176" w14:textId="77777777" w:rsidR="00027929" w:rsidRDefault="00027929" w:rsidP="00401A5B">
      <w:pPr>
        <w:widowControl w:val="0"/>
        <w:rPr>
          <w:rFonts w:ascii="Calibri" w:eastAsia="Calibri" w:hAnsi="Calibri" w:cs="Calibri"/>
        </w:rPr>
      </w:pPr>
    </w:p>
    <w:p w14:paraId="010FB1BD" w14:textId="77777777" w:rsidR="00027929" w:rsidRDefault="00027929" w:rsidP="00401A5B">
      <w:pPr>
        <w:widowControl w:val="0"/>
        <w:rPr>
          <w:rFonts w:ascii="Calibri" w:eastAsia="Calibri" w:hAnsi="Calibri" w:cs="Calibri"/>
        </w:rPr>
      </w:pPr>
    </w:p>
    <w:p w14:paraId="52225947" w14:textId="77777777" w:rsidR="00027929" w:rsidRDefault="00027929" w:rsidP="00401A5B">
      <w:pPr>
        <w:widowControl w:val="0"/>
        <w:rPr>
          <w:rFonts w:ascii="Calibri" w:eastAsia="Calibri" w:hAnsi="Calibri" w:cs="Calibri"/>
        </w:rPr>
      </w:pPr>
    </w:p>
    <w:p w14:paraId="0AC7ECC9" w14:textId="77777777" w:rsidR="00027929" w:rsidRDefault="00027929" w:rsidP="00401A5B">
      <w:pPr>
        <w:widowControl w:val="0"/>
        <w:rPr>
          <w:rFonts w:ascii="Calibri" w:eastAsia="Calibri" w:hAnsi="Calibri" w:cs="Calibri"/>
        </w:rPr>
      </w:pPr>
    </w:p>
    <w:p w14:paraId="32D3A0DB" w14:textId="77777777" w:rsidR="00027929" w:rsidRDefault="00027929" w:rsidP="00401A5B">
      <w:pPr>
        <w:widowControl w:val="0"/>
        <w:rPr>
          <w:rFonts w:ascii="Calibri" w:eastAsia="Calibri" w:hAnsi="Calibri" w:cs="Calibri"/>
        </w:rPr>
      </w:pPr>
    </w:p>
    <w:p w14:paraId="7BCEB01F" w14:textId="77777777" w:rsidR="004D28CD" w:rsidRDefault="004D28CD" w:rsidP="00401A5B">
      <w:pPr>
        <w:widowControl w:val="0"/>
        <w:rPr>
          <w:rFonts w:ascii="Calibri" w:eastAsia="Calibri" w:hAnsi="Calibri" w:cs="Calibri"/>
        </w:rPr>
      </w:pPr>
    </w:p>
    <w:p w14:paraId="658F5357" w14:textId="24EB76CF" w:rsidR="00CA7774" w:rsidRDefault="00CA7774" w:rsidP="00DA117B">
      <w:pPr>
        <w:rPr>
          <w:rStyle w:val="BookTitle"/>
          <w:rFonts w:ascii="Times New Roman" w:hAnsi="Times New Roman" w:cs="Times New Roman"/>
          <w:b/>
          <w:sz w:val="36"/>
          <w:szCs w:val="36"/>
        </w:rPr>
      </w:pPr>
    </w:p>
    <w:p w14:paraId="6BDB3164" w14:textId="6899AEE4" w:rsidR="004D28CD" w:rsidRDefault="004D28CD" w:rsidP="00401A5B">
      <w:pPr>
        <w:widowControl w:val="0"/>
        <w:rPr>
          <w:rFonts w:ascii="Calibri" w:eastAsia="Calibri" w:hAnsi="Calibri" w:cs="Calibri"/>
        </w:rPr>
      </w:pPr>
    </w:p>
    <w:sdt>
      <w:sdtPr>
        <w:rPr>
          <w:rFonts w:asciiTheme="minorHAnsi" w:eastAsiaTheme="minorEastAsia" w:hAnsiTheme="minorHAnsi" w:cs="Times New Roman"/>
          <w:b w:val="0"/>
          <w:bCs w:val="0"/>
          <w:smallCaps w:val="0"/>
          <w:color w:val="auto"/>
          <w:spacing w:val="5"/>
          <w:sz w:val="28"/>
          <w:szCs w:val="28"/>
        </w:rPr>
        <w:id w:val="1669287087"/>
        <w:docPartObj>
          <w:docPartGallery w:val="Table of Contents"/>
          <w:docPartUnique/>
        </w:docPartObj>
      </w:sdtPr>
      <w:sdtEndPr>
        <w:rPr>
          <w:noProof/>
        </w:rPr>
      </w:sdtEndPr>
      <w:sdtContent>
        <w:p w14:paraId="5302C6C2" w14:textId="77777777" w:rsidR="004D28CD" w:rsidRPr="00626934" w:rsidRDefault="004D28CD" w:rsidP="00626934">
          <w:pPr>
            <w:pStyle w:val="TOCHeading"/>
            <w:numPr>
              <w:ilvl w:val="0"/>
              <w:numId w:val="0"/>
            </w:numPr>
            <w:spacing w:before="0"/>
            <w:ind w:left="432"/>
            <w:jc w:val="center"/>
            <w:rPr>
              <w:rFonts w:cs="Times New Roman"/>
              <w:szCs w:val="28"/>
            </w:rPr>
          </w:pPr>
          <w:r w:rsidRPr="00626934">
            <w:rPr>
              <w:rFonts w:cs="Times New Roman"/>
              <w:szCs w:val="28"/>
            </w:rPr>
            <w:t>Saturs</w:t>
          </w:r>
        </w:p>
        <w:p w14:paraId="2C8FDD04" w14:textId="77777777" w:rsidR="005E7346" w:rsidRPr="00626934" w:rsidRDefault="005E7346" w:rsidP="00626934">
          <w:pPr>
            <w:rPr>
              <w:rFonts w:ascii="Times New Roman" w:hAnsi="Times New Roman" w:cs="Times New Roman"/>
              <w:sz w:val="28"/>
              <w:szCs w:val="28"/>
            </w:rPr>
          </w:pPr>
        </w:p>
        <w:p w14:paraId="4F446734" w14:textId="325EEC1C" w:rsidR="00626934" w:rsidRPr="00626934" w:rsidRDefault="004D28CD" w:rsidP="00626934">
          <w:pPr>
            <w:pStyle w:val="TOC1"/>
            <w:tabs>
              <w:tab w:val="right" w:leader="dot" w:pos="9061"/>
            </w:tabs>
            <w:rPr>
              <w:rFonts w:ascii="Times New Roman" w:hAnsi="Times New Roman" w:cs="Times New Roman"/>
              <w:noProof/>
              <w:sz w:val="28"/>
              <w:szCs w:val="28"/>
            </w:rPr>
          </w:pPr>
          <w:r w:rsidRPr="00626934">
            <w:rPr>
              <w:rFonts w:ascii="Times New Roman" w:hAnsi="Times New Roman" w:cs="Times New Roman"/>
              <w:sz w:val="28"/>
              <w:szCs w:val="28"/>
            </w:rPr>
            <w:fldChar w:fldCharType="begin"/>
          </w:r>
          <w:r w:rsidRPr="00626934">
            <w:rPr>
              <w:rFonts w:ascii="Times New Roman" w:hAnsi="Times New Roman" w:cs="Times New Roman"/>
              <w:sz w:val="28"/>
              <w:szCs w:val="28"/>
            </w:rPr>
            <w:instrText xml:space="preserve"> TOC \o "1-3" \h \z \u </w:instrText>
          </w:r>
          <w:r w:rsidRPr="00626934">
            <w:rPr>
              <w:rFonts w:ascii="Times New Roman" w:hAnsi="Times New Roman" w:cs="Times New Roman"/>
              <w:sz w:val="28"/>
              <w:szCs w:val="28"/>
            </w:rPr>
            <w:fldChar w:fldCharType="separate"/>
          </w:r>
          <w:hyperlink w:anchor="_Toc53154074" w:history="1">
            <w:r w:rsidR="00626934" w:rsidRPr="00626934">
              <w:rPr>
                <w:rStyle w:val="Hyperlink"/>
                <w:rFonts w:ascii="Times New Roman" w:hAnsi="Times New Roman" w:cs="Times New Roman"/>
                <w:noProof/>
                <w:sz w:val="28"/>
                <w:szCs w:val="28"/>
              </w:rPr>
              <w:t>Saīsinājumu un akronīmu saraksts</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_Toc53154074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4</w:t>
            </w:r>
            <w:r w:rsidR="00626934" w:rsidRPr="00626934">
              <w:rPr>
                <w:rFonts w:ascii="Times New Roman" w:hAnsi="Times New Roman" w:cs="Times New Roman"/>
                <w:noProof/>
                <w:webHidden/>
                <w:sz w:val="28"/>
                <w:szCs w:val="28"/>
              </w:rPr>
              <w:fldChar w:fldCharType="end"/>
            </w:r>
          </w:hyperlink>
        </w:p>
        <w:p w14:paraId="0E38028C" w14:textId="65CFF26F" w:rsidR="00626934" w:rsidRPr="00626934" w:rsidRDefault="00295172" w:rsidP="00626934">
          <w:pPr>
            <w:pStyle w:val="TOC1"/>
            <w:tabs>
              <w:tab w:val="left" w:pos="567"/>
              <w:tab w:val="right" w:leader="dot" w:pos="9061"/>
            </w:tabs>
            <w:rPr>
              <w:rFonts w:ascii="Times New Roman" w:hAnsi="Times New Roman" w:cs="Times New Roman"/>
              <w:noProof/>
              <w:sz w:val="28"/>
              <w:szCs w:val="28"/>
            </w:rPr>
          </w:pPr>
          <w:hyperlink w:anchor="_Toc53154075" w:history="1">
            <w:r w:rsidR="00626934" w:rsidRPr="00626934">
              <w:rPr>
                <w:rStyle w:val="Hyperlink"/>
                <w:rFonts w:ascii="Times New Roman" w:eastAsia="Times New Roman" w:hAnsi="Times New Roman" w:cs="Times New Roman"/>
                <w:noProof/>
                <w:sz w:val="28"/>
                <w:szCs w:val="28"/>
              </w:rPr>
              <w:t>1.</w:t>
            </w:r>
            <w:r w:rsidR="00626934" w:rsidRPr="00626934">
              <w:rPr>
                <w:rFonts w:ascii="Times New Roman" w:hAnsi="Times New Roman" w:cs="Times New Roman"/>
                <w:noProof/>
                <w:sz w:val="28"/>
                <w:szCs w:val="28"/>
              </w:rPr>
              <w:tab/>
            </w:r>
            <w:r w:rsidR="00626934" w:rsidRPr="00626934">
              <w:rPr>
                <w:rStyle w:val="Hyperlink"/>
                <w:rFonts w:ascii="Times New Roman" w:eastAsia="Times New Roman" w:hAnsi="Times New Roman" w:cs="Times New Roman"/>
                <w:noProof/>
                <w:sz w:val="28"/>
                <w:szCs w:val="28"/>
              </w:rPr>
              <w:t>Makroekonomiskās attīstības apraksts</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_Toc53154075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5</w:t>
            </w:r>
            <w:r w:rsidR="00626934" w:rsidRPr="00626934">
              <w:rPr>
                <w:rFonts w:ascii="Times New Roman" w:hAnsi="Times New Roman" w:cs="Times New Roman"/>
                <w:noProof/>
                <w:webHidden/>
                <w:sz w:val="28"/>
                <w:szCs w:val="28"/>
              </w:rPr>
              <w:fldChar w:fldCharType="end"/>
            </w:r>
          </w:hyperlink>
        </w:p>
        <w:p w14:paraId="15C6615F" w14:textId="70D92D6B" w:rsidR="00626934" w:rsidRPr="00626934" w:rsidRDefault="00295172" w:rsidP="00626934">
          <w:pPr>
            <w:pStyle w:val="TOC2"/>
            <w:rPr>
              <w:rFonts w:ascii="Times New Roman" w:hAnsi="Times New Roman" w:cs="Times New Roman"/>
              <w:noProof/>
              <w:sz w:val="28"/>
              <w:szCs w:val="28"/>
            </w:rPr>
          </w:pPr>
          <w:hyperlink w:anchor="_Toc53154076" w:history="1">
            <w:r w:rsidR="00626934" w:rsidRPr="00626934">
              <w:rPr>
                <w:rStyle w:val="Hyperlink"/>
                <w:rFonts w:ascii="Times New Roman" w:hAnsi="Times New Roman" w:cs="Times New Roman"/>
                <w:noProof/>
                <w:sz w:val="28"/>
                <w:szCs w:val="28"/>
              </w:rPr>
              <w:t>1.1.</w:t>
            </w:r>
            <w:r w:rsidR="00626934" w:rsidRPr="00626934">
              <w:rPr>
                <w:rFonts w:ascii="Times New Roman" w:hAnsi="Times New Roman" w:cs="Times New Roman"/>
                <w:noProof/>
                <w:sz w:val="28"/>
                <w:szCs w:val="28"/>
              </w:rPr>
              <w:tab/>
            </w:r>
            <w:r w:rsidR="00626934" w:rsidRPr="00626934">
              <w:rPr>
                <w:rStyle w:val="Hyperlink"/>
                <w:rFonts w:ascii="Times New Roman" w:hAnsi="Times New Roman" w:cs="Times New Roman"/>
                <w:noProof/>
                <w:sz w:val="28"/>
                <w:szCs w:val="28"/>
              </w:rPr>
              <w:t>Ārējā ekonomiskā vide</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_Toc53154076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6</w:t>
            </w:r>
            <w:r w:rsidR="00626934" w:rsidRPr="00626934">
              <w:rPr>
                <w:rFonts w:ascii="Times New Roman" w:hAnsi="Times New Roman" w:cs="Times New Roman"/>
                <w:noProof/>
                <w:webHidden/>
                <w:sz w:val="28"/>
                <w:szCs w:val="28"/>
              </w:rPr>
              <w:fldChar w:fldCharType="end"/>
            </w:r>
          </w:hyperlink>
        </w:p>
        <w:p w14:paraId="769228F0" w14:textId="38109CFD" w:rsidR="00626934" w:rsidRPr="00626934" w:rsidRDefault="00295172" w:rsidP="00626934">
          <w:pPr>
            <w:pStyle w:val="TOC2"/>
            <w:rPr>
              <w:rFonts w:ascii="Times New Roman" w:hAnsi="Times New Roman" w:cs="Times New Roman"/>
              <w:noProof/>
              <w:sz w:val="28"/>
              <w:szCs w:val="28"/>
            </w:rPr>
          </w:pPr>
          <w:hyperlink w:anchor="_Toc53154077" w:history="1">
            <w:r w:rsidR="00626934" w:rsidRPr="00626934">
              <w:rPr>
                <w:rStyle w:val="Hyperlink"/>
                <w:rFonts w:ascii="Times New Roman" w:eastAsia="Times New Roman" w:hAnsi="Times New Roman" w:cs="Times New Roman"/>
                <w:noProof/>
                <w:sz w:val="28"/>
                <w:szCs w:val="28"/>
              </w:rPr>
              <w:t>1.2.</w:t>
            </w:r>
            <w:r w:rsidR="00626934" w:rsidRPr="00626934">
              <w:rPr>
                <w:rFonts w:ascii="Times New Roman" w:hAnsi="Times New Roman" w:cs="Times New Roman"/>
                <w:noProof/>
                <w:sz w:val="28"/>
                <w:szCs w:val="28"/>
              </w:rPr>
              <w:tab/>
            </w:r>
            <w:r w:rsidR="00626934" w:rsidRPr="00626934">
              <w:rPr>
                <w:rStyle w:val="Hyperlink"/>
                <w:rFonts w:ascii="Times New Roman" w:eastAsia="Times New Roman" w:hAnsi="Times New Roman" w:cs="Times New Roman"/>
                <w:noProof/>
                <w:sz w:val="28"/>
                <w:szCs w:val="28"/>
              </w:rPr>
              <w:t>Latvijas tautsaimniecības attīstība</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_Toc53154077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9</w:t>
            </w:r>
            <w:r w:rsidR="00626934" w:rsidRPr="00626934">
              <w:rPr>
                <w:rFonts w:ascii="Times New Roman" w:hAnsi="Times New Roman" w:cs="Times New Roman"/>
                <w:noProof/>
                <w:webHidden/>
                <w:sz w:val="28"/>
                <w:szCs w:val="28"/>
              </w:rPr>
              <w:fldChar w:fldCharType="end"/>
            </w:r>
          </w:hyperlink>
        </w:p>
        <w:p w14:paraId="60397E90" w14:textId="397FA696" w:rsidR="00626934" w:rsidRPr="00626934" w:rsidRDefault="00295172" w:rsidP="00051573">
          <w:pPr>
            <w:pStyle w:val="TOC3"/>
            <w:ind w:hanging="709"/>
          </w:pPr>
          <w:hyperlink w:anchor="_Toc53154078" w:history="1">
            <w:r w:rsidR="00626934" w:rsidRPr="00626934">
              <w:rPr>
                <w:rStyle w:val="Hyperlink"/>
                <w:szCs w:val="28"/>
              </w:rPr>
              <w:t>1.2.1.</w:t>
            </w:r>
            <w:r w:rsidR="00626934" w:rsidRPr="00626934">
              <w:tab/>
            </w:r>
            <w:r w:rsidR="00626934" w:rsidRPr="00626934">
              <w:rPr>
                <w:rStyle w:val="Hyperlink"/>
                <w:szCs w:val="28"/>
              </w:rPr>
              <w:t>Iekšzemes kopprodukts</w:t>
            </w:r>
            <w:r w:rsidR="00626934" w:rsidRPr="00626934">
              <w:rPr>
                <w:webHidden/>
              </w:rPr>
              <w:tab/>
            </w:r>
            <w:r w:rsidR="00626934" w:rsidRPr="00626934">
              <w:rPr>
                <w:webHidden/>
              </w:rPr>
              <w:fldChar w:fldCharType="begin"/>
            </w:r>
            <w:r w:rsidR="00626934" w:rsidRPr="00626934">
              <w:rPr>
                <w:webHidden/>
              </w:rPr>
              <w:instrText xml:space="preserve"> PAGEREF _Toc53154078 \h </w:instrText>
            </w:r>
            <w:r w:rsidR="00626934" w:rsidRPr="00626934">
              <w:rPr>
                <w:webHidden/>
              </w:rPr>
            </w:r>
            <w:r w:rsidR="00626934" w:rsidRPr="00626934">
              <w:rPr>
                <w:webHidden/>
              </w:rPr>
              <w:fldChar w:fldCharType="separate"/>
            </w:r>
            <w:r w:rsidR="005D5F3A">
              <w:rPr>
                <w:webHidden/>
              </w:rPr>
              <w:t>9</w:t>
            </w:r>
            <w:r w:rsidR="00626934" w:rsidRPr="00626934">
              <w:rPr>
                <w:webHidden/>
              </w:rPr>
              <w:fldChar w:fldCharType="end"/>
            </w:r>
          </w:hyperlink>
        </w:p>
        <w:p w14:paraId="18B9526D" w14:textId="59A9417D" w:rsidR="00626934" w:rsidRPr="00626934" w:rsidRDefault="00295172" w:rsidP="00051573">
          <w:pPr>
            <w:pStyle w:val="TOC3"/>
            <w:ind w:hanging="709"/>
          </w:pPr>
          <w:hyperlink w:anchor="_Toc53154079" w:history="1">
            <w:r w:rsidR="00626934" w:rsidRPr="00626934">
              <w:rPr>
                <w:rStyle w:val="Hyperlink"/>
                <w:szCs w:val="28"/>
              </w:rPr>
              <w:t>1.2.2.</w:t>
            </w:r>
            <w:r w:rsidR="00626934" w:rsidRPr="00626934">
              <w:tab/>
            </w:r>
            <w:r w:rsidR="00626934" w:rsidRPr="00626934">
              <w:rPr>
                <w:rStyle w:val="Hyperlink"/>
                <w:szCs w:val="28"/>
              </w:rPr>
              <w:t>Tautsaimniecības nozaru attīstība</w:t>
            </w:r>
            <w:r w:rsidR="00626934" w:rsidRPr="00626934">
              <w:rPr>
                <w:webHidden/>
              </w:rPr>
              <w:tab/>
            </w:r>
            <w:r w:rsidR="00626934" w:rsidRPr="00626934">
              <w:rPr>
                <w:webHidden/>
              </w:rPr>
              <w:fldChar w:fldCharType="begin"/>
            </w:r>
            <w:r w:rsidR="00626934" w:rsidRPr="00626934">
              <w:rPr>
                <w:webHidden/>
              </w:rPr>
              <w:instrText xml:space="preserve"> PAGEREF _Toc53154079 \h </w:instrText>
            </w:r>
            <w:r w:rsidR="00626934" w:rsidRPr="00626934">
              <w:rPr>
                <w:webHidden/>
              </w:rPr>
            </w:r>
            <w:r w:rsidR="00626934" w:rsidRPr="00626934">
              <w:rPr>
                <w:webHidden/>
              </w:rPr>
              <w:fldChar w:fldCharType="separate"/>
            </w:r>
            <w:r w:rsidR="005D5F3A">
              <w:rPr>
                <w:webHidden/>
              </w:rPr>
              <w:t>14</w:t>
            </w:r>
            <w:r w:rsidR="00626934" w:rsidRPr="00626934">
              <w:rPr>
                <w:webHidden/>
              </w:rPr>
              <w:fldChar w:fldCharType="end"/>
            </w:r>
          </w:hyperlink>
        </w:p>
        <w:p w14:paraId="189BD998" w14:textId="2935B7C9" w:rsidR="00626934" w:rsidRPr="00626934" w:rsidRDefault="00295172" w:rsidP="00051573">
          <w:pPr>
            <w:pStyle w:val="TOC3"/>
            <w:ind w:hanging="709"/>
          </w:pPr>
          <w:hyperlink w:anchor="_Toc53154080" w:history="1">
            <w:r w:rsidR="00626934" w:rsidRPr="00626934">
              <w:rPr>
                <w:rStyle w:val="Hyperlink"/>
                <w:szCs w:val="28"/>
              </w:rPr>
              <w:t>1.2.3.</w:t>
            </w:r>
            <w:r w:rsidR="00626934" w:rsidRPr="00626934">
              <w:tab/>
            </w:r>
            <w:r w:rsidR="00626934" w:rsidRPr="00626934">
              <w:rPr>
                <w:rStyle w:val="Hyperlink"/>
                <w:szCs w:val="28"/>
              </w:rPr>
              <w:t>Inflācija</w:t>
            </w:r>
            <w:r w:rsidR="00626934" w:rsidRPr="00626934">
              <w:rPr>
                <w:webHidden/>
              </w:rPr>
              <w:tab/>
            </w:r>
            <w:r w:rsidR="00626934" w:rsidRPr="00626934">
              <w:rPr>
                <w:webHidden/>
              </w:rPr>
              <w:fldChar w:fldCharType="begin"/>
            </w:r>
            <w:r w:rsidR="00626934" w:rsidRPr="00626934">
              <w:rPr>
                <w:webHidden/>
              </w:rPr>
              <w:instrText xml:space="preserve"> PAGEREF _Toc53154080 \h </w:instrText>
            </w:r>
            <w:r w:rsidR="00626934" w:rsidRPr="00626934">
              <w:rPr>
                <w:webHidden/>
              </w:rPr>
            </w:r>
            <w:r w:rsidR="00626934" w:rsidRPr="00626934">
              <w:rPr>
                <w:webHidden/>
              </w:rPr>
              <w:fldChar w:fldCharType="separate"/>
            </w:r>
            <w:r w:rsidR="005D5F3A">
              <w:rPr>
                <w:webHidden/>
              </w:rPr>
              <w:t>37</w:t>
            </w:r>
            <w:r w:rsidR="00626934" w:rsidRPr="00626934">
              <w:rPr>
                <w:webHidden/>
              </w:rPr>
              <w:fldChar w:fldCharType="end"/>
            </w:r>
          </w:hyperlink>
        </w:p>
        <w:p w14:paraId="2DF76653" w14:textId="6A8098FD" w:rsidR="00626934" w:rsidRPr="00626934" w:rsidRDefault="00295172" w:rsidP="00051573">
          <w:pPr>
            <w:pStyle w:val="TOC3"/>
            <w:ind w:hanging="709"/>
          </w:pPr>
          <w:hyperlink w:anchor="_Toc53154081" w:history="1">
            <w:r w:rsidR="00626934" w:rsidRPr="00626934">
              <w:rPr>
                <w:rStyle w:val="Hyperlink"/>
                <w:szCs w:val="28"/>
              </w:rPr>
              <w:t>1.2.4.</w:t>
            </w:r>
            <w:r w:rsidR="00626934" w:rsidRPr="00626934">
              <w:tab/>
            </w:r>
            <w:r w:rsidR="00626934" w:rsidRPr="00626934">
              <w:rPr>
                <w:rStyle w:val="Hyperlink"/>
                <w:szCs w:val="28"/>
              </w:rPr>
              <w:t>Nodarbinātība un bezdarbs</w:t>
            </w:r>
            <w:r w:rsidR="00626934" w:rsidRPr="00626934">
              <w:rPr>
                <w:webHidden/>
              </w:rPr>
              <w:tab/>
            </w:r>
            <w:r w:rsidR="00626934" w:rsidRPr="00626934">
              <w:rPr>
                <w:webHidden/>
              </w:rPr>
              <w:fldChar w:fldCharType="begin"/>
            </w:r>
            <w:r w:rsidR="00626934" w:rsidRPr="00626934">
              <w:rPr>
                <w:webHidden/>
              </w:rPr>
              <w:instrText xml:space="preserve"> PAGEREF _Toc53154081 \h </w:instrText>
            </w:r>
            <w:r w:rsidR="00626934" w:rsidRPr="00626934">
              <w:rPr>
                <w:webHidden/>
              </w:rPr>
            </w:r>
            <w:r w:rsidR="00626934" w:rsidRPr="00626934">
              <w:rPr>
                <w:webHidden/>
              </w:rPr>
              <w:fldChar w:fldCharType="separate"/>
            </w:r>
            <w:r w:rsidR="005D5F3A">
              <w:rPr>
                <w:webHidden/>
              </w:rPr>
              <w:t>42</w:t>
            </w:r>
            <w:r w:rsidR="00626934" w:rsidRPr="00626934">
              <w:rPr>
                <w:webHidden/>
              </w:rPr>
              <w:fldChar w:fldCharType="end"/>
            </w:r>
          </w:hyperlink>
        </w:p>
        <w:p w14:paraId="071D4A49" w14:textId="75E5D034" w:rsidR="00626934" w:rsidRPr="00626934" w:rsidRDefault="00295172" w:rsidP="00051573">
          <w:pPr>
            <w:pStyle w:val="TOC3"/>
            <w:ind w:hanging="709"/>
          </w:pPr>
          <w:hyperlink w:anchor="_Toc53154082" w:history="1">
            <w:r w:rsidR="00626934" w:rsidRPr="00626934">
              <w:rPr>
                <w:rStyle w:val="Hyperlink"/>
                <w:szCs w:val="28"/>
              </w:rPr>
              <w:t>1.2.5.</w:t>
            </w:r>
            <w:r w:rsidR="00626934" w:rsidRPr="00626934">
              <w:tab/>
            </w:r>
            <w:r w:rsidR="00626934" w:rsidRPr="00626934">
              <w:rPr>
                <w:rStyle w:val="Hyperlink"/>
                <w:szCs w:val="28"/>
              </w:rPr>
              <w:t>Iedzīvotāju ienākumi</w:t>
            </w:r>
            <w:r w:rsidR="00626934" w:rsidRPr="00626934">
              <w:rPr>
                <w:webHidden/>
              </w:rPr>
              <w:tab/>
            </w:r>
            <w:r w:rsidR="00626934" w:rsidRPr="00626934">
              <w:rPr>
                <w:webHidden/>
              </w:rPr>
              <w:fldChar w:fldCharType="begin"/>
            </w:r>
            <w:r w:rsidR="00626934" w:rsidRPr="00626934">
              <w:rPr>
                <w:webHidden/>
              </w:rPr>
              <w:instrText xml:space="preserve"> PAGEREF _Toc53154082 \h </w:instrText>
            </w:r>
            <w:r w:rsidR="00626934" w:rsidRPr="00626934">
              <w:rPr>
                <w:webHidden/>
              </w:rPr>
            </w:r>
            <w:r w:rsidR="00626934" w:rsidRPr="00626934">
              <w:rPr>
                <w:webHidden/>
              </w:rPr>
              <w:fldChar w:fldCharType="separate"/>
            </w:r>
            <w:r w:rsidR="005D5F3A">
              <w:rPr>
                <w:webHidden/>
              </w:rPr>
              <w:t>46</w:t>
            </w:r>
            <w:r w:rsidR="00626934" w:rsidRPr="00626934">
              <w:rPr>
                <w:webHidden/>
              </w:rPr>
              <w:fldChar w:fldCharType="end"/>
            </w:r>
          </w:hyperlink>
        </w:p>
        <w:p w14:paraId="09B7749E" w14:textId="1CFCD934" w:rsidR="00626934" w:rsidRPr="00626934" w:rsidRDefault="00295172" w:rsidP="00051573">
          <w:pPr>
            <w:pStyle w:val="TOC3"/>
            <w:ind w:hanging="709"/>
          </w:pPr>
          <w:hyperlink w:anchor="_Toc53154083" w:history="1">
            <w:r w:rsidR="00626934" w:rsidRPr="00626934">
              <w:rPr>
                <w:rStyle w:val="Hyperlink"/>
                <w:szCs w:val="28"/>
              </w:rPr>
              <w:t>1.2.6.</w:t>
            </w:r>
            <w:r w:rsidR="00626934" w:rsidRPr="00626934">
              <w:tab/>
            </w:r>
            <w:r w:rsidR="00626934" w:rsidRPr="00626934">
              <w:rPr>
                <w:rStyle w:val="Hyperlink"/>
                <w:szCs w:val="28"/>
              </w:rPr>
              <w:t>Ārējā tirdzniecība un maksājumu bilance</w:t>
            </w:r>
            <w:r w:rsidR="00626934" w:rsidRPr="00626934">
              <w:rPr>
                <w:webHidden/>
              </w:rPr>
              <w:tab/>
            </w:r>
            <w:r w:rsidR="00626934" w:rsidRPr="00626934">
              <w:rPr>
                <w:webHidden/>
              </w:rPr>
              <w:fldChar w:fldCharType="begin"/>
            </w:r>
            <w:r w:rsidR="00626934" w:rsidRPr="00626934">
              <w:rPr>
                <w:webHidden/>
              </w:rPr>
              <w:instrText xml:space="preserve"> PAGEREF _Toc53154083 \h </w:instrText>
            </w:r>
            <w:r w:rsidR="00626934" w:rsidRPr="00626934">
              <w:rPr>
                <w:webHidden/>
              </w:rPr>
            </w:r>
            <w:r w:rsidR="00626934" w:rsidRPr="00626934">
              <w:rPr>
                <w:webHidden/>
              </w:rPr>
              <w:fldChar w:fldCharType="separate"/>
            </w:r>
            <w:r w:rsidR="005D5F3A">
              <w:rPr>
                <w:webHidden/>
              </w:rPr>
              <w:t>51</w:t>
            </w:r>
            <w:r w:rsidR="00626934" w:rsidRPr="00626934">
              <w:rPr>
                <w:webHidden/>
              </w:rPr>
              <w:fldChar w:fldCharType="end"/>
            </w:r>
          </w:hyperlink>
        </w:p>
        <w:p w14:paraId="5E017750" w14:textId="56D76792" w:rsidR="00626934" w:rsidRPr="00626934" w:rsidRDefault="00295172" w:rsidP="00626934">
          <w:pPr>
            <w:pStyle w:val="TOC2"/>
            <w:rPr>
              <w:rFonts w:ascii="Times New Roman" w:hAnsi="Times New Roman" w:cs="Times New Roman"/>
              <w:noProof/>
              <w:sz w:val="28"/>
              <w:szCs w:val="28"/>
            </w:rPr>
          </w:pPr>
          <w:hyperlink w:anchor="_Toc53154084" w:history="1">
            <w:r w:rsidR="00626934" w:rsidRPr="00626934">
              <w:rPr>
                <w:rStyle w:val="Hyperlink"/>
                <w:rFonts w:ascii="Times New Roman" w:eastAsia="Times New Roman" w:hAnsi="Times New Roman" w:cs="Times New Roman"/>
                <w:noProof/>
                <w:sz w:val="28"/>
                <w:szCs w:val="28"/>
              </w:rPr>
              <w:t>1.2.</w:t>
            </w:r>
            <w:r w:rsidR="00626934" w:rsidRPr="00626934">
              <w:rPr>
                <w:rFonts w:ascii="Times New Roman" w:hAnsi="Times New Roman" w:cs="Times New Roman"/>
                <w:noProof/>
                <w:sz w:val="28"/>
                <w:szCs w:val="28"/>
              </w:rPr>
              <w:tab/>
            </w:r>
            <w:r w:rsidR="00626934" w:rsidRPr="00626934">
              <w:rPr>
                <w:rStyle w:val="Hyperlink"/>
                <w:rFonts w:ascii="Times New Roman" w:eastAsia="Times New Roman" w:hAnsi="Times New Roman" w:cs="Times New Roman"/>
                <w:noProof/>
                <w:sz w:val="28"/>
                <w:szCs w:val="28"/>
              </w:rPr>
              <w:t>Makroekonomisko nelīdzsvarotību uzraudzība ES</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_Toc53154084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66</w:t>
            </w:r>
            <w:r w:rsidR="00626934" w:rsidRPr="00626934">
              <w:rPr>
                <w:rFonts w:ascii="Times New Roman" w:hAnsi="Times New Roman" w:cs="Times New Roman"/>
                <w:noProof/>
                <w:webHidden/>
                <w:sz w:val="28"/>
                <w:szCs w:val="28"/>
              </w:rPr>
              <w:fldChar w:fldCharType="end"/>
            </w:r>
          </w:hyperlink>
        </w:p>
        <w:p w14:paraId="794B0E74" w14:textId="2FCA29DD" w:rsidR="00626934" w:rsidRPr="00626934" w:rsidRDefault="00295172" w:rsidP="00051573">
          <w:pPr>
            <w:pStyle w:val="TOC3"/>
            <w:ind w:hanging="709"/>
          </w:pPr>
          <w:hyperlink w:anchor="_Toc53154086" w:history="1">
            <w:r w:rsidR="00626934" w:rsidRPr="00626934">
              <w:rPr>
                <w:rStyle w:val="Hyperlink"/>
                <w:szCs w:val="28"/>
              </w:rPr>
              <w:t xml:space="preserve">1.2.1. </w:t>
            </w:r>
            <w:r w:rsidR="00626934">
              <w:rPr>
                <w:rStyle w:val="Hyperlink"/>
                <w:szCs w:val="28"/>
              </w:rPr>
              <w:tab/>
            </w:r>
            <w:r w:rsidR="00626934" w:rsidRPr="00626934">
              <w:rPr>
                <w:rStyle w:val="Hyperlink"/>
                <w:szCs w:val="28"/>
              </w:rPr>
              <w:t>Makroekonomikas nesabalansētī</w:t>
            </w:r>
            <w:r w:rsidR="00626934">
              <w:rPr>
                <w:rStyle w:val="Hyperlink"/>
                <w:szCs w:val="28"/>
              </w:rPr>
              <w:t xml:space="preserve">bu identificēšanas un pārvaldes </w:t>
            </w:r>
            <w:r w:rsidR="00626934" w:rsidRPr="00626934">
              <w:rPr>
                <w:rStyle w:val="Hyperlink"/>
                <w:szCs w:val="28"/>
              </w:rPr>
              <w:t>posmi</w:t>
            </w:r>
            <w:r w:rsidR="00626934" w:rsidRPr="00626934">
              <w:rPr>
                <w:webHidden/>
              </w:rPr>
              <w:tab/>
            </w:r>
            <w:r w:rsidR="00626934" w:rsidRPr="00626934">
              <w:rPr>
                <w:webHidden/>
              </w:rPr>
              <w:fldChar w:fldCharType="begin"/>
            </w:r>
            <w:r w:rsidR="00626934" w:rsidRPr="00626934">
              <w:rPr>
                <w:webHidden/>
              </w:rPr>
              <w:instrText xml:space="preserve"> PAGEREF _Toc53154086 \h </w:instrText>
            </w:r>
            <w:r w:rsidR="00626934" w:rsidRPr="00626934">
              <w:rPr>
                <w:webHidden/>
              </w:rPr>
            </w:r>
            <w:r w:rsidR="00626934" w:rsidRPr="00626934">
              <w:rPr>
                <w:webHidden/>
              </w:rPr>
              <w:fldChar w:fldCharType="separate"/>
            </w:r>
            <w:r w:rsidR="005D5F3A">
              <w:rPr>
                <w:webHidden/>
              </w:rPr>
              <w:t>66</w:t>
            </w:r>
            <w:r w:rsidR="00626934" w:rsidRPr="00626934">
              <w:rPr>
                <w:webHidden/>
              </w:rPr>
              <w:fldChar w:fldCharType="end"/>
            </w:r>
          </w:hyperlink>
        </w:p>
        <w:p w14:paraId="4F76628A" w14:textId="4C347996" w:rsidR="00626934" w:rsidRPr="00626934" w:rsidRDefault="00295172" w:rsidP="00051573">
          <w:pPr>
            <w:pStyle w:val="TOC3"/>
            <w:ind w:hanging="709"/>
          </w:pPr>
          <w:hyperlink w:anchor="_Toc53154087" w:history="1">
            <w:r w:rsidR="00626934" w:rsidRPr="00626934">
              <w:rPr>
                <w:rStyle w:val="Hyperlink"/>
                <w:szCs w:val="28"/>
              </w:rPr>
              <w:t xml:space="preserve">1.2.2. </w:t>
            </w:r>
            <w:r w:rsidR="00626934">
              <w:rPr>
                <w:rStyle w:val="Hyperlink"/>
                <w:szCs w:val="28"/>
              </w:rPr>
              <w:tab/>
            </w:r>
            <w:r w:rsidR="00626934" w:rsidRPr="00626934">
              <w:rPr>
                <w:rStyle w:val="Hyperlink"/>
                <w:szCs w:val="28"/>
              </w:rPr>
              <w:t>Pārmērīga makroekonomiskā nesabalansētība un Padziļināto izpētes ziņojumu izstrāde</w:t>
            </w:r>
            <w:r w:rsidR="00626934" w:rsidRPr="00626934">
              <w:rPr>
                <w:webHidden/>
              </w:rPr>
              <w:tab/>
            </w:r>
            <w:r w:rsidR="00626934" w:rsidRPr="00626934">
              <w:rPr>
                <w:webHidden/>
              </w:rPr>
              <w:fldChar w:fldCharType="begin"/>
            </w:r>
            <w:r w:rsidR="00626934" w:rsidRPr="00626934">
              <w:rPr>
                <w:webHidden/>
              </w:rPr>
              <w:instrText xml:space="preserve"> PAGEREF _Toc53154087 \h </w:instrText>
            </w:r>
            <w:r w:rsidR="00626934" w:rsidRPr="00626934">
              <w:rPr>
                <w:webHidden/>
              </w:rPr>
            </w:r>
            <w:r w:rsidR="00626934" w:rsidRPr="00626934">
              <w:rPr>
                <w:webHidden/>
              </w:rPr>
              <w:fldChar w:fldCharType="separate"/>
            </w:r>
            <w:r w:rsidR="005D5F3A">
              <w:rPr>
                <w:webHidden/>
              </w:rPr>
              <w:t>67</w:t>
            </w:r>
            <w:r w:rsidR="00626934" w:rsidRPr="00626934">
              <w:rPr>
                <w:webHidden/>
              </w:rPr>
              <w:fldChar w:fldCharType="end"/>
            </w:r>
          </w:hyperlink>
        </w:p>
        <w:p w14:paraId="0BAF1F47" w14:textId="3407BD89" w:rsidR="00626934" w:rsidRPr="00626934" w:rsidRDefault="00295172" w:rsidP="00051573">
          <w:pPr>
            <w:pStyle w:val="TOC3"/>
            <w:ind w:hanging="709"/>
          </w:pPr>
          <w:hyperlink w:anchor="_Toc53154088" w:history="1">
            <w:r w:rsidR="00626934" w:rsidRPr="00626934">
              <w:rPr>
                <w:rStyle w:val="Hyperlink"/>
                <w:szCs w:val="28"/>
              </w:rPr>
              <w:t>1.2.3.</w:t>
            </w:r>
            <w:r w:rsidR="00626934" w:rsidRPr="00626934">
              <w:tab/>
            </w:r>
            <w:r w:rsidR="00626934" w:rsidRPr="00626934">
              <w:rPr>
                <w:rStyle w:val="Hyperlink"/>
                <w:szCs w:val="28"/>
              </w:rPr>
              <w:t>Latvijas ekonomiskās situācijas novērtējums 2020.gada AMR ziņojumā un iespējamās tendences 2021.gada ziņojumā</w:t>
            </w:r>
            <w:r w:rsidR="00626934" w:rsidRPr="00626934">
              <w:rPr>
                <w:webHidden/>
              </w:rPr>
              <w:tab/>
            </w:r>
            <w:r w:rsidR="00626934" w:rsidRPr="00626934">
              <w:rPr>
                <w:webHidden/>
              </w:rPr>
              <w:fldChar w:fldCharType="begin"/>
            </w:r>
            <w:r w:rsidR="00626934" w:rsidRPr="00626934">
              <w:rPr>
                <w:webHidden/>
              </w:rPr>
              <w:instrText xml:space="preserve"> PAGEREF _Toc53154088 \h </w:instrText>
            </w:r>
            <w:r w:rsidR="00626934" w:rsidRPr="00626934">
              <w:rPr>
                <w:webHidden/>
              </w:rPr>
            </w:r>
            <w:r w:rsidR="00626934" w:rsidRPr="00626934">
              <w:rPr>
                <w:webHidden/>
              </w:rPr>
              <w:fldChar w:fldCharType="separate"/>
            </w:r>
            <w:r w:rsidR="005D5F3A">
              <w:rPr>
                <w:webHidden/>
              </w:rPr>
              <w:t>69</w:t>
            </w:r>
            <w:r w:rsidR="00626934" w:rsidRPr="00626934">
              <w:rPr>
                <w:webHidden/>
              </w:rPr>
              <w:fldChar w:fldCharType="end"/>
            </w:r>
          </w:hyperlink>
        </w:p>
        <w:p w14:paraId="584FA3C9" w14:textId="25CC3BEC" w:rsidR="00626934" w:rsidRPr="00626934" w:rsidRDefault="00295172" w:rsidP="00626934">
          <w:pPr>
            <w:pStyle w:val="TOC2"/>
            <w:rPr>
              <w:rFonts w:ascii="Times New Roman" w:hAnsi="Times New Roman" w:cs="Times New Roman"/>
              <w:noProof/>
              <w:sz w:val="28"/>
              <w:szCs w:val="28"/>
            </w:rPr>
          </w:pPr>
          <w:hyperlink w:anchor="_Toc53154089" w:history="1">
            <w:r w:rsidR="00626934" w:rsidRPr="00626934">
              <w:rPr>
                <w:rStyle w:val="Hyperlink"/>
                <w:rFonts w:ascii="Times New Roman" w:eastAsia="Times New Roman" w:hAnsi="Times New Roman" w:cs="Times New Roman"/>
                <w:noProof/>
                <w:sz w:val="28"/>
                <w:szCs w:val="28"/>
              </w:rPr>
              <w:t>1.3.</w:t>
            </w:r>
            <w:r w:rsidR="00626934" w:rsidRPr="00626934">
              <w:rPr>
                <w:rFonts w:ascii="Times New Roman" w:hAnsi="Times New Roman" w:cs="Times New Roman"/>
                <w:noProof/>
                <w:sz w:val="28"/>
                <w:szCs w:val="28"/>
              </w:rPr>
              <w:tab/>
            </w:r>
            <w:r w:rsidR="00626934" w:rsidRPr="00626934">
              <w:rPr>
                <w:rStyle w:val="Hyperlink"/>
                <w:rFonts w:ascii="Times New Roman" w:eastAsia="Times New Roman" w:hAnsi="Times New Roman" w:cs="Times New Roman"/>
                <w:noProof/>
                <w:sz w:val="28"/>
                <w:szCs w:val="28"/>
              </w:rPr>
              <w:t>Makroekonomiskās attīstības scenārijs</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_Toc53154089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71</w:t>
            </w:r>
            <w:r w:rsidR="00626934" w:rsidRPr="00626934">
              <w:rPr>
                <w:rFonts w:ascii="Times New Roman" w:hAnsi="Times New Roman" w:cs="Times New Roman"/>
                <w:noProof/>
                <w:webHidden/>
                <w:sz w:val="28"/>
                <w:szCs w:val="28"/>
              </w:rPr>
              <w:fldChar w:fldCharType="end"/>
            </w:r>
          </w:hyperlink>
        </w:p>
        <w:p w14:paraId="024B2A51" w14:textId="789A12ED" w:rsidR="00626934" w:rsidRPr="00626934" w:rsidRDefault="00295172" w:rsidP="00051573">
          <w:pPr>
            <w:pStyle w:val="TOC3"/>
            <w:ind w:hanging="709"/>
          </w:pPr>
          <w:hyperlink w:anchor="_Toc53154091" w:history="1">
            <w:r w:rsidR="00626934" w:rsidRPr="00626934">
              <w:rPr>
                <w:rStyle w:val="Hyperlink"/>
                <w:szCs w:val="28"/>
              </w:rPr>
              <w:t xml:space="preserve">1.3.1. </w:t>
            </w:r>
            <w:r w:rsidR="00626934">
              <w:rPr>
                <w:rStyle w:val="Hyperlink"/>
                <w:szCs w:val="28"/>
              </w:rPr>
              <w:tab/>
            </w:r>
            <w:r w:rsidR="00626934" w:rsidRPr="00626934">
              <w:rPr>
                <w:rStyle w:val="Hyperlink"/>
                <w:szCs w:val="28"/>
              </w:rPr>
              <w:t>Makroekonomiskās attīstības scenārija riski</w:t>
            </w:r>
            <w:r w:rsidR="00626934" w:rsidRPr="00626934">
              <w:rPr>
                <w:webHidden/>
              </w:rPr>
              <w:tab/>
            </w:r>
            <w:r w:rsidR="00626934" w:rsidRPr="00626934">
              <w:rPr>
                <w:webHidden/>
              </w:rPr>
              <w:fldChar w:fldCharType="begin"/>
            </w:r>
            <w:r w:rsidR="00626934" w:rsidRPr="00626934">
              <w:rPr>
                <w:webHidden/>
              </w:rPr>
              <w:instrText xml:space="preserve"> PAGEREF _Toc53154091 \h </w:instrText>
            </w:r>
            <w:r w:rsidR="00626934" w:rsidRPr="00626934">
              <w:rPr>
                <w:webHidden/>
              </w:rPr>
            </w:r>
            <w:r w:rsidR="00626934" w:rsidRPr="00626934">
              <w:rPr>
                <w:webHidden/>
              </w:rPr>
              <w:fldChar w:fldCharType="separate"/>
            </w:r>
            <w:r w:rsidR="005D5F3A">
              <w:rPr>
                <w:webHidden/>
              </w:rPr>
              <w:t>73</w:t>
            </w:r>
            <w:r w:rsidR="00626934" w:rsidRPr="00626934">
              <w:rPr>
                <w:webHidden/>
              </w:rPr>
              <w:fldChar w:fldCharType="end"/>
            </w:r>
          </w:hyperlink>
        </w:p>
        <w:p w14:paraId="18A3262B" w14:textId="6D46374F" w:rsidR="00626934" w:rsidRPr="00626934" w:rsidRDefault="00295172" w:rsidP="00051573">
          <w:pPr>
            <w:pStyle w:val="TOC2"/>
            <w:ind w:hanging="709"/>
            <w:rPr>
              <w:rFonts w:ascii="Times New Roman" w:hAnsi="Times New Roman" w:cs="Times New Roman"/>
              <w:noProof/>
              <w:sz w:val="28"/>
              <w:szCs w:val="28"/>
            </w:rPr>
          </w:pPr>
          <w:hyperlink w:anchor="_Toc53154092" w:history="1">
            <w:r w:rsidR="00626934" w:rsidRPr="00626934">
              <w:rPr>
                <w:rStyle w:val="Hyperlink"/>
                <w:rFonts w:ascii="Times New Roman" w:eastAsia="Calibri" w:hAnsi="Times New Roman" w:cs="Times New Roman"/>
                <w:noProof/>
                <w:sz w:val="28"/>
                <w:szCs w:val="28"/>
              </w:rPr>
              <w:t>1.4.</w:t>
            </w:r>
            <w:r w:rsidR="00626934" w:rsidRPr="00626934">
              <w:rPr>
                <w:rFonts w:ascii="Times New Roman" w:hAnsi="Times New Roman" w:cs="Times New Roman"/>
                <w:noProof/>
                <w:sz w:val="28"/>
                <w:szCs w:val="28"/>
              </w:rPr>
              <w:tab/>
            </w:r>
            <w:r w:rsidR="00626934" w:rsidRPr="00626934">
              <w:rPr>
                <w:rStyle w:val="Hyperlink"/>
                <w:rFonts w:ascii="Times New Roman" w:eastAsia="Times New Roman" w:hAnsi="Times New Roman" w:cs="Times New Roman"/>
                <w:noProof/>
                <w:sz w:val="28"/>
                <w:szCs w:val="28"/>
              </w:rPr>
              <w:t>Jūtīguma analīze</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_Toc53154092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74</w:t>
            </w:r>
            <w:r w:rsidR="00626934" w:rsidRPr="00626934">
              <w:rPr>
                <w:rFonts w:ascii="Times New Roman" w:hAnsi="Times New Roman" w:cs="Times New Roman"/>
                <w:noProof/>
                <w:webHidden/>
                <w:sz w:val="28"/>
                <w:szCs w:val="28"/>
              </w:rPr>
              <w:fldChar w:fldCharType="end"/>
            </w:r>
          </w:hyperlink>
        </w:p>
        <w:p w14:paraId="45FBF0B4" w14:textId="2EA29545" w:rsidR="00626934" w:rsidRPr="00626934" w:rsidRDefault="00295172" w:rsidP="00051573">
          <w:pPr>
            <w:pStyle w:val="TOC3"/>
            <w:ind w:hanging="709"/>
          </w:pPr>
          <w:hyperlink w:anchor="_Toc53154093" w:history="1">
            <w:r w:rsidR="00626934" w:rsidRPr="00626934">
              <w:rPr>
                <w:rStyle w:val="Hyperlink"/>
                <w:szCs w:val="28"/>
              </w:rPr>
              <w:t>1.4.1.</w:t>
            </w:r>
            <w:r w:rsidR="00626934" w:rsidRPr="00626934">
              <w:tab/>
            </w:r>
            <w:r w:rsidR="00626934" w:rsidRPr="00626934">
              <w:rPr>
                <w:rStyle w:val="Hyperlink"/>
                <w:szCs w:val="28"/>
              </w:rPr>
              <w:t>Optimistiskais scenārijs</w:t>
            </w:r>
            <w:r w:rsidR="00626934" w:rsidRPr="00626934">
              <w:rPr>
                <w:webHidden/>
              </w:rPr>
              <w:tab/>
            </w:r>
            <w:r w:rsidR="00626934" w:rsidRPr="00626934">
              <w:rPr>
                <w:webHidden/>
              </w:rPr>
              <w:fldChar w:fldCharType="begin"/>
            </w:r>
            <w:r w:rsidR="00626934" w:rsidRPr="00626934">
              <w:rPr>
                <w:webHidden/>
              </w:rPr>
              <w:instrText xml:space="preserve"> PAGEREF _Toc53154093 \h </w:instrText>
            </w:r>
            <w:r w:rsidR="00626934" w:rsidRPr="00626934">
              <w:rPr>
                <w:webHidden/>
              </w:rPr>
            </w:r>
            <w:r w:rsidR="00626934" w:rsidRPr="00626934">
              <w:rPr>
                <w:webHidden/>
              </w:rPr>
              <w:fldChar w:fldCharType="separate"/>
            </w:r>
            <w:r w:rsidR="005D5F3A">
              <w:rPr>
                <w:webHidden/>
              </w:rPr>
              <w:t>74</w:t>
            </w:r>
            <w:r w:rsidR="00626934" w:rsidRPr="00626934">
              <w:rPr>
                <w:webHidden/>
              </w:rPr>
              <w:fldChar w:fldCharType="end"/>
            </w:r>
          </w:hyperlink>
        </w:p>
        <w:p w14:paraId="6D4DF2E5" w14:textId="629C1AC5" w:rsidR="00626934" w:rsidRPr="00626934" w:rsidRDefault="00295172" w:rsidP="00051573">
          <w:pPr>
            <w:pStyle w:val="TOC3"/>
            <w:ind w:hanging="709"/>
          </w:pPr>
          <w:hyperlink w:anchor="_Toc53154096" w:history="1">
            <w:r w:rsidR="00626934" w:rsidRPr="00626934">
              <w:rPr>
                <w:rStyle w:val="Hyperlink"/>
                <w:szCs w:val="28"/>
              </w:rPr>
              <w:t>1.4.2.</w:t>
            </w:r>
            <w:r w:rsidR="00626934" w:rsidRPr="00626934">
              <w:tab/>
            </w:r>
            <w:r w:rsidR="00626934" w:rsidRPr="00626934">
              <w:rPr>
                <w:rStyle w:val="Hyperlink"/>
                <w:szCs w:val="28"/>
              </w:rPr>
              <w:t>Pesimistiskais scenārijs</w:t>
            </w:r>
            <w:r w:rsidR="00626934" w:rsidRPr="00626934">
              <w:rPr>
                <w:webHidden/>
              </w:rPr>
              <w:tab/>
            </w:r>
            <w:r w:rsidR="00626934" w:rsidRPr="00626934">
              <w:rPr>
                <w:webHidden/>
              </w:rPr>
              <w:fldChar w:fldCharType="begin"/>
            </w:r>
            <w:r w:rsidR="00626934" w:rsidRPr="00626934">
              <w:rPr>
                <w:webHidden/>
              </w:rPr>
              <w:instrText xml:space="preserve"> PAGEREF _Toc53154096 \h </w:instrText>
            </w:r>
            <w:r w:rsidR="00626934" w:rsidRPr="00626934">
              <w:rPr>
                <w:webHidden/>
              </w:rPr>
            </w:r>
            <w:r w:rsidR="00626934" w:rsidRPr="00626934">
              <w:rPr>
                <w:webHidden/>
              </w:rPr>
              <w:fldChar w:fldCharType="separate"/>
            </w:r>
            <w:r w:rsidR="005D5F3A">
              <w:rPr>
                <w:webHidden/>
              </w:rPr>
              <w:t>76</w:t>
            </w:r>
            <w:r w:rsidR="00626934" w:rsidRPr="00626934">
              <w:rPr>
                <w:webHidden/>
              </w:rPr>
              <w:fldChar w:fldCharType="end"/>
            </w:r>
          </w:hyperlink>
        </w:p>
        <w:p w14:paraId="626C1C4C" w14:textId="5C48CC3F" w:rsidR="00626934" w:rsidRPr="00626934" w:rsidRDefault="00295172" w:rsidP="00626934">
          <w:pPr>
            <w:pStyle w:val="TOC2"/>
            <w:rPr>
              <w:rFonts w:ascii="Times New Roman" w:hAnsi="Times New Roman" w:cs="Times New Roman"/>
              <w:noProof/>
              <w:sz w:val="28"/>
              <w:szCs w:val="28"/>
            </w:rPr>
          </w:pPr>
          <w:hyperlink w:anchor="_Toc53154097" w:history="1">
            <w:r w:rsidR="00626934" w:rsidRPr="00626934">
              <w:rPr>
                <w:rStyle w:val="Hyperlink"/>
                <w:rFonts w:ascii="Times New Roman" w:eastAsia="Times New Roman" w:hAnsi="Times New Roman" w:cs="Times New Roman"/>
                <w:noProof/>
                <w:sz w:val="28"/>
                <w:szCs w:val="28"/>
              </w:rPr>
              <w:t>1.5.</w:t>
            </w:r>
            <w:r w:rsidR="00626934" w:rsidRPr="00626934">
              <w:rPr>
                <w:rFonts w:ascii="Times New Roman" w:hAnsi="Times New Roman" w:cs="Times New Roman"/>
                <w:noProof/>
                <w:sz w:val="28"/>
                <w:szCs w:val="28"/>
              </w:rPr>
              <w:tab/>
            </w:r>
            <w:r w:rsidR="00626934" w:rsidRPr="00626934">
              <w:rPr>
                <w:rStyle w:val="Hyperlink"/>
                <w:rFonts w:ascii="Times New Roman" w:eastAsia="Times New Roman" w:hAnsi="Times New Roman" w:cs="Times New Roman"/>
                <w:noProof/>
                <w:sz w:val="28"/>
                <w:szCs w:val="28"/>
              </w:rPr>
              <w:t>Iepriekšējo makroekonomisko prognožu izvērtējums</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_Toc53154097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79</w:t>
            </w:r>
            <w:r w:rsidR="00626934" w:rsidRPr="00626934">
              <w:rPr>
                <w:rFonts w:ascii="Times New Roman" w:hAnsi="Times New Roman" w:cs="Times New Roman"/>
                <w:noProof/>
                <w:webHidden/>
                <w:sz w:val="28"/>
                <w:szCs w:val="28"/>
              </w:rPr>
              <w:fldChar w:fldCharType="end"/>
            </w:r>
          </w:hyperlink>
        </w:p>
        <w:p w14:paraId="68867908" w14:textId="4AEC5162" w:rsidR="00626934" w:rsidRPr="00626934" w:rsidRDefault="00295172" w:rsidP="00626934">
          <w:pPr>
            <w:pStyle w:val="TOC1"/>
            <w:tabs>
              <w:tab w:val="left" w:pos="567"/>
              <w:tab w:val="right" w:leader="dot" w:pos="9061"/>
            </w:tabs>
            <w:rPr>
              <w:rFonts w:ascii="Times New Roman" w:hAnsi="Times New Roman" w:cs="Times New Roman"/>
              <w:noProof/>
              <w:sz w:val="28"/>
              <w:szCs w:val="28"/>
            </w:rPr>
          </w:pPr>
          <w:hyperlink w:anchor="_Toc53154098" w:history="1">
            <w:r w:rsidR="00626934" w:rsidRPr="00626934">
              <w:rPr>
                <w:rStyle w:val="Hyperlink"/>
                <w:rFonts w:ascii="Times New Roman" w:eastAsia="Times New Roman" w:hAnsi="Times New Roman" w:cs="Times New Roman"/>
                <w:noProof/>
                <w:sz w:val="28"/>
                <w:szCs w:val="28"/>
              </w:rPr>
              <w:t>2.</w:t>
            </w:r>
            <w:r w:rsidR="00626934" w:rsidRPr="00626934">
              <w:rPr>
                <w:rFonts w:ascii="Times New Roman" w:hAnsi="Times New Roman" w:cs="Times New Roman"/>
                <w:noProof/>
                <w:sz w:val="28"/>
                <w:szCs w:val="28"/>
              </w:rPr>
              <w:tab/>
            </w:r>
            <w:r w:rsidR="00626934" w:rsidRPr="00626934">
              <w:rPr>
                <w:rStyle w:val="Hyperlink"/>
                <w:rFonts w:ascii="Times New Roman" w:eastAsia="Times New Roman" w:hAnsi="Times New Roman" w:cs="Times New Roman"/>
                <w:noProof/>
                <w:sz w:val="28"/>
                <w:szCs w:val="28"/>
              </w:rPr>
              <w:t>Fiskālā politika</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_Toc53154098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81</w:t>
            </w:r>
            <w:r w:rsidR="00626934" w:rsidRPr="00626934">
              <w:rPr>
                <w:rFonts w:ascii="Times New Roman" w:hAnsi="Times New Roman" w:cs="Times New Roman"/>
                <w:noProof/>
                <w:webHidden/>
                <w:sz w:val="28"/>
                <w:szCs w:val="28"/>
              </w:rPr>
              <w:fldChar w:fldCharType="end"/>
            </w:r>
          </w:hyperlink>
        </w:p>
        <w:p w14:paraId="09DE178E" w14:textId="6EBF4FE3" w:rsidR="00626934" w:rsidRPr="00626934" w:rsidRDefault="00295172" w:rsidP="00626934">
          <w:pPr>
            <w:pStyle w:val="TOC2"/>
            <w:rPr>
              <w:rFonts w:ascii="Times New Roman" w:hAnsi="Times New Roman" w:cs="Times New Roman"/>
              <w:noProof/>
              <w:sz w:val="28"/>
              <w:szCs w:val="28"/>
            </w:rPr>
          </w:pPr>
          <w:hyperlink w:anchor="_Toc53154099" w:history="1">
            <w:r w:rsidR="00626934" w:rsidRPr="00626934">
              <w:rPr>
                <w:rStyle w:val="Hyperlink"/>
                <w:rFonts w:ascii="Times New Roman" w:eastAsia="Times New Roman" w:hAnsi="Times New Roman" w:cs="Times New Roman"/>
                <w:noProof/>
                <w:sz w:val="28"/>
                <w:szCs w:val="28"/>
              </w:rPr>
              <w:t>2.1. Vidēja termiņa strukturālās bilances mērķu noteikšana</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_Toc53154099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83</w:t>
            </w:r>
            <w:r w:rsidR="00626934" w:rsidRPr="00626934">
              <w:rPr>
                <w:rFonts w:ascii="Times New Roman" w:hAnsi="Times New Roman" w:cs="Times New Roman"/>
                <w:noProof/>
                <w:webHidden/>
                <w:sz w:val="28"/>
                <w:szCs w:val="28"/>
              </w:rPr>
              <w:fldChar w:fldCharType="end"/>
            </w:r>
          </w:hyperlink>
        </w:p>
        <w:p w14:paraId="283A486D" w14:textId="2889C071" w:rsidR="00626934" w:rsidRPr="00626934" w:rsidRDefault="00295172" w:rsidP="00051573">
          <w:pPr>
            <w:pStyle w:val="TOC3"/>
            <w:ind w:hanging="709"/>
          </w:pPr>
          <w:hyperlink w:anchor="_Toc53154100" w:history="1">
            <w:r w:rsidR="00626934" w:rsidRPr="00626934">
              <w:rPr>
                <w:rStyle w:val="Hyperlink"/>
                <w:szCs w:val="28"/>
              </w:rPr>
              <w:t xml:space="preserve">2.1.1. </w:t>
            </w:r>
            <w:r w:rsidR="00626934">
              <w:rPr>
                <w:rStyle w:val="Hyperlink"/>
                <w:szCs w:val="28"/>
              </w:rPr>
              <w:tab/>
            </w:r>
            <w:r w:rsidR="00626934" w:rsidRPr="00626934">
              <w:rPr>
                <w:rStyle w:val="Hyperlink"/>
                <w:szCs w:val="28"/>
              </w:rPr>
              <w:t>Fiskālo nosacījumu ievērošana vidēja termiņa fiskālās politikas plānošanā</w:t>
            </w:r>
            <w:r w:rsidR="00626934" w:rsidRPr="00626934">
              <w:rPr>
                <w:webHidden/>
              </w:rPr>
              <w:tab/>
            </w:r>
            <w:r w:rsidR="00626934" w:rsidRPr="00626934">
              <w:rPr>
                <w:webHidden/>
              </w:rPr>
              <w:fldChar w:fldCharType="begin"/>
            </w:r>
            <w:r w:rsidR="00626934" w:rsidRPr="00626934">
              <w:rPr>
                <w:webHidden/>
              </w:rPr>
              <w:instrText xml:space="preserve"> PAGEREF _Toc53154100 \h </w:instrText>
            </w:r>
            <w:r w:rsidR="00626934" w:rsidRPr="00626934">
              <w:rPr>
                <w:webHidden/>
              </w:rPr>
            </w:r>
            <w:r w:rsidR="00626934" w:rsidRPr="00626934">
              <w:rPr>
                <w:webHidden/>
              </w:rPr>
              <w:fldChar w:fldCharType="separate"/>
            </w:r>
            <w:r w:rsidR="005D5F3A">
              <w:rPr>
                <w:webHidden/>
              </w:rPr>
              <w:t>84</w:t>
            </w:r>
            <w:r w:rsidR="00626934" w:rsidRPr="00626934">
              <w:rPr>
                <w:webHidden/>
              </w:rPr>
              <w:fldChar w:fldCharType="end"/>
            </w:r>
          </w:hyperlink>
        </w:p>
        <w:p w14:paraId="5EF94D05" w14:textId="3DE0A40B" w:rsidR="00626934" w:rsidRPr="00626934" w:rsidRDefault="00295172" w:rsidP="00051573">
          <w:pPr>
            <w:pStyle w:val="TOC3"/>
            <w:ind w:hanging="709"/>
          </w:pPr>
          <w:hyperlink w:anchor="_Toc53154101" w:history="1">
            <w:r w:rsidR="00626934" w:rsidRPr="00626934">
              <w:rPr>
                <w:rStyle w:val="Hyperlink"/>
                <w:szCs w:val="28"/>
              </w:rPr>
              <w:t>2.1.2.</w:t>
            </w:r>
            <w:r w:rsidR="00626934">
              <w:rPr>
                <w:rStyle w:val="Hyperlink"/>
                <w:szCs w:val="28"/>
              </w:rPr>
              <w:tab/>
            </w:r>
            <w:r w:rsidR="00626934" w:rsidRPr="00626934">
              <w:rPr>
                <w:rStyle w:val="Hyperlink"/>
                <w:szCs w:val="28"/>
              </w:rPr>
              <w:t xml:space="preserve"> Koriģēto maksimāli pieļaujamo valsts budžeta izdevumu noteikšana</w:t>
            </w:r>
            <w:r w:rsidR="00626934" w:rsidRPr="00626934">
              <w:rPr>
                <w:webHidden/>
              </w:rPr>
              <w:tab/>
            </w:r>
            <w:r w:rsidR="00626934" w:rsidRPr="00626934">
              <w:rPr>
                <w:webHidden/>
              </w:rPr>
              <w:fldChar w:fldCharType="begin"/>
            </w:r>
            <w:r w:rsidR="00626934" w:rsidRPr="00626934">
              <w:rPr>
                <w:webHidden/>
              </w:rPr>
              <w:instrText xml:space="preserve"> PAGEREF _Toc53154101 \h </w:instrText>
            </w:r>
            <w:r w:rsidR="00626934" w:rsidRPr="00626934">
              <w:rPr>
                <w:webHidden/>
              </w:rPr>
            </w:r>
            <w:r w:rsidR="00626934" w:rsidRPr="00626934">
              <w:rPr>
                <w:webHidden/>
              </w:rPr>
              <w:fldChar w:fldCharType="separate"/>
            </w:r>
            <w:r w:rsidR="005D5F3A">
              <w:rPr>
                <w:webHidden/>
              </w:rPr>
              <w:t>86</w:t>
            </w:r>
            <w:r w:rsidR="00626934" w:rsidRPr="00626934">
              <w:rPr>
                <w:webHidden/>
              </w:rPr>
              <w:fldChar w:fldCharType="end"/>
            </w:r>
          </w:hyperlink>
        </w:p>
        <w:p w14:paraId="1D0CA757" w14:textId="28B431B7" w:rsidR="00626934" w:rsidRPr="00626934" w:rsidRDefault="00295172" w:rsidP="00051573">
          <w:pPr>
            <w:pStyle w:val="TOC3"/>
            <w:ind w:hanging="709"/>
          </w:pPr>
          <w:hyperlink w:anchor="_Toc53154102" w:history="1">
            <w:r w:rsidR="00626934" w:rsidRPr="00626934">
              <w:rPr>
                <w:rStyle w:val="Hyperlink"/>
                <w:szCs w:val="28"/>
              </w:rPr>
              <w:t xml:space="preserve">2.1.3. </w:t>
            </w:r>
            <w:r w:rsidR="00626934">
              <w:rPr>
                <w:rStyle w:val="Hyperlink"/>
                <w:szCs w:val="28"/>
              </w:rPr>
              <w:tab/>
            </w:r>
            <w:r w:rsidR="00626934" w:rsidRPr="00626934">
              <w:rPr>
                <w:rStyle w:val="Hyperlink"/>
                <w:szCs w:val="28"/>
              </w:rPr>
              <w:t>Uzkrāto bilanču starpības</w:t>
            </w:r>
            <w:r w:rsidR="00626934" w:rsidRPr="00626934">
              <w:rPr>
                <w:webHidden/>
              </w:rPr>
              <w:tab/>
            </w:r>
            <w:r w:rsidR="00626934" w:rsidRPr="00626934">
              <w:rPr>
                <w:webHidden/>
              </w:rPr>
              <w:fldChar w:fldCharType="begin"/>
            </w:r>
            <w:r w:rsidR="00626934" w:rsidRPr="00626934">
              <w:rPr>
                <w:webHidden/>
              </w:rPr>
              <w:instrText xml:space="preserve"> PAGEREF _Toc53154102 \h </w:instrText>
            </w:r>
            <w:r w:rsidR="00626934" w:rsidRPr="00626934">
              <w:rPr>
                <w:webHidden/>
              </w:rPr>
            </w:r>
            <w:r w:rsidR="00626934" w:rsidRPr="00626934">
              <w:rPr>
                <w:webHidden/>
              </w:rPr>
              <w:fldChar w:fldCharType="separate"/>
            </w:r>
            <w:r w:rsidR="005D5F3A">
              <w:rPr>
                <w:webHidden/>
              </w:rPr>
              <w:t>90</w:t>
            </w:r>
            <w:r w:rsidR="00626934" w:rsidRPr="00626934">
              <w:rPr>
                <w:webHidden/>
              </w:rPr>
              <w:fldChar w:fldCharType="end"/>
            </w:r>
          </w:hyperlink>
        </w:p>
        <w:p w14:paraId="097C6503" w14:textId="4B4F6FB3" w:rsidR="00626934" w:rsidRPr="00626934" w:rsidRDefault="00295172" w:rsidP="00051573">
          <w:pPr>
            <w:pStyle w:val="TOC3"/>
            <w:ind w:hanging="709"/>
          </w:pPr>
          <w:hyperlink w:anchor="_Toc53154103" w:history="1">
            <w:r w:rsidR="00626934" w:rsidRPr="00626934">
              <w:rPr>
                <w:rStyle w:val="Hyperlink"/>
                <w:szCs w:val="28"/>
              </w:rPr>
              <w:t xml:space="preserve">2.1.4. </w:t>
            </w:r>
            <w:r w:rsidR="00626934">
              <w:rPr>
                <w:rStyle w:val="Hyperlink"/>
                <w:szCs w:val="28"/>
              </w:rPr>
              <w:tab/>
            </w:r>
            <w:r w:rsidR="00626934" w:rsidRPr="00626934">
              <w:rPr>
                <w:rStyle w:val="Hyperlink"/>
                <w:szCs w:val="28"/>
              </w:rPr>
              <w:t xml:space="preserve">Vidēja termiņa strukturālās budžeta mērķu salīdzinājums ar </w:t>
            </w:r>
            <w:r w:rsidR="00626934" w:rsidRPr="00626934">
              <w:rPr>
                <w:rStyle w:val="Hyperlink"/>
                <w:rFonts w:eastAsia="Times New Roman"/>
                <w:szCs w:val="28"/>
              </w:rPr>
              <w:t>2020., 2021. un 2022.gadam</w:t>
            </w:r>
            <w:r w:rsidR="00626934" w:rsidRPr="00626934">
              <w:rPr>
                <w:webHidden/>
              </w:rPr>
              <w:tab/>
            </w:r>
            <w:r w:rsidR="00626934" w:rsidRPr="00626934">
              <w:rPr>
                <w:webHidden/>
              </w:rPr>
              <w:fldChar w:fldCharType="begin"/>
            </w:r>
            <w:r w:rsidR="00626934" w:rsidRPr="00626934">
              <w:rPr>
                <w:webHidden/>
              </w:rPr>
              <w:instrText xml:space="preserve"> PAGEREF _Toc53154103 \h </w:instrText>
            </w:r>
            <w:r w:rsidR="00626934" w:rsidRPr="00626934">
              <w:rPr>
                <w:webHidden/>
              </w:rPr>
            </w:r>
            <w:r w:rsidR="00626934" w:rsidRPr="00626934">
              <w:rPr>
                <w:webHidden/>
              </w:rPr>
              <w:fldChar w:fldCharType="separate"/>
            </w:r>
            <w:r w:rsidR="005D5F3A">
              <w:rPr>
                <w:webHidden/>
              </w:rPr>
              <w:t>91</w:t>
            </w:r>
            <w:r w:rsidR="00626934" w:rsidRPr="00626934">
              <w:rPr>
                <w:webHidden/>
              </w:rPr>
              <w:fldChar w:fldCharType="end"/>
            </w:r>
          </w:hyperlink>
        </w:p>
        <w:p w14:paraId="043BE49B" w14:textId="69B74A2E" w:rsidR="00626934" w:rsidRPr="00626934" w:rsidRDefault="00295172" w:rsidP="00051573">
          <w:pPr>
            <w:pStyle w:val="TOC3"/>
            <w:ind w:hanging="709"/>
          </w:pPr>
          <w:hyperlink w:anchor="_Toc53154104" w:history="1">
            <w:r w:rsidR="00626934" w:rsidRPr="00626934">
              <w:rPr>
                <w:rStyle w:val="Hyperlink"/>
                <w:szCs w:val="28"/>
              </w:rPr>
              <w:t xml:space="preserve">2.1.5. </w:t>
            </w:r>
            <w:r w:rsidR="00626934">
              <w:rPr>
                <w:rStyle w:val="Hyperlink"/>
                <w:szCs w:val="28"/>
              </w:rPr>
              <w:tab/>
            </w:r>
            <w:r w:rsidR="00626934" w:rsidRPr="00626934">
              <w:rPr>
                <w:rStyle w:val="Hyperlink"/>
                <w:szCs w:val="28"/>
              </w:rPr>
              <w:t>Vispārējās valdības sektorā klasificēto kapitālsabiedrību faktiskā ietekme uz vispārējās valdības budžeta bilanci un parādu</w:t>
            </w:r>
            <w:r w:rsidR="00626934" w:rsidRPr="00626934">
              <w:rPr>
                <w:webHidden/>
              </w:rPr>
              <w:tab/>
            </w:r>
            <w:r w:rsidR="00626934" w:rsidRPr="00626934">
              <w:rPr>
                <w:webHidden/>
              </w:rPr>
              <w:fldChar w:fldCharType="begin"/>
            </w:r>
            <w:r w:rsidR="00626934" w:rsidRPr="00626934">
              <w:rPr>
                <w:webHidden/>
              </w:rPr>
              <w:instrText xml:space="preserve"> PAGEREF _Toc53154104 \h </w:instrText>
            </w:r>
            <w:r w:rsidR="00626934" w:rsidRPr="00626934">
              <w:rPr>
                <w:webHidden/>
              </w:rPr>
            </w:r>
            <w:r w:rsidR="00626934" w:rsidRPr="00626934">
              <w:rPr>
                <w:webHidden/>
              </w:rPr>
              <w:fldChar w:fldCharType="separate"/>
            </w:r>
            <w:r w:rsidR="005D5F3A">
              <w:rPr>
                <w:webHidden/>
              </w:rPr>
              <w:t>92</w:t>
            </w:r>
            <w:r w:rsidR="00626934" w:rsidRPr="00626934">
              <w:rPr>
                <w:webHidden/>
              </w:rPr>
              <w:fldChar w:fldCharType="end"/>
            </w:r>
          </w:hyperlink>
        </w:p>
        <w:p w14:paraId="08BDD0D9" w14:textId="3247BB72" w:rsidR="00626934" w:rsidRPr="00626934" w:rsidRDefault="00295172" w:rsidP="00626934">
          <w:pPr>
            <w:pStyle w:val="TOC2"/>
            <w:rPr>
              <w:rFonts w:ascii="Times New Roman" w:hAnsi="Times New Roman" w:cs="Times New Roman"/>
              <w:noProof/>
              <w:sz w:val="28"/>
              <w:szCs w:val="28"/>
            </w:rPr>
          </w:pPr>
          <w:hyperlink w:anchor="_Toc53154105" w:history="1">
            <w:r w:rsidR="00626934" w:rsidRPr="00626934">
              <w:rPr>
                <w:rStyle w:val="Hyperlink"/>
                <w:rFonts w:ascii="Times New Roman" w:eastAsia="Times New Roman" w:hAnsi="Times New Roman" w:cs="Times New Roman"/>
                <w:noProof/>
                <w:sz w:val="28"/>
                <w:szCs w:val="28"/>
              </w:rPr>
              <w:t>2.2.</w:t>
            </w:r>
            <w:r w:rsidR="00626934" w:rsidRPr="00626934">
              <w:rPr>
                <w:rFonts w:ascii="Times New Roman" w:hAnsi="Times New Roman" w:cs="Times New Roman"/>
                <w:noProof/>
                <w:sz w:val="28"/>
                <w:szCs w:val="28"/>
              </w:rPr>
              <w:tab/>
            </w:r>
            <w:r w:rsidR="00626934" w:rsidRPr="00626934">
              <w:rPr>
                <w:rStyle w:val="Hyperlink"/>
                <w:rFonts w:ascii="Times New Roman" w:eastAsia="Times New Roman" w:hAnsi="Times New Roman" w:cs="Times New Roman"/>
                <w:noProof/>
                <w:sz w:val="28"/>
                <w:szCs w:val="28"/>
              </w:rPr>
              <w:t>Vispārējās valdības budžeta bilance</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_Toc53154105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92</w:t>
            </w:r>
            <w:r w:rsidR="00626934" w:rsidRPr="00626934">
              <w:rPr>
                <w:rFonts w:ascii="Times New Roman" w:hAnsi="Times New Roman" w:cs="Times New Roman"/>
                <w:noProof/>
                <w:webHidden/>
                <w:sz w:val="28"/>
                <w:szCs w:val="28"/>
              </w:rPr>
              <w:fldChar w:fldCharType="end"/>
            </w:r>
          </w:hyperlink>
        </w:p>
        <w:p w14:paraId="7501D3B2" w14:textId="50D891F6" w:rsidR="00626934" w:rsidRPr="00626934" w:rsidRDefault="00295172" w:rsidP="00051573">
          <w:pPr>
            <w:pStyle w:val="TOC3"/>
            <w:ind w:hanging="709"/>
          </w:pPr>
          <w:hyperlink w:anchor="_Toc53154106" w:history="1">
            <w:r w:rsidR="00626934" w:rsidRPr="00626934">
              <w:rPr>
                <w:rStyle w:val="Hyperlink"/>
                <w:szCs w:val="28"/>
              </w:rPr>
              <w:t xml:space="preserve">2.2.1. </w:t>
            </w:r>
            <w:r w:rsidR="00626934">
              <w:rPr>
                <w:rStyle w:val="Hyperlink"/>
                <w:szCs w:val="28"/>
              </w:rPr>
              <w:tab/>
            </w:r>
            <w:r w:rsidR="00626934" w:rsidRPr="00626934">
              <w:rPr>
                <w:rStyle w:val="Hyperlink"/>
                <w:szCs w:val="28"/>
              </w:rPr>
              <w:t>Vispārējās valdības budžeta struktūra</w:t>
            </w:r>
            <w:r w:rsidR="00626934" w:rsidRPr="00626934">
              <w:rPr>
                <w:webHidden/>
              </w:rPr>
              <w:tab/>
            </w:r>
            <w:r w:rsidR="00626934" w:rsidRPr="00626934">
              <w:rPr>
                <w:webHidden/>
              </w:rPr>
              <w:fldChar w:fldCharType="begin"/>
            </w:r>
            <w:r w:rsidR="00626934" w:rsidRPr="00626934">
              <w:rPr>
                <w:webHidden/>
              </w:rPr>
              <w:instrText xml:space="preserve"> PAGEREF _Toc53154106 \h </w:instrText>
            </w:r>
            <w:r w:rsidR="00626934" w:rsidRPr="00626934">
              <w:rPr>
                <w:webHidden/>
              </w:rPr>
            </w:r>
            <w:r w:rsidR="00626934" w:rsidRPr="00626934">
              <w:rPr>
                <w:webHidden/>
              </w:rPr>
              <w:fldChar w:fldCharType="separate"/>
            </w:r>
            <w:r w:rsidR="005D5F3A">
              <w:rPr>
                <w:webHidden/>
              </w:rPr>
              <w:t>92</w:t>
            </w:r>
            <w:r w:rsidR="00626934" w:rsidRPr="00626934">
              <w:rPr>
                <w:webHidden/>
              </w:rPr>
              <w:fldChar w:fldCharType="end"/>
            </w:r>
          </w:hyperlink>
        </w:p>
        <w:p w14:paraId="62233CB6" w14:textId="197339C1" w:rsidR="00626934" w:rsidRPr="00626934" w:rsidRDefault="00295172" w:rsidP="00051573">
          <w:pPr>
            <w:pStyle w:val="TOC3"/>
            <w:ind w:hanging="709"/>
          </w:pPr>
          <w:hyperlink w:anchor="_Toc53154107" w:history="1">
            <w:r w:rsidR="00626934" w:rsidRPr="00626934">
              <w:rPr>
                <w:rStyle w:val="Hyperlink"/>
                <w:szCs w:val="28"/>
              </w:rPr>
              <w:t>2.2.2.</w:t>
            </w:r>
            <w:r w:rsidR="00626934">
              <w:rPr>
                <w:rStyle w:val="Hyperlink"/>
                <w:szCs w:val="28"/>
              </w:rPr>
              <w:tab/>
            </w:r>
            <w:r w:rsidR="00626934" w:rsidRPr="00626934">
              <w:rPr>
                <w:rStyle w:val="Hyperlink"/>
                <w:szCs w:val="28"/>
              </w:rPr>
              <w:t xml:space="preserve"> Vispārējās valdības budžeta bilance</w:t>
            </w:r>
            <w:r w:rsidR="00626934" w:rsidRPr="00626934">
              <w:rPr>
                <w:webHidden/>
              </w:rPr>
              <w:tab/>
            </w:r>
            <w:r w:rsidR="00626934" w:rsidRPr="00626934">
              <w:rPr>
                <w:webHidden/>
              </w:rPr>
              <w:fldChar w:fldCharType="begin"/>
            </w:r>
            <w:r w:rsidR="00626934" w:rsidRPr="00626934">
              <w:rPr>
                <w:webHidden/>
              </w:rPr>
              <w:instrText xml:space="preserve"> PAGEREF _Toc53154107 \h </w:instrText>
            </w:r>
            <w:r w:rsidR="00626934" w:rsidRPr="00626934">
              <w:rPr>
                <w:webHidden/>
              </w:rPr>
            </w:r>
            <w:r w:rsidR="00626934" w:rsidRPr="00626934">
              <w:rPr>
                <w:webHidden/>
              </w:rPr>
              <w:fldChar w:fldCharType="separate"/>
            </w:r>
            <w:r w:rsidR="005D5F3A">
              <w:rPr>
                <w:webHidden/>
              </w:rPr>
              <w:t>94</w:t>
            </w:r>
            <w:r w:rsidR="00626934" w:rsidRPr="00626934">
              <w:rPr>
                <w:webHidden/>
              </w:rPr>
              <w:fldChar w:fldCharType="end"/>
            </w:r>
          </w:hyperlink>
        </w:p>
        <w:p w14:paraId="7CDD056E" w14:textId="305574B9" w:rsidR="00626934" w:rsidRPr="00626934" w:rsidRDefault="00295172" w:rsidP="00051573">
          <w:pPr>
            <w:pStyle w:val="TOC3"/>
            <w:ind w:hanging="709"/>
          </w:pPr>
          <w:hyperlink w:anchor="_Toc53154108" w:history="1">
            <w:r w:rsidR="00626934" w:rsidRPr="00626934">
              <w:rPr>
                <w:rStyle w:val="Hyperlink"/>
                <w:szCs w:val="28"/>
              </w:rPr>
              <w:t xml:space="preserve">2.2.3. </w:t>
            </w:r>
            <w:r w:rsidR="00626934">
              <w:rPr>
                <w:rStyle w:val="Hyperlink"/>
                <w:szCs w:val="28"/>
              </w:rPr>
              <w:tab/>
            </w:r>
            <w:r w:rsidR="00626934" w:rsidRPr="00626934">
              <w:rPr>
                <w:rStyle w:val="Hyperlink"/>
                <w:szCs w:val="28"/>
              </w:rPr>
              <w:t>Valdības apstiprinātie atbalsta pasākumi Covid-19 infekcijas izraisītās krīzes seku mazināšanai tautsaimniecībā un to fiskālā ietekme</w:t>
            </w:r>
            <w:r w:rsidR="00626934" w:rsidRPr="00626934">
              <w:rPr>
                <w:webHidden/>
              </w:rPr>
              <w:tab/>
            </w:r>
            <w:r w:rsidR="00626934" w:rsidRPr="00626934">
              <w:rPr>
                <w:webHidden/>
              </w:rPr>
              <w:fldChar w:fldCharType="begin"/>
            </w:r>
            <w:r w:rsidR="00626934" w:rsidRPr="00626934">
              <w:rPr>
                <w:webHidden/>
              </w:rPr>
              <w:instrText xml:space="preserve"> PAGEREF _Toc53154108 \h </w:instrText>
            </w:r>
            <w:r w:rsidR="00626934" w:rsidRPr="00626934">
              <w:rPr>
                <w:webHidden/>
              </w:rPr>
            </w:r>
            <w:r w:rsidR="00626934" w:rsidRPr="00626934">
              <w:rPr>
                <w:webHidden/>
              </w:rPr>
              <w:fldChar w:fldCharType="separate"/>
            </w:r>
            <w:r w:rsidR="005D5F3A">
              <w:rPr>
                <w:webHidden/>
              </w:rPr>
              <w:t>101</w:t>
            </w:r>
            <w:r w:rsidR="00626934" w:rsidRPr="00626934">
              <w:rPr>
                <w:webHidden/>
              </w:rPr>
              <w:fldChar w:fldCharType="end"/>
            </w:r>
          </w:hyperlink>
        </w:p>
        <w:p w14:paraId="46263BB4" w14:textId="6C007FA3" w:rsidR="00626934" w:rsidRPr="00626934" w:rsidRDefault="00295172" w:rsidP="00051573">
          <w:pPr>
            <w:pStyle w:val="TOC3"/>
            <w:ind w:hanging="709"/>
          </w:pPr>
          <w:hyperlink w:anchor="_Toc53154109" w:history="1">
            <w:r w:rsidR="00626934" w:rsidRPr="00626934">
              <w:rPr>
                <w:rStyle w:val="Hyperlink"/>
                <w:szCs w:val="28"/>
              </w:rPr>
              <w:t xml:space="preserve">2.2.4. </w:t>
            </w:r>
            <w:r w:rsidR="00626934">
              <w:rPr>
                <w:rStyle w:val="Hyperlink"/>
                <w:szCs w:val="28"/>
              </w:rPr>
              <w:tab/>
            </w:r>
            <w:r w:rsidR="00626934" w:rsidRPr="00626934">
              <w:rPr>
                <w:rStyle w:val="Hyperlink"/>
                <w:szCs w:val="28"/>
              </w:rPr>
              <w:t>Budžeta prognožu salīdzinājums ar aktuālajām EK prognozēm</w:t>
            </w:r>
            <w:r w:rsidR="00626934" w:rsidRPr="00626934">
              <w:rPr>
                <w:webHidden/>
              </w:rPr>
              <w:tab/>
            </w:r>
            <w:r w:rsidR="00626934" w:rsidRPr="00626934">
              <w:rPr>
                <w:webHidden/>
              </w:rPr>
              <w:fldChar w:fldCharType="begin"/>
            </w:r>
            <w:r w:rsidR="00626934" w:rsidRPr="00626934">
              <w:rPr>
                <w:webHidden/>
              </w:rPr>
              <w:instrText xml:space="preserve"> PAGEREF _Toc53154109 \h </w:instrText>
            </w:r>
            <w:r w:rsidR="00626934" w:rsidRPr="00626934">
              <w:rPr>
                <w:webHidden/>
              </w:rPr>
            </w:r>
            <w:r w:rsidR="00626934" w:rsidRPr="00626934">
              <w:rPr>
                <w:webHidden/>
              </w:rPr>
              <w:fldChar w:fldCharType="separate"/>
            </w:r>
            <w:r w:rsidR="005D5F3A">
              <w:rPr>
                <w:webHidden/>
              </w:rPr>
              <w:t>105</w:t>
            </w:r>
            <w:r w:rsidR="00626934" w:rsidRPr="00626934">
              <w:rPr>
                <w:webHidden/>
              </w:rPr>
              <w:fldChar w:fldCharType="end"/>
            </w:r>
          </w:hyperlink>
        </w:p>
        <w:p w14:paraId="43CD5436" w14:textId="5B45AA82" w:rsidR="00626934" w:rsidRPr="00626934" w:rsidRDefault="00295172" w:rsidP="00626934">
          <w:pPr>
            <w:pStyle w:val="TOC2"/>
            <w:rPr>
              <w:rFonts w:ascii="Times New Roman" w:hAnsi="Times New Roman" w:cs="Times New Roman"/>
              <w:noProof/>
              <w:sz w:val="28"/>
              <w:szCs w:val="28"/>
            </w:rPr>
          </w:pPr>
          <w:hyperlink w:anchor="_Toc53154110" w:history="1">
            <w:r w:rsidR="00626934" w:rsidRPr="00626934">
              <w:rPr>
                <w:rStyle w:val="Hyperlink"/>
                <w:rFonts w:ascii="Times New Roman" w:eastAsia="Times New Roman" w:hAnsi="Times New Roman" w:cs="Times New Roman"/>
                <w:noProof/>
                <w:sz w:val="28"/>
                <w:szCs w:val="28"/>
              </w:rPr>
              <w:t>2.3. Vidēja termiņa budžeta prioritārie attīstības virzieni</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_Toc53154110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106</w:t>
            </w:r>
            <w:r w:rsidR="00626934" w:rsidRPr="00626934">
              <w:rPr>
                <w:rFonts w:ascii="Times New Roman" w:hAnsi="Times New Roman" w:cs="Times New Roman"/>
                <w:noProof/>
                <w:webHidden/>
                <w:sz w:val="28"/>
                <w:szCs w:val="28"/>
              </w:rPr>
              <w:fldChar w:fldCharType="end"/>
            </w:r>
          </w:hyperlink>
        </w:p>
        <w:p w14:paraId="37248411" w14:textId="69AD72B8" w:rsidR="00626934" w:rsidRPr="00626934" w:rsidRDefault="00295172" w:rsidP="00051573">
          <w:pPr>
            <w:pStyle w:val="TOC3"/>
            <w:ind w:hanging="709"/>
          </w:pPr>
          <w:hyperlink w:anchor="_Toc53154111" w:history="1">
            <w:r w:rsidR="00626934" w:rsidRPr="00626934">
              <w:rPr>
                <w:rStyle w:val="Hyperlink"/>
                <w:szCs w:val="28"/>
              </w:rPr>
              <w:t>2.3.1. </w:t>
            </w:r>
            <w:r w:rsidR="00626934">
              <w:rPr>
                <w:rStyle w:val="Hyperlink"/>
                <w:szCs w:val="28"/>
              </w:rPr>
              <w:tab/>
            </w:r>
            <w:r w:rsidR="00626934" w:rsidRPr="00626934">
              <w:rPr>
                <w:rStyle w:val="Hyperlink"/>
                <w:szCs w:val="28"/>
              </w:rPr>
              <w:t>Politikas pasākumi vidēja termiņa budžeta prioritāro attīstības virzienu īstenošanā</w:t>
            </w:r>
            <w:r w:rsidR="00626934" w:rsidRPr="00626934">
              <w:rPr>
                <w:webHidden/>
              </w:rPr>
              <w:tab/>
            </w:r>
            <w:r w:rsidR="00626934" w:rsidRPr="00626934">
              <w:rPr>
                <w:webHidden/>
              </w:rPr>
              <w:fldChar w:fldCharType="begin"/>
            </w:r>
            <w:r w:rsidR="00626934" w:rsidRPr="00626934">
              <w:rPr>
                <w:webHidden/>
              </w:rPr>
              <w:instrText xml:space="preserve"> PAGEREF _Toc53154111 \h </w:instrText>
            </w:r>
            <w:r w:rsidR="00626934" w:rsidRPr="00626934">
              <w:rPr>
                <w:webHidden/>
              </w:rPr>
            </w:r>
            <w:r w:rsidR="00626934" w:rsidRPr="00626934">
              <w:rPr>
                <w:webHidden/>
              </w:rPr>
              <w:fldChar w:fldCharType="separate"/>
            </w:r>
            <w:r w:rsidR="005D5F3A">
              <w:rPr>
                <w:webHidden/>
              </w:rPr>
              <w:t>106</w:t>
            </w:r>
            <w:r w:rsidR="00626934" w:rsidRPr="00626934">
              <w:rPr>
                <w:webHidden/>
              </w:rPr>
              <w:fldChar w:fldCharType="end"/>
            </w:r>
          </w:hyperlink>
        </w:p>
        <w:p w14:paraId="0EEB61F6" w14:textId="3E0728C0" w:rsidR="00626934" w:rsidRPr="00626934" w:rsidRDefault="00295172" w:rsidP="00051573">
          <w:pPr>
            <w:pStyle w:val="TOC3"/>
            <w:ind w:hanging="709"/>
          </w:pPr>
          <w:hyperlink w:anchor="_Toc53154112" w:history="1">
            <w:r w:rsidR="00626934" w:rsidRPr="00626934">
              <w:rPr>
                <w:rStyle w:val="Hyperlink"/>
                <w:szCs w:val="28"/>
              </w:rPr>
              <w:t>2.3.2.</w:t>
            </w:r>
            <w:r w:rsidR="00626934">
              <w:rPr>
                <w:rStyle w:val="Hyperlink"/>
                <w:szCs w:val="28"/>
              </w:rPr>
              <w:tab/>
            </w:r>
            <w:r w:rsidR="00626934" w:rsidRPr="00626934">
              <w:rPr>
                <w:rStyle w:val="Hyperlink"/>
                <w:szCs w:val="28"/>
              </w:rPr>
              <w:t> Finanšu resursi vidēja termiņa budžeta prioritāro attīstības virzienu īstenošanā</w:t>
            </w:r>
            <w:r w:rsidR="00626934" w:rsidRPr="00626934">
              <w:rPr>
                <w:webHidden/>
              </w:rPr>
              <w:tab/>
            </w:r>
            <w:r w:rsidR="00626934" w:rsidRPr="00626934">
              <w:rPr>
                <w:webHidden/>
              </w:rPr>
              <w:fldChar w:fldCharType="begin"/>
            </w:r>
            <w:r w:rsidR="00626934" w:rsidRPr="00626934">
              <w:rPr>
                <w:webHidden/>
              </w:rPr>
              <w:instrText xml:space="preserve"> PAGEREF _Toc53154112 \h </w:instrText>
            </w:r>
            <w:r w:rsidR="00626934" w:rsidRPr="00626934">
              <w:rPr>
                <w:webHidden/>
              </w:rPr>
            </w:r>
            <w:r w:rsidR="00626934" w:rsidRPr="00626934">
              <w:rPr>
                <w:webHidden/>
              </w:rPr>
              <w:fldChar w:fldCharType="separate"/>
            </w:r>
            <w:r w:rsidR="005D5F3A">
              <w:rPr>
                <w:webHidden/>
              </w:rPr>
              <w:t>111</w:t>
            </w:r>
            <w:r w:rsidR="00626934" w:rsidRPr="00626934">
              <w:rPr>
                <w:webHidden/>
              </w:rPr>
              <w:fldChar w:fldCharType="end"/>
            </w:r>
          </w:hyperlink>
        </w:p>
        <w:p w14:paraId="7719CF6A" w14:textId="2EA057A6" w:rsidR="00626934" w:rsidRPr="00626934" w:rsidRDefault="00295172" w:rsidP="00626934">
          <w:pPr>
            <w:pStyle w:val="TOC1"/>
            <w:tabs>
              <w:tab w:val="left" w:pos="567"/>
              <w:tab w:val="right" w:leader="dot" w:pos="9061"/>
            </w:tabs>
            <w:rPr>
              <w:rFonts w:ascii="Times New Roman" w:hAnsi="Times New Roman" w:cs="Times New Roman"/>
              <w:noProof/>
              <w:sz w:val="28"/>
              <w:szCs w:val="28"/>
            </w:rPr>
          </w:pPr>
          <w:hyperlink w:anchor="_Toc53154113" w:history="1">
            <w:r w:rsidR="00626934" w:rsidRPr="00626934">
              <w:rPr>
                <w:rStyle w:val="Hyperlink"/>
                <w:rFonts w:ascii="Times New Roman" w:eastAsia="Times New Roman" w:hAnsi="Times New Roman" w:cs="Times New Roman"/>
                <w:noProof/>
                <w:sz w:val="28"/>
                <w:szCs w:val="28"/>
              </w:rPr>
              <w:t>3.</w:t>
            </w:r>
            <w:r w:rsidR="00626934" w:rsidRPr="00626934">
              <w:rPr>
                <w:rFonts w:ascii="Times New Roman" w:hAnsi="Times New Roman" w:cs="Times New Roman"/>
                <w:noProof/>
                <w:sz w:val="28"/>
                <w:szCs w:val="28"/>
              </w:rPr>
              <w:tab/>
            </w:r>
            <w:r w:rsidR="00626934" w:rsidRPr="00626934">
              <w:rPr>
                <w:rStyle w:val="Hyperlink"/>
                <w:rFonts w:ascii="Times New Roman" w:eastAsia="Times New Roman" w:hAnsi="Times New Roman" w:cs="Times New Roman"/>
                <w:noProof/>
                <w:sz w:val="28"/>
                <w:szCs w:val="28"/>
              </w:rPr>
              <w:t>Kopbudžeta nodokļu un nenodokļu ieņēmumu prognozes</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_Toc53154113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121</w:t>
            </w:r>
            <w:r w:rsidR="00626934" w:rsidRPr="00626934">
              <w:rPr>
                <w:rFonts w:ascii="Times New Roman" w:hAnsi="Times New Roman" w:cs="Times New Roman"/>
                <w:noProof/>
                <w:webHidden/>
                <w:sz w:val="28"/>
                <w:szCs w:val="28"/>
              </w:rPr>
              <w:fldChar w:fldCharType="end"/>
            </w:r>
          </w:hyperlink>
        </w:p>
        <w:p w14:paraId="3437066D" w14:textId="3544EFDA" w:rsidR="00626934" w:rsidRPr="00626934" w:rsidRDefault="00295172" w:rsidP="00626934">
          <w:pPr>
            <w:pStyle w:val="TOC2"/>
            <w:rPr>
              <w:rFonts w:ascii="Times New Roman" w:hAnsi="Times New Roman" w:cs="Times New Roman"/>
              <w:noProof/>
              <w:sz w:val="28"/>
              <w:szCs w:val="28"/>
            </w:rPr>
          </w:pPr>
          <w:hyperlink w:anchor="_Toc53154114" w:history="1">
            <w:r w:rsidR="00626934" w:rsidRPr="00626934">
              <w:rPr>
                <w:rStyle w:val="Hyperlink"/>
                <w:rFonts w:ascii="Times New Roman" w:eastAsia="Times New Roman" w:hAnsi="Times New Roman" w:cs="Times New Roman"/>
                <w:noProof/>
                <w:sz w:val="28"/>
                <w:szCs w:val="28"/>
              </w:rPr>
              <w:t>3.1. Nodokļu politikas aktualitātes</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_Toc53154114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121</w:t>
            </w:r>
            <w:r w:rsidR="00626934" w:rsidRPr="00626934">
              <w:rPr>
                <w:rFonts w:ascii="Times New Roman" w:hAnsi="Times New Roman" w:cs="Times New Roman"/>
                <w:noProof/>
                <w:webHidden/>
                <w:sz w:val="28"/>
                <w:szCs w:val="28"/>
              </w:rPr>
              <w:fldChar w:fldCharType="end"/>
            </w:r>
          </w:hyperlink>
        </w:p>
        <w:p w14:paraId="3DFE533F" w14:textId="7F1D0D77" w:rsidR="00626934" w:rsidRPr="00626934" w:rsidRDefault="00295172" w:rsidP="00626934">
          <w:pPr>
            <w:pStyle w:val="TOC2"/>
            <w:rPr>
              <w:rFonts w:ascii="Times New Roman" w:hAnsi="Times New Roman" w:cs="Times New Roman"/>
              <w:noProof/>
              <w:sz w:val="28"/>
              <w:szCs w:val="28"/>
            </w:rPr>
          </w:pPr>
          <w:hyperlink w:anchor="_Toc53154115" w:history="1">
            <w:r w:rsidR="00626934" w:rsidRPr="00626934">
              <w:rPr>
                <w:rStyle w:val="Hyperlink"/>
                <w:rFonts w:ascii="Times New Roman" w:eastAsia="Times New Roman" w:hAnsi="Times New Roman" w:cs="Times New Roman"/>
                <w:noProof/>
                <w:sz w:val="28"/>
                <w:szCs w:val="28"/>
              </w:rPr>
              <w:t>3.2. Kopbudžeta nodokļu ieņēmumi</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_Toc53154115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122</w:t>
            </w:r>
            <w:r w:rsidR="00626934" w:rsidRPr="00626934">
              <w:rPr>
                <w:rFonts w:ascii="Times New Roman" w:hAnsi="Times New Roman" w:cs="Times New Roman"/>
                <w:noProof/>
                <w:webHidden/>
                <w:sz w:val="28"/>
                <w:szCs w:val="28"/>
              </w:rPr>
              <w:fldChar w:fldCharType="end"/>
            </w:r>
          </w:hyperlink>
        </w:p>
        <w:p w14:paraId="60CC74F2" w14:textId="7B196E5F" w:rsidR="00626934" w:rsidRPr="00626934" w:rsidRDefault="00295172" w:rsidP="00626934">
          <w:pPr>
            <w:pStyle w:val="TOC2"/>
            <w:rPr>
              <w:rFonts w:ascii="Times New Roman" w:hAnsi="Times New Roman" w:cs="Times New Roman"/>
              <w:noProof/>
              <w:sz w:val="28"/>
              <w:szCs w:val="28"/>
            </w:rPr>
          </w:pPr>
          <w:hyperlink w:anchor="_Toc53154116" w:history="1">
            <w:r w:rsidR="00626934" w:rsidRPr="00626934">
              <w:rPr>
                <w:rStyle w:val="Hyperlink"/>
                <w:rFonts w:ascii="Times New Roman" w:eastAsia="Times New Roman" w:hAnsi="Times New Roman" w:cs="Times New Roman"/>
                <w:noProof/>
                <w:sz w:val="28"/>
                <w:szCs w:val="28"/>
              </w:rPr>
              <w:t>3.3. Valsts pamatbudžeta nenodokļu ieņēmumi</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_Toc53154116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152</w:t>
            </w:r>
            <w:r w:rsidR="00626934" w:rsidRPr="00626934">
              <w:rPr>
                <w:rFonts w:ascii="Times New Roman" w:hAnsi="Times New Roman" w:cs="Times New Roman"/>
                <w:noProof/>
                <w:webHidden/>
                <w:sz w:val="28"/>
                <w:szCs w:val="28"/>
              </w:rPr>
              <w:fldChar w:fldCharType="end"/>
            </w:r>
          </w:hyperlink>
        </w:p>
        <w:p w14:paraId="1EAF58AF" w14:textId="3820183F" w:rsidR="00626934" w:rsidRPr="00626934" w:rsidRDefault="00295172" w:rsidP="00626934">
          <w:pPr>
            <w:pStyle w:val="TOC1"/>
            <w:tabs>
              <w:tab w:val="right" w:leader="dot" w:pos="9061"/>
            </w:tabs>
            <w:rPr>
              <w:rFonts w:ascii="Times New Roman" w:hAnsi="Times New Roman" w:cs="Times New Roman"/>
              <w:noProof/>
              <w:sz w:val="28"/>
              <w:szCs w:val="28"/>
            </w:rPr>
          </w:pPr>
          <w:hyperlink w:anchor="_Toc53154117" w:history="1">
            <w:r w:rsidR="00626934" w:rsidRPr="00626934">
              <w:rPr>
                <w:rStyle w:val="Hyperlink"/>
                <w:rFonts w:ascii="Times New Roman" w:eastAsia="Times New Roman" w:hAnsi="Times New Roman" w:cs="Times New Roman"/>
                <w:noProof/>
                <w:sz w:val="28"/>
                <w:szCs w:val="28"/>
              </w:rPr>
              <w:t>4. Valdības parāda vidējā termiņa attīstības tendences</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_Toc53154117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155</w:t>
            </w:r>
            <w:r w:rsidR="00626934" w:rsidRPr="00626934">
              <w:rPr>
                <w:rFonts w:ascii="Times New Roman" w:hAnsi="Times New Roman" w:cs="Times New Roman"/>
                <w:noProof/>
                <w:webHidden/>
                <w:sz w:val="28"/>
                <w:szCs w:val="28"/>
              </w:rPr>
              <w:fldChar w:fldCharType="end"/>
            </w:r>
          </w:hyperlink>
        </w:p>
        <w:p w14:paraId="47E9F336" w14:textId="2B22EBB7" w:rsidR="00626934" w:rsidRPr="00626934" w:rsidRDefault="00295172" w:rsidP="00626934">
          <w:pPr>
            <w:pStyle w:val="TOC1"/>
            <w:tabs>
              <w:tab w:val="right" w:leader="dot" w:pos="9061"/>
            </w:tabs>
            <w:rPr>
              <w:rFonts w:ascii="Times New Roman" w:hAnsi="Times New Roman" w:cs="Times New Roman"/>
              <w:noProof/>
              <w:sz w:val="28"/>
              <w:szCs w:val="28"/>
            </w:rPr>
          </w:pPr>
          <w:hyperlink w:anchor="_Toc53154118" w:history="1">
            <w:r w:rsidR="00626934" w:rsidRPr="00626934">
              <w:rPr>
                <w:rStyle w:val="Hyperlink"/>
                <w:rFonts w:ascii="Times New Roman" w:eastAsia="Times New Roman" w:hAnsi="Times New Roman" w:cs="Times New Roman"/>
                <w:noProof/>
                <w:sz w:val="28"/>
                <w:szCs w:val="28"/>
              </w:rPr>
              <w:t>Pielikumi</w:t>
            </w:r>
            <w:r w:rsidR="00626934" w:rsidRPr="00626934">
              <w:rPr>
                <w:rFonts w:ascii="Times New Roman" w:hAnsi="Times New Roman" w:cs="Times New Roman"/>
                <w:noProof/>
                <w:webHidden/>
                <w:sz w:val="28"/>
                <w:szCs w:val="28"/>
              </w:rPr>
              <w:tab/>
            </w:r>
            <w:r w:rsidR="00626934" w:rsidRPr="00626934">
              <w:rPr>
                <w:rFonts w:ascii="Times New Roman" w:hAnsi="Times New Roman" w:cs="Times New Roman"/>
                <w:noProof/>
                <w:webHidden/>
                <w:sz w:val="28"/>
                <w:szCs w:val="28"/>
              </w:rPr>
              <w:fldChar w:fldCharType="begin"/>
            </w:r>
            <w:r w:rsidR="00626934" w:rsidRPr="00626934">
              <w:rPr>
                <w:rFonts w:ascii="Times New Roman" w:hAnsi="Times New Roman" w:cs="Times New Roman"/>
                <w:noProof/>
                <w:webHidden/>
                <w:sz w:val="28"/>
                <w:szCs w:val="28"/>
              </w:rPr>
              <w:instrText xml:space="preserve"> PAGEREF _Toc53154118 \h </w:instrText>
            </w:r>
            <w:r w:rsidR="00626934" w:rsidRPr="00626934">
              <w:rPr>
                <w:rFonts w:ascii="Times New Roman" w:hAnsi="Times New Roman" w:cs="Times New Roman"/>
                <w:noProof/>
                <w:webHidden/>
                <w:sz w:val="28"/>
                <w:szCs w:val="28"/>
              </w:rPr>
            </w:r>
            <w:r w:rsidR="00626934" w:rsidRPr="00626934">
              <w:rPr>
                <w:rFonts w:ascii="Times New Roman" w:hAnsi="Times New Roman" w:cs="Times New Roman"/>
                <w:noProof/>
                <w:webHidden/>
                <w:sz w:val="28"/>
                <w:szCs w:val="28"/>
              </w:rPr>
              <w:fldChar w:fldCharType="separate"/>
            </w:r>
            <w:r w:rsidR="005D5F3A">
              <w:rPr>
                <w:rFonts w:ascii="Times New Roman" w:hAnsi="Times New Roman" w:cs="Times New Roman"/>
                <w:noProof/>
                <w:webHidden/>
                <w:sz w:val="28"/>
                <w:szCs w:val="28"/>
              </w:rPr>
              <w:t>159</w:t>
            </w:r>
            <w:r w:rsidR="00626934" w:rsidRPr="00626934">
              <w:rPr>
                <w:rFonts w:ascii="Times New Roman" w:hAnsi="Times New Roman" w:cs="Times New Roman"/>
                <w:noProof/>
                <w:webHidden/>
                <w:sz w:val="28"/>
                <w:szCs w:val="28"/>
              </w:rPr>
              <w:fldChar w:fldCharType="end"/>
            </w:r>
          </w:hyperlink>
        </w:p>
        <w:p w14:paraId="4663F02B" w14:textId="7CCC9386" w:rsidR="00C51ADE" w:rsidRPr="00626934" w:rsidRDefault="004D28CD" w:rsidP="00626934">
          <w:pPr>
            <w:rPr>
              <w:rFonts w:ascii="Times New Roman" w:hAnsi="Times New Roman" w:cs="Times New Roman"/>
              <w:sz w:val="28"/>
              <w:szCs w:val="28"/>
            </w:rPr>
          </w:pPr>
          <w:r w:rsidRPr="00626934">
            <w:rPr>
              <w:rFonts w:ascii="Times New Roman" w:hAnsi="Times New Roman" w:cs="Times New Roman"/>
              <w:b/>
              <w:bCs/>
              <w:noProof/>
              <w:sz w:val="28"/>
              <w:szCs w:val="28"/>
            </w:rPr>
            <w:fldChar w:fldCharType="end"/>
          </w:r>
        </w:p>
      </w:sdtContent>
    </w:sdt>
    <w:p w14:paraId="37141DD7" w14:textId="77777777" w:rsidR="008E246B" w:rsidRPr="00626934" w:rsidRDefault="008E246B" w:rsidP="00401A5B">
      <w:pPr>
        <w:pStyle w:val="Heading1"/>
        <w:numPr>
          <w:ilvl w:val="0"/>
          <w:numId w:val="0"/>
        </w:numPr>
        <w:spacing w:before="0"/>
        <w:jc w:val="center"/>
        <w:rPr>
          <w:rFonts w:eastAsia="Times New Roman" w:cs="Times New Roman"/>
          <w:sz w:val="28"/>
          <w:szCs w:val="28"/>
        </w:rPr>
      </w:pPr>
    </w:p>
    <w:p w14:paraId="1E0A5F63" w14:textId="77777777" w:rsidR="008E246B" w:rsidRPr="00626934" w:rsidRDefault="008E246B" w:rsidP="00401A5B">
      <w:pPr>
        <w:pStyle w:val="Heading1"/>
        <w:numPr>
          <w:ilvl w:val="0"/>
          <w:numId w:val="0"/>
        </w:numPr>
        <w:spacing w:before="0"/>
        <w:jc w:val="center"/>
        <w:rPr>
          <w:rFonts w:eastAsia="Times New Roman" w:cs="Times New Roman"/>
          <w:sz w:val="28"/>
          <w:szCs w:val="28"/>
        </w:rPr>
      </w:pPr>
    </w:p>
    <w:p w14:paraId="0CA936E9" w14:textId="77777777" w:rsidR="008E246B" w:rsidRPr="00626934" w:rsidRDefault="008E246B" w:rsidP="00401A5B">
      <w:pPr>
        <w:pStyle w:val="Heading1"/>
        <w:numPr>
          <w:ilvl w:val="0"/>
          <w:numId w:val="0"/>
        </w:numPr>
        <w:spacing w:before="0"/>
        <w:jc w:val="center"/>
        <w:rPr>
          <w:rFonts w:eastAsia="Times New Roman" w:cs="Times New Roman"/>
          <w:sz w:val="28"/>
          <w:szCs w:val="28"/>
        </w:rPr>
      </w:pPr>
    </w:p>
    <w:p w14:paraId="34F32006" w14:textId="2DD4992D" w:rsidR="008E246B" w:rsidRPr="00626934" w:rsidRDefault="008E246B" w:rsidP="008E246B">
      <w:pPr>
        <w:rPr>
          <w:rFonts w:ascii="Times New Roman" w:hAnsi="Times New Roman" w:cs="Times New Roman"/>
          <w:sz w:val="28"/>
          <w:szCs w:val="28"/>
        </w:rPr>
      </w:pPr>
    </w:p>
    <w:p w14:paraId="509465CC" w14:textId="77777777" w:rsidR="008E246B" w:rsidRDefault="008E246B" w:rsidP="00401A5B">
      <w:pPr>
        <w:pStyle w:val="Heading1"/>
        <w:numPr>
          <w:ilvl w:val="0"/>
          <w:numId w:val="0"/>
        </w:numPr>
        <w:spacing w:before="0"/>
        <w:jc w:val="center"/>
        <w:rPr>
          <w:rFonts w:eastAsia="Times New Roman" w:cs="Times New Roman"/>
        </w:rPr>
      </w:pPr>
    </w:p>
    <w:p w14:paraId="244FE4C2" w14:textId="77777777" w:rsidR="008E246B" w:rsidRDefault="008E246B" w:rsidP="00401A5B">
      <w:pPr>
        <w:pStyle w:val="Heading1"/>
        <w:numPr>
          <w:ilvl w:val="0"/>
          <w:numId w:val="0"/>
        </w:numPr>
        <w:spacing w:before="0"/>
        <w:jc w:val="center"/>
        <w:rPr>
          <w:rFonts w:eastAsia="Times New Roman" w:cs="Times New Roman"/>
        </w:rPr>
      </w:pPr>
    </w:p>
    <w:p w14:paraId="35F65CEE" w14:textId="2155130E" w:rsidR="008E246B" w:rsidRDefault="008E246B" w:rsidP="008E246B">
      <w:pPr>
        <w:pStyle w:val="Heading1"/>
        <w:numPr>
          <w:ilvl w:val="0"/>
          <w:numId w:val="0"/>
        </w:numPr>
        <w:spacing w:before="0"/>
        <w:rPr>
          <w:rFonts w:eastAsia="Times New Roman" w:cs="Times New Roman"/>
        </w:rPr>
      </w:pPr>
    </w:p>
    <w:p w14:paraId="57C8B3B6" w14:textId="08B20D71" w:rsidR="008E246B" w:rsidRDefault="008E246B" w:rsidP="008E246B"/>
    <w:p w14:paraId="31BA4E0A" w14:textId="4DAB4C36" w:rsidR="008E246B" w:rsidRDefault="008E246B" w:rsidP="008E246B"/>
    <w:p w14:paraId="3F979E04" w14:textId="7A38FF4D" w:rsidR="008E246B" w:rsidRDefault="008E246B" w:rsidP="008E246B"/>
    <w:p w14:paraId="77A7375D" w14:textId="1031C911" w:rsidR="008E246B" w:rsidRDefault="008E246B" w:rsidP="008E246B"/>
    <w:p w14:paraId="60FB4613" w14:textId="68B65CD8" w:rsidR="00DA117B" w:rsidRDefault="00DA117B" w:rsidP="008E246B"/>
    <w:p w14:paraId="3714C02F" w14:textId="7110EBA8" w:rsidR="00DA117B" w:rsidRDefault="00DA117B" w:rsidP="008E246B"/>
    <w:p w14:paraId="312D6DF7" w14:textId="1BC19BD4" w:rsidR="00DA117B" w:rsidRDefault="00DA117B" w:rsidP="008E246B"/>
    <w:p w14:paraId="0E7D5117" w14:textId="7C924F78" w:rsidR="00DA117B" w:rsidRDefault="00DA117B" w:rsidP="008E246B"/>
    <w:p w14:paraId="61FD8947" w14:textId="3038DE82" w:rsidR="00DA117B" w:rsidRPr="00C51ADE" w:rsidRDefault="00DA117B" w:rsidP="00DA117B">
      <w:pPr>
        <w:pStyle w:val="Heading1"/>
        <w:numPr>
          <w:ilvl w:val="0"/>
          <w:numId w:val="0"/>
        </w:numPr>
        <w:jc w:val="center"/>
      </w:pPr>
      <w:bookmarkStart w:id="0" w:name="_Toc53154074"/>
      <w:r w:rsidRPr="00C51ADE">
        <w:t>Saīsinājumu un akronīmu saraksts</w:t>
      </w:r>
      <w:bookmarkEnd w:id="0"/>
    </w:p>
    <w:p w14:paraId="56885D15" w14:textId="77777777" w:rsidR="00DA117B" w:rsidRDefault="00DA117B" w:rsidP="00DA117B">
      <w:pPr>
        <w:jc w:val="both"/>
        <w:rPr>
          <w:rStyle w:val="BookTitle"/>
          <w:rFonts w:ascii="Times New Roman" w:hAnsi="Times New Roman" w:cs="Times New Roman"/>
          <w:b/>
          <w:sz w:val="36"/>
          <w:szCs w:val="36"/>
        </w:rPr>
      </w:pPr>
    </w:p>
    <w:p w14:paraId="4867C4DF"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 xml:space="preserve">AMR – </w:t>
      </w:r>
      <w:r>
        <w:rPr>
          <w:rFonts w:ascii="Times New Roman" w:hAnsi="Times New Roman" w:cs="Times New Roman"/>
          <w:sz w:val="28"/>
          <w:szCs w:val="28"/>
        </w:rPr>
        <w:t xml:space="preserve">Agrās brīdināšanas mehānisma ziņojums, angļu val.- </w:t>
      </w:r>
      <w:r w:rsidRPr="00350B96">
        <w:rPr>
          <w:rFonts w:ascii="Times New Roman" w:hAnsi="Times New Roman" w:cs="Times New Roman"/>
          <w:sz w:val="28"/>
          <w:szCs w:val="28"/>
        </w:rPr>
        <w:t xml:space="preserve"> </w:t>
      </w:r>
      <w:r w:rsidRPr="00380144">
        <w:rPr>
          <w:rFonts w:ascii="Times New Roman" w:eastAsiaTheme="minorHAnsi" w:hAnsi="Times New Roman"/>
          <w:i/>
          <w:sz w:val="28"/>
          <w:szCs w:val="28"/>
          <w:lang w:eastAsia="en-US"/>
        </w:rPr>
        <w:t>Alert Mechanism Report</w:t>
      </w:r>
    </w:p>
    <w:p w14:paraId="4FF87B79"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AS</w:t>
      </w:r>
      <w:r w:rsidRPr="00350B96">
        <w:rPr>
          <w:rFonts w:ascii="Times New Roman" w:hAnsi="Times New Roman" w:cs="Times New Roman"/>
          <w:sz w:val="28"/>
          <w:szCs w:val="28"/>
        </w:rPr>
        <w:t xml:space="preserve"> – akciju sabiedrība</w:t>
      </w:r>
    </w:p>
    <w:p w14:paraId="0AA5B058"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 xml:space="preserve">ASV </w:t>
      </w:r>
      <w:r w:rsidRPr="00350B96">
        <w:rPr>
          <w:rFonts w:ascii="Times New Roman" w:hAnsi="Times New Roman" w:cs="Times New Roman"/>
          <w:sz w:val="28"/>
          <w:szCs w:val="28"/>
        </w:rPr>
        <w:t>– Amerikas Savienotās Valstis</w:t>
      </w:r>
    </w:p>
    <w:p w14:paraId="116ADC37" w14:textId="77777777" w:rsidR="00DA117B" w:rsidRPr="00350B96" w:rsidRDefault="00DA117B" w:rsidP="00DA117B">
      <w:pPr>
        <w:jc w:val="both"/>
        <w:rPr>
          <w:rFonts w:ascii="Times New Roman" w:hAnsi="Times New Roman" w:cs="Times New Roman"/>
          <w:sz w:val="28"/>
          <w:szCs w:val="28"/>
        </w:rPr>
      </w:pPr>
      <w:r w:rsidRPr="00C655B7">
        <w:rPr>
          <w:rFonts w:ascii="Times New Roman" w:hAnsi="Times New Roman" w:cs="Times New Roman"/>
          <w:b/>
          <w:i/>
          <w:sz w:val="28"/>
          <w:szCs w:val="28"/>
        </w:rPr>
        <w:t xml:space="preserve">ĀM </w:t>
      </w:r>
      <w:r>
        <w:rPr>
          <w:rFonts w:ascii="Times New Roman" w:hAnsi="Times New Roman" w:cs="Times New Roman"/>
          <w:sz w:val="28"/>
          <w:szCs w:val="28"/>
        </w:rPr>
        <w:t>– Ārlietu ministrija</w:t>
      </w:r>
    </w:p>
    <w:p w14:paraId="4B8EDEF4"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ES</w:t>
      </w:r>
      <w:r w:rsidRPr="00350B96">
        <w:rPr>
          <w:rFonts w:ascii="Times New Roman" w:hAnsi="Times New Roman" w:cs="Times New Roman"/>
          <w:sz w:val="28"/>
          <w:szCs w:val="28"/>
        </w:rPr>
        <w:t xml:space="preserve"> – Eiropas Savienība</w:t>
      </w:r>
    </w:p>
    <w:p w14:paraId="430C2097"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EK</w:t>
      </w:r>
      <w:r w:rsidRPr="00350B96">
        <w:rPr>
          <w:rFonts w:ascii="Times New Roman" w:hAnsi="Times New Roman" w:cs="Times New Roman"/>
          <w:sz w:val="28"/>
          <w:szCs w:val="28"/>
        </w:rPr>
        <w:t xml:space="preserve"> – Eiropas Komisija</w:t>
      </w:r>
    </w:p>
    <w:p w14:paraId="434B148D"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CSP</w:t>
      </w:r>
      <w:r w:rsidRPr="00350B96">
        <w:rPr>
          <w:rFonts w:ascii="Times New Roman" w:hAnsi="Times New Roman" w:cs="Times New Roman"/>
          <w:sz w:val="28"/>
          <w:szCs w:val="28"/>
        </w:rPr>
        <w:t xml:space="preserve"> – Centrālā statistikas pārvalde</w:t>
      </w:r>
    </w:p>
    <w:p w14:paraId="32603AF1"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EM</w:t>
      </w:r>
      <w:r w:rsidRPr="00350B96">
        <w:rPr>
          <w:rFonts w:ascii="Times New Roman" w:hAnsi="Times New Roman" w:cs="Times New Roman"/>
          <w:sz w:val="28"/>
          <w:szCs w:val="28"/>
        </w:rPr>
        <w:t xml:space="preserve"> – Ekonomikas ministrija</w:t>
      </w:r>
    </w:p>
    <w:p w14:paraId="30C20199"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ECB</w:t>
      </w:r>
      <w:r w:rsidRPr="00350B96">
        <w:rPr>
          <w:rFonts w:ascii="Times New Roman" w:hAnsi="Times New Roman" w:cs="Times New Roman"/>
          <w:sz w:val="28"/>
          <w:szCs w:val="28"/>
        </w:rPr>
        <w:t xml:space="preserve"> – Eiropas Centrālā banka</w:t>
      </w:r>
    </w:p>
    <w:p w14:paraId="1DC42074"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EEZ</w:t>
      </w:r>
      <w:r w:rsidRPr="00350B96">
        <w:rPr>
          <w:rFonts w:ascii="Times New Roman" w:hAnsi="Times New Roman" w:cs="Times New Roman"/>
          <w:sz w:val="28"/>
          <w:szCs w:val="28"/>
        </w:rPr>
        <w:t xml:space="preserve"> – Eiropas Ekonomiskā zona</w:t>
      </w:r>
    </w:p>
    <w:p w14:paraId="081DBBC4"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EKS</w:t>
      </w:r>
      <w:r w:rsidRPr="00350B96">
        <w:rPr>
          <w:rFonts w:ascii="Times New Roman" w:hAnsi="Times New Roman" w:cs="Times New Roman"/>
          <w:sz w:val="28"/>
          <w:szCs w:val="28"/>
        </w:rPr>
        <w:t xml:space="preserve"> – </w:t>
      </w:r>
      <w:r w:rsidRPr="000D017B">
        <w:rPr>
          <w:rFonts w:ascii="Times New Roman" w:hAnsi="Times New Roman" w:cs="Times New Roman"/>
          <w:sz w:val="28"/>
          <w:szCs w:val="28"/>
        </w:rPr>
        <w:t>Eiro</w:t>
      </w:r>
      <w:r>
        <w:rPr>
          <w:rFonts w:ascii="Times New Roman" w:hAnsi="Times New Roman" w:cs="Times New Roman"/>
          <w:sz w:val="28"/>
          <w:szCs w:val="28"/>
        </w:rPr>
        <w:t>pas Kontu sistēmas metodoloģija</w:t>
      </w:r>
      <w:r w:rsidRPr="000D017B">
        <w:rPr>
          <w:rFonts w:ascii="Times New Roman" w:hAnsi="Times New Roman" w:cs="Times New Roman"/>
          <w:sz w:val="28"/>
          <w:szCs w:val="28"/>
        </w:rPr>
        <w:t>, kas noteikta saskaņā ar Eiropas Parlamenta un Padomes 2013.gada 21.maija regulu (ES) Nr. 549/2013 par Eiropas nacionālo un reģionālo kontu sistēmu Eiropas Savienībā</w:t>
      </w:r>
    </w:p>
    <w:p w14:paraId="77B8F576" w14:textId="77777777" w:rsidR="00DA117B" w:rsidRPr="00350B96" w:rsidRDefault="00DA117B" w:rsidP="00DA117B">
      <w:pPr>
        <w:jc w:val="both"/>
        <w:rPr>
          <w:rFonts w:ascii="Times New Roman" w:hAnsi="Times New Roman" w:cs="Times New Roman"/>
          <w:sz w:val="28"/>
          <w:szCs w:val="28"/>
        </w:rPr>
      </w:pPr>
      <w:r w:rsidRPr="00D4108D">
        <w:rPr>
          <w:rFonts w:ascii="Times New Roman" w:hAnsi="Times New Roman" w:cs="Times New Roman"/>
          <w:b/>
          <w:i/>
          <w:sz w:val="28"/>
          <w:szCs w:val="28"/>
        </w:rPr>
        <w:t>ESAO</w:t>
      </w:r>
      <w:r>
        <w:rPr>
          <w:rFonts w:ascii="Times New Roman" w:hAnsi="Times New Roman" w:cs="Times New Roman"/>
          <w:sz w:val="28"/>
          <w:szCs w:val="28"/>
        </w:rPr>
        <w:t xml:space="preserve"> - </w:t>
      </w:r>
      <w:r w:rsidRPr="007B2901">
        <w:rPr>
          <w:rFonts w:ascii="Times New Roman" w:eastAsia="Calibri" w:hAnsi="Times New Roman" w:cs="Times New Roman"/>
          <w:sz w:val="28"/>
          <w:szCs w:val="28"/>
        </w:rPr>
        <w:t>Ekonomiskās sadarbības un attīstības organizācija</w:t>
      </w:r>
    </w:p>
    <w:p w14:paraId="0DADB6F7"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FDL</w:t>
      </w:r>
      <w:r w:rsidRPr="00350B96">
        <w:rPr>
          <w:rFonts w:ascii="Times New Roman" w:hAnsi="Times New Roman" w:cs="Times New Roman"/>
          <w:sz w:val="28"/>
          <w:szCs w:val="28"/>
        </w:rPr>
        <w:t xml:space="preserve"> – Fiskālās disciplīnas likums</w:t>
      </w:r>
    </w:p>
    <w:p w14:paraId="5C50E863" w14:textId="77777777" w:rsidR="00DA117B" w:rsidRPr="00350B96" w:rsidRDefault="00DA117B" w:rsidP="00DA117B">
      <w:pPr>
        <w:jc w:val="both"/>
        <w:rPr>
          <w:rFonts w:ascii="Times New Roman" w:hAnsi="Times New Roman" w:cs="Times New Roman"/>
          <w:sz w:val="28"/>
          <w:szCs w:val="28"/>
        </w:rPr>
      </w:pPr>
      <w:r w:rsidRPr="00D619F1">
        <w:rPr>
          <w:rFonts w:ascii="Times New Roman" w:hAnsi="Times New Roman" w:cs="Times New Roman"/>
          <w:b/>
          <w:i/>
          <w:sz w:val="28"/>
          <w:szCs w:val="28"/>
        </w:rPr>
        <w:t>FDP</w:t>
      </w:r>
      <w:r>
        <w:rPr>
          <w:rFonts w:ascii="Times New Roman" w:hAnsi="Times New Roman" w:cs="Times New Roman"/>
          <w:sz w:val="28"/>
          <w:szCs w:val="28"/>
        </w:rPr>
        <w:t xml:space="preserve"> – Fiskālās disciplīnas padome</w:t>
      </w:r>
    </w:p>
    <w:p w14:paraId="26F002D2"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FM</w:t>
      </w:r>
      <w:r w:rsidRPr="00350B96">
        <w:rPr>
          <w:rFonts w:ascii="Times New Roman" w:hAnsi="Times New Roman" w:cs="Times New Roman"/>
          <w:sz w:val="28"/>
          <w:szCs w:val="28"/>
        </w:rPr>
        <w:t xml:space="preserve"> – Finanšu ministrija</w:t>
      </w:r>
    </w:p>
    <w:p w14:paraId="60A8F87F"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FKTK</w:t>
      </w:r>
      <w:r w:rsidRPr="00350B96">
        <w:rPr>
          <w:rFonts w:ascii="Times New Roman" w:hAnsi="Times New Roman" w:cs="Times New Roman"/>
          <w:sz w:val="28"/>
          <w:szCs w:val="28"/>
        </w:rPr>
        <w:t xml:space="preserve"> – Finanšu un kapitāla tirgus komisija</w:t>
      </w:r>
    </w:p>
    <w:p w14:paraId="4D52018B" w14:textId="77777777" w:rsidR="00DA117B" w:rsidRPr="00350B96" w:rsidRDefault="00DA117B" w:rsidP="00DA117B">
      <w:pPr>
        <w:jc w:val="both"/>
        <w:rPr>
          <w:rFonts w:ascii="Times New Roman" w:hAnsi="Times New Roman" w:cs="Times New Roman"/>
          <w:sz w:val="28"/>
          <w:szCs w:val="28"/>
        </w:rPr>
      </w:pPr>
      <w:r w:rsidRPr="00C655B7">
        <w:rPr>
          <w:rFonts w:ascii="Times New Roman" w:hAnsi="Times New Roman" w:cs="Times New Roman"/>
          <w:b/>
          <w:i/>
          <w:sz w:val="28"/>
          <w:szCs w:val="28"/>
        </w:rPr>
        <w:t>IeM</w:t>
      </w:r>
      <w:r>
        <w:rPr>
          <w:rFonts w:ascii="Times New Roman" w:hAnsi="Times New Roman" w:cs="Times New Roman"/>
          <w:sz w:val="28"/>
          <w:szCs w:val="28"/>
        </w:rPr>
        <w:t xml:space="preserve"> – Iekšlietu ministrija</w:t>
      </w:r>
    </w:p>
    <w:p w14:paraId="5E12106E"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IIN</w:t>
      </w:r>
      <w:r w:rsidRPr="00350B96">
        <w:rPr>
          <w:rFonts w:ascii="Times New Roman" w:hAnsi="Times New Roman" w:cs="Times New Roman"/>
          <w:sz w:val="28"/>
          <w:szCs w:val="28"/>
        </w:rPr>
        <w:t xml:space="preserve"> – iedzīvotāju ienākumu nodoklis</w:t>
      </w:r>
    </w:p>
    <w:p w14:paraId="760D2B1E"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IKP</w:t>
      </w:r>
      <w:r w:rsidRPr="00350B96">
        <w:rPr>
          <w:rFonts w:ascii="Times New Roman" w:hAnsi="Times New Roman" w:cs="Times New Roman"/>
          <w:sz w:val="28"/>
          <w:szCs w:val="28"/>
        </w:rPr>
        <w:t xml:space="preserve"> – iekšzemes kopprodukts</w:t>
      </w:r>
    </w:p>
    <w:p w14:paraId="723C11F6" w14:textId="77777777" w:rsidR="00DA117B" w:rsidRDefault="00DA117B" w:rsidP="00DA117B">
      <w:pPr>
        <w:jc w:val="both"/>
        <w:rPr>
          <w:rFonts w:ascii="Times New Roman" w:hAnsi="Times New Roman" w:cs="Times New Roman"/>
          <w:sz w:val="28"/>
          <w:szCs w:val="28"/>
        </w:rPr>
      </w:pPr>
      <w:r w:rsidRPr="00DA117B">
        <w:rPr>
          <w:rFonts w:ascii="Times New Roman" w:hAnsi="Times New Roman" w:cs="Times New Roman"/>
          <w:b/>
          <w:i/>
          <w:sz w:val="28"/>
          <w:szCs w:val="28"/>
        </w:rPr>
        <w:t>IZM</w:t>
      </w:r>
      <w:r>
        <w:rPr>
          <w:rFonts w:ascii="Times New Roman" w:hAnsi="Times New Roman" w:cs="Times New Roman"/>
          <w:sz w:val="28"/>
          <w:szCs w:val="28"/>
        </w:rPr>
        <w:t xml:space="preserve"> – Izglītības un zinātnes ministrija</w:t>
      </w:r>
    </w:p>
    <w:p w14:paraId="0589F226" w14:textId="77777777" w:rsidR="00DA117B" w:rsidRDefault="00DA117B" w:rsidP="00DA117B">
      <w:pPr>
        <w:jc w:val="both"/>
        <w:rPr>
          <w:rFonts w:ascii="Times New Roman" w:hAnsi="Times New Roman" w:cs="Times New Roman"/>
          <w:sz w:val="28"/>
          <w:szCs w:val="28"/>
        </w:rPr>
      </w:pPr>
      <w:r w:rsidRPr="00DA117B">
        <w:rPr>
          <w:rFonts w:ascii="Times New Roman" w:hAnsi="Times New Roman" w:cs="Times New Roman"/>
          <w:b/>
          <w:i/>
          <w:sz w:val="28"/>
          <w:szCs w:val="28"/>
        </w:rPr>
        <w:t xml:space="preserve">KM </w:t>
      </w:r>
      <w:r>
        <w:rPr>
          <w:rFonts w:ascii="Times New Roman" w:hAnsi="Times New Roman" w:cs="Times New Roman"/>
          <w:sz w:val="28"/>
          <w:szCs w:val="28"/>
        </w:rPr>
        <w:t>– Kultūras ministrija</w:t>
      </w:r>
    </w:p>
    <w:p w14:paraId="181B3EF3" w14:textId="77777777" w:rsidR="00DA117B" w:rsidRPr="00350B96" w:rsidRDefault="00DA117B" w:rsidP="00DA117B">
      <w:pPr>
        <w:jc w:val="both"/>
        <w:rPr>
          <w:rFonts w:ascii="Times New Roman" w:hAnsi="Times New Roman" w:cs="Times New Roman"/>
          <w:sz w:val="28"/>
          <w:szCs w:val="28"/>
        </w:rPr>
      </w:pPr>
      <w:r w:rsidRPr="00C655B7">
        <w:rPr>
          <w:rFonts w:ascii="Times New Roman" w:hAnsi="Times New Roman" w:cs="Times New Roman"/>
          <w:b/>
          <w:i/>
          <w:sz w:val="28"/>
          <w:szCs w:val="28"/>
        </w:rPr>
        <w:t>KNAB</w:t>
      </w:r>
      <w:r>
        <w:rPr>
          <w:rFonts w:ascii="Times New Roman" w:hAnsi="Times New Roman" w:cs="Times New Roman"/>
          <w:sz w:val="28"/>
          <w:szCs w:val="28"/>
        </w:rPr>
        <w:t xml:space="preserve"> – Korupcijas novēršanas un apkarošanas birojs</w:t>
      </w:r>
    </w:p>
    <w:p w14:paraId="684AAB05"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LB</w:t>
      </w:r>
      <w:r w:rsidRPr="00350B96">
        <w:rPr>
          <w:rFonts w:ascii="Times New Roman" w:hAnsi="Times New Roman" w:cs="Times New Roman"/>
          <w:sz w:val="28"/>
          <w:szCs w:val="28"/>
        </w:rPr>
        <w:t xml:space="preserve"> – Latvijas Banka</w:t>
      </w:r>
    </w:p>
    <w:p w14:paraId="138FC83E" w14:textId="77777777" w:rsidR="00DA117B" w:rsidRPr="00350B96" w:rsidRDefault="00DA117B" w:rsidP="00DA117B">
      <w:pPr>
        <w:jc w:val="both"/>
        <w:rPr>
          <w:rFonts w:ascii="Times New Roman" w:hAnsi="Times New Roman" w:cs="Times New Roman"/>
          <w:sz w:val="28"/>
          <w:szCs w:val="28"/>
        </w:rPr>
      </w:pPr>
      <w:r w:rsidRPr="00401A5B">
        <w:rPr>
          <w:rFonts w:ascii="Times New Roman" w:hAnsi="Times New Roman" w:cs="Times New Roman"/>
          <w:b/>
          <w:i/>
          <w:sz w:val="28"/>
          <w:szCs w:val="28"/>
        </w:rPr>
        <w:t>LM</w:t>
      </w:r>
      <w:r>
        <w:rPr>
          <w:rFonts w:ascii="Times New Roman" w:hAnsi="Times New Roman" w:cs="Times New Roman"/>
          <w:sz w:val="28"/>
          <w:szCs w:val="28"/>
        </w:rPr>
        <w:t xml:space="preserve"> – Labklājības ministrija</w:t>
      </w:r>
    </w:p>
    <w:p w14:paraId="0E01BBCF"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 xml:space="preserve">MK </w:t>
      </w:r>
      <w:r>
        <w:rPr>
          <w:rFonts w:ascii="Times New Roman" w:hAnsi="Times New Roman" w:cs="Times New Roman"/>
          <w:sz w:val="28"/>
          <w:szCs w:val="28"/>
        </w:rPr>
        <w:t>– Ministru k</w:t>
      </w:r>
      <w:r w:rsidRPr="00350B96">
        <w:rPr>
          <w:rFonts w:ascii="Times New Roman" w:hAnsi="Times New Roman" w:cs="Times New Roman"/>
          <w:sz w:val="28"/>
          <w:szCs w:val="28"/>
        </w:rPr>
        <w:t>abinets</w:t>
      </w:r>
    </w:p>
    <w:p w14:paraId="738E9A09" w14:textId="77777777" w:rsidR="00DA117B" w:rsidRDefault="00DA117B" w:rsidP="00DA117B">
      <w:pPr>
        <w:jc w:val="both"/>
        <w:rPr>
          <w:rFonts w:ascii="Times New Roman" w:hAnsi="Times New Roman" w:cs="Times New Roman"/>
          <w:sz w:val="28"/>
          <w:szCs w:val="28"/>
        </w:rPr>
      </w:pPr>
      <w:r>
        <w:rPr>
          <w:rFonts w:ascii="Times New Roman" w:hAnsi="Times New Roman" w:cs="Times New Roman"/>
          <w:sz w:val="28"/>
          <w:szCs w:val="28"/>
        </w:rPr>
        <w:t xml:space="preserve">MUN - </w:t>
      </w:r>
      <w:r>
        <w:rPr>
          <w:rFonts w:ascii="Times New Roman" w:eastAsia="Times New Roman" w:hAnsi="Times New Roman" w:cs="Times New Roman"/>
          <w:sz w:val="28"/>
        </w:rPr>
        <w:t>mikrouzņēmumu nodoklis</w:t>
      </w:r>
    </w:p>
    <w:p w14:paraId="40B8410F" w14:textId="77777777" w:rsidR="00DA117B" w:rsidRPr="00350B96" w:rsidRDefault="00DA117B" w:rsidP="00DA117B">
      <w:pPr>
        <w:jc w:val="both"/>
        <w:rPr>
          <w:rFonts w:ascii="Times New Roman" w:hAnsi="Times New Roman" w:cs="Times New Roman"/>
          <w:sz w:val="28"/>
          <w:szCs w:val="28"/>
        </w:rPr>
      </w:pPr>
      <w:r w:rsidRPr="00D4108D">
        <w:rPr>
          <w:rFonts w:ascii="Times New Roman" w:hAnsi="Times New Roman" w:cs="Times New Roman"/>
          <w:b/>
          <w:i/>
          <w:sz w:val="28"/>
          <w:szCs w:val="28"/>
        </w:rPr>
        <w:t>NVA</w:t>
      </w:r>
      <w:r>
        <w:rPr>
          <w:rFonts w:ascii="Times New Roman" w:hAnsi="Times New Roman" w:cs="Times New Roman"/>
          <w:sz w:val="28"/>
          <w:szCs w:val="28"/>
        </w:rPr>
        <w:t xml:space="preserve"> - </w:t>
      </w:r>
      <w:r>
        <w:rPr>
          <w:rFonts w:ascii="Times New Roman" w:eastAsia="Times New Roman" w:hAnsi="Times New Roman" w:cs="Times New Roman"/>
          <w:sz w:val="28"/>
          <w:szCs w:val="28"/>
        </w:rPr>
        <w:t>Nodarbinātības valsts aģentūra</w:t>
      </w:r>
    </w:p>
    <w:p w14:paraId="77A4A49A"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NAP</w:t>
      </w:r>
      <w:r>
        <w:rPr>
          <w:rFonts w:ascii="Times New Roman" w:hAnsi="Times New Roman" w:cs="Times New Roman"/>
          <w:sz w:val="28"/>
          <w:szCs w:val="28"/>
        </w:rPr>
        <w:t xml:space="preserve"> – N</w:t>
      </w:r>
      <w:r w:rsidRPr="00350B96">
        <w:rPr>
          <w:rFonts w:ascii="Times New Roman" w:hAnsi="Times New Roman" w:cs="Times New Roman"/>
          <w:sz w:val="28"/>
          <w:szCs w:val="28"/>
        </w:rPr>
        <w:t>acionālais attīstības plāns</w:t>
      </w:r>
    </w:p>
    <w:p w14:paraId="024BA514"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OECD</w:t>
      </w:r>
      <w:r w:rsidRPr="00350B96">
        <w:rPr>
          <w:rFonts w:ascii="Times New Roman" w:hAnsi="Times New Roman" w:cs="Times New Roman"/>
          <w:sz w:val="28"/>
          <w:szCs w:val="28"/>
        </w:rPr>
        <w:t xml:space="preserve"> – Ekonomiskās sadarbības un attīstības organizācija</w:t>
      </w:r>
      <w:r>
        <w:rPr>
          <w:rFonts w:ascii="Times New Roman" w:hAnsi="Times New Roman" w:cs="Times New Roman"/>
          <w:sz w:val="28"/>
          <w:szCs w:val="28"/>
        </w:rPr>
        <w:t xml:space="preserve">, angļu val. - </w:t>
      </w:r>
      <w:r w:rsidRPr="00E76C8B">
        <w:rPr>
          <w:rFonts w:ascii="Times New Roman" w:hAnsi="Times New Roman" w:cs="Times New Roman"/>
          <w:i/>
          <w:sz w:val="28"/>
          <w:szCs w:val="28"/>
        </w:rPr>
        <w:t>Organisation for Economic Co-operation and Development</w:t>
      </w:r>
    </w:p>
    <w:p w14:paraId="2B08B0EE" w14:textId="77777777" w:rsidR="00DA117B" w:rsidRPr="00E7378A" w:rsidRDefault="00DA117B" w:rsidP="00DA117B">
      <w:pPr>
        <w:jc w:val="both"/>
        <w:rPr>
          <w:rFonts w:ascii="Times New Roman" w:hAnsi="Times New Roman" w:cs="Times New Roman"/>
          <w:i/>
          <w:sz w:val="28"/>
          <w:szCs w:val="28"/>
        </w:rPr>
      </w:pPr>
      <w:r w:rsidRPr="002E297C">
        <w:rPr>
          <w:rFonts w:ascii="Times New Roman" w:hAnsi="Times New Roman" w:cs="Times New Roman"/>
          <w:b/>
          <w:i/>
          <w:sz w:val="28"/>
          <w:szCs w:val="28"/>
        </w:rPr>
        <w:t>OPEC</w:t>
      </w:r>
      <w:r>
        <w:rPr>
          <w:rFonts w:ascii="Times New Roman" w:hAnsi="Times New Roman" w:cs="Times New Roman"/>
          <w:sz w:val="28"/>
          <w:szCs w:val="28"/>
        </w:rPr>
        <w:t xml:space="preserve"> - </w:t>
      </w:r>
      <w:r w:rsidRPr="00E7378A">
        <w:rPr>
          <w:rFonts w:ascii="Times New Roman" w:hAnsi="Times New Roman" w:cs="Times New Roman"/>
          <w:sz w:val="28"/>
          <w:szCs w:val="28"/>
        </w:rPr>
        <w:t>Naftas eksportētājvalstu organizācija</w:t>
      </w:r>
      <w:r>
        <w:rPr>
          <w:rFonts w:ascii="Times New Roman" w:hAnsi="Times New Roman" w:cs="Times New Roman"/>
          <w:sz w:val="28"/>
          <w:szCs w:val="28"/>
        </w:rPr>
        <w:t xml:space="preserve">, angļu val. - </w:t>
      </w:r>
      <w:r w:rsidRPr="00E7378A">
        <w:rPr>
          <w:rFonts w:ascii="Times New Roman" w:hAnsi="Times New Roman" w:cs="Times New Roman"/>
          <w:i/>
          <w:sz w:val="28"/>
          <w:szCs w:val="28"/>
        </w:rPr>
        <w:t>Organization of the Petroleum Exporting Countries</w:t>
      </w:r>
    </w:p>
    <w:p w14:paraId="07786AF1"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 xml:space="preserve">PVN </w:t>
      </w:r>
      <w:r w:rsidRPr="00350B96">
        <w:rPr>
          <w:rFonts w:ascii="Times New Roman" w:hAnsi="Times New Roman" w:cs="Times New Roman"/>
          <w:sz w:val="28"/>
          <w:szCs w:val="28"/>
        </w:rPr>
        <w:t>– pievienotās vērtības nodoklis</w:t>
      </w:r>
    </w:p>
    <w:p w14:paraId="31AB46D0"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SIA</w:t>
      </w:r>
      <w:r w:rsidRPr="00350B96">
        <w:rPr>
          <w:rFonts w:ascii="Times New Roman" w:hAnsi="Times New Roman" w:cs="Times New Roman"/>
          <w:sz w:val="28"/>
          <w:szCs w:val="28"/>
        </w:rPr>
        <w:t xml:space="preserve"> – sabiedrība ar ierobežotu atbildību</w:t>
      </w:r>
    </w:p>
    <w:p w14:paraId="12C87A4C"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SIP</w:t>
      </w:r>
      <w:r w:rsidRPr="00350B96">
        <w:rPr>
          <w:rFonts w:ascii="Times New Roman" w:hAnsi="Times New Roman" w:cs="Times New Roman"/>
          <w:sz w:val="28"/>
          <w:szCs w:val="28"/>
        </w:rPr>
        <w:t xml:space="preserve"> – Stabilitātes un izaugsmes pakts</w:t>
      </w:r>
    </w:p>
    <w:p w14:paraId="30087C31" w14:textId="77777777" w:rsidR="00DA117B" w:rsidRPr="00350B96" w:rsidRDefault="00DA117B" w:rsidP="00DA117B">
      <w:pPr>
        <w:jc w:val="both"/>
        <w:rPr>
          <w:rFonts w:ascii="Times New Roman" w:hAnsi="Times New Roman" w:cs="Times New Roman"/>
          <w:sz w:val="28"/>
          <w:szCs w:val="28"/>
        </w:rPr>
      </w:pPr>
      <w:r w:rsidRPr="00DA117B">
        <w:rPr>
          <w:rFonts w:ascii="Times New Roman" w:hAnsi="Times New Roman" w:cs="Times New Roman"/>
          <w:b/>
          <w:i/>
          <w:sz w:val="28"/>
          <w:szCs w:val="28"/>
        </w:rPr>
        <w:t xml:space="preserve">SM </w:t>
      </w:r>
      <w:r>
        <w:rPr>
          <w:rFonts w:ascii="Times New Roman" w:hAnsi="Times New Roman" w:cs="Times New Roman"/>
          <w:sz w:val="28"/>
          <w:szCs w:val="28"/>
        </w:rPr>
        <w:t>– Satiksmes ministrija</w:t>
      </w:r>
    </w:p>
    <w:p w14:paraId="509141AF"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SVF</w:t>
      </w:r>
      <w:r w:rsidRPr="00350B96">
        <w:rPr>
          <w:rFonts w:ascii="Times New Roman" w:hAnsi="Times New Roman" w:cs="Times New Roman"/>
          <w:sz w:val="28"/>
          <w:szCs w:val="28"/>
        </w:rPr>
        <w:t xml:space="preserve"> – Starptautiskais Valūtas fonds</w:t>
      </w:r>
    </w:p>
    <w:p w14:paraId="6F91C744" w14:textId="77777777" w:rsidR="00DA117B" w:rsidRPr="00350B96" w:rsidRDefault="00DA117B" w:rsidP="00DA117B">
      <w:pPr>
        <w:jc w:val="both"/>
        <w:rPr>
          <w:rFonts w:ascii="Times New Roman" w:hAnsi="Times New Roman" w:cs="Times New Roman"/>
          <w:sz w:val="28"/>
          <w:szCs w:val="28"/>
        </w:rPr>
      </w:pPr>
      <w:r w:rsidRPr="00C655B7">
        <w:rPr>
          <w:rFonts w:ascii="Times New Roman" w:hAnsi="Times New Roman" w:cs="Times New Roman"/>
          <w:b/>
          <w:i/>
          <w:sz w:val="28"/>
          <w:szCs w:val="28"/>
        </w:rPr>
        <w:t xml:space="preserve">TM </w:t>
      </w:r>
      <w:r>
        <w:rPr>
          <w:rFonts w:ascii="Times New Roman" w:hAnsi="Times New Roman" w:cs="Times New Roman"/>
          <w:sz w:val="28"/>
          <w:szCs w:val="28"/>
        </w:rPr>
        <w:t>– Tieslietu ministrija</w:t>
      </w:r>
    </w:p>
    <w:p w14:paraId="46965CBC"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 xml:space="preserve">UIN </w:t>
      </w:r>
      <w:r w:rsidRPr="00350B96">
        <w:rPr>
          <w:rFonts w:ascii="Times New Roman" w:hAnsi="Times New Roman" w:cs="Times New Roman"/>
          <w:sz w:val="28"/>
          <w:szCs w:val="28"/>
        </w:rPr>
        <w:t>– uzņēmumu ienākuma nodoklis</w:t>
      </w:r>
    </w:p>
    <w:p w14:paraId="11707AD5"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 xml:space="preserve">VAS </w:t>
      </w:r>
      <w:r>
        <w:rPr>
          <w:rFonts w:ascii="Times New Roman" w:hAnsi="Times New Roman" w:cs="Times New Roman"/>
          <w:sz w:val="28"/>
          <w:szCs w:val="28"/>
        </w:rPr>
        <w:t>– v</w:t>
      </w:r>
      <w:r w:rsidRPr="00350B96">
        <w:rPr>
          <w:rFonts w:ascii="Times New Roman" w:hAnsi="Times New Roman" w:cs="Times New Roman"/>
          <w:sz w:val="28"/>
          <w:szCs w:val="28"/>
        </w:rPr>
        <w:t>alsts akciju sabiedrība</w:t>
      </w:r>
    </w:p>
    <w:p w14:paraId="2324EB63" w14:textId="77777777" w:rsidR="00DA117B" w:rsidRPr="00350B96" w:rsidRDefault="00DA117B" w:rsidP="00DA117B">
      <w:pPr>
        <w:jc w:val="both"/>
        <w:rPr>
          <w:rFonts w:ascii="Times New Roman" w:hAnsi="Times New Roman" w:cs="Times New Roman"/>
          <w:sz w:val="28"/>
          <w:szCs w:val="28"/>
        </w:rPr>
      </w:pPr>
      <w:r w:rsidRPr="00DA117B">
        <w:rPr>
          <w:rFonts w:ascii="Times New Roman" w:hAnsi="Times New Roman" w:cs="Times New Roman"/>
          <w:b/>
          <w:i/>
          <w:sz w:val="28"/>
          <w:szCs w:val="28"/>
        </w:rPr>
        <w:t xml:space="preserve">VM </w:t>
      </w:r>
      <w:r>
        <w:rPr>
          <w:rFonts w:ascii="Times New Roman" w:hAnsi="Times New Roman" w:cs="Times New Roman"/>
          <w:sz w:val="28"/>
          <w:szCs w:val="28"/>
        </w:rPr>
        <w:t>– Veselības ministrija</w:t>
      </w:r>
    </w:p>
    <w:p w14:paraId="5A66FCAC"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 xml:space="preserve">VSIA </w:t>
      </w:r>
      <w:r>
        <w:rPr>
          <w:rFonts w:ascii="Times New Roman" w:hAnsi="Times New Roman" w:cs="Times New Roman"/>
          <w:sz w:val="28"/>
          <w:szCs w:val="28"/>
        </w:rPr>
        <w:t>– v</w:t>
      </w:r>
      <w:r w:rsidRPr="00350B96">
        <w:rPr>
          <w:rFonts w:ascii="Times New Roman" w:hAnsi="Times New Roman" w:cs="Times New Roman"/>
          <w:sz w:val="28"/>
          <w:szCs w:val="28"/>
        </w:rPr>
        <w:t>alsts sabiedrība ar ierobežotu atbildību</w:t>
      </w:r>
    </w:p>
    <w:p w14:paraId="3BF825CE" w14:textId="77777777" w:rsidR="00DA117B" w:rsidRPr="00350B96" w:rsidRDefault="00DA117B" w:rsidP="00DA117B">
      <w:pPr>
        <w:jc w:val="both"/>
        <w:rPr>
          <w:rFonts w:ascii="Times New Roman" w:hAnsi="Times New Roman" w:cs="Times New Roman"/>
          <w:sz w:val="28"/>
          <w:szCs w:val="28"/>
        </w:rPr>
      </w:pPr>
      <w:r w:rsidRPr="00E76C8B">
        <w:rPr>
          <w:rFonts w:ascii="Times New Roman" w:eastAsia="Times New Roman" w:hAnsi="Times New Roman" w:cs="Times New Roman"/>
          <w:b/>
          <w:i/>
          <w:noProof/>
          <w:sz w:val="28"/>
          <w:szCs w:val="24"/>
          <w:lang w:eastAsia="en-US"/>
        </w:rPr>
        <w:t>VSAOI</w:t>
      </w:r>
      <w:r>
        <w:rPr>
          <w:rFonts w:ascii="Times New Roman" w:eastAsia="Times New Roman" w:hAnsi="Times New Roman" w:cs="Times New Roman"/>
          <w:noProof/>
          <w:sz w:val="28"/>
          <w:szCs w:val="24"/>
          <w:lang w:eastAsia="en-US"/>
        </w:rPr>
        <w:t xml:space="preserve"> - </w:t>
      </w:r>
      <w:r w:rsidRPr="00E76C8B">
        <w:rPr>
          <w:rFonts w:ascii="Times New Roman" w:eastAsia="Times New Roman" w:hAnsi="Times New Roman" w:cs="Times New Roman"/>
          <w:noProof/>
          <w:sz w:val="28"/>
          <w:szCs w:val="24"/>
          <w:lang w:eastAsia="en-US"/>
        </w:rPr>
        <w:t xml:space="preserve">valsts </w:t>
      </w:r>
      <w:r>
        <w:rPr>
          <w:rFonts w:ascii="Times New Roman" w:eastAsia="Times New Roman" w:hAnsi="Times New Roman" w:cs="Times New Roman"/>
          <w:noProof/>
          <w:sz w:val="28"/>
          <w:szCs w:val="24"/>
          <w:lang w:eastAsia="en-US"/>
        </w:rPr>
        <w:t>sociālās apdrošināšanas obligātās iemaksas</w:t>
      </w:r>
    </w:p>
    <w:p w14:paraId="39CF2914"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VTBIL 2020</w:t>
      </w:r>
      <w:r>
        <w:rPr>
          <w:rFonts w:ascii="Times New Roman" w:hAnsi="Times New Roman" w:cs="Times New Roman"/>
          <w:b/>
          <w:i/>
          <w:sz w:val="28"/>
          <w:szCs w:val="28"/>
        </w:rPr>
        <w:t xml:space="preserve">., 2021. un </w:t>
      </w:r>
      <w:r w:rsidRPr="00350B96">
        <w:rPr>
          <w:rFonts w:ascii="Times New Roman" w:hAnsi="Times New Roman" w:cs="Times New Roman"/>
          <w:b/>
          <w:i/>
          <w:sz w:val="28"/>
          <w:szCs w:val="28"/>
        </w:rPr>
        <w:t>2022</w:t>
      </w:r>
      <w:r>
        <w:rPr>
          <w:rFonts w:ascii="Times New Roman" w:hAnsi="Times New Roman" w:cs="Times New Roman"/>
          <w:b/>
          <w:i/>
          <w:sz w:val="28"/>
          <w:szCs w:val="28"/>
        </w:rPr>
        <w:t>. gadam</w:t>
      </w:r>
      <w:r w:rsidRPr="00350B96">
        <w:rPr>
          <w:rFonts w:ascii="Times New Roman" w:hAnsi="Times New Roman" w:cs="Times New Roman"/>
          <w:sz w:val="28"/>
          <w:szCs w:val="28"/>
        </w:rPr>
        <w:t xml:space="preserve"> – likums “Par vidēja termiņa budžeta ietvaru 2020., 2021. un 2022.gadam”</w:t>
      </w:r>
    </w:p>
    <w:p w14:paraId="5B67A48E" w14:textId="77777777" w:rsidR="00DA117B" w:rsidRPr="00350B96"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 xml:space="preserve">VTBIL </w:t>
      </w:r>
      <w:r>
        <w:rPr>
          <w:rFonts w:ascii="Times New Roman" w:hAnsi="Times New Roman" w:cs="Times New Roman"/>
          <w:b/>
          <w:i/>
          <w:sz w:val="28"/>
          <w:szCs w:val="28"/>
        </w:rPr>
        <w:t>2021., 2022. un 2023. gadam</w:t>
      </w:r>
      <w:r w:rsidRPr="00350B96">
        <w:rPr>
          <w:rFonts w:ascii="Times New Roman" w:hAnsi="Times New Roman" w:cs="Times New Roman"/>
          <w:sz w:val="28"/>
          <w:szCs w:val="28"/>
        </w:rPr>
        <w:t xml:space="preserve"> – likums “Par vidēja termiņa budžeta ietvaru 2021., 2022. un 2023. gadam”</w:t>
      </w:r>
    </w:p>
    <w:p w14:paraId="3220AF95" w14:textId="77777777" w:rsidR="00DA117B" w:rsidRDefault="00DA117B" w:rsidP="00DA117B">
      <w:pPr>
        <w:jc w:val="both"/>
        <w:rPr>
          <w:rFonts w:ascii="Times New Roman" w:hAnsi="Times New Roman" w:cs="Times New Roman"/>
          <w:sz w:val="28"/>
          <w:szCs w:val="28"/>
        </w:rPr>
      </w:pPr>
      <w:r w:rsidRPr="00350B96">
        <w:rPr>
          <w:rFonts w:ascii="Times New Roman" w:hAnsi="Times New Roman" w:cs="Times New Roman"/>
          <w:b/>
          <w:i/>
          <w:sz w:val="28"/>
          <w:szCs w:val="28"/>
        </w:rPr>
        <w:t>VTM</w:t>
      </w:r>
      <w:r w:rsidRPr="00350B96">
        <w:rPr>
          <w:rFonts w:ascii="Times New Roman" w:hAnsi="Times New Roman" w:cs="Times New Roman"/>
          <w:sz w:val="28"/>
          <w:szCs w:val="28"/>
        </w:rPr>
        <w:t xml:space="preserve"> – vidēja termiņa budžeta mērķis</w:t>
      </w:r>
    </w:p>
    <w:p w14:paraId="2AFCB25C" w14:textId="77777777" w:rsidR="00DA117B" w:rsidRPr="00350B96" w:rsidRDefault="00DA117B" w:rsidP="00DA117B">
      <w:pPr>
        <w:jc w:val="both"/>
        <w:rPr>
          <w:rFonts w:ascii="Times New Roman" w:hAnsi="Times New Roman" w:cs="Times New Roman"/>
          <w:sz w:val="28"/>
          <w:szCs w:val="28"/>
        </w:rPr>
      </w:pPr>
      <w:r w:rsidRPr="00DA117B">
        <w:rPr>
          <w:rFonts w:ascii="Times New Roman" w:hAnsi="Times New Roman" w:cs="Times New Roman"/>
          <w:b/>
          <w:i/>
          <w:sz w:val="28"/>
          <w:szCs w:val="28"/>
        </w:rPr>
        <w:t xml:space="preserve">ZM </w:t>
      </w:r>
      <w:r>
        <w:rPr>
          <w:rFonts w:ascii="Times New Roman" w:hAnsi="Times New Roman" w:cs="Times New Roman"/>
          <w:sz w:val="28"/>
          <w:szCs w:val="28"/>
        </w:rPr>
        <w:t>– Zemkopības ministrija</w:t>
      </w:r>
    </w:p>
    <w:p w14:paraId="58BE6FE0" w14:textId="7CC68FA1" w:rsidR="00DA117B" w:rsidRDefault="00DA117B" w:rsidP="008E246B"/>
    <w:p w14:paraId="68810D9F" w14:textId="0BCB233F" w:rsidR="00DA117B" w:rsidRDefault="00DA117B" w:rsidP="008E246B"/>
    <w:p w14:paraId="0B13EFF9" w14:textId="2B98B90B" w:rsidR="00DA117B" w:rsidRDefault="00DA117B" w:rsidP="008E246B"/>
    <w:p w14:paraId="1CFFA062" w14:textId="46B6EC07" w:rsidR="00DA117B" w:rsidRDefault="00DA117B" w:rsidP="008E246B"/>
    <w:p w14:paraId="7289A141" w14:textId="3B3DDE7D" w:rsidR="00DA117B" w:rsidRDefault="00DA117B" w:rsidP="008E246B"/>
    <w:p w14:paraId="4F8D3DDF" w14:textId="0B6101B5" w:rsidR="00DA117B" w:rsidRDefault="00DA117B" w:rsidP="008E246B"/>
    <w:p w14:paraId="238B4357" w14:textId="6F05CC3A" w:rsidR="00DA117B" w:rsidRDefault="00DA117B" w:rsidP="008E246B"/>
    <w:p w14:paraId="4C78BDFD" w14:textId="2A22D613" w:rsidR="00DA117B" w:rsidRDefault="00DA117B" w:rsidP="008E246B"/>
    <w:p w14:paraId="157B4E6D" w14:textId="005A5D82" w:rsidR="00DA117B" w:rsidRDefault="00DA117B" w:rsidP="008E246B"/>
    <w:p w14:paraId="25C1EC04" w14:textId="57D499D2" w:rsidR="00DA117B" w:rsidRDefault="00DA117B" w:rsidP="008E246B"/>
    <w:p w14:paraId="121DEB2D" w14:textId="7F509F18" w:rsidR="00DA117B" w:rsidRDefault="00DA117B" w:rsidP="008E246B"/>
    <w:p w14:paraId="52F46835" w14:textId="6DDDE052" w:rsidR="00DA117B" w:rsidRDefault="00DA117B" w:rsidP="008E246B"/>
    <w:p w14:paraId="73F3A352" w14:textId="331FF8B8" w:rsidR="00DA117B" w:rsidRDefault="00DA117B" w:rsidP="008E246B"/>
    <w:p w14:paraId="6C957CE3" w14:textId="45237807" w:rsidR="00DA117B" w:rsidRDefault="00DA117B" w:rsidP="008E246B"/>
    <w:p w14:paraId="7CC0893E" w14:textId="089759E8" w:rsidR="00DA117B" w:rsidRDefault="00DA117B" w:rsidP="008E246B"/>
    <w:p w14:paraId="3160C125" w14:textId="7CC0AA7B" w:rsidR="00DA117B" w:rsidRDefault="00DA117B" w:rsidP="008E246B"/>
    <w:p w14:paraId="065934DC" w14:textId="1FA6A320" w:rsidR="00DA117B" w:rsidRDefault="00DA117B" w:rsidP="008E246B"/>
    <w:p w14:paraId="56CCD618" w14:textId="1BE88282" w:rsidR="00DA117B" w:rsidRDefault="00DA117B" w:rsidP="008E246B"/>
    <w:p w14:paraId="41E3754A" w14:textId="26282E6A" w:rsidR="00DA117B" w:rsidRDefault="00DA117B" w:rsidP="008E246B"/>
    <w:p w14:paraId="6E89550C" w14:textId="19753B13" w:rsidR="00DA117B" w:rsidRDefault="00DA117B" w:rsidP="008E246B"/>
    <w:p w14:paraId="4168026C" w14:textId="6A9AC459" w:rsidR="00DA117B" w:rsidRDefault="00DA117B" w:rsidP="008E246B"/>
    <w:p w14:paraId="4E6B818B" w14:textId="56E57F64" w:rsidR="00DA117B" w:rsidRDefault="00DA117B" w:rsidP="008E246B"/>
    <w:p w14:paraId="3D54F1C0" w14:textId="56882D35" w:rsidR="00DA117B" w:rsidRDefault="00DA117B" w:rsidP="008E246B"/>
    <w:p w14:paraId="413B1E53" w14:textId="68177383" w:rsidR="00DA117B" w:rsidRDefault="00DA117B" w:rsidP="008E246B"/>
    <w:p w14:paraId="66B7572F" w14:textId="5B047EA5" w:rsidR="00DA117B" w:rsidRDefault="00DA117B" w:rsidP="008E246B"/>
    <w:p w14:paraId="567B71E8" w14:textId="36D5AD3E" w:rsidR="00DA117B" w:rsidRDefault="00DA117B" w:rsidP="008E246B"/>
    <w:p w14:paraId="3E63E250" w14:textId="77777777" w:rsidR="005D5F3A" w:rsidRDefault="005D5F3A" w:rsidP="008E246B"/>
    <w:p w14:paraId="6E75ECA4" w14:textId="0C0F62BE" w:rsidR="00DA117B" w:rsidRDefault="00DA117B" w:rsidP="008E246B"/>
    <w:p w14:paraId="454BD662" w14:textId="7937FC2C" w:rsidR="00DA117B" w:rsidRDefault="00DA117B" w:rsidP="008E246B"/>
    <w:p w14:paraId="73D210ED" w14:textId="77777777" w:rsidR="00DA117B" w:rsidRDefault="00DA117B" w:rsidP="008E246B"/>
    <w:p w14:paraId="1CBB6907" w14:textId="4D9342DE" w:rsidR="008E246B" w:rsidRDefault="008E246B" w:rsidP="008E246B"/>
    <w:p w14:paraId="2579156B" w14:textId="77777777" w:rsidR="008E246B" w:rsidRPr="008E246B" w:rsidRDefault="008E246B" w:rsidP="008E246B"/>
    <w:p w14:paraId="03017146" w14:textId="5655AC86" w:rsidR="003F3FCD" w:rsidRDefault="000548A5" w:rsidP="00FB2B77">
      <w:pPr>
        <w:pStyle w:val="Heading1"/>
        <w:numPr>
          <w:ilvl w:val="0"/>
          <w:numId w:val="13"/>
        </w:numPr>
        <w:spacing w:before="0"/>
        <w:jc w:val="center"/>
        <w:rPr>
          <w:rFonts w:eastAsia="Times New Roman" w:cs="Times New Roman"/>
        </w:rPr>
      </w:pPr>
      <w:bookmarkStart w:id="1" w:name="_Toc53154075"/>
      <w:r w:rsidRPr="004D28CD">
        <w:rPr>
          <w:rFonts w:eastAsia="Times New Roman" w:cs="Times New Roman"/>
        </w:rPr>
        <w:t>Makroekonomiskās attīstības apraksts</w:t>
      </w:r>
      <w:r w:rsidR="00383CEF" w:rsidRPr="00FC2755">
        <w:rPr>
          <w:rFonts w:eastAsia="Times New Roman" w:cs="Times New Roman"/>
          <w:szCs w:val="44"/>
          <w:vertAlign w:val="superscript"/>
        </w:rPr>
        <w:footnoteReference w:id="1"/>
      </w:r>
      <w:bookmarkEnd w:id="1"/>
    </w:p>
    <w:p w14:paraId="11A721C6" w14:textId="77777777" w:rsidR="008E246B" w:rsidRPr="008E246B" w:rsidRDefault="008E246B" w:rsidP="008E246B">
      <w:pPr>
        <w:pStyle w:val="ListParagraph"/>
        <w:ind w:left="480"/>
      </w:pPr>
    </w:p>
    <w:p w14:paraId="69634120" w14:textId="0242E729" w:rsidR="003F3FCD" w:rsidRPr="00027929" w:rsidRDefault="000548A5" w:rsidP="00FB2B77">
      <w:pPr>
        <w:pStyle w:val="Heading2"/>
        <w:numPr>
          <w:ilvl w:val="1"/>
          <w:numId w:val="13"/>
        </w:numPr>
        <w:spacing w:before="0"/>
        <w:rPr>
          <w:rFonts w:ascii="Times New Roman" w:hAnsi="Times New Roman" w:cs="Times New Roman"/>
          <w:sz w:val="32"/>
          <w:szCs w:val="32"/>
        </w:rPr>
      </w:pPr>
      <w:bookmarkStart w:id="2" w:name="_Toc53154076"/>
      <w:r w:rsidRPr="00027929">
        <w:rPr>
          <w:rFonts w:ascii="Times New Roman" w:hAnsi="Times New Roman" w:cs="Times New Roman"/>
          <w:sz w:val="32"/>
          <w:szCs w:val="32"/>
        </w:rPr>
        <w:t>Ārējā ekonomiskā vide</w:t>
      </w:r>
      <w:bookmarkEnd w:id="2"/>
    </w:p>
    <w:p w14:paraId="1FC65966" w14:textId="77777777" w:rsidR="003F3FCD" w:rsidRDefault="003F3FCD" w:rsidP="00401A5B">
      <w:pPr>
        <w:keepNext/>
        <w:keepLines/>
        <w:widowControl w:val="0"/>
        <w:ind w:left="720"/>
        <w:rPr>
          <w:rFonts w:ascii="Times New Roman" w:eastAsia="Times New Roman" w:hAnsi="Times New Roman" w:cs="Times New Roman"/>
          <w:b/>
          <w:color w:val="000000"/>
          <w:sz w:val="32"/>
        </w:rPr>
      </w:pPr>
    </w:p>
    <w:p w14:paraId="6FB63CEC" w14:textId="7A90D36E" w:rsidR="007B2901" w:rsidRP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 xml:space="preserve">Pasaules ekonomiskā izaugsme pēc 2018.gadā sasniegtā paātrinājuma jau 2019.gadā bija sākusi bremzēties, palēninoties no 3,6% līdz 2,9%, bet 2020.gadā situāciju pilnībā jau noteicis Covid-19 uzliesmojums. Pēc </w:t>
      </w:r>
      <w:r>
        <w:rPr>
          <w:rFonts w:ascii="Times New Roman" w:eastAsia="Calibri" w:hAnsi="Times New Roman" w:cs="Times New Roman"/>
          <w:sz w:val="28"/>
          <w:szCs w:val="28"/>
        </w:rPr>
        <w:t>SVF</w:t>
      </w:r>
      <w:r w:rsidRPr="007B2901">
        <w:rPr>
          <w:rFonts w:ascii="Times New Roman" w:eastAsia="Calibri" w:hAnsi="Times New Roman" w:cs="Times New Roman"/>
          <w:sz w:val="28"/>
          <w:szCs w:val="28"/>
        </w:rPr>
        <w:t xml:space="preserve"> šā gada jūnija prognozēm, pasaules ekonomikas kritums var sasniegt 4,9%, un šī recesija būs vēl smagāka nekā globālās finanšu krīzes laikā, kad 2009.gadā pasaules ekonomika samazinājās par 0,1%.</w:t>
      </w:r>
    </w:p>
    <w:p w14:paraId="3D4C0CA4" w14:textId="0D7BFAFB" w:rsidR="007B2901" w:rsidRP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 xml:space="preserve">Latvijas ekonomikas attīstību visbūtiskāk ietekmē situācija </w:t>
      </w:r>
      <w:r w:rsidRPr="007B2901">
        <w:rPr>
          <w:rFonts w:ascii="Times New Roman" w:eastAsia="Calibri" w:hAnsi="Times New Roman" w:cs="Times New Roman"/>
          <w:i/>
          <w:sz w:val="28"/>
          <w:szCs w:val="28"/>
        </w:rPr>
        <w:t>euro</w:t>
      </w:r>
      <w:r>
        <w:rPr>
          <w:rFonts w:ascii="Times New Roman" w:eastAsia="Calibri" w:hAnsi="Times New Roman" w:cs="Times New Roman"/>
          <w:sz w:val="28"/>
          <w:szCs w:val="28"/>
        </w:rPr>
        <w:t xml:space="preserve"> zonā</w:t>
      </w:r>
      <w:r w:rsidRPr="007B2901">
        <w:rPr>
          <w:rFonts w:ascii="Times New Roman" w:eastAsia="Calibri" w:hAnsi="Times New Roman" w:cs="Times New Roman"/>
          <w:sz w:val="28"/>
          <w:szCs w:val="28"/>
        </w:rPr>
        <w:t xml:space="preserve"> un atsevišķās tās galvenajās ārējās tirdzniecības p</w:t>
      </w:r>
      <w:r w:rsidR="005E3FF5">
        <w:rPr>
          <w:rFonts w:ascii="Times New Roman" w:eastAsia="Calibri" w:hAnsi="Times New Roman" w:cs="Times New Roman"/>
          <w:sz w:val="28"/>
          <w:szCs w:val="28"/>
        </w:rPr>
        <w:t xml:space="preserve">artnervalstīs. Pēc EK jūlija prognozēm, </w:t>
      </w:r>
      <w:r w:rsidR="005E3FF5" w:rsidRPr="005E3FF5">
        <w:rPr>
          <w:rFonts w:ascii="Times New Roman" w:eastAsia="Calibri" w:hAnsi="Times New Roman" w:cs="Times New Roman"/>
          <w:i/>
          <w:sz w:val="28"/>
          <w:szCs w:val="28"/>
        </w:rPr>
        <w:t>euro</w:t>
      </w:r>
      <w:r w:rsidR="005E3FF5">
        <w:rPr>
          <w:rFonts w:ascii="Times New Roman" w:eastAsia="Calibri" w:hAnsi="Times New Roman" w:cs="Times New Roman"/>
          <w:sz w:val="28"/>
          <w:szCs w:val="28"/>
        </w:rPr>
        <w:t xml:space="preserve"> </w:t>
      </w:r>
      <w:r w:rsidRPr="007B2901">
        <w:rPr>
          <w:rFonts w:ascii="Times New Roman" w:eastAsia="Calibri" w:hAnsi="Times New Roman" w:cs="Times New Roman"/>
          <w:sz w:val="28"/>
          <w:szCs w:val="28"/>
        </w:rPr>
        <w:t>zonas ekonomika šogad varētu piedzīvot  8,7% kritumu, kamēr Latvijas lielākajām tirdzniecības partnervalstīm prognozētie iekšzemes kopprodukta kritumi kopumā ir mazāki - attiecīgi 7,1% Lietuvai, 7,7% Igaunijai, 6,3% Vācijai, 5,3% Zviedrijai, 9,7% Lielbritānijai, 5,2% Dānijai un 4,6% Polijai. Krievijai, kas ir trešā lielākā Latvijas ārējās tirdzniecības partnervalsts, SVF šim gadam prognozējis iekšzemes kopprodukta samazinājumu par 6,6% (1.1.tabula.).</w:t>
      </w:r>
    </w:p>
    <w:p w14:paraId="298DC06D" w14:textId="6EC27913" w:rsidR="007B2901" w:rsidRP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 xml:space="preserve">Jaunākie dati rāda, ka Covid-19 krīzes zemākais punkts ir bijis otrajā ceturksnī, kad pasaules attīstīto valstu ekonomika ar koronavīrusa izplatības ierobežošanai noteiktajiem pasākumiem piedzīvojusi nepieredzēti strauju kritumu, bet pēc tam apsteidzošie indikatori norāda uz ekonomiskās izaugsmes atjaunošanos. </w:t>
      </w:r>
      <w:r w:rsidR="005E3FF5">
        <w:rPr>
          <w:rFonts w:ascii="Times New Roman" w:eastAsia="Calibri" w:hAnsi="Times New Roman" w:cs="Times New Roman"/>
          <w:sz w:val="28"/>
          <w:szCs w:val="28"/>
        </w:rPr>
        <w:t>ES</w:t>
      </w:r>
      <w:r w:rsidRPr="007B2901">
        <w:rPr>
          <w:rFonts w:ascii="Times New Roman" w:eastAsia="Calibri" w:hAnsi="Times New Roman" w:cs="Times New Roman"/>
          <w:sz w:val="28"/>
          <w:szCs w:val="28"/>
        </w:rPr>
        <w:t xml:space="preserve"> valstu ekonomika šā gada otrajā ceturksnī, salīdzinot ar attiecīgo ceturksni pirms gada, samazinājusies par 13,9%, bet ASV ekonomikā, pēc provizoriskiem datiem bijis 9,1% kritums.</w:t>
      </w:r>
    </w:p>
    <w:p w14:paraId="3E1BEF10" w14:textId="5E4A9331" w:rsid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 xml:space="preserve">Otrā ceturkšņa dati pa atsevišķām ES valstīm liecina, ka Latvijas lielākajās tirdzniecības partnervalstīs ekonomiskā situācija Covid-19 krīzes laikā bijusi labāka nekā </w:t>
      </w:r>
      <w:r w:rsidR="005E3FF5">
        <w:rPr>
          <w:rFonts w:ascii="Times New Roman" w:eastAsia="Calibri" w:hAnsi="Times New Roman" w:cs="Times New Roman"/>
          <w:sz w:val="28"/>
          <w:szCs w:val="28"/>
        </w:rPr>
        <w:t>ES</w:t>
      </w:r>
      <w:r w:rsidRPr="007B2901">
        <w:rPr>
          <w:rFonts w:ascii="Times New Roman" w:eastAsia="Calibri" w:hAnsi="Times New Roman" w:cs="Times New Roman"/>
          <w:sz w:val="28"/>
          <w:szCs w:val="28"/>
        </w:rPr>
        <w:t xml:space="preserve"> kopumā, un arī ekonomikas kritums Eiropā un pasaulē izrādījies ne tik dziļš, kā sākotnēji sagaidīts. Visās nozīmīgākajās Latvijas ārējās tirdzniecības partnervalstīs, izņemot vienīgi Lielbritāniju, ekonomikas kritums gada pirmajā pusē bijis būtiski zemāks nekā </w:t>
      </w:r>
      <w:r w:rsidRPr="007B2901">
        <w:rPr>
          <w:rFonts w:ascii="Times New Roman" w:eastAsia="Calibri" w:hAnsi="Times New Roman" w:cs="Times New Roman"/>
          <w:i/>
          <w:sz w:val="28"/>
          <w:szCs w:val="28"/>
        </w:rPr>
        <w:t>euro</w:t>
      </w:r>
      <w:r>
        <w:rPr>
          <w:rFonts w:ascii="Times New Roman" w:eastAsia="Calibri" w:hAnsi="Times New Roman" w:cs="Times New Roman"/>
          <w:sz w:val="28"/>
          <w:szCs w:val="28"/>
        </w:rPr>
        <w:t xml:space="preserve"> zonā</w:t>
      </w:r>
      <w:r w:rsidRPr="007B2901">
        <w:rPr>
          <w:rFonts w:ascii="Times New Roman" w:eastAsia="Calibri" w:hAnsi="Times New Roman" w:cs="Times New Roman"/>
          <w:sz w:val="28"/>
          <w:szCs w:val="28"/>
        </w:rPr>
        <w:t xml:space="preserve"> (</w:t>
      </w:r>
      <w:r w:rsidR="00D4108D">
        <w:rPr>
          <w:rFonts w:ascii="Times New Roman" w:eastAsia="Calibri" w:hAnsi="Times New Roman" w:cs="Times New Roman"/>
          <w:sz w:val="28"/>
          <w:szCs w:val="28"/>
        </w:rPr>
        <w:t>skat. 1.1.tabulu</w:t>
      </w:r>
      <w:r w:rsidRPr="007B2901">
        <w:rPr>
          <w:rFonts w:ascii="Times New Roman" w:eastAsia="Calibri" w:hAnsi="Times New Roman" w:cs="Times New Roman"/>
          <w:sz w:val="28"/>
          <w:szCs w:val="28"/>
        </w:rPr>
        <w:t>.).</w:t>
      </w:r>
    </w:p>
    <w:p w14:paraId="6DFD9C3C" w14:textId="4236CE93" w:rsidR="00AC361B" w:rsidRDefault="00AC361B" w:rsidP="00401A5B">
      <w:pPr>
        <w:ind w:firstLine="720"/>
        <w:jc w:val="both"/>
        <w:rPr>
          <w:rFonts w:ascii="Times New Roman" w:eastAsia="Calibri" w:hAnsi="Times New Roman" w:cs="Times New Roman"/>
          <w:sz w:val="28"/>
          <w:szCs w:val="28"/>
        </w:rPr>
      </w:pPr>
    </w:p>
    <w:p w14:paraId="4B9FA88E" w14:textId="7339D003" w:rsidR="00AC361B" w:rsidRDefault="00AC361B" w:rsidP="00401A5B">
      <w:pPr>
        <w:ind w:firstLine="720"/>
        <w:jc w:val="both"/>
        <w:rPr>
          <w:rFonts w:ascii="Times New Roman" w:eastAsia="Calibri" w:hAnsi="Times New Roman" w:cs="Times New Roman"/>
          <w:sz w:val="28"/>
          <w:szCs w:val="28"/>
        </w:rPr>
      </w:pPr>
    </w:p>
    <w:p w14:paraId="0BEDFD3A" w14:textId="55B13AC0" w:rsidR="00AC361B" w:rsidRDefault="00AC361B" w:rsidP="00401A5B">
      <w:pPr>
        <w:ind w:firstLine="720"/>
        <w:jc w:val="both"/>
        <w:rPr>
          <w:rFonts w:ascii="Times New Roman" w:eastAsia="Calibri" w:hAnsi="Times New Roman" w:cs="Times New Roman"/>
          <w:sz w:val="28"/>
          <w:szCs w:val="28"/>
        </w:rPr>
      </w:pPr>
    </w:p>
    <w:p w14:paraId="0B27CBAB" w14:textId="42B1F30A" w:rsidR="00AC361B" w:rsidRDefault="00AC361B" w:rsidP="00401A5B">
      <w:pPr>
        <w:ind w:firstLine="720"/>
        <w:jc w:val="both"/>
        <w:rPr>
          <w:rFonts w:ascii="Times New Roman" w:eastAsia="Calibri" w:hAnsi="Times New Roman" w:cs="Times New Roman"/>
          <w:sz w:val="28"/>
          <w:szCs w:val="28"/>
        </w:rPr>
      </w:pPr>
    </w:p>
    <w:p w14:paraId="3FC58FFD" w14:textId="32A99A16" w:rsidR="00AC361B" w:rsidRDefault="00AC361B" w:rsidP="00401A5B">
      <w:pPr>
        <w:ind w:firstLine="720"/>
        <w:jc w:val="both"/>
        <w:rPr>
          <w:rFonts w:ascii="Times New Roman" w:eastAsia="Calibri" w:hAnsi="Times New Roman" w:cs="Times New Roman"/>
          <w:sz w:val="28"/>
          <w:szCs w:val="28"/>
        </w:rPr>
      </w:pPr>
    </w:p>
    <w:p w14:paraId="2F891343" w14:textId="3C25B9C9" w:rsidR="00AC361B" w:rsidRDefault="00AC361B" w:rsidP="00401A5B">
      <w:pPr>
        <w:ind w:firstLine="720"/>
        <w:jc w:val="both"/>
        <w:rPr>
          <w:rFonts w:ascii="Times New Roman" w:eastAsia="Calibri" w:hAnsi="Times New Roman" w:cs="Times New Roman"/>
          <w:sz w:val="28"/>
          <w:szCs w:val="28"/>
        </w:rPr>
      </w:pPr>
    </w:p>
    <w:p w14:paraId="0E55314F" w14:textId="77777777" w:rsidR="00051573" w:rsidRPr="007B2901" w:rsidRDefault="00051573" w:rsidP="00401A5B">
      <w:pPr>
        <w:ind w:firstLine="720"/>
        <w:jc w:val="both"/>
        <w:rPr>
          <w:rFonts w:ascii="Times New Roman" w:eastAsia="Calibri" w:hAnsi="Times New Roman" w:cs="Times New Roman"/>
          <w:sz w:val="28"/>
          <w:szCs w:val="28"/>
        </w:rPr>
      </w:pPr>
    </w:p>
    <w:p w14:paraId="252F9129" w14:textId="6D7CD590" w:rsidR="007B2901" w:rsidRPr="007B2901" w:rsidRDefault="007B2901" w:rsidP="00401A5B">
      <w:pPr>
        <w:jc w:val="both"/>
        <w:rPr>
          <w:rFonts w:ascii="Times New Roman" w:eastAsia="Calibri" w:hAnsi="Times New Roman" w:cs="Times New Roman"/>
          <w:sz w:val="28"/>
          <w:szCs w:val="28"/>
        </w:rPr>
      </w:pPr>
    </w:p>
    <w:p w14:paraId="2CE0A96A" w14:textId="47D54DB3" w:rsidR="007B2901" w:rsidRPr="005E3FF5" w:rsidRDefault="00581FF3" w:rsidP="00401A5B">
      <w:pPr>
        <w:jc w:val="right"/>
        <w:rPr>
          <w:rFonts w:ascii="Times New Roman" w:eastAsia="Calibri" w:hAnsi="Times New Roman" w:cs="Times New Roman"/>
          <w:sz w:val="24"/>
          <w:szCs w:val="24"/>
        </w:rPr>
      </w:pPr>
      <w:r>
        <w:rPr>
          <w:rFonts w:ascii="Times New Roman" w:eastAsia="Times New Roman" w:hAnsi="Times New Roman" w:cs="Times New Roman"/>
          <w:b/>
          <w:i/>
          <w:sz w:val="24"/>
          <w:szCs w:val="24"/>
        </w:rPr>
        <w:t>1.1.</w:t>
      </w:r>
      <w:r w:rsidR="007B2901" w:rsidRPr="005E3FF5">
        <w:rPr>
          <w:rFonts w:ascii="Times New Roman" w:eastAsia="Times New Roman" w:hAnsi="Times New Roman" w:cs="Times New Roman"/>
          <w:b/>
          <w:i/>
          <w:sz w:val="24"/>
          <w:szCs w:val="24"/>
        </w:rPr>
        <w:t xml:space="preserve">tabula. IKP pieauguma prognozes 2020. un 2021.gadam un IKP izmaiņas 2020.gada pirmajā pusē </w:t>
      </w:r>
    </w:p>
    <w:tbl>
      <w:tblPr>
        <w:tblW w:w="8921" w:type="dxa"/>
        <w:jc w:val="center"/>
        <w:tblLook w:val="04A0" w:firstRow="1" w:lastRow="0" w:firstColumn="1" w:lastColumn="0" w:noHBand="0" w:noVBand="1"/>
      </w:tblPr>
      <w:tblGrid>
        <w:gridCol w:w="1887"/>
        <w:gridCol w:w="1649"/>
        <w:gridCol w:w="1559"/>
        <w:gridCol w:w="1436"/>
        <w:gridCol w:w="2390"/>
      </w:tblGrid>
      <w:tr w:rsidR="007B2901" w:rsidRPr="005E3FF5" w14:paraId="3A7548D1" w14:textId="77777777" w:rsidTr="0060325A">
        <w:trPr>
          <w:trHeight w:val="839"/>
          <w:jc w:val="center"/>
        </w:trPr>
        <w:tc>
          <w:tcPr>
            <w:tcW w:w="1887"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41D000FA"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 xml:space="preserve">Valsts </w:t>
            </w:r>
          </w:p>
        </w:tc>
        <w:tc>
          <w:tcPr>
            <w:tcW w:w="1649"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63C25CDF"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Īpatsvars kopējā Latvijas eksportā 2019.gadā</w:t>
            </w:r>
          </w:p>
        </w:tc>
        <w:tc>
          <w:tcPr>
            <w:tcW w:w="2995" w:type="dxa"/>
            <w:gridSpan w:val="2"/>
            <w:tcBorders>
              <w:top w:val="single" w:sz="8" w:space="0" w:color="auto"/>
              <w:left w:val="nil"/>
              <w:bottom w:val="single" w:sz="8" w:space="0" w:color="auto"/>
              <w:right w:val="single" w:sz="8" w:space="0" w:color="000000"/>
            </w:tcBorders>
            <w:shd w:val="clear" w:color="auto" w:fill="BDD6EE" w:themeFill="accent1" w:themeFillTint="66"/>
            <w:vAlign w:val="center"/>
            <w:hideMark/>
          </w:tcPr>
          <w:p w14:paraId="3271BFFD"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 xml:space="preserve">IKP pieauguma prognoze salīdzināmās cenās, g/g, %, </w:t>
            </w:r>
          </w:p>
          <w:p w14:paraId="50DF12BE"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EK, 2020.gada jūnijs </w:t>
            </w:r>
          </w:p>
        </w:tc>
        <w:tc>
          <w:tcPr>
            <w:tcW w:w="2390"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18DEE7F4"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IKP pieaugums 2020.gada pirmajā pusē, g/g, %</w:t>
            </w:r>
          </w:p>
        </w:tc>
      </w:tr>
      <w:tr w:rsidR="007B2901" w:rsidRPr="005E3FF5" w14:paraId="62F07727" w14:textId="77777777" w:rsidTr="0060325A">
        <w:trPr>
          <w:trHeight w:val="268"/>
          <w:jc w:val="center"/>
        </w:trPr>
        <w:tc>
          <w:tcPr>
            <w:tcW w:w="1887" w:type="dxa"/>
            <w:vMerge/>
            <w:tcBorders>
              <w:top w:val="single" w:sz="8" w:space="0" w:color="auto"/>
              <w:left w:val="single" w:sz="8" w:space="0" w:color="auto"/>
              <w:bottom w:val="single" w:sz="8" w:space="0" w:color="000000"/>
              <w:right w:val="single" w:sz="8" w:space="0" w:color="auto"/>
            </w:tcBorders>
            <w:vAlign w:val="center"/>
            <w:hideMark/>
          </w:tcPr>
          <w:p w14:paraId="40775736" w14:textId="77777777" w:rsidR="007B2901" w:rsidRPr="005E3FF5" w:rsidRDefault="007B2901" w:rsidP="00401A5B">
            <w:pPr>
              <w:jc w:val="center"/>
              <w:rPr>
                <w:rFonts w:ascii="Times New Roman" w:eastAsia="Calibri" w:hAnsi="Times New Roman" w:cs="Times New Roman"/>
                <w:sz w:val="20"/>
                <w:szCs w:val="20"/>
              </w:rPr>
            </w:pPr>
          </w:p>
        </w:tc>
        <w:tc>
          <w:tcPr>
            <w:tcW w:w="1649" w:type="dxa"/>
            <w:vMerge/>
            <w:tcBorders>
              <w:top w:val="single" w:sz="8" w:space="0" w:color="auto"/>
              <w:left w:val="single" w:sz="8" w:space="0" w:color="auto"/>
              <w:bottom w:val="single" w:sz="8" w:space="0" w:color="000000"/>
              <w:right w:val="single" w:sz="8" w:space="0" w:color="auto"/>
            </w:tcBorders>
            <w:vAlign w:val="center"/>
            <w:hideMark/>
          </w:tcPr>
          <w:p w14:paraId="3D5991ED" w14:textId="77777777" w:rsidR="007B2901" w:rsidRPr="005E3FF5" w:rsidRDefault="007B2901" w:rsidP="00401A5B">
            <w:pPr>
              <w:jc w:val="center"/>
              <w:rPr>
                <w:rFonts w:ascii="Times New Roman" w:eastAsia="Calibri" w:hAnsi="Times New Roman" w:cs="Times New Roman"/>
                <w:sz w:val="20"/>
                <w:szCs w:val="20"/>
              </w:rPr>
            </w:pPr>
          </w:p>
        </w:tc>
        <w:tc>
          <w:tcPr>
            <w:tcW w:w="1559" w:type="dxa"/>
            <w:tcBorders>
              <w:top w:val="nil"/>
              <w:left w:val="nil"/>
              <w:bottom w:val="single" w:sz="8" w:space="0" w:color="auto"/>
              <w:right w:val="single" w:sz="8" w:space="0" w:color="auto"/>
            </w:tcBorders>
            <w:shd w:val="clear" w:color="auto" w:fill="BDD6EE" w:themeFill="accent1" w:themeFillTint="66"/>
            <w:vAlign w:val="center"/>
            <w:hideMark/>
          </w:tcPr>
          <w:p w14:paraId="30400CBC"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2020</w:t>
            </w:r>
          </w:p>
        </w:tc>
        <w:tc>
          <w:tcPr>
            <w:tcW w:w="1436" w:type="dxa"/>
            <w:tcBorders>
              <w:top w:val="nil"/>
              <w:left w:val="nil"/>
              <w:bottom w:val="single" w:sz="8" w:space="0" w:color="auto"/>
              <w:right w:val="single" w:sz="8" w:space="0" w:color="auto"/>
            </w:tcBorders>
            <w:shd w:val="clear" w:color="auto" w:fill="BDD6EE" w:themeFill="accent1" w:themeFillTint="66"/>
            <w:vAlign w:val="center"/>
            <w:hideMark/>
          </w:tcPr>
          <w:p w14:paraId="243567C2"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 2021</w:t>
            </w:r>
          </w:p>
        </w:tc>
        <w:tc>
          <w:tcPr>
            <w:tcW w:w="2390" w:type="dxa"/>
            <w:vMerge/>
            <w:tcBorders>
              <w:top w:val="single" w:sz="8" w:space="0" w:color="auto"/>
              <w:left w:val="single" w:sz="8" w:space="0" w:color="auto"/>
              <w:bottom w:val="single" w:sz="8" w:space="0" w:color="000000"/>
              <w:right w:val="single" w:sz="8" w:space="0" w:color="auto"/>
            </w:tcBorders>
            <w:vAlign w:val="center"/>
            <w:hideMark/>
          </w:tcPr>
          <w:p w14:paraId="2FDA40B0" w14:textId="77777777" w:rsidR="007B2901" w:rsidRPr="005E3FF5" w:rsidRDefault="007B2901" w:rsidP="00401A5B">
            <w:pPr>
              <w:jc w:val="center"/>
              <w:rPr>
                <w:rFonts w:ascii="Times New Roman" w:eastAsia="Calibri" w:hAnsi="Times New Roman" w:cs="Times New Roman"/>
                <w:sz w:val="20"/>
                <w:szCs w:val="20"/>
              </w:rPr>
            </w:pPr>
          </w:p>
        </w:tc>
      </w:tr>
      <w:tr w:rsidR="007B2901" w:rsidRPr="005E3FF5" w14:paraId="3CCD5746" w14:textId="77777777" w:rsidTr="0060325A">
        <w:trPr>
          <w:trHeight w:val="315"/>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3E17FD7E"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Lietuva</w:t>
            </w:r>
          </w:p>
        </w:tc>
        <w:tc>
          <w:tcPr>
            <w:tcW w:w="1649" w:type="dxa"/>
            <w:tcBorders>
              <w:top w:val="nil"/>
              <w:left w:val="nil"/>
              <w:bottom w:val="single" w:sz="8" w:space="0" w:color="auto"/>
              <w:right w:val="single" w:sz="8" w:space="0" w:color="auto"/>
            </w:tcBorders>
            <w:shd w:val="clear" w:color="auto" w:fill="auto"/>
            <w:vAlign w:val="center"/>
            <w:hideMark/>
          </w:tcPr>
          <w:p w14:paraId="39649AF3"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14,5%</w:t>
            </w:r>
          </w:p>
        </w:tc>
        <w:tc>
          <w:tcPr>
            <w:tcW w:w="1559" w:type="dxa"/>
            <w:tcBorders>
              <w:top w:val="nil"/>
              <w:left w:val="nil"/>
              <w:bottom w:val="single" w:sz="8" w:space="0" w:color="auto"/>
              <w:right w:val="single" w:sz="8" w:space="0" w:color="auto"/>
            </w:tcBorders>
            <w:shd w:val="clear" w:color="auto" w:fill="auto"/>
            <w:noWrap/>
            <w:vAlign w:val="center"/>
            <w:hideMark/>
          </w:tcPr>
          <w:p w14:paraId="63991D63"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-7,1</w:t>
            </w:r>
          </w:p>
        </w:tc>
        <w:tc>
          <w:tcPr>
            <w:tcW w:w="1436" w:type="dxa"/>
            <w:tcBorders>
              <w:top w:val="nil"/>
              <w:left w:val="nil"/>
              <w:bottom w:val="single" w:sz="8" w:space="0" w:color="auto"/>
              <w:right w:val="single" w:sz="8" w:space="0" w:color="auto"/>
            </w:tcBorders>
            <w:shd w:val="clear" w:color="auto" w:fill="auto"/>
            <w:noWrap/>
            <w:vAlign w:val="center"/>
            <w:hideMark/>
          </w:tcPr>
          <w:p w14:paraId="04095940"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6,7</w:t>
            </w:r>
          </w:p>
        </w:tc>
        <w:tc>
          <w:tcPr>
            <w:tcW w:w="2390" w:type="dxa"/>
            <w:tcBorders>
              <w:top w:val="nil"/>
              <w:left w:val="nil"/>
              <w:bottom w:val="single" w:sz="8" w:space="0" w:color="auto"/>
              <w:right w:val="single" w:sz="8" w:space="0" w:color="auto"/>
            </w:tcBorders>
            <w:shd w:val="clear" w:color="auto" w:fill="auto"/>
            <w:noWrap/>
            <w:vAlign w:val="center"/>
            <w:hideMark/>
          </w:tcPr>
          <w:p w14:paraId="75B1B082"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-1,0</w:t>
            </w:r>
          </w:p>
        </w:tc>
      </w:tr>
      <w:tr w:rsidR="007B2901" w:rsidRPr="005E3FF5" w14:paraId="37508254" w14:textId="77777777" w:rsidTr="0060325A">
        <w:trPr>
          <w:trHeight w:val="315"/>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2C99EF93"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Igaunija</w:t>
            </w:r>
          </w:p>
        </w:tc>
        <w:tc>
          <w:tcPr>
            <w:tcW w:w="1649" w:type="dxa"/>
            <w:tcBorders>
              <w:top w:val="nil"/>
              <w:left w:val="nil"/>
              <w:bottom w:val="single" w:sz="8" w:space="0" w:color="auto"/>
              <w:right w:val="single" w:sz="8" w:space="0" w:color="auto"/>
            </w:tcBorders>
            <w:shd w:val="clear" w:color="auto" w:fill="auto"/>
            <w:vAlign w:val="center"/>
            <w:hideMark/>
          </w:tcPr>
          <w:p w14:paraId="28889765"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10,1%</w:t>
            </w:r>
          </w:p>
        </w:tc>
        <w:tc>
          <w:tcPr>
            <w:tcW w:w="1559" w:type="dxa"/>
            <w:tcBorders>
              <w:top w:val="nil"/>
              <w:left w:val="nil"/>
              <w:bottom w:val="single" w:sz="8" w:space="0" w:color="auto"/>
              <w:right w:val="single" w:sz="8" w:space="0" w:color="auto"/>
            </w:tcBorders>
            <w:shd w:val="clear" w:color="auto" w:fill="auto"/>
            <w:noWrap/>
            <w:vAlign w:val="center"/>
            <w:hideMark/>
          </w:tcPr>
          <w:p w14:paraId="1B24D1FD"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-7,7</w:t>
            </w:r>
          </w:p>
        </w:tc>
        <w:tc>
          <w:tcPr>
            <w:tcW w:w="1436" w:type="dxa"/>
            <w:tcBorders>
              <w:top w:val="nil"/>
              <w:left w:val="nil"/>
              <w:bottom w:val="single" w:sz="8" w:space="0" w:color="auto"/>
              <w:right w:val="single" w:sz="8" w:space="0" w:color="auto"/>
            </w:tcBorders>
            <w:shd w:val="clear" w:color="auto" w:fill="auto"/>
            <w:noWrap/>
            <w:vAlign w:val="center"/>
            <w:hideMark/>
          </w:tcPr>
          <w:p w14:paraId="6E9897A5"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6,2</w:t>
            </w:r>
          </w:p>
        </w:tc>
        <w:tc>
          <w:tcPr>
            <w:tcW w:w="2390" w:type="dxa"/>
            <w:tcBorders>
              <w:top w:val="nil"/>
              <w:left w:val="nil"/>
              <w:bottom w:val="single" w:sz="8" w:space="0" w:color="auto"/>
              <w:right w:val="single" w:sz="8" w:space="0" w:color="auto"/>
            </w:tcBorders>
            <w:shd w:val="clear" w:color="auto" w:fill="auto"/>
            <w:noWrap/>
            <w:vAlign w:val="center"/>
            <w:hideMark/>
          </w:tcPr>
          <w:p w14:paraId="6EFE92BE"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-3,9</w:t>
            </w:r>
          </w:p>
        </w:tc>
      </w:tr>
      <w:tr w:rsidR="007B2901" w:rsidRPr="005E3FF5" w14:paraId="65DE39F6" w14:textId="77777777" w:rsidTr="0060325A">
        <w:trPr>
          <w:trHeight w:val="315"/>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26A49B5F"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Krievija</w:t>
            </w:r>
          </w:p>
        </w:tc>
        <w:tc>
          <w:tcPr>
            <w:tcW w:w="1649" w:type="dxa"/>
            <w:tcBorders>
              <w:top w:val="nil"/>
              <w:left w:val="nil"/>
              <w:bottom w:val="single" w:sz="8" w:space="0" w:color="auto"/>
              <w:right w:val="single" w:sz="8" w:space="0" w:color="auto"/>
            </w:tcBorders>
            <w:shd w:val="clear" w:color="auto" w:fill="auto"/>
            <w:vAlign w:val="center"/>
            <w:hideMark/>
          </w:tcPr>
          <w:p w14:paraId="13E95099"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9,3%</w:t>
            </w:r>
          </w:p>
        </w:tc>
        <w:tc>
          <w:tcPr>
            <w:tcW w:w="1559" w:type="dxa"/>
            <w:tcBorders>
              <w:top w:val="nil"/>
              <w:left w:val="nil"/>
              <w:bottom w:val="single" w:sz="8" w:space="0" w:color="auto"/>
              <w:right w:val="single" w:sz="8" w:space="0" w:color="auto"/>
            </w:tcBorders>
            <w:shd w:val="clear" w:color="auto" w:fill="auto"/>
            <w:noWrap/>
            <w:vAlign w:val="center"/>
            <w:hideMark/>
          </w:tcPr>
          <w:p w14:paraId="78C5C330"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-6,6</w:t>
            </w:r>
          </w:p>
        </w:tc>
        <w:tc>
          <w:tcPr>
            <w:tcW w:w="1436" w:type="dxa"/>
            <w:tcBorders>
              <w:top w:val="nil"/>
              <w:left w:val="nil"/>
              <w:bottom w:val="single" w:sz="8" w:space="0" w:color="auto"/>
              <w:right w:val="single" w:sz="8" w:space="0" w:color="auto"/>
            </w:tcBorders>
            <w:shd w:val="clear" w:color="auto" w:fill="auto"/>
            <w:noWrap/>
            <w:vAlign w:val="center"/>
            <w:hideMark/>
          </w:tcPr>
          <w:p w14:paraId="55DDFED3"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1,6</w:t>
            </w:r>
          </w:p>
        </w:tc>
        <w:tc>
          <w:tcPr>
            <w:tcW w:w="2390" w:type="dxa"/>
            <w:tcBorders>
              <w:top w:val="nil"/>
              <w:left w:val="nil"/>
              <w:bottom w:val="single" w:sz="8" w:space="0" w:color="auto"/>
              <w:right w:val="single" w:sz="8" w:space="0" w:color="auto"/>
            </w:tcBorders>
            <w:shd w:val="clear" w:color="auto" w:fill="auto"/>
            <w:noWrap/>
            <w:vAlign w:val="center"/>
            <w:hideMark/>
          </w:tcPr>
          <w:p w14:paraId="4085BE31"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-3,2</w:t>
            </w:r>
          </w:p>
        </w:tc>
      </w:tr>
      <w:tr w:rsidR="007B2901" w:rsidRPr="005E3FF5" w14:paraId="19B965F1" w14:textId="77777777" w:rsidTr="0060325A">
        <w:trPr>
          <w:trHeight w:val="315"/>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19627C3E"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Vācija</w:t>
            </w:r>
          </w:p>
        </w:tc>
        <w:tc>
          <w:tcPr>
            <w:tcW w:w="1649" w:type="dxa"/>
            <w:tcBorders>
              <w:top w:val="nil"/>
              <w:left w:val="nil"/>
              <w:bottom w:val="single" w:sz="8" w:space="0" w:color="auto"/>
              <w:right w:val="single" w:sz="8" w:space="0" w:color="auto"/>
            </w:tcBorders>
            <w:shd w:val="clear" w:color="auto" w:fill="auto"/>
            <w:vAlign w:val="center"/>
            <w:hideMark/>
          </w:tcPr>
          <w:p w14:paraId="7245233F"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7,3%</w:t>
            </w:r>
          </w:p>
        </w:tc>
        <w:tc>
          <w:tcPr>
            <w:tcW w:w="1559" w:type="dxa"/>
            <w:tcBorders>
              <w:top w:val="nil"/>
              <w:left w:val="nil"/>
              <w:bottom w:val="single" w:sz="8" w:space="0" w:color="auto"/>
              <w:right w:val="single" w:sz="8" w:space="0" w:color="auto"/>
            </w:tcBorders>
            <w:shd w:val="clear" w:color="auto" w:fill="auto"/>
            <w:noWrap/>
            <w:vAlign w:val="center"/>
            <w:hideMark/>
          </w:tcPr>
          <w:p w14:paraId="61662816"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-6,3</w:t>
            </w:r>
          </w:p>
        </w:tc>
        <w:tc>
          <w:tcPr>
            <w:tcW w:w="1436" w:type="dxa"/>
            <w:tcBorders>
              <w:top w:val="nil"/>
              <w:left w:val="nil"/>
              <w:bottom w:val="single" w:sz="8" w:space="0" w:color="auto"/>
              <w:right w:val="single" w:sz="8" w:space="0" w:color="auto"/>
            </w:tcBorders>
            <w:shd w:val="clear" w:color="auto" w:fill="auto"/>
            <w:noWrap/>
            <w:vAlign w:val="center"/>
            <w:hideMark/>
          </w:tcPr>
          <w:p w14:paraId="271CCC1B"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5,3</w:t>
            </w:r>
          </w:p>
        </w:tc>
        <w:tc>
          <w:tcPr>
            <w:tcW w:w="2390" w:type="dxa"/>
            <w:tcBorders>
              <w:top w:val="nil"/>
              <w:left w:val="nil"/>
              <w:bottom w:val="single" w:sz="8" w:space="0" w:color="auto"/>
              <w:right w:val="single" w:sz="8" w:space="0" w:color="auto"/>
            </w:tcBorders>
            <w:shd w:val="clear" w:color="auto" w:fill="auto"/>
            <w:noWrap/>
            <w:vAlign w:val="center"/>
            <w:hideMark/>
          </w:tcPr>
          <w:p w14:paraId="16CEE1CE"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-6,5</w:t>
            </w:r>
          </w:p>
        </w:tc>
      </w:tr>
      <w:tr w:rsidR="007B2901" w:rsidRPr="005E3FF5" w14:paraId="69B3C5E8" w14:textId="77777777" w:rsidTr="0060325A">
        <w:trPr>
          <w:trHeight w:val="315"/>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78889AAD"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Zviedrija</w:t>
            </w:r>
          </w:p>
        </w:tc>
        <w:tc>
          <w:tcPr>
            <w:tcW w:w="1649" w:type="dxa"/>
            <w:tcBorders>
              <w:top w:val="nil"/>
              <w:left w:val="nil"/>
              <w:bottom w:val="single" w:sz="8" w:space="0" w:color="auto"/>
              <w:right w:val="single" w:sz="8" w:space="0" w:color="auto"/>
            </w:tcBorders>
            <w:shd w:val="clear" w:color="auto" w:fill="auto"/>
            <w:vAlign w:val="center"/>
            <w:hideMark/>
          </w:tcPr>
          <w:p w14:paraId="2BA2CDAB"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7,8%</w:t>
            </w:r>
          </w:p>
        </w:tc>
        <w:tc>
          <w:tcPr>
            <w:tcW w:w="1559" w:type="dxa"/>
            <w:tcBorders>
              <w:top w:val="nil"/>
              <w:left w:val="nil"/>
              <w:bottom w:val="single" w:sz="8" w:space="0" w:color="auto"/>
              <w:right w:val="single" w:sz="8" w:space="0" w:color="auto"/>
            </w:tcBorders>
            <w:shd w:val="clear" w:color="auto" w:fill="auto"/>
            <w:noWrap/>
            <w:vAlign w:val="center"/>
            <w:hideMark/>
          </w:tcPr>
          <w:p w14:paraId="1FB8E57A"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-5,3</w:t>
            </w:r>
          </w:p>
        </w:tc>
        <w:tc>
          <w:tcPr>
            <w:tcW w:w="1436" w:type="dxa"/>
            <w:tcBorders>
              <w:top w:val="nil"/>
              <w:left w:val="nil"/>
              <w:bottom w:val="single" w:sz="8" w:space="0" w:color="auto"/>
              <w:right w:val="single" w:sz="8" w:space="0" w:color="auto"/>
            </w:tcBorders>
            <w:shd w:val="clear" w:color="auto" w:fill="auto"/>
            <w:noWrap/>
            <w:vAlign w:val="center"/>
            <w:hideMark/>
          </w:tcPr>
          <w:p w14:paraId="13483052"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3,1</w:t>
            </w:r>
          </w:p>
        </w:tc>
        <w:tc>
          <w:tcPr>
            <w:tcW w:w="2390" w:type="dxa"/>
            <w:tcBorders>
              <w:top w:val="nil"/>
              <w:left w:val="nil"/>
              <w:bottom w:val="single" w:sz="8" w:space="0" w:color="auto"/>
              <w:right w:val="single" w:sz="8" w:space="0" w:color="auto"/>
            </w:tcBorders>
            <w:shd w:val="clear" w:color="auto" w:fill="auto"/>
            <w:noWrap/>
            <w:vAlign w:val="center"/>
            <w:hideMark/>
          </w:tcPr>
          <w:p w14:paraId="537279B4"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-3,4</w:t>
            </w:r>
          </w:p>
        </w:tc>
      </w:tr>
      <w:tr w:rsidR="007B2901" w:rsidRPr="005E3FF5" w14:paraId="34354138" w14:textId="77777777" w:rsidTr="0060325A">
        <w:trPr>
          <w:trHeight w:val="381"/>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30BC351E"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Apvienotā Karaliste</w:t>
            </w:r>
          </w:p>
        </w:tc>
        <w:tc>
          <w:tcPr>
            <w:tcW w:w="1649" w:type="dxa"/>
            <w:tcBorders>
              <w:top w:val="nil"/>
              <w:left w:val="nil"/>
              <w:bottom w:val="single" w:sz="8" w:space="0" w:color="auto"/>
              <w:right w:val="single" w:sz="8" w:space="0" w:color="auto"/>
            </w:tcBorders>
            <w:shd w:val="clear" w:color="auto" w:fill="auto"/>
            <w:vAlign w:val="center"/>
            <w:hideMark/>
          </w:tcPr>
          <w:p w14:paraId="3F4E7F96"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5,8%</w:t>
            </w:r>
          </w:p>
        </w:tc>
        <w:tc>
          <w:tcPr>
            <w:tcW w:w="1559" w:type="dxa"/>
            <w:tcBorders>
              <w:top w:val="nil"/>
              <w:left w:val="nil"/>
              <w:bottom w:val="single" w:sz="8" w:space="0" w:color="auto"/>
              <w:right w:val="single" w:sz="8" w:space="0" w:color="auto"/>
            </w:tcBorders>
            <w:shd w:val="clear" w:color="auto" w:fill="auto"/>
            <w:noWrap/>
            <w:vAlign w:val="center"/>
            <w:hideMark/>
          </w:tcPr>
          <w:p w14:paraId="41818678"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-9,7</w:t>
            </w:r>
          </w:p>
        </w:tc>
        <w:tc>
          <w:tcPr>
            <w:tcW w:w="1436" w:type="dxa"/>
            <w:tcBorders>
              <w:top w:val="nil"/>
              <w:left w:val="nil"/>
              <w:bottom w:val="single" w:sz="8" w:space="0" w:color="auto"/>
              <w:right w:val="single" w:sz="8" w:space="0" w:color="auto"/>
            </w:tcBorders>
            <w:shd w:val="clear" w:color="auto" w:fill="auto"/>
            <w:noWrap/>
            <w:vAlign w:val="center"/>
            <w:hideMark/>
          </w:tcPr>
          <w:p w14:paraId="21106F6E"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6,0</w:t>
            </w:r>
          </w:p>
        </w:tc>
        <w:tc>
          <w:tcPr>
            <w:tcW w:w="2390" w:type="dxa"/>
            <w:tcBorders>
              <w:top w:val="nil"/>
              <w:left w:val="nil"/>
              <w:bottom w:val="single" w:sz="8" w:space="0" w:color="auto"/>
              <w:right w:val="single" w:sz="8" w:space="0" w:color="auto"/>
            </w:tcBorders>
            <w:shd w:val="clear" w:color="auto" w:fill="auto"/>
            <w:noWrap/>
            <w:vAlign w:val="center"/>
            <w:hideMark/>
          </w:tcPr>
          <w:p w14:paraId="0E8F8D88"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-12,6</w:t>
            </w:r>
          </w:p>
        </w:tc>
      </w:tr>
      <w:tr w:rsidR="007B2901" w:rsidRPr="005E3FF5" w14:paraId="62066936" w14:textId="77777777" w:rsidTr="0060325A">
        <w:trPr>
          <w:trHeight w:val="315"/>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7A13DEA0"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Dānija</w:t>
            </w:r>
          </w:p>
        </w:tc>
        <w:tc>
          <w:tcPr>
            <w:tcW w:w="1649" w:type="dxa"/>
            <w:tcBorders>
              <w:top w:val="nil"/>
              <w:left w:val="nil"/>
              <w:bottom w:val="single" w:sz="8" w:space="0" w:color="auto"/>
              <w:right w:val="single" w:sz="8" w:space="0" w:color="auto"/>
            </w:tcBorders>
            <w:shd w:val="clear" w:color="auto" w:fill="auto"/>
            <w:vAlign w:val="center"/>
            <w:hideMark/>
          </w:tcPr>
          <w:p w14:paraId="6750A5CC"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3,7%</w:t>
            </w:r>
          </w:p>
        </w:tc>
        <w:tc>
          <w:tcPr>
            <w:tcW w:w="1559" w:type="dxa"/>
            <w:tcBorders>
              <w:top w:val="nil"/>
              <w:left w:val="nil"/>
              <w:bottom w:val="single" w:sz="8" w:space="0" w:color="auto"/>
              <w:right w:val="single" w:sz="8" w:space="0" w:color="auto"/>
            </w:tcBorders>
            <w:shd w:val="clear" w:color="auto" w:fill="auto"/>
            <w:noWrap/>
            <w:vAlign w:val="center"/>
            <w:hideMark/>
          </w:tcPr>
          <w:p w14:paraId="1BF55EC0"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-5,2</w:t>
            </w:r>
          </w:p>
        </w:tc>
        <w:tc>
          <w:tcPr>
            <w:tcW w:w="1436" w:type="dxa"/>
            <w:tcBorders>
              <w:top w:val="nil"/>
              <w:left w:val="nil"/>
              <w:bottom w:val="single" w:sz="8" w:space="0" w:color="auto"/>
              <w:right w:val="single" w:sz="8" w:space="0" w:color="auto"/>
            </w:tcBorders>
            <w:shd w:val="clear" w:color="auto" w:fill="auto"/>
            <w:noWrap/>
            <w:vAlign w:val="center"/>
            <w:hideMark/>
          </w:tcPr>
          <w:p w14:paraId="2F40A4D9"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4,3</w:t>
            </w:r>
          </w:p>
        </w:tc>
        <w:tc>
          <w:tcPr>
            <w:tcW w:w="2390" w:type="dxa"/>
            <w:tcBorders>
              <w:top w:val="nil"/>
              <w:left w:val="nil"/>
              <w:bottom w:val="single" w:sz="8" w:space="0" w:color="auto"/>
              <w:right w:val="single" w:sz="8" w:space="0" w:color="auto"/>
            </w:tcBorders>
            <w:shd w:val="clear" w:color="auto" w:fill="auto"/>
            <w:noWrap/>
            <w:vAlign w:val="center"/>
            <w:hideMark/>
          </w:tcPr>
          <w:p w14:paraId="5E00DC0B"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-4,2</w:t>
            </w:r>
          </w:p>
        </w:tc>
      </w:tr>
      <w:tr w:rsidR="007B2901" w:rsidRPr="005E3FF5" w14:paraId="30692ABD" w14:textId="77777777" w:rsidTr="0060325A">
        <w:trPr>
          <w:trHeight w:val="315"/>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2AFF26F1"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Polija</w:t>
            </w:r>
          </w:p>
        </w:tc>
        <w:tc>
          <w:tcPr>
            <w:tcW w:w="1649" w:type="dxa"/>
            <w:tcBorders>
              <w:top w:val="nil"/>
              <w:left w:val="nil"/>
              <w:bottom w:val="single" w:sz="8" w:space="0" w:color="auto"/>
              <w:right w:val="single" w:sz="8" w:space="0" w:color="auto"/>
            </w:tcBorders>
            <w:shd w:val="clear" w:color="auto" w:fill="auto"/>
            <w:vAlign w:val="center"/>
            <w:hideMark/>
          </w:tcPr>
          <w:p w14:paraId="1985BBBA"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3,1%</w:t>
            </w:r>
          </w:p>
        </w:tc>
        <w:tc>
          <w:tcPr>
            <w:tcW w:w="1559" w:type="dxa"/>
            <w:tcBorders>
              <w:top w:val="nil"/>
              <w:left w:val="nil"/>
              <w:bottom w:val="single" w:sz="8" w:space="0" w:color="auto"/>
              <w:right w:val="single" w:sz="8" w:space="0" w:color="auto"/>
            </w:tcBorders>
            <w:shd w:val="clear" w:color="auto" w:fill="auto"/>
            <w:noWrap/>
            <w:vAlign w:val="center"/>
            <w:hideMark/>
          </w:tcPr>
          <w:p w14:paraId="3A7F8FAF"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-4,6</w:t>
            </w:r>
          </w:p>
        </w:tc>
        <w:tc>
          <w:tcPr>
            <w:tcW w:w="1436" w:type="dxa"/>
            <w:tcBorders>
              <w:top w:val="nil"/>
              <w:left w:val="nil"/>
              <w:bottom w:val="single" w:sz="8" w:space="0" w:color="auto"/>
              <w:right w:val="single" w:sz="8" w:space="0" w:color="auto"/>
            </w:tcBorders>
            <w:shd w:val="clear" w:color="auto" w:fill="auto"/>
            <w:noWrap/>
            <w:vAlign w:val="center"/>
            <w:hideMark/>
          </w:tcPr>
          <w:p w14:paraId="4AB8007E"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4,3</w:t>
            </w:r>
          </w:p>
        </w:tc>
        <w:tc>
          <w:tcPr>
            <w:tcW w:w="2390" w:type="dxa"/>
            <w:tcBorders>
              <w:top w:val="nil"/>
              <w:left w:val="nil"/>
              <w:bottom w:val="single" w:sz="8" w:space="0" w:color="auto"/>
              <w:right w:val="single" w:sz="8" w:space="0" w:color="auto"/>
            </w:tcBorders>
            <w:shd w:val="clear" w:color="auto" w:fill="auto"/>
            <w:noWrap/>
            <w:vAlign w:val="center"/>
            <w:hideMark/>
          </w:tcPr>
          <w:p w14:paraId="0FF7CC66"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-3,2</w:t>
            </w:r>
          </w:p>
        </w:tc>
      </w:tr>
      <w:tr w:rsidR="007B2901" w:rsidRPr="005E3FF5" w14:paraId="3D5F530F" w14:textId="77777777" w:rsidTr="0060325A">
        <w:trPr>
          <w:trHeight w:val="315"/>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4D996BA7"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Nīderlande</w:t>
            </w:r>
          </w:p>
        </w:tc>
        <w:tc>
          <w:tcPr>
            <w:tcW w:w="1649" w:type="dxa"/>
            <w:tcBorders>
              <w:top w:val="nil"/>
              <w:left w:val="nil"/>
              <w:bottom w:val="single" w:sz="8" w:space="0" w:color="auto"/>
              <w:right w:val="single" w:sz="8" w:space="0" w:color="auto"/>
            </w:tcBorders>
            <w:shd w:val="clear" w:color="auto" w:fill="auto"/>
            <w:vAlign w:val="center"/>
            <w:hideMark/>
          </w:tcPr>
          <w:p w14:paraId="11C3BB17"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2,7%</w:t>
            </w:r>
          </w:p>
        </w:tc>
        <w:tc>
          <w:tcPr>
            <w:tcW w:w="1559" w:type="dxa"/>
            <w:tcBorders>
              <w:top w:val="nil"/>
              <w:left w:val="nil"/>
              <w:bottom w:val="single" w:sz="8" w:space="0" w:color="auto"/>
              <w:right w:val="single" w:sz="8" w:space="0" w:color="auto"/>
            </w:tcBorders>
            <w:shd w:val="clear" w:color="auto" w:fill="auto"/>
            <w:noWrap/>
            <w:vAlign w:val="center"/>
            <w:hideMark/>
          </w:tcPr>
          <w:p w14:paraId="1CED1788"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-6,8</w:t>
            </w:r>
          </w:p>
        </w:tc>
        <w:tc>
          <w:tcPr>
            <w:tcW w:w="1436" w:type="dxa"/>
            <w:tcBorders>
              <w:top w:val="nil"/>
              <w:left w:val="nil"/>
              <w:bottom w:val="single" w:sz="8" w:space="0" w:color="auto"/>
              <w:right w:val="single" w:sz="8" w:space="0" w:color="auto"/>
            </w:tcBorders>
            <w:shd w:val="clear" w:color="auto" w:fill="auto"/>
            <w:noWrap/>
            <w:vAlign w:val="center"/>
            <w:hideMark/>
          </w:tcPr>
          <w:p w14:paraId="4EAC7C65"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4,6</w:t>
            </w:r>
          </w:p>
        </w:tc>
        <w:tc>
          <w:tcPr>
            <w:tcW w:w="2390" w:type="dxa"/>
            <w:tcBorders>
              <w:top w:val="nil"/>
              <w:left w:val="nil"/>
              <w:bottom w:val="single" w:sz="8" w:space="0" w:color="auto"/>
              <w:right w:val="single" w:sz="8" w:space="0" w:color="auto"/>
            </w:tcBorders>
            <w:shd w:val="clear" w:color="auto" w:fill="auto"/>
            <w:noWrap/>
            <w:vAlign w:val="center"/>
            <w:hideMark/>
          </w:tcPr>
          <w:p w14:paraId="4A2D0D2D"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-4,8</w:t>
            </w:r>
          </w:p>
        </w:tc>
      </w:tr>
      <w:tr w:rsidR="007B2901" w:rsidRPr="005E3FF5" w14:paraId="0F0FB9DF" w14:textId="77777777" w:rsidTr="0060325A">
        <w:trPr>
          <w:trHeight w:val="401"/>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0D024CE1" w14:textId="77777777" w:rsidR="007B2901" w:rsidRPr="005E3FF5" w:rsidRDefault="007B2901" w:rsidP="00401A5B">
            <w:pPr>
              <w:rPr>
                <w:rFonts w:ascii="Times New Roman" w:eastAsia="Calibri" w:hAnsi="Times New Roman" w:cs="Times New Roman"/>
                <w:sz w:val="20"/>
                <w:szCs w:val="20"/>
              </w:rPr>
            </w:pPr>
            <w:r w:rsidRPr="005E3FF5">
              <w:rPr>
                <w:rFonts w:ascii="Times New Roman" w:eastAsia="Calibri" w:hAnsi="Times New Roman" w:cs="Times New Roman"/>
                <w:sz w:val="20"/>
                <w:szCs w:val="20"/>
              </w:rPr>
              <w:t>Norvēģija</w:t>
            </w:r>
          </w:p>
        </w:tc>
        <w:tc>
          <w:tcPr>
            <w:tcW w:w="1649" w:type="dxa"/>
            <w:tcBorders>
              <w:top w:val="nil"/>
              <w:left w:val="nil"/>
              <w:bottom w:val="single" w:sz="8" w:space="0" w:color="auto"/>
              <w:right w:val="single" w:sz="8" w:space="0" w:color="auto"/>
            </w:tcBorders>
            <w:shd w:val="clear" w:color="auto" w:fill="auto"/>
            <w:vAlign w:val="center"/>
            <w:hideMark/>
          </w:tcPr>
          <w:p w14:paraId="2C4C12D4"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2,6%</w:t>
            </w:r>
          </w:p>
        </w:tc>
        <w:tc>
          <w:tcPr>
            <w:tcW w:w="1559" w:type="dxa"/>
            <w:tcBorders>
              <w:top w:val="nil"/>
              <w:left w:val="nil"/>
              <w:bottom w:val="single" w:sz="8" w:space="0" w:color="auto"/>
              <w:right w:val="single" w:sz="8" w:space="0" w:color="auto"/>
            </w:tcBorders>
            <w:shd w:val="clear" w:color="auto" w:fill="auto"/>
            <w:noWrap/>
            <w:vAlign w:val="center"/>
            <w:hideMark/>
          </w:tcPr>
          <w:p w14:paraId="7D7B269A"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-5,5</w:t>
            </w:r>
          </w:p>
        </w:tc>
        <w:tc>
          <w:tcPr>
            <w:tcW w:w="1436" w:type="dxa"/>
            <w:tcBorders>
              <w:top w:val="nil"/>
              <w:left w:val="nil"/>
              <w:bottom w:val="single" w:sz="8" w:space="0" w:color="auto"/>
              <w:right w:val="single" w:sz="8" w:space="0" w:color="auto"/>
            </w:tcBorders>
            <w:shd w:val="clear" w:color="auto" w:fill="auto"/>
            <w:noWrap/>
            <w:vAlign w:val="center"/>
            <w:hideMark/>
          </w:tcPr>
          <w:p w14:paraId="7884EF1B"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3,0</w:t>
            </w:r>
          </w:p>
        </w:tc>
        <w:tc>
          <w:tcPr>
            <w:tcW w:w="2390" w:type="dxa"/>
            <w:tcBorders>
              <w:top w:val="nil"/>
              <w:left w:val="nil"/>
              <w:bottom w:val="single" w:sz="8" w:space="0" w:color="auto"/>
              <w:right w:val="single" w:sz="8" w:space="0" w:color="auto"/>
            </w:tcBorders>
            <w:shd w:val="clear" w:color="auto" w:fill="auto"/>
            <w:noWrap/>
            <w:vAlign w:val="center"/>
            <w:hideMark/>
          </w:tcPr>
          <w:p w14:paraId="1ED5E71B" w14:textId="77777777" w:rsidR="007B2901" w:rsidRPr="005E3FF5" w:rsidRDefault="007B2901" w:rsidP="00401A5B">
            <w:pPr>
              <w:jc w:val="center"/>
              <w:rPr>
                <w:rFonts w:ascii="Times New Roman" w:eastAsia="Calibri" w:hAnsi="Times New Roman" w:cs="Times New Roman"/>
                <w:sz w:val="20"/>
                <w:szCs w:val="20"/>
              </w:rPr>
            </w:pPr>
            <w:r w:rsidRPr="005E3FF5">
              <w:rPr>
                <w:rFonts w:ascii="Times New Roman" w:eastAsia="Calibri" w:hAnsi="Times New Roman" w:cs="Times New Roman"/>
                <w:sz w:val="20"/>
                <w:szCs w:val="20"/>
              </w:rPr>
              <w:t>-1,9</w:t>
            </w:r>
          </w:p>
        </w:tc>
      </w:tr>
      <w:tr w:rsidR="007B2901" w:rsidRPr="005E3FF5" w14:paraId="037F1981" w14:textId="77777777" w:rsidTr="0060325A">
        <w:trPr>
          <w:trHeight w:val="780"/>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695A694A" w14:textId="77777777" w:rsidR="007B2901" w:rsidRPr="005E3FF5" w:rsidRDefault="007B2901" w:rsidP="00401A5B">
            <w:pPr>
              <w:rPr>
                <w:rFonts w:ascii="Times New Roman" w:eastAsia="Calibri" w:hAnsi="Times New Roman" w:cs="Times New Roman"/>
                <w:b/>
                <w:sz w:val="20"/>
                <w:szCs w:val="20"/>
              </w:rPr>
            </w:pPr>
            <w:r w:rsidRPr="005E3FF5">
              <w:rPr>
                <w:rFonts w:ascii="Times New Roman" w:eastAsia="Calibri" w:hAnsi="Times New Roman" w:cs="Times New Roman"/>
                <w:b/>
                <w:sz w:val="20"/>
                <w:szCs w:val="20"/>
              </w:rPr>
              <w:t>Kopā vidēji svērtais 10 valstīm</w:t>
            </w:r>
          </w:p>
        </w:tc>
        <w:tc>
          <w:tcPr>
            <w:tcW w:w="1649" w:type="dxa"/>
            <w:tcBorders>
              <w:top w:val="nil"/>
              <w:left w:val="nil"/>
              <w:bottom w:val="single" w:sz="8" w:space="0" w:color="auto"/>
              <w:right w:val="single" w:sz="8" w:space="0" w:color="auto"/>
            </w:tcBorders>
            <w:shd w:val="clear" w:color="auto" w:fill="auto"/>
            <w:vAlign w:val="center"/>
            <w:hideMark/>
          </w:tcPr>
          <w:p w14:paraId="4C862E73"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66,9%</w:t>
            </w:r>
          </w:p>
        </w:tc>
        <w:tc>
          <w:tcPr>
            <w:tcW w:w="1559" w:type="dxa"/>
            <w:tcBorders>
              <w:top w:val="nil"/>
              <w:left w:val="nil"/>
              <w:bottom w:val="single" w:sz="8" w:space="0" w:color="auto"/>
              <w:right w:val="single" w:sz="8" w:space="0" w:color="auto"/>
            </w:tcBorders>
            <w:shd w:val="clear" w:color="auto" w:fill="auto"/>
            <w:noWrap/>
            <w:vAlign w:val="center"/>
            <w:hideMark/>
          </w:tcPr>
          <w:p w14:paraId="52B0C133"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-6,5</w:t>
            </w:r>
          </w:p>
        </w:tc>
        <w:tc>
          <w:tcPr>
            <w:tcW w:w="1436" w:type="dxa"/>
            <w:tcBorders>
              <w:top w:val="nil"/>
              <w:left w:val="nil"/>
              <w:bottom w:val="single" w:sz="8" w:space="0" w:color="auto"/>
              <w:right w:val="single" w:sz="8" w:space="0" w:color="auto"/>
            </w:tcBorders>
            <w:shd w:val="clear" w:color="auto" w:fill="auto"/>
            <w:noWrap/>
            <w:vAlign w:val="center"/>
            <w:hideMark/>
          </w:tcPr>
          <w:p w14:paraId="61F0B00B"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4,8</w:t>
            </w:r>
          </w:p>
        </w:tc>
        <w:tc>
          <w:tcPr>
            <w:tcW w:w="2390" w:type="dxa"/>
            <w:tcBorders>
              <w:top w:val="nil"/>
              <w:left w:val="nil"/>
              <w:bottom w:val="single" w:sz="8" w:space="0" w:color="auto"/>
              <w:right w:val="single" w:sz="8" w:space="0" w:color="auto"/>
            </w:tcBorders>
            <w:shd w:val="clear" w:color="auto" w:fill="auto"/>
            <w:noWrap/>
            <w:vAlign w:val="center"/>
            <w:hideMark/>
          </w:tcPr>
          <w:p w14:paraId="699E9320"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-4,1</w:t>
            </w:r>
          </w:p>
        </w:tc>
      </w:tr>
      <w:tr w:rsidR="007B2901" w:rsidRPr="005E3FF5" w14:paraId="0FD65E87" w14:textId="77777777" w:rsidTr="0060325A">
        <w:trPr>
          <w:trHeight w:val="315"/>
          <w:jc w:val="center"/>
        </w:trPr>
        <w:tc>
          <w:tcPr>
            <w:tcW w:w="1887" w:type="dxa"/>
            <w:tcBorders>
              <w:top w:val="nil"/>
              <w:left w:val="single" w:sz="8" w:space="0" w:color="auto"/>
              <w:bottom w:val="single" w:sz="8" w:space="0" w:color="auto"/>
              <w:right w:val="single" w:sz="8" w:space="0" w:color="auto"/>
            </w:tcBorders>
            <w:shd w:val="clear" w:color="auto" w:fill="auto"/>
            <w:vAlign w:val="center"/>
            <w:hideMark/>
          </w:tcPr>
          <w:p w14:paraId="3E022C66" w14:textId="61CBFF48" w:rsidR="007B2901" w:rsidRPr="005E3FF5" w:rsidRDefault="005E3FF5" w:rsidP="00401A5B">
            <w:pPr>
              <w:rPr>
                <w:rFonts w:ascii="Times New Roman" w:eastAsia="Calibri" w:hAnsi="Times New Roman" w:cs="Times New Roman"/>
                <w:b/>
                <w:sz w:val="20"/>
                <w:szCs w:val="20"/>
              </w:rPr>
            </w:pPr>
            <w:r w:rsidRPr="005E3FF5">
              <w:rPr>
                <w:rFonts w:ascii="Times New Roman" w:eastAsia="Calibri" w:hAnsi="Times New Roman" w:cs="Times New Roman"/>
                <w:b/>
                <w:i/>
                <w:sz w:val="20"/>
                <w:szCs w:val="20"/>
              </w:rPr>
              <w:t>Euro</w:t>
            </w:r>
            <w:r w:rsidRPr="005E3FF5">
              <w:rPr>
                <w:rFonts w:ascii="Times New Roman" w:eastAsia="Calibri" w:hAnsi="Times New Roman" w:cs="Times New Roman"/>
                <w:b/>
                <w:sz w:val="20"/>
                <w:szCs w:val="20"/>
              </w:rPr>
              <w:t xml:space="preserve"> </w:t>
            </w:r>
            <w:r w:rsidR="007B2901" w:rsidRPr="005E3FF5">
              <w:rPr>
                <w:rFonts w:ascii="Times New Roman" w:eastAsia="Calibri" w:hAnsi="Times New Roman" w:cs="Times New Roman"/>
                <w:b/>
                <w:sz w:val="20"/>
                <w:szCs w:val="20"/>
              </w:rPr>
              <w:t>zona</w:t>
            </w:r>
          </w:p>
        </w:tc>
        <w:tc>
          <w:tcPr>
            <w:tcW w:w="1649" w:type="dxa"/>
            <w:tcBorders>
              <w:top w:val="nil"/>
              <w:left w:val="nil"/>
              <w:bottom w:val="single" w:sz="8" w:space="0" w:color="auto"/>
              <w:right w:val="single" w:sz="8" w:space="0" w:color="auto"/>
            </w:tcBorders>
            <w:shd w:val="clear" w:color="auto" w:fill="auto"/>
            <w:vAlign w:val="center"/>
            <w:hideMark/>
          </w:tcPr>
          <w:p w14:paraId="746E2A48"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49,8%</w:t>
            </w:r>
          </w:p>
        </w:tc>
        <w:tc>
          <w:tcPr>
            <w:tcW w:w="1559" w:type="dxa"/>
            <w:tcBorders>
              <w:top w:val="nil"/>
              <w:left w:val="nil"/>
              <w:bottom w:val="single" w:sz="8" w:space="0" w:color="auto"/>
              <w:right w:val="single" w:sz="8" w:space="0" w:color="auto"/>
            </w:tcBorders>
            <w:shd w:val="clear" w:color="auto" w:fill="auto"/>
            <w:noWrap/>
            <w:vAlign w:val="center"/>
            <w:hideMark/>
          </w:tcPr>
          <w:p w14:paraId="4158F535"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-8,7</w:t>
            </w:r>
          </w:p>
        </w:tc>
        <w:tc>
          <w:tcPr>
            <w:tcW w:w="1436" w:type="dxa"/>
            <w:tcBorders>
              <w:top w:val="nil"/>
              <w:left w:val="nil"/>
              <w:bottom w:val="single" w:sz="8" w:space="0" w:color="auto"/>
              <w:right w:val="single" w:sz="8" w:space="0" w:color="auto"/>
            </w:tcBorders>
            <w:shd w:val="clear" w:color="auto" w:fill="auto"/>
            <w:noWrap/>
            <w:vAlign w:val="center"/>
            <w:hideMark/>
          </w:tcPr>
          <w:p w14:paraId="0CC3BF35"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6,1</w:t>
            </w:r>
          </w:p>
        </w:tc>
        <w:tc>
          <w:tcPr>
            <w:tcW w:w="2390" w:type="dxa"/>
            <w:tcBorders>
              <w:top w:val="nil"/>
              <w:left w:val="nil"/>
              <w:bottom w:val="single" w:sz="8" w:space="0" w:color="auto"/>
              <w:right w:val="single" w:sz="8" w:space="0" w:color="auto"/>
            </w:tcBorders>
            <w:shd w:val="clear" w:color="auto" w:fill="auto"/>
            <w:noWrap/>
            <w:vAlign w:val="center"/>
            <w:hideMark/>
          </w:tcPr>
          <w:p w14:paraId="4C8B1CA2" w14:textId="77777777" w:rsidR="007B2901" w:rsidRPr="005E3FF5" w:rsidRDefault="007B2901" w:rsidP="00401A5B">
            <w:pPr>
              <w:jc w:val="center"/>
              <w:rPr>
                <w:rFonts w:ascii="Times New Roman" w:eastAsia="Calibri" w:hAnsi="Times New Roman" w:cs="Times New Roman"/>
                <w:b/>
                <w:sz w:val="20"/>
                <w:szCs w:val="20"/>
              </w:rPr>
            </w:pPr>
            <w:r w:rsidRPr="005E3FF5">
              <w:rPr>
                <w:rFonts w:ascii="Times New Roman" w:eastAsia="Calibri" w:hAnsi="Times New Roman" w:cs="Times New Roman"/>
                <w:b/>
                <w:sz w:val="20"/>
                <w:szCs w:val="20"/>
              </w:rPr>
              <w:t>-9,0</w:t>
            </w:r>
          </w:p>
        </w:tc>
      </w:tr>
    </w:tbl>
    <w:p w14:paraId="2DF51532" w14:textId="77777777" w:rsidR="007B2901" w:rsidRPr="007B2901" w:rsidRDefault="007B2901" w:rsidP="00401A5B">
      <w:pPr>
        <w:ind w:firstLine="720"/>
        <w:jc w:val="both"/>
        <w:rPr>
          <w:rFonts w:ascii="Times New Roman" w:eastAsia="Calibri" w:hAnsi="Times New Roman" w:cs="Times New Roman"/>
          <w:sz w:val="28"/>
          <w:szCs w:val="28"/>
        </w:rPr>
      </w:pPr>
    </w:p>
    <w:p w14:paraId="2E3AE2D3" w14:textId="106A4F18" w:rsidR="007B2901" w:rsidRP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 xml:space="preserve">Arī ES kopējais ekonomikas kritums gada pirmajā pusē izrādījies mazāks par EK iepriekš prognozēto, un pēdējā mēneša laikā, pēc otrā ceturkšņa datu publiskošanas, vairākās institūcijas jau ir sākušas uzlabot savas ekonomiskās attīstības prognozes šim gadam. Kā pēdējā septembrī savas prognozes paaugstinājusi </w:t>
      </w:r>
      <w:r w:rsidR="00D4108D">
        <w:rPr>
          <w:rFonts w:ascii="Times New Roman" w:eastAsia="Calibri" w:hAnsi="Times New Roman" w:cs="Times New Roman"/>
          <w:sz w:val="28"/>
          <w:szCs w:val="28"/>
        </w:rPr>
        <w:t>ESAO</w:t>
      </w:r>
      <w:r w:rsidRPr="007B2901">
        <w:rPr>
          <w:rFonts w:ascii="Times New Roman" w:eastAsia="Calibri" w:hAnsi="Times New Roman" w:cs="Times New Roman"/>
          <w:sz w:val="28"/>
          <w:szCs w:val="28"/>
        </w:rPr>
        <w:t>, kas uzlabojusi prognozes gan pasaules ekon</w:t>
      </w:r>
      <w:r w:rsidR="0060325A">
        <w:rPr>
          <w:rFonts w:ascii="Times New Roman" w:eastAsia="Calibri" w:hAnsi="Times New Roman" w:cs="Times New Roman"/>
          <w:sz w:val="28"/>
          <w:szCs w:val="28"/>
        </w:rPr>
        <w:t xml:space="preserve">omikai kopumā, gan ASV, gan </w:t>
      </w:r>
      <w:r w:rsidR="0060325A" w:rsidRPr="0060325A">
        <w:rPr>
          <w:rFonts w:ascii="Times New Roman" w:eastAsia="Calibri" w:hAnsi="Times New Roman" w:cs="Times New Roman"/>
          <w:i/>
          <w:sz w:val="28"/>
          <w:szCs w:val="28"/>
        </w:rPr>
        <w:t>euro</w:t>
      </w:r>
      <w:r w:rsidR="0060325A">
        <w:rPr>
          <w:rFonts w:ascii="Times New Roman" w:eastAsia="Calibri" w:hAnsi="Times New Roman" w:cs="Times New Roman"/>
          <w:sz w:val="28"/>
          <w:szCs w:val="28"/>
        </w:rPr>
        <w:t xml:space="preserve"> </w:t>
      </w:r>
      <w:r w:rsidRPr="007B2901">
        <w:rPr>
          <w:rFonts w:ascii="Times New Roman" w:eastAsia="Calibri" w:hAnsi="Times New Roman" w:cs="Times New Roman"/>
          <w:sz w:val="28"/>
          <w:szCs w:val="28"/>
        </w:rPr>
        <w:t xml:space="preserve">zonai. Pēc ESAO prognozēm, pasaules ekonomika šogad saruks par 4,5%, kas ir par 1,5 procentpunktiem mazāk, nekā organizācija bija prognozējusi šā gada jūnijā. Būtiskākais uzlabojums ir ASV ekonomikai, kuras prognozētais kritums samazināts par 3,5 procentpunktiem līdz 3,8%, bet </w:t>
      </w:r>
      <w:r w:rsidR="0060325A" w:rsidRPr="0060325A">
        <w:rPr>
          <w:rFonts w:ascii="Times New Roman" w:eastAsia="Calibri" w:hAnsi="Times New Roman" w:cs="Times New Roman"/>
          <w:i/>
          <w:sz w:val="28"/>
          <w:szCs w:val="28"/>
        </w:rPr>
        <w:t>euro</w:t>
      </w:r>
      <w:r w:rsidR="0060325A">
        <w:rPr>
          <w:rFonts w:ascii="Times New Roman" w:eastAsia="Calibri" w:hAnsi="Times New Roman" w:cs="Times New Roman"/>
          <w:sz w:val="28"/>
          <w:szCs w:val="28"/>
        </w:rPr>
        <w:t xml:space="preserve"> </w:t>
      </w:r>
      <w:r w:rsidRPr="007B2901">
        <w:rPr>
          <w:rFonts w:ascii="Times New Roman" w:eastAsia="Calibri" w:hAnsi="Times New Roman" w:cs="Times New Roman"/>
          <w:sz w:val="28"/>
          <w:szCs w:val="28"/>
        </w:rPr>
        <w:t xml:space="preserve">zonas prognoze uzlabota par 1,2 procentpunktiem līdz 7,9% kritumam. </w:t>
      </w:r>
    </w:p>
    <w:p w14:paraId="241C9351" w14:textId="7F4594BF" w:rsid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 xml:space="preserve">Jau pieejamie makroekonomiskie rādītāji, dati par iedzīvotāju pārvietošanos, kā arī ekonomikas sentimenta indeksi parāda, ka zemākais punkts ekonomikā ir bijis šā gada aprīlī, bet līdz ar Covid-19 saistīto ierobežojumu pakāpenisku mazināšanu situācija ir visai strauji uzlabojusies. Tas atspoguļojies gan </w:t>
      </w:r>
      <w:r w:rsidR="0060325A">
        <w:rPr>
          <w:rFonts w:ascii="Times New Roman" w:eastAsia="Calibri" w:hAnsi="Times New Roman" w:cs="Times New Roman"/>
          <w:sz w:val="28"/>
          <w:szCs w:val="28"/>
        </w:rPr>
        <w:t>EK</w:t>
      </w:r>
      <w:r w:rsidRPr="007B2901">
        <w:rPr>
          <w:rFonts w:ascii="Times New Roman" w:eastAsia="Calibri" w:hAnsi="Times New Roman" w:cs="Times New Roman"/>
          <w:sz w:val="28"/>
          <w:szCs w:val="28"/>
        </w:rPr>
        <w:t xml:space="preserve"> veidotajā ekonomikas sentimenta indeksā ESI, kas ES valstīm kopš aprīlī sasniegtā 63,8 minimuma ir pieaudzis jau ceturto mēnesi pēc kārtas, augustā sasniedzot 86,9 (</w:t>
      </w:r>
      <w:r w:rsidR="00D4108D">
        <w:rPr>
          <w:rFonts w:ascii="Times New Roman" w:eastAsia="Calibri" w:hAnsi="Times New Roman" w:cs="Times New Roman"/>
          <w:sz w:val="28"/>
          <w:szCs w:val="28"/>
        </w:rPr>
        <w:t xml:space="preserve">skat. </w:t>
      </w:r>
      <w:r w:rsidRPr="007B2901">
        <w:rPr>
          <w:rFonts w:ascii="Times New Roman" w:eastAsia="Calibri" w:hAnsi="Times New Roman" w:cs="Times New Roman"/>
          <w:sz w:val="28"/>
          <w:szCs w:val="28"/>
        </w:rPr>
        <w:t>1.1.att.), gan privātā sektora ražošanas un pakalpojumu aktivitāti raksturojošajā PMI indeksā.</w:t>
      </w:r>
    </w:p>
    <w:p w14:paraId="29A1A0CE" w14:textId="77777777" w:rsidR="00B95C60" w:rsidRPr="007B2901" w:rsidRDefault="00B95C60" w:rsidP="00401A5B">
      <w:pPr>
        <w:ind w:firstLine="720"/>
        <w:jc w:val="both"/>
        <w:rPr>
          <w:rFonts w:ascii="Times New Roman" w:eastAsia="Calibri" w:hAnsi="Times New Roman" w:cs="Times New Roman"/>
          <w:sz w:val="28"/>
          <w:szCs w:val="28"/>
        </w:rPr>
      </w:pPr>
    </w:p>
    <w:p w14:paraId="774C5C05" w14:textId="77777777" w:rsidR="007B2901" w:rsidRPr="007B2901" w:rsidRDefault="007B2901" w:rsidP="00401A5B">
      <w:pPr>
        <w:jc w:val="center"/>
        <w:rPr>
          <w:rFonts w:ascii="Times New Roman" w:eastAsia="Calibri" w:hAnsi="Times New Roman" w:cs="Times New Roman"/>
          <w:sz w:val="28"/>
          <w:szCs w:val="28"/>
        </w:rPr>
      </w:pPr>
      <w:r w:rsidRPr="007B2901">
        <w:rPr>
          <w:rFonts w:ascii="Times New Roman" w:hAnsi="Times New Roman" w:cs="Times New Roman"/>
          <w:noProof/>
          <w:sz w:val="28"/>
          <w:szCs w:val="28"/>
        </w:rPr>
        <w:drawing>
          <wp:inline distT="0" distB="0" distL="0" distR="0" wp14:anchorId="0968756F" wp14:editId="076DCDAA">
            <wp:extent cx="5274310" cy="3170555"/>
            <wp:effectExtent l="0" t="0" r="254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773249A" w14:textId="58A28FAD" w:rsidR="007B2901" w:rsidRPr="0060325A" w:rsidRDefault="00581FF3" w:rsidP="00401A5B">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1.1.</w:t>
      </w:r>
      <w:r w:rsidR="007B2901" w:rsidRPr="0060325A">
        <w:rPr>
          <w:rFonts w:ascii="Times New Roman" w:eastAsia="Times New Roman" w:hAnsi="Times New Roman" w:cs="Times New Roman"/>
          <w:b/>
          <w:i/>
          <w:sz w:val="24"/>
          <w:szCs w:val="24"/>
        </w:rPr>
        <w:t xml:space="preserve">att. EK ekonomikas sentimenta indekss (ESI) </w:t>
      </w:r>
      <w:r w:rsidR="0060325A">
        <w:rPr>
          <w:rFonts w:ascii="Times New Roman" w:eastAsia="Times New Roman" w:hAnsi="Times New Roman" w:cs="Times New Roman"/>
          <w:b/>
          <w:i/>
          <w:sz w:val="24"/>
          <w:szCs w:val="24"/>
        </w:rPr>
        <w:t>ES</w:t>
      </w:r>
      <w:r w:rsidR="007B2901" w:rsidRPr="0060325A">
        <w:rPr>
          <w:rFonts w:ascii="Times New Roman" w:eastAsia="Times New Roman" w:hAnsi="Times New Roman" w:cs="Times New Roman"/>
          <w:b/>
          <w:i/>
          <w:sz w:val="24"/>
          <w:szCs w:val="24"/>
        </w:rPr>
        <w:t xml:space="preserve"> valstīm,</w:t>
      </w:r>
    </w:p>
    <w:p w14:paraId="274FFA4B" w14:textId="77777777" w:rsidR="007B2901" w:rsidRPr="0060325A" w:rsidRDefault="007B2901" w:rsidP="00401A5B">
      <w:pPr>
        <w:jc w:val="center"/>
        <w:rPr>
          <w:rFonts w:ascii="Times New Roman" w:eastAsia="Times New Roman" w:hAnsi="Times New Roman" w:cs="Times New Roman"/>
          <w:b/>
          <w:i/>
          <w:sz w:val="24"/>
          <w:szCs w:val="24"/>
        </w:rPr>
      </w:pPr>
      <w:r w:rsidRPr="0060325A">
        <w:rPr>
          <w:rFonts w:ascii="Times New Roman" w:eastAsia="Times New Roman" w:hAnsi="Times New Roman" w:cs="Times New Roman"/>
          <w:b/>
          <w:i/>
          <w:sz w:val="24"/>
          <w:szCs w:val="24"/>
        </w:rPr>
        <w:t>pa komponentēm</w:t>
      </w:r>
    </w:p>
    <w:p w14:paraId="4241DAA0" w14:textId="77777777" w:rsidR="007B2901" w:rsidRPr="007B2901" w:rsidRDefault="007B2901" w:rsidP="00401A5B">
      <w:pPr>
        <w:ind w:firstLine="720"/>
        <w:jc w:val="both"/>
        <w:rPr>
          <w:rFonts w:ascii="Times New Roman" w:eastAsia="Calibri" w:hAnsi="Times New Roman" w:cs="Times New Roman"/>
          <w:sz w:val="28"/>
          <w:szCs w:val="28"/>
        </w:rPr>
      </w:pPr>
    </w:p>
    <w:p w14:paraId="736CFB9F" w14:textId="3E2D8F81" w:rsidR="007B2901" w:rsidRP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Tomēr pēc ekonomikas visai straujās atgūšanās pēc pirmā koronavīrusa viļņa, izaugsmes atjaunošanās lielā daļā pasaules valstu kopš augusta ir kļuvusi lēnāka vai pa</w:t>
      </w:r>
      <w:r w:rsidR="0060325A">
        <w:rPr>
          <w:rFonts w:ascii="Times New Roman" w:eastAsia="Calibri" w:hAnsi="Times New Roman" w:cs="Times New Roman"/>
          <w:sz w:val="28"/>
          <w:szCs w:val="28"/>
        </w:rPr>
        <w:t xml:space="preserve">t apstājusies, un septembrī </w:t>
      </w:r>
      <w:r w:rsidR="0060325A" w:rsidRPr="0060325A">
        <w:rPr>
          <w:rFonts w:ascii="Times New Roman" w:eastAsia="Calibri" w:hAnsi="Times New Roman" w:cs="Times New Roman"/>
          <w:i/>
          <w:sz w:val="28"/>
          <w:szCs w:val="28"/>
        </w:rPr>
        <w:t xml:space="preserve">euro </w:t>
      </w:r>
      <w:r w:rsidRPr="007B2901">
        <w:rPr>
          <w:rFonts w:ascii="Times New Roman" w:eastAsia="Calibri" w:hAnsi="Times New Roman" w:cs="Times New Roman"/>
          <w:sz w:val="28"/>
          <w:szCs w:val="28"/>
        </w:rPr>
        <w:t>zonas kopējais PMI indekss atkal piedzīvojis kritumu, noslīdot līdz trīs mēnešu zemākajam rādītājam. Apstrādes rūpniecības aktivitāte Eiropā turpina palielināties, bet kopējo aktivitātes kritumu nosaka pakalpojumu sektors, kur piedzīvots lielākais izlaides kritums kopš šā gada maija, kas gan bijis daudz lēnāks nekā pandēmijas mēnešos pavasarī. Uz lēnāku ekonomikas izaugsmi septembrī norāda arī Lielbritānijas un ASV PMI indeksi, bet Japānas ekonomika joprojām turpina samazināties, gan lēnākos tempos nekā iepriekšējos mēnešos.</w:t>
      </w:r>
    </w:p>
    <w:p w14:paraId="36FDF840" w14:textId="40D5C626" w:rsidR="007B2901" w:rsidRP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2021.gad</w:t>
      </w:r>
      <w:r w:rsidR="0060325A">
        <w:rPr>
          <w:rFonts w:ascii="Times New Roman" w:eastAsia="Calibri" w:hAnsi="Times New Roman" w:cs="Times New Roman"/>
          <w:sz w:val="28"/>
          <w:szCs w:val="28"/>
        </w:rPr>
        <w:t xml:space="preserve">am gan pasaulei kopumā, gan </w:t>
      </w:r>
      <w:r w:rsidR="0060325A" w:rsidRPr="001B743F">
        <w:rPr>
          <w:rFonts w:ascii="Times New Roman" w:eastAsia="Calibri" w:hAnsi="Times New Roman" w:cs="Times New Roman"/>
          <w:i/>
          <w:sz w:val="28"/>
          <w:szCs w:val="28"/>
        </w:rPr>
        <w:t>euro</w:t>
      </w:r>
      <w:r w:rsidR="0060325A">
        <w:rPr>
          <w:rFonts w:ascii="Times New Roman" w:eastAsia="Calibri" w:hAnsi="Times New Roman" w:cs="Times New Roman"/>
          <w:sz w:val="28"/>
          <w:szCs w:val="28"/>
        </w:rPr>
        <w:t xml:space="preserve"> </w:t>
      </w:r>
      <w:r w:rsidRPr="001B743F">
        <w:rPr>
          <w:rFonts w:ascii="Times New Roman" w:eastAsia="Calibri" w:hAnsi="Times New Roman" w:cs="Times New Roman"/>
          <w:sz w:val="28"/>
          <w:szCs w:val="28"/>
        </w:rPr>
        <w:t>zonai</w:t>
      </w:r>
      <w:r w:rsidRPr="007B2901">
        <w:rPr>
          <w:rFonts w:ascii="Times New Roman" w:eastAsia="Calibri" w:hAnsi="Times New Roman" w:cs="Times New Roman"/>
          <w:sz w:val="28"/>
          <w:szCs w:val="28"/>
        </w:rPr>
        <w:t xml:space="preserve"> tiek prognozēta ekonomiskās izaugsmes atjaunošanās un IKP pieaugums, pēc ESAO prognozēm, pasaulē varētu sasniegt 5,0% un </w:t>
      </w:r>
      <w:r w:rsidRPr="007B2901">
        <w:rPr>
          <w:rFonts w:ascii="Times New Roman" w:eastAsia="Calibri" w:hAnsi="Times New Roman" w:cs="Times New Roman"/>
          <w:i/>
          <w:sz w:val="28"/>
          <w:szCs w:val="28"/>
        </w:rPr>
        <w:t>euro</w:t>
      </w:r>
      <w:r>
        <w:rPr>
          <w:rFonts w:ascii="Times New Roman" w:eastAsia="Calibri" w:hAnsi="Times New Roman" w:cs="Times New Roman"/>
          <w:sz w:val="28"/>
          <w:szCs w:val="28"/>
        </w:rPr>
        <w:t xml:space="preserve"> zonā</w:t>
      </w:r>
      <w:r w:rsidRPr="007B2901">
        <w:rPr>
          <w:rFonts w:ascii="Times New Roman" w:eastAsia="Calibri" w:hAnsi="Times New Roman" w:cs="Times New Roman"/>
          <w:sz w:val="28"/>
          <w:szCs w:val="28"/>
        </w:rPr>
        <w:t xml:space="preserve"> – 5,1%. Tomēr ESAO norāda, ka straujāka vīrusa izplatība un stingrāku tā ierobežošanas pasākumu ieviešana šos pieauguma tempus var pazemināt par 2-3 procentpunktiem. </w:t>
      </w:r>
    </w:p>
    <w:p w14:paraId="482981E5" w14:textId="2F31F728" w:rsidR="007B2901" w:rsidRP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 xml:space="preserve">Attiecībā uz inflāciju, </w:t>
      </w:r>
      <w:r w:rsidR="0060325A" w:rsidRPr="0060325A">
        <w:rPr>
          <w:rFonts w:ascii="Times New Roman" w:eastAsia="Calibri" w:hAnsi="Times New Roman" w:cs="Times New Roman"/>
          <w:i/>
          <w:sz w:val="28"/>
          <w:szCs w:val="28"/>
        </w:rPr>
        <w:t>euro</w:t>
      </w:r>
      <w:r w:rsidR="0060325A">
        <w:rPr>
          <w:rFonts w:ascii="Times New Roman" w:eastAsia="Calibri" w:hAnsi="Times New Roman" w:cs="Times New Roman"/>
          <w:sz w:val="28"/>
          <w:szCs w:val="28"/>
        </w:rPr>
        <w:t xml:space="preserve"> </w:t>
      </w:r>
      <w:r w:rsidRPr="007B2901">
        <w:rPr>
          <w:rFonts w:ascii="Times New Roman" w:eastAsia="Calibri" w:hAnsi="Times New Roman" w:cs="Times New Roman"/>
          <w:sz w:val="28"/>
          <w:szCs w:val="28"/>
        </w:rPr>
        <w:t>zonai šogad līdz ar straujo ekonomikas kritumu un izejvielu cenu samazināšanos EK šogad prognozējusi inflācijas pazemināšanos līdz 0,3%. Nākamajā gadā, izaugsmei atjaunojoties un valstīm aktīvi realizējot fiskālās un monetārās stimulēšanas pasākumus, EK sagaida inflācijas palielināšanos līdz 1,1%.</w:t>
      </w:r>
    </w:p>
    <w:p w14:paraId="7B691570" w14:textId="11D7068F" w:rsidR="007B2901" w:rsidRDefault="007B2901" w:rsidP="00401A5B">
      <w:pPr>
        <w:ind w:firstLine="720"/>
        <w:jc w:val="both"/>
        <w:rPr>
          <w:rFonts w:ascii="Times New Roman" w:eastAsia="Calibri" w:hAnsi="Times New Roman" w:cs="Times New Roman"/>
          <w:sz w:val="28"/>
          <w:szCs w:val="28"/>
        </w:rPr>
      </w:pPr>
      <w:r w:rsidRPr="007B2901">
        <w:rPr>
          <w:rFonts w:ascii="Times New Roman" w:eastAsia="Calibri" w:hAnsi="Times New Roman" w:cs="Times New Roman"/>
          <w:sz w:val="28"/>
          <w:szCs w:val="28"/>
        </w:rPr>
        <w:t>Vienlaikus jāpiebilst, ka pasaulē joprojām saglabājas ļoti augsta nenoteiktība par Covid-19 saslimstības turpmāko gaitu. Vīrusa izplatība Eiropā un pasaulē jau kopš augusta arvien palielinās, īpaši strauji inficēto cilvēku skaitam pieaugot pēdējās nedēļās, kamēr vīrusa izraisīto nāves gadījumu skaits bijis būtiski zemāks nekā pirmā uzliesmojuma laikā šā gada pavasarī. Situācijai strauji mainoties, gan pasaules, gan Latvijas galveno eksporta partnervalstu ekonomiskās attīstības prognozes arī turpmāk var piedzīvot visai krasas korekcijas, līdzīgi kā tas noticis jau visa 2020.gada laikā.</w:t>
      </w:r>
    </w:p>
    <w:p w14:paraId="012364DC" w14:textId="77777777" w:rsidR="001B743F" w:rsidRDefault="001B743F" w:rsidP="00401A5B">
      <w:pPr>
        <w:ind w:firstLine="720"/>
        <w:jc w:val="both"/>
        <w:rPr>
          <w:rFonts w:eastAsia="Calibri"/>
          <w:sz w:val="28"/>
        </w:rPr>
      </w:pPr>
    </w:p>
    <w:p w14:paraId="3E37F2F2" w14:textId="1820E454" w:rsidR="001B743F" w:rsidRPr="00051573" w:rsidRDefault="000548A5" w:rsidP="001B743F">
      <w:pPr>
        <w:pStyle w:val="Heading2"/>
        <w:numPr>
          <w:ilvl w:val="1"/>
          <w:numId w:val="12"/>
        </w:numPr>
        <w:spacing w:before="0"/>
        <w:jc w:val="center"/>
        <w:rPr>
          <w:rFonts w:ascii="Times New Roman" w:eastAsia="Times New Roman" w:hAnsi="Times New Roman" w:cs="Times New Roman"/>
          <w:sz w:val="32"/>
          <w:szCs w:val="32"/>
        </w:rPr>
      </w:pPr>
      <w:bookmarkStart w:id="3" w:name="_Toc53154077"/>
      <w:r w:rsidRPr="000C3EB5">
        <w:rPr>
          <w:rFonts w:ascii="Times New Roman" w:eastAsia="Times New Roman" w:hAnsi="Times New Roman" w:cs="Times New Roman"/>
          <w:sz w:val="32"/>
          <w:szCs w:val="32"/>
        </w:rPr>
        <w:t>Latvijas tautsaimniecības attīstība</w:t>
      </w:r>
      <w:bookmarkEnd w:id="3"/>
    </w:p>
    <w:p w14:paraId="6562B788" w14:textId="76C653D1" w:rsidR="003F3FCD" w:rsidRPr="00B95C60" w:rsidRDefault="000C237C" w:rsidP="00FB2B77">
      <w:pPr>
        <w:pStyle w:val="Heading3"/>
        <w:numPr>
          <w:ilvl w:val="2"/>
          <w:numId w:val="12"/>
        </w:numPr>
      </w:pPr>
      <w:bookmarkStart w:id="4" w:name="_Toc53154078"/>
      <w:r w:rsidRPr="00B95C60">
        <w:t>I</w:t>
      </w:r>
      <w:r w:rsidR="00B95C60">
        <w:t>ekšzemes kopprodukts</w:t>
      </w:r>
      <w:bookmarkEnd w:id="4"/>
    </w:p>
    <w:p w14:paraId="1727BFEA" w14:textId="77777777" w:rsidR="003F3FCD" w:rsidRDefault="003F3FCD" w:rsidP="00401A5B">
      <w:pPr>
        <w:keepNext/>
        <w:keepLines/>
        <w:widowControl w:val="0"/>
        <w:jc w:val="center"/>
        <w:rPr>
          <w:rFonts w:ascii="Times New Roman" w:eastAsia="Times New Roman" w:hAnsi="Times New Roman" w:cs="Times New Roman"/>
          <w:b/>
          <w:sz w:val="32"/>
        </w:rPr>
      </w:pPr>
    </w:p>
    <w:p w14:paraId="6BD16B3F" w14:textId="645A873F" w:rsidR="00B95C60" w:rsidRPr="00B95C60" w:rsidRDefault="00B95C60" w:rsidP="00401A5B">
      <w:pPr>
        <w:widowControl w:val="0"/>
        <w:ind w:firstLine="720"/>
        <w:jc w:val="both"/>
        <w:rPr>
          <w:rFonts w:ascii="Times New Roman" w:eastAsia="Times New Roman" w:hAnsi="Times New Roman" w:cs="Times New Roman"/>
          <w:sz w:val="28"/>
          <w:szCs w:val="28"/>
        </w:rPr>
      </w:pPr>
      <w:r w:rsidRPr="00B95C60">
        <w:rPr>
          <w:rFonts w:ascii="Times New Roman" w:eastAsia="Times New Roman" w:hAnsi="Times New Roman" w:cs="Times New Roman"/>
          <w:sz w:val="28"/>
          <w:szCs w:val="28"/>
        </w:rPr>
        <w:t>Pēc Latvijas ekonomiskās izaugsmes paātrināšanās 2017. un 2018.gadā līdz attiecīgi 3,3% un 4,0%, ko noteica augošais ārējais pieprasījums un investīciju plūsmas atjaunošanās, 2019.gadā ekonomikas pieauguma temps atkal kļuva lēnāks. Pērn Latvijas</w:t>
      </w:r>
      <w:r>
        <w:rPr>
          <w:rFonts w:ascii="Times New Roman" w:eastAsia="Times New Roman" w:hAnsi="Times New Roman" w:cs="Times New Roman"/>
          <w:sz w:val="28"/>
          <w:szCs w:val="28"/>
        </w:rPr>
        <w:t xml:space="preserve"> </w:t>
      </w:r>
      <w:r w:rsidRPr="00B95C60">
        <w:rPr>
          <w:rFonts w:ascii="Times New Roman" w:eastAsia="Times New Roman" w:hAnsi="Times New Roman" w:cs="Times New Roman"/>
          <w:sz w:val="28"/>
          <w:szCs w:val="28"/>
        </w:rPr>
        <w:t>IKP salīdzināmās cenās palielinājās par 2,1%.</w:t>
      </w:r>
    </w:p>
    <w:p w14:paraId="5C0C4AB1" w14:textId="77777777" w:rsidR="00B95C60" w:rsidRPr="00B95C60" w:rsidRDefault="00B95C60" w:rsidP="00401A5B">
      <w:pPr>
        <w:widowControl w:val="0"/>
        <w:ind w:firstLine="720"/>
        <w:jc w:val="both"/>
        <w:rPr>
          <w:rFonts w:ascii="Times New Roman" w:eastAsia="Times New Roman" w:hAnsi="Times New Roman" w:cs="Times New Roman"/>
          <w:sz w:val="28"/>
          <w:szCs w:val="28"/>
        </w:rPr>
      </w:pPr>
      <w:r w:rsidRPr="00B95C60">
        <w:rPr>
          <w:rFonts w:ascii="Times New Roman" w:eastAsia="Times New Roman" w:hAnsi="Times New Roman" w:cs="Times New Roman"/>
          <w:sz w:val="28"/>
          <w:szCs w:val="28"/>
        </w:rPr>
        <w:t>Izaugsmes tempu sabremzēšanos 2019.gadā noteica gan ārējās vides pasliktināšanās, gan vairāki vienreizēji iekšēji faktori – enerģētikas nozarei nelabvēlīgie laika apstākļi gada pirmajā pusē, apjomu kritums tranzītā, kā arī finanšu pakalpojumu eksporta samazināšanās. Savukārt Latvijas ekonomikas izaugsmi 2019.gadā nodrošināja iekšzemes pieprasījuma pieaugums, galvenokārt privātais patēriņš. Tas salīdzinājumā ar 2018.gadu palielinājās par 2,2%, ko veicināja joprojām strauji augošā darba samaksa un bezdarba līmeņa samazināšanās. Stabilizējoties ES fondu investīciju plūsmai, ieguldījumi bruto pamatkapitālā pērn palielinājās par 2,1%, kas ir ievērojami lēnāks kāpums nekā 2018.gadā. Savukārt straujāku eksporta pieaugumu kavēja pasaules ekonomiskās izaugsmes un globālās tirdzniecības sabremzēšanās, kā arī preču reeksporta apjomu straujš kritums. Tā rezultātā 2019.gadā kopējais preču un pakalpojumu eksports bija vien par 2,1% augstāks nekā 2018.gadā. Tajā pašā laikā preču un pakalpojumu importa kāpums bija straujāks par eksportu, pieaugumam veidojot 3,0%, tādējādi neto eksporta devums Latvijas ekonomiskajā izaugsmē pērn bija negatīvs.</w:t>
      </w:r>
    </w:p>
    <w:p w14:paraId="5E9A5D6A" w14:textId="3A64A24A" w:rsidR="00B95C60" w:rsidRDefault="00B95C60" w:rsidP="00401A5B">
      <w:pPr>
        <w:widowControl w:val="0"/>
        <w:ind w:firstLine="720"/>
        <w:jc w:val="both"/>
        <w:rPr>
          <w:rFonts w:ascii="Times New Roman" w:eastAsia="Times New Roman" w:hAnsi="Times New Roman" w:cs="Times New Roman"/>
          <w:sz w:val="28"/>
          <w:szCs w:val="28"/>
        </w:rPr>
      </w:pPr>
      <w:r w:rsidRPr="00B95C60">
        <w:rPr>
          <w:rFonts w:ascii="Times New Roman" w:eastAsia="Times New Roman" w:hAnsi="Times New Roman" w:cs="Times New Roman"/>
          <w:sz w:val="28"/>
          <w:szCs w:val="28"/>
        </w:rPr>
        <w:t>Savukārt 2020.gadā, kad ierasto ikdienas ritmu pasaulē iedragāja koronavīrusa slimības Covid-19 straujā izplatība, kura tiešā ietekme Latvijā bija jūtama no marta vidus, ekonomiskā aktivitāte strauji pasliktinājās un IKP pirmo reizi kopš 2010.gada uzrādīja sarukumu. Jau šā gada pirmajā ceturksnī salīdzinājumā ar pagājušā gada attiecīgo ceturksni Latvijas IKP samazinājās par 1,0%, neskatoties uz to, ka Covid-19 krīze Latvijas ekonomiku sasniedza vien ceturkšņa beigās (</w:t>
      </w:r>
      <w:r w:rsidR="00D4108D">
        <w:rPr>
          <w:rFonts w:ascii="Times New Roman" w:eastAsia="Times New Roman" w:hAnsi="Times New Roman" w:cs="Times New Roman"/>
          <w:sz w:val="28"/>
          <w:szCs w:val="28"/>
        </w:rPr>
        <w:t xml:space="preserve">skat. </w:t>
      </w:r>
      <w:r w:rsidRPr="00B95C60">
        <w:rPr>
          <w:rFonts w:ascii="Times New Roman" w:eastAsia="Times New Roman" w:hAnsi="Times New Roman" w:cs="Times New Roman"/>
          <w:sz w:val="28"/>
          <w:szCs w:val="28"/>
        </w:rPr>
        <w:t>1.2</w:t>
      </w:r>
      <w:r w:rsidR="00581FF3">
        <w:rPr>
          <w:rFonts w:ascii="Times New Roman" w:eastAsia="Times New Roman" w:hAnsi="Times New Roman" w:cs="Times New Roman"/>
          <w:sz w:val="28"/>
          <w:szCs w:val="28"/>
        </w:rPr>
        <w:t>.</w:t>
      </w:r>
      <w:r w:rsidRPr="00B95C60">
        <w:rPr>
          <w:rFonts w:ascii="Times New Roman" w:eastAsia="Times New Roman" w:hAnsi="Times New Roman" w:cs="Times New Roman"/>
          <w:sz w:val="28"/>
          <w:szCs w:val="28"/>
        </w:rPr>
        <w:t>att.).</w:t>
      </w:r>
    </w:p>
    <w:p w14:paraId="0DBEB839" w14:textId="77777777" w:rsidR="00B95C60" w:rsidRPr="00B95C60" w:rsidRDefault="00B95C60" w:rsidP="00401A5B">
      <w:pPr>
        <w:widowControl w:val="0"/>
        <w:ind w:firstLine="720"/>
        <w:jc w:val="both"/>
        <w:rPr>
          <w:rFonts w:ascii="Times New Roman" w:eastAsia="Times New Roman" w:hAnsi="Times New Roman" w:cs="Times New Roman"/>
          <w:sz w:val="28"/>
          <w:szCs w:val="28"/>
        </w:rPr>
      </w:pPr>
    </w:p>
    <w:p w14:paraId="62FE81AC" w14:textId="77777777" w:rsidR="00B95C60" w:rsidRPr="00B95C60" w:rsidRDefault="00B95C60" w:rsidP="00401A5B">
      <w:pPr>
        <w:widowControl w:val="0"/>
        <w:jc w:val="center"/>
        <w:rPr>
          <w:rFonts w:ascii="Times New Roman" w:eastAsia="Times New Roman" w:hAnsi="Times New Roman" w:cs="Times New Roman"/>
          <w:sz w:val="24"/>
        </w:rPr>
      </w:pPr>
      <w:r w:rsidRPr="00B95C60">
        <w:rPr>
          <w:rFonts w:ascii="Times New Roman" w:eastAsia="Times New Roman" w:hAnsi="Times New Roman" w:cs="Times New Roman"/>
          <w:noProof/>
          <w:sz w:val="24"/>
        </w:rPr>
        <w:drawing>
          <wp:inline distT="0" distB="0" distL="0" distR="0" wp14:anchorId="5795BE87" wp14:editId="6F6F17E5">
            <wp:extent cx="5816009" cy="3115340"/>
            <wp:effectExtent l="0" t="0" r="13335" b="889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0F86B2" w14:textId="61C0E322" w:rsidR="00B95C60" w:rsidRDefault="00B95C60" w:rsidP="00FB2B77">
      <w:pPr>
        <w:pStyle w:val="ListParagraph"/>
        <w:widowControl w:val="0"/>
        <w:numPr>
          <w:ilvl w:val="1"/>
          <w:numId w:val="13"/>
        </w:numPr>
        <w:ind w:left="1134" w:hanging="437"/>
        <w:jc w:val="center"/>
        <w:rPr>
          <w:rFonts w:ascii="Times New Roman" w:eastAsia="Times New Roman" w:hAnsi="Times New Roman" w:cs="Times New Roman"/>
          <w:b/>
          <w:i/>
          <w:sz w:val="24"/>
        </w:rPr>
      </w:pPr>
      <w:r w:rsidRPr="00B95C60">
        <w:rPr>
          <w:rFonts w:ascii="Times New Roman" w:eastAsia="Times New Roman" w:hAnsi="Times New Roman" w:cs="Times New Roman"/>
          <w:b/>
          <w:i/>
          <w:sz w:val="24"/>
        </w:rPr>
        <w:t>att. IKP pieaugums pa ceturkšņiem, %</w:t>
      </w:r>
    </w:p>
    <w:p w14:paraId="3FD66D8A" w14:textId="77777777" w:rsidR="00B95C60" w:rsidRPr="00B95C60" w:rsidRDefault="00B95C60" w:rsidP="00401A5B">
      <w:pPr>
        <w:pStyle w:val="ListParagraph"/>
        <w:widowControl w:val="0"/>
        <w:ind w:left="3414"/>
        <w:jc w:val="both"/>
        <w:rPr>
          <w:rFonts w:ascii="Times New Roman" w:eastAsia="Times New Roman" w:hAnsi="Times New Roman" w:cs="Times New Roman"/>
          <w:b/>
          <w:i/>
          <w:sz w:val="24"/>
        </w:rPr>
      </w:pPr>
    </w:p>
    <w:p w14:paraId="170AB01D" w14:textId="77777777" w:rsidR="00B95C60" w:rsidRPr="00B95C60" w:rsidRDefault="00B95C60" w:rsidP="00401A5B">
      <w:pPr>
        <w:widowControl w:val="0"/>
        <w:ind w:firstLine="720"/>
        <w:jc w:val="both"/>
        <w:rPr>
          <w:rFonts w:ascii="Times New Roman" w:eastAsia="Times New Roman" w:hAnsi="Times New Roman" w:cs="Times New Roman"/>
          <w:sz w:val="28"/>
          <w:szCs w:val="28"/>
        </w:rPr>
      </w:pPr>
      <w:r w:rsidRPr="00B95C60">
        <w:rPr>
          <w:rFonts w:ascii="Times New Roman" w:eastAsia="Times New Roman" w:hAnsi="Times New Roman" w:cs="Times New Roman"/>
          <w:sz w:val="28"/>
          <w:szCs w:val="28"/>
        </w:rPr>
        <w:t>Koronavīrusa izplatība un tā ierobežošanai noteiktie pasākumi jau pirmajā ceturksnī būtiski ietekmēja privāto patēriņu un vairākās krīzes tieši skartajās pakalpojumu nozarēs tika fiksēts visai krass apjomu kritums. Tādējādi privātais patēriņš pirmajā ceturksnī, salīdzinot ar pagājušā gada pirmo ceturksni, samazinājās par 3,1%, kas noteica kopējo ekonomisko izaugsmes tempu sarukumu. Tajā pašā laikā laba attīstība pirmajā ceturksnī bijusi investīcijās, ieguldījumiem bruto pamatkapitālā  pieaugot par 4,7%, uzrādot straujāku kāpumu nekā pērn kopumā. Labāki rezultāti nekā 2019.gadā tika reģistrēti arī sabiedriskajā patēriņā, šā gada pirmajā ceturksnī palielinoties par 3,2%. Tāpat pirmajā ceturksnī par 2,9% palielinājās preču un pakalpojumu eksports, kamēr importa kāpums bija straujāks par eksportu, pieaugumam sasniedzot 3,8%.</w:t>
      </w:r>
    </w:p>
    <w:p w14:paraId="10130468" w14:textId="77777777" w:rsidR="00B95C60" w:rsidRPr="00B95C60" w:rsidRDefault="00B95C60" w:rsidP="00401A5B">
      <w:pPr>
        <w:widowControl w:val="0"/>
        <w:ind w:firstLine="720"/>
        <w:jc w:val="both"/>
        <w:rPr>
          <w:rFonts w:ascii="Times New Roman" w:eastAsia="Times New Roman" w:hAnsi="Times New Roman" w:cs="Times New Roman"/>
          <w:sz w:val="28"/>
          <w:szCs w:val="28"/>
        </w:rPr>
      </w:pPr>
      <w:r w:rsidRPr="00B95C60">
        <w:rPr>
          <w:rFonts w:ascii="Times New Roman" w:eastAsia="Times New Roman" w:hAnsi="Times New Roman" w:cs="Times New Roman"/>
          <w:sz w:val="28"/>
          <w:szCs w:val="28"/>
        </w:rPr>
        <w:t>No nozaru puses pievienotās vērtības sarukumu pirmajā ceturksnī uzrādīja ne tikai ar privāto patēriņu saistītās nozares, piemēram, māksla, izklaide un atpūta (-8,7% gada griezumā), izmitināšana un ēdināšanas pakalpojumi (-6,4%), bet arī uz ārējo pieprasījumu balstītā apstrādes rūpniecība. Salīdzinājumā ar 2019.gada pirmo ceturksni apstrādes rūpniecībā radītā pievienotā vērtība samazinājās par 1,1%. Pirmajā ceturksnī negaidītu  kritumu uzrādīja informācijas un komunikācijas pakalpojumi, kamēr visai prognozēts sarukums reģistrēts transporta un uzglabāšanas nozarē, tās pievienotajai vērtībai gada griezumā samazinoties par 6,0% . Tajā pašā laikā spēcīgu pieaugumu uzrādīja būvniecība, nozares pievienotajai vērtībai pirmajā ceturksnī palielinoties par 14,7%, kas Latvijas ekonomiku pasargāja no vēl dziļāka krituma. Mēreni pieaugumi tika fiksēti operācijās ar nekustamo īpašumu, profesionālo, zinātnisko un tehnisko pakalpojumu nozarē, kā arī sabiedrisko pakalpojumu nozarēs.</w:t>
      </w:r>
    </w:p>
    <w:p w14:paraId="449CC247" w14:textId="77777777" w:rsidR="00B95C60" w:rsidRPr="00B95C60" w:rsidRDefault="00B95C60" w:rsidP="00401A5B">
      <w:pPr>
        <w:widowControl w:val="0"/>
        <w:ind w:firstLine="720"/>
        <w:jc w:val="both"/>
        <w:rPr>
          <w:rFonts w:ascii="Times New Roman" w:eastAsia="Times New Roman" w:hAnsi="Times New Roman" w:cs="Times New Roman"/>
          <w:sz w:val="28"/>
          <w:szCs w:val="28"/>
        </w:rPr>
      </w:pPr>
      <w:r w:rsidRPr="00B95C60">
        <w:rPr>
          <w:rFonts w:ascii="Times New Roman" w:eastAsia="Times New Roman" w:hAnsi="Times New Roman" w:cs="Times New Roman"/>
          <w:sz w:val="28"/>
          <w:szCs w:val="28"/>
        </w:rPr>
        <w:t>Savukārt Covid-19 krīzes augstākais punkts ir bijis otrajā ceturksnī, īpaši aprīlī, kad slimības izplatības kontrolēšanai ieviestie ierobežojumi būtiski ietekmēja ekonomisko aktivitāti praktiski visās nozarēs un mainīja iedzīvotāju paradumus. Turklāt vīrusa radītā vispārējā nenoteiktība rosināja piesardzību attiecībā uz patērētāju un uzņēmumu finansiālo situāciju un radīja nedrošību par nākotni. Tādējādi Latvijas IKP salīdzinājumā ar 2019.gada otro ceturksni samazinājās par 8,9%. Lai gan tas ir straujākais kritums kopš 2010.gada, ekonomikas sarukums bijis pat nedaudz mazāks nekā sākotnēji prognozēts.</w:t>
      </w:r>
    </w:p>
    <w:p w14:paraId="4CD5F5FC" w14:textId="1DE29ECB" w:rsidR="00B95C60" w:rsidRPr="00B95C60" w:rsidRDefault="00B95C60" w:rsidP="00401A5B">
      <w:pPr>
        <w:widowControl w:val="0"/>
        <w:ind w:firstLine="720"/>
        <w:jc w:val="both"/>
        <w:rPr>
          <w:rFonts w:ascii="Times New Roman" w:eastAsia="Times New Roman" w:hAnsi="Times New Roman" w:cs="Times New Roman"/>
          <w:sz w:val="28"/>
          <w:szCs w:val="28"/>
        </w:rPr>
      </w:pPr>
      <w:r w:rsidRPr="00B95C60">
        <w:rPr>
          <w:rFonts w:ascii="Times New Roman" w:eastAsia="Times New Roman" w:hAnsi="Times New Roman" w:cs="Times New Roman"/>
          <w:sz w:val="28"/>
          <w:szCs w:val="28"/>
        </w:rPr>
        <w:t xml:space="preserve">Kā liecina dati par </w:t>
      </w:r>
      <w:r w:rsidR="00581FF3">
        <w:rPr>
          <w:rFonts w:ascii="Times New Roman" w:eastAsia="Times New Roman" w:hAnsi="Times New Roman" w:cs="Times New Roman"/>
          <w:sz w:val="28"/>
          <w:szCs w:val="28"/>
        </w:rPr>
        <w:t>IKP</w:t>
      </w:r>
      <w:r w:rsidRPr="00B95C60">
        <w:rPr>
          <w:rFonts w:ascii="Times New Roman" w:eastAsia="Times New Roman" w:hAnsi="Times New Roman" w:cs="Times New Roman"/>
          <w:sz w:val="28"/>
          <w:szCs w:val="28"/>
        </w:rPr>
        <w:t xml:space="preserve"> no izlietojuma puses, visbūtiskākā ietekme ekonomikas lejupslīdē otrajā ceturksnī bijusi privātā patēriņa kritumam, kas sasniedza 20,8%, kamēr investīcijas pamatkapitālā samazinājušās par 4,9%. Importam samazinoties straujāk nekā eksportam – attiecīgi par 15,8% un 13,1%, – ārējās tirdzniecības izmaiņu ietekmei bijis pozitīvs devums IKP dinamikā. Pateicoties valdības atbalsta pasākumiem Covid-19 krīzes pārvarēšanai un ekonomikas atlabšanas veicināšanai, kopējo ekonomikas kritumu otrajā ceturksnī nedaudz mīkstinājis arī sabiedriskā patēriņa pieaugums par 1,7%, salīdzinot ar iepriekšējā gada otro ceturksni.</w:t>
      </w:r>
    </w:p>
    <w:p w14:paraId="474A965E" w14:textId="77777777" w:rsidR="00B95C60" w:rsidRPr="00B95C60" w:rsidRDefault="00B95C60" w:rsidP="00401A5B">
      <w:pPr>
        <w:widowControl w:val="0"/>
        <w:ind w:firstLine="720"/>
        <w:jc w:val="both"/>
        <w:rPr>
          <w:rFonts w:ascii="Times New Roman" w:eastAsia="Times New Roman" w:hAnsi="Times New Roman" w:cs="Times New Roman"/>
          <w:sz w:val="28"/>
          <w:szCs w:val="28"/>
        </w:rPr>
      </w:pPr>
      <w:r w:rsidRPr="00B95C60">
        <w:rPr>
          <w:rFonts w:ascii="Times New Roman" w:eastAsia="Times New Roman" w:hAnsi="Times New Roman" w:cs="Times New Roman"/>
          <w:sz w:val="28"/>
          <w:szCs w:val="28"/>
        </w:rPr>
        <w:t>Analizējot nozaru attīstību, straujākie kritumi otrajā ceturksnī reģistrēti Covid-19 krīzes tieši skartajās pakalpojumu nozarēs – izmitināšanas un ēdināšanas nozares pievienotā vērtība gada griezumā sarukusi par 62,7% un mākslas, izklaides un atpūtas nozares – par 47,4%. Tomēr vislielākā loma ekonomikas lejupslīdē otrajā ceturksnī bijusi transporta nozarei, kuru vienlaikus ar Covid-19 krīzes rezultātā ierobežotajiem pasažieru pārvadājumiem skāris arī būtisks Krievijas kravu tranzīta apjoma kritums caur Latvijas ostām, nozarei kopumā sarūkot par 23,7%. Tāpat samazinājumus, lai gan mērenākus, piedzīvojušas arī profesionālo, zinātnisko un administratīvo pakalpojumu nozares, apstrādes rūpniecība un tirdzniecība. Divreiz straujāku kritumu nekā pirmajā ceturksnī uzrādīja arī IKT pakalpojumu nozare. Savukārt būvniecības nozarē, pārējās rūpniecības nozarēs, kā arī valsts pārvaldē un aizsardzībā būtiskas izmaiņas nav notikušas un tās praktiski saglabājušas pagājušā gada līmeņus.</w:t>
      </w:r>
    </w:p>
    <w:p w14:paraId="13777B7A" w14:textId="33848958" w:rsidR="00B95C60" w:rsidRPr="00B95C60" w:rsidRDefault="00B95C60" w:rsidP="00401A5B">
      <w:pPr>
        <w:widowControl w:val="0"/>
        <w:ind w:firstLine="720"/>
        <w:jc w:val="both"/>
        <w:rPr>
          <w:rFonts w:ascii="Times New Roman" w:eastAsia="Times New Roman" w:hAnsi="Times New Roman" w:cs="Times New Roman"/>
          <w:sz w:val="28"/>
          <w:szCs w:val="28"/>
        </w:rPr>
      </w:pPr>
      <w:r w:rsidRPr="00B95C60">
        <w:rPr>
          <w:rFonts w:ascii="Times New Roman" w:eastAsia="Times New Roman" w:hAnsi="Times New Roman" w:cs="Times New Roman"/>
          <w:sz w:val="28"/>
          <w:szCs w:val="28"/>
        </w:rPr>
        <w:t>Līdz ar to 2020.gada pirmajā pusgadā kopā Latvijas iekšzemes kopprodukts bija par 5,2% zemāks nekā pirms gada (</w:t>
      </w:r>
      <w:r w:rsidR="00D4108D">
        <w:rPr>
          <w:rFonts w:ascii="Times New Roman" w:eastAsia="Times New Roman" w:hAnsi="Times New Roman" w:cs="Times New Roman"/>
          <w:sz w:val="28"/>
          <w:szCs w:val="28"/>
        </w:rPr>
        <w:t xml:space="preserve">skat. </w:t>
      </w:r>
      <w:r w:rsidRPr="00B95C60">
        <w:rPr>
          <w:rFonts w:ascii="Times New Roman" w:eastAsia="Times New Roman" w:hAnsi="Times New Roman" w:cs="Times New Roman"/>
          <w:sz w:val="28"/>
          <w:szCs w:val="28"/>
        </w:rPr>
        <w:t>1.3.att.).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111"/>
        <w:gridCol w:w="4960"/>
      </w:tblGrid>
      <w:tr w:rsidR="00B95C60" w:rsidRPr="00B95C60" w14:paraId="5A9F6E0A" w14:textId="77777777" w:rsidTr="00051573">
        <w:trPr>
          <w:jc w:val="center"/>
        </w:trPr>
        <w:tc>
          <w:tcPr>
            <w:tcW w:w="3950" w:type="dxa"/>
          </w:tcPr>
          <w:p w14:paraId="69C8BD4D" w14:textId="77777777" w:rsidR="00B95C60" w:rsidRPr="00B95C60" w:rsidRDefault="00B95C60" w:rsidP="00401A5B">
            <w:pPr>
              <w:widowControl w:val="0"/>
              <w:ind w:firstLine="720"/>
              <w:jc w:val="both"/>
              <w:rPr>
                <w:rFonts w:ascii="Times New Roman" w:eastAsia="Times New Roman" w:hAnsi="Times New Roman" w:cs="Times New Roman"/>
                <w:sz w:val="24"/>
              </w:rPr>
            </w:pPr>
            <w:r w:rsidRPr="00B95C60">
              <w:rPr>
                <w:rFonts w:ascii="Times New Roman" w:eastAsia="Times New Roman" w:hAnsi="Times New Roman" w:cs="Times New Roman"/>
                <w:noProof/>
                <w:sz w:val="24"/>
              </w:rPr>
              <w:drawing>
                <wp:inline distT="0" distB="0" distL="0" distR="0" wp14:anchorId="71EC4E51" wp14:editId="118562EE">
                  <wp:extent cx="2343150" cy="3134360"/>
                  <wp:effectExtent l="0" t="0" r="0" b="889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356" w:type="dxa"/>
          </w:tcPr>
          <w:p w14:paraId="551325D6" w14:textId="77777777" w:rsidR="00B95C60" w:rsidRPr="00B95C60" w:rsidRDefault="00B95C60" w:rsidP="00051573">
            <w:pPr>
              <w:widowControl w:val="0"/>
              <w:ind w:firstLine="720"/>
              <w:jc w:val="center"/>
              <w:rPr>
                <w:rFonts w:ascii="Times New Roman" w:eastAsia="Times New Roman" w:hAnsi="Times New Roman" w:cs="Times New Roman"/>
                <w:sz w:val="24"/>
              </w:rPr>
            </w:pPr>
            <w:r w:rsidRPr="00B95C60">
              <w:rPr>
                <w:rFonts w:ascii="Times New Roman" w:eastAsia="Times New Roman" w:hAnsi="Times New Roman" w:cs="Times New Roman"/>
                <w:noProof/>
                <w:sz w:val="24"/>
              </w:rPr>
              <w:drawing>
                <wp:inline distT="0" distB="0" distL="0" distR="0" wp14:anchorId="4530EE59" wp14:editId="0A39C50D">
                  <wp:extent cx="2950210" cy="3134360"/>
                  <wp:effectExtent l="0" t="0" r="2540" b="889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B95C60" w:rsidRPr="00B95C60" w14:paraId="7E8F9F62" w14:textId="77777777" w:rsidTr="00051573">
        <w:trPr>
          <w:jc w:val="center"/>
        </w:trPr>
        <w:tc>
          <w:tcPr>
            <w:tcW w:w="8306" w:type="dxa"/>
            <w:gridSpan w:val="2"/>
          </w:tcPr>
          <w:p w14:paraId="314D53AB" w14:textId="51295D27" w:rsidR="00B95C60" w:rsidRPr="00B95C60" w:rsidRDefault="00B95C60" w:rsidP="00401A5B">
            <w:pPr>
              <w:widowControl w:val="0"/>
              <w:jc w:val="center"/>
              <w:rPr>
                <w:rFonts w:ascii="Times New Roman" w:eastAsia="Times New Roman" w:hAnsi="Times New Roman" w:cs="Times New Roman"/>
                <w:sz w:val="24"/>
              </w:rPr>
            </w:pPr>
            <w:r w:rsidRPr="00B95C60">
              <w:rPr>
                <w:rFonts w:ascii="Times New Roman" w:eastAsia="Times New Roman" w:hAnsi="Times New Roman" w:cs="Times New Roman"/>
                <w:b/>
                <w:i/>
                <w:sz w:val="24"/>
              </w:rPr>
              <w:t>1.3</w:t>
            </w:r>
            <w:r w:rsidR="00581FF3">
              <w:rPr>
                <w:rFonts w:ascii="Times New Roman" w:eastAsia="Times New Roman" w:hAnsi="Times New Roman" w:cs="Times New Roman"/>
                <w:b/>
                <w:i/>
                <w:sz w:val="24"/>
              </w:rPr>
              <w:t>.</w:t>
            </w:r>
            <w:r w:rsidRPr="00B95C60">
              <w:rPr>
                <w:rFonts w:ascii="Times New Roman" w:eastAsia="Times New Roman" w:hAnsi="Times New Roman" w:cs="Times New Roman"/>
                <w:b/>
                <w:i/>
                <w:sz w:val="24"/>
              </w:rPr>
              <w:t>att. IKP izmaiņas no izlietojuma puses un IKP pievienotās vērtības izmaiņas tautsaimniecības nozarēs, salīdzinot ar iepriekšējā gada attiecīgo laika periodu, %</w:t>
            </w:r>
          </w:p>
        </w:tc>
      </w:tr>
    </w:tbl>
    <w:p w14:paraId="66E271C1" w14:textId="77777777" w:rsidR="00B95C60" w:rsidRPr="00B95C60" w:rsidRDefault="00B95C60" w:rsidP="00401A5B">
      <w:pPr>
        <w:widowControl w:val="0"/>
        <w:ind w:firstLine="720"/>
        <w:jc w:val="both"/>
        <w:rPr>
          <w:rFonts w:ascii="Times New Roman" w:eastAsia="Times New Roman" w:hAnsi="Times New Roman" w:cs="Times New Roman"/>
          <w:sz w:val="24"/>
        </w:rPr>
      </w:pPr>
    </w:p>
    <w:p w14:paraId="1832DC65" w14:textId="19D0D7BE" w:rsidR="00B95C60" w:rsidRDefault="00B95C60" w:rsidP="00401A5B">
      <w:pPr>
        <w:widowControl w:val="0"/>
        <w:ind w:firstLine="720"/>
        <w:jc w:val="both"/>
        <w:rPr>
          <w:rFonts w:ascii="Times New Roman" w:eastAsia="Times New Roman" w:hAnsi="Times New Roman" w:cs="Times New Roman"/>
          <w:sz w:val="28"/>
          <w:szCs w:val="28"/>
        </w:rPr>
      </w:pPr>
      <w:r w:rsidRPr="00581FF3">
        <w:rPr>
          <w:rFonts w:ascii="Times New Roman" w:eastAsia="Times New Roman" w:hAnsi="Times New Roman" w:cs="Times New Roman"/>
          <w:sz w:val="28"/>
          <w:szCs w:val="28"/>
        </w:rPr>
        <w:t xml:space="preserve">Neskatoties uz straujo IKP kritumu, Latvija uzrādījusi labākus rezultātus nekā lielākā daļa </w:t>
      </w:r>
      <w:r w:rsidR="00581FF3">
        <w:rPr>
          <w:rFonts w:ascii="Times New Roman" w:eastAsia="Times New Roman" w:hAnsi="Times New Roman" w:cs="Times New Roman"/>
          <w:sz w:val="28"/>
          <w:szCs w:val="28"/>
        </w:rPr>
        <w:t>ES</w:t>
      </w:r>
      <w:r w:rsidRPr="00581FF3">
        <w:rPr>
          <w:rFonts w:ascii="Times New Roman" w:eastAsia="Times New Roman" w:hAnsi="Times New Roman" w:cs="Times New Roman"/>
          <w:sz w:val="28"/>
          <w:szCs w:val="28"/>
        </w:rPr>
        <w:t xml:space="preserve"> dalībvalstu, kur Covid-19 slimības izplatība bijusi daudz straujāka un tās kontrolēšanai ieviestie ierobežojumi bijuši stingrāki (</w:t>
      </w:r>
      <w:r w:rsidR="00D4108D">
        <w:rPr>
          <w:rFonts w:ascii="Times New Roman" w:eastAsia="Times New Roman" w:hAnsi="Times New Roman" w:cs="Times New Roman"/>
          <w:sz w:val="28"/>
          <w:szCs w:val="28"/>
        </w:rPr>
        <w:t xml:space="preserve">skat. </w:t>
      </w:r>
      <w:r w:rsidRPr="00581FF3">
        <w:rPr>
          <w:rFonts w:ascii="Times New Roman" w:eastAsia="Times New Roman" w:hAnsi="Times New Roman" w:cs="Times New Roman"/>
          <w:sz w:val="28"/>
          <w:szCs w:val="28"/>
        </w:rPr>
        <w:t>1.4</w:t>
      </w:r>
      <w:r w:rsidR="00581FF3">
        <w:rPr>
          <w:rFonts w:ascii="Times New Roman" w:eastAsia="Times New Roman" w:hAnsi="Times New Roman" w:cs="Times New Roman"/>
          <w:sz w:val="28"/>
          <w:szCs w:val="28"/>
        </w:rPr>
        <w:t>.</w:t>
      </w:r>
      <w:r w:rsidRPr="00581FF3">
        <w:rPr>
          <w:rFonts w:ascii="Times New Roman" w:eastAsia="Times New Roman" w:hAnsi="Times New Roman" w:cs="Times New Roman"/>
          <w:sz w:val="28"/>
          <w:szCs w:val="28"/>
        </w:rPr>
        <w:t>att.). ES ekonomika kopumā šā gada pirmajā pusgadā saruka par 8,3%.</w:t>
      </w:r>
    </w:p>
    <w:p w14:paraId="083B5C11" w14:textId="77777777" w:rsidR="00581FF3" w:rsidRPr="00581FF3" w:rsidRDefault="00581FF3" w:rsidP="00401A5B">
      <w:pPr>
        <w:widowControl w:val="0"/>
        <w:ind w:firstLine="720"/>
        <w:jc w:val="both"/>
        <w:rPr>
          <w:rFonts w:ascii="Times New Roman" w:eastAsia="Times New Roman" w:hAnsi="Times New Roman" w:cs="Times New Roman"/>
          <w:sz w:val="28"/>
          <w:szCs w:val="28"/>
        </w:rPr>
      </w:pPr>
    </w:p>
    <w:p w14:paraId="723DDC04" w14:textId="77777777" w:rsidR="00B95C60" w:rsidRPr="00B95C60" w:rsidRDefault="00B95C60" w:rsidP="00401A5B">
      <w:pPr>
        <w:widowControl w:val="0"/>
        <w:jc w:val="center"/>
        <w:rPr>
          <w:rFonts w:ascii="Times New Roman" w:eastAsia="Times New Roman" w:hAnsi="Times New Roman" w:cs="Times New Roman"/>
          <w:sz w:val="24"/>
        </w:rPr>
      </w:pPr>
      <w:r w:rsidRPr="00B95C60">
        <w:rPr>
          <w:rFonts w:ascii="Times New Roman" w:eastAsia="Times New Roman" w:hAnsi="Times New Roman" w:cs="Times New Roman"/>
          <w:noProof/>
          <w:sz w:val="24"/>
        </w:rPr>
        <w:drawing>
          <wp:inline distT="0" distB="0" distL="0" distR="0" wp14:anchorId="592E764E" wp14:editId="1EAF7B06">
            <wp:extent cx="5720316" cy="2562446"/>
            <wp:effectExtent l="0" t="0" r="1397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2E70AD" w14:textId="57DE1611" w:rsidR="00B95C60" w:rsidRDefault="00B95C60" w:rsidP="00401A5B">
      <w:pPr>
        <w:widowControl w:val="0"/>
        <w:jc w:val="center"/>
        <w:rPr>
          <w:rFonts w:ascii="Times New Roman" w:eastAsia="Times New Roman" w:hAnsi="Times New Roman" w:cs="Times New Roman"/>
          <w:b/>
          <w:i/>
          <w:sz w:val="24"/>
        </w:rPr>
      </w:pPr>
      <w:r w:rsidRPr="00B95C60">
        <w:rPr>
          <w:rFonts w:ascii="Times New Roman" w:eastAsia="Times New Roman" w:hAnsi="Times New Roman" w:cs="Times New Roman"/>
          <w:b/>
          <w:i/>
          <w:sz w:val="24"/>
        </w:rPr>
        <w:t>1.4</w:t>
      </w:r>
      <w:r w:rsidR="00581FF3">
        <w:rPr>
          <w:rFonts w:ascii="Times New Roman" w:eastAsia="Times New Roman" w:hAnsi="Times New Roman" w:cs="Times New Roman"/>
          <w:b/>
          <w:i/>
          <w:sz w:val="24"/>
        </w:rPr>
        <w:t>.</w:t>
      </w:r>
      <w:r w:rsidRPr="00B95C60">
        <w:rPr>
          <w:rFonts w:ascii="Times New Roman" w:eastAsia="Times New Roman" w:hAnsi="Times New Roman" w:cs="Times New Roman"/>
          <w:b/>
          <w:i/>
          <w:sz w:val="24"/>
        </w:rPr>
        <w:t>att. IKP izmaiņas 2020.gada 1.pusgadā, salīdzinot ar 2019.gada 1.pusgadu, % (sezonāli un kalendāri neizlīdzināti dati)</w:t>
      </w:r>
    </w:p>
    <w:p w14:paraId="472AC379" w14:textId="77777777" w:rsidR="00581FF3" w:rsidRPr="00B95C60" w:rsidRDefault="00581FF3" w:rsidP="00401A5B">
      <w:pPr>
        <w:widowControl w:val="0"/>
        <w:ind w:firstLine="720"/>
        <w:jc w:val="both"/>
        <w:rPr>
          <w:rFonts w:ascii="Times New Roman" w:eastAsia="Times New Roman" w:hAnsi="Times New Roman" w:cs="Times New Roman"/>
          <w:b/>
          <w:i/>
          <w:sz w:val="24"/>
        </w:rPr>
      </w:pPr>
    </w:p>
    <w:p w14:paraId="72A573FD" w14:textId="78FC073D" w:rsidR="00B95C60" w:rsidRDefault="00B95C60" w:rsidP="00401A5B">
      <w:pPr>
        <w:widowControl w:val="0"/>
        <w:ind w:firstLine="720"/>
        <w:jc w:val="both"/>
        <w:rPr>
          <w:rFonts w:ascii="Times New Roman" w:eastAsia="Times New Roman" w:hAnsi="Times New Roman" w:cs="Times New Roman"/>
          <w:sz w:val="28"/>
          <w:szCs w:val="28"/>
        </w:rPr>
      </w:pPr>
      <w:r w:rsidRPr="00581FF3">
        <w:rPr>
          <w:rFonts w:ascii="Times New Roman" w:eastAsia="Times New Roman" w:hAnsi="Times New Roman" w:cs="Times New Roman"/>
          <w:sz w:val="28"/>
          <w:szCs w:val="28"/>
        </w:rPr>
        <w:t>Latvijas tautsaimniecības struktūrā lielākās nozares ir tirdzniecība, rūpniecība un transports, kuras pēdējo desmit gadu laikā ir saglabājušas diezgan nemainīgu īpatsvaru (</w:t>
      </w:r>
      <w:r w:rsidR="00D4108D">
        <w:rPr>
          <w:rFonts w:ascii="Times New Roman" w:eastAsia="Times New Roman" w:hAnsi="Times New Roman" w:cs="Times New Roman"/>
          <w:sz w:val="28"/>
          <w:szCs w:val="28"/>
        </w:rPr>
        <w:t xml:space="preserve">skat. </w:t>
      </w:r>
      <w:r w:rsidRPr="00581FF3">
        <w:rPr>
          <w:rFonts w:ascii="Times New Roman" w:eastAsia="Times New Roman" w:hAnsi="Times New Roman" w:cs="Times New Roman"/>
          <w:sz w:val="28"/>
          <w:szCs w:val="28"/>
        </w:rPr>
        <w:t>1.5</w:t>
      </w:r>
      <w:r w:rsidR="00581FF3">
        <w:rPr>
          <w:rFonts w:ascii="Times New Roman" w:eastAsia="Times New Roman" w:hAnsi="Times New Roman" w:cs="Times New Roman"/>
          <w:sz w:val="28"/>
          <w:szCs w:val="28"/>
        </w:rPr>
        <w:t>.</w:t>
      </w:r>
      <w:r w:rsidRPr="00581FF3">
        <w:rPr>
          <w:rFonts w:ascii="Times New Roman" w:eastAsia="Times New Roman" w:hAnsi="Times New Roman" w:cs="Times New Roman"/>
          <w:sz w:val="28"/>
          <w:szCs w:val="28"/>
        </w:rPr>
        <w:t>att.). Savukārt ievērojamas izmaiņas ir notikušas citās nozarēs, piemēram, nekustamā īpašuma nozares īpatsvars pērn, salīdzinot ar 2008.gadu, ir pieaudzis par 2,9 procentpunktiem. Pēdējos gados uzrādot strauju izaugsmi, aizvien pieaug informācijas un komunikācijas pakalpojumu nozares īpatsvars, 2019.gadā veidojot jau 5,2%. Tajā pašā laikā būvniecības īpatsvars, kas pārmērīgas kreditēšanas rezultātā 2008.gadā bija sasniedzis ļoti augstus apmērus, 2019.gadā ir samazinājies līdz 6,5%. Kā arī par 2,0 procentpunktiem samazinājās jau tā nelielās finanšu pakalpojumu nozares īpatsvars, ko noteica tās pievienotās vērtības kritums pēdējo gadu laikā saistībā ar nerezidentus apkalpojošo banku darbības sašaurināšanos.</w:t>
      </w:r>
    </w:p>
    <w:p w14:paraId="77AEB2E2" w14:textId="77777777" w:rsidR="00AC361B" w:rsidRPr="00581FF3" w:rsidRDefault="00AC361B" w:rsidP="00401A5B">
      <w:pPr>
        <w:widowControl w:val="0"/>
        <w:ind w:firstLine="720"/>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690"/>
      </w:tblGrid>
      <w:tr w:rsidR="00B95C60" w:rsidRPr="00581FF3" w14:paraId="747C857A" w14:textId="77777777" w:rsidTr="00AC361B">
        <w:tc>
          <w:tcPr>
            <w:tcW w:w="4086" w:type="dxa"/>
          </w:tcPr>
          <w:p w14:paraId="505F9444" w14:textId="77777777" w:rsidR="00B95C60" w:rsidRPr="00581FF3" w:rsidRDefault="00B95C60" w:rsidP="00AC361B">
            <w:pPr>
              <w:widowControl w:val="0"/>
              <w:ind w:firstLine="184"/>
              <w:jc w:val="both"/>
              <w:rPr>
                <w:rFonts w:ascii="Times New Roman" w:eastAsia="Times New Roman" w:hAnsi="Times New Roman" w:cs="Times New Roman"/>
                <w:sz w:val="24"/>
                <w:szCs w:val="24"/>
              </w:rPr>
            </w:pPr>
            <w:r w:rsidRPr="00581FF3">
              <w:rPr>
                <w:rFonts w:ascii="Times New Roman" w:eastAsia="Times New Roman" w:hAnsi="Times New Roman" w:cs="Times New Roman"/>
                <w:noProof/>
                <w:sz w:val="24"/>
                <w:szCs w:val="24"/>
              </w:rPr>
              <w:drawing>
                <wp:inline distT="0" distB="0" distL="0" distR="0" wp14:anchorId="76A4A5DD" wp14:editId="257C1662">
                  <wp:extent cx="2457450" cy="22098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220" w:type="dxa"/>
          </w:tcPr>
          <w:p w14:paraId="7DC7C925" w14:textId="77777777" w:rsidR="00B95C60" w:rsidRPr="00581FF3" w:rsidRDefault="00B95C60" w:rsidP="00AC361B">
            <w:pPr>
              <w:widowControl w:val="0"/>
              <w:ind w:firstLine="184"/>
              <w:jc w:val="both"/>
              <w:rPr>
                <w:rFonts w:ascii="Times New Roman" w:eastAsia="Times New Roman" w:hAnsi="Times New Roman" w:cs="Times New Roman"/>
                <w:sz w:val="24"/>
                <w:szCs w:val="24"/>
              </w:rPr>
            </w:pPr>
            <w:r w:rsidRPr="00581FF3">
              <w:rPr>
                <w:rFonts w:ascii="Times New Roman" w:eastAsia="Times New Roman" w:hAnsi="Times New Roman" w:cs="Times New Roman"/>
                <w:noProof/>
                <w:sz w:val="24"/>
                <w:szCs w:val="24"/>
              </w:rPr>
              <w:drawing>
                <wp:inline distT="0" distB="0" distL="0" distR="0" wp14:anchorId="24737443" wp14:editId="7C3FECD4">
                  <wp:extent cx="2724150" cy="22098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68198F08" w14:textId="6E12A6E3" w:rsidR="00B95C60" w:rsidRPr="00B95C60" w:rsidRDefault="00B95C60" w:rsidP="00401A5B">
      <w:pPr>
        <w:widowControl w:val="0"/>
        <w:jc w:val="center"/>
        <w:rPr>
          <w:rFonts w:ascii="Times New Roman" w:eastAsia="Times New Roman" w:hAnsi="Times New Roman" w:cs="Times New Roman"/>
          <w:b/>
          <w:i/>
          <w:sz w:val="24"/>
        </w:rPr>
      </w:pPr>
      <w:r w:rsidRPr="00B95C60">
        <w:rPr>
          <w:rFonts w:ascii="Times New Roman" w:eastAsia="Times New Roman" w:hAnsi="Times New Roman" w:cs="Times New Roman"/>
          <w:b/>
          <w:i/>
          <w:sz w:val="24"/>
        </w:rPr>
        <w:t>1.5</w:t>
      </w:r>
      <w:r w:rsidR="00581FF3">
        <w:rPr>
          <w:rFonts w:ascii="Times New Roman" w:eastAsia="Times New Roman" w:hAnsi="Times New Roman" w:cs="Times New Roman"/>
          <w:b/>
          <w:i/>
          <w:sz w:val="24"/>
        </w:rPr>
        <w:t>.</w:t>
      </w:r>
      <w:r w:rsidRPr="00B95C60">
        <w:rPr>
          <w:rFonts w:ascii="Times New Roman" w:eastAsia="Times New Roman" w:hAnsi="Times New Roman" w:cs="Times New Roman"/>
          <w:b/>
          <w:i/>
          <w:sz w:val="24"/>
        </w:rPr>
        <w:t>att. Pievienotās vērtības struktūras salīdzinājums pa nozaru grupām</w:t>
      </w:r>
    </w:p>
    <w:p w14:paraId="37910D88" w14:textId="422045FA" w:rsidR="00B95C60" w:rsidRDefault="00B95C60" w:rsidP="00401A5B">
      <w:pPr>
        <w:widowControl w:val="0"/>
        <w:jc w:val="center"/>
        <w:rPr>
          <w:rFonts w:ascii="Times New Roman" w:eastAsia="Times New Roman" w:hAnsi="Times New Roman" w:cs="Times New Roman"/>
          <w:b/>
          <w:i/>
          <w:sz w:val="24"/>
        </w:rPr>
      </w:pPr>
      <w:r w:rsidRPr="00B95C60">
        <w:rPr>
          <w:rFonts w:ascii="Times New Roman" w:eastAsia="Times New Roman" w:hAnsi="Times New Roman" w:cs="Times New Roman"/>
          <w:b/>
          <w:i/>
          <w:sz w:val="24"/>
        </w:rPr>
        <w:t>2008. un 2019.gadā, % (2015.g. salīdzināmajās cenās)</w:t>
      </w:r>
    </w:p>
    <w:p w14:paraId="6B29621B" w14:textId="77777777" w:rsidR="00581FF3" w:rsidRPr="00B95C60" w:rsidRDefault="00581FF3" w:rsidP="00401A5B">
      <w:pPr>
        <w:widowControl w:val="0"/>
        <w:jc w:val="center"/>
        <w:rPr>
          <w:rFonts w:ascii="Times New Roman" w:eastAsia="Times New Roman" w:hAnsi="Times New Roman" w:cs="Times New Roman"/>
          <w:sz w:val="24"/>
        </w:rPr>
      </w:pPr>
    </w:p>
    <w:p w14:paraId="52C0FC43" w14:textId="723531B2" w:rsidR="00B95C60" w:rsidRPr="00581FF3" w:rsidRDefault="00B95C60" w:rsidP="00401A5B">
      <w:pPr>
        <w:widowControl w:val="0"/>
        <w:ind w:firstLine="720"/>
        <w:jc w:val="both"/>
        <w:rPr>
          <w:rFonts w:ascii="Times New Roman" w:eastAsia="Times New Roman" w:hAnsi="Times New Roman" w:cs="Times New Roman"/>
          <w:sz w:val="28"/>
          <w:szCs w:val="28"/>
        </w:rPr>
      </w:pPr>
      <w:r w:rsidRPr="00581FF3">
        <w:rPr>
          <w:rFonts w:ascii="Times New Roman" w:eastAsia="Times New Roman" w:hAnsi="Times New Roman" w:cs="Times New Roman"/>
          <w:sz w:val="28"/>
          <w:szCs w:val="28"/>
        </w:rPr>
        <w:t xml:space="preserve">Latvijas un arī pasaules ekonomiskās attīstības sniegums šogad galvenokārt ir pakļauts Covid-19, kas Latvijas ekonomiku negatīvi ietekmē jau kopš pirmā ceturkšņa beigām, taču smagākie ekonomiskās aktivitātes zaudējumi tika piedzīvoti aprīlī un maijā. Un, lai arī jaunākie ekonomiku raksturojošie rādītāji apstiprina, ka ekonomikas izaugsme no krīzes zemākā punkta ir visai spēcīgi atsākusies un trešajā un ceturtajā ceturksnī ekonomikas samazinājums gada griezumā būs būtiski mazāks nekā otrajā ceturksnī, attīstības perspektīvas ir joprojām neskaidras un nenoteiktība ir salīdzinoši augsta. EK veidotais ESI indekss gan Latvijā, gan </w:t>
      </w:r>
      <w:r w:rsidR="00581FF3">
        <w:rPr>
          <w:rFonts w:ascii="Times New Roman" w:eastAsia="Times New Roman" w:hAnsi="Times New Roman" w:cs="Times New Roman"/>
          <w:sz w:val="28"/>
          <w:szCs w:val="28"/>
        </w:rPr>
        <w:t>ES</w:t>
      </w:r>
      <w:r w:rsidRPr="00581FF3">
        <w:rPr>
          <w:rFonts w:ascii="Times New Roman" w:eastAsia="Times New Roman" w:hAnsi="Times New Roman" w:cs="Times New Roman"/>
          <w:sz w:val="28"/>
          <w:szCs w:val="28"/>
        </w:rPr>
        <w:t xml:space="preserve"> kopumā, septembrī ir paaugstinājies jau piekto mēnesi pēc kārtas, lai gan joprojām vēl nav atgriezies ilgtermiņa vidējā līmenī (</w:t>
      </w:r>
      <w:r w:rsidR="00D4108D">
        <w:rPr>
          <w:rFonts w:ascii="Times New Roman" w:eastAsia="Times New Roman" w:hAnsi="Times New Roman" w:cs="Times New Roman"/>
          <w:sz w:val="28"/>
          <w:szCs w:val="28"/>
        </w:rPr>
        <w:t xml:space="preserve">skat. </w:t>
      </w:r>
      <w:r w:rsidRPr="00581FF3">
        <w:rPr>
          <w:rFonts w:ascii="Times New Roman" w:eastAsia="Times New Roman" w:hAnsi="Times New Roman" w:cs="Times New Roman"/>
          <w:sz w:val="28"/>
          <w:szCs w:val="28"/>
        </w:rPr>
        <w:t>1.6.att.). Vasaras nogalē atkal būtiski pieauguši ar koronavīrusa izplatību saistītie riski, vīrusa infekcijas gadījumiem strauji augot, īpaši Eiropas valstīs, tajā skaitā arī Latvijas kaimiņvalstīs, un sekmīga vīrusa ierobežošana arī turpmāk būs galvenais faktors, no kā būs atkarīga Latvijas ekonomikas attīstība tuvāko mēnešu un ceturkšņu laikā.</w:t>
      </w:r>
    </w:p>
    <w:p w14:paraId="509A78B8" w14:textId="77777777" w:rsidR="00B95C60" w:rsidRPr="00B95C60" w:rsidRDefault="00B95C60" w:rsidP="00401A5B">
      <w:pPr>
        <w:widowControl w:val="0"/>
        <w:jc w:val="both"/>
        <w:rPr>
          <w:rFonts w:ascii="Times New Roman" w:eastAsia="Times New Roman" w:hAnsi="Times New Roman" w:cs="Times New Roman"/>
          <w:sz w:val="24"/>
        </w:rPr>
      </w:pPr>
      <w:r w:rsidRPr="00B95C60">
        <w:rPr>
          <w:rFonts w:ascii="Times New Roman" w:eastAsia="Times New Roman" w:hAnsi="Times New Roman" w:cs="Times New Roman"/>
          <w:noProof/>
          <w:sz w:val="24"/>
        </w:rPr>
        <w:drawing>
          <wp:inline distT="0" distB="0" distL="0" distR="0" wp14:anchorId="3B6D6D96" wp14:editId="5C9DEDAD">
            <wp:extent cx="5762846" cy="2636875"/>
            <wp:effectExtent l="0" t="0" r="9525" b="1143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1617A4" w14:textId="77777777" w:rsidR="00B95C60" w:rsidRPr="00B95C60" w:rsidRDefault="00B95C60" w:rsidP="00401A5B">
      <w:pPr>
        <w:widowControl w:val="0"/>
        <w:ind w:firstLine="720"/>
        <w:jc w:val="center"/>
        <w:rPr>
          <w:rFonts w:ascii="Times New Roman" w:eastAsia="Times New Roman" w:hAnsi="Times New Roman" w:cs="Times New Roman"/>
          <w:b/>
          <w:i/>
          <w:sz w:val="24"/>
        </w:rPr>
      </w:pPr>
      <w:r w:rsidRPr="00B95C60">
        <w:rPr>
          <w:rFonts w:ascii="Times New Roman" w:eastAsia="Times New Roman" w:hAnsi="Times New Roman" w:cs="Times New Roman"/>
          <w:b/>
          <w:i/>
          <w:sz w:val="24"/>
        </w:rPr>
        <w:t>1.6.att. ES-27 un Latvijas ekonomiskā sentimenta indekss</w:t>
      </w:r>
    </w:p>
    <w:p w14:paraId="7F8C80C0" w14:textId="77777777" w:rsidR="003F3FCD" w:rsidRDefault="003F3FCD" w:rsidP="00401A5B">
      <w:pPr>
        <w:widowControl w:val="0"/>
        <w:ind w:firstLine="720"/>
        <w:jc w:val="both"/>
        <w:rPr>
          <w:rFonts w:ascii="Times New Roman" w:eastAsia="Times New Roman" w:hAnsi="Times New Roman" w:cs="Times New Roman"/>
          <w:sz w:val="24"/>
        </w:rPr>
      </w:pPr>
    </w:p>
    <w:p w14:paraId="4C343432" w14:textId="2CEBDEA9" w:rsidR="003F3FCD" w:rsidRPr="000C3EB5" w:rsidRDefault="000548A5" w:rsidP="00FB2B77">
      <w:pPr>
        <w:pStyle w:val="Heading3"/>
        <w:numPr>
          <w:ilvl w:val="2"/>
          <w:numId w:val="11"/>
        </w:numPr>
      </w:pPr>
      <w:bookmarkStart w:id="5" w:name="_Toc53154079"/>
      <w:r w:rsidRPr="000C3EB5">
        <w:t>Tautsaimniecības nozaru attīstība</w:t>
      </w:r>
      <w:bookmarkEnd w:id="5"/>
    </w:p>
    <w:p w14:paraId="09C3321E" w14:textId="77777777" w:rsidR="0031027C" w:rsidRPr="0031027C" w:rsidRDefault="0031027C" w:rsidP="00401A5B"/>
    <w:p w14:paraId="236703D4" w14:textId="7CAAB769" w:rsidR="00581FF3" w:rsidRDefault="00581FF3" w:rsidP="00401A5B">
      <w:pPr>
        <w:spacing w:line="259" w:lineRule="auto"/>
        <w:jc w:val="center"/>
        <w:rPr>
          <w:rFonts w:ascii="Times New Roman" w:eastAsiaTheme="minorHAnsi" w:hAnsi="Times New Roman" w:cs="Times New Roman"/>
          <w:b/>
          <w:sz w:val="28"/>
          <w:szCs w:val="28"/>
          <w:lang w:eastAsia="en-US"/>
        </w:rPr>
      </w:pPr>
      <w:r w:rsidRPr="00581FF3">
        <w:rPr>
          <w:rFonts w:ascii="Times New Roman" w:eastAsiaTheme="minorHAnsi" w:hAnsi="Times New Roman" w:cs="Times New Roman"/>
          <w:b/>
          <w:sz w:val="28"/>
          <w:szCs w:val="28"/>
          <w:lang w:eastAsia="en-US"/>
        </w:rPr>
        <w:t>Rūpniecība</w:t>
      </w:r>
    </w:p>
    <w:p w14:paraId="3C4B1FF8" w14:textId="77777777" w:rsidR="00AC361B" w:rsidRPr="00581FF3" w:rsidRDefault="00AC361B" w:rsidP="00401A5B">
      <w:pPr>
        <w:spacing w:line="259" w:lineRule="auto"/>
        <w:jc w:val="center"/>
        <w:rPr>
          <w:rFonts w:ascii="Times New Roman" w:eastAsiaTheme="minorHAnsi" w:hAnsi="Times New Roman" w:cs="Times New Roman"/>
          <w:b/>
          <w:sz w:val="28"/>
          <w:szCs w:val="28"/>
          <w:lang w:eastAsia="en-US"/>
        </w:rPr>
      </w:pPr>
    </w:p>
    <w:p w14:paraId="420A99FB" w14:textId="77777777" w:rsidR="00581FF3" w:rsidRPr="00581FF3" w:rsidRDefault="00581FF3" w:rsidP="00401A5B">
      <w:pPr>
        <w:ind w:firstLine="720"/>
        <w:jc w:val="both"/>
        <w:rPr>
          <w:rFonts w:ascii="Times New Roman" w:eastAsiaTheme="minorHAnsi" w:hAnsi="Times New Roman" w:cs="Times New Roman"/>
          <w:sz w:val="28"/>
          <w:szCs w:val="20"/>
          <w:lang w:eastAsia="en-US"/>
        </w:rPr>
      </w:pPr>
      <w:r w:rsidRPr="00581FF3">
        <w:rPr>
          <w:rFonts w:ascii="Times New Roman" w:eastAsiaTheme="minorHAnsi" w:hAnsi="Times New Roman" w:cs="Times New Roman"/>
          <w:sz w:val="28"/>
          <w:szCs w:val="20"/>
          <w:lang w:eastAsia="en-US"/>
        </w:rPr>
        <w:t>Pievienotās vērtības struktūrā rūpniecība 2019.gadā veidoja 15,4%, tādējādi ierindojoties kā viena no lielākajām Latvijas tautsaimniecības nozarēm. Pērn salīdzinājumā ar 2018.gadu rūpniecības īpatsvars samazinājās par 0,2 procentpunktiem, ko noteica spēcīgāka izaugsme citās nozarēs, kamēr pieaugums rūpniecībā bija zems. Apstrādes rūpniecība veido nedaudz vairāk kā 80% no rūpniecībā saražotās pievienotās vērtības, savukārt pārējo rada ieguves rūpniecība un karjeru izstrāde (3,2%), elektroenerģijas un gāzes apgāde (9,3%), kā arī ūdens apgāde (5,2%).</w:t>
      </w:r>
    </w:p>
    <w:p w14:paraId="2BC21457" w14:textId="77777777" w:rsidR="00581FF3" w:rsidRPr="00581FF3" w:rsidRDefault="00581FF3" w:rsidP="00401A5B">
      <w:pPr>
        <w:ind w:firstLine="720"/>
        <w:jc w:val="both"/>
        <w:rPr>
          <w:rFonts w:ascii="Times New Roman" w:eastAsiaTheme="minorHAnsi" w:hAnsi="Times New Roman" w:cs="Times New Roman"/>
          <w:sz w:val="28"/>
          <w:szCs w:val="20"/>
          <w:lang w:eastAsia="en-US"/>
        </w:rPr>
      </w:pPr>
      <w:r w:rsidRPr="00581FF3">
        <w:rPr>
          <w:rFonts w:ascii="Times New Roman" w:eastAsiaTheme="minorHAnsi" w:hAnsi="Times New Roman" w:cs="Times New Roman"/>
          <w:sz w:val="28"/>
          <w:szCs w:val="20"/>
          <w:lang w:eastAsia="en-US"/>
        </w:rPr>
        <w:t>Rūpniecībai ir svarīga nozīme darba tirgū, 2019.gadā nodrošinot darba vietas 134,4 tūkt. cilvēku, no kuriem izteikti lielākā daļa jeb 115,1 tūkst. bija nodarbināti tieši apstrādes rūpniecībā. Rūpniecībā pērn bija nodarbināti 14,6% no visu nodarbināto iedzīvotāju skaita valsts tautsaimniecībā. Tomēr jau trešo gadu pēc kārtas nodarbināto skaits rūpniecībā samazinās, un 2019.gadā nozarē strādājošo skaits bija par 4,1% zemāks nekā pirms gada. Tā kā rūpniecībā radītā pievienotā vērtība pieaug, bet strādājošo skaits samazinājās, nozarē strauji pieaug produktivitāte – 2019.gadā salīdzinājumā ar iepriekšējo gadu pievienotā vērtība nozarē uz nodarbināto palielinājās par 5,4%, kā rezultātā nozare uzrāda augstāko produktivitātes līmeni pēdējā desmitgadē.</w:t>
      </w:r>
    </w:p>
    <w:p w14:paraId="4F93257F" w14:textId="77777777" w:rsidR="00581FF3" w:rsidRPr="00581FF3" w:rsidRDefault="00581FF3" w:rsidP="00401A5B">
      <w:pPr>
        <w:ind w:firstLine="720"/>
        <w:jc w:val="both"/>
        <w:rPr>
          <w:rFonts w:ascii="Times New Roman" w:eastAsiaTheme="minorHAnsi" w:hAnsi="Times New Roman" w:cs="Times New Roman"/>
          <w:sz w:val="28"/>
          <w:szCs w:val="20"/>
          <w:lang w:eastAsia="en-US"/>
        </w:rPr>
      </w:pPr>
      <w:r w:rsidRPr="00581FF3">
        <w:rPr>
          <w:rFonts w:ascii="Times New Roman" w:eastAsiaTheme="minorHAnsi" w:hAnsi="Times New Roman" w:cs="Times New Roman"/>
          <w:sz w:val="28"/>
          <w:szCs w:val="20"/>
          <w:lang w:eastAsia="en-US"/>
        </w:rPr>
        <w:t xml:space="preserve">Pērn rūpniecībā tika reģistrēta vāja izaugsme, salīdzinājumā ar 2018.gadu ražošanas apjomiem palielinoties vien par 1,0% (salīdzināmās cenās). Tik zemu nozares izaugsmi noteica sarukums ieguves rūpniecībā, kā arī elektroenerģijas un gāzes apgādes apjomu kritums. Savukārt apstrādes rūpniecība 2019.gadā uzrādīja mērenu pieaugumu, ražošanas apjomiem palielinoties par 2,1%. Lielākajā apstrādes rūpniecības apakšnozarē, kokrūpniecībā, pērn ražošanas apjomi saglabājās iepriekšējā gada līmenī, un pārtikas produktu ražošanā tika reģistrēts neliels izlaides sarukums (-1,0%). Tajā pašā laikā, neskatoties uz pasaules ekonomiskās izaugsmes sabremzēšanos, vairākas uz eksportu orientētas apstrādes rūpniecības apakšnozares, īpaši metālapstrāde un elektrisko iekārtu ražošanas apakšnozare, pērn uzrādījušas visai spēcīgus izaugsmes tempus. </w:t>
      </w:r>
    </w:p>
    <w:p w14:paraId="5B125572" w14:textId="0D5F0CCE" w:rsidR="00581FF3" w:rsidRDefault="00581FF3" w:rsidP="00401A5B">
      <w:pPr>
        <w:ind w:firstLine="720"/>
        <w:jc w:val="both"/>
        <w:rPr>
          <w:rFonts w:ascii="Times New Roman" w:eastAsiaTheme="minorHAnsi" w:hAnsi="Times New Roman" w:cs="Times New Roman"/>
          <w:sz w:val="28"/>
          <w:szCs w:val="20"/>
          <w:lang w:eastAsia="en-US"/>
        </w:rPr>
      </w:pPr>
      <w:r w:rsidRPr="00581FF3">
        <w:rPr>
          <w:rFonts w:ascii="Times New Roman" w:eastAsiaTheme="minorHAnsi" w:hAnsi="Times New Roman" w:cs="Times New Roman"/>
          <w:sz w:val="28"/>
          <w:szCs w:val="20"/>
          <w:lang w:eastAsia="en-US"/>
        </w:rPr>
        <w:t>Savukārt šogad rūpniecības attīstības tendences pasliktinājās, un 2020.gada pirmajos septiņos mēnešos nozarē reģistrēts apjomu kritums par 3,2% (</w:t>
      </w:r>
      <w:r w:rsidR="00D4108D">
        <w:rPr>
          <w:rFonts w:ascii="Times New Roman" w:eastAsiaTheme="minorHAnsi" w:hAnsi="Times New Roman" w:cs="Times New Roman"/>
          <w:sz w:val="28"/>
          <w:szCs w:val="20"/>
          <w:lang w:eastAsia="en-US"/>
        </w:rPr>
        <w:t xml:space="preserve">skat. </w:t>
      </w:r>
      <w:r w:rsidRPr="00581FF3">
        <w:rPr>
          <w:rFonts w:ascii="Times New Roman" w:eastAsiaTheme="minorHAnsi" w:hAnsi="Times New Roman" w:cs="Times New Roman"/>
          <w:sz w:val="28"/>
          <w:szCs w:val="20"/>
          <w:lang w:eastAsia="en-US"/>
        </w:rPr>
        <w:t>1.7.att.), ko pamatā noteica apstrādes rūpniecības izlaides samazinājums par 3,5%. Tāpat, kritumu uzrādīja elektroenerģijas un gāzes apgādes apjomi – arī par 3,5%, ko noteica straujais saražotās elektroenerģijas apjomu sarukums koģenerācijas stacijās (-32,3%), kamēr hidroelektrostacijās saražotās enerģijas apjomi septiņos mēnešos bija vairāk nekā uz pusi augstāki nekā pērn. Tikmēr ieguves rūpniecībā šā gada janvārī-jūlijā, salīdzinot ar pērnā gada attiecīgo laika periodu, reģistrēts apjomu kāpums par 4,9%.</w:t>
      </w:r>
    </w:p>
    <w:p w14:paraId="6B6C5DFD" w14:textId="77777777" w:rsidR="00350B96" w:rsidRPr="00581FF3" w:rsidRDefault="00350B96" w:rsidP="00401A5B">
      <w:pPr>
        <w:ind w:firstLine="720"/>
        <w:jc w:val="both"/>
        <w:rPr>
          <w:rFonts w:ascii="Times New Roman" w:eastAsiaTheme="minorHAnsi" w:hAnsi="Times New Roman" w:cs="Times New Roman"/>
          <w:sz w:val="28"/>
          <w:szCs w:val="20"/>
          <w:lang w:eastAsia="en-US"/>
        </w:rPr>
      </w:pPr>
    </w:p>
    <w:p w14:paraId="6964EE39" w14:textId="77777777" w:rsidR="00581FF3" w:rsidRPr="00581FF3" w:rsidRDefault="00581FF3" w:rsidP="00401A5B">
      <w:pPr>
        <w:jc w:val="center"/>
        <w:rPr>
          <w:rFonts w:ascii="Times New Roman" w:eastAsiaTheme="minorHAnsi" w:hAnsi="Times New Roman" w:cs="Times New Roman"/>
          <w:sz w:val="28"/>
          <w:szCs w:val="20"/>
          <w:lang w:eastAsia="en-US"/>
        </w:rPr>
      </w:pPr>
      <w:r w:rsidRPr="00581FF3">
        <w:rPr>
          <w:rFonts w:ascii="Times New Roman" w:eastAsiaTheme="minorHAnsi" w:hAnsi="Times New Roman" w:cs="Times New Roman"/>
          <w:noProof/>
          <w:sz w:val="24"/>
          <w:szCs w:val="24"/>
        </w:rPr>
        <w:drawing>
          <wp:inline distT="0" distB="0" distL="0" distR="0" wp14:anchorId="3AFCF39D" wp14:editId="151A9512">
            <wp:extent cx="5274310" cy="2726055"/>
            <wp:effectExtent l="0" t="0" r="2540" b="171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13EB8E" w14:textId="455B6451" w:rsidR="00581FF3" w:rsidRDefault="00581FF3" w:rsidP="00401A5B">
      <w:pPr>
        <w:jc w:val="center"/>
        <w:rPr>
          <w:rFonts w:ascii="Times New Roman" w:eastAsiaTheme="minorHAnsi" w:hAnsi="Times New Roman" w:cs="Times New Roman"/>
          <w:b/>
          <w:i/>
          <w:sz w:val="24"/>
          <w:szCs w:val="24"/>
          <w:lang w:eastAsia="en-US"/>
        </w:rPr>
      </w:pPr>
      <w:r w:rsidRPr="00581FF3">
        <w:rPr>
          <w:rFonts w:ascii="Times New Roman" w:eastAsiaTheme="minorHAnsi" w:hAnsi="Times New Roman" w:cs="Times New Roman"/>
          <w:b/>
          <w:i/>
          <w:sz w:val="24"/>
          <w:szCs w:val="24"/>
          <w:lang w:eastAsia="en-US"/>
        </w:rPr>
        <w:t>1.7.att. Rūpniecības</w:t>
      </w:r>
      <w:r w:rsidRPr="00581FF3">
        <w:rPr>
          <w:rFonts w:ascii="Times New Roman" w:eastAsia="Times New Roman" w:hAnsi="Times New Roman" w:cs="Times New Roman"/>
          <w:b/>
          <w:i/>
          <w:sz w:val="24"/>
          <w:szCs w:val="24"/>
          <w:lang w:eastAsia="en-US"/>
        </w:rPr>
        <w:t xml:space="preserve"> </w:t>
      </w:r>
      <w:r w:rsidRPr="00581FF3">
        <w:rPr>
          <w:rFonts w:ascii="Times New Roman" w:eastAsiaTheme="minorHAnsi" w:hAnsi="Times New Roman" w:cs="Times New Roman"/>
          <w:b/>
          <w:i/>
          <w:sz w:val="24"/>
          <w:szCs w:val="24"/>
          <w:lang w:eastAsia="en-US"/>
        </w:rPr>
        <w:t xml:space="preserve">produkcijas apjoma indekss (sezonāli izlīdzināti dati), </w:t>
      </w:r>
      <w:r w:rsidRPr="00581FF3">
        <w:rPr>
          <w:rFonts w:ascii="Times New Roman" w:eastAsiaTheme="minorHAnsi" w:hAnsi="Times New Roman" w:cs="Times New Roman"/>
          <w:b/>
          <w:i/>
          <w:sz w:val="24"/>
          <w:szCs w:val="24"/>
          <w:lang w:eastAsia="en-US"/>
        </w:rPr>
        <w:br/>
        <w:t>2015 = 100</w:t>
      </w:r>
    </w:p>
    <w:p w14:paraId="5E2459E1" w14:textId="77777777" w:rsidR="00AC361B" w:rsidRPr="00581FF3" w:rsidRDefault="00AC361B" w:rsidP="00401A5B">
      <w:pPr>
        <w:jc w:val="center"/>
        <w:rPr>
          <w:rFonts w:ascii="Times New Roman" w:eastAsiaTheme="minorHAnsi" w:hAnsi="Times New Roman" w:cs="Times New Roman"/>
          <w:b/>
          <w:i/>
          <w:sz w:val="24"/>
          <w:szCs w:val="24"/>
          <w:lang w:eastAsia="en-US"/>
        </w:rPr>
      </w:pPr>
    </w:p>
    <w:p w14:paraId="7740812C" w14:textId="3512DC15" w:rsidR="00581FF3" w:rsidRPr="00581FF3" w:rsidRDefault="00581FF3" w:rsidP="00401A5B">
      <w:pPr>
        <w:spacing w:line="259" w:lineRule="auto"/>
        <w:ind w:firstLine="720"/>
        <w:jc w:val="both"/>
        <w:rPr>
          <w:rFonts w:ascii="Times New Roman" w:eastAsiaTheme="minorHAnsi" w:hAnsi="Times New Roman" w:cs="Times New Roman"/>
          <w:sz w:val="28"/>
          <w:szCs w:val="28"/>
          <w:lang w:eastAsia="en-US"/>
        </w:rPr>
      </w:pPr>
      <w:r w:rsidRPr="00581FF3">
        <w:rPr>
          <w:rFonts w:ascii="Times New Roman" w:eastAsiaTheme="minorHAnsi" w:hAnsi="Times New Roman" w:cs="Times New Roman"/>
          <w:sz w:val="28"/>
          <w:szCs w:val="28"/>
          <w:lang w:eastAsia="en-US"/>
        </w:rPr>
        <w:t>Apstrādes rūpniecības izlaides struktūra (</w:t>
      </w:r>
      <w:r w:rsidR="00D4108D">
        <w:rPr>
          <w:rFonts w:ascii="Times New Roman" w:eastAsiaTheme="minorHAnsi" w:hAnsi="Times New Roman" w:cs="Times New Roman"/>
          <w:sz w:val="28"/>
          <w:szCs w:val="28"/>
          <w:lang w:eastAsia="en-US"/>
        </w:rPr>
        <w:t xml:space="preserve">skat. </w:t>
      </w:r>
      <w:r w:rsidRPr="00581FF3">
        <w:rPr>
          <w:rFonts w:ascii="Times New Roman" w:eastAsiaTheme="minorHAnsi" w:hAnsi="Times New Roman" w:cs="Times New Roman"/>
          <w:sz w:val="28"/>
          <w:szCs w:val="28"/>
          <w:lang w:eastAsia="en-US"/>
        </w:rPr>
        <w:t>1.8.att.) parāda, ka lielākā apakšnozare ir kokrūpniecība, taču pērn, kokapstrādes izlaides apjomiem saglabājoties iepriekšējā gada līmenī un straujāk augot citām apakšnozarēm, tās īpatsvars, salīdzinot ar 2018.gadu, ir samazinājies par 1,5 procentpunktu.</w:t>
      </w:r>
    </w:p>
    <w:p w14:paraId="00A865FB" w14:textId="77777777" w:rsidR="00581FF3" w:rsidRPr="00581FF3" w:rsidRDefault="00581FF3" w:rsidP="00401A5B">
      <w:pPr>
        <w:jc w:val="center"/>
        <w:rPr>
          <w:rFonts w:ascii="Times New Roman" w:eastAsiaTheme="minorHAnsi" w:hAnsi="Times New Roman" w:cs="Times New Roman"/>
          <w:sz w:val="28"/>
          <w:szCs w:val="20"/>
          <w:lang w:eastAsia="en-US"/>
        </w:rPr>
      </w:pPr>
      <w:r w:rsidRPr="00581FF3">
        <w:rPr>
          <w:rFonts w:ascii="Times New Roman" w:eastAsiaTheme="minorHAnsi" w:hAnsi="Times New Roman" w:cs="Times New Roman"/>
          <w:noProof/>
          <w:sz w:val="24"/>
          <w:szCs w:val="24"/>
        </w:rPr>
        <w:drawing>
          <wp:inline distT="0" distB="0" distL="0" distR="0" wp14:anchorId="37D58E82" wp14:editId="16C8E932">
            <wp:extent cx="5238750" cy="28575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5CFE5D" w14:textId="03511C86" w:rsidR="00581FF3" w:rsidRDefault="00581FF3" w:rsidP="00401A5B">
      <w:pPr>
        <w:jc w:val="center"/>
        <w:rPr>
          <w:rFonts w:ascii="Times New Roman" w:eastAsia="Times New Roman" w:hAnsi="Times New Roman" w:cs="Times New Roman"/>
          <w:b/>
          <w:i/>
          <w:sz w:val="24"/>
          <w:szCs w:val="24"/>
          <w:lang w:eastAsia="en-US"/>
        </w:rPr>
      </w:pPr>
      <w:r w:rsidRPr="00581FF3">
        <w:rPr>
          <w:rFonts w:ascii="Times New Roman" w:eastAsia="Times New Roman" w:hAnsi="Times New Roman" w:cs="Times New Roman"/>
          <w:b/>
          <w:i/>
          <w:sz w:val="24"/>
          <w:szCs w:val="24"/>
          <w:lang w:eastAsia="en-US"/>
        </w:rPr>
        <w:t>1.8</w:t>
      </w:r>
      <w:r w:rsidR="00350B96">
        <w:rPr>
          <w:rFonts w:ascii="Times New Roman" w:eastAsia="Times New Roman" w:hAnsi="Times New Roman" w:cs="Times New Roman"/>
          <w:b/>
          <w:i/>
          <w:sz w:val="24"/>
          <w:szCs w:val="24"/>
          <w:lang w:eastAsia="en-US"/>
        </w:rPr>
        <w:t>.</w:t>
      </w:r>
      <w:r w:rsidRPr="00581FF3">
        <w:rPr>
          <w:rFonts w:ascii="Times New Roman" w:eastAsia="Times New Roman" w:hAnsi="Times New Roman" w:cs="Times New Roman"/>
          <w:b/>
          <w:i/>
          <w:sz w:val="24"/>
          <w:szCs w:val="24"/>
          <w:lang w:eastAsia="en-US"/>
        </w:rPr>
        <w:t>att. Apstrādes rūpniecības nozaru izlaides struktūra 2019.gadā (faktiskajās cenās, %)</w:t>
      </w:r>
    </w:p>
    <w:p w14:paraId="59BFFBB9" w14:textId="77777777" w:rsidR="00350B96" w:rsidRPr="00581FF3" w:rsidRDefault="00350B96" w:rsidP="00401A5B">
      <w:pPr>
        <w:jc w:val="center"/>
        <w:rPr>
          <w:rFonts w:ascii="Times New Roman" w:eastAsia="Times New Roman" w:hAnsi="Times New Roman" w:cs="Times New Roman"/>
          <w:b/>
          <w:i/>
          <w:sz w:val="24"/>
          <w:szCs w:val="24"/>
          <w:lang w:eastAsia="en-US"/>
        </w:rPr>
      </w:pPr>
    </w:p>
    <w:p w14:paraId="259707C3" w14:textId="77777777" w:rsidR="00581FF3" w:rsidRPr="00581FF3" w:rsidRDefault="00581FF3" w:rsidP="00401A5B">
      <w:pPr>
        <w:spacing w:line="259" w:lineRule="auto"/>
        <w:ind w:firstLine="720"/>
        <w:jc w:val="both"/>
        <w:rPr>
          <w:rFonts w:ascii="Times New Roman" w:eastAsiaTheme="minorHAnsi" w:hAnsi="Times New Roman" w:cs="Times New Roman"/>
          <w:sz w:val="28"/>
          <w:szCs w:val="28"/>
          <w:lang w:eastAsia="en-US"/>
        </w:rPr>
      </w:pPr>
      <w:r w:rsidRPr="00581FF3">
        <w:rPr>
          <w:rFonts w:ascii="Times New Roman" w:eastAsiaTheme="minorHAnsi" w:hAnsi="Times New Roman" w:cs="Times New Roman"/>
          <w:sz w:val="28"/>
          <w:szCs w:val="28"/>
          <w:lang w:eastAsia="en-US"/>
        </w:rPr>
        <w:t>Otra lielākā apakšnozare ir pārtikas produktu un dzērienu ražošana, no kā izteikti lielāko daļu jeb 19,2% veido pārtika, kuras īpatsvars gada laikā nedaudz palielinājās – par 0,3 procentpunktiem. Citas salīdzinoši lielas apstrādes rūpniecības apakšnozares ir gatavo metālizstrādājumu un nemetālisko minerālu izstrādājumu ražošana, kuras veido attiecīgi 8,0% un 5,8%. Pozitīvi, ka piektā lielākā Latvijas apstrādes rūpniecības apakšnozare ir datoru, elektronisko un optisko iekārtu ražošana, kurā tiek ražoti augstas pievienotās vērtības produkti, un tās īpatsvars apstrādes rūpniecības izlaides struktūrā pērn, salīdzinot ar iepriekšējo gadu, pieaudzis par 0,4 procentpunktiem.</w:t>
      </w:r>
    </w:p>
    <w:p w14:paraId="2E1177D7" w14:textId="6659D693" w:rsidR="00581FF3" w:rsidRPr="00581FF3" w:rsidRDefault="00581FF3" w:rsidP="00401A5B">
      <w:pPr>
        <w:ind w:firstLine="720"/>
        <w:jc w:val="both"/>
        <w:rPr>
          <w:rFonts w:ascii="Times New Roman" w:eastAsiaTheme="minorHAnsi" w:hAnsi="Times New Roman" w:cs="Times New Roman"/>
          <w:sz w:val="28"/>
          <w:szCs w:val="20"/>
          <w:lang w:eastAsia="en-US"/>
        </w:rPr>
      </w:pPr>
      <w:r w:rsidRPr="00581FF3">
        <w:rPr>
          <w:rFonts w:ascii="Times New Roman" w:eastAsiaTheme="minorHAnsi" w:hAnsi="Times New Roman" w:cs="Times New Roman"/>
          <w:sz w:val="28"/>
          <w:szCs w:val="20"/>
          <w:lang w:eastAsia="en-US"/>
        </w:rPr>
        <w:t>Apstrādes rūpniecības izlaides kritumu šogad noteica ne tikai Covid-19 krīze, bet arī gada pirmajos mēnešos reģistrētais ražošanas apjomu samazinājums kokrūpniecībā saistībā ar pērnā gada bāzes efektiem, kā arī apjomu kritums atsevišķās mašīnbūves apakšnozarēs saistībā ar ārējā pieprasījuma vājināšanos. Tādējādi 2020.gada pirmajos septiņos mēnešos apstrādes rūpniecības izlaide bijusi par 3,5% zemāka nekā pirms gada (</w:t>
      </w:r>
      <w:r w:rsidR="00D4108D">
        <w:rPr>
          <w:rFonts w:ascii="Times New Roman" w:eastAsiaTheme="minorHAnsi" w:hAnsi="Times New Roman" w:cs="Times New Roman"/>
          <w:sz w:val="28"/>
          <w:szCs w:val="20"/>
          <w:lang w:eastAsia="en-US"/>
        </w:rPr>
        <w:t xml:space="preserve">skat. </w:t>
      </w:r>
      <w:r w:rsidRPr="00581FF3">
        <w:rPr>
          <w:rFonts w:ascii="Times New Roman" w:eastAsiaTheme="minorHAnsi" w:hAnsi="Times New Roman" w:cs="Times New Roman"/>
          <w:sz w:val="28"/>
          <w:szCs w:val="20"/>
          <w:lang w:eastAsia="en-US"/>
        </w:rPr>
        <w:t xml:space="preserve">1.9.att.). Straujākais ražošanas apjomu kritums tika reģistrēts aprīlī, kad gada griezumā apstrādes rūpniecības izlaide, reaģējot uz Covid-19 straujo izplatību, bija samazinājusies par 8,9%, kam sekoja ražošanas apjomu kritums par 7,0% maijā. Jūnijā, kad Covid-19 slimība uzrādīja atkāpšanās pazīmes, saslimstības rādītāji bija kļuvuši ievērojami zemāki un Latvijā, kā arī lielā daļā tirdzniecības partnervalstu Covid-19 izplatības ierobežošanai paredzētie pasākumi tika būtiski mīkstināti, apstrādes rūpniecības izlaide samazinājās vairs tikai par 2,3% un jau jūlijā nozarē tika reģistrēta neliela izaugsme – par 1,8%, ko noteica negaidīti spēcīgs ražošanas apjomu kāpums kokrūpniecībā. </w:t>
      </w:r>
    </w:p>
    <w:p w14:paraId="03C66263" w14:textId="77777777"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66B951AB" w14:textId="77777777" w:rsidR="00350B96" w:rsidRDefault="00581FF3" w:rsidP="00401A5B">
      <w:pPr>
        <w:tabs>
          <w:tab w:val="left" w:pos="3686"/>
        </w:tabs>
        <w:spacing w:line="259" w:lineRule="auto"/>
        <w:jc w:val="center"/>
        <w:rPr>
          <w:rFonts w:ascii="Times New Roman" w:eastAsia="Times New Roman" w:hAnsi="Times New Roman" w:cs="Times New Roman"/>
          <w:b/>
          <w:i/>
          <w:sz w:val="24"/>
          <w:szCs w:val="24"/>
          <w:lang w:eastAsia="en-US"/>
        </w:rPr>
      </w:pPr>
      <w:r w:rsidRPr="00581FF3">
        <w:rPr>
          <w:rFonts w:ascii="Times New Roman" w:eastAsiaTheme="minorHAnsi" w:hAnsi="Times New Roman" w:cs="Times New Roman"/>
          <w:noProof/>
          <w:sz w:val="24"/>
          <w:szCs w:val="24"/>
        </w:rPr>
        <w:drawing>
          <wp:anchor distT="0" distB="0" distL="114300" distR="114300" simplePos="0" relativeHeight="251659264" behindDoc="0" locked="0" layoutInCell="1" allowOverlap="1" wp14:anchorId="34A6E015" wp14:editId="4C819C5F">
            <wp:simplePos x="1143000" y="1362075"/>
            <wp:positionH relativeFrom="column">
              <wp:align>left</wp:align>
            </wp:positionH>
            <wp:positionV relativeFrom="paragraph">
              <wp:align>top</wp:align>
            </wp:positionV>
            <wp:extent cx="5274310" cy="2886075"/>
            <wp:effectExtent l="0" t="0" r="2540"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350B96">
        <w:rPr>
          <w:rFonts w:ascii="Times New Roman" w:eastAsia="Times New Roman" w:hAnsi="Times New Roman" w:cs="Times New Roman"/>
          <w:b/>
          <w:i/>
          <w:sz w:val="24"/>
          <w:szCs w:val="24"/>
          <w:lang w:eastAsia="en-US"/>
        </w:rPr>
        <w:t xml:space="preserve">  </w:t>
      </w:r>
    </w:p>
    <w:p w14:paraId="5FE831B5" w14:textId="77777777"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10BCEF1A" w14:textId="1E95EE2F"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78DF53DE" w14:textId="609B05E0"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363D54B7" w14:textId="4C034BA0"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35791643" w14:textId="22BD69AD"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578BD9C7" w14:textId="117F669D"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5F905F5D" w14:textId="0C4EA5FA"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40422ABB" w14:textId="7C168718"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0749947D" w14:textId="18B4E08B"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6E16EDAA" w14:textId="22343CE3"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49109480" w14:textId="5B970702"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4BF4B77C" w14:textId="77777777" w:rsidR="00350B96" w:rsidRDefault="00350B96" w:rsidP="00401A5B">
      <w:pPr>
        <w:tabs>
          <w:tab w:val="left" w:pos="3686"/>
        </w:tabs>
        <w:spacing w:line="259" w:lineRule="auto"/>
        <w:jc w:val="center"/>
        <w:rPr>
          <w:rFonts w:ascii="Times New Roman" w:eastAsia="Times New Roman" w:hAnsi="Times New Roman" w:cs="Times New Roman"/>
          <w:b/>
          <w:i/>
          <w:sz w:val="24"/>
          <w:szCs w:val="24"/>
          <w:lang w:eastAsia="en-US"/>
        </w:rPr>
      </w:pPr>
    </w:p>
    <w:p w14:paraId="6F2F4F31" w14:textId="49C72621" w:rsidR="00581FF3" w:rsidRDefault="00913BD3" w:rsidP="00401A5B">
      <w:pPr>
        <w:tabs>
          <w:tab w:val="left" w:pos="3686"/>
        </w:tabs>
        <w:spacing w:line="259" w:lineRule="auto"/>
        <w:jc w:val="center"/>
        <w:rPr>
          <w:rFonts w:ascii="Times New Roman" w:eastAsia="Times New Roman" w:hAnsi="Times New Roman" w:cs="Times New Roman"/>
          <w:b/>
          <w:i/>
          <w:sz w:val="24"/>
          <w:szCs w:val="24"/>
          <w:lang w:eastAsia="en-US"/>
        </w:rPr>
      </w:pPr>
      <w:r>
        <w:rPr>
          <w:rFonts w:ascii="Times New Roman" w:eastAsia="Times New Roman" w:hAnsi="Times New Roman" w:cs="Times New Roman"/>
          <w:b/>
          <w:i/>
          <w:sz w:val="24"/>
          <w:szCs w:val="24"/>
          <w:lang w:eastAsia="en-US"/>
        </w:rPr>
        <w:t>1.9.</w:t>
      </w:r>
      <w:r w:rsidR="00350B96" w:rsidRPr="00350B96">
        <w:rPr>
          <w:rFonts w:ascii="Times New Roman" w:eastAsia="Times New Roman" w:hAnsi="Times New Roman" w:cs="Times New Roman"/>
          <w:b/>
          <w:i/>
          <w:sz w:val="24"/>
          <w:szCs w:val="24"/>
          <w:lang w:eastAsia="en-US"/>
        </w:rPr>
        <w:t xml:space="preserve">att. </w:t>
      </w:r>
      <w:r w:rsidR="00581FF3" w:rsidRPr="00581FF3">
        <w:rPr>
          <w:rFonts w:ascii="Times New Roman" w:eastAsia="Times New Roman" w:hAnsi="Times New Roman" w:cs="Times New Roman"/>
          <w:b/>
          <w:i/>
          <w:sz w:val="24"/>
          <w:szCs w:val="24"/>
          <w:lang w:eastAsia="en-US"/>
        </w:rPr>
        <w:t>Rūpniecības nozaru izlaides apjoma izmaiņas 2019.gadā un 2020.g. septiņos mēnešos, salīdzinot ar iepriekšējā gada attiecīgo laika periodu (kalendāri izlīdzināti dati,%)</w:t>
      </w:r>
    </w:p>
    <w:p w14:paraId="695E3369" w14:textId="77777777" w:rsidR="00350B96" w:rsidRPr="00581FF3" w:rsidRDefault="00350B96" w:rsidP="00401A5B">
      <w:pPr>
        <w:tabs>
          <w:tab w:val="left" w:pos="3686"/>
        </w:tabs>
        <w:spacing w:line="259" w:lineRule="auto"/>
        <w:jc w:val="center"/>
        <w:rPr>
          <w:rFonts w:ascii="Times New Roman" w:eastAsiaTheme="minorHAnsi" w:hAnsi="Times New Roman" w:cs="Times New Roman"/>
          <w:sz w:val="28"/>
          <w:szCs w:val="28"/>
          <w:lang w:eastAsia="en-US"/>
        </w:rPr>
      </w:pPr>
    </w:p>
    <w:p w14:paraId="04FDEDB6" w14:textId="77777777" w:rsidR="00581FF3" w:rsidRPr="00581FF3" w:rsidRDefault="00581FF3" w:rsidP="00401A5B">
      <w:pPr>
        <w:ind w:firstLine="720"/>
        <w:jc w:val="both"/>
        <w:rPr>
          <w:rFonts w:ascii="Times New Roman" w:eastAsiaTheme="minorHAnsi" w:hAnsi="Times New Roman" w:cs="Times New Roman"/>
          <w:sz w:val="28"/>
          <w:szCs w:val="28"/>
          <w:lang w:eastAsia="en-US"/>
        </w:rPr>
      </w:pPr>
      <w:r w:rsidRPr="00581FF3">
        <w:rPr>
          <w:rFonts w:ascii="Times New Roman" w:eastAsiaTheme="minorHAnsi" w:hAnsi="Times New Roman" w:cs="Times New Roman"/>
          <w:sz w:val="28"/>
          <w:szCs w:val="20"/>
          <w:lang w:eastAsia="en-US"/>
        </w:rPr>
        <w:t xml:space="preserve">Šā gada septiņos mēnešos kopā apjomu samazinājumu uzrādījušas gandrīz vai visas apstrādes rūpniecības apakšnozares, taču lielāko negatīvo ietekmi uz nozares rezultātiem septiņos mēnešos radīja iekārtu un ierīču remonta un uzstādīšanas apjomu sarukums par 27,6% un automobiļu, piekabju un puspiekabju ražošanas samazināšanās par 25,1%, kur izlaides apjomi sāka kristies jau pērnā gada vidū. Līdzīgi kā automobiļu un piekabju ražošanā kopš 2019.gada jūnija ārējā pieprasījuma vājināšanās rezultātā samazinājušies arī iekārtu, mehānismu un darba mašīnu ražošanas apjomi, un 2020.gada septiņos mēnešos tie bija par 9,1% zemāki nekā pirms gada, lai gan tieši jūlijā apakšnozarē reģistrēts samērā spēcīgs apjomu pieaugums – par 11,9%. Mašīnbūvi veidojošajām apakšnozarēm īpaši svarīgs ir ārējā pieprasījuma noturīgums, jo vairāk nekā 80% no mašīnbūvē saražotās produkcijas tiek eksportēti. Tādējādi liela nozīme ir ekonomiskajai situācijai pasaulē, kura nebija spēcīga arī pirms to negaidīti satricināja Covid-19 pandēmija. Kopš šā gada marta samazinās arī gatavo metālizstrādājumu ražošanas apjomi, un septiņos mēnešos kopā apakšnozares izlaide ir sarukusi par 4,2%. Iepriekšējos četrus gadus metālizstrādājumu ražošana bija uzrādījusi spēcīgu izaugsmi, </w:t>
      </w:r>
      <w:r w:rsidRPr="00581FF3">
        <w:rPr>
          <w:rFonts w:ascii="Times New Roman" w:eastAsiaTheme="minorHAnsi" w:hAnsi="Times New Roman" w:cs="Times New Roman"/>
          <w:sz w:val="28"/>
          <w:szCs w:val="28"/>
          <w:lang w:eastAsia="en-US"/>
        </w:rPr>
        <w:t xml:space="preserve">ko 2016. un 2017.gadā noteica pieprasījuma pieaugums, savukārt 2018. un 2019.gadā, kad ārējā ekonomiskā vide jau bija pasliktinājusies, ārējais pieprasījums pēc metālapstrādes produkcijas joprojām saglabājās stabils. Jāatzīmē, ka 2/3 no gatavo metālizstrādājumu produkcijas tiek eksportētas. </w:t>
      </w:r>
      <w:r w:rsidRPr="00581FF3">
        <w:rPr>
          <w:rFonts w:ascii="Times New Roman" w:eastAsiaTheme="minorHAnsi" w:hAnsi="Times New Roman" w:cs="Times New Roman"/>
          <w:sz w:val="28"/>
          <w:szCs w:val="20"/>
          <w:lang w:eastAsia="en-US"/>
        </w:rPr>
        <w:t>Būtiski ražošanas apjomu kritumi šogad reģistrēti vieglās rūpniecības apakšnozarēs, tekstilizstrādājumu ražošanai septiņos mēnešos sarūkot par 12,9% un apģērbu ražošanai – par 13,3%. Par 7,3% samazinājās dzērienu ražošanas apjomi, ja tos salīdzina ar pērnā gada janvāra-jūlija līmeni.</w:t>
      </w:r>
    </w:p>
    <w:p w14:paraId="1C95099B" w14:textId="77777777" w:rsidR="00581FF3" w:rsidRPr="00581FF3" w:rsidRDefault="00581FF3" w:rsidP="00401A5B">
      <w:pPr>
        <w:ind w:firstLine="720"/>
        <w:jc w:val="both"/>
        <w:rPr>
          <w:rFonts w:ascii="Times New Roman" w:eastAsiaTheme="minorHAnsi" w:hAnsi="Times New Roman" w:cs="Times New Roman"/>
          <w:sz w:val="28"/>
          <w:szCs w:val="20"/>
          <w:lang w:eastAsia="en-US"/>
        </w:rPr>
      </w:pPr>
      <w:r w:rsidRPr="00581FF3">
        <w:rPr>
          <w:rFonts w:ascii="Times New Roman" w:eastAsiaTheme="minorHAnsi" w:hAnsi="Times New Roman" w:cs="Times New Roman"/>
          <w:sz w:val="28"/>
          <w:szCs w:val="20"/>
          <w:lang w:eastAsia="en-US"/>
        </w:rPr>
        <w:t xml:space="preserve"> Lielāko apstrādes rūpniecības apakšnozaru izlaide 2020.gada septiņos mēnešos saglabājusies tuva iepriekšējā gada attiecīgā laika perioda līmenim. Kokrūpniecības apakšnozarē, kurā šogad izaugsmes mēneši ir mijušies ar izlaides sarukumiem,  vidēji septiņos mēnešos  ražošanas apjomi bija nedaudz zem pagājušā gada izlaides līmeņa, tiem samazinoties vien par 0,2%. Kokrūpniecības nozari šogad negatīvi ietekmēja ne tikai Covid-19 izplatības sekas un noteiktie ierobežojumi noieta tirgos, bet arī straujš ražošanas apjomu kritums gada pirmajā mēnesī saistībā ar pērnā gada sākumā sasniegto augsto izlaides līmeni, kad </w:t>
      </w:r>
      <w:r w:rsidRPr="00581FF3">
        <w:rPr>
          <w:rFonts w:ascii="Times New Roman" w:eastAsiaTheme="minorHAnsi" w:hAnsi="Times New Roman" w:cs="Times New Roman"/>
          <w:i/>
          <w:sz w:val="28"/>
          <w:szCs w:val="20"/>
          <w:lang w:eastAsia="en-US"/>
        </w:rPr>
        <w:t>Brexit</w:t>
      </w:r>
      <w:r w:rsidRPr="00581FF3">
        <w:rPr>
          <w:rFonts w:ascii="Times New Roman" w:eastAsiaTheme="minorHAnsi" w:hAnsi="Times New Roman" w:cs="Times New Roman"/>
          <w:sz w:val="28"/>
          <w:szCs w:val="20"/>
          <w:lang w:eastAsia="en-US"/>
        </w:rPr>
        <w:t xml:space="preserve"> gaidās nozīmīgas produkcijas piegādes tika izpildītas uz Apvienoto Karalisti. Savukārt šā gada jūlijā kokrūpniecībā tika reģistrēta ļoti spēcīga izaugsme, 12,5% apmērā, pateicoties kam apstrādes rūpniecībā pirmo reizi šogad tika reģistrēts apjomu pieaugums. </w:t>
      </w:r>
    </w:p>
    <w:p w14:paraId="1C9E326A" w14:textId="77777777" w:rsidR="00581FF3" w:rsidRPr="00581FF3" w:rsidRDefault="00581FF3" w:rsidP="00401A5B">
      <w:pPr>
        <w:ind w:firstLine="720"/>
        <w:jc w:val="both"/>
        <w:rPr>
          <w:rFonts w:ascii="Times New Roman" w:eastAsiaTheme="minorHAnsi" w:hAnsi="Times New Roman" w:cs="Times New Roman"/>
          <w:sz w:val="28"/>
          <w:szCs w:val="20"/>
          <w:lang w:eastAsia="en-US"/>
        </w:rPr>
      </w:pPr>
      <w:r w:rsidRPr="00581FF3">
        <w:rPr>
          <w:rFonts w:ascii="Times New Roman" w:eastAsiaTheme="minorHAnsi" w:hAnsi="Times New Roman" w:cs="Times New Roman"/>
          <w:sz w:val="28"/>
          <w:szCs w:val="20"/>
          <w:lang w:eastAsia="en-US"/>
        </w:rPr>
        <w:t xml:space="preserve">Pārtikas produktu ražošanas izmaiņu dinamika šogad bijusi visai vienmērīga, pieauguma vai krituma tempiem svārstoties ap nulli, izņemot aprīļa mēnesi, kad pārtikas produktu ražošanas apjomi gada griezumā saruka par 7,7%. Tā rezultātā septiņos mēnešos kopā saražotie pārtikas produktu apjomi bija par 1,0% zemāki nekā pirms gada. </w:t>
      </w:r>
      <w:r w:rsidRPr="00581FF3">
        <w:rPr>
          <w:rFonts w:ascii="Times New Roman" w:eastAsiaTheme="minorHAnsi" w:hAnsi="Times New Roman" w:cs="Times New Roman"/>
          <w:sz w:val="28"/>
          <w:szCs w:val="28"/>
          <w:lang w:eastAsia="en-US"/>
        </w:rPr>
        <w:t>To galvenokārt noteica ražošanas apjomu sarukums zivrūpniecībā, kā arī gaļas un gaļas produktu ražošanā un pārstrādē. Tikmēr augļu un dārzeņu pārstrāde un konservēšana septiņos mēnešos uzrādījusi kāpumu un neliels pieaugums reģistrēts arī piena produktu ražošanā.</w:t>
      </w:r>
    </w:p>
    <w:p w14:paraId="7C00BB56" w14:textId="77777777" w:rsidR="00581FF3" w:rsidRPr="00581FF3" w:rsidRDefault="00581FF3" w:rsidP="00401A5B">
      <w:pPr>
        <w:ind w:firstLine="720"/>
        <w:jc w:val="both"/>
        <w:rPr>
          <w:rFonts w:ascii="Times New Roman" w:eastAsiaTheme="minorHAnsi" w:hAnsi="Times New Roman" w:cs="Times New Roman"/>
          <w:sz w:val="28"/>
          <w:szCs w:val="20"/>
          <w:lang w:eastAsia="en-US"/>
        </w:rPr>
      </w:pPr>
      <w:r w:rsidRPr="00581FF3">
        <w:rPr>
          <w:rFonts w:ascii="Times New Roman" w:eastAsiaTheme="minorHAnsi" w:hAnsi="Times New Roman" w:cs="Times New Roman"/>
          <w:sz w:val="28"/>
          <w:szCs w:val="20"/>
          <w:lang w:eastAsia="en-US"/>
        </w:rPr>
        <w:t xml:space="preserve">Tikmēr dažas apstrādes rūpniecības apakšnozares Covid-19 krīzi pārcietušas visai veiksmīgi. Tā, piemēram, pieaugot pieprasījumam pēc roku un virsmu dezinfekcijas līdzekļiem, ķīmisko vielu un produktu ražošanas apjomi 2020.gada septiņos mēnešos palielinājušies par 10,1%. Pieaugumu 4,5% apmērā uzrādīja elektrisko iekārtu ražošana par spīti sarežģījumiem ārējos tirgos, kas atspoguļojas citu mašīnbūves apakšnozaru datos, lai gan arī šeit pieauguma tempi ir kļuvuši vājāki, ja tos salīdzina ar 2019.gada rezultātiem. Apjomu kāpums 2020.gada pirmajos septiņos mēnešos tika reģistrēts arī papīra un papīra izstrādājumu ražošanā, kā arī poligrāfijā un ierakstu reproducēšanā – attiecīgi par 2,5% un 3,3%. </w:t>
      </w:r>
    </w:p>
    <w:p w14:paraId="431FC03D" w14:textId="3BB6CB13" w:rsidR="00581FF3" w:rsidRPr="00581FF3" w:rsidRDefault="00581FF3" w:rsidP="00401A5B">
      <w:pPr>
        <w:ind w:firstLine="720"/>
        <w:jc w:val="both"/>
        <w:rPr>
          <w:rFonts w:ascii="Times New Roman" w:eastAsiaTheme="minorHAnsi" w:hAnsi="Times New Roman" w:cs="Times New Roman"/>
          <w:sz w:val="28"/>
          <w:szCs w:val="28"/>
          <w:lang w:eastAsia="en-US"/>
        </w:rPr>
      </w:pPr>
      <w:r w:rsidRPr="00581FF3">
        <w:rPr>
          <w:rFonts w:ascii="Times New Roman" w:eastAsiaTheme="minorHAnsi" w:hAnsi="Times New Roman" w:cs="Times New Roman"/>
          <w:sz w:val="28"/>
          <w:szCs w:val="28"/>
          <w:lang w:eastAsia="en-US"/>
        </w:rPr>
        <w:t>Pērn apstrādes rūpniecības produkcijas apgrozījums (faktiskajās cenās) salīdzinājumā ar 2018.gadu bija audzis par 3,4%, ko vairāk veicināja apgrozījuma pieaugums vietējā tirgū (+4,5%), kamēr produkcijas realizācija eksportā palielinājās lēnāk (+2,8%) (</w:t>
      </w:r>
      <w:r w:rsidR="00D4108D">
        <w:rPr>
          <w:rFonts w:ascii="Times New Roman" w:eastAsiaTheme="minorHAnsi" w:hAnsi="Times New Roman" w:cs="Times New Roman"/>
          <w:sz w:val="28"/>
          <w:szCs w:val="28"/>
          <w:lang w:eastAsia="en-US"/>
        </w:rPr>
        <w:t xml:space="preserve">skat. </w:t>
      </w:r>
      <w:r w:rsidRPr="00581FF3">
        <w:rPr>
          <w:rFonts w:ascii="Times New Roman" w:eastAsiaTheme="minorHAnsi" w:hAnsi="Times New Roman" w:cs="Times New Roman"/>
          <w:sz w:val="28"/>
          <w:szCs w:val="28"/>
          <w:lang w:eastAsia="en-US"/>
        </w:rPr>
        <w:t>1.10.att.). Ja vēl 2019.gada sākumā apstrādes rūpniecības apgrozījuma pieaugums vidēji bija tikpat spēcīgs kā iepriekšējos divus gadus – ap 10%, tad maijā izaugsmes tempi sākuši bremzēties. Arī šogad apstrādes rūpniecības produkcijas apgrozījuma pieauguma tempi bijuši vāji, turklāt no šā gada marta līdz jūnijam apgrozījums uzrādīja samazinājumu, kā rezultātā arī 2020.gada septiņos mēnešos kopā nozares apgrozījumā tika reģistrēts neliels kritums – par 0,4%. To noteica apgrozījuma sarukums vietējā tirgū – par 2,2%, kamēr eksportā apstrādes rūpniecības realizācija uzrādīja nelielu pieaugumu – par 0,5%</w:t>
      </w:r>
      <w:r w:rsidR="00350B96">
        <w:rPr>
          <w:rFonts w:ascii="Times New Roman" w:eastAsiaTheme="minorHAnsi" w:hAnsi="Times New Roman" w:cs="Times New Roman"/>
          <w:sz w:val="28"/>
          <w:szCs w:val="28"/>
          <w:lang w:eastAsia="en-US"/>
        </w:rPr>
        <w:t>.</w:t>
      </w:r>
    </w:p>
    <w:p w14:paraId="341EB083" w14:textId="77777777" w:rsidR="00581FF3" w:rsidRPr="00581FF3" w:rsidRDefault="00581FF3" w:rsidP="00401A5B">
      <w:pPr>
        <w:jc w:val="center"/>
        <w:rPr>
          <w:rFonts w:ascii="Times New Roman" w:eastAsiaTheme="minorHAnsi" w:hAnsi="Times New Roman" w:cs="Times New Roman"/>
          <w:sz w:val="28"/>
          <w:szCs w:val="20"/>
          <w:lang w:eastAsia="en-US"/>
        </w:rPr>
      </w:pPr>
      <w:r w:rsidRPr="00581FF3">
        <w:rPr>
          <w:rFonts w:ascii="Times New Roman" w:eastAsiaTheme="minorHAnsi" w:hAnsi="Times New Roman" w:cs="Times New Roman"/>
          <w:noProof/>
          <w:sz w:val="24"/>
          <w:szCs w:val="24"/>
        </w:rPr>
        <w:drawing>
          <wp:inline distT="0" distB="0" distL="0" distR="0" wp14:anchorId="784E45DC" wp14:editId="6DDB065A">
            <wp:extent cx="5274310" cy="2449195"/>
            <wp:effectExtent l="0" t="0" r="2540" b="82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666EF4" w14:textId="409FE794" w:rsidR="00581FF3" w:rsidRPr="00581FF3" w:rsidRDefault="00581FF3" w:rsidP="00401A5B">
      <w:pPr>
        <w:jc w:val="center"/>
        <w:rPr>
          <w:rFonts w:ascii="Times New Roman" w:eastAsiaTheme="minorHAnsi" w:hAnsi="Times New Roman" w:cs="Times New Roman"/>
          <w:b/>
          <w:i/>
          <w:sz w:val="24"/>
          <w:szCs w:val="24"/>
          <w:lang w:eastAsia="en-US"/>
        </w:rPr>
      </w:pPr>
      <w:r w:rsidRPr="00581FF3">
        <w:rPr>
          <w:rFonts w:ascii="Times New Roman" w:eastAsiaTheme="minorHAnsi" w:hAnsi="Times New Roman" w:cs="Times New Roman"/>
          <w:b/>
          <w:i/>
          <w:sz w:val="24"/>
          <w:szCs w:val="24"/>
          <w:lang w:eastAsia="en-US"/>
        </w:rPr>
        <w:t>1.10</w:t>
      </w:r>
      <w:r w:rsidR="00350B96">
        <w:rPr>
          <w:rFonts w:ascii="Times New Roman" w:eastAsiaTheme="minorHAnsi" w:hAnsi="Times New Roman" w:cs="Times New Roman"/>
          <w:b/>
          <w:i/>
          <w:sz w:val="24"/>
          <w:szCs w:val="24"/>
          <w:lang w:eastAsia="en-US"/>
        </w:rPr>
        <w:t>.</w:t>
      </w:r>
      <w:r w:rsidRPr="00581FF3">
        <w:rPr>
          <w:rFonts w:ascii="Times New Roman" w:eastAsiaTheme="minorHAnsi" w:hAnsi="Times New Roman" w:cs="Times New Roman"/>
          <w:b/>
          <w:i/>
          <w:sz w:val="24"/>
          <w:szCs w:val="24"/>
          <w:lang w:eastAsia="en-US"/>
        </w:rPr>
        <w:t>att. Apstrādes rūpniecības apgrozījuma pārmaiņas</w:t>
      </w:r>
      <w:r w:rsidRPr="00581FF3">
        <w:rPr>
          <w:rFonts w:ascii="Times New Roman" w:eastAsia="Times New Roman" w:hAnsi="Times New Roman" w:cs="Times New Roman"/>
          <w:sz w:val="24"/>
          <w:szCs w:val="24"/>
          <w:lang w:eastAsia="en-US"/>
        </w:rPr>
        <w:t xml:space="preserve"> </w:t>
      </w:r>
      <w:r w:rsidRPr="00581FF3">
        <w:rPr>
          <w:rFonts w:ascii="Times New Roman" w:eastAsiaTheme="minorHAnsi" w:hAnsi="Times New Roman" w:cs="Times New Roman"/>
          <w:b/>
          <w:i/>
          <w:sz w:val="24"/>
          <w:szCs w:val="24"/>
          <w:lang w:eastAsia="en-US"/>
        </w:rPr>
        <w:t>pret iepriekšējā gada attiecīgo mēnesi (kalendāri izlīdzināti dati, %)</w:t>
      </w:r>
    </w:p>
    <w:p w14:paraId="2CBB468E" w14:textId="77777777" w:rsidR="00581FF3" w:rsidRPr="00581FF3" w:rsidRDefault="00581FF3" w:rsidP="00401A5B">
      <w:pPr>
        <w:jc w:val="both"/>
        <w:rPr>
          <w:rFonts w:ascii="Times New Roman" w:eastAsiaTheme="minorHAnsi" w:hAnsi="Times New Roman" w:cs="Times New Roman"/>
          <w:sz w:val="28"/>
          <w:szCs w:val="20"/>
          <w:lang w:eastAsia="en-US"/>
        </w:rPr>
      </w:pPr>
    </w:p>
    <w:p w14:paraId="278E8D1B" w14:textId="77777777" w:rsidR="00581FF3" w:rsidRPr="00581FF3" w:rsidRDefault="00581FF3" w:rsidP="00401A5B">
      <w:pPr>
        <w:ind w:firstLine="720"/>
        <w:jc w:val="both"/>
        <w:rPr>
          <w:rFonts w:ascii="Times New Roman" w:eastAsiaTheme="minorHAnsi" w:hAnsi="Times New Roman" w:cs="Times New Roman"/>
          <w:sz w:val="28"/>
          <w:szCs w:val="20"/>
          <w:lang w:eastAsia="en-US"/>
        </w:rPr>
      </w:pPr>
      <w:r w:rsidRPr="00581FF3">
        <w:rPr>
          <w:rFonts w:ascii="Times New Roman" w:eastAsiaTheme="minorHAnsi" w:hAnsi="Times New Roman" w:cs="Times New Roman"/>
          <w:sz w:val="28"/>
          <w:szCs w:val="28"/>
          <w:lang w:eastAsia="en-US"/>
        </w:rPr>
        <w:t>Starp apstrādes rūpniecības apakšnozarēm apgrozījums šogad visstraujāk palielinājies ķīmisko vielu un ķīmisko produktu ražošanā – par 25,5% salīdzinājumā ar iepriekšējā gada janvāra-jūlija periodu, metālu ražošanā – par 24,2%, par 6,2% palielinājās gatavo metālizstrādājumu apgrozījums.  Tikmēr apgrozījuma kritums fiksēts automobiļu, piekabju un puspiekabju ražošanā – par 21,3% gada griezumā, iekārtu un ierīču remontā un uzstādīšanā – par 10,5%, apģērbu ražošanā – par 10,3%. Lielākās apstrādes rūpniecības apakšnozares, t.i., kokrūpniecības, apgrozījums šā gada septiņos mēnešos ir sarucis par 4,3%, kamēr pārtikas produktu realizācija ir palielinājusies par 1,1%. Jāatzīmē, ka jūlijā negaidīti strauju pieaugumu uzrādīja apstrādes rūpniecības produkcijas apgrozījums eksportā – par 9,8% gada griezumā. To visbūtiskāk veicināja kokrūpniecības eksporta apgrozījuma kāpums, kā arī ķīmiskās rūpniecības produkcijas un mēbeļu eksporta pieaugums.</w:t>
      </w:r>
    </w:p>
    <w:p w14:paraId="22C7FE48" w14:textId="77777777" w:rsidR="00581FF3" w:rsidRPr="00581FF3" w:rsidRDefault="00581FF3" w:rsidP="00401A5B">
      <w:pPr>
        <w:ind w:firstLine="720"/>
        <w:jc w:val="both"/>
        <w:rPr>
          <w:rFonts w:ascii="Times New Roman" w:eastAsiaTheme="minorHAnsi" w:hAnsi="Times New Roman" w:cs="Times New Roman"/>
          <w:sz w:val="28"/>
          <w:szCs w:val="28"/>
          <w:lang w:eastAsia="en-US"/>
        </w:rPr>
      </w:pPr>
      <w:r w:rsidRPr="00581FF3">
        <w:rPr>
          <w:rFonts w:ascii="Times New Roman" w:eastAsiaTheme="minorHAnsi" w:hAnsi="Times New Roman" w:cs="Times New Roman"/>
          <w:sz w:val="28"/>
          <w:szCs w:val="28"/>
          <w:lang w:eastAsia="en-US"/>
        </w:rPr>
        <w:t xml:space="preserve">EK apkopotais ekonomiskās konfidences indekss kopš šā gada sākuma ir bijis ļoti svārstīgs - martā un aprīlī uzrādot būtisku kritumu, Latvijas apstrādes rūpniecības noskaņojums kopš maija ir uzrādījis uzlabojumus, pieaugot uzņēmēju vērtējumam par pasūtījumu apjomiem turpmākajos mēnešos, kā arī par gaidāmajām produkcijas cenu un nodarbinātības pārmaiņām. Tomēr augustā apstrādes rūpniecības konfidences indekss salīdzinājumā ar iepriekšējo mēnesi nedaudz samazinājās, norādot uz nozarē valdošo piesardzību, ko lielā mērā nosaka Covid-19 saslimstības rādītāju pieaugums Eiropā pēdējo nedēļu laikā un bažas par ierobežojumu pastiprināšanu tirdzniecības partnervalstīs, kas ietekmēs ārējo pieprasījumu un preču tirdzniecības plūsmu. </w:t>
      </w:r>
    </w:p>
    <w:p w14:paraId="6D72CFD8" w14:textId="77777777" w:rsidR="00581FF3" w:rsidRPr="00581FF3" w:rsidRDefault="00581FF3" w:rsidP="00401A5B">
      <w:pPr>
        <w:ind w:firstLine="720"/>
        <w:jc w:val="both"/>
        <w:rPr>
          <w:rFonts w:ascii="Times New Roman" w:eastAsiaTheme="minorHAnsi" w:hAnsi="Times New Roman" w:cs="Times New Roman"/>
          <w:sz w:val="28"/>
          <w:szCs w:val="28"/>
          <w:lang w:eastAsia="en-US"/>
        </w:rPr>
      </w:pPr>
      <w:r w:rsidRPr="00581FF3">
        <w:rPr>
          <w:rFonts w:ascii="Times New Roman" w:eastAsiaTheme="minorHAnsi" w:hAnsi="Times New Roman" w:cs="Times New Roman"/>
          <w:sz w:val="28"/>
          <w:szCs w:val="28"/>
          <w:lang w:eastAsia="en-US"/>
        </w:rPr>
        <w:t xml:space="preserve">Uzņēmēju aptaujās ražotāji norādījuši, ka galvenais uzņēmējdarbību kavējošais faktors ir pieprasījuma trūkums – tā šā gada trešajā ceturksnī uzskatījuši 38,2% aptaujāto nozares pārstāvju, kas ir par 3,9 procentpunktiem augstāks līmenis nekā pirms gada. Covid-19 krīzes iespaidā daudzi uzņēmumi saskārušies ar apgrozāmo līdzekļu pieejamības un finanšu plūsmas problēmām, līdz ar to par finanšu grūtībām trešajā ceturksnī ziņojuši vairāk nekā četras reizes lielāks rūpnieku īpatsvars jeb 18,6% no aptaujātajiem ražotājiem. </w:t>
      </w:r>
    </w:p>
    <w:p w14:paraId="689C7A71" w14:textId="77777777" w:rsidR="00581FF3" w:rsidRPr="00581FF3" w:rsidRDefault="00581FF3" w:rsidP="00401A5B">
      <w:pPr>
        <w:ind w:firstLine="720"/>
        <w:jc w:val="both"/>
        <w:rPr>
          <w:rFonts w:ascii="Times New Roman" w:eastAsiaTheme="minorHAnsi" w:hAnsi="Times New Roman" w:cs="Times New Roman"/>
          <w:sz w:val="28"/>
          <w:szCs w:val="28"/>
          <w:lang w:eastAsia="en-US"/>
        </w:rPr>
      </w:pPr>
      <w:r w:rsidRPr="00581FF3">
        <w:rPr>
          <w:rFonts w:ascii="Times New Roman" w:eastAsiaTheme="minorHAnsi" w:hAnsi="Times New Roman" w:cs="Times New Roman"/>
          <w:sz w:val="28"/>
          <w:szCs w:val="28"/>
          <w:lang w:eastAsia="en-US"/>
        </w:rPr>
        <w:t>Tajā pašā laikā strauji saruka to apstrādes rūpnieku īpatsvars, kuri atzinuši, ka uzņēmējdarbības izaugsmi kavē darbaspēka pieejamības problēmas – trešajā ceturksnī par to satraucās 7,4% aptaujāto ražotāju (salīdzinājumam – gadu iepriekš šis īpatsvars bija 27%). Tajā pašā laikā tikai 6,7% aptaujāto rūpnieku atzīmējuši materiālu un/vai atbilstošo iekārtu pieejamības problēmas, kas liecina vai nu par iepriekš veikto investīciju rezultātiem, vai atspoguļo pieprasījuma trūkuma sekas, savukārt 36,3% nesaskata ierobežojumus, veicot uzņēmējdarbību.</w:t>
      </w:r>
    </w:p>
    <w:p w14:paraId="56122D52" w14:textId="6A39D8E3" w:rsidR="00581FF3" w:rsidRDefault="00581FF3" w:rsidP="00401A5B">
      <w:pPr>
        <w:ind w:firstLine="720"/>
        <w:jc w:val="both"/>
        <w:rPr>
          <w:rFonts w:ascii="Times New Roman" w:eastAsiaTheme="minorHAnsi" w:hAnsi="Times New Roman" w:cs="Times New Roman"/>
          <w:sz w:val="28"/>
          <w:szCs w:val="28"/>
          <w:lang w:eastAsia="en-US"/>
        </w:rPr>
      </w:pPr>
      <w:r w:rsidRPr="00581FF3">
        <w:rPr>
          <w:rFonts w:ascii="Times New Roman" w:eastAsiaTheme="minorHAnsi" w:hAnsi="Times New Roman" w:cs="Times New Roman"/>
          <w:sz w:val="28"/>
          <w:szCs w:val="28"/>
          <w:lang w:eastAsia="en-US"/>
        </w:rPr>
        <w:t xml:space="preserve">Šis gads apstrādes rūpniecībā ir sarežģīts un izaicinājumu pilns, tajā pašā laikā dati apstiprina, ka Latvijas ražotāji pārcietuši Covid-19 krīzi daudz veiksmīgāk nekā citas ES valstis, kur aprīlī un maijā ražošanas apjomi kritušies pat vairāk nekā par 20% un 2020.gada pirmajā pusgadā kopā ES vidēji apstrādes rūpniecībā reģistrēts ražošanas apjomu kritums par 13,2%. Turklāt 2020.gada otrajā ceturksnī apstrādes rūpniecības apjomu kritums Latvijā bija viens no zemākajiem </w:t>
      </w:r>
      <w:r w:rsidR="00350B96">
        <w:rPr>
          <w:rFonts w:ascii="Times New Roman" w:eastAsiaTheme="minorHAnsi" w:hAnsi="Times New Roman" w:cs="Times New Roman"/>
          <w:sz w:val="28"/>
          <w:szCs w:val="28"/>
          <w:lang w:eastAsia="en-US"/>
        </w:rPr>
        <w:t>ES</w:t>
      </w:r>
      <w:r w:rsidRPr="00581FF3">
        <w:rPr>
          <w:rFonts w:ascii="Times New Roman" w:eastAsiaTheme="minorHAnsi" w:hAnsi="Times New Roman" w:cs="Times New Roman"/>
          <w:sz w:val="28"/>
          <w:szCs w:val="28"/>
          <w:lang w:eastAsia="en-US"/>
        </w:rPr>
        <w:t xml:space="preserve"> (</w:t>
      </w:r>
      <w:r w:rsidR="00D4108D">
        <w:rPr>
          <w:rFonts w:ascii="Times New Roman" w:eastAsiaTheme="minorHAnsi" w:hAnsi="Times New Roman" w:cs="Times New Roman"/>
          <w:sz w:val="28"/>
          <w:szCs w:val="28"/>
          <w:lang w:eastAsia="en-US"/>
        </w:rPr>
        <w:t xml:space="preserve">skat. </w:t>
      </w:r>
      <w:r w:rsidRPr="00581FF3">
        <w:rPr>
          <w:rFonts w:ascii="Times New Roman" w:eastAsiaTheme="minorHAnsi" w:hAnsi="Times New Roman" w:cs="Times New Roman"/>
          <w:sz w:val="28"/>
          <w:szCs w:val="28"/>
          <w:lang w:eastAsia="en-US"/>
        </w:rPr>
        <w:t>1.11.att.).</w:t>
      </w:r>
    </w:p>
    <w:p w14:paraId="3EB23E84" w14:textId="77777777" w:rsidR="00350B96" w:rsidRPr="00581FF3" w:rsidRDefault="00350B96" w:rsidP="00401A5B">
      <w:pPr>
        <w:ind w:firstLine="720"/>
        <w:jc w:val="both"/>
        <w:rPr>
          <w:rFonts w:ascii="Times New Roman" w:eastAsiaTheme="minorHAnsi" w:hAnsi="Times New Roman" w:cs="Times New Roman"/>
          <w:sz w:val="28"/>
          <w:szCs w:val="28"/>
          <w:lang w:eastAsia="en-US"/>
        </w:rPr>
      </w:pPr>
    </w:p>
    <w:p w14:paraId="12618EB0" w14:textId="77777777" w:rsidR="00581FF3" w:rsidRPr="00581FF3" w:rsidRDefault="00581FF3" w:rsidP="00401A5B">
      <w:pPr>
        <w:spacing w:line="259" w:lineRule="auto"/>
        <w:jc w:val="center"/>
        <w:rPr>
          <w:rFonts w:ascii="Times New Roman" w:eastAsiaTheme="minorHAnsi" w:hAnsi="Times New Roman" w:cs="Times New Roman"/>
          <w:sz w:val="28"/>
          <w:szCs w:val="28"/>
          <w:lang w:eastAsia="en-US"/>
        </w:rPr>
      </w:pPr>
      <w:r w:rsidRPr="00581FF3">
        <w:rPr>
          <w:rFonts w:ascii="Times New Roman" w:eastAsiaTheme="minorHAnsi" w:hAnsi="Times New Roman" w:cs="Times New Roman"/>
          <w:noProof/>
          <w:sz w:val="24"/>
          <w:szCs w:val="24"/>
        </w:rPr>
        <w:drawing>
          <wp:inline distT="0" distB="0" distL="0" distR="0" wp14:anchorId="068F92A0" wp14:editId="4CF8B534">
            <wp:extent cx="5086350" cy="2363470"/>
            <wp:effectExtent l="0" t="0" r="0" b="1778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ABBEFE" w14:textId="1C2E38B1" w:rsidR="00581FF3" w:rsidRDefault="00581FF3" w:rsidP="00401A5B">
      <w:pPr>
        <w:jc w:val="center"/>
        <w:rPr>
          <w:rFonts w:ascii="Times New Roman" w:eastAsiaTheme="minorHAnsi" w:hAnsi="Times New Roman" w:cs="Times New Roman"/>
          <w:b/>
          <w:i/>
          <w:sz w:val="24"/>
          <w:szCs w:val="24"/>
          <w:lang w:eastAsia="en-US"/>
        </w:rPr>
      </w:pPr>
      <w:r w:rsidRPr="00581FF3">
        <w:rPr>
          <w:rFonts w:ascii="Times New Roman" w:eastAsiaTheme="minorHAnsi" w:hAnsi="Times New Roman" w:cs="Times New Roman"/>
          <w:b/>
          <w:i/>
          <w:sz w:val="24"/>
          <w:szCs w:val="24"/>
          <w:lang w:eastAsia="en-US"/>
        </w:rPr>
        <w:t>1.11.att. Apstrādes rūpniecības produkcijas apjoma pārmaiņas ES dalībvalstīs 2020.gada otrajā ceturksnī, salīdzinot ar 2019.gada otro ceturksni, % (kalendāri izlīdzināti dati)</w:t>
      </w:r>
    </w:p>
    <w:p w14:paraId="344198E5" w14:textId="77777777" w:rsidR="00350B96" w:rsidRPr="00581FF3" w:rsidRDefault="00350B96" w:rsidP="00401A5B">
      <w:pPr>
        <w:jc w:val="center"/>
        <w:rPr>
          <w:rFonts w:ascii="Times New Roman" w:eastAsiaTheme="minorHAnsi" w:hAnsi="Times New Roman" w:cs="Times New Roman"/>
          <w:b/>
          <w:i/>
          <w:sz w:val="24"/>
          <w:szCs w:val="24"/>
          <w:lang w:eastAsia="en-US"/>
        </w:rPr>
      </w:pPr>
    </w:p>
    <w:p w14:paraId="2594EFE9" w14:textId="363FA203" w:rsidR="003F3FCD" w:rsidRDefault="00581FF3" w:rsidP="00401A5B">
      <w:pPr>
        <w:widowControl w:val="0"/>
        <w:ind w:firstLine="720"/>
        <w:jc w:val="both"/>
        <w:rPr>
          <w:rFonts w:ascii="Times New Roman" w:eastAsiaTheme="minorHAnsi" w:hAnsi="Times New Roman" w:cs="Times New Roman"/>
          <w:sz w:val="28"/>
          <w:szCs w:val="28"/>
          <w:lang w:eastAsia="en-US"/>
        </w:rPr>
      </w:pPr>
      <w:r w:rsidRPr="00581FF3">
        <w:rPr>
          <w:rFonts w:ascii="Times New Roman" w:eastAsiaTheme="minorHAnsi" w:hAnsi="Times New Roman" w:cs="Times New Roman"/>
          <w:sz w:val="28"/>
          <w:szCs w:val="28"/>
          <w:lang w:eastAsia="en-US"/>
        </w:rPr>
        <w:t>Savukārt turpmākā apstrādes rūpniecības attīstība lielā mērā būs atkarīga no tā, cik veiksmīgi Eiropai izdosies apturēt atkārtoto Covid</w:t>
      </w:r>
      <w:r w:rsidRPr="00581FF3">
        <w:rPr>
          <w:rFonts w:ascii="Times New Roman" w:eastAsiaTheme="minorHAnsi" w:hAnsi="Times New Roman" w:cs="Times New Roman"/>
          <w:sz w:val="28"/>
          <w:szCs w:val="28"/>
          <w:lang w:eastAsia="en-US"/>
        </w:rPr>
        <w:noBreakHyphen/>
        <w:t>19 saslimstības uzplaiksnījumu un vai spēkā stāsies stingrāki ekonomisko aktivitāti ietekmējošie ierobežojumi.</w:t>
      </w:r>
    </w:p>
    <w:p w14:paraId="42370B48" w14:textId="77777777" w:rsidR="0019312B" w:rsidRDefault="0019312B" w:rsidP="00401A5B">
      <w:pPr>
        <w:widowControl w:val="0"/>
        <w:ind w:firstLine="720"/>
        <w:jc w:val="both"/>
        <w:rPr>
          <w:rFonts w:ascii="Times New Roman" w:eastAsia="Times New Roman" w:hAnsi="Times New Roman" w:cs="Times New Roman"/>
          <w:sz w:val="24"/>
        </w:rPr>
      </w:pPr>
    </w:p>
    <w:p w14:paraId="5DC488A5" w14:textId="77777777" w:rsidR="003F3FCD" w:rsidRPr="00350B96" w:rsidRDefault="000548A5" w:rsidP="00401A5B">
      <w:pPr>
        <w:widowControl w:val="0"/>
        <w:jc w:val="center"/>
        <w:rPr>
          <w:rFonts w:ascii="Times New Roman" w:eastAsia="Times New Roman" w:hAnsi="Times New Roman" w:cs="Times New Roman"/>
          <w:b/>
          <w:sz w:val="28"/>
          <w:szCs w:val="28"/>
        </w:rPr>
      </w:pPr>
      <w:r w:rsidRPr="00350B96">
        <w:rPr>
          <w:rFonts w:ascii="Times New Roman" w:eastAsia="Times New Roman" w:hAnsi="Times New Roman" w:cs="Times New Roman"/>
          <w:b/>
          <w:sz w:val="28"/>
          <w:szCs w:val="28"/>
        </w:rPr>
        <w:t>Tirdzniecība</w:t>
      </w:r>
    </w:p>
    <w:p w14:paraId="57BB1B53" w14:textId="77777777" w:rsidR="003F3FCD" w:rsidRDefault="003F3FCD" w:rsidP="00401A5B">
      <w:pPr>
        <w:widowControl w:val="0"/>
        <w:jc w:val="center"/>
        <w:rPr>
          <w:rFonts w:ascii="Times New Roman" w:eastAsia="Times New Roman" w:hAnsi="Times New Roman" w:cs="Times New Roman"/>
          <w:sz w:val="28"/>
        </w:rPr>
      </w:pPr>
    </w:p>
    <w:p w14:paraId="08DEEEE8" w14:textId="4785CF9C" w:rsidR="0019312B" w:rsidRPr="0019312B" w:rsidRDefault="0019312B" w:rsidP="00401A5B">
      <w:pPr>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Tirdzniecība, apvienojot mazumtirdzniecību</w:t>
      </w:r>
      <w:r w:rsidRPr="0019312B">
        <w:rPr>
          <w:rFonts w:ascii="Times New Roman" w:eastAsiaTheme="minorHAnsi" w:hAnsi="Times New Roman" w:cs="Times New Roman"/>
          <w:sz w:val="28"/>
          <w:szCs w:val="28"/>
          <w:lang w:eastAsia="en-US"/>
        </w:rPr>
        <w:t xml:space="preserve"> un vairumtirdzniecību, kā arī automobiļu un motociklu tirdzniecību un remontu, ir starp lielākajām Latvijas tautsaimniecības nozarēm. 2019.gadā tās daļa Latvijas IKP pievienotās vērtības struktūrā veidoja 15,4% (neskaitot izmitināšanas un ēdināšanas nozari), kas salīdzinājumā ar iepriekšējo gadu ir nedaudz palielinājusies – par 0,3 procentpunktiem. </w:t>
      </w:r>
    </w:p>
    <w:p w14:paraId="23EE12E1" w14:textId="323DF0CA" w:rsidR="0019312B" w:rsidRP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sz w:val="28"/>
          <w:szCs w:val="28"/>
          <w:lang w:eastAsia="en-US"/>
        </w:rPr>
        <w:t>Tirdzniecībā nodarbināto skaits ir augstākais starp visām nozarēm un 2019.gadā šaj</w:t>
      </w:r>
      <w:r>
        <w:rPr>
          <w:rFonts w:ascii="Times New Roman" w:eastAsiaTheme="minorHAnsi" w:hAnsi="Times New Roman" w:cs="Times New Roman"/>
          <w:sz w:val="28"/>
          <w:szCs w:val="28"/>
          <w:lang w:eastAsia="en-US"/>
        </w:rPr>
        <w:t>ā nozarē strādāja 137,6 tūkst.</w:t>
      </w:r>
      <w:r w:rsidRPr="0019312B">
        <w:rPr>
          <w:rFonts w:ascii="Times New Roman" w:eastAsiaTheme="minorHAnsi" w:hAnsi="Times New Roman" w:cs="Times New Roman"/>
          <w:sz w:val="28"/>
          <w:szCs w:val="28"/>
          <w:lang w:eastAsia="en-US"/>
        </w:rPr>
        <w:t xml:space="preserve"> cilvēku jeb 15,1% no visiem tautsaimniecībā nodarbinātajiem iedzīvotājiem. Tomēr pērn tirdzniecībā strādājošo skaits nedaud</w:t>
      </w:r>
      <w:r>
        <w:rPr>
          <w:rFonts w:ascii="Times New Roman" w:eastAsiaTheme="minorHAnsi" w:hAnsi="Times New Roman" w:cs="Times New Roman"/>
          <w:sz w:val="28"/>
          <w:szCs w:val="28"/>
          <w:lang w:eastAsia="en-US"/>
        </w:rPr>
        <w:t>z samazinājās – par 1,7 tūkst.</w:t>
      </w:r>
      <w:r w:rsidRPr="0019312B">
        <w:rPr>
          <w:rFonts w:ascii="Times New Roman" w:eastAsiaTheme="minorHAnsi" w:hAnsi="Times New Roman" w:cs="Times New Roman"/>
          <w:sz w:val="28"/>
          <w:szCs w:val="28"/>
          <w:lang w:eastAsia="en-US"/>
        </w:rPr>
        <w:t xml:space="preserve"> cilvēku jeb par 1,2%, salīdzinot ar 2018.gadu. Tas cita starpā varētu būt skaidrojams ar e-komercijas attīstību un pašapkalpošanās kašu lielveikalos pieaugumu.</w:t>
      </w:r>
    </w:p>
    <w:p w14:paraId="4DD4D3C5" w14:textId="562A590F" w:rsid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sz w:val="28"/>
          <w:szCs w:val="28"/>
          <w:lang w:eastAsia="en-US"/>
        </w:rPr>
        <w:t>Tirdzniecības struktūrā mazumtirdzniecība un vairumtirdzniecība veido lielāko nozares pievienotās vērtības īpatsvaru un tā sadalījums tradicionāli ir līdzīgs – ap 45% katrai apakšnozarei, savukārt automobiļu un motociklu tirdzniecība un remonts veido atlikušo 1/10 daļu (</w:t>
      </w:r>
      <w:r w:rsidR="00D4108D">
        <w:rPr>
          <w:rFonts w:ascii="Times New Roman" w:eastAsiaTheme="minorHAnsi" w:hAnsi="Times New Roman" w:cs="Times New Roman"/>
          <w:sz w:val="28"/>
          <w:szCs w:val="28"/>
          <w:lang w:eastAsia="en-US"/>
        </w:rPr>
        <w:t xml:space="preserve">skat. </w:t>
      </w:r>
      <w:r w:rsidRPr="0019312B">
        <w:rPr>
          <w:rFonts w:ascii="Times New Roman" w:eastAsiaTheme="minorHAnsi" w:hAnsi="Times New Roman" w:cs="Times New Roman"/>
          <w:sz w:val="28"/>
          <w:szCs w:val="28"/>
          <w:lang w:eastAsia="en-US"/>
        </w:rPr>
        <w:t xml:space="preserve">1.12.att.). </w:t>
      </w:r>
    </w:p>
    <w:p w14:paraId="31A7837F" w14:textId="77777777" w:rsidR="00AC361B" w:rsidRDefault="00AC361B" w:rsidP="00401A5B">
      <w:pPr>
        <w:ind w:firstLine="720"/>
        <w:jc w:val="both"/>
        <w:rPr>
          <w:rFonts w:ascii="Times New Roman" w:eastAsiaTheme="minorHAnsi" w:hAnsi="Times New Roman" w:cs="Times New Roman"/>
          <w:sz w:val="28"/>
          <w:szCs w:val="28"/>
          <w:lang w:eastAsia="en-US"/>
        </w:rPr>
      </w:pPr>
    </w:p>
    <w:p w14:paraId="31094D82" w14:textId="77777777" w:rsidR="0019312B" w:rsidRDefault="0019312B" w:rsidP="00401A5B">
      <w:pPr>
        <w:ind w:firstLine="720"/>
        <w:jc w:val="both"/>
        <w:rPr>
          <w:rFonts w:ascii="Times New Roman" w:eastAsiaTheme="minorHAnsi" w:hAnsi="Times New Roman" w:cs="Times New Roman"/>
          <w:sz w:val="28"/>
          <w:szCs w:val="28"/>
          <w:lang w:eastAsia="en-US"/>
        </w:rPr>
      </w:pPr>
    </w:p>
    <w:p w14:paraId="48C8BD64" w14:textId="667BB256" w:rsid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noProof/>
          <w:sz w:val="24"/>
          <w:szCs w:val="24"/>
        </w:rPr>
        <w:drawing>
          <wp:inline distT="0" distB="0" distL="0" distR="0" wp14:anchorId="327584FB" wp14:editId="617B4EB3">
            <wp:extent cx="4572000" cy="21717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165D09" w14:textId="77777777" w:rsidR="0019312B" w:rsidRPr="0019312B" w:rsidRDefault="0019312B" w:rsidP="00401A5B">
      <w:pPr>
        <w:spacing w:line="259" w:lineRule="auto"/>
        <w:jc w:val="center"/>
        <w:rPr>
          <w:rFonts w:ascii="Times New Roman" w:eastAsia="Times New Roman" w:hAnsi="Times New Roman" w:cs="Times New Roman"/>
          <w:b/>
          <w:i/>
          <w:sz w:val="24"/>
          <w:szCs w:val="24"/>
          <w:lang w:eastAsia="en-US"/>
        </w:rPr>
      </w:pPr>
      <w:r w:rsidRPr="0019312B">
        <w:rPr>
          <w:rFonts w:ascii="Times New Roman" w:eastAsia="Times New Roman" w:hAnsi="Times New Roman" w:cs="Times New Roman"/>
          <w:b/>
          <w:i/>
          <w:sz w:val="24"/>
          <w:szCs w:val="24"/>
          <w:lang w:eastAsia="en-US"/>
        </w:rPr>
        <w:t>1.12.att. Tirdzniecības pievienotās vērtības struktūra 2019.gadā, %</w:t>
      </w:r>
    </w:p>
    <w:p w14:paraId="5145059B" w14:textId="77777777" w:rsidR="0019312B" w:rsidRDefault="0019312B" w:rsidP="00401A5B">
      <w:pPr>
        <w:ind w:firstLine="720"/>
        <w:jc w:val="both"/>
        <w:rPr>
          <w:rFonts w:ascii="Times New Roman" w:eastAsiaTheme="minorHAnsi" w:hAnsi="Times New Roman" w:cs="Times New Roman"/>
          <w:sz w:val="28"/>
          <w:szCs w:val="28"/>
          <w:lang w:eastAsia="en-US"/>
        </w:rPr>
      </w:pPr>
    </w:p>
    <w:p w14:paraId="46438E11" w14:textId="5D925147" w:rsidR="0019312B" w:rsidRP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sz w:val="28"/>
          <w:szCs w:val="28"/>
          <w:lang w:eastAsia="en-US"/>
        </w:rPr>
        <w:t xml:space="preserve">Kopš 2011.gada tirdzniecība uzrāda pievienotās vērtības kāpumu, turklāt pērn nozares izaugsme bija straujākā kopš 2016.gada, veidojot 4,2% (salīdzināmajās cenās), ko īpaši veicināja vairumtirdzniecības apjomu kāpums, kā arī automobiļu un motociklu tirdzniecības un remonta pieaugums. Savukārt šogad tirdzniecības nozari  ir smagi skārusi Covid-19 krīze, līdz ar to salīdzinājumā ar pērnā gada pirmo pusgadu tirdzniecības pievienotā vērtība šā gada pirmajā pusgadā ir uzrādījusi kritumu par 5,5%, ko galvenokārt noteica nozares otrā ceturkšņa rezultāti. Ja pirmajā ceturksnī tirdzniecības nozarē radītā pievienotā bija par 0,8% mazāka nekā pirms gada, tad otrajā ceturksnī šis kritums pastiprinājās, sasniedzot 9,4%, kas ir līdzvērtīgi ekonomikas kopējam kritumam 2020.gada otrajā ceturksnī. </w:t>
      </w:r>
    </w:p>
    <w:p w14:paraId="28ADF606" w14:textId="7AE79773" w:rsid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sz w:val="28"/>
          <w:szCs w:val="28"/>
          <w:lang w:eastAsia="en-US"/>
        </w:rPr>
        <w:t>Mazumtirdzniecības attīstība šogad bijusi ļoti svārstīga gan preču grupu dalījumā, gan atsevišķi pa mēnešiem. Rezultātā šā gada pirmajos astoņos mēnešos mazumtirdzniecības kopējie apjomi ir bijuši tikai nedaudz augstāki par 2019.gada janvāra-augusta līmeni, apgrozījumam palielinoties par 1,1% (</w:t>
      </w:r>
      <w:r w:rsidR="00D4108D">
        <w:rPr>
          <w:rFonts w:ascii="Times New Roman" w:eastAsiaTheme="minorHAnsi" w:hAnsi="Times New Roman" w:cs="Times New Roman"/>
          <w:sz w:val="28"/>
          <w:szCs w:val="28"/>
          <w:lang w:eastAsia="en-US"/>
        </w:rPr>
        <w:t xml:space="preserve">skat. </w:t>
      </w:r>
      <w:r w:rsidRPr="0019312B">
        <w:rPr>
          <w:rFonts w:ascii="Times New Roman" w:eastAsiaTheme="minorHAnsi" w:hAnsi="Times New Roman" w:cs="Times New Roman"/>
          <w:sz w:val="28"/>
          <w:szCs w:val="28"/>
          <w:lang w:eastAsia="en-US"/>
        </w:rPr>
        <w:t xml:space="preserve">1.13.att.). Covid-19 slimībai sasniedzot Latviju, martā strauji palielinājās mazumtirdzniecības apjomi pārtikas preču veikalos (+6,9%), iedzīvotājiem steidzoties veidot ilgstoši lietojamās pārtikas produktu rezerves, tikmēr tirdzniecība nepārtikas preču veikalos saruka. Savukārt jau aprīlī samazinājās gan pārtikas, gan nepārtikas preču tirdzniecības apgrozījums, kopējiem mazumtirdzniecības apjomiem gada griezumā sarūkot par 8,9%, kas bija straujākais nozares kritums kopš 2010.gada. Taču jau maijā mazumtirdzniecībā reģistrētais samazinājums ievērojami palēninājās, savukārt nākamajos mēnešos nozarē jau bija vērojams veselīgs mazumtirdzniecības apgrozījuma pieaugums, ko noteica pārdošanas apjomu kāpums gan pārtikas, gan nepārtikas produktu veikalos. Tādējādi šā gada astoņos mēnešos kopā mazumtirdzniecība pārtikas veikalos ir pieaugusi par 2,9%, bet nepārtikas preču mazumtirdzniecība, atskaitot auto degvielu, samazinājās par 1,2%. </w:t>
      </w:r>
    </w:p>
    <w:p w14:paraId="42A9F6A7" w14:textId="77777777" w:rsidR="0019312B" w:rsidRPr="0019312B" w:rsidRDefault="0019312B" w:rsidP="00401A5B">
      <w:pPr>
        <w:ind w:firstLine="720"/>
        <w:jc w:val="both"/>
        <w:rPr>
          <w:rFonts w:ascii="Times New Roman" w:eastAsiaTheme="minorHAnsi" w:hAnsi="Times New Roman" w:cs="Times New Roman"/>
          <w:sz w:val="28"/>
          <w:szCs w:val="28"/>
          <w:lang w:eastAsia="en-US"/>
        </w:rPr>
      </w:pPr>
    </w:p>
    <w:p w14:paraId="34C40179" w14:textId="77777777" w:rsidR="0019312B" w:rsidRPr="0019312B" w:rsidRDefault="0019312B" w:rsidP="00401A5B">
      <w:pPr>
        <w:spacing w:line="259" w:lineRule="auto"/>
        <w:jc w:val="center"/>
        <w:rPr>
          <w:rFonts w:ascii="Times New Roman" w:eastAsiaTheme="minorHAnsi" w:hAnsi="Times New Roman" w:cs="Times New Roman"/>
          <w:sz w:val="28"/>
          <w:szCs w:val="20"/>
          <w:lang w:eastAsia="en-US"/>
        </w:rPr>
      </w:pPr>
      <w:r w:rsidRPr="0019312B">
        <w:rPr>
          <w:rFonts w:ascii="Times New Roman" w:eastAsiaTheme="minorHAnsi" w:hAnsi="Times New Roman" w:cs="Times New Roman"/>
          <w:noProof/>
          <w:sz w:val="24"/>
          <w:szCs w:val="24"/>
        </w:rPr>
        <w:drawing>
          <wp:inline distT="0" distB="0" distL="0" distR="0" wp14:anchorId="3F8A95AF" wp14:editId="429D389C">
            <wp:extent cx="5274310" cy="2793365"/>
            <wp:effectExtent l="0" t="0" r="254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7948C3" w14:textId="73E6630E" w:rsidR="0019312B" w:rsidRDefault="006D25B8" w:rsidP="00401A5B">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1.13.</w:t>
      </w:r>
      <w:r w:rsidR="0019312B" w:rsidRPr="0019312B">
        <w:rPr>
          <w:rFonts w:ascii="Times New Roman" w:eastAsiaTheme="minorHAnsi" w:hAnsi="Times New Roman" w:cs="Times New Roman"/>
          <w:b/>
          <w:i/>
          <w:sz w:val="24"/>
          <w:szCs w:val="24"/>
          <w:lang w:eastAsia="en-US"/>
        </w:rPr>
        <w:t>att. Mazumtirdzniecības apgrozījuma pārmaiņas pret iepriekšējā gada attiecīgo mēnesi, %</w:t>
      </w:r>
    </w:p>
    <w:p w14:paraId="687309FE" w14:textId="77777777" w:rsidR="00AC361B" w:rsidRPr="0019312B" w:rsidRDefault="00AC361B" w:rsidP="00401A5B">
      <w:pPr>
        <w:jc w:val="center"/>
        <w:rPr>
          <w:rFonts w:ascii="Times New Roman" w:eastAsiaTheme="minorHAnsi" w:hAnsi="Times New Roman" w:cs="Times New Roman"/>
          <w:b/>
          <w:i/>
          <w:sz w:val="24"/>
          <w:szCs w:val="24"/>
          <w:lang w:eastAsia="en-US"/>
        </w:rPr>
      </w:pPr>
    </w:p>
    <w:p w14:paraId="6DE93774" w14:textId="3B61ED5F" w:rsidR="0019312B" w:rsidRP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sz w:val="28"/>
          <w:szCs w:val="28"/>
          <w:lang w:eastAsia="en-US"/>
        </w:rPr>
        <w:t>Arī autodegvielas mazumtirdzniecības dinamika 2020.gadā bijusi visai svārstīga – to no vienas puses pozitīvi ietekmēja krītošās naftas cenas pasaules tirgos, kas atspoguļojās zemākās degvielas cenās arī vietējā tirgū – 2020.gada pirmajos astoņos mēnešos vidējā degvielas cena Latvijas degvielas uzpildes stacijās bija par 9,5% zemāka nekā pirms gada, aprīlī un maijā cenu kritumam pārsniedzot 20%. Taču no otras puses degvielas patēriņu ierobežoja zemāks pieprasījums saistībā ar martā noteiktajiem Covid-19 ierobežojumiem, kuru rezultātā tika ietekmēta iedzīvotāju pārvietošanās nepieciešamība, savukārt vasaras mēnešos degvielas pārdošanas apjomi auga salīdzinoši strauji, jo  Latvijas iedzīvotāji biežāk nekā citus gadus izvēlējušies ceļot pa Latviju, ņemot vērā ceļošanas ierobežojumus uz citām valstīm un ievērojot piesardzību saistīb</w:t>
      </w:r>
      <w:r w:rsidR="006D25B8">
        <w:rPr>
          <w:rFonts w:ascii="Times New Roman" w:eastAsiaTheme="minorHAnsi" w:hAnsi="Times New Roman" w:cs="Times New Roman"/>
          <w:sz w:val="28"/>
          <w:szCs w:val="28"/>
          <w:lang w:eastAsia="en-US"/>
        </w:rPr>
        <w:t>ā ar Covid-19. Līdz ar to 2020.</w:t>
      </w:r>
      <w:r w:rsidRPr="0019312B">
        <w:rPr>
          <w:rFonts w:ascii="Times New Roman" w:eastAsiaTheme="minorHAnsi" w:hAnsi="Times New Roman" w:cs="Times New Roman"/>
          <w:sz w:val="28"/>
          <w:szCs w:val="28"/>
          <w:lang w:eastAsia="en-US"/>
        </w:rPr>
        <w:t xml:space="preserve">gada astoņos mēnešos kopā degvielas tirdzniecības apjomi palielinājās par 3,5%, spēcīgāku pieaugumu uzrādot tieši pēdējo trīs mēnešu laikā, kad Latvijā tika atcelta ārkārtas situācija un mīkstināti ar Covid-19 izplatību saistītie ierobežojumi. </w:t>
      </w:r>
    </w:p>
    <w:p w14:paraId="27015C72" w14:textId="77777777" w:rsidR="0019312B" w:rsidRP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sz w:val="28"/>
          <w:szCs w:val="28"/>
          <w:lang w:eastAsia="en-US"/>
        </w:rPr>
        <w:t>Vairumtirdzniecība šā gada pirmajā pusgadā atšķirībā no 2019.gada, kad nozares pievienotā vērtība gadā kopumā pieauga par 5,3%, uzrādīja kritumu par 7,8% (pirmajā un otrajā ceturksnī atsevišķi attiecīgi par 2,7% un 11,7%). Starp vairumtirdzniecības kategorijām šā gada pirmajā pusē straujākos samazinājumus uzrādīja mašīnu, iekārtu un to piederumu vairumtirdzniecība, kā arī lauksaimniecības izejvielu un dzīvu lopu vairumtirdzniecība. Tajā pašā laikā spēcīgi vairumtirdzniecības apjomu pieaugumi tika reģistrēti vairumtirdzniecībā uz līguma pamata vai par atlīdzību un informācijas un komunikāciju tehnoloģiju iekārtu vairumtirdzniecībā.</w:t>
      </w:r>
    </w:p>
    <w:p w14:paraId="7A444C44" w14:textId="77777777" w:rsidR="0019312B" w:rsidRP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sz w:val="28"/>
          <w:szCs w:val="28"/>
          <w:lang w:eastAsia="en-US"/>
        </w:rPr>
        <w:t>Savukārt uz Covid-19 krīzi viskrasāk ir reaģējusi automobiļu un motociklu tirdzniecība (gan mazumtirdzniecībā, gan vairumtirdzniecībā, gan to remonts). Ja pērn starp visām tirdzniecības nozarēm tā bija uzrādījusi straujāko pieaugumu, izaugsmei sasniedzot 6,2%, tad šā gada pirmajā pusē automobiļu un motociklu tirdzniecībā tika reģistrēts spēcīgākais sarukums – par 17,3% gada griezumā, otrajā ceturksnī pievienotās vērtības kritumam sasniedzot pat 30%.</w:t>
      </w:r>
    </w:p>
    <w:p w14:paraId="292EB827" w14:textId="2F845293" w:rsidR="0019312B" w:rsidRP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sz w:val="28"/>
          <w:szCs w:val="28"/>
          <w:lang w:eastAsia="en-US"/>
        </w:rPr>
        <w:t>Tirdzniecības attīstības dinamiku šogad ietekmēja cilvēku nedrošība par savu finansiālo situāciju, ar Covid-19 slimības ierobežošanu saistīto noteikumu ievērošana, bezdarba pieaugums un darba samaksas lēnāks kāpums šā gada otrajā ceturksnī Covid-19 krīzes ietekmē. Šogad Covid-19 krīzes rezultātā turpināja palielināties iedzīvotāju uzkrāj</w:t>
      </w:r>
      <w:r w:rsidR="00222F32">
        <w:rPr>
          <w:rFonts w:ascii="Times New Roman" w:eastAsiaTheme="minorHAnsi" w:hAnsi="Times New Roman" w:cs="Times New Roman"/>
          <w:sz w:val="28"/>
          <w:szCs w:val="28"/>
          <w:lang w:eastAsia="en-US"/>
        </w:rPr>
        <w:t>umi – saskaņā ar LB</w:t>
      </w:r>
      <w:r w:rsidRPr="0019312B">
        <w:rPr>
          <w:rFonts w:ascii="Times New Roman" w:eastAsiaTheme="minorHAnsi" w:hAnsi="Times New Roman" w:cs="Times New Roman"/>
          <w:sz w:val="28"/>
          <w:szCs w:val="28"/>
          <w:lang w:eastAsia="en-US"/>
        </w:rPr>
        <w:t xml:space="preserve"> apkopotajiem datiem 2020.gada augusta beigās kopējie mājsaimniecību noguldījumi gada laikā bija palielinājušies par 8,4%. Tāpat šogad ir strauji sarukuši no jauna izsniegtie patēriņa kredīti, šā gada astoņos mēnešos jaunizsniegto patēriņa kredītu apjomam samazinoties par 10,8%. Šie faktori, kā arī Covid-19 slimības turpmākā attīstība un tās ierobežošana ietekmēs nozares rezultātus arī nākamajos šā gada mēnešos.</w:t>
      </w:r>
    </w:p>
    <w:p w14:paraId="005B75EE" w14:textId="77777777" w:rsidR="0019312B" w:rsidRPr="0019312B" w:rsidRDefault="0019312B" w:rsidP="00401A5B">
      <w:pPr>
        <w:ind w:firstLine="720"/>
        <w:jc w:val="both"/>
        <w:rPr>
          <w:rFonts w:ascii="Times New Roman" w:eastAsiaTheme="minorHAnsi" w:hAnsi="Times New Roman" w:cs="Times New Roman"/>
          <w:sz w:val="28"/>
          <w:szCs w:val="28"/>
          <w:lang w:eastAsia="en-US"/>
        </w:rPr>
      </w:pPr>
      <w:r w:rsidRPr="0019312B">
        <w:rPr>
          <w:rFonts w:ascii="Times New Roman" w:eastAsiaTheme="minorHAnsi" w:hAnsi="Times New Roman" w:cs="Times New Roman"/>
          <w:sz w:val="28"/>
          <w:szCs w:val="28"/>
          <w:lang w:eastAsia="en-US"/>
        </w:rPr>
        <w:t>Patērētāju konfidences līmenis joprojām ir zems, turklāt septembrī patērētāju noskaņojums atkal nedaudz pasliktinājās, norādot uz iedzīvotāju vidū joprojām valdošo nedrošību un nenoteiktību. Savukārt mazumtirgotāju konfidences rādītājs jau ir tuvs līmenim, kāds tas bija gada sākumā. Tas nozīmē, ka epidemioloģiskajai situācijai valstī saglabājoties stabilai, privātais patēriņš varētu kļūt spēcīgāks un arī tirdzniecības nozare uzrādīs labākus rezultātus, ko jau apliecina jaunākie dati par mazumtirdzniecības apgrozījumu.</w:t>
      </w:r>
    </w:p>
    <w:p w14:paraId="6F0886D3" w14:textId="77777777" w:rsidR="003F3FCD" w:rsidRDefault="003F3FCD" w:rsidP="00401A5B">
      <w:pPr>
        <w:widowControl w:val="0"/>
        <w:ind w:firstLine="720"/>
        <w:jc w:val="both"/>
        <w:rPr>
          <w:rFonts w:ascii="Times New Roman" w:eastAsia="Times New Roman" w:hAnsi="Times New Roman" w:cs="Times New Roman"/>
          <w:sz w:val="24"/>
        </w:rPr>
      </w:pPr>
    </w:p>
    <w:p w14:paraId="35293DF2" w14:textId="77777777" w:rsidR="003F3FCD" w:rsidRPr="00222F32" w:rsidRDefault="000548A5" w:rsidP="00401A5B">
      <w:pPr>
        <w:keepNext/>
        <w:widowControl w:val="0"/>
        <w:jc w:val="center"/>
        <w:rPr>
          <w:rFonts w:ascii="Times New Roman" w:eastAsia="Times New Roman" w:hAnsi="Times New Roman" w:cs="Times New Roman"/>
          <w:b/>
          <w:sz w:val="28"/>
          <w:szCs w:val="24"/>
        </w:rPr>
      </w:pPr>
      <w:r w:rsidRPr="00222F32">
        <w:rPr>
          <w:rFonts w:ascii="Times New Roman" w:eastAsia="Times New Roman" w:hAnsi="Times New Roman" w:cs="Times New Roman"/>
          <w:b/>
          <w:sz w:val="28"/>
          <w:szCs w:val="24"/>
        </w:rPr>
        <w:t>Transports</w:t>
      </w:r>
    </w:p>
    <w:p w14:paraId="0A3A38F8" w14:textId="77777777" w:rsidR="003F3FCD" w:rsidRDefault="003F3FCD" w:rsidP="00401A5B">
      <w:pPr>
        <w:widowControl w:val="0"/>
        <w:ind w:firstLine="720"/>
        <w:jc w:val="both"/>
        <w:rPr>
          <w:rFonts w:ascii="Times New Roman" w:eastAsia="Times New Roman" w:hAnsi="Times New Roman" w:cs="Times New Roman"/>
          <w:sz w:val="24"/>
        </w:rPr>
      </w:pPr>
    </w:p>
    <w:p w14:paraId="08A1916F" w14:textId="6129636C" w:rsidR="00222F32" w:rsidRPr="00222F32" w:rsidRDefault="00222F32" w:rsidP="00401A5B">
      <w:pPr>
        <w:ind w:firstLine="709"/>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 xml:space="preserve">Pateicoties izdevīgajam ģeogrāfiskajam stāvoklim un labi attīstītajai infrastruktūrai, transporta un uzglabāšanas nozarei vēsturiski bijusi būtiska loma Latvijas ekonomikā un tās īpatsvars kopējā pievienotajā vērtībā ir viens no augstākajiem starp ES valstīm. 2019.gadā transporta nozare veidoja 9,3% no kopējās pievienotās vērtības un bija ceturtā lielākā Latvijas tautsaimniecības nozare pēc tirdzniecības, apstrādes rūpniecības un nekustamā īpašuma nozares. Pēdējo desmit gadu laikā transporta nozares īpatsvars tautsaimniecībā bijis samērā stabils, pēdējā gada laikā nedaudz samazinoties, ko noteica Krievijas tranzītpārvadājumu apjoma samazināšanās. Transporta nozarē </w:t>
      </w:r>
      <w:r>
        <w:rPr>
          <w:rFonts w:ascii="Times New Roman" w:eastAsia="Times New Roman" w:hAnsi="Times New Roman" w:cs="Times New Roman"/>
          <w:sz w:val="28"/>
          <w:szCs w:val="28"/>
          <w:lang w:eastAsia="en-US"/>
        </w:rPr>
        <w:t>2019.gadā strādāja 74,3 tūkst.</w:t>
      </w:r>
      <w:r w:rsidRPr="00222F32">
        <w:rPr>
          <w:rFonts w:ascii="Times New Roman" w:eastAsia="Times New Roman" w:hAnsi="Times New Roman" w:cs="Times New Roman"/>
          <w:sz w:val="28"/>
          <w:szCs w:val="28"/>
          <w:lang w:eastAsia="en-US"/>
        </w:rPr>
        <w:t xml:space="preserve"> cilvēku jeb 8,2% no visiem ekonomikā nodarbinātajiem.</w:t>
      </w:r>
    </w:p>
    <w:p w14:paraId="3954F53D" w14:textId="320FC5F1" w:rsidR="00222F32" w:rsidRDefault="00222F32" w:rsidP="00401A5B">
      <w:pPr>
        <w:ind w:firstLine="709"/>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Nozares struktūrā lielāko daļu veido sauszemes transports un cauruļvadu transports, kur būtiska daļa ir kravu dzelzceļa un autopārvadājumiem, kā arī uzglabāšanas un transporta palīgdarbības, tajā skaitā kravu pārkraušana ostās (</w:t>
      </w:r>
      <w:r w:rsidR="00D4108D">
        <w:rPr>
          <w:rFonts w:ascii="Times New Roman" w:eastAsia="Times New Roman" w:hAnsi="Times New Roman" w:cs="Times New Roman"/>
          <w:sz w:val="28"/>
          <w:szCs w:val="28"/>
          <w:lang w:eastAsia="en-US"/>
        </w:rPr>
        <w:t xml:space="preserve">skat. </w:t>
      </w:r>
      <w:r w:rsidRPr="00222F32">
        <w:rPr>
          <w:rFonts w:ascii="Times New Roman" w:eastAsia="Times New Roman" w:hAnsi="Times New Roman" w:cs="Times New Roman"/>
          <w:sz w:val="28"/>
          <w:szCs w:val="28"/>
          <w:lang w:eastAsia="en-US"/>
        </w:rPr>
        <w:t>1.14.att.):</w:t>
      </w:r>
    </w:p>
    <w:p w14:paraId="22297B5B" w14:textId="77777777" w:rsidR="00AC361B" w:rsidRPr="00222F32" w:rsidRDefault="00AC361B" w:rsidP="00401A5B">
      <w:pPr>
        <w:ind w:firstLine="709"/>
        <w:jc w:val="both"/>
        <w:rPr>
          <w:rFonts w:ascii="Times New Roman" w:eastAsia="Times New Roman" w:hAnsi="Times New Roman" w:cs="Times New Roman"/>
          <w:sz w:val="28"/>
          <w:szCs w:val="28"/>
          <w:lang w:eastAsia="en-US"/>
        </w:rPr>
      </w:pPr>
    </w:p>
    <w:p w14:paraId="0B50FB8E" w14:textId="77777777" w:rsidR="00222F32" w:rsidRPr="00222F32" w:rsidRDefault="00222F32" w:rsidP="00401A5B">
      <w:pPr>
        <w:ind w:firstLine="709"/>
        <w:jc w:val="both"/>
        <w:rPr>
          <w:rFonts w:ascii="Times New Roman" w:eastAsia="Times New Roman" w:hAnsi="Times New Roman" w:cs="Times New Roman"/>
          <w:sz w:val="28"/>
          <w:szCs w:val="28"/>
          <w:lang w:eastAsia="en-US"/>
        </w:rPr>
      </w:pPr>
    </w:p>
    <w:p w14:paraId="3CCF3A9F" w14:textId="77777777" w:rsidR="00222F32" w:rsidRPr="00222F32" w:rsidRDefault="00222F32" w:rsidP="00401A5B">
      <w:pPr>
        <w:ind w:firstLine="709"/>
        <w:jc w:val="center"/>
        <w:rPr>
          <w:rFonts w:ascii="Times New Roman" w:eastAsia="Times New Roman" w:hAnsi="Times New Roman" w:cs="Times New Roman"/>
          <w:sz w:val="28"/>
          <w:szCs w:val="28"/>
          <w:lang w:eastAsia="en-US"/>
        </w:rPr>
      </w:pPr>
      <w:r w:rsidRPr="00222F32">
        <w:rPr>
          <w:noProof/>
        </w:rPr>
        <w:drawing>
          <wp:inline distT="0" distB="0" distL="0" distR="0" wp14:anchorId="7E2AA3D7" wp14:editId="44DC69B0">
            <wp:extent cx="4105275" cy="22002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08BCE7" w14:textId="7332F8F8" w:rsidR="00222F32" w:rsidRDefault="00222F32" w:rsidP="00401A5B">
      <w:pPr>
        <w:jc w:val="center"/>
        <w:rPr>
          <w:rFonts w:ascii="Times New Roman" w:eastAsia="Times New Roman" w:hAnsi="Times New Roman" w:cs="Times New Roman"/>
          <w:b/>
          <w:i/>
          <w:sz w:val="24"/>
          <w:szCs w:val="24"/>
          <w:lang w:eastAsia="en-US"/>
        </w:rPr>
      </w:pPr>
      <w:r w:rsidRPr="00222F32">
        <w:rPr>
          <w:rFonts w:ascii="Times New Roman" w:eastAsia="Times New Roman" w:hAnsi="Times New Roman" w:cs="Times New Roman"/>
          <w:b/>
          <w:i/>
          <w:sz w:val="24"/>
          <w:szCs w:val="24"/>
          <w:lang w:eastAsia="en-US"/>
        </w:rPr>
        <w:t>1.14. att. Transporta un uzglabāšanas nozares struktūra,</w:t>
      </w:r>
      <w:r w:rsidRPr="00222F32">
        <w:rPr>
          <w:rFonts w:ascii="Times New Roman" w:eastAsia="Times New Roman" w:hAnsi="Times New Roman" w:cs="Times New Roman"/>
          <w:b/>
          <w:i/>
          <w:sz w:val="24"/>
          <w:szCs w:val="24"/>
          <w:lang w:eastAsia="en-US"/>
        </w:rPr>
        <w:br/>
        <w:t xml:space="preserve"> faktiskajās cenās (%)</w:t>
      </w:r>
    </w:p>
    <w:p w14:paraId="05863BC8" w14:textId="77777777" w:rsidR="00222F32" w:rsidRPr="00222F32" w:rsidRDefault="00222F32" w:rsidP="00401A5B">
      <w:pPr>
        <w:jc w:val="center"/>
        <w:rPr>
          <w:rFonts w:ascii="Times New Roman" w:eastAsia="Times New Roman" w:hAnsi="Times New Roman" w:cs="Times New Roman"/>
          <w:b/>
          <w:i/>
          <w:sz w:val="24"/>
          <w:szCs w:val="24"/>
          <w:lang w:eastAsia="en-US"/>
        </w:rPr>
      </w:pPr>
    </w:p>
    <w:p w14:paraId="6B43CD45" w14:textId="332E0843" w:rsidR="00222F32" w:rsidRPr="00222F32" w:rsidRDefault="00222F32" w:rsidP="00401A5B">
      <w:pPr>
        <w:ind w:firstLine="720"/>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 xml:space="preserve">2019.gadā transporta un tranzīta nozarē tika piedzīvots kritums par 2,7%. To noteica kravu tranzīta samazinājums caur Latvijas ostām, Krievijai pārorientējot kravas uz savām Baltijas jūras ostām un krītoties pieprasījumam pēc Krievijas oglēm pasaules tirgos. Tā rezultātā kravu apgrozījums Latvijas ostās 2019.gadā bija par 5,7% zemāks nekā  2018.gadā, savukārt pa dzelzceļu pārvadāto kravu apjoms pērn saruka par 15,8%. Kravu apgrozība autopārvadājumos saglabājās iepriekšējā gada līmenī, bet pozitīvu dinamiku 2019.gadā uzrādīja aviopārvadājumi, lidostā </w:t>
      </w:r>
      <w:r>
        <w:rPr>
          <w:rFonts w:ascii="Times New Roman" w:eastAsia="Times New Roman" w:hAnsi="Times New Roman" w:cs="Times New Roman"/>
          <w:sz w:val="28"/>
          <w:szCs w:val="28"/>
          <w:lang w:eastAsia="en-US"/>
        </w:rPr>
        <w:t>“</w:t>
      </w:r>
      <w:r w:rsidRPr="00222F32">
        <w:rPr>
          <w:rFonts w:ascii="Times New Roman" w:eastAsia="Times New Roman" w:hAnsi="Times New Roman" w:cs="Times New Roman"/>
          <w:sz w:val="28"/>
          <w:szCs w:val="28"/>
          <w:lang w:eastAsia="en-US"/>
        </w:rPr>
        <w:t>Rīga</w:t>
      </w:r>
      <w:r>
        <w:rPr>
          <w:rFonts w:ascii="Times New Roman" w:eastAsia="Times New Roman" w:hAnsi="Times New Roman" w:cs="Times New Roman"/>
          <w:sz w:val="28"/>
          <w:szCs w:val="28"/>
          <w:lang w:eastAsia="en-US"/>
        </w:rPr>
        <w:t>”</w:t>
      </w:r>
      <w:r w:rsidRPr="00222F32">
        <w:rPr>
          <w:rFonts w:ascii="Times New Roman" w:eastAsia="Times New Roman" w:hAnsi="Times New Roman" w:cs="Times New Roman"/>
          <w:sz w:val="28"/>
          <w:szCs w:val="28"/>
          <w:lang w:eastAsia="en-US"/>
        </w:rPr>
        <w:t xml:space="preserve"> apkalpoto pasažieru skaitam palielinoties par 10,5%.</w:t>
      </w:r>
    </w:p>
    <w:p w14:paraId="2326CAE0" w14:textId="77777777" w:rsidR="00222F32" w:rsidRPr="00222F32" w:rsidRDefault="00222F32" w:rsidP="00401A5B">
      <w:pPr>
        <w:ind w:firstLine="720"/>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Tranzīta nozarē līdzīga situācija saglabājās arī 2020.gadā, kad Krievijas kravu tranzīts turpināja samazināties, bet transporta nozares kopējo situāciju vēl papildus krasi pasliktināja starptautisko pasažieru pārvadājumu apturēšana Covid-19 izplatības ierobežošanai. Gada pirmajā pusē transporta un uzglabāšanas nozare piedzīvoja 15,2% kritumu salīdzinājumā ar 2019.gada attiecīgo periodu, bet otrajā ceturksnī, Covid-19 krīzes kulminācijas brīdī nozares lejupslīde sasniedza pat 23,7%.</w:t>
      </w:r>
    </w:p>
    <w:p w14:paraId="2241C220" w14:textId="5E225C82" w:rsidR="00222F32" w:rsidRDefault="00222F32" w:rsidP="00401A5B">
      <w:pPr>
        <w:ind w:firstLine="720"/>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Kravu apgrozījums ostās šā gada pirmajos astoņos mēnešos bija 29,7 milj. tonnu - par 29,7% mazāks nekā pirms gada, īpaši strauji krītoties ogļu un naftas kravu apjomiem, - attiecīgi par 77,3% un 15,1%, bet dzelzceļā pārvadāto kravu apjoms gada pirmajos astoņos mēnešos samazinājies par 45,8% līdz 15,4 milj. tonnu.</w:t>
      </w:r>
      <w:r>
        <w:rPr>
          <w:rFonts w:ascii="Times New Roman" w:eastAsia="Times New Roman" w:hAnsi="Times New Roman" w:cs="Times New Roman"/>
          <w:sz w:val="28"/>
          <w:szCs w:val="28"/>
          <w:lang w:eastAsia="en-US"/>
        </w:rPr>
        <w:t xml:space="preserve"> (</w:t>
      </w:r>
      <w:r w:rsidR="00D4108D">
        <w:rPr>
          <w:rFonts w:ascii="Times New Roman" w:eastAsia="Times New Roman" w:hAnsi="Times New Roman" w:cs="Times New Roman"/>
          <w:sz w:val="28"/>
          <w:szCs w:val="28"/>
          <w:lang w:eastAsia="en-US"/>
        </w:rPr>
        <w:t xml:space="preserve">skat. </w:t>
      </w:r>
      <w:r>
        <w:rPr>
          <w:rFonts w:ascii="Times New Roman" w:eastAsia="Times New Roman" w:hAnsi="Times New Roman" w:cs="Times New Roman"/>
          <w:sz w:val="28"/>
          <w:szCs w:val="28"/>
          <w:lang w:eastAsia="en-US"/>
        </w:rPr>
        <w:t>1.15.att)</w:t>
      </w:r>
      <w:r w:rsidRPr="00222F32">
        <w:rPr>
          <w:rFonts w:ascii="Times New Roman" w:eastAsia="Times New Roman" w:hAnsi="Times New Roman" w:cs="Times New Roman"/>
          <w:sz w:val="28"/>
          <w:szCs w:val="28"/>
          <w:lang w:eastAsia="en-US"/>
        </w:rPr>
        <w:t xml:space="preserve"> Pa maģistrālo naftas p</w:t>
      </w:r>
      <w:r>
        <w:rPr>
          <w:rFonts w:ascii="Times New Roman" w:eastAsia="Times New Roman" w:hAnsi="Times New Roman" w:cs="Times New Roman"/>
          <w:sz w:val="28"/>
          <w:szCs w:val="28"/>
          <w:lang w:eastAsia="en-US"/>
        </w:rPr>
        <w:t xml:space="preserve">roduktu vadu Polocka - </w:t>
      </w:r>
      <w:r w:rsidRPr="00222F32">
        <w:rPr>
          <w:rFonts w:ascii="Times New Roman" w:eastAsia="Times New Roman" w:hAnsi="Times New Roman" w:cs="Times New Roman"/>
          <w:sz w:val="28"/>
          <w:szCs w:val="28"/>
          <w:lang w:eastAsia="en-US"/>
        </w:rPr>
        <w:t>Ventspils</w:t>
      </w:r>
      <w:r w:rsidRPr="00222F32">
        <w:rPr>
          <w:rFonts w:ascii="Arial" w:hAnsi="Arial" w:cs="Arial"/>
          <w:color w:val="3E3E3E"/>
          <w:sz w:val="18"/>
          <w:szCs w:val="18"/>
          <w:lang w:eastAsia="en-US"/>
        </w:rPr>
        <w:t xml:space="preserve"> </w:t>
      </w:r>
      <w:r w:rsidRPr="00222F32">
        <w:rPr>
          <w:rFonts w:ascii="Times New Roman" w:eastAsia="Times New Roman" w:hAnsi="Times New Roman" w:cs="Times New Roman"/>
          <w:sz w:val="28"/>
          <w:szCs w:val="28"/>
          <w:lang w:eastAsia="en-US"/>
        </w:rPr>
        <w:t>transportētais dīzeļdegvielas apjoms gada pirmajā pusē bijis par 44,0% mazāks nekā 2019.gada pirmajā pusē un veidojis 0,8 milj. tonnu.</w:t>
      </w:r>
    </w:p>
    <w:p w14:paraId="6743D512" w14:textId="77777777" w:rsidR="00AC361B" w:rsidRDefault="00AC361B" w:rsidP="00401A5B">
      <w:pPr>
        <w:ind w:firstLine="720"/>
        <w:jc w:val="both"/>
        <w:rPr>
          <w:rFonts w:ascii="Times New Roman" w:eastAsia="Times New Roman" w:hAnsi="Times New Roman" w:cs="Times New Roman"/>
          <w:sz w:val="28"/>
          <w:szCs w:val="28"/>
          <w:lang w:eastAsia="en-US"/>
        </w:rPr>
      </w:pPr>
    </w:p>
    <w:p w14:paraId="5DD116F5" w14:textId="77777777" w:rsidR="00222F32" w:rsidRPr="00222F32" w:rsidRDefault="00222F32" w:rsidP="00401A5B">
      <w:pPr>
        <w:ind w:firstLine="720"/>
        <w:jc w:val="both"/>
        <w:rPr>
          <w:rFonts w:ascii="Times New Roman" w:eastAsia="Times New Roman" w:hAnsi="Times New Roman" w:cs="Times New Roman"/>
          <w:sz w:val="28"/>
          <w:szCs w:val="28"/>
          <w:lang w:eastAsia="en-US"/>
        </w:rPr>
      </w:pPr>
    </w:p>
    <w:p w14:paraId="4FC11BCB" w14:textId="77777777" w:rsidR="00222F32" w:rsidRPr="00222F32" w:rsidRDefault="00222F32" w:rsidP="00401A5B">
      <w:pPr>
        <w:jc w:val="center"/>
        <w:rPr>
          <w:rFonts w:ascii="Times New Roman" w:eastAsia="Times New Roman" w:hAnsi="Times New Roman" w:cs="Times New Roman"/>
          <w:sz w:val="28"/>
          <w:szCs w:val="28"/>
          <w:lang w:eastAsia="en-US"/>
        </w:rPr>
      </w:pPr>
      <w:r w:rsidRPr="00222F32">
        <w:rPr>
          <w:noProof/>
        </w:rPr>
        <w:drawing>
          <wp:inline distT="0" distB="0" distL="0" distR="0" wp14:anchorId="56CF6512" wp14:editId="6D653F19">
            <wp:extent cx="4944110" cy="2411095"/>
            <wp:effectExtent l="0" t="0" r="8890"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54103D" w14:textId="77777777" w:rsidR="00222F32" w:rsidRPr="00222F32" w:rsidRDefault="00222F32" w:rsidP="00401A5B">
      <w:pPr>
        <w:jc w:val="center"/>
        <w:rPr>
          <w:rFonts w:ascii="Times New Roman" w:eastAsia="Times New Roman" w:hAnsi="Times New Roman" w:cs="Times New Roman"/>
          <w:b/>
          <w:i/>
          <w:sz w:val="24"/>
          <w:szCs w:val="24"/>
          <w:lang w:eastAsia="en-US"/>
        </w:rPr>
      </w:pPr>
      <w:r w:rsidRPr="00222F32">
        <w:rPr>
          <w:rFonts w:ascii="Times New Roman" w:eastAsia="Times New Roman" w:hAnsi="Times New Roman" w:cs="Times New Roman"/>
          <w:b/>
          <w:i/>
          <w:sz w:val="24"/>
          <w:szCs w:val="24"/>
          <w:lang w:eastAsia="en-US"/>
        </w:rPr>
        <w:t>1.15. att. Kravu apgrozījums Latvijas ostās un pārvadājumu apjoms dzelzceļā</w:t>
      </w:r>
    </w:p>
    <w:p w14:paraId="39FFD7AA" w14:textId="77777777" w:rsidR="00222F32" w:rsidRPr="00222F32" w:rsidRDefault="00222F32" w:rsidP="00401A5B">
      <w:pPr>
        <w:jc w:val="center"/>
        <w:rPr>
          <w:rFonts w:ascii="Times New Roman" w:eastAsia="Times New Roman" w:hAnsi="Times New Roman" w:cs="Times New Roman"/>
          <w:b/>
          <w:i/>
          <w:sz w:val="24"/>
          <w:szCs w:val="24"/>
          <w:lang w:eastAsia="en-US"/>
        </w:rPr>
      </w:pPr>
      <w:r w:rsidRPr="00222F32">
        <w:rPr>
          <w:rFonts w:ascii="Times New Roman" w:eastAsia="Times New Roman" w:hAnsi="Times New Roman" w:cs="Times New Roman"/>
          <w:b/>
          <w:i/>
          <w:sz w:val="24"/>
          <w:szCs w:val="24"/>
          <w:lang w:eastAsia="en-US"/>
        </w:rPr>
        <w:t xml:space="preserve"> (tūkst. tonnu), 2010.-2020.gada pirmajos astoņos mēnešos</w:t>
      </w:r>
    </w:p>
    <w:p w14:paraId="270176FE" w14:textId="77777777" w:rsidR="00222F32" w:rsidRPr="00222F32" w:rsidRDefault="00222F32" w:rsidP="00401A5B">
      <w:pPr>
        <w:ind w:firstLine="709"/>
        <w:jc w:val="both"/>
        <w:rPr>
          <w:rFonts w:ascii="Times New Roman" w:eastAsia="Times New Roman" w:hAnsi="Times New Roman" w:cs="Times New Roman"/>
          <w:sz w:val="28"/>
          <w:szCs w:val="28"/>
          <w:lang w:eastAsia="en-US"/>
        </w:rPr>
      </w:pPr>
    </w:p>
    <w:p w14:paraId="7E3EA6C4" w14:textId="7C4EE9F0" w:rsidR="00222F32" w:rsidRDefault="00222F32" w:rsidP="00401A5B">
      <w:pPr>
        <w:ind w:firstLine="709"/>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Dati par kravu apgrozījuma izmaiņām gan Latvijas ostās un dzelzceļā, gan pārējās Baltijas jūras austrum</w:t>
      </w:r>
      <w:r>
        <w:rPr>
          <w:rFonts w:ascii="Times New Roman" w:eastAsia="Times New Roman" w:hAnsi="Times New Roman" w:cs="Times New Roman"/>
          <w:sz w:val="28"/>
          <w:szCs w:val="28"/>
          <w:lang w:eastAsia="en-US"/>
        </w:rPr>
        <w:t xml:space="preserve">u </w:t>
      </w:r>
      <w:r w:rsidRPr="00222F32">
        <w:rPr>
          <w:rFonts w:ascii="Times New Roman" w:eastAsia="Times New Roman" w:hAnsi="Times New Roman" w:cs="Times New Roman"/>
          <w:sz w:val="28"/>
          <w:szCs w:val="28"/>
          <w:lang w:eastAsia="en-US"/>
        </w:rPr>
        <w:t>krasta ostās apstiprina, ka Krievija turpina pārorientēt kravu plūsmu uz savām Baltijas jūras ostām. Krievijas ostās šogad, Covid-19 apstākļos, kravu apgrozījuma samazinājums bijis daudz mazāks nekā Latvijas ostās, kamēr mazākus kritumus Igaunijas un Lietuvas ostās nodrošinājis augstāks vietējo kravu īpatsvars. Krievijas Ustjlugas ostā, kur galvenās kravas ir ogles un naftas produkti, kravu apgrozījums 2020.gada astoņos mēnešos palielinājies par 0,1%, bet Primorskas ostā, kas specializējas naftas kravu pārkraušanā, kravu apgrozījums bijis par 16,3% mazāks nekā pirms gada. Visās Krievijas Baltijas jūras austrum</w:t>
      </w:r>
      <w:r>
        <w:rPr>
          <w:rFonts w:ascii="Times New Roman" w:eastAsia="Times New Roman" w:hAnsi="Times New Roman" w:cs="Times New Roman"/>
          <w:sz w:val="28"/>
          <w:szCs w:val="28"/>
          <w:lang w:eastAsia="en-US"/>
        </w:rPr>
        <w:t xml:space="preserve">u </w:t>
      </w:r>
      <w:r w:rsidRPr="00222F32">
        <w:rPr>
          <w:rFonts w:ascii="Times New Roman" w:eastAsia="Times New Roman" w:hAnsi="Times New Roman" w:cs="Times New Roman"/>
          <w:sz w:val="28"/>
          <w:szCs w:val="28"/>
          <w:lang w:eastAsia="en-US"/>
        </w:rPr>
        <w:t>krasta ostās kopā kravu apgrozījums 2020.gada astoņos mēnešos bijis par 8,7 miljonu tonnu jeb 5,1% mazāks nekā pirms gada, kamēr Baltijas valstu ostās kopā kritums bijis daudz straujāks – par</w:t>
      </w:r>
      <w:r w:rsidR="00F30041">
        <w:rPr>
          <w:rFonts w:ascii="Times New Roman" w:eastAsia="Times New Roman" w:hAnsi="Times New Roman" w:cs="Times New Roman"/>
          <w:sz w:val="28"/>
          <w:szCs w:val="28"/>
          <w:lang w:eastAsia="en-US"/>
        </w:rPr>
        <w:t xml:space="preserve"> 14,3 miljoniem tonnu jeb 13,9% (skat. 1.2.tabulu).</w:t>
      </w:r>
    </w:p>
    <w:p w14:paraId="7A7196FE" w14:textId="3EDC5970" w:rsidR="00AC361B" w:rsidRDefault="00AC361B" w:rsidP="00401A5B">
      <w:pPr>
        <w:ind w:firstLine="709"/>
        <w:jc w:val="both"/>
        <w:rPr>
          <w:rFonts w:ascii="Times New Roman" w:eastAsia="Times New Roman" w:hAnsi="Times New Roman" w:cs="Times New Roman"/>
          <w:sz w:val="28"/>
          <w:szCs w:val="28"/>
          <w:lang w:eastAsia="en-US"/>
        </w:rPr>
      </w:pPr>
    </w:p>
    <w:p w14:paraId="2660064A" w14:textId="37DFA977" w:rsidR="00AC361B" w:rsidRDefault="00AC361B" w:rsidP="00401A5B">
      <w:pPr>
        <w:ind w:firstLine="709"/>
        <w:jc w:val="both"/>
        <w:rPr>
          <w:rFonts w:ascii="Times New Roman" w:eastAsia="Times New Roman" w:hAnsi="Times New Roman" w:cs="Times New Roman"/>
          <w:sz w:val="28"/>
          <w:szCs w:val="28"/>
          <w:lang w:eastAsia="en-US"/>
        </w:rPr>
      </w:pPr>
    </w:p>
    <w:p w14:paraId="1A750E61" w14:textId="77777777" w:rsidR="00AC361B" w:rsidRPr="00222F32" w:rsidRDefault="00AC361B" w:rsidP="00401A5B">
      <w:pPr>
        <w:ind w:firstLine="709"/>
        <w:jc w:val="both"/>
        <w:rPr>
          <w:rFonts w:ascii="Times New Roman" w:eastAsia="Times New Roman" w:hAnsi="Times New Roman" w:cs="Times New Roman"/>
          <w:sz w:val="28"/>
          <w:szCs w:val="28"/>
          <w:lang w:eastAsia="en-US"/>
        </w:rPr>
      </w:pPr>
    </w:p>
    <w:p w14:paraId="4490ABC2" w14:textId="77777777" w:rsidR="00222F32" w:rsidRPr="00222F32" w:rsidRDefault="00222F32" w:rsidP="00401A5B">
      <w:pPr>
        <w:ind w:firstLine="709"/>
        <w:jc w:val="both"/>
        <w:rPr>
          <w:rFonts w:ascii="Times New Roman" w:eastAsia="Times New Roman" w:hAnsi="Times New Roman" w:cs="Times New Roman"/>
          <w:sz w:val="28"/>
          <w:szCs w:val="28"/>
          <w:lang w:eastAsia="en-US"/>
        </w:rPr>
      </w:pPr>
    </w:p>
    <w:p w14:paraId="7D1A035F" w14:textId="3AA61577" w:rsidR="00222F32" w:rsidRPr="00222F32" w:rsidRDefault="00222F32" w:rsidP="00401A5B">
      <w:pPr>
        <w:keepNext/>
        <w:jc w:val="right"/>
        <w:rPr>
          <w:rFonts w:ascii="Times New Roman" w:eastAsia="Times New Roman" w:hAnsi="Times New Roman" w:cs="Times New Roman"/>
          <w:b/>
          <w:i/>
          <w:sz w:val="24"/>
          <w:szCs w:val="24"/>
          <w:lang w:eastAsia="en-US"/>
        </w:rPr>
      </w:pPr>
      <w:r w:rsidRPr="00222F32">
        <w:rPr>
          <w:rFonts w:ascii="Times New Roman" w:eastAsia="Times New Roman" w:hAnsi="Times New Roman" w:cs="Times New Roman"/>
          <w:b/>
          <w:i/>
          <w:sz w:val="24"/>
          <w:szCs w:val="24"/>
          <w:lang w:eastAsia="en-US"/>
        </w:rPr>
        <w:t>1.2. tabula. Kravu apgrozījums Baltijas jūras austrum</w:t>
      </w:r>
      <w:r>
        <w:rPr>
          <w:rFonts w:ascii="Times New Roman" w:eastAsia="Times New Roman" w:hAnsi="Times New Roman" w:cs="Times New Roman"/>
          <w:b/>
          <w:i/>
          <w:sz w:val="24"/>
          <w:szCs w:val="24"/>
          <w:lang w:eastAsia="en-US"/>
        </w:rPr>
        <w:t xml:space="preserve">u </w:t>
      </w:r>
      <w:r w:rsidRPr="00222F32">
        <w:rPr>
          <w:rFonts w:ascii="Times New Roman" w:eastAsia="Times New Roman" w:hAnsi="Times New Roman" w:cs="Times New Roman"/>
          <w:b/>
          <w:i/>
          <w:sz w:val="24"/>
          <w:szCs w:val="24"/>
          <w:lang w:eastAsia="en-US"/>
        </w:rPr>
        <w:t>krasta ostās, milj. t</w:t>
      </w:r>
      <w:r w:rsidRPr="00222F32">
        <w:rPr>
          <w:rFonts w:ascii="Times New Roman" w:eastAsia="Times New Roman" w:hAnsi="Times New Roman" w:cs="Times New Roman"/>
          <w:b/>
          <w:i/>
          <w:sz w:val="24"/>
          <w:szCs w:val="24"/>
          <w:vertAlign w:val="superscript"/>
          <w:lang w:eastAsia="en-US"/>
        </w:rPr>
        <w:footnoteReference w:id="2"/>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0"/>
        <w:gridCol w:w="2804"/>
        <w:gridCol w:w="2804"/>
        <w:gridCol w:w="1374"/>
      </w:tblGrid>
      <w:tr w:rsidR="00222F32" w:rsidRPr="00222F32" w14:paraId="33938034" w14:textId="77777777" w:rsidTr="00222F32">
        <w:trPr>
          <w:trHeight w:val="285"/>
          <w:jc w:val="center"/>
        </w:trPr>
        <w:tc>
          <w:tcPr>
            <w:tcW w:w="2060" w:type="dxa"/>
            <w:shd w:val="clear" w:color="auto" w:fill="9CC2E5" w:themeFill="accent1" w:themeFillTint="99"/>
            <w:tcMar>
              <w:top w:w="0" w:type="dxa"/>
              <w:left w:w="108" w:type="dxa"/>
              <w:bottom w:w="0" w:type="dxa"/>
              <w:right w:w="108" w:type="dxa"/>
            </w:tcMar>
            <w:vAlign w:val="center"/>
            <w:hideMark/>
          </w:tcPr>
          <w:p w14:paraId="6A0041CE" w14:textId="77777777" w:rsidR="00222F32" w:rsidRPr="00222F32" w:rsidRDefault="00222F32" w:rsidP="00401A5B">
            <w:pPr>
              <w:jc w:val="center"/>
              <w:rPr>
                <w:rFonts w:ascii="Times New Roman" w:eastAsia="Times New Roman" w:hAnsi="Times New Roman" w:cs="Times New Roman"/>
                <w:b/>
                <w:sz w:val="20"/>
                <w:szCs w:val="20"/>
                <w:lang w:eastAsia="en-US"/>
              </w:rPr>
            </w:pPr>
            <w:r w:rsidRPr="00222F32">
              <w:rPr>
                <w:rFonts w:ascii="Times New Roman" w:eastAsia="Times New Roman" w:hAnsi="Times New Roman" w:cs="Times New Roman"/>
                <w:b/>
                <w:sz w:val="20"/>
                <w:szCs w:val="20"/>
                <w:lang w:eastAsia="en-US"/>
              </w:rPr>
              <w:t>Osta</w:t>
            </w:r>
          </w:p>
        </w:tc>
        <w:tc>
          <w:tcPr>
            <w:tcW w:w="2804" w:type="dxa"/>
            <w:shd w:val="clear" w:color="auto" w:fill="9CC2E5" w:themeFill="accent1" w:themeFillTint="99"/>
            <w:tcMar>
              <w:top w:w="0" w:type="dxa"/>
              <w:left w:w="108" w:type="dxa"/>
              <w:bottom w:w="0" w:type="dxa"/>
              <w:right w:w="108" w:type="dxa"/>
            </w:tcMar>
            <w:vAlign w:val="center"/>
          </w:tcPr>
          <w:p w14:paraId="62B086B0" w14:textId="23770EEE" w:rsidR="00222F32" w:rsidRPr="00222F32" w:rsidRDefault="00222F32" w:rsidP="00401A5B">
            <w:pPr>
              <w:jc w:val="center"/>
              <w:rPr>
                <w:rFonts w:ascii="Times New Roman" w:eastAsia="Times New Roman" w:hAnsi="Times New Roman" w:cs="Times New Roman"/>
                <w:b/>
                <w:sz w:val="20"/>
                <w:szCs w:val="20"/>
                <w:lang w:eastAsia="en-US"/>
              </w:rPr>
            </w:pPr>
            <w:r w:rsidRPr="00222F32">
              <w:rPr>
                <w:rFonts w:ascii="Times New Roman" w:eastAsia="Times New Roman" w:hAnsi="Times New Roman" w:cs="Times New Roman"/>
                <w:b/>
                <w:sz w:val="20"/>
                <w:szCs w:val="20"/>
                <w:lang w:eastAsia="en-US"/>
              </w:rPr>
              <w:t>2019.gada</w:t>
            </w:r>
            <w:r>
              <w:rPr>
                <w:rFonts w:ascii="Times New Roman" w:eastAsia="Times New Roman" w:hAnsi="Times New Roman" w:cs="Times New Roman"/>
                <w:b/>
                <w:sz w:val="20"/>
                <w:szCs w:val="20"/>
                <w:lang w:eastAsia="en-US"/>
              </w:rPr>
              <w:t xml:space="preserve"> </w:t>
            </w:r>
            <w:r w:rsidRPr="00222F32">
              <w:rPr>
                <w:rFonts w:ascii="Times New Roman" w:eastAsia="Times New Roman" w:hAnsi="Times New Roman" w:cs="Times New Roman"/>
                <w:b/>
                <w:sz w:val="20"/>
                <w:szCs w:val="20"/>
                <w:lang w:eastAsia="en-US"/>
              </w:rPr>
              <w:t>8 mēneši</w:t>
            </w:r>
          </w:p>
        </w:tc>
        <w:tc>
          <w:tcPr>
            <w:tcW w:w="2804" w:type="dxa"/>
            <w:shd w:val="clear" w:color="auto" w:fill="9CC2E5" w:themeFill="accent1" w:themeFillTint="99"/>
            <w:vAlign w:val="center"/>
          </w:tcPr>
          <w:p w14:paraId="167E36EA" w14:textId="1D02956E" w:rsidR="00222F32" w:rsidRPr="00222F32" w:rsidRDefault="00222F32" w:rsidP="00401A5B">
            <w:pPr>
              <w:jc w:val="center"/>
              <w:rPr>
                <w:rFonts w:ascii="Times New Roman" w:eastAsia="Times New Roman" w:hAnsi="Times New Roman" w:cs="Times New Roman"/>
                <w:b/>
                <w:sz w:val="20"/>
                <w:szCs w:val="20"/>
                <w:lang w:eastAsia="en-US"/>
              </w:rPr>
            </w:pPr>
            <w:r w:rsidRPr="00222F32">
              <w:rPr>
                <w:rFonts w:ascii="Times New Roman" w:eastAsia="Times New Roman" w:hAnsi="Times New Roman" w:cs="Times New Roman"/>
                <w:b/>
                <w:sz w:val="20"/>
                <w:szCs w:val="20"/>
                <w:lang w:eastAsia="en-US"/>
              </w:rPr>
              <w:t>2020.gada</w:t>
            </w:r>
            <w:r>
              <w:rPr>
                <w:rFonts w:ascii="Times New Roman" w:eastAsia="Times New Roman" w:hAnsi="Times New Roman" w:cs="Times New Roman"/>
                <w:b/>
                <w:sz w:val="20"/>
                <w:szCs w:val="20"/>
                <w:lang w:eastAsia="en-US"/>
              </w:rPr>
              <w:t xml:space="preserve"> </w:t>
            </w:r>
            <w:r w:rsidRPr="00222F32">
              <w:rPr>
                <w:rFonts w:ascii="Times New Roman" w:eastAsia="Times New Roman" w:hAnsi="Times New Roman" w:cs="Times New Roman"/>
                <w:b/>
                <w:sz w:val="20"/>
                <w:szCs w:val="20"/>
                <w:lang w:eastAsia="en-US"/>
              </w:rPr>
              <w:t>8 mēneši</w:t>
            </w:r>
          </w:p>
        </w:tc>
        <w:tc>
          <w:tcPr>
            <w:tcW w:w="1374" w:type="dxa"/>
            <w:shd w:val="clear" w:color="auto" w:fill="9CC2E5" w:themeFill="accent1" w:themeFillTint="99"/>
            <w:tcMar>
              <w:top w:w="0" w:type="dxa"/>
              <w:left w:w="108" w:type="dxa"/>
              <w:bottom w:w="0" w:type="dxa"/>
              <w:right w:w="108" w:type="dxa"/>
            </w:tcMar>
            <w:vAlign w:val="center"/>
            <w:hideMark/>
          </w:tcPr>
          <w:p w14:paraId="030D62CA" w14:textId="77777777" w:rsidR="00222F32" w:rsidRPr="00222F32" w:rsidRDefault="00222F32" w:rsidP="00401A5B">
            <w:pPr>
              <w:jc w:val="center"/>
              <w:rPr>
                <w:rFonts w:ascii="Times New Roman" w:eastAsia="Times New Roman" w:hAnsi="Times New Roman" w:cs="Times New Roman"/>
                <w:b/>
                <w:sz w:val="20"/>
                <w:szCs w:val="20"/>
                <w:lang w:eastAsia="en-US"/>
              </w:rPr>
            </w:pPr>
            <w:r w:rsidRPr="00222F32">
              <w:rPr>
                <w:rFonts w:ascii="Times New Roman" w:eastAsia="Times New Roman" w:hAnsi="Times New Roman" w:cs="Times New Roman"/>
                <w:b/>
                <w:sz w:val="20"/>
                <w:szCs w:val="20"/>
                <w:lang w:eastAsia="en-US"/>
              </w:rPr>
              <w:t>Izmaiņas, %</w:t>
            </w:r>
          </w:p>
        </w:tc>
      </w:tr>
      <w:tr w:rsidR="00222F32" w:rsidRPr="00222F32" w14:paraId="33699539" w14:textId="77777777" w:rsidTr="00222F32">
        <w:trPr>
          <w:trHeight w:val="228"/>
          <w:jc w:val="center"/>
        </w:trPr>
        <w:tc>
          <w:tcPr>
            <w:tcW w:w="2060" w:type="dxa"/>
            <w:shd w:val="clear" w:color="auto" w:fill="auto"/>
            <w:tcMar>
              <w:top w:w="0" w:type="dxa"/>
              <w:left w:w="108" w:type="dxa"/>
              <w:bottom w:w="0" w:type="dxa"/>
              <w:right w:w="108" w:type="dxa"/>
            </w:tcMar>
            <w:hideMark/>
          </w:tcPr>
          <w:p w14:paraId="3CAA13CC" w14:textId="77777777" w:rsidR="00222F32" w:rsidRPr="00222F32" w:rsidRDefault="00222F32" w:rsidP="00401A5B">
            <w:pPr>
              <w:rPr>
                <w:rFonts w:ascii="Times New Roman" w:eastAsia="Times New Roman" w:hAnsi="Times New Roman" w:cs="Times New Roman"/>
                <w:sz w:val="20"/>
                <w:szCs w:val="20"/>
                <w:lang w:eastAsia="en-US"/>
              </w:rPr>
            </w:pPr>
            <w:r w:rsidRPr="00222F32">
              <w:rPr>
                <w:rFonts w:ascii="Times New Roman" w:eastAsia="Times New Roman" w:hAnsi="Times New Roman" w:cs="Times New Roman"/>
                <w:sz w:val="20"/>
                <w:szCs w:val="20"/>
                <w:lang w:eastAsia="en-US"/>
              </w:rPr>
              <w:t>Ustjluga</w:t>
            </w:r>
          </w:p>
        </w:tc>
        <w:tc>
          <w:tcPr>
            <w:tcW w:w="2804" w:type="dxa"/>
            <w:shd w:val="clear" w:color="auto" w:fill="auto"/>
            <w:tcMar>
              <w:top w:w="0" w:type="dxa"/>
              <w:left w:w="108" w:type="dxa"/>
              <w:bottom w:w="0" w:type="dxa"/>
              <w:right w:w="108" w:type="dxa"/>
            </w:tcMar>
            <w:vAlign w:val="bottom"/>
            <w:hideMark/>
          </w:tcPr>
          <w:p w14:paraId="63C65FD6"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69,0</w:t>
            </w:r>
          </w:p>
        </w:tc>
        <w:tc>
          <w:tcPr>
            <w:tcW w:w="2804" w:type="dxa"/>
            <w:shd w:val="clear" w:color="auto" w:fill="auto"/>
            <w:tcMar>
              <w:top w:w="0" w:type="dxa"/>
              <w:left w:w="108" w:type="dxa"/>
              <w:bottom w:w="0" w:type="dxa"/>
              <w:right w:w="108" w:type="dxa"/>
            </w:tcMar>
            <w:vAlign w:val="bottom"/>
            <w:hideMark/>
          </w:tcPr>
          <w:p w14:paraId="4C576FB4"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69,1</w:t>
            </w:r>
          </w:p>
        </w:tc>
        <w:tc>
          <w:tcPr>
            <w:tcW w:w="1374" w:type="dxa"/>
            <w:shd w:val="clear" w:color="auto" w:fill="auto"/>
            <w:tcMar>
              <w:top w:w="0" w:type="dxa"/>
              <w:left w:w="108" w:type="dxa"/>
              <w:bottom w:w="0" w:type="dxa"/>
              <w:right w:w="108" w:type="dxa"/>
            </w:tcMar>
            <w:vAlign w:val="bottom"/>
            <w:hideMark/>
          </w:tcPr>
          <w:p w14:paraId="516539DC" w14:textId="77777777" w:rsidR="00222F32" w:rsidRPr="00222F32" w:rsidRDefault="00222F32" w:rsidP="00401A5B">
            <w:pPr>
              <w:jc w:val="center"/>
              <w:rPr>
                <w:rFonts w:ascii="Times New Roman" w:eastAsia="Times New Roman" w:hAnsi="Times New Roman" w:cs="Times New Roman"/>
                <w:sz w:val="20"/>
                <w:szCs w:val="20"/>
              </w:rPr>
            </w:pPr>
            <w:r w:rsidRPr="00222F32">
              <w:rPr>
                <w:rFonts w:ascii="Times New Roman" w:eastAsia="Times New Roman" w:hAnsi="Times New Roman" w:cs="Times New Roman"/>
                <w:sz w:val="20"/>
                <w:szCs w:val="20"/>
              </w:rPr>
              <w:t>+0,1</w:t>
            </w:r>
          </w:p>
        </w:tc>
      </w:tr>
      <w:tr w:rsidR="00222F32" w:rsidRPr="00222F32" w14:paraId="02343069" w14:textId="77777777" w:rsidTr="00222F32">
        <w:trPr>
          <w:trHeight w:val="245"/>
          <w:jc w:val="center"/>
        </w:trPr>
        <w:tc>
          <w:tcPr>
            <w:tcW w:w="2060" w:type="dxa"/>
            <w:shd w:val="clear" w:color="auto" w:fill="auto"/>
            <w:tcMar>
              <w:top w:w="0" w:type="dxa"/>
              <w:left w:w="108" w:type="dxa"/>
              <w:bottom w:w="0" w:type="dxa"/>
              <w:right w:w="108" w:type="dxa"/>
            </w:tcMar>
          </w:tcPr>
          <w:p w14:paraId="748E7F8D" w14:textId="77777777" w:rsidR="00222F32" w:rsidRPr="00222F32" w:rsidRDefault="00222F32" w:rsidP="00401A5B">
            <w:pPr>
              <w:rPr>
                <w:rFonts w:ascii="Times New Roman" w:eastAsia="Times New Roman" w:hAnsi="Times New Roman" w:cs="Times New Roman"/>
                <w:sz w:val="20"/>
                <w:szCs w:val="20"/>
                <w:lang w:eastAsia="en-US"/>
              </w:rPr>
            </w:pPr>
            <w:r w:rsidRPr="00222F32">
              <w:rPr>
                <w:rFonts w:ascii="Times New Roman" w:eastAsia="Times New Roman" w:hAnsi="Times New Roman" w:cs="Times New Roman"/>
                <w:sz w:val="20"/>
                <w:szCs w:val="20"/>
                <w:lang w:eastAsia="en-US"/>
              </w:rPr>
              <w:t>Primorska</w:t>
            </w:r>
          </w:p>
        </w:tc>
        <w:tc>
          <w:tcPr>
            <w:tcW w:w="2804" w:type="dxa"/>
            <w:shd w:val="clear" w:color="auto" w:fill="auto"/>
            <w:tcMar>
              <w:top w:w="0" w:type="dxa"/>
              <w:left w:w="108" w:type="dxa"/>
              <w:bottom w:w="0" w:type="dxa"/>
              <w:right w:w="108" w:type="dxa"/>
            </w:tcMar>
            <w:vAlign w:val="bottom"/>
          </w:tcPr>
          <w:p w14:paraId="19C027E1"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41,6</w:t>
            </w:r>
          </w:p>
        </w:tc>
        <w:tc>
          <w:tcPr>
            <w:tcW w:w="2804" w:type="dxa"/>
            <w:shd w:val="clear" w:color="auto" w:fill="auto"/>
            <w:tcMar>
              <w:top w:w="0" w:type="dxa"/>
              <w:left w:w="108" w:type="dxa"/>
              <w:bottom w:w="0" w:type="dxa"/>
              <w:right w:w="108" w:type="dxa"/>
            </w:tcMar>
            <w:vAlign w:val="bottom"/>
          </w:tcPr>
          <w:p w14:paraId="7BC6ACB0"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34,8</w:t>
            </w:r>
          </w:p>
        </w:tc>
        <w:tc>
          <w:tcPr>
            <w:tcW w:w="1374" w:type="dxa"/>
            <w:shd w:val="clear" w:color="auto" w:fill="auto"/>
            <w:tcMar>
              <w:top w:w="0" w:type="dxa"/>
              <w:left w:w="108" w:type="dxa"/>
              <w:bottom w:w="0" w:type="dxa"/>
              <w:right w:w="108" w:type="dxa"/>
            </w:tcMar>
            <w:vAlign w:val="bottom"/>
          </w:tcPr>
          <w:p w14:paraId="0FDBE6DC" w14:textId="77777777" w:rsidR="00222F32" w:rsidRPr="00222F32" w:rsidRDefault="00222F32" w:rsidP="00401A5B">
            <w:pPr>
              <w:jc w:val="center"/>
              <w:rPr>
                <w:rFonts w:ascii="Times New Roman" w:eastAsia="Times New Roman" w:hAnsi="Times New Roman" w:cs="Times New Roman"/>
                <w:sz w:val="20"/>
                <w:szCs w:val="20"/>
              </w:rPr>
            </w:pPr>
            <w:r w:rsidRPr="00222F32">
              <w:rPr>
                <w:rFonts w:ascii="Times New Roman" w:eastAsia="Times New Roman" w:hAnsi="Times New Roman" w:cs="Times New Roman"/>
                <w:sz w:val="20"/>
                <w:szCs w:val="20"/>
              </w:rPr>
              <w:t>-16,3</w:t>
            </w:r>
          </w:p>
        </w:tc>
      </w:tr>
      <w:tr w:rsidR="00222F32" w:rsidRPr="00222F32" w14:paraId="79B1A018" w14:textId="77777777" w:rsidTr="00222F32">
        <w:trPr>
          <w:trHeight w:val="228"/>
          <w:jc w:val="center"/>
        </w:trPr>
        <w:tc>
          <w:tcPr>
            <w:tcW w:w="2060" w:type="dxa"/>
            <w:shd w:val="clear" w:color="auto" w:fill="auto"/>
            <w:tcMar>
              <w:top w:w="0" w:type="dxa"/>
              <w:left w:w="108" w:type="dxa"/>
              <w:bottom w:w="0" w:type="dxa"/>
              <w:right w:w="108" w:type="dxa"/>
            </w:tcMar>
            <w:hideMark/>
          </w:tcPr>
          <w:p w14:paraId="2731DF3F" w14:textId="77777777" w:rsidR="00222F32" w:rsidRPr="00222F32" w:rsidRDefault="00222F32" w:rsidP="00401A5B">
            <w:pPr>
              <w:rPr>
                <w:rFonts w:ascii="Times New Roman" w:eastAsia="Times New Roman" w:hAnsi="Times New Roman" w:cs="Times New Roman"/>
                <w:sz w:val="20"/>
                <w:szCs w:val="20"/>
                <w:lang w:eastAsia="en-US"/>
              </w:rPr>
            </w:pPr>
            <w:r w:rsidRPr="00222F32">
              <w:rPr>
                <w:rFonts w:ascii="Times New Roman" w:eastAsia="Times New Roman" w:hAnsi="Times New Roman" w:cs="Times New Roman"/>
                <w:sz w:val="20"/>
                <w:szCs w:val="20"/>
                <w:lang w:eastAsia="en-US"/>
              </w:rPr>
              <w:t>Sanktpēterburga</w:t>
            </w:r>
          </w:p>
        </w:tc>
        <w:tc>
          <w:tcPr>
            <w:tcW w:w="2804" w:type="dxa"/>
            <w:shd w:val="clear" w:color="auto" w:fill="auto"/>
            <w:tcMar>
              <w:top w:w="0" w:type="dxa"/>
              <w:left w:w="108" w:type="dxa"/>
              <w:bottom w:w="0" w:type="dxa"/>
              <w:right w:w="108" w:type="dxa"/>
            </w:tcMar>
            <w:vAlign w:val="bottom"/>
            <w:hideMark/>
          </w:tcPr>
          <w:p w14:paraId="3F4E4915"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40,1</w:t>
            </w:r>
          </w:p>
        </w:tc>
        <w:tc>
          <w:tcPr>
            <w:tcW w:w="2804" w:type="dxa"/>
            <w:shd w:val="clear" w:color="auto" w:fill="auto"/>
            <w:tcMar>
              <w:top w:w="0" w:type="dxa"/>
              <w:left w:w="108" w:type="dxa"/>
              <w:bottom w:w="0" w:type="dxa"/>
              <w:right w:w="108" w:type="dxa"/>
            </w:tcMar>
            <w:vAlign w:val="bottom"/>
            <w:hideMark/>
          </w:tcPr>
          <w:p w14:paraId="39568944"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39,5</w:t>
            </w:r>
          </w:p>
        </w:tc>
        <w:tc>
          <w:tcPr>
            <w:tcW w:w="1374" w:type="dxa"/>
            <w:shd w:val="clear" w:color="auto" w:fill="auto"/>
            <w:tcMar>
              <w:top w:w="0" w:type="dxa"/>
              <w:left w:w="108" w:type="dxa"/>
              <w:bottom w:w="0" w:type="dxa"/>
              <w:right w:w="108" w:type="dxa"/>
            </w:tcMar>
            <w:vAlign w:val="bottom"/>
            <w:hideMark/>
          </w:tcPr>
          <w:p w14:paraId="47DCB8FD" w14:textId="77777777" w:rsidR="00222F32" w:rsidRPr="00222F32" w:rsidRDefault="00222F32" w:rsidP="00401A5B">
            <w:pPr>
              <w:jc w:val="center"/>
              <w:rPr>
                <w:rFonts w:ascii="Times New Roman" w:eastAsia="Times New Roman" w:hAnsi="Times New Roman" w:cs="Times New Roman"/>
                <w:sz w:val="20"/>
                <w:szCs w:val="20"/>
              </w:rPr>
            </w:pPr>
            <w:r w:rsidRPr="00222F32">
              <w:rPr>
                <w:rFonts w:ascii="Times New Roman" w:eastAsia="Times New Roman" w:hAnsi="Times New Roman" w:cs="Times New Roman"/>
                <w:sz w:val="20"/>
                <w:szCs w:val="20"/>
              </w:rPr>
              <w:t>-1,6</w:t>
            </w:r>
          </w:p>
        </w:tc>
      </w:tr>
      <w:tr w:rsidR="00222F32" w:rsidRPr="00222F32" w14:paraId="78DB0E11" w14:textId="77777777" w:rsidTr="00222F32">
        <w:trPr>
          <w:trHeight w:val="228"/>
          <w:jc w:val="center"/>
        </w:trPr>
        <w:tc>
          <w:tcPr>
            <w:tcW w:w="2060" w:type="dxa"/>
            <w:shd w:val="clear" w:color="auto" w:fill="auto"/>
            <w:tcMar>
              <w:top w:w="0" w:type="dxa"/>
              <w:left w:w="108" w:type="dxa"/>
              <w:bottom w:w="0" w:type="dxa"/>
              <w:right w:w="108" w:type="dxa"/>
            </w:tcMar>
            <w:hideMark/>
          </w:tcPr>
          <w:p w14:paraId="2E579EEC" w14:textId="77777777" w:rsidR="00222F32" w:rsidRPr="00222F32" w:rsidRDefault="00222F32" w:rsidP="00401A5B">
            <w:pPr>
              <w:rPr>
                <w:rFonts w:ascii="Times New Roman" w:eastAsia="Times New Roman" w:hAnsi="Times New Roman" w:cs="Times New Roman"/>
                <w:sz w:val="20"/>
                <w:szCs w:val="20"/>
                <w:lang w:eastAsia="en-US"/>
              </w:rPr>
            </w:pPr>
            <w:r w:rsidRPr="00222F32">
              <w:rPr>
                <w:rFonts w:ascii="Times New Roman" w:eastAsia="Times New Roman" w:hAnsi="Times New Roman" w:cs="Times New Roman"/>
                <w:sz w:val="20"/>
                <w:szCs w:val="20"/>
                <w:lang w:eastAsia="en-US"/>
              </w:rPr>
              <w:t>Klaipēda</w:t>
            </w:r>
          </w:p>
        </w:tc>
        <w:tc>
          <w:tcPr>
            <w:tcW w:w="2804" w:type="dxa"/>
            <w:shd w:val="clear" w:color="auto" w:fill="auto"/>
            <w:tcMar>
              <w:top w:w="0" w:type="dxa"/>
              <w:left w:w="108" w:type="dxa"/>
              <w:bottom w:w="0" w:type="dxa"/>
              <w:right w:w="108" w:type="dxa"/>
            </w:tcMar>
            <w:hideMark/>
          </w:tcPr>
          <w:p w14:paraId="72789448"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31,3</w:t>
            </w:r>
          </w:p>
        </w:tc>
        <w:tc>
          <w:tcPr>
            <w:tcW w:w="2804" w:type="dxa"/>
            <w:shd w:val="clear" w:color="auto" w:fill="auto"/>
            <w:tcMar>
              <w:top w:w="0" w:type="dxa"/>
              <w:left w:w="108" w:type="dxa"/>
              <w:bottom w:w="0" w:type="dxa"/>
              <w:right w:w="108" w:type="dxa"/>
            </w:tcMar>
            <w:hideMark/>
          </w:tcPr>
          <w:p w14:paraId="16DD721D"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29,9</w:t>
            </w:r>
          </w:p>
        </w:tc>
        <w:tc>
          <w:tcPr>
            <w:tcW w:w="1374" w:type="dxa"/>
            <w:shd w:val="clear" w:color="auto" w:fill="auto"/>
            <w:tcMar>
              <w:top w:w="0" w:type="dxa"/>
              <w:left w:w="108" w:type="dxa"/>
              <w:bottom w:w="0" w:type="dxa"/>
              <w:right w:w="108" w:type="dxa"/>
            </w:tcMar>
            <w:vAlign w:val="bottom"/>
            <w:hideMark/>
          </w:tcPr>
          <w:p w14:paraId="486F8200" w14:textId="77777777" w:rsidR="00222F32" w:rsidRPr="00222F32" w:rsidRDefault="00222F32" w:rsidP="00401A5B">
            <w:pPr>
              <w:jc w:val="center"/>
              <w:rPr>
                <w:rFonts w:ascii="Times New Roman" w:eastAsia="Times New Roman" w:hAnsi="Times New Roman" w:cs="Times New Roman"/>
                <w:sz w:val="20"/>
                <w:szCs w:val="20"/>
              </w:rPr>
            </w:pPr>
            <w:r w:rsidRPr="00222F32">
              <w:rPr>
                <w:rFonts w:ascii="Times New Roman" w:eastAsia="Times New Roman" w:hAnsi="Times New Roman" w:cs="Times New Roman"/>
                <w:sz w:val="20"/>
                <w:szCs w:val="20"/>
              </w:rPr>
              <w:t>-4,7</w:t>
            </w:r>
          </w:p>
        </w:tc>
      </w:tr>
      <w:tr w:rsidR="00222F32" w:rsidRPr="00222F32" w14:paraId="726B6774" w14:textId="77777777" w:rsidTr="00222F32">
        <w:trPr>
          <w:trHeight w:val="245"/>
          <w:jc w:val="center"/>
        </w:trPr>
        <w:tc>
          <w:tcPr>
            <w:tcW w:w="2060" w:type="dxa"/>
            <w:shd w:val="clear" w:color="auto" w:fill="auto"/>
            <w:tcMar>
              <w:top w:w="0" w:type="dxa"/>
              <w:left w:w="108" w:type="dxa"/>
              <w:bottom w:w="0" w:type="dxa"/>
              <w:right w:w="108" w:type="dxa"/>
            </w:tcMar>
          </w:tcPr>
          <w:p w14:paraId="06B79ABD" w14:textId="77777777" w:rsidR="00222F32" w:rsidRPr="00222F32" w:rsidRDefault="00222F32" w:rsidP="00401A5B">
            <w:pPr>
              <w:rPr>
                <w:rFonts w:ascii="Times New Roman" w:eastAsia="Times New Roman" w:hAnsi="Times New Roman" w:cs="Times New Roman"/>
                <w:sz w:val="20"/>
                <w:szCs w:val="20"/>
                <w:lang w:eastAsia="en-US"/>
              </w:rPr>
            </w:pPr>
            <w:r w:rsidRPr="00222F32">
              <w:rPr>
                <w:rFonts w:ascii="Times New Roman" w:eastAsia="Times New Roman" w:hAnsi="Times New Roman" w:cs="Times New Roman"/>
                <w:sz w:val="20"/>
                <w:szCs w:val="20"/>
                <w:lang w:eastAsia="en-US"/>
              </w:rPr>
              <w:t>Igaunijas ostas</w:t>
            </w:r>
          </w:p>
        </w:tc>
        <w:tc>
          <w:tcPr>
            <w:tcW w:w="2804" w:type="dxa"/>
            <w:shd w:val="clear" w:color="auto" w:fill="auto"/>
            <w:tcMar>
              <w:top w:w="0" w:type="dxa"/>
              <w:left w:w="108" w:type="dxa"/>
              <w:bottom w:w="0" w:type="dxa"/>
              <w:right w:w="108" w:type="dxa"/>
            </w:tcMar>
            <w:vAlign w:val="bottom"/>
          </w:tcPr>
          <w:p w14:paraId="4CB8022D"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24,6</w:t>
            </w:r>
          </w:p>
        </w:tc>
        <w:tc>
          <w:tcPr>
            <w:tcW w:w="2804" w:type="dxa"/>
            <w:shd w:val="clear" w:color="auto" w:fill="auto"/>
            <w:tcMar>
              <w:top w:w="0" w:type="dxa"/>
              <w:left w:w="108" w:type="dxa"/>
              <w:bottom w:w="0" w:type="dxa"/>
              <w:right w:w="108" w:type="dxa"/>
            </w:tcMar>
            <w:vAlign w:val="bottom"/>
          </w:tcPr>
          <w:p w14:paraId="4A38570F"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24,5</w:t>
            </w:r>
          </w:p>
        </w:tc>
        <w:tc>
          <w:tcPr>
            <w:tcW w:w="1374" w:type="dxa"/>
            <w:shd w:val="clear" w:color="auto" w:fill="auto"/>
            <w:tcMar>
              <w:top w:w="0" w:type="dxa"/>
              <w:left w:w="108" w:type="dxa"/>
              <w:bottom w:w="0" w:type="dxa"/>
              <w:right w:w="108" w:type="dxa"/>
            </w:tcMar>
            <w:vAlign w:val="bottom"/>
          </w:tcPr>
          <w:p w14:paraId="6E70A4B3" w14:textId="77777777" w:rsidR="00222F32" w:rsidRPr="00222F32" w:rsidRDefault="00222F32" w:rsidP="00401A5B">
            <w:pPr>
              <w:jc w:val="center"/>
              <w:rPr>
                <w:rFonts w:ascii="Times New Roman" w:eastAsia="Times New Roman" w:hAnsi="Times New Roman" w:cs="Times New Roman"/>
                <w:sz w:val="20"/>
                <w:szCs w:val="20"/>
              </w:rPr>
            </w:pPr>
            <w:r w:rsidRPr="00222F32">
              <w:rPr>
                <w:rFonts w:ascii="Times New Roman" w:eastAsia="Times New Roman" w:hAnsi="Times New Roman" w:cs="Times New Roman"/>
                <w:sz w:val="20"/>
                <w:szCs w:val="20"/>
              </w:rPr>
              <w:t>-0,1</w:t>
            </w:r>
          </w:p>
        </w:tc>
      </w:tr>
      <w:tr w:rsidR="00222F32" w:rsidRPr="00222F32" w14:paraId="397A6207" w14:textId="77777777" w:rsidTr="00222F32">
        <w:trPr>
          <w:trHeight w:val="141"/>
          <w:jc w:val="center"/>
        </w:trPr>
        <w:tc>
          <w:tcPr>
            <w:tcW w:w="2060" w:type="dxa"/>
            <w:shd w:val="clear" w:color="auto" w:fill="auto"/>
            <w:tcMar>
              <w:top w:w="0" w:type="dxa"/>
              <w:left w:w="108" w:type="dxa"/>
              <w:bottom w:w="0" w:type="dxa"/>
              <w:right w:w="108" w:type="dxa"/>
            </w:tcMar>
          </w:tcPr>
          <w:p w14:paraId="1D6CB3DF" w14:textId="77777777" w:rsidR="00222F32" w:rsidRPr="00222F32" w:rsidRDefault="00222F32" w:rsidP="00401A5B">
            <w:pPr>
              <w:rPr>
                <w:rFonts w:ascii="Times New Roman" w:eastAsia="Times New Roman" w:hAnsi="Times New Roman" w:cs="Times New Roman"/>
                <w:b/>
                <w:sz w:val="20"/>
                <w:szCs w:val="20"/>
                <w:lang w:eastAsia="en-US"/>
              </w:rPr>
            </w:pPr>
            <w:r w:rsidRPr="00222F32">
              <w:rPr>
                <w:rFonts w:ascii="Times New Roman" w:eastAsia="Times New Roman" w:hAnsi="Times New Roman" w:cs="Times New Roman"/>
                <w:b/>
                <w:sz w:val="20"/>
                <w:szCs w:val="20"/>
                <w:lang w:eastAsia="en-US"/>
              </w:rPr>
              <w:t>Rīga</w:t>
            </w:r>
          </w:p>
        </w:tc>
        <w:tc>
          <w:tcPr>
            <w:tcW w:w="2804" w:type="dxa"/>
            <w:shd w:val="clear" w:color="auto" w:fill="auto"/>
            <w:tcMar>
              <w:top w:w="0" w:type="dxa"/>
              <w:left w:w="108" w:type="dxa"/>
              <w:bottom w:w="0" w:type="dxa"/>
              <w:right w:w="108" w:type="dxa"/>
            </w:tcMar>
            <w:vAlign w:val="bottom"/>
          </w:tcPr>
          <w:p w14:paraId="6E3D26AF" w14:textId="77777777" w:rsidR="00222F32" w:rsidRPr="00222F32" w:rsidRDefault="00222F32" w:rsidP="00401A5B">
            <w:pPr>
              <w:jc w:val="center"/>
              <w:rPr>
                <w:rFonts w:ascii="Times New Roman" w:eastAsia="Times New Roman" w:hAnsi="Times New Roman" w:cs="Times New Roman"/>
                <w:b/>
                <w:sz w:val="20"/>
                <w:szCs w:val="20"/>
                <w:lang w:val="lt-LT"/>
              </w:rPr>
            </w:pPr>
            <w:r w:rsidRPr="00222F32">
              <w:rPr>
                <w:rFonts w:ascii="Times New Roman" w:eastAsia="Times New Roman" w:hAnsi="Times New Roman" w:cs="Times New Roman"/>
                <w:b/>
                <w:sz w:val="20"/>
                <w:szCs w:val="20"/>
                <w:lang w:val="lt-LT"/>
              </w:rPr>
              <w:t>21,4</w:t>
            </w:r>
          </w:p>
        </w:tc>
        <w:tc>
          <w:tcPr>
            <w:tcW w:w="2804" w:type="dxa"/>
            <w:shd w:val="clear" w:color="auto" w:fill="auto"/>
            <w:tcMar>
              <w:top w:w="0" w:type="dxa"/>
              <w:left w:w="108" w:type="dxa"/>
              <w:bottom w:w="0" w:type="dxa"/>
              <w:right w:w="108" w:type="dxa"/>
            </w:tcMar>
            <w:vAlign w:val="bottom"/>
          </w:tcPr>
          <w:p w14:paraId="3B01FC03" w14:textId="77777777" w:rsidR="00222F32" w:rsidRPr="00222F32" w:rsidRDefault="00222F32" w:rsidP="00401A5B">
            <w:pPr>
              <w:jc w:val="center"/>
              <w:rPr>
                <w:rFonts w:ascii="Times New Roman" w:eastAsia="Times New Roman" w:hAnsi="Times New Roman" w:cs="Times New Roman"/>
                <w:b/>
                <w:sz w:val="20"/>
                <w:szCs w:val="20"/>
                <w:lang w:val="lt-LT"/>
              </w:rPr>
            </w:pPr>
            <w:r w:rsidRPr="00222F32">
              <w:rPr>
                <w:rFonts w:ascii="Times New Roman" w:eastAsia="Times New Roman" w:hAnsi="Times New Roman" w:cs="Times New Roman"/>
                <w:b/>
                <w:sz w:val="20"/>
                <w:szCs w:val="20"/>
                <w:lang w:val="lt-LT"/>
              </w:rPr>
              <w:t>15,8</w:t>
            </w:r>
          </w:p>
        </w:tc>
        <w:tc>
          <w:tcPr>
            <w:tcW w:w="1374" w:type="dxa"/>
            <w:shd w:val="clear" w:color="auto" w:fill="auto"/>
            <w:tcMar>
              <w:top w:w="0" w:type="dxa"/>
              <w:left w:w="108" w:type="dxa"/>
              <w:bottom w:w="0" w:type="dxa"/>
              <w:right w:w="108" w:type="dxa"/>
            </w:tcMar>
            <w:vAlign w:val="bottom"/>
          </w:tcPr>
          <w:p w14:paraId="562DE36B" w14:textId="77777777" w:rsidR="00222F32" w:rsidRPr="00222F32" w:rsidRDefault="00222F32" w:rsidP="00401A5B">
            <w:pPr>
              <w:jc w:val="center"/>
              <w:rPr>
                <w:rFonts w:ascii="Times New Roman" w:eastAsia="Times New Roman" w:hAnsi="Times New Roman" w:cs="Times New Roman"/>
                <w:b/>
                <w:sz w:val="20"/>
                <w:szCs w:val="20"/>
              </w:rPr>
            </w:pPr>
            <w:r w:rsidRPr="00222F32">
              <w:rPr>
                <w:rFonts w:ascii="Times New Roman" w:eastAsia="Times New Roman" w:hAnsi="Times New Roman" w:cs="Times New Roman"/>
                <w:b/>
                <w:sz w:val="20"/>
                <w:szCs w:val="20"/>
              </w:rPr>
              <w:t>-26,0</w:t>
            </w:r>
          </w:p>
        </w:tc>
      </w:tr>
      <w:tr w:rsidR="00222F32" w:rsidRPr="00222F32" w14:paraId="018DAD44" w14:textId="77777777" w:rsidTr="00222F32">
        <w:trPr>
          <w:trHeight w:val="228"/>
          <w:jc w:val="center"/>
        </w:trPr>
        <w:tc>
          <w:tcPr>
            <w:tcW w:w="2060" w:type="dxa"/>
            <w:shd w:val="clear" w:color="auto" w:fill="auto"/>
            <w:tcMar>
              <w:top w:w="0" w:type="dxa"/>
              <w:left w:w="108" w:type="dxa"/>
              <w:bottom w:w="0" w:type="dxa"/>
              <w:right w:w="108" w:type="dxa"/>
            </w:tcMar>
            <w:hideMark/>
          </w:tcPr>
          <w:p w14:paraId="270F7E70" w14:textId="77777777" w:rsidR="00222F32" w:rsidRPr="00222F32" w:rsidRDefault="00222F32" w:rsidP="00401A5B">
            <w:pPr>
              <w:rPr>
                <w:rFonts w:ascii="Times New Roman" w:eastAsia="Times New Roman" w:hAnsi="Times New Roman" w:cs="Times New Roman"/>
                <w:b/>
                <w:sz w:val="20"/>
                <w:szCs w:val="20"/>
                <w:lang w:eastAsia="en-US"/>
              </w:rPr>
            </w:pPr>
            <w:r w:rsidRPr="00222F32">
              <w:rPr>
                <w:rFonts w:ascii="Times New Roman" w:eastAsia="Times New Roman" w:hAnsi="Times New Roman" w:cs="Times New Roman"/>
                <w:b/>
                <w:sz w:val="20"/>
                <w:szCs w:val="20"/>
                <w:lang w:eastAsia="en-US"/>
              </w:rPr>
              <w:t>Ventspils</w:t>
            </w:r>
          </w:p>
        </w:tc>
        <w:tc>
          <w:tcPr>
            <w:tcW w:w="2804" w:type="dxa"/>
            <w:shd w:val="clear" w:color="auto" w:fill="auto"/>
            <w:tcMar>
              <w:top w:w="0" w:type="dxa"/>
              <w:left w:w="108" w:type="dxa"/>
              <w:bottom w:w="0" w:type="dxa"/>
              <w:right w:w="108" w:type="dxa"/>
            </w:tcMar>
            <w:vAlign w:val="bottom"/>
            <w:hideMark/>
          </w:tcPr>
          <w:p w14:paraId="187244A3" w14:textId="77777777" w:rsidR="00222F32" w:rsidRPr="00222F32" w:rsidRDefault="00222F32" w:rsidP="00401A5B">
            <w:pPr>
              <w:jc w:val="center"/>
              <w:rPr>
                <w:rFonts w:ascii="Times New Roman" w:eastAsia="Times New Roman" w:hAnsi="Times New Roman" w:cs="Times New Roman"/>
                <w:b/>
                <w:sz w:val="20"/>
                <w:szCs w:val="20"/>
                <w:lang w:val="lt-LT"/>
              </w:rPr>
            </w:pPr>
            <w:r w:rsidRPr="00222F32">
              <w:rPr>
                <w:rFonts w:ascii="Times New Roman" w:eastAsia="Times New Roman" w:hAnsi="Times New Roman" w:cs="Times New Roman"/>
                <w:b/>
                <w:sz w:val="20"/>
                <w:szCs w:val="20"/>
                <w:lang w:val="lt-LT"/>
              </w:rPr>
              <w:t>15,0</w:t>
            </w:r>
          </w:p>
        </w:tc>
        <w:tc>
          <w:tcPr>
            <w:tcW w:w="2804" w:type="dxa"/>
            <w:shd w:val="clear" w:color="auto" w:fill="auto"/>
            <w:tcMar>
              <w:top w:w="0" w:type="dxa"/>
              <w:left w:w="108" w:type="dxa"/>
              <w:bottom w:w="0" w:type="dxa"/>
              <w:right w:w="108" w:type="dxa"/>
            </w:tcMar>
            <w:vAlign w:val="bottom"/>
            <w:hideMark/>
          </w:tcPr>
          <w:p w14:paraId="72BFF2A9" w14:textId="77777777" w:rsidR="00222F32" w:rsidRPr="00222F32" w:rsidRDefault="00222F32" w:rsidP="00401A5B">
            <w:pPr>
              <w:jc w:val="center"/>
              <w:rPr>
                <w:rFonts w:ascii="Times New Roman" w:eastAsia="Times New Roman" w:hAnsi="Times New Roman" w:cs="Times New Roman"/>
                <w:b/>
                <w:sz w:val="20"/>
                <w:szCs w:val="20"/>
                <w:lang w:val="lt-LT"/>
              </w:rPr>
            </w:pPr>
            <w:r w:rsidRPr="00222F32">
              <w:rPr>
                <w:rFonts w:ascii="Times New Roman" w:eastAsia="Times New Roman" w:hAnsi="Times New Roman" w:cs="Times New Roman"/>
                <w:b/>
                <w:sz w:val="20"/>
                <w:szCs w:val="20"/>
                <w:lang w:val="lt-LT"/>
              </w:rPr>
              <w:t>8,8</w:t>
            </w:r>
          </w:p>
        </w:tc>
        <w:tc>
          <w:tcPr>
            <w:tcW w:w="1374" w:type="dxa"/>
            <w:shd w:val="clear" w:color="auto" w:fill="auto"/>
            <w:tcMar>
              <w:top w:w="0" w:type="dxa"/>
              <w:left w:w="108" w:type="dxa"/>
              <w:bottom w:w="0" w:type="dxa"/>
              <w:right w:w="108" w:type="dxa"/>
            </w:tcMar>
            <w:vAlign w:val="bottom"/>
            <w:hideMark/>
          </w:tcPr>
          <w:p w14:paraId="48CD283E" w14:textId="77777777" w:rsidR="00222F32" w:rsidRPr="00222F32" w:rsidRDefault="00222F32" w:rsidP="00401A5B">
            <w:pPr>
              <w:jc w:val="center"/>
              <w:rPr>
                <w:rFonts w:ascii="Times New Roman" w:eastAsia="Times New Roman" w:hAnsi="Times New Roman" w:cs="Times New Roman"/>
                <w:b/>
                <w:sz w:val="20"/>
                <w:szCs w:val="20"/>
              </w:rPr>
            </w:pPr>
            <w:r w:rsidRPr="00222F32">
              <w:rPr>
                <w:rFonts w:ascii="Times New Roman" w:eastAsia="Times New Roman" w:hAnsi="Times New Roman" w:cs="Times New Roman"/>
                <w:b/>
                <w:sz w:val="20"/>
                <w:szCs w:val="20"/>
              </w:rPr>
              <w:t>-41,5</w:t>
            </w:r>
          </w:p>
        </w:tc>
      </w:tr>
      <w:tr w:rsidR="00222F32" w:rsidRPr="00222F32" w14:paraId="20510443" w14:textId="77777777" w:rsidTr="00222F32">
        <w:trPr>
          <w:trHeight w:val="73"/>
          <w:jc w:val="center"/>
        </w:trPr>
        <w:tc>
          <w:tcPr>
            <w:tcW w:w="2060" w:type="dxa"/>
            <w:shd w:val="clear" w:color="auto" w:fill="auto"/>
            <w:tcMar>
              <w:top w:w="0" w:type="dxa"/>
              <w:left w:w="108" w:type="dxa"/>
              <w:bottom w:w="0" w:type="dxa"/>
              <w:right w:w="108" w:type="dxa"/>
            </w:tcMar>
            <w:hideMark/>
          </w:tcPr>
          <w:p w14:paraId="333CBBE8" w14:textId="77777777" w:rsidR="00222F32" w:rsidRPr="00222F32" w:rsidRDefault="00222F32" w:rsidP="00401A5B">
            <w:pPr>
              <w:rPr>
                <w:rFonts w:ascii="Times New Roman" w:eastAsia="Times New Roman" w:hAnsi="Times New Roman" w:cs="Times New Roman"/>
                <w:sz w:val="20"/>
                <w:szCs w:val="20"/>
                <w:lang w:eastAsia="en-US"/>
              </w:rPr>
            </w:pPr>
            <w:r w:rsidRPr="00222F32">
              <w:rPr>
                <w:rFonts w:ascii="Times New Roman" w:eastAsia="Times New Roman" w:hAnsi="Times New Roman" w:cs="Times New Roman"/>
                <w:sz w:val="20"/>
                <w:szCs w:val="20"/>
                <w:lang w:eastAsia="en-US"/>
              </w:rPr>
              <w:t>Visocka</w:t>
            </w:r>
          </w:p>
        </w:tc>
        <w:tc>
          <w:tcPr>
            <w:tcW w:w="2804" w:type="dxa"/>
            <w:shd w:val="clear" w:color="auto" w:fill="auto"/>
            <w:tcMar>
              <w:top w:w="0" w:type="dxa"/>
              <w:left w:w="108" w:type="dxa"/>
              <w:bottom w:w="0" w:type="dxa"/>
              <w:right w:w="108" w:type="dxa"/>
            </w:tcMar>
            <w:vAlign w:val="bottom"/>
            <w:hideMark/>
          </w:tcPr>
          <w:p w14:paraId="3C018195"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12,8</w:t>
            </w:r>
          </w:p>
        </w:tc>
        <w:tc>
          <w:tcPr>
            <w:tcW w:w="2804" w:type="dxa"/>
            <w:shd w:val="clear" w:color="auto" w:fill="auto"/>
            <w:tcMar>
              <w:top w:w="0" w:type="dxa"/>
              <w:left w:w="108" w:type="dxa"/>
              <w:bottom w:w="0" w:type="dxa"/>
              <w:right w:w="108" w:type="dxa"/>
            </w:tcMar>
            <w:vAlign w:val="bottom"/>
            <w:hideMark/>
          </w:tcPr>
          <w:p w14:paraId="20D50F5A"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12,0</w:t>
            </w:r>
          </w:p>
        </w:tc>
        <w:tc>
          <w:tcPr>
            <w:tcW w:w="1374" w:type="dxa"/>
            <w:shd w:val="clear" w:color="auto" w:fill="auto"/>
            <w:tcMar>
              <w:top w:w="0" w:type="dxa"/>
              <w:left w:w="108" w:type="dxa"/>
              <w:bottom w:w="0" w:type="dxa"/>
              <w:right w:w="108" w:type="dxa"/>
            </w:tcMar>
            <w:vAlign w:val="bottom"/>
            <w:hideMark/>
          </w:tcPr>
          <w:p w14:paraId="28BAC62A" w14:textId="77777777" w:rsidR="00222F32" w:rsidRPr="00222F32" w:rsidRDefault="00222F32" w:rsidP="00401A5B">
            <w:pPr>
              <w:jc w:val="center"/>
              <w:rPr>
                <w:rFonts w:ascii="Times New Roman" w:eastAsia="Times New Roman" w:hAnsi="Times New Roman" w:cs="Times New Roman"/>
                <w:sz w:val="20"/>
                <w:szCs w:val="20"/>
              </w:rPr>
            </w:pPr>
            <w:r w:rsidRPr="00222F32">
              <w:rPr>
                <w:rFonts w:ascii="Times New Roman" w:eastAsia="Times New Roman" w:hAnsi="Times New Roman" w:cs="Times New Roman"/>
                <w:sz w:val="20"/>
                <w:szCs w:val="20"/>
              </w:rPr>
              <w:t>-6,1</w:t>
            </w:r>
          </w:p>
        </w:tc>
      </w:tr>
      <w:tr w:rsidR="00222F32" w:rsidRPr="00222F32" w14:paraId="275756AE" w14:textId="77777777" w:rsidTr="00222F32">
        <w:trPr>
          <w:trHeight w:val="228"/>
          <w:jc w:val="center"/>
        </w:trPr>
        <w:tc>
          <w:tcPr>
            <w:tcW w:w="2060" w:type="dxa"/>
            <w:shd w:val="clear" w:color="auto" w:fill="auto"/>
            <w:tcMar>
              <w:top w:w="0" w:type="dxa"/>
              <w:left w:w="108" w:type="dxa"/>
              <w:bottom w:w="0" w:type="dxa"/>
              <w:right w:w="108" w:type="dxa"/>
            </w:tcMar>
          </w:tcPr>
          <w:p w14:paraId="5F1D515C" w14:textId="77777777" w:rsidR="00222F32" w:rsidRPr="00222F32" w:rsidRDefault="00222F32" w:rsidP="00401A5B">
            <w:pPr>
              <w:rPr>
                <w:rFonts w:ascii="Times New Roman" w:eastAsia="Times New Roman" w:hAnsi="Times New Roman" w:cs="Times New Roman"/>
                <w:sz w:val="20"/>
                <w:szCs w:val="20"/>
                <w:lang w:eastAsia="en-US"/>
              </w:rPr>
            </w:pPr>
            <w:r w:rsidRPr="00222F32">
              <w:rPr>
                <w:rFonts w:ascii="Times New Roman" w:eastAsia="Times New Roman" w:hAnsi="Times New Roman" w:cs="Times New Roman"/>
                <w:sz w:val="20"/>
                <w:szCs w:val="20"/>
                <w:lang w:eastAsia="en-US"/>
              </w:rPr>
              <w:t>Kaļiņingrada</w:t>
            </w:r>
          </w:p>
        </w:tc>
        <w:tc>
          <w:tcPr>
            <w:tcW w:w="2804" w:type="dxa"/>
            <w:shd w:val="clear" w:color="auto" w:fill="auto"/>
            <w:tcMar>
              <w:top w:w="0" w:type="dxa"/>
              <w:left w:w="108" w:type="dxa"/>
              <w:bottom w:w="0" w:type="dxa"/>
              <w:right w:w="108" w:type="dxa"/>
            </w:tcMar>
            <w:vAlign w:val="bottom"/>
          </w:tcPr>
          <w:p w14:paraId="02C71A28"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7,7</w:t>
            </w:r>
          </w:p>
        </w:tc>
        <w:tc>
          <w:tcPr>
            <w:tcW w:w="2804" w:type="dxa"/>
            <w:shd w:val="clear" w:color="auto" w:fill="auto"/>
            <w:tcMar>
              <w:top w:w="0" w:type="dxa"/>
              <w:left w:w="108" w:type="dxa"/>
              <w:bottom w:w="0" w:type="dxa"/>
              <w:right w:w="108" w:type="dxa"/>
            </w:tcMar>
            <w:vAlign w:val="bottom"/>
          </w:tcPr>
          <w:p w14:paraId="2B431AF1" w14:textId="77777777" w:rsidR="00222F32" w:rsidRPr="00222F32" w:rsidRDefault="00222F32" w:rsidP="00401A5B">
            <w:pPr>
              <w:jc w:val="center"/>
              <w:rPr>
                <w:rFonts w:ascii="Times New Roman" w:eastAsia="Times New Roman" w:hAnsi="Times New Roman" w:cs="Times New Roman"/>
                <w:sz w:val="20"/>
                <w:szCs w:val="20"/>
                <w:lang w:val="lt-LT"/>
              </w:rPr>
            </w:pPr>
            <w:r w:rsidRPr="00222F32">
              <w:rPr>
                <w:rFonts w:ascii="Times New Roman" w:eastAsia="Times New Roman" w:hAnsi="Times New Roman" w:cs="Times New Roman"/>
                <w:sz w:val="20"/>
                <w:szCs w:val="20"/>
                <w:lang w:val="lt-LT"/>
              </w:rPr>
              <w:t>7,1</w:t>
            </w:r>
          </w:p>
        </w:tc>
        <w:tc>
          <w:tcPr>
            <w:tcW w:w="1374" w:type="dxa"/>
            <w:shd w:val="clear" w:color="auto" w:fill="auto"/>
            <w:tcMar>
              <w:top w:w="0" w:type="dxa"/>
              <w:left w:w="108" w:type="dxa"/>
              <w:bottom w:w="0" w:type="dxa"/>
              <w:right w:w="108" w:type="dxa"/>
            </w:tcMar>
            <w:vAlign w:val="bottom"/>
          </w:tcPr>
          <w:p w14:paraId="486D620D" w14:textId="77777777" w:rsidR="00222F32" w:rsidRPr="00222F32" w:rsidRDefault="00222F32" w:rsidP="00401A5B">
            <w:pPr>
              <w:jc w:val="center"/>
              <w:rPr>
                <w:rFonts w:ascii="Times New Roman" w:eastAsia="Times New Roman" w:hAnsi="Times New Roman" w:cs="Times New Roman"/>
                <w:sz w:val="20"/>
                <w:szCs w:val="20"/>
              </w:rPr>
            </w:pPr>
            <w:r w:rsidRPr="00222F32">
              <w:rPr>
                <w:rFonts w:ascii="Times New Roman" w:eastAsia="Times New Roman" w:hAnsi="Times New Roman" w:cs="Times New Roman"/>
                <w:sz w:val="20"/>
                <w:szCs w:val="20"/>
              </w:rPr>
              <w:t>-7,2</w:t>
            </w:r>
          </w:p>
        </w:tc>
      </w:tr>
      <w:tr w:rsidR="00222F32" w:rsidRPr="00222F32" w14:paraId="49C8403A" w14:textId="77777777" w:rsidTr="00222F32">
        <w:trPr>
          <w:trHeight w:val="228"/>
          <w:jc w:val="center"/>
        </w:trPr>
        <w:tc>
          <w:tcPr>
            <w:tcW w:w="2060" w:type="dxa"/>
            <w:shd w:val="clear" w:color="auto" w:fill="auto"/>
            <w:tcMar>
              <w:top w:w="0" w:type="dxa"/>
              <w:left w:w="108" w:type="dxa"/>
              <w:bottom w:w="0" w:type="dxa"/>
              <w:right w:w="108" w:type="dxa"/>
            </w:tcMar>
          </w:tcPr>
          <w:p w14:paraId="5CA50F66" w14:textId="77777777" w:rsidR="00222F32" w:rsidRPr="00222F32" w:rsidRDefault="00222F32" w:rsidP="00401A5B">
            <w:pPr>
              <w:rPr>
                <w:rFonts w:ascii="Times New Roman" w:eastAsia="Times New Roman" w:hAnsi="Times New Roman" w:cs="Times New Roman"/>
                <w:b/>
                <w:sz w:val="20"/>
                <w:szCs w:val="20"/>
                <w:lang w:eastAsia="en-US"/>
              </w:rPr>
            </w:pPr>
            <w:r w:rsidRPr="00222F32">
              <w:rPr>
                <w:rFonts w:ascii="Times New Roman" w:eastAsia="Times New Roman" w:hAnsi="Times New Roman" w:cs="Times New Roman"/>
                <w:b/>
                <w:sz w:val="20"/>
                <w:szCs w:val="20"/>
                <w:lang w:eastAsia="en-US"/>
              </w:rPr>
              <w:t>Liepāja</w:t>
            </w:r>
          </w:p>
        </w:tc>
        <w:tc>
          <w:tcPr>
            <w:tcW w:w="2804" w:type="dxa"/>
            <w:shd w:val="clear" w:color="auto" w:fill="auto"/>
            <w:tcMar>
              <w:top w:w="0" w:type="dxa"/>
              <w:left w:w="108" w:type="dxa"/>
              <w:bottom w:w="0" w:type="dxa"/>
              <w:right w:w="108" w:type="dxa"/>
            </w:tcMar>
            <w:vAlign w:val="bottom"/>
          </w:tcPr>
          <w:p w14:paraId="434CB31E" w14:textId="77777777" w:rsidR="00222F32" w:rsidRPr="00222F32" w:rsidRDefault="00222F32" w:rsidP="00401A5B">
            <w:pPr>
              <w:jc w:val="center"/>
              <w:rPr>
                <w:rFonts w:ascii="Times New Roman" w:eastAsia="Times New Roman" w:hAnsi="Times New Roman" w:cs="Times New Roman"/>
                <w:b/>
                <w:sz w:val="20"/>
                <w:szCs w:val="20"/>
                <w:lang w:val="lt-LT"/>
              </w:rPr>
            </w:pPr>
            <w:r w:rsidRPr="00222F32">
              <w:rPr>
                <w:rFonts w:ascii="Times New Roman" w:eastAsia="Times New Roman" w:hAnsi="Times New Roman" w:cs="Times New Roman"/>
                <w:b/>
                <w:sz w:val="20"/>
                <w:szCs w:val="20"/>
                <w:lang w:val="lt-LT"/>
              </w:rPr>
              <w:t>4,6</w:t>
            </w:r>
          </w:p>
        </w:tc>
        <w:tc>
          <w:tcPr>
            <w:tcW w:w="2804" w:type="dxa"/>
            <w:shd w:val="clear" w:color="auto" w:fill="auto"/>
            <w:tcMar>
              <w:top w:w="0" w:type="dxa"/>
              <w:left w:w="108" w:type="dxa"/>
              <w:bottom w:w="0" w:type="dxa"/>
              <w:right w:w="108" w:type="dxa"/>
            </w:tcMar>
            <w:vAlign w:val="bottom"/>
          </w:tcPr>
          <w:p w14:paraId="7080516C" w14:textId="77777777" w:rsidR="00222F32" w:rsidRPr="00222F32" w:rsidRDefault="00222F32" w:rsidP="00401A5B">
            <w:pPr>
              <w:jc w:val="center"/>
              <w:rPr>
                <w:rFonts w:ascii="Times New Roman" w:eastAsia="Times New Roman" w:hAnsi="Times New Roman" w:cs="Times New Roman"/>
                <w:b/>
                <w:sz w:val="20"/>
                <w:szCs w:val="20"/>
                <w:lang w:val="lt-LT"/>
              </w:rPr>
            </w:pPr>
            <w:r w:rsidRPr="00222F32">
              <w:rPr>
                <w:rFonts w:ascii="Times New Roman" w:eastAsia="Times New Roman" w:hAnsi="Times New Roman" w:cs="Times New Roman"/>
                <w:b/>
                <w:sz w:val="20"/>
                <w:szCs w:val="20"/>
                <w:lang w:val="lt-LT"/>
              </w:rPr>
              <w:t>4,0</w:t>
            </w:r>
          </w:p>
        </w:tc>
        <w:tc>
          <w:tcPr>
            <w:tcW w:w="1374" w:type="dxa"/>
            <w:shd w:val="clear" w:color="auto" w:fill="auto"/>
            <w:tcMar>
              <w:top w:w="0" w:type="dxa"/>
              <w:left w:w="108" w:type="dxa"/>
              <w:bottom w:w="0" w:type="dxa"/>
              <w:right w:w="108" w:type="dxa"/>
            </w:tcMar>
            <w:vAlign w:val="bottom"/>
          </w:tcPr>
          <w:p w14:paraId="05C0A00A" w14:textId="77777777" w:rsidR="00222F32" w:rsidRPr="00222F32" w:rsidRDefault="00222F32" w:rsidP="00401A5B">
            <w:pPr>
              <w:jc w:val="center"/>
              <w:rPr>
                <w:rFonts w:ascii="Times New Roman" w:eastAsia="Times New Roman" w:hAnsi="Times New Roman" w:cs="Times New Roman"/>
                <w:b/>
                <w:sz w:val="20"/>
                <w:szCs w:val="20"/>
              </w:rPr>
            </w:pPr>
            <w:r w:rsidRPr="00222F32">
              <w:rPr>
                <w:rFonts w:ascii="Times New Roman" w:eastAsia="Times New Roman" w:hAnsi="Times New Roman" w:cs="Times New Roman"/>
                <w:b/>
                <w:sz w:val="20"/>
                <w:szCs w:val="20"/>
              </w:rPr>
              <w:t>-14,0</w:t>
            </w:r>
          </w:p>
        </w:tc>
      </w:tr>
    </w:tbl>
    <w:p w14:paraId="2254CB70" w14:textId="77777777" w:rsidR="00222F32" w:rsidRPr="00222F32" w:rsidRDefault="00222F32" w:rsidP="00401A5B">
      <w:pPr>
        <w:ind w:firstLine="709"/>
        <w:jc w:val="both"/>
        <w:rPr>
          <w:rFonts w:ascii="Times New Roman" w:eastAsia="Times New Roman" w:hAnsi="Times New Roman" w:cs="Times New Roman"/>
          <w:sz w:val="28"/>
          <w:szCs w:val="28"/>
          <w:lang w:eastAsia="en-US"/>
        </w:rPr>
      </w:pPr>
    </w:p>
    <w:p w14:paraId="2A0D3D6A" w14:textId="62DC78F3" w:rsidR="00222F32" w:rsidRPr="00222F32" w:rsidRDefault="00222F32" w:rsidP="00401A5B">
      <w:pPr>
        <w:ind w:firstLine="709"/>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 xml:space="preserve">Aviopārvadājumu nozarē, pēc spēcīga pieauguma gada pirmajos divos mēnešos pasažieru skaits lidostā </w:t>
      </w:r>
      <w:r w:rsidR="00531FC5">
        <w:rPr>
          <w:rFonts w:ascii="Times New Roman" w:eastAsia="Times New Roman" w:hAnsi="Times New Roman" w:cs="Times New Roman"/>
          <w:sz w:val="28"/>
          <w:szCs w:val="28"/>
          <w:lang w:eastAsia="en-US"/>
        </w:rPr>
        <w:t>“Rīgā”</w:t>
      </w:r>
      <w:r w:rsidRPr="00222F32">
        <w:rPr>
          <w:rFonts w:ascii="Times New Roman" w:eastAsia="Times New Roman" w:hAnsi="Times New Roman" w:cs="Times New Roman"/>
          <w:sz w:val="28"/>
          <w:szCs w:val="28"/>
          <w:lang w:eastAsia="en-US"/>
        </w:rPr>
        <w:t xml:space="preserve"> pēc ārkārtas stāvokļa ieviešanas martā samazinājās par 55,7%, bet otrajā ceturksnī kritās jau par 96,8%, salīdzinot ar iepriekšējā gada attiecīgo ceturksni. Arī jūlijā, aviopārvadājumiem uz Eiropas valstīm pakāpeniski atjaunojoties, kopējais lidostā apkalpoto pasažieru skaits joprojām bija par 77,5% mazāks nekā attiecīgajā mēnesī pirms gada. Starptautisko pasažieru pārvadājumu ierobežošana skāra arī jūras ostas, kur apkalpoto pasažieru skaits gada pirmajā pusē bija par 59,6% mazāks nekā 2019.gada attiecīgajā laika posmā, bet otrajā ceturksnī kritums pat bija sasniedzis 85,7%.</w:t>
      </w:r>
    </w:p>
    <w:p w14:paraId="58F9C80C" w14:textId="17C2D684" w:rsidR="00222F32" w:rsidRDefault="00222F32" w:rsidP="00401A5B">
      <w:pPr>
        <w:ind w:firstLine="709"/>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Ārkārtas situācijas laikā no marta līdz jūnijam, krītoties mobilitātei un pieprasījumam pēc pārvietošanās arī Latvijas robežās, krasi samazinājās arī sauszemes pasažieru transportā pārvadāto pasažieru skaits. Gada pirmajā pusē kopā pasažieru skaits dzelzceļā kritās par 31,8%, autobusos – par 40,0%, tramvajos – par 45% un trolejbusos – par 31,5%. Pasažieru skaita dinamika galvenajos transporta veidos laikā no 2010.gada parādīta 1.16.attēlā.</w:t>
      </w:r>
    </w:p>
    <w:p w14:paraId="28AC427F" w14:textId="77777777" w:rsidR="00531FC5" w:rsidRPr="00222F32" w:rsidRDefault="00531FC5" w:rsidP="00401A5B">
      <w:pPr>
        <w:ind w:firstLine="709"/>
        <w:jc w:val="center"/>
        <w:rPr>
          <w:rFonts w:ascii="Times New Roman" w:eastAsia="Times New Roman" w:hAnsi="Times New Roman" w:cs="Times New Roman"/>
          <w:sz w:val="28"/>
          <w:szCs w:val="28"/>
          <w:lang w:eastAsia="en-US"/>
        </w:rPr>
      </w:pPr>
    </w:p>
    <w:p w14:paraId="017C6B93" w14:textId="77777777" w:rsidR="00222F32" w:rsidRPr="00222F32" w:rsidRDefault="00222F32" w:rsidP="00401A5B">
      <w:pPr>
        <w:jc w:val="center"/>
        <w:rPr>
          <w:rFonts w:ascii="Times New Roman" w:eastAsia="Times New Roman" w:hAnsi="Times New Roman" w:cs="Times New Roman"/>
          <w:sz w:val="28"/>
          <w:szCs w:val="28"/>
          <w:lang w:eastAsia="en-US"/>
        </w:rPr>
      </w:pPr>
      <w:r w:rsidRPr="00222F32">
        <w:rPr>
          <w:noProof/>
        </w:rPr>
        <w:drawing>
          <wp:inline distT="0" distB="0" distL="0" distR="0" wp14:anchorId="6032A0EF" wp14:editId="1154DE99">
            <wp:extent cx="5267325" cy="2590165"/>
            <wp:effectExtent l="0" t="0" r="0" b="6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379982" w14:textId="486D2FB2" w:rsidR="00222F32" w:rsidRPr="00222F32" w:rsidRDefault="00222F32" w:rsidP="00401A5B">
      <w:pPr>
        <w:jc w:val="center"/>
        <w:rPr>
          <w:rFonts w:ascii="Times New Roman" w:eastAsia="Times New Roman" w:hAnsi="Times New Roman" w:cs="Times New Roman"/>
          <w:b/>
          <w:i/>
          <w:sz w:val="24"/>
          <w:szCs w:val="24"/>
          <w:lang w:eastAsia="en-US"/>
        </w:rPr>
      </w:pPr>
      <w:r w:rsidRPr="00222F32">
        <w:rPr>
          <w:rFonts w:ascii="Times New Roman" w:eastAsia="Times New Roman" w:hAnsi="Times New Roman" w:cs="Times New Roman"/>
          <w:b/>
          <w:i/>
          <w:sz w:val="24"/>
          <w:szCs w:val="24"/>
          <w:lang w:eastAsia="en-US"/>
        </w:rPr>
        <w:t>1.16</w:t>
      </w:r>
      <w:r w:rsidR="00531FC5">
        <w:rPr>
          <w:rFonts w:ascii="Times New Roman" w:eastAsia="Times New Roman" w:hAnsi="Times New Roman" w:cs="Times New Roman"/>
          <w:b/>
          <w:i/>
          <w:sz w:val="24"/>
          <w:szCs w:val="24"/>
          <w:lang w:eastAsia="en-US"/>
        </w:rPr>
        <w:t>.</w:t>
      </w:r>
      <w:r w:rsidRPr="00222F32">
        <w:rPr>
          <w:rFonts w:ascii="Times New Roman" w:eastAsia="Times New Roman" w:hAnsi="Times New Roman" w:cs="Times New Roman"/>
          <w:b/>
          <w:i/>
          <w:sz w:val="24"/>
          <w:szCs w:val="24"/>
          <w:lang w:eastAsia="en-US"/>
        </w:rPr>
        <w:t>att. Pasažieru skaita indekss galvenajos transporta veidos</w:t>
      </w:r>
      <w:r w:rsidRPr="00222F32">
        <w:rPr>
          <w:rFonts w:ascii="Times New Roman" w:eastAsia="Times New Roman" w:hAnsi="Times New Roman" w:cs="Times New Roman"/>
          <w:b/>
          <w:i/>
          <w:sz w:val="24"/>
          <w:szCs w:val="24"/>
          <w:lang w:eastAsia="en-US"/>
        </w:rPr>
        <w:br/>
        <w:t>(2010.gada 1.pusgads=1)</w:t>
      </w:r>
    </w:p>
    <w:p w14:paraId="7908BF0E" w14:textId="77777777" w:rsidR="00222F32" w:rsidRPr="00222F32" w:rsidRDefault="00222F32" w:rsidP="00401A5B">
      <w:pPr>
        <w:ind w:firstLine="720"/>
        <w:jc w:val="both"/>
        <w:rPr>
          <w:rFonts w:ascii="Times New Roman" w:eastAsia="Times New Roman" w:hAnsi="Times New Roman" w:cs="Times New Roman"/>
          <w:sz w:val="28"/>
          <w:szCs w:val="28"/>
          <w:lang w:eastAsia="en-US"/>
        </w:rPr>
      </w:pPr>
    </w:p>
    <w:p w14:paraId="5F967595" w14:textId="77777777" w:rsidR="00222F32" w:rsidRPr="00222F32" w:rsidRDefault="00222F32" w:rsidP="00401A5B">
      <w:pPr>
        <w:ind w:firstLine="720"/>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Covid-19 krīzes ietekmē šogad samazinājies arī kravu autopārvadājumu apjoms, kur kritums gan nav bijis tik dramatisks kā pasažieru pārvadājumos. Kravu apgrozība autotransportā gada pirmajos sešos mēnešos salīdzinājumā ar pagājušā gada attiecīgo periodu samazinājusies par 12,6% līdz 6,6 miljardiem tonnkilometru, ko noteicis kritums pārvadājumos ārvalstīs par 17,6%, kamēr iekšzemes pārvadājumi auguši par 12,6%.</w:t>
      </w:r>
    </w:p>
    <w:p w14:paraId="2A29B02B" w14:textId="77777777" w:rsidR="00222F32" w:rsidRPr="00222F32" w:rsidRDefault="00222F32" w:rsidP="00401A5B">
      <w:pPr>
        <w:ind w:firstLine="720"/>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Sagaidāms, ka gada otrajā pusē pasažieru pārvadājumu apjomi Latvijā pakāpeniski sāks atgriezties agrākajā līmenī, kamēr kravu tranzīta pārvadājumus turpinās negatīvi ietekmēt Krievijas kravu pārorientācijas politika, un kopumā transporta nozare 2020.gadā līdzās izmitināšanai un ēdināšanai, kā arī mākslai, izklaidei un atpūtai būs viena no tām nozarēm, kas būs noteikusi Latvijas ekonomikas kopējo kritumu. Augstais transporta un uzglabāšanas nozares īpatsvars ekonomikā un Krievijas tranzīta kravu krituma ietekme arī ir bijis viens no iemesliem, kāpēc Latvijas ekonomikas lejupslīde šā gada pirmajā pusē bijusi straujāka nekā Baltijas kaimiņvalstīs, kur transporta nozarē kritums bijis daudz mazāks, tajā skaitā Igaunijā transporta nozare gada pirmajā pusē samazinājusies tikai par 2,7%.</w:t>
      </w:r>
    </w:p>
    <w:p w14:paraId="1C582FB3" w14:textId="77777777" w:rsidR="00222F32" w:rsidRPr="00222F32" w:rsidRDefault="00222F32" w:rsidP="00401A5B">
      <w:pPr>
        <w:ind w:firstLine="720"/>
        <w:jc w:val="both"/>
        <w:rPr>
          <w:rFonts w:ascii="Times New Roman" w:eastAsia="Times New Roman" w:hAnsi="Times New Roman" w:cs="Times New Roman"/>
          <w:sz w:val="28"/>
          <w:szCs w:val="28"/>
          <w:lang w:eastAsia="en-US"/>
        </w:rPr>
      </w:pPr>
      <w:r w:rsidRPr="00222F32">
        <w:rPr>
          <w:rFonts w:ascii="Times New Roman" w:eastAsia="Times New Roman" w:hAnsi="Times New Roman" w:cs="Times New Roman"/>
          <w:sz w:val="28"/>
          <w:szCs w:val="28"/>
          <w:lang w:eastAsia="en-US"/>
        </w:rPr>
        <w:t>Arī nākamajā gadā pievienotās vērtības apjoms Latvijas transporta nozarē vēl neatgriezīsies 2019.gada līmenī, saglabājoties zemākiem aviopārvadājumu apjomiem un negatīvajām tendencēm sauszemes pasažieru pārvadājumos un kravu tranzītā caur ostām.</w:t>
      </w:r>
    </w:p>
    <w:p w14:paraId="0740F61D" w14:textId="77777777" w:rsidR="003F3FCD" w:rsidRDefault="003F3FCD" w:rsidP="00401A5B">
      <w:pPr>
        <w:widowControl w:val="0"/>
        <w:ind w:firstLine="720"/>
        <w:jc w:val="both"/>
        <w:rPr>
          <w:rFonts w:ascii="Times New Roman" w:eastAsia="Times New Roman" w:hAnsi="Times New Roman" w:cs="Times New Roman"/>
          <w:sz w:val="28"/>
        </w:rPr>
      </w:pPr>
    </w:p>
    <w:p w14:paraId="622E7134" w14:textId="77777777" w:rsidR="003F3FCD" w:rsidRPr="00531FC5" w:rsidRDefault="000548A5" w:rsidP="00401A5B">
      <w:pPr>
        <w:widowControl w:val="0"/>
        <w:jc w:val="center"/>
        <w:rPr>
          <w:rFonts w:ascii="Times New Roman" w:eastAsia="Times New Roman" w:hAnsi="Times New Roman" w:cs="Times New Roman"/>
          <w:b/>
          <w:sz w:val="28"/>
          <w:szCs w:val="24"/>
        </w:rPr>
      </w:pPr>
      <w:r w:rsidRPr="00531FC5">
        <w:rPr>
          <w:rFonts w:ascii="Times New Roman" w:eastAsia="Times New Roman" w:hAnsi="Times New Roman" w:cs="Times New Roman"/>
          <w:b/>
          <w:sz w:val="28"/>
          <w:szCs w:val="24"/>
        </w:rPr>
        <w:t>Būvniecība</w:t>
      </w:r>
    </w:p>
    <w:p w14:paraId="2AB9BA59" w14:textId="77777777" w:rsidR="003F3FCD" w:rsidRDefault="003F3FCD" w:rsidP="00401A5B">
      <w:pPr>
        <w:widowControl w:val="0"/>
        <w:jc w:val="center"/>
        <w:rPr>
          <w:rFonts w:ascii="Times New Roman" w:eastAsia="Times New Roman" w:hAnsi="Times New Roman" w:cs="Times New Roman"/>
          <w:b/>
          <w:sz w:val="28"/>
        </w:rPr>
      </w:pPr>
    </w:p>
    <w:p w14:paraId="2ADCDDE8" w14:textId="77777777" w:rsidR="00531FC5" w:rsidRPr="00531FC5" w:rsidRDefault="00531FC5" w:rsidP="00401A5B">
      <w:pPr>
        <w:ind w:firstLine="720"/>
        <w:jc w:val="both"/>
        <w:rPr>
          <w:rFonts w:ascii="Times New Roman" w:eastAsia="Times New Roman" w:hAnsi="Times New Roman" w:cs="Times New Roman"/>
          <w:sz w:val="28"/>
          <w:szCs w:val="28"/>
          <w:lang w:eastAsia="en-US"/>
        </w:rPr>
      </w:pPr>
      <w:r w:rsidRPr="00531FC5">
        <w:rPr>
          <w:rFonts w:ascii="Times New Roman" w:eastAsia="Times New Roman" w:hAnsi="Times New Roman" w:cs="Times New Roman"/>
          <w:sz w:val="28"/>
          <w:szCs w:val="28"/>
          <w:lang w:eastAsia="en-US"/>
        </w:rPr>
        <w:t>Pērn, būvniecībai uzrādot samērā vāju izaugsmi, salīdzinot ar iepriekšējiem diviem gadiem, kad nozarē tika reģistrēts divciparu pieaugums, nozares īpatsvars IKP pievienotās vērtības struktūrā saglabājās nemainīgs, veidojot 6,5%. Tajā pašā laikā 2019.gadā būtiski pieauga nozarē nodarbināto skaits – par 8,7%, salīdzinot ar 2018.gadu. Tādējādi būvniecības nozarē strādāja 81,1 tūkst. cilvēku jeb 8,9% no visiem tautsaimniecībā nodarbinātajiem.</w:t>
      </w:r>
    </w:p>
    <w:p w14:paraId="7639DA4E" w14:textId="77777777" w:rsidR="00531FC5" w:rsidRPr="00531FC5" w:rsidRDefault="00531FC5" w:rsidP="00401A5B">
      <w:pPr>
        <w:ind w:firstLine="720"/>
        <w:jc w:val="both"/>
        <w:rPr>
          <w:rFonts w:ascii="Times New Roman" w:eastAsia="Times New Roman" w:hAnsi="Times New Roman" w:cs="Times New Roman"/>
          <w:sz w:val="28"/>
          <w:szCs w:val="28"/>
          <w:lang w:eastAsia="en-US"/>
        </w:rPr>
      </w:pPr>
      <w:r w:rsidRPr="00531FC5">
        <w:rPr>
          <w:rFonts w:ascii="Times New Roman" w:eastAsia="Times New Roman" w:hAnsi="Times New Roman" w:cs="Times New Roman"/>
          <w:sz w:val="28"/>
          <w:szCs w:val="28"/>
          <w:lang w:eastAsia="en-US"/>
        </w:rPr>
        <w:t>2019.gadā būvniecības sektora izaugsme sabremzējās, uzrādot pieaugumu 2,9% apmērā (salīdzināmās cenās), ko noteica vājais inženierbūvniecības apjomu kāpums (+1,0%), ES fondu finansējumam nostabilizējoties iepriekšējā gada līmenī. Tikmēr ēku būvniecībā tika reģistrēts salīdzinoši spēcīgs pieaugums – par 7,8% gada griezumā, lai gan arī tas bija apmēram trīs reizes zemāks kāpums nekā 2017. un 2018.gadā.</w:t>
      </w:r>
    </w:p>
    <w:p w14:paraId="2478D80D" w14:textId="7FAD773E" w:rsidR="00531FC5" w:rsidRPr="00531FC5" w:rsidRDefault="00531FC5" w:rsidP="00401A5B">
      <w:pPr>
        <w:ind w:firstLine="720"/>
        <w:jc w:val="both"/>
        <w:rPr>
          <w:rFonts w:ascii="Times New Roman" w:eastAsia="Times New Roman" w:hAnsi="Times New Roman" w:cs="Times New Roman"/>
          <w:sz w:val="28"/>
          <w:szCs w:val="28"/>
          <w:lang w:eastAsia="en-US"/>
        </w:rPr>
      </w:pPr>
      <w:r w:rsidRPr="00531FC5">
        <w:rPr>
          <w:rFonts w:ascii="Times New Roman" w:eastAsia="Times New Roman" w:hAnsi="Times New Roman" w:cs="Times New Roman"/>
          <w:sz w:val="28"/>
          <w:szCs w:val="28"/>
          <w:lang w:eastAsia="en-US"/>
        </w:rPr>
        <w:t>Savukārt šā gada pirmajā pusgadā būvniecības sektora izaugsme bija spēcīgāka nekā pērn kopumā, salīdzinājumā ar 2019.gada pirmo pusgadu nozares apjomiem palielinoties par 5,5%. Tajā pašā laikā jāatzīmē, ka šādu būvniecības pieaugumu vidēji pusgadā noteica atšķirīgs nozares sniegums pirmajā un otrajā ceturksnī</w:t>
      </w:r>
      <w:r>
        <w:rPr>
          <w:rFonts w:ascii="Times New Roman" w:eastAsia="Times New Roman" w:hAnsi="Times New Roman" w:cs="Times New Roman"/>
          <w:sz w:val="28"/>
          <w:szCs w:val="28"/>
          <w:lang w:eastAsia="en-US"/>
        </w:rPr>
        <w:t>.</w:t>
      </w:r>
      <w:r w:rsidRPr="00531FC5">
        <w:rPr>
          <w:rFonts w:ascii="Times New Roman" w:eastAsia="Times New Roman" w:hAnsi="Times New Roman" w:cs="Times New Roman"/>
          <w:sz w:val="28"/>
          <w:szCs w:val="28"/>
          <w:lang w:eastAsia="en-US"/>
        </w:rPr>
        <w:t xml:space="preserve"> </w:t>
      </w:r>
    </w:p>
    <w:p w14:paraId="4B052BFC" w14:textId="77777777" w:rsidR="00531FC5" w:rsidRPr="00531FC5" w:rsidRDefault="00531FC5" w:rsidP="00401A5B">
      <w:pPr>
        <w:ind w:firstLine="720"/>
        <w:jc w:val="both"/>
        <w:rPr>
          <w:rFonts w:ascii="Times New Roman" w:eastAsia="Times New Roman" w:hAnsi="Times New Roman" w:cs="Times New Roman"/>
          <w:sz w:val="28"/>
          <w:szCs w:val="28"/>
          <w:lang w:eastAsia="en-US"/>
        </w:rPr>
      </w:pPr>
      <w:r w:rsidRPr="00531FC5">
        <w:rPr>
          <w:rFonts w:ascii="Times New Roman" w:eastAsia="Times New Roman" w:hAnsi="Times New Roman" w:cs="Times New Roman"/>
          <w:sz w:val="28"/>
          <w:szCs w:val="28"/>
          <w:lang w:eastAsia="en-US"/>
        </w:rPr>
        <w:t>2020.gada pirmajā ceturksnī būvniecības izlaide bija palielinājusies par 14,8%, kas arī noteica augsto  nozares izaugsmi pusgadā kopumā. Būvniecības pieaugumu pirmajā ceturksnī visvairāk veicinājis ēku celtniecības apjomu kāpums par 16,5%, pieaugot gan dzīvojamo, gan nedzīvojamo ēku celtniecībai. Pirmajā ceturksnī strauji palielinājās izaugsmes tempi  arī inženierbūvniecībā, salīdzinājumā ar pērnā gada attiecīgo periodu tās apjomiem pieaugot par 15,9%. Īpaši strauji pieauga ceļu un maģistrāļu būvniecība, kā arī ūdensapgādes sistēmu būvniecība. Specializēto būvdarbu apjomi šajā periodā bija par 9,7% augstāki nekā pirms gada.</w:t>
      </w:r>
    </w:p>
    <w:p w14:paraId="20754468" w14:textId="77777777" w:rsidR="00531FC5" w:rsidRPr="00531FC5" w:rsidRDefault="00531FC5" w:rsidP="00401A5B">
      <w:pPr>
        <w:ind w:firstLine="720"/>
        <w:jc w:val="both"/>
        <w:rPr>
          <w:rFonts w:ascii="Times New Roman" w:eastAsia="Times New Roman" w:hAnsi="Times New Roman" w:cs="Times New Roman"/>
          <w:sz w:val="28"/>
          <w:szCs w:val="28"/>
          <w:lang w:eastAsia="en-US"/>
        </w:rPr>
      </w:pPr>
      <w:r w:rsidRPr="00531FC5">
        <w:rPr>
          <w:rFonts w:ascii="Times New Roman" w:eastAsia="Times New Roman" w:hAnsi="Times New Roman" w:cs="Times New Roman"/>
          <w:sz w:val="28"/>
          <w:szCs w:val="28"/>
          <w:lang w:eastAsia="en-US"/>
        </w:rPr>
        <w:t>Toties šā gada otrajā ceturksnī būvniecības apjomi gada griezumā nedaudz samazinājās – par 0,6%. To noteica gan ēku celtniecības, gan inženierbūvniecības apjomu kritums attiecīgi par 5,0% un 7,7%. No ēku veidiem būvniecības apjomu sarukums tika reģistrēts dzīvojamo ēku, viesnīcu un tam līdzīga lietojuma ēku, kā arī rūpnieciskās ražošanas ēku un noliktavu celtniecībā. Tikmēr palielinājās biroja ēku un plašizklaides pasākumu, sporta ēku, muzeju un bibliotēku, izglītības iestāžu ēku būvniecības apjomi. Nozari no straujāka krituma otrajā ceturksnī pasargāja specializēto būvdarbu apjomu kāpums par 12,3%, palielinoties elektroinstalāciju ierīkošanas, cauruļvadu uzstādīšanas, kā arī ēku nojaukšanas un būvlaukuma sagatavošanas darbiem.</w:t>
      </w:r>
    </w:p>
    <w:p w14:paraId="4DCE05CC" w14:textId="0E98FEFD" w:rsidR="00531FC5" w:rsidRDefault="00531FC5" w:rsidP="00401A5B">
      <w:pPr>
        <w:ind w:firstLine="720"/>
        <w:jc w:val="both"/>
        <w:rPr>
          <w:rFonts w:ascii="Times New Roman" w:eastAsia="Times New Roman" w:hAnsi="Times New Roman" w:cs="Times New Roman"/>
          <w:sz w:val="28"/>
          <w:szCs w:val="28"/>
          <w:lang w:eastAsia="en-US"/>
        </w:rPr>
      </w:pPr>
      <w:r w:rsidRPr="00531FC5">
        <w:rPr>
          <w:rFonts w:ascii="Times New Roman" w:eastAsia="Times New Roman" w:hAnsi="Times New Roman" w:cs="Times New Roman"/>
          <w:sz w:val="28"/>
          <w:szCs w:val="28"/>
          <w:lang w:eastAsia="en-US"/>
        </w:rPr>
        <w:t>Būvniecības struktūrā (</w:t>
      </w:r>
      <w:r w:rsidR="00F30041">
        <w:rPr>
          <w:rFonts w:ascii="Times New Roman" w:eastAsia="Times New Roman" w:hAnsi="Times New Roman" w:cs="Times New Roman"/>
          <w:sz w:val="28"/>
          <w:szCs w:val="28"/>
          <w:lang w:eastAsia="en-US"/>
        </w:rPr>
        <w:t xml:space="preserve">skat. </w:t>
      </w:r>
      <w:r w:rsidRPr="00531FC5">
        <w:rPr>
          <w:rFonts w:ascii="Times New Roman" w:eastAsia="Times New Roman" w:hAnsi="Times New Roman" w:cs="Times New Roman"/>
          <w:sz w:val="28"/>
          <w:szCs w:val="28"/>
          <w:lang w:eastAsia="en-US"/>
        </w:rPr>
        <w:t>1.17.att.) aizvien samazinās inženierbūvju celtniecības īpatsvars – ja 2015.gadā tas sasniedza 39% no kopējās būvniecības izlaides faktiskajās cenās, tad pērn tas veidoja 34% un šā gada pirmajā pusē noslīdēja līdz 28%. Savukārt kopējā nozares struktūrā savu daļu aizvien kāpina ēku būvniecība – no 29% 2015.gadā tā ir pieaugusi līdz 37% pērn</w:t>
      </w:r>
      <w:r>
        <w:rPr>
          <w:rFonts w:ascii="Times New Roman" w:eastAsia="Times New Roman" w:hAnsi="Times New Roman" w:cs="Times New Roman"/>
          <w:sz w:val="28"/>
          <w:szCs w:val="28"/>
          <w:lang w:eastAsia="en-US"/>
        </w:rPr>
        <w:t>,</w:t>
      </w:r>
      <w:r w:rsidRPr="00531FC5">
        <w:rPr>
          <w:rFonts w:ascii="Times New Roman" w:eastAsia="Times New Roman" w:hAnsi="Times New Roman" w:cs="Times New Roman"/>
          <w:sz w:val="28"/>
          <w:szCs w:val="28"/>
          <w:lang w:eastAsia="en-US"/>
        </w:rPr>
        <w:t xml:space="preserve"> un šā gada pirmajā pusgadā jau sasniedza 40%. Jāatzīmē, ka ¾ no kopējiem ēku būvniecības apjomiem veido nedzīvojamās ēkas, ieskaitot viesnīcas, biroju ēkas, rūpnieciskās ražošanas ēkas u.tml. Specializēto būvdarbu īpatsvars būvniecības struktūrā pēdējo gadu laikā bijis samērā stabils, pērn veidojot 30%.</w:t>
      </w:r>
    </w:p>
    <w:p w14:paraId="580E016F" w14:textId="37492634" w:rsidR="00531FC5" w:rsidRDefault="00531FC5" w:rsidP="00401A5B">
      <w:pPr>
        <w:ind w:firstLine="720"/>
        <w:jc w:val="both"/>
        <w:rPr>
          <w:rFonts w:ascii="Times New Roman" w:eastAsia="Times New Roman" w:hAnsi="Times New Roman" w:cs="Times New Roman"/>
          <w:sz w:val="28"/>
          <w:szCs w:val="28"/>
          <w:lang w:eastAsia="en-US"/>
        </w:rPr>
      </w:pPr>
    </w:p>
    <w:p w14:paraId="0C4B71D6" w14:textId="3D7FA5F8" w:rsidR="00AC361B" w:rsidRDefault="00AC361B" w:rsidP="00401A5B">
      <w:pPr>
        <w:ind w:firstLine="720"/>
        <w:jc w:val="both"/>
        <w:rPr>
          <w:rFonts w:ascii="Times New Roman" w:eastAsia="Times New Roman" w:hAnsi="Times New Roman" w:cs="Times New Roman"/>
          <w:sz w:val="28"/>
          <w:szCs w:val="28"/>
          <w:lang w:eastAsia="en-US"/>
        </w:rPr>
      </w:pPr>
    </w:p>
    <w:p w14:paraId="650EDE14" w14:textId="77777777" w:rsidR="00AC361B" w:rsidRPr="00531FC5" w:rsidRDefault="00AC361B" w:rsidP="00401A5B">
      <w:pPr>
        <w:ind w:firstLine="720"/>
        <w:jc w:val="both"/>
        <w:rPr>
          <w:rFonts w:ascii="Times New Roman" w:eastAsia="Times New Roman" w:hAnsi="Times New Roman" w:cs="Times New Roman"/>
          <w:sz w:val="28"/>
          <w:szCs w:val="28"/>
          <w:lang w:eastAsia="en-US"/>
        </w:rPr>
      </w:pPr>
    </w:p>
    <w:p w14:paraId="73C14FE7" w14:textId="77777777" w:rsidR="00531FC5" w:rsidRPr="00531FC5" w:rsidRDefault="00531FC5" w:rsidP="00401A5B">
      <w:pPr>
        <w:spacing w:line="259" w:lineRule="auto"/>
        <w:jc w:val="center"/>
        <w:rPr>
          <w:rFonts w:ascii="Times New Roman" w:eastAsiaTheme="minorHAnsi" w:hAnsi="Times New Roman" w:cs="Times New Roman"/>
          <w:sz w:val="28"/>
          <w:szCs w:val="20"/>
          <w:lang w:eastAsia="en-US"/>
        </w:rPr>
      </w:pPr>
      <w:r w:rsidRPr="00531FC5">
        <w:rPr>
          <w:rFonts w:ascii="Times New Roman" w:eastAsiaTheme="minorHAnsi" w:hAnsi="Times New Roman" w:cs="Times New Roman"/>
          <w:noProof/>
          <w:sz w:val="24"/>
          <w:szCs w:val="24"/>
        </w:rPr>
        <w:drawing>
          <wp:inline distT="0" distB="0" distL="0" distR="0" wp14:anchorId="7022E61E" wp14:editId="05E3016A">
            <wp:extent cx="5274310" cy="2657475"/>
            <wp:effectExtent l="0" t="0" r="2540"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23473A" w14:textId="64D4D9C5" w:rsidR="00531FC5" w:rsidRDefault="00531FC5" w:rsidP="00401A5B">
      <w:pPr>
        <w:jc w:val="center"/>
        <w:rPr>
          <w:rFonts w:ascii="Times New Roman" w:eastAsia="Times New Roman" w:hAnsi="Times New Roman" w:cs="Times New Roman"/>
          <w:b/>
          <w:i/>
          <w:sz w:val="24"/>
          <w:szCs w:val="24"/>
          <w:lang w:eastAsia="en-US"/>
        </w:rPr>
      </w:pPr>
      <w:r w:rsidRPr="00531FC5">
        <w:rPr>
          <w:rFonts w:ascii="Times New Roman" w:eastAsia="Times New Roman" w:hAnsi="Times New Roman" w:cs="Times New Roman"/>
          <w:b/>
          <w:i/>
          <w:sz w:val="24"/>
          <w:szCs w:val="24"/>
          <w:lang w:eastAsia="en-US"/>
        </w:rPr>
        <w:t>1.17</w:t>
      </w:r>
      <w:r>
        <w:rPr>
          <w:rFonts w:ascii="Times New Roman" w:eastAsia="Times New Roman" w:hAnsi="Times New Roman" w:cs="Times New Roman"/>
          <w:b/>
          <w:i/>
          <w:sz w:val="24"/>
          <w:szCs w:val="24"/>
          <w:lang w:eastAsia="en-US"/>
        </w:rPr>
        <w:t>.</w:t>
      </w:r>
      <w:r w:rsidRPr="00531FC5">
        <w:rPr>
          <w:rFonts w:ascii="Times New Roman" w:eastAsia="Times New Roman" w:hAnsi="Times New Roman" w:cs="Times New Roman"/>
          <w:b/>
          <w:i/>
          <w:sz w:val="24"/>
          <w:szCs w:val="24"/>
          <w:lang w:eastAsia="en-US"/>
        </w:rPr>
        <w:t xml:space="preserve">att. Būvniecības nozares izlaides apjoms </w:t>
      </w:r>
      <w:r w:rsidRPr="00531FC5">
        <w:rPr>
          <w:rFonts w:ascii="Times New Roman" w:eastAsia="Times New Roman" w:hAnsi="Times New Roman" w:cs="Times New Roman"/>
          <w:b/>
          <w:i/>
          <w:color w:val="000000" w:themeColor="text1"/>
          <w:sz w:val="24"/>
          <w:szCs w:val="24"/>
          <w:lang w:eastAsia="en-US"/>
        </w:rPr>
        <w:t xml:space="preserve">pa celtniecības darbu veidiem </w:t>
      </w:r>
      <w:r w:rsidRPr="00531FC5">
        <w:rPr>
          <w:rFonts w:ascii="Times New Roman" w:eastAsia="Times New Roman" w:hAnsi="Times New Roman" w:cs="Times New Roman"/>
          <w:b/>
          <w:i/>
          <w:sz w:val="24"/>
          <w:szCs w:val="24"/>
          <w:lang w:eastAsia="en-US"/>
        </w:rPr>
        <w:t>faktiskajās cenās pa ceturkšņiem, milj. euro</w:t>
      </w:r>
    </w:p>
    <w:p w14:paraId="54B342CA" w14:textId="77777777" w:rsidR="00AC361B" w:rsidRPr="00531FC5" w:rsidRDefault="00AC361B" w:rsidP="00401A5B">
      <w:pPr>
        <w:jc w:val="center"/>
        <w:rPr>
          <w:rFonts w:ascii="Times New Roman" w:eastAsia="Times New Roman" w:hAnsi="Times New Roman" w:cs="Times New Roman"/>
          <w:b/>
          <w:i/>
          <w:sz w:val="24"/>
          <w:szCs w:val="24"/>
          <w:lang w:eastAsia="en-US"/>
        </w:rPr>
      </w:pPr>
    </w:p>
    <w:p w14:paraId="16707515" w14:textId="5F8CB76F" w:rsidR="00531FC5" w:rsidRDefault="00531FC5" w:rsidP="00401A5B">
      <w:pPr>
        <w:ind w:firstLine="720"/>
        <w:jc w:val="both"/>
        <w:rPr>
          <w:rFonts w:ascii="Times New Roman" w:eastAsia="Times New Roman" w:hAnsi="Times New Roman" w:cs="Times New Roman"/>
          <w:sz w:val="28"/>
          <w:szCs w:val="28"/>
          <w:lang w:eastAsia="en-US"/>
        </w:rPr>
      </w:pPr>
      <w:r w:rsidRPr="00531FC5">
        <w:rPr>
          <w:rFonts w:ascii="Times New Roman" w:eastAsia="Times New Roman" w:hAnsi="Times New Roman" w:cs="Times New Roman"/>
          <w:sz w:val="28"/>
          <w:szCs w:val="28"/>
          <w:lang w:eastAsia="en-US"/>
        </w:rPr>
        <w:t>Šā gada pirmajā ceturksnī, palielinoties dzīvojamo ēku būvniecības apjomiem, kas norāda uz augošo pieprasījuma pēc dzīvojamā fonda, dzīvojamo māju cenas palielinājās līdzīgi kā pērn kopumā. 2019.gadā mājokļu cenu pieaugums sasniedza 9,0%, līdzīgos tempos augot gan jauno, gan lietoto mājokļu cenām, un šā gada pirmajā ceturksnī mājokļu cenu pieaugums veidoja 8,8% (</w:t>
      </w:r>
      <w:r w:rsidR="00F30041">
        <w:rPr>
          <w:rFonts w:ascii="Times New Roman" w:eastAsia="Times New Roman" w:hAnsi="Times New Roman" w:cs="Times New Roman"/>
          <w:sz w:val="28"/>
          <w:szCs w:val="28"/>
          <w:lang w:eastAsia="en-US"/>
        </w:rPr>
        <w:t xml:space="preserve">skat. </w:t>
      </w:r>
      <w:r w:rsidRPr="00531FC5">
        <w:rPr>
          <w:rFonts w:ascii="Times New Roman" w:eastAsia="Times New Roman" w:hAnsi="Times New Roman" w:cs="Times New Roman"/>
          <w:sz w:val="28"/>
          <w:szCs w:val="28"/>
          <w:lang w:eastAsia="en-US"/>
        </w:rPr>
        <w:t>1.18.att.). Tomēr otrajā ceturksnī Covid-19 krīzes seku rezultātā, kad pēkšņi pasliktinājās valsts ekonomiskās attīstības perspektīvas un iedzīvotāju finansiālā situācija, kā arī radās vispārējā nenoteiktība, mājokļu cenu pieaugums krasi sabremzējās  līdz 1,6% gada griezumā. Tādējādi 2020.gada pirmajā pusgadā kopā dzīvojamo māju cenas bija par 5,1% augstākas nekā pirms gada, straujāk pieaugot jauno mājokļu cenām – par 12,3%. Tikmēr lietoto mājokļu cenu pārmaiņas vēsturiski ir bijušas mazāk svārstīgas un šā gada pirmajā pusgadā kopā palielinājās par 3,5%.</w:t>
      </w:r>
    </w:p>
    <w:p w14:paraId="34660912" w14:textId="77777777" w:rsidR="00AC361B" w:rsidRDefault="00AC361B" w:rsidP="00401A5B">
      <w:pPr>
        <w:ind w:firstLine="720"/>
        <w:jc w:val="both"/>
        <w:rPr>
          <w:rFonts w:ascii="Times New Roman" w:eastAsia="Times New Roman" w:hAnsi="Times New Roman" w:cs="Times New Roman"/>
          <w:sz w:val="28"/>
          <w:szCs w:val="28"/>
          <w:lang w:eastAsia="en-US"/>
        </w:rPr>
      </w:pPr>
    </w:p>
    <w:p w14:paraId="30570E79" w14:textId="77777777" w:rsidR="00531FC5" w:rsidRPr="00531FC5" w:rsidRDefault="00531FC5" w:rsidP="00401A5B">
      <w:pPr>
        <w:ind w:firstLine="720"/>
        <w:jc w:val="both"/>
        <w:rPr>
          <w:rFonts w:ascii="Times New Roman" w:eastAsia="Times New Roman" w:hAnsi="Times New Roman" w:cs="Times New Roman"/>
          <w:sz w:val="28"/>
          <w:szCs w:val="28"/>
          <w:lang w:eastAsia="en-US"/>
        </w:rPr>
      </w:pPr>
    </w:p>
    <w:p w14:paraId="73486784" w14:textId="77777777" w:rsidR="00531FC5" w:rsidRPr="00531FC5" w:rsidRDefault="00531FC5" w:rsidP="00401A5B">
      <w:pPr>
        <w:spacing w:line="259" w:lineRule="auto"/>
        <w:jc w:val="center"/>
        <w:rPr>
          <w:rFonts w:ascii="Times New Roman" w:eastAsiaTheme="minorHAnsi" w:hAnsi="Times New Roman" w:cs="Times New Roman"/>
          <w:sz w:val="28"/>
          <w:szCs w:val="24"/>
          <w:lang w:eastAsia="en-US"/>
        </w:rPr>
      </w:pPr>
      <w:r w:rsidRPr="00531FC5">
        <w:rPr>
          <w:rFonts w:ascii="Times New Roman" w:eastAsiaTheme="minorHAnsi" w:hAnsi="Times New Roman" w:cs="Times New Roman"/>
          <w:noProof/>
          <w:sz w:val="24"/>
          <w:szCs w:val="24"/>
        </w:rPr>
        <w:drawing>
          <wp:inline distT="0" distB="0" distL="0" distR="0" wp14:anchorId="70BA045D" wp14:editId="2B466137">
            <wp:extent cx="4572000" cy="24955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B81855" w14:textId="4590A587" w:rsidR="00531FC5" w:rsidRDefault="00531FC5" w:rsidP="00401A5B">
      <w:pPr>
        <w:jc w:val="center"/>
        <w:rPr>
          <w:rFonts w:ascii="Times New Roman" w:eastAsiaTheme="minorHAnsi" w:hAnsi="Times New Roman" w:cs="Times New Roman"/>
          <w:b/>
          <w:i/>
          <w:sz w:val="24"/>
          <w:szCs w:val="24"/>
          <w:lang w:eastAsia="en-US"/>
        </w:rPr>
      </w:pPr>
      <w:r w:rsidRPr="00531FC5">
        <w:rPr>
          <w:rFonts w:ascii="Times New Roman" w:eastAsiaTheme="minorHAnsi" w:hAnsi="Times New Roman" w:cs="Times New Roman"/>
          <w:b/>
          <w:i/>
          <w:sz w:val="24"/>
          <w:szCs w:val="24"/>
          <w:lang w:eastAsia="en-US"/>
        </w:rPr>
        <w:t>1.18</w:t>
      </w:r>
      <w:r>
        <w:rPr>
          <w:rFonts w:ascii="Times New Roman" w:eastAsiaTheme="minorHAnsi" w:hAnsi="Times New Roman" w:cs="Times New Roman"/>
          <w:b/>
          <w:i/>
          <w:sz w:val="24"/>
          <w:szCs w:val="24"/>
          <w:lang w:eastAsia="en-US"/>
        </w:rPr>
        <w:t>.</w:t>
      </w:r>
      <w:r w:rsidRPr="00531FC5">
        <w:rPr>
          <w:rFonts w:ascii="Times New Roman" w:eastAsiaTheme="minorHAnsi" w:hAnsi="Times New Roman" w:cs="Times New Roman"/>
          <w:b/>
          <w:i/>
          <w:sz w:val="24"/>
          <w:szCs w:val="24"/>
          <w:lang w:eastAsia="en-US"/>
        </w:rPr>
        <w:t>att. Mājokļu cenu pārmaiņas pret iepriekšējā gada attiecīgo ceturksni, %</w:t>
      </w:r>
    </w:p>
    <w:p w14:paraId="592AF9BE" w14:textId="77777777" w:rsidR="00AC361B" w:rsidRPr="00531FC5" w:rsidRDefault="00AC361B" w:rsidP="00401A5B">
      <w:pPr>
        <w:jc w:val="center"/>
        <w:rPr>
          <w:rFonts w:ascii="Times New Roman" w:eastAsiaTheme="minorHAnsi" w:hAnsi="Times New Roman" w:cs="Times New Roman"/>
          <w:b/>
          <w:i/>
          <w:sz w:val="24"/>
          <w:szCs w:val="24"/>
          <w:lang w:eastAsia="en-US"/>
        </w:rPr>
      </w:pPr>
    </w:p>
    <w:p w14:paraId="208A4594" w14:textId="50733979" w:rsidR="00531FC5" w:rsidRDefault="00531FC5" w:rsidP="00401A5B">
      <w:pPr>
        <w:ind w:firstLine="720"/>
        <w:jc w:val="both"/>
        <w:rPr>
          <w:rFonts w:ascii="Times New Roman" w:eastAsia="Times New Roman" w:hAnsi="Times New Roman" w:cs="Times New Roman"/>
          <w:sz w:val="28"/>
          <w:szCs w:val="28"/>
          <w:lang w:eastAsia="en-US"/>
        </w:rPr>
      </w:pPr>
      <w:r w:rsidRPr="00531FC5">
        <w:rPr>
          <w:rFonts w:ascii="Times New Roman" w:eastAsia="Times New Roman" w:hAnsi="Times New Roman" w:cs="Times New Roman"/>
          <w:sz w:val="28"/>
          <w:szCs w:val="28"/>
          <w:lang w:eastAsia="en-US"/>
        </w:rPr>
        <w:t>Savukārt būvniecības izmaksas, kas ietver būvmateriālu izmaksas, strādnieku darba algu, kā arī darba mašīnu un iekārtu uzturēšanas izmaksas, uzrāda pieaugumu kopš 2017.gada. Pērn salīdzinājumā ar iepriekšējo gadu kopējās būvniecības izmaksas palielinājās par 4,1%, ko noteica sektorā strādājošo darba samaksas kāpums (</w:t>
      </w:r>
      <w:r w:rsidR="00F30041">
        <w:rPr>
          <w:rFonts w:ascii="Times New Roman" w:eastAsia="Times New Roman" w:hAnsi="Times New Roman" w:cs="Times New Roman"/>
          <w:sz w:val="28"/>
          <w:szCs w:val="28"/>
          <w:lang w:eastAsia="en-US"/>
        </w:rPr>
        <w:t xml:space="preserve">skat. </w:t>
      </w:r>
      <w:r w:rsidRPr="00531FC5">
        <w:rPr>
          <w:rFonts w:ascii="Times New Roman" w:eastAsia="Times New Roman" w:hAnsi="Times New Roman" w:cs="Times New Roman"/>
          <w:sz w:val="28"/>
          <w:szCs w:val="28"/>
          <w:lang w:eastAsia="en-US"/>
        </w:rPr>
        <w:t>1.19.att.). Šā gada pirmajā pusē būvniecības izmaksas turpināja palielināties, taču pieauguma temps kļuva aizvien vājāks – ja pirmajā ceturksnī būvniecības kopējās izmaksas bija par 2,5% augstākas nekā pirms gada, tad otrajā ceturksnī šis pieaugums palēninājās līdz 1,5%. Līdz ar to pusgadā kopumā celtniecības izmaksas pieauga vidēji par 2,0%, būvmateriālu izmaksu pieaugumam palēninoties līdz 0,3% un mašīnu un mehānismu uzturēšanas un ekspluatācijas izmaksām – līdz 0,7%. Tajā pašā laikā darba algu izmaksas palielinājās tikpat strauji cik pērn – par 7,6%, turklāt otrajā ceturksnī būvnieku darba algas izmaksu pieauguma temps praktiski nepalēninājās.</w:t>
      </w:r>
    </w:p>
    <w:p w14:paraId="6410EB4F" w14:textId="77777777" w:rsidR="00531FC5" w:rsidRPr="00531FC5" w:rsidRDefault="00531FC5" w:rsidP="00401A5B">
      <w:pPr>
        <w:ind w:firstLine="720"/>
        <w:jc w:val="both"/>
        <w:rPr>
          <w:rFonts w:ascii="Times New Roman" w:eastAsia="Times New Roman" w:hAnsi="Times New Roman" w:cs="Times New Roman"/>
          <w:sz w:val="28"/>
          <w:szCs w:val="28"/>
          <w:lang w:eastAsia="en-US"/>
        </w:rPr>
      </w:pPr>
    </w:p>
    <w:p w14:paraId="739C0A4A" w14:textId="77777777" w:rsidR="00531FC5" w:rsidRPr="00531FC5" w:rsidRDefault="00531FC5" w:rsidP="00401A5B">
      <w:pPr>
        <w:jc w:val="center"/>
        <w:rPr>
          <w:rFonts w:ascii="Times New Roman" w:eastAsiaTheme="minorHAnsi" w:hAnsi="Times New Roman" w:cs="Times New Roman"/>
          <w:b/>
          <w:i/>
          <w:sz w:val="24"/>
          <w:szCs w:val="24"/>
          <w:lang w:eastAsia="en-US"/>
        </w:rPr>
      </w:pPr>
      <w:r w:rsidRPr="00531FC5">
        <w:rPr>
          <w:rFonts w:ascii="Times New Roman" w:eastAsiaTheme="minorHAnsi" w:hAnsi="Times New Roman" w:cs="Times New Roman"/>
          <w:noProof/>
          <w:sz w:val="24"/>
          <w:szCs w:val="24"/>
        </w:rPr>
        <w:drawing>
          <wp:inline distT="0" distB="0" distL="0" distR="0" wp14:anchorId="460C5784" wp14:editId="6286494E">
            <wp:extent cx="4572000" cy="238125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43BCAF" w14:textId="3E61DD7B" w:rsidR="00531FC5" w:rsidRDefault="00531FC5" w:rsidP="00401A5B">
      <w:pPr>
        <w:jc w:val="center"/>
        <w:rPr>
          <w:rFonts w:ascii="Times New Roman" w:eastAsiaTheme="minorHAnsi" w:hAnsi="Times New Roman" w:cs="Times New Roman"/>
          <w:b/>
          <w:i/>
          <w:sz w:val="24"/>
          <w:szCs w:val="24"/>
          <w:lang w:eastAsia="en-US"/>
        </w:rPr>
      </w:pPr>
      <w:r w:rsidRPr="00531FC5">
        <w:rPr>
          <w:rFonts w:ascii="Times New Roman" w:eastAsiaTheme="minorHAnsi" w:hAnsi="Times New Roman" w:cs="Times New Roman"/>
          <w:b/>
          <w:i/>
          <w:sz w:val="24"/>
          <w:szCs w:val="24"/>
          <w:lang w:eastAsia="en-US"/>
        </w:rPr>
        <w:t>1.19. att. Būvniecības izmaksu</w:t>
      </w:r>
      <w:r w:rsidRPr="00531FC5">
        <w:rPr>
          <w:rFonts w:ascii="Times New Roman" w:eastAsiaTheme="minorHAnsi" w:hAnsi="Times New Roman" w:cs="Times New Roman"/>
          <w:sz w:val="24"/>
          <w:szCs w:val="24"/>
          <w:lang w:eastAsia="en-US"/>
        </w:rPr>
        <w:t xml:space="preserve"> </w:t>
      </w:r>
      <w:r w:rsidRPr="00531FC5">
        <w:rPr>
          <w:rFonts w:ascii="Times New Roman" w:eastAsiaTheme="minorHAnsi" w:hAnsi="Times New Roman" w:cs="Times New Roman"/>
          <w:b/>
          <w:i/>
          <w:sz w:val="24"/>
          <w:szCs w:val="24"/>
          <w:lang w:eastAsia="en-US"/>
        </w:rPr>
        <w:t>pārmaiņas pret iepriekšējā gada attiecīgo ceturksni, %</w:t>
      </w:r>
    </w:p>
    <w:p w14:paraId="4B7A993D" w14:textId="77777777" w:rsidR="00531FC5" w:rsidRPr="00531FC5" w:rsidRDefault="00531FC5" w:rsidP="00401A5B">
      <w:pPr>
        <w:jc w:val="center"/>
        <w:rPr>
          <w:rFonts w:ascii="Times New Roman" w:eastAsiaTheme="minorHAnsi" w:hAnsi="Times New Roman" w:cs="Times New Roman"/>
          <w:b/>
          <w:i/>
          <w:sz w:val="24"/>
          <w:szCs w:val="24"/>
          <w:lang w:eastAsia="en-US"/>
        </w:rPr>
      </w:pPr>
    </w:p>
    <w:p w14:paraId="75AA4C87" w14:textId="4F2781DE" w:rsidR="00531FC5" w:rsidRDefault="00531FC5" w:rsidP="00401A5B">
      <w:pPr>
        <w:ind w:firstLine="720"/>
        <w:jc w:val="both"/>
        <w:rPr>
          <w:rFonts w:ascii="Times New Roman" w:eastAsia="Times New Roman" w:hAnsi="Times New Roman" w:cs="Times New Roman"/>
          <w:sz w:val="28"/>
          <w:szCs w:val="28"/>
          <w:lang w:eastAsia="en-US"/>
        </w:rPr>
      </w:pPr>
      <w:r w:rsidRPr="00531FC5">
        <w:rPr>
          <w:rFonts w:ascii="Times New Roman" w:eastAsia="Times New Roman" w:hAnsi="Times New Roman" w:cs="Times New Roman"/>
          <w:sz w:val="28"/>
          <w:szCs w:val="28"/>
          <w:lang w:eastAsia="en-US"/>
        </w:rPr>
        <w:t>Par ēku celtniecības turpmākajām perspektīvām liecina izsniegto būvatļauju dinamika. Atšķirībā no iepriekšējos periodos uzrādītā kāpuma izsniegtajās būvatļaujās paredzamā platība šā gada pirmajā pusgadā uzrādīja kritumu, pirmajā ceturksnī samazinoties par 5,7%, bet otrajā ceturksnī sarūkot jau par 20,9% (</w:t>
      </w:r>
      <w:r w:rsidR="00F30041">
        <w:rPr>
          <w:rFonts w:ascii="Times New Roman" w:eastAsia="Times New Roman" w:hAnsi="Times New Roman" w:cs="Times New Roman"/>
          <w:sz w:val="28"/>
          <w:szCs w:val="28"/>
          <w:lang w:eastAsia="en-US"/>
        </w:rPr>
        <w:t xml:space="preserve">skat. </w:t>
      </w:r>
      <w:r w:rsidRPr="00531FC5">
        <w:rPr>
          <w:rFonts w:ascii="Times New Roman" w:eastAsia="Times New Roman" w:hAnsi="Times New Roman" w:cs="Times New Roman"/>
          <w:sz w:val="28"/>
          <w:szCs w:val="28"/>
          <w:lang w:eastAsia="en-US"/>
        </w:rPr>
        <w:t xml:space="preserve">1.20.att.). </w:t>
      </w:r>
    </w:p>
    <w:p w14:paraId="77599AA9" w14:textId="77777777" w:rsidR="00531FC5" w:rsidRPr="00531FC5" w:rsidRDefault="00531FC5" w:rsidP="00401A5B">
      <w:pPr>
        <w:ind w:firstLine="720"/>
        <w:jc w:val="both"/>
        <w:rPr>
          <w:rFonts w:ascii="Times New Roman" w:eastAsia="Times New Roman" w:hAnsi="Times New Roman" w:cs="Times New Roman"/>
          <w:sz w:val="28"/>
          <w:szCs w:val="28"/>
          <w:lang w:eastAsia="en-US"/>
        </w:rPr>
      </w:pPr>
    </w:p>
    <w:p w14:paraId="2146D7C6" w14:textId="77777777" w:rsidR="00531FC5" w:rsidRPr="00531FC5" w:rsidRDefault="00531FC5" w:rsidP="00401A5B">
      <w:pPr>
        <w:jc w:val="center"/>
        <w:rPr>
          <w:rFonts w:ascii="Times New Roman" w:eastAsiaTheme="minorHAnsi" w:hAnsi="Times New Roman" w:cs="Times New Roman"/>
          <w:sz w:val="28"/>
          <w:szCs w:val="20"/>
          <w:lang w:eastAsia="en-US"/>
        </w:rPr>
      </w:pPr>
      <w:r w:rsidRPr="00531FC5">
        <w:rPr>
          <w:rFonts w:ascii="Times New Roman" w:eastAsiaTheme="minorHAnsi" w:hAnsi="Times New Roman" w:cs="Times New Roman"/>
          <w:noProof/>
          <w:sz w:val="24"/>
          <w:szCs w:val="24"/>
        </w:rPr>
        <w:drawing>
          <wp:inline distT="0" distB="0" distL="0" distR="0" wp14:anchorId="54B713D2" wp14:editId="0E803B01">
            <wp:extent cx="5274310" cy="3109595"/>
            <wp:effectExtent l="0" t="0" r="2540" b="1460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D07CCE" w14:textId="62871586" w:rsidR="00531FC5" w:rsidRDefault="00531FC5" w:rsidP="00401A5B">
      <w:pPr>
        <w:jc w:val="center"/>
        <w:rPr>
          <w:rFonts w:ascii="Times New Roman" w:eastAsiaTheme="minorHAnsi" w:hAnsi="Times New Roman" w:cs="Times New Roman"/>
          <w:b/>
          <w:i/>
          <w:sz w:val="24"/>
          <w:szCs w:val="24"/>
          <w:vertAlign w:val="superscript"/>
          <w:lang w:eastAsia="en-US"/>
        </w:rPr>
      </w:pPr>
      <w:r w:rsidRPr="00531FC5">
        <w:rPr>
          <w:rFonts w:ascii="Times New Roman" w:eastAsiaTheme="minorHAnsi" w:hAnsi="Times New Roman" w:cs="Times New Roman"/>
          <w:b/>
          <w:i/>
          <w:sz w:val="24"/>
          <w:szCs w:val="24"/>
          <w:lang w:eastAsia="en-US"/>
        </w:rPr>
        <w:t>1.20. att. Izdotajās būvatļaujās paredzamā platība pa ēku veidiem, tūkst. km</w:t>
      </w:r>
      <w:r w:rsidRPr="00531FC5">
        <w:rPr>
          <w:rFonts w:ascii="Times New Roman" w:eastAsiaTheme="minorHAnsi" w:hAnsi="Times New Roman" w:cs="Times New Roman"/>
          <w:b/>
          <w:i/>
          <w:sz w:val="24"/>
          <w:szCs w:val="24"/>
          <w:vertAlign w:val="superscript"/>
          <w:lang w:eastAsia="en-US"/>
        </w:rPr>
        <w:t>2</w:t>
      </w:r>
    </w:p>
    <w:p w14:paraId="0D76388B" w14:textId="77777777" w:rsidR="00531FC5" w:rsidRDefault="00531FC5" w:rsidP="00401A5B">
      <w:pPr>
        <w:ind w:firstLine="720"/>
        <w:jc w:val="both"/>
        <w:rPr>
          <w:rFonts w:ascii="Times New Roman" w:eastAsiaTheme="minorHAnsi" w:hAnsi="Times New Roman" w:cs="Times New Roman"/>
          <w:b/>
          <w:i/>
          <w:sz w:val="24"/>
          <w:szCs w:val="24"/>
          <w:vertAlign w:val="superscript"/>
          <w:lang w:eastAsia="en-US"/>
        </w:rPr>
      </w:pPr>
    </w:p>
    <w:p w14:paraId="1A50B551" w14:textId="1AD23634" w:rsidR="00531FC5" w:rsidRPr="00531FC5" w:rsidRDefault="00531FC5" w:rsidP="00401A5B">
      <w:pPr>
        <w:ind w:firstLine="720"/>
        <w:jc w:val="both"/>
        <w:rPr>
          <w:rFonts w:ascii="Times New Roman" w:eastAsiaTheme="minorHAnsi" w:hAnsi="Times New Roman" w:cs="Times New Roman"/>
          <w:sz w:val="28"/>
          <w:szCs w:val="20"/>
          <w:lang w:eastAsia="en-US"/>
        </w:rPr>
      </w:pPr>
      <w:r w:rsidRPr="00531FC5">
        <w:rPr>
          <w:rFonts w:ascii="Times New Roman" w:eastAsiaTheme="minorHAnsi" w:hAnsi="Times New Roman" w:cs="Times New Roman"/>
          <w:sz w:val="28"/>
          <w:szCs w:val="20"/>
          <w:lang w:eastAsia="en-US"/>
        </w:rPr>
        <w:t xml:space="preserve">Plānotās būvniecības platības samazināšanos gada pirmajā pusgadā noteica rūpnieciskās ražošanas ēku un noliktavu paredzamās būvniecības platības kritums saistībā ar pērn uzrādīto augsto bāzi šajā ēku segmentā. Pirmajā pusgadā samazinājās arī tirdzniecības ēku, privātmāju, kā arī plašizklaides pasākumu, izglītības, veselības aprūpes iestāžu ēku paredzamā būvniecības platība, kas norādīta izsniegtajās būvatļaujās. Tas liecina par būvniecības izaugsmes tempu palēnināšanos vai pat samazinājumu turpmākajos periodos. Turklāt būvniecības nozares perspektīvas šogad apdraud arī nenoteiktība saistībā ar Covid-19 krīzi, ko apstiprina sarukušais būvniecības konfidences rādītājs. </w:t>
      </w:r>
    </w:p>
    <w:p w14:paraId="2548AD09" w14:textId="4584F28B" w:rsidR="00531FC5" w:rsidRPr="00531FC5" w:rsidRDefault="00531FC5" w:rsidP="00401A5B">
      <w:pPr>
        <w:ind w:firstLine="720"/>
        <w:jc w:val="both"/>
        <w:rPr>
          <w:rFonts w:ascii="Times New Roman" w:eastAsiaTheme="minorHAnsi" w:hAnsi="Times New Roman" w:cs="Times New Roman"/>
          <w:sz w:val="28"/>
          <w:szCs w:val="20"/>
          <w:lang w:eastAsia="en-US"/>
        </w:rPr>
      </w:pPr>
      <w:r w:rsidRPr="00531FC5">
        <w:rPr>
          <w:rFonts w:ascii="Times New Roman" w:eastAsiaTheme="minorHAnsi" w:hAnsi="Times New Roman" w:cs="Times New Roman"/>
          <w:sz w:val="28"/>
          <w:szCs w:val="20"/>
          <w:lang w:eastAsia="en-US"/>
        </w:rPr>
        <w:t>Tajā pašā laikā atsevišķos ēku segmentos, piemēram, biroju ēku, dzīvokļu māju, kā arī vasarnīcu un dārza māju, paredzamā būvniecības platība šā gada pirmajā pusgadā pieauga, kas nozīmē par šāda tipa ēku celtniecības apjomu potenciālo pieaugumu. Turklāt daļa valsts atbalsta pasākumu cīņai ar Covid-19 krīzes sekām ir publiskās investīcijas, tajā skaitā būvniecības sektorā. Arī liela daļa no jaunā ES fondu plānošanas perioda Latvijai pieejamā finansē</w:t>
      </w:r>
      <w:r>
        <w:rPr>
          <w:rFonts w:ascii="Times New Roman" w:eastAsiaTheme="minorHAnsi" w:hAnsi="Times New Roman" w:cs="Times New Roman"/>
          <w:sz w:val="28"/>
          <w:szCs w:val="20"/>
          <w:lang w:eastAsia="en-US"/>
        </w:rPr>
        <w:t>juma, kas pārsniedz 10 m</w:t>
      </w:r>
      <w:r w:rsidR="006E6F08">
        <w:rPr>
          <w:rFonts w:ascii="Times New Roman" w:eastAsiaTheme="minorHAnsi" w:hAnsi="Times New Roman" w:cs="Times New Roman"/>
          <w:sz w:val="28"/>
          <w:szCs w:val="20"/>
          <w:lang w:eastAsia="en-US"/>
        </w:rPr>
        <w:t xml:space="preserve">ljrd. </w:t>
      </w:r>
      <w:r w:rsidR="006E6F08" w:rsidRPr="006E6F08">
        <w:rPr>
          <w:rFonts w:ascii="Times New Roman" w:eastAsiaTheme="minorHAnsi" w:hAnsi="Times New Roman" w:cs="Times New Roman"/>
          <w:i/>
          <w:sz w:val="28"/>
          <w:szCs w:val="20"/>
          <w:lang w:eastAsia="en-US"/>
        </w:rPr>
        <w:t>euro</w:t>
      </w:r>
      <w:r w:rsidRPr="00531FC5">
        <w:rPr>
          <w:rFonts w:ascii="Times New Roman" w:eastAsiaTheme="minorHAnsi" w:hAnsi="Times New Roman" w:cs="Times New Roman"/>
          <w:sz w:val="28"/>
          <w:szCs w:val="20"/>
          <w:lang w:eastAsia="en-US"/>
        </w:rPr>
        <w:t xml:space="preserve">, tiks novirzīta infrastruktūras projektiem. Turpmākajos periodos tiks īstenoti arī citi lieli infrastruktūras projekti, kas stimulēs nozares attīstību, piemēram, </w:t>
      </w:r>
      <w:r w:rsidR="006E6F08">
        <w:rPr>
          <w:rFonts w:ascii="Times New Roman" w:eastAsiaTheme="minorHAnsi" w:hAnsi="Times New Roman" w:cs="Times New Roman"/>
          <w:sz w:val="28"/>
          <w:szCs w:val="20"/>
          <w:lang w:eastAsia="en-US"/>
        </w:rPr>
        <w:t>“</w:t>
      </w:r>
      <w:r w:rsidRPr="00531FC5">
        <w:rPr>
          <w:rFonts w:ascii="Times New Roman" w:eastAsiaTheme="minorHAnsi" w:hAnsi="Times New Roman" w:cs="Times New Roman"/>
          <w:i/>
          <w:sz w:val="28"/>
          <w:szCs w:val="20"/>
          <w:lang w:eastAsia="en-US"/>
        </w:rPr>
        <w:t>Rail Baltica</w:t>
      </w:r>
      <w:r w:rsidR="006E6F08">
        <w:rPr>
          <w:rFonts w:ascii="Times New Roman" w:eastAsiaTheme="minorHAnsi" w:hAnsi="Times New Roman" w:cs="Times New Roman"/>
          <w:i/>
          <w:sz w:val="28"/>
          <w:szCs w:val="20"/>
          <w:lang w:eastAsia="en-US"/>
        </w:rPr>
        <w:t>”</w:t>
      </w:r>
      <w:r w:rsidRPr="00531FC5">
        <w:rPr>
          <w:rFonts w:ascii="Times New Roman" w:eastAsiaTheme="minorHAnsi" w:hAnsi="Times New Roman" w:cs="Times New Roman"/>
          <w:i/>
          <w:sz w:val="28"/>
          <w:szCs w:val="20"/>
          <w:lang w:eastAsia="en-US"/>
        </w:rPr>
        <w:t>,</w:t>
      </w:r>
      <w:r w:rsidRPr="00531FC5">
        <w:rPr>
          <w:rFonts w:ascii="Times New Roman" w:eastAsiaTheme="minorHAnsi" w:hAnsi="Times New Roman" w:cs="Times New Roman"/>
          <w:sz w:val="28"/>
          <w:szCs w:val="20"/>
          <w:lang w:eastAsia="en-US"/>
        </w:rPr>
        <w:t xml:space="preserve"> tādējādi, lai arī šā gada otrajai pusei būvniecības attīstības prognozes ir mazāk optimistiskas, nākamajos gados sektora izaugsmei atkal jākļūst straujākai.</w:t>
      </w:r>
    </w:p>
    <w:p w14:paraId="63A28655" w14:textId="77777777" w:rsidR="003F3FCD" w:rsidRDefault="003F3FCD" w:rsidP="00401A5B">
      <w:pPr>
        <w:widowControl w:val="0"/>
        <w:ind w:firstLine="720"/>
        <w:jc w:val="both"/>
        <w:rPr>
          <w:rFonts w:ascii="Times New Roman" w:eastAsia="Times New Roman" w:hAnsi="Times New Roman" w:cs="Times New Roman"/>
          <w:sz w:val="28"/>
        </w:rPr>
      </w:pPr>
    </w:p>
    <w:p w14:paraId="6D084610" w14:textId="77777777" w:rsidR="003F3FCD" w:rsidRPr="006E6F08" w:rsidRDefault="000548A5" w:rsidP="00401A5B">
      <w:pPr>
        <w:widowControl w:val="0"/>
        <w:jc w:val="center"/>
        <w:rPr>
          <w:rFonts w:ascii="Times New Roman" w:eastAsia="Times New Roman" w:hAnsi="Times New Roman" w:cs="Times New Roman"/>
          <w:b/>
          <w:sz w:val="28"/>
          <w:szCs w:val="24"/>
        </w:rPr>
      </w:pPr>
      <w:r w:rsidRPr="006E6F08">
        <w:rPr>
          <w:rFonts w:ascii="Times New Roman" w:eastAsia="Times New Roman" w:hAnsi="Times New Roman" w:cs="Times New Roman"/>
          <w:b/>
          <w:sz w:val="28"/>
          <w:szCs w:val="24"/>
        </w:rPr>
        <w:t>Finanšu un apdrošināšanas nozare</w:t>
      </w:r>
    </w:p>
    <w:p w14:paraId="7174D62F" w14:textId="77777777" w:rsidR="003F3FCD" w:rsidRDefault="003F3FCD" w:rsidP="00401A5B">
      <w:pPr>
        <w:widowControl w:val="0"/>
        <w:ind w:firstLine="720"/>
        <w:jc w:val="both"/>
        <w:rPr>
          <w:rFonts w:ascii="Times New Roman" w:eastAsia="Times New Roman" w:hAnsi="Times New Roman" w:cs="Times New Roman"/>
          <w:sz w:val="24"/>
        </w:rPr>
      </w:pPr>
    </w:p>
    <w:p w14:paraId="592EC5AD" w14:textId="77777777" w:rsidR="006E6F08" w:rsidRPr="006E6F08" w:rsidRDefault="006E6F08" w:rsidP="00401A5B">
      <w:pPr>
        <w:ind w:firstLine="720"/>
        <w:jc w:val="both"/>
        <w:rPr>
          <w:rFonts w:ascii="Times New Roman" w:eastAsia="Times New Roman" w:hAnsi="Times New Roman"/>
          <w:sz w:val="28"/>
          <w:szCs w:val="28"/>
          <w:lang w:eastAsia="en-US"/>
        </w:rPr>
      </w:pPr>
      <w:r w:rsidRPr="006E6F08">
        <w:rPr>
          <w:rFonts w:ascii="Times New Roman" w:eastAsia="Times New Roman" w:hAnsi="Times New Roman"/>
          <w:sz w:val="28"/>
          <w:szCs w:val="28"/>
          <w:lang w:eastAsia="en-US"/>
        </w:rPr>
        <w:t>Finanšu un apdrošināšanas nozarē vērojams pievienotās vērtības kritums kopš 2017.gada, 2018.gadā tā samazinājās par 3,1%, bet 2019.gadā par 15,2%, savukārt 2020.gada 1.pusgadā samazinājās par 0,9% gada izteiksmē. Ja iepriekšējo gadu lejupslīdi nozarē noteica strukturālās izmaiņas, tad 2020.gadā tāpat kā citas nozares arī finanšu nozari skāra Covid-19 izraisītā krīze. Kopumā nozares īpatsvars kopējā pievienotajā vērtībā tautsaimniecībā ir samazinājies gandrīz divas reizes no 4,8% 2015.gadā līdz 2,9% 2019.gadā. Savukārt nodarbināto skaits pēc iepriekšējo gadu krituma, samazinoties nerezidentu apkalpošanai, 2019.gadā ir uzrādījis pieauguma tendenci, tomēr 2020.gadā Covid-19 krīzes ietekmē nozarē strādājošo skaits atkal sācis samazināties.</w:t>
      </w:r>
    </w:p>
    <w:p w14:paraId="726258E2" w14:textId="71D94020" w:rsidR="006E6F08" w:rsidRDefault="006E6F08" w:rsidP="00401A5B">
      <w:pPr>
        <w:ind w:firstLine="720"/>
        <w:jc w:val="both"/>
        <w:rPr>
          <w:rFonts w:ascii="Times New Roman" w:eastAsia="Times New Roman" w:hAnsi="Times New Roman"/>
          <w:sz w:val="28"/>
          <w:szCs w:val="28"/>
          <w:lang w:eastAsia="en-US"/>
        </w:rPr>
      </w:pPr>
      <w:r w:rsidRPr="006E6F08">
        <w:rPr>
          <w:rFonts w:ascii="Times New Roman" w:eastAsia="Times New Roman" w:hAnsi="Times New Roman"/>
          <w:sz w:val="28"/>
          <w:szCs w:val="28"/>
          <w:lang w:eastAsia="en-US"/>
        </w:rPr>
        <w:t xml:space="preserve">Nozares strukturālās izmaiņas saistībā ar uzraudzības prasību izmaiņām pamatā noslēdzās 2019.gadā. Līdz ar to Latvijas banku nozare 2020.gadu iesāka ar jauno </w:t>
      </w:r>
      <w:r w:rsidR="005A37CD">
        <w:rPr>
          <w:rFonts w:ascii="Times New Roman" w:eastAsia="Times New Roman" w:hAnsi="Times New Roman"/>
          <w:sz w:val="28"/>
          <w:szCs w:val="28"/>
          <w:lang w:eastAsia="en-US"/>
        </w:rPr>
        <w:t>FKTK</w:t>
      </w:r>
      <w:r w:rsidRPr="006E6F08">
        <w:rPr>
          <w:rFonts w:ascii="Times New Roman" w:eastAsia="Times New Roman" w:hAnsi="Times New Roman"/>
          <w:sz w:val="28"/>
          <w:szCs w:val="28"/>
          <w:lang w:eastAsia="en-US"/>
        </w:rPr>
        <w:t xml:space="preserve"> saskaņoto biznesa modeļu īstenošanu dzīvē. Šīs pārmaiņas rezultējās ar riskantu nerezidentu noguldījumu aizplūdi (kopš 2016.gada, kad nerezidentu depozītu apjoms bija vislielākais, to apjoms līdz 2020.gada augustam ir samazinājies par 77%) un līdz ar to arī ar kopējo aktīvu samazinājumu. 2020.gads sākās ar samērā noturīgu stabilitāti. Tajā pašā laikā rezidentu depozītu atlikumi ir vienmērīgi pieauguši kopš 201</w:t>
      </w:r>
      <w:r w:rsidR="005A37CD">
        <w:rPr>
          <w:rFonts w:ascii="Times New Roman" w:eastAsia="Times New Roman" w:hAnsi="Times New Roman"/>
          <w:sz w:val="28"/>
          <w:szCs w:val="28"/>
          <w:lang w:eastAsia="en-US"/>
        </w:rPr>
        <w:t>6.gada ar vidējo tempu 6% gadā. (</w:t>
      </w:r>
      <w:r w:rsidR="00F30041">
        <w:rPr>
          <w:rFonts w:ascii="Times New Roman" w:eastAsia="Times New Roman" w:hAnsi="Times New Roman"/>
          <w:sz w:val="28"/>
          <w:szCs w:val="28"/>
          <w:lang w:eastAsia="en-US"/>
        </w:rPr>
        <w:t xml:space="preserve">skat. </w:t>
      </w:r>
      <w:r w:rsidR="005A37CD">
        <w:rPr>
          <w:rFonts w:ascii="Times New Roman" w:eastAsia="Times New Roman" w:hAnsi="Times New Roman"/>
          <w:sz w:val="28"/>
          <w:szCs w:val="28"/>
          <w:lang w:eastAsia="en-US"/>
        </w:rPr>
        <w:t>1.21.att.)</w:t>
      </w:r>
    </w:p>
    <w:p w14:paraId="2E3CC48A" w14:textId="77777777" w:rsidR="006E6F08" w:rsidRPr="006E6F08" w:rsidRDefault="006E6F08" w:rsidP="00401A5B">
      <w:pPr>
        <w:ind w:firstLine="720"/>
        <w:jc w:val="both"/>
        <w:rPr>
          <w:rFonts w:ascii="Times New Roman" w:eastAsia="Times New Roman" w:hAnsi="Times New Roman"/>
          <w:sz w:val="28"/>
          <w:szCs w:val="28"/>
          <w:lang w:eastAsia="en-US"/>
        </w:rPr>
      </w:pPr>
    </w:p>
    <w:p w14:paraId="41F8CA8A" w14:textId="77777777" w:rsidR="006E6F08" w:rsidRPr="006E6F08" w:rsidRDefault="006E6F08" w:rsidP="00401A5B">
      <w:pPr>
        <w:jc w:val="center"/>
        <w:rPr>
          <w:rFonts w:ascii="Times New Roman" w:eastAsia="Times New Roman" w:hAnsi="Times New Roman"/>
          <w:sz w:val="28"/>
          <w:szCs w:val="28"/>
          <w:lang w:eastAsia="en-US"/>
        </w:rPr>
      </w:pPr>
      <w:r w:rsidRPr="006E6F08">
        <w:rPr>
          <w:rFonts w:ascii="Times New Roman" w:eastAsiaTheme="minorHAnsi" w:hAnsi="Times New Roman"/>
          <w:bCs/>
          <w:noProof/>
          <w:sz w:val="28"/>
          <w:szCs w:val="28"/>
        </w:rPr>
        <w:drawing>
          <wp:inline distT="0" distB="0" distL="0" distR="0" wp14:anchorId="1B159F13" wp14:editId="27845753">
            <wp:extent cx="5274310" cy="2861310"/>
            <wp:effectExtent l="0" t="0" r="254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7EF477" w14:textId="532E2F26" w:rsidR="006E6F08" w:rsidRPr="006E6F08" w:rsidRDefault="006E6F08" w:rsidP="00401A5B">
      <w:pPr>
        <w:ind w:firstLine="720"/>
        <w:jc w:val="both"/>
        <w:rPr>
          <w:rFonts w:ascii="Times New Roman" w:eastAsiaTheme="minorHAnsi" w:hAnsi="Times New Roman"/>
          <w:b/>
          <w:i/>
          <w:sz w:val="24"/>
          <w:lang w:eastAsia="en-US"/>
        </w:rPr>
      </w:pPr>
      <w:r>
        <w:rPr>
          <w:rFonts w:ascii="Times New Roman" w:eastAsiaTheme="minorHAnsi" w:hAnsi="Times New Roman"/>
          <w:b/>
          <w:i/>
          <w:sz w:val="24"/>
          <w:lang w:eastAsia="en-US"/>
        </w:rPr>
        <w:t>1.21.</w:t>
      </w:r>
      <w:r w:rsidRPr="006E6F08">
        <w:rPr>
          <w:rFonts w:ascii="Times New Roman" w:eastAsiaTheme="minorHAnsi" w:hAnsi="Times New Roman"/>
          <w:b/>
          <w:i/>
          <w:sz w:val="24"/>
          <w:lang w:eastAsia="en-US"/>
        </w:rPr>
        <w:t>att. Nerezidentu un rezidentu noguldījumi Latvijas bankās, milj. euro</w:t>
      </w:r>
    </w:p>
    <w:p w14:paraId="21753507" w14:textId="77777777" w:rsidR="006E6F08" w:rsidRPr="006E6F08" w:rsidRDefault="006E6F08" w:rsidP="00401A5B">
      <w:pPr>
        <w:ind w:firstLine="720"/>
        <w:jc w:val="both"/>
        <w:rPr>
          <w:rFonts w:ascii="Times New Roman" w:eastAsiaTheme="minorHAnsi" w:hAnsi="Times New Roman"/>
          <w:bCs/>
          <w:sz w:val="28"/>
          <w:szCs w:val="28"/>
          <w:lang w:eastAsia="en-US"/>
        </w:rPr>
      </w:pPr>
    </w:p>
    <w:p w14:paraId="287FFF13" w14:textId="79047722" w:rsidR="006E6F08" w:rsidRPr="006E6F08" w:rsidRDefault="006E6F08" w:rsidP="00401A5B">
      <w:pPr>
        <w:ind w:firstLine="720"/>
        <w:jc w:val="both"/>
        <w:rPr>
          <w:rFonts w:ascii="Times New Roman" w:eastAsia="Times New Roman" w:hAnsi="Times New Roman"/>
          <w:sz w:val="28"/>
          <w:szCs w:val="28"/>
          <w:lang w:eastAsia="en-US"/>
        </w:rPr>
      </w:pPr>
      <w:r w:rsidRPr="006E6F08">
        <w:rPr>
          <w:rFonts w:ascii="Times New Roman" w:eastAsia="Times New Roman" w:hAnsi="Times New Roman"/>
          <w:sz w:val="28"/>
          <w:szCs w:val="28"/>
          <w:lang w:eastAsia="en-US"/>
        </w:rPr>
        <w:t>Attiecībā uz kreditēšanu jānorāda, ka kopējo izsniegto kredītu apjoms turpina samazināties. 2019.gadā rezidentiem izsniegto kredītu apjoms samazinājās par 1,5%, un līdz 2020.gada augustam līdz ar kopējās ekonomiskas aktivitātes sarukumu samazinājuma temps pieauga līdz 5,3%. Tajā pašā laikā nelielu, taču noturīgu pieaugumu uzrādīja Latvijas mājsaimniecībām izsniegtie kredīti, kas nodrošināti ar nekustamā īpašuma ķīlu. Saskaņā ar Latvijas Bankas datiem, mājokļa iegādei kredītu apjoms 2019.gadā ir audzis par 1,8%, un mājsaimniecībām izsniegtie patēriņa kredīti pieauga par 3,6%, kamēr uzņēmumiem izsniegto kredītu apjoms samazinājās par 3,3%</w:t>
      </w:r>
      <w:r>
        <w:rPr>
          <w:rFonts w:ascii="Times New Roman" w:eastAsia="Times New Roman" w:hAnsi="Times New Roman"/>
          <w:sz w:val="28"/>
          <w:szCs w:val="28"/>
          <w:lang w:eastAsia="en-US"/>
        </w:rPr>
        <w:t>. Savukārt 2020.gada astoņos</w:t>
      </w:r>
      <w:r w:rsidRPr="006E6F08">
        <w:rPr>
          <w:rFonts w:ascii="Times New Roman" w:eastAsia="Times New Roman" w:hAnsi="Times New Roman"/>
          <w:sz w:val="28"/>
          <w:szCs w:val="28"/>
          <w:lang w:eastAsia="en-US"/>
        </w:rPr>
        <w:t xml:space="preserve"> mēnešos Covid-19 izraisītās krīzes dēļ rezidentiem izsniegto kredītu apjoms gada griezumā jau ir samazinājies par 5,3%, no tiem mājsaimniecībām par 0,5%, bet uzņēmumiem par 9%.</w:t>
      </w:r>
    </w:p>
    <w:p w14:paraId="51693D5A" w14:textId="0A6C35C1" w:rsidR="006E6F08" w:rsidRPr="006E6F08" w:rsidRDefault="006E6F08" w:rsidP="00401A5B">
      <w:pPr>
        <w:ind w:firstLine="720"/>
        <w:jc w:val="both"/>
        <w:rPr>
          <w:rFonts w:ascii="Times New Roman" w:eastAsia="Times New Roman" w:hAnsi="Times New Roman"/>
          <w:sz w:val="28"/>
          <w:szCs w:val="28"/>
          <w:lang w:eastAsia="en-US"/>
        </w:rPr>
      </w:pPr>
      <w:r w:rsidRPr="006E6F08">
        <w:rPr>
          <w:rFonts w:ascii="Times New Roman" w:eastAsia="Times New Roman" w:hAnsi="Times New Roman"/>
          <w:sz w:val="28"/>
          <w:szCs w:val="28"/>
          <w:lang w:eastAsia="en-US"/>
        </w:rPr>
        <w:t xml:space="preserve">Jāatzīmē, ka kopš 2015.gada jaunizsniegto kredītu apjoms Latvijas mājsaimniecībām veido aptuveni 4,4 miljardus </w:t>
      </w:r>
      <w:r w:rsidRPr="006E6F08">
        <w:rPr>
          <w:rFonts w:ascii="Times New Roman" w:eastAsia="Times New Roman" w:hAnsi="Times New Roman"/>
          <w:i/>
          <w:sz w:val="28"/>
          <w:szCs w:val="28"/>
          <w:lang w:eastAsia="en-US"/>
        </w:rPr>
        <w:t>euro</w:t>
      </w:r>
      <w:r w:rsidRPr="006E6F08">
        <w:rPr>
          <w:rFonts w:ascii="Times New Roman" w:eastAsia="Times New Roman" w:hAnsi="Times New Roman"/>
          <w:sz w:val="28"/>
          <w:szCs w:val="28"/>
          <w:lang w:eastAsia="en-US"/>
        </w:rPr>
        <w:t xml:space="preserve">, no kuriem 2,8 miljardi euro ir mājokļa iegādei. Turklāt kredīti 1,1 miljarda </w:t>
      </w:r>
      <w:r w:rsidRPr="006E6F08">
        <w:rPr>
          <w:rFonts w:ascii="Times New Roman" w:eastAsia="Times New Roman" w:hAnsi="Times New Roman"/>
          <w:i/>
          <w:sz w:val="28"/>
          <w:szCs w:val="28"/>
          <w:lang w:eastAsia="en-US"/>
        </w:rPr>
        <w:t>euro</w:t>
      </w:r>
      <w:r w:rsidRPr="006E6F08">
        <w:rPr>
          <w:rFonts w:ascii="Times New Roman" w:eastAsia="Times New Roman" w:hAnsi="Times New Roman"/>
          <w:sz w:val="28"/>
          <w:szCs w:val="28"/>
          <w:lang w:eastAsia="en-US"/>
        </w:rPr>
        <w:t xml:space="preserve"> apmērā mājokļu iegādei tika sniegti ar </w:t>
      </w:r>
      <w:r w:rsidR="00E7378A">
        <w:rPr>
          <w:rFonts w:ascii="Times New Roman" w:eastAsia="Times New Roman" w:hAnsi="Times New Roman"/>
          <w:sz w:val="28"/>
          <w:szCs w:val="28"/>
          <w:lang w:eastAsia="en-US"/>
        </w:rPr>
        <w:t>AS</w:t>
      </w:r>
      <w:r w:rsidR="00160722">
        <w:rPr>
          <w:rFonts w:ascii="Times New Roman" w:eastAsia="Times New Roman" w:hAnsi="Times New Roman"/>
          <w:sz w:val="28"/>
          <w:szCs w:val="28"/>
          <w:lang w:eastAsia="en-US"/>
        </w:rPr>
        <w:t xml:space="preserve"> </w:t>
      </w:r>
      <w:r w:rsidR="00160722" w:rsidRPr="00160722">
        <w:rPr>
          <w:rFonts w:ascii="Times New Roman" w:eastAsia="Times New Roman" w:hAnsi="Times New Roman"/>
          <w:sz w:val="28"/>
          <w:szCs w:val="28"/>
          <w:lang w:eastAsia="en-US"/>
        </w:rPr>
        <w:t>"Attīstības finanšu institūcija Altum"</w:t>
      </w:r>
      <w:r w:rsidR="00160722">
        <w:rPr>
          <w:rFonts w:ascii="Times New Roman" w:eastAsia="Times New Roman" w:hAnsi="Times New Roman"/>
          <w:sz w:val="28"/>
          <w:szCs w:val="28"/>
          <w:lang w:eastAsia="en-US"/>
        </w:rPr>
        <w:t xml:space="preserve"> </w:t>
      </w:r>
      <w:r w:rsidRPr="006E6F08">
        <w:rPr>
          <w:rFonts w:ascii="Times New Roman" w:eastAsia="Times New Roman" w:hAnsi="Times New Roman"/>
          <w:sz w:val="28"/>
          <w:szCs w:val="28"/>
          <w:lang w:eastAsia="en-US"/>
        </w:rPr>
        <w:t>atbalstu ģimenēm ar bērniem un jauniem speciālistiem. Tomēr no jauna izsniegto kredītu apjoms mājsaimniecībām mājokļa iegādei 2019.gadā uzrādīja 3,7% samazinājumu.</w:t>
      </w:r>
    </w:p>
    <w:p w14:paraId="4D6385CA" w14:textId="374F5B2B" w:rsidR="006E6F08" w:rsidRDefault="006E6F08" w:rsidP="00401A5B">
      <w:pPr>
        <w:ind w:firstLine="720"/>
        <w:jc w:val="both"/>
        <w:rPr>
          <w:rFonts w:ascii="Times New Roman" w:eastAsia="Times New Roman" w:hAnsi="Times New Roman"/>
          <w:sz w:val="28"/>
          <w:szCs w:val="28"/>
          <w:lang w:eastAsia="en-US"/>
        </w:rPr>
      </w:pPr>
      <w:r w:rsidRPr="006E6F08">
        <w:rPr>
          <w:rFonts w:ascii="Times New Roman" w:eastAsia="Times New Roman" w:hAnsi="Times New Roman"/>
          <w:sz w:val="28"/>
          <w:szCs w:val="28"/>
          <w:lang w:eastAsia="en-US"/>
        </w:rPr>
        <w:t>Covid-19 ieviestie ierobežojumi un nenoteiktība jūtami mazināja mājsaimniecību vēlmi kredit</w:t>
      </w:r>
      <w:r w:rsidR="00160722">
        <w:rPr>
          <w:rFonts w:ascii="Times New Roman" w:eastAsia="Times New Roman" w:hAnsi="Times New Roman"/>
          <w:sz w:val="28"/>
          <w:szCs w:val="28"/>
          <w:lang w:eastAsia="en-US"/>
        </w:rPr>
        <w:t>ēties. 2020.gada sešos</w:t>
      </w:r>
      <w:r w:rsidRPr="006E6F08">
        <w:rPr>
          <w:rFonts w:ascii="Times New Roman" w:eastAsia="Times New Roman" w:hAnsi="Times New Roman"/>
          <w:sz w:val="28"/>
          <w:szCs w:val="28"/>
          <w:lang w:eastAsia="en-US"/>
        </w:rPr>
        <w:t xml:space="preserve"> mēnešos no jauna izsniegto kredītu apjoms mājoklim ir par 20% mazāks, nekā šajā periodā pērn. Arī uzņēmumiem no jauna</w:t>
      </w:r>
      <w:r w:rsidR="00160722">
        <w:rPr>
          <w:rFonts w:ascii="Times New Roman" w:eastAsia="Times New Roman" w:hAnsi="Times New Roman"/>
          <w:sz w:val="28"/>
          <w:szCs w:val="28"/>
          <w:lang w:eastAsia="en-US"/>
        </w:rPr>
        <w:t xml:space="preserve"> uzsniegto kredītu apjoms </w:t>
      </w:r>
      <w:r w:rsidR="00E90EA4">
        <w:rPr>
          <w:rFonts w:ascii="Times New Roman" w:eastAsia="Times New Roman" w:hAnsi="Times New Roman"/>
          <w:sz w:val="28"/>
          <w:szCs w:val="28"/>
          <w:lang w:eastAsia="en-US"/>
        </w:rPr>
        <w:t>šā gada</w:t>
      </w:r>
      <w:r w:rsidR="00160722">
        <w:rPr>
          <w:rFonts w:ascii="Times New Roman" w:eastAsia="Times New Roman" w:hAnsi="Times New Roman"/>
          <w:sz w:val="28"/>
          <w:szCs w:val="28"/>
          <w:lang w:eastAsia="en-US"/>
        </w:rPr>
        <w:t xml:space="preserve"> sešos</w:t>
      </w:r>
      <w:r w:rsidRPr="006E6F08">
        <w:rPr>
          <w:rFonts w:ascii="Times New Roman" w:eastAsia="Times New Roman" w:hAnsi="Times New Roman"/>
          <w:sz w:val="28"/>
          <w:szCs w:val="28"/>
          <w:lang w:eastAsia="en-US"/>
        </w:rPr>
        <w:t xml:space="preserve"> mēnešos ir par 5,8% mazāks, nekā šajā periodā pērn. Arī ar </w:t>
      </w:r>
      <w:r w:rsidR="00160722">
        <w:rPr>
          <w:rFonts w:ascii="Times New Roman" w:eastAsia="Times New Roman" w:hAnsi="Times New Roman"/>
          <w:sz w:val="28"/>
          <w:szCs w:val="28"/>
          <w:lang w:eastAsia="en-US"/>
        </w:rPr>
        <w:t xml:space="preserve">akciju sabiedrības </w:t>
      </w:r>
      <w:r w:rsidR="00160722" w:rsidRPr="00160722">
        <w:rPr>
          <w:rFonts w:ascii="Times New Roman" w:eastAsia="Times New Roman" w:hAnsi="Times New Roman"/>
          <w:sz w:val="28"/>
          <w:szCs w:val="28"/>
          <w:lang w:eastAsia="en-US"/>
        </w:rPr>
        <w:t>"Attīstības finanšu institūcija Altum"</w:t>
      </w:r>
      <w:r w:rsidRPr="006E6F08">
        <w:rPr>
          <w:rFonts w:ascii="Times New Roman" w:eastAsia="Times New Roman" w:hAnsi="Times New Roman"/>
          <w:sz w:val="28"/>
          <w:szCs w:val="28"/>
          <w:lang w:eastAsia="en-US"/>
        </w:rPr>
        <w:t xml:space="preserve"> atbalstu izsniegto kredītu apjoms gan jaunajām ģimenēm, ga</w:t>
      </w:r>
      <w:r w:rsidR="00160722">
        <w:rPr>
          <w:rFonts w:ascii="Times New Roman" w:eastAsia="Times New Roman" w:hAnsi="Times New Roman"/>
          <w:sz w:val="28"/>
          <w:szCs w:val="28"/>
          <w:lang w:eastAsia="en-US"/>
        </w:rPr>
        <w:t xml:space="preserve">n jaunajiem speciālistiem </w:t>
      </w:r>
      <w:r w:rsidR="00E90EA4">
        <w:rPr>
          <w:rFonts w:ascii="Times New Roman" w:eastAsia="Times New Roman" w:hAnsi="Times New Roman"/>
          <w:sz w:val="28"/>
          <w:szCs w:val="28"/>
          <w:lang w:eastAsia="en-US"/>
        </w:rPr>
        <w:t>šā gada</w:t>
      </w:r>
      <w:r w:rsidR="00160722">
        <w:rPr>
          <w:rFonts w:ascii="Times New Roman" w:eastAsia="Times New Roman" w:hAnsi="Times New Roman"/>
          <w:sz w:val="28"/>
          <w:szCs w:val="28"/>
          <w:lang w:eastAsia="en-US"/>
        </w:rPr>
        <w:t xml:space="preserve"> sešos</w:t>
      </w:r>
      <w:r w:rsidRPr="006E6F08">
        <w:rPr>
          <w:rFonts w:ascii="Times New Roman" w:eastAsia="Times New Roman" w:hAnsi="Times New Roman"/>
          <w:sz w:val="28"/>
          <w:szCs w:val="28"/>
          <w:lang w:eastAsia="en-US"/>
        </w:rPr>
        <w:t xml:space="preserve"> mēnešos samazinājās. Kopējais ar </w:t>
      </w:r>
      <w:r w:rsidR="00E7378A">
        <w:rPr>
          <w:rFonts w:ascii="Times New Roman" w:eastAsia="Times New Roman" w:hAnsi="Times New Roman"/>
          <w:sz w:val="28"/>
          <w:szCs w:val="28"/>
          <w:lang w:eastAsia="en-US"/>
        </w:rPr>
        <w:t>AS</w:t>
      </w:r>
      <w:r w:rsidR="00160722">
        <w:rPr>
          <w:rFonts w:ascii="Times New Roman" w:eastAsia="Times New Roman" w:hAnsi="Times New Roman"/>
          <w:sz w:val="28"/>
          <w:szCs w:val="28"/>
          <w:lang w:eastAsia="en-US"/>
        </w:rPr>
        <w:t xml:space="preserve"> </w:t>
      </w:r>
      <w:r w:rsidR="00160722" w:rsidRPr="00160722">
        <w:rPr>
          <w:rFonts w:ascii="Times New Roman" w:eastAsia="Times New Roman" w:hAnsi="Times New Roman"/>
          <w:sz w:val="28"/>
          <w:szCs w:val="28"/>
          <w:lang w:eastAsia="en-US"/>
        </w:rPr>
        <w:t>"Attīstības finanšu institūcija Altum"</w:t>
      </w:r>
      <w:r w:rsidRPr="006E6F08">
        <w:rPr>
          <w:rFonts w:ascii="Times New Roman" w:eastAsia="Times New Roman" w:hAnsi="Times New Roman"/>
          <w:sz w:val="28"/>
          <w:szCs w:val="28"/>
          <w:lang w:eastAsia="en-US"/>
        </w:rPr>
        <w:t xml:space="preserve"> atbalstu izsniegto kredītu apjoms 2020.</w:t>
      </w:r>
      <w:r w:rsidR="00160722">
        <w:rPr>
          <w:rFonts w:ascii="Times New Roman" w:eastAsia="Times New Roman" w:hAnsi="Times New Roman"/>
          <w:sz w:val="28"/>
          <w:szCs w:val="28"/>
          <w:lang w:eastAsia="en-US"/>
        </w:rPr>
        <w:t>gada sešos</w:t>
      </w:r>
      <w:r w:rsidRPr="006E6F08">
        <w:rPr>
          <w:rFonts w:ascii="Times New Roman" w:eastAsia="Times New Roman" w:hAnsi="Times New Roman"/>
          <w:sz w:val="28"/>
          <w:szCs w:val="28"/>
          <w:lang w:eastAsia="en-US"/>
        </w:rPr>
        <w:t xml:space="preserve"> mēnešos bija 19% mazāks nekā attiecīgajā periodā pirms gada. Kreditēšanas aktivitāte īpaši kritās pandēmijas uzliesmojuma laikā, kad 2020.gada 2.ceturksnī izsniegto kredītu apjoms jaunajām ģimenēm saruka pat par 37% pret šo</w:t>
      </w:r>
      <w:r w:rsidR="00F30041">
        <w:rPr>
          <w:rFonts w:ascii="Times New Roman" w:eastAsia="Times New Roman" w:hAnsi="Times New Roman"/>
          <w:sz w:val="28"/>
          <w:szCs w:val="28"/>
          <w:lang w:eastAsia="en-US"/>
        </w:rPr>
        <w:t xml:space="preserve"> pašu periodu pērn (skat. 1.22.att.).</w:t>
      </w:r>
    </w:p>
    <w:p w14:paraId="05BA465F" w14:textId="77777777" w:rsidR="00160722" w:rsidRPr="006E6F08" w:rsidRDefault="00160722" w:rsidP="00401A5B">
      <w:pPr>
        <w:ind w:firstLine="720"/>
        <w:jc w:val="both"/>
        <w:rPr>
          <w:rFonts w:ascii="Times New Roman" w:eastAsia="Times New Roman" w:hAnsi="Times New Roman"/>
          <w:sz w:val="28"/>
          <w:szCs w:val="28"/>
          <w:lang w:eastAsia="en-US"/>
        </w:rPr>
      </w:pPr>
    </w:p>
    <w:p w14:paraId="7E1081AD" w14:textId="77777777" w:rsidR="006E6F08" w:rsidRPr="006E6F08" w:rsidRDefault="006E6F08" w:rsidP="00401A5B">
      <w:pPr>
        <w:ind w:firstLine="720"/>
        <w:jc w:val="both"/>
        <w:rPr>
          <w:rFonts w:ascii="Times New Roman" w:eastAsiaTheme="minorHAnsi" w:hAnsi="Times New Roman"/>
          <w:b/>
          <w:bCs/>
          <w:vanish/>
          <w:sz w:val="28"/>
          <w:szCs w:val="28"/>
          <w:lang w:eastAsia="en-US"/>
        </w:rPr>
      </w:pPr>
    </w:p>
    <w:p w14:paraId="5A4BCE3F" w14:textId="77777777" w:rsidR="006E6F08" w:rsidRPr="006E6F08" w:rsidRDefault="006E6F08" w:rsidP="00401A5B">
      <w:pPr>
        <w:ind w:firstLine="720"/>
        <w:jc w:val="both"/>
        <w:rPr>
          <w:rFonts w:ascii="Times New Roman" w:eastAsiaTheme="minorHAnsi" w:hAnsi="Times New Roman"/>
          <w:bCs/>
          <w:sz w:val="28"/>
          <w:szCs w:val="28"/>
          <w:lang w:eastAsia="en-US"/>
        </w:rPr>
      </w:pPr>
      <w:r w:rsidRPr="006E6F08">
        <w:rPr>
          <w:rFonts w:ascii="Times New Roman" w:eastAsiaTheme="minorHAnsi" w:hAnsi="Times New Roman"/>
          <w:bCs/>
          <w:noProof/>
          <w:sz w:val="28"/>
          <w:szCs w:val="28"/>
        </w:rPr>
        <w:drawing>
          <wp:inline distT="0" distB="0" distL="0" distR="0" wp14:anchorId="1B16C034" wp14:editId="52D85572">
            <wp:extent cx="4572000" cy="27432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341F3B" w14:textId="2D3C91FC" w:rsidR="006E6F08" w:rsidRPr="006E6F08" w:rsidRDefault="006E6F08" w:rsidP="00401A5B">
      <w:pPr>
        <w:jc w:val="center"/>
        <w:rPr>
          <w:rFonts w:ascii="Times New Roman" w:eastAsiaTheme="minorHAnsi" w:hAnsi="Times New Roman"/>
          <w:b/>
          <w:i/>
          <w:sz w:val="24"/>
          <w:lang w:eastAsia="en-US"/>
        </w:rPr>
      </w:pPr>
      <w:r w:rsidRPr="006E6F08">
        <w:rPr>
          <w:rFonts w:ascii="Times New Roman" w:eastAsiaTheme="minorHAnsi" w:hAnsi="Times New Roman"/>
          <w:b/>
          <w:i/>
          <w:sz w:val="24"/>
          <w:lang w:eastAsia="en-US"/>
        </w:rPr>
        <w:t>1.22</w:t>
      </w:r>
      <w:r w:rsidR="00160722">
        <w:rPr>
          <w:rFonts w:ascii="Times New Roman" w:eastAsiaTheme="minorHAnsi" w:hAnsi="Times New Roman"/>
          <w:b/>
          <w:i/>
          <w:sz w:val="24"/>
          <w:lang w:eastAsia="en-US"/>
        </w:rPr>
        <w:t>.</w:t>
      </w:r>
      <w:r w:rsidR="00090B27">
        <w:rPr>
          <w:rFonts w:ascii="Times New Roman" w:eastAsiaTheme="minorHAnsi" w:hAnsi="Times New Roman"/>
          <w:b/>
          <w:i/>
          <w:sz w:val="24"/>
          <w:lang w:eastAsia="en-US"/>
        </w:rPr>
        <w:t>att. R</w:t>
      </w:r>
      <w:r w:rsidRPr="006E6F08">
        <w:rPr>
          <w:rFonts w:ascii="Times New Roman" w:eastAsiaTheme="minorHAnsi" w:hAnsi="Times New Roman"/>
          <w:b/>
          <w:i/>
          <w:sz w:val="24"/>
          <w:lang w:eastAsia="en-US"/>
        </w:rPr>
        <w:t>ezidentiem izsniegtie kredīti (bez refinansētiem kredītiem), milj. euro</w:t>
      </w:r>
    </w:p>
    <w:p w14:paraId="4F9ED3D4" w14:textId="77777777" w:rsidR="006E6F08" w:rsidRPr="006E6F08" w:rsidRDefault="006E6F08" w:rsidP="00401A5B">
      <w:pPr>
        <w:ind w:firstLine="720"/>
        <w:jc w:val="both"/>
        <w:rPr>
          <w:rFonts w:ascii="Times New Roman" w:eastAsiaTheme="minorHAnsi" w:hAnsi="Times New Roman"/>
          <w:bCs/>
          <w:sz w:val="28"/>
          <w:szCs w:val="28"/>
          <w:lang w:eastAsia="en-US"/>
        </w:rPr>
      </w:pPr>
    </w:p>
    <w:p w14:paraId="1B314B1A" w14:textId="77777777" w:rsidR="006E6F08" w:rsidRPr="006E6F08" w:rsidRDefault="006E6F08" w:rsidP="00401A5B">
      <w:pPr>
        <w:ind w:firstLine="720"/>
        <w:jc w:val="both"/>
        <w:rPr>
          <w:rFonts w:ascii="Times New Roman" w:eastAsia="Times New Roman" w:hAnsi="Times New Roman"/>
          <w:sz w:val="28"/>
          <w:szCs w:val="28"/>
          <w:lang w:eastAsia="en-US"/>
        </w:rPr>
      </w:pPr>
      <w:r w:rsidRPr="006E6F08">
        <w:rPr>
          <w:rFonts w:ascii="Times New Roman" w:eastAsia="Times New Roman" w:hAnsi="Times New Roman"/>
          <w:sz w:val="28"/>
          <w:szCs w:val="28"/>
          <w:lang w:eastAsia="en-US"/>
        </w:rPr>
        <w:t xml:space="preserve">Kopumā 2019. gadā banku sektors darbojās ar 113,6 milj. </w:t>
      </w:r>
      <w:r w:rsidRPr="006E6F08">
        <w:rPr>
          <w:rFonts w:ascii="Times New Roman" w:eastAsia="Times New Roman" w:hAnsi="Times New Roman"/>
          <w:i/>
          <w:sz w:val="28"/>
          <w:szCs w:val="28"/>
          <w:lang w:eastAsia="en-US"/>
        </w:rPr>
        <w:t xml:space="preserve">euro </w:t>
      </w:r>
      <w:r w:rsidRPr="006E6F08">
        <w:rPr>
          <w:rFonts w:ascii="Times New Roman" w:eastAsia="Times New Roman" w:hAnsi="Times New Roman"/>
          <w:sz w:val="28"/>
          <w:szCs w:val="28"/>
          <w:lang w:eastAsia="en-US"/>
        </w:rPr>
        <w:t xml:space="preserve">pelņu, kas ir par 60% mazāk nekā 2018.gadā. Savukārt 2020.gada pirmajā pusgadā peļņa sastādīja 40,3 milj. </w:t>
      </w:r>
      <w:r w:rsidRPr="006E6F08">
        <w:rPr>
          <w:rFonts w:ascii="Times New Roman" w:eastAsia="Times New Roman" w:hAnsi="Times New Roman"/>
          <w:i/>
          <w:sz w:val="28"/>
          <w:szCs w:val="28"/>
          <w:lang w:eastAsia="en-US"/>
        </w:rPr>
        <w:t>euro</w:t>
      </w:r>
      <w:r w:rsidRPr="006E6F08">
        <w:rPr>
          <w:rFonts w:ascii="Times New Roman" w:eastAsia="Times New Roman" w:hAnsi="Times New Roman"/>
          <w:sz w:val="28"/>
          <w:szCs w:val="28"/>
          <w:lang w:eastAsia="en-US"/>
        </w:rPr>
        <w:t>, kas ir par 66% mazāk nekā pērn šajā periodā. Covid-19 krīze mazināja arī banku kapitāla atdeves rādītāju (ROE). 2020.gada 1.pusgadā ROE bija 3,2% līmenī, kas, salīdzinot ar 2019.gada vidējo rādītāju (9,9%), ir jūtams samazinājums. Tomēr kredītportfeļa kvalitāte 2020.gadā ir uzlabojusies, ienākumus nenesošo kredītu īpatsvars ir 5,3%, kas ir 1,8 procentpunktu uzlabojums salīdzinājumā ar 2019.gada beigām.</w:t>
      </w:r>
    </w:p>
    <w:p w14:paraId="4D1AEB2D" w14:textId="77777777" w:rsidR="006E6F08" w:rsidRPr="006E6F08" w:rsidRDefault="006E6F08" w:rsidP="00401A5B">
      <w:pPr>
        <w:ind w:firstLine="720"/>
        <w:jc w:val="both"/>
        <w:rPr>
          <w:rFonts w:ascii="Times New Roman" w:eastAsia="Times New Roman" w:hAnsi="Times New Roman"/>
          <w:sz w:val="28"/>
          <w:szCs w:val="28"/>
          <w:lang w:eastAsia="en-US"/>
        </w:rPr>
      </w:pPr>
      <w:r w:rsidRPr="006E6F08">
        <w:rPr>
          <w:rFonts w:ascii="Times New Roman" w:eastAsia="Times New Roman" w:hAnsi="Times New Roman"/>
          <w:sz w:val="28"/>
          <w:szCs w:val="28"/>
          <w:lang w:eastAsia="en-US"/>
        </w:rPr>
        <w:t xml:space="preserve">Citi finanšu sektora tirgus dalībnieki arī 2020.gadā turpināja uzrādīt stabilu, mērenu izaugsmi. Saskaņā ar FKTK apkopotajiem datiem, palēninoties ekonomikas izaugsmes tempam, kopējais apdrošināšanas sabiedrību parakstīto bruto prēmiju apmērs 2020.gada 1.ceturksnī pieauga par 8,6% salīdzinājumā ar iepriekšējā gada attiecīgo periodu, sasniedzot 143 milj. </w:t>
      </w:r>
      <w:r w:rsidRPr="006E6F08">
        <w:rPr>
          <w:rFonts w:ascii="Times New Roman" w:eastAsia="Times New Roman" w:hAnsi="Times New Roman"/>
          <w:i/>
          <w:sz w:val="28"/>
          <w:szCs w:val="28"/>
          <w:lang w:eastAsia="en-US"/>
        </w:rPr>
        <w:t>euro</w:t>
      </w:r>
      <w:r w:rsidRPr="006E6F08">
        <w:rPr>
          <w:rFonts w:ascii="Times New Roman" w:eastAsia="Times New Roman" w:hAnsi="Times New Roman"/>
          <w:sz w:val="28"/>
          <w:szCs w:val="28"/>
          <w:lang w:eastAsia="en-US"/>
        </w:rPr>
        <w:t>, no kuriem 80% ir nedzīvības apdrošināšana. Toties dzīvības apdrošināšanas parakstīto bruto prēmiju apmērs gandrīz trīskāršojās.</w:t>
      </w:r>
    </w:p>
    <w:p w14:paraId="1CBD092C" w14:textId="77777777" w:rsidR="006E6F08" w:rsidRPr="006E6F08" w:rsidRDefault="006E6F08" w:rsidP="00401A5B">
      <w:pPr>
        <w:ind w:firstLine="720"/>
        <w:jc w:val="both"/>
        <w:rPr>
          <w:rFonts w:ascii="Times New Roman" w:eastAsia="Times New Roman" w:hAnsi="Times New Roman"/>
          <w:sz w:val="28"/>
          <w:szCs w:val="28"/>
          <w:lang w:eastAsia="en-US"/>
        </w:rPr>
      </w:pPr>
      <w:r w:rsidRPr="006E6F08">
        <w:rPr>
          <w:rFonts w:ascii="Times New Roman" w:eastAsia="Times New Roman" w:hAnsi="Times New Roman"/>
          <w:sz w:val="28"/>
          <w:szCs w:val="28"/>
          <w:lang w:eastAsia="en-US"/>
        </w:rPr>
        <w:t xml:space="preserve">Apdrošināšanas sabiedrības 2020.gada 1.ceturksnī kopumā strādāja ar 3,5 milj. </w:t>
      </w:r>
      <w:r w:rsidRPr="006E6F08">
        <w:rPr>
          <w:rFonts w:ascii="Times New Roman" w:eastAsia="Times New Roman" w:hAnsi="Times New Roman"/>
          <w:i/>
          <w:sz w:val="28"/>
          <w:szCs w:val="28"/>
          <w:lang w:eastAsia="en-US"/>
        </w:rPr>
        <w:t>euro</w:t>
      </w:r>
      <w:r w:rsidRPr="006E6F08">
        <w:rPr>
          <w:rFonts w:ascii="Times New Roman" w:eastAsia="Times New Roman" w:hAnsi="Times New Roman"/>
          <w:sz w:val="28"/>
          <w:szCs w:val="28"/>
          <w:lang w:eastAsia="en-US"/>
        </w:rPr>
        <w:t xml:space="preserve"> zaudējumiem pretstatā 4,8 milj. </w:t>
      </w:r>
      <w:r w:rsidRPr="006E6F08">
        <w:rPr>
          <w:rFonts w:ascii="Times New Roman" w:eastAsia="Times New Roman" w:hAnsi="Times New Roman"/>
          <w:i/>
          <w:sz w:val="28"/>
          <w:szCs w:val="28"/>
          <w:lang w:eastAsia="en-US"/>
        </w:rPr>
        <w:t>euro</w:t>
      </w:r>
      <w:r w:rsidRPr="006E6F08">
        <w:rPr>
          <w:rFonts w:ascii="Times New Roman" w:eastAsia="Times New Roman" w:hAnsi="Times New Roman"/>
          <w:sz w:val="28"/>
          <w:szCs w:val="28"/>
          <w:lang w:eastAsia="en-US"/>
        </w:rPr>
        <w:t xml:space="preserve"> peļņai 2019.gada 1.ceturksnī. Zaudējumi bija dzīvības apdrošināšanas sabiedrībām (11,4 milj. </w:t>
      </w:r>
      <w:r w:rsidRPr="006E6F08">
        <w:rPr>
          <w:rFonts w:ascii="Times New Roman" w:eastAsia="Times New Roman" w:hAnsi="Times New Roman"/>
          <w:i/>
          <w:sz w:val="28"/>
          <w:szCs w:val="28"/>
          <w:lang w:eastAsia="en-US"/>
        </w:rPr>
        <w:t>euro</w:t>
      </w:r>
      <w:r w:rsidRPr="006E6F08">
        <w:rPr>
          <w:rFonts w:ascii="Times New Roman" w:eastAsia="Times New Roman" w:hAnsi="Times New Roman"/>
          <w:sz w:val="28"/>
          <w:szCs w:val="28"/>
          <w:lang w:eastAsia="en-US"/>
        </w:rPr>
        <w:t xml:space="preserve">), kas radās no ieguldījumu pārvērtēšanas. Savukārt nedzīvības apdrošināšanas sabiedrībām peļņa sasniedza 7,8 milj. </w:t>
      </w:r>
      <w:r w:rsidRPr="006E6F08">
        <w:rPr>
          <w:rFonts w:ascii="Times New Roman" w:eastAsia="Times New Roman" w:hAnsi="Times New Roman"/>
          <w:i/>
          <w:sz w:val="28"/>
          <w:szCs w:val="28"/>
          <w:lang w:eastAsia="en-US"/>
        </w:rPr>
        <w:t>euro</w:t>
      </w:r>
      <w:r w:rsidRPr="006E6F08">
        <w:rPr>
          <w:rFonts w:ascii="Times New Roman" w:eastAsia="Times New Roman" w:hAnsi="Times New Roman"/>
          <w:sz w:val="28"/>
          <w:szCs w:val="28"/>
          <w:lang w:eastAsia="en-US"/>
        </w:rPr>
        <w:t xml:space="preserve">, kas bija par 4,1 milj. </w:t>
      </w:r>
      <w:r w:rsidRPr="006E6F08">
        <w:rPr>
          <w:rFonts w:ascii="Times New Roman" w:eastAsia="Times New Roman" w:hAnsi="Times New Roman"/>
          <w:i/>
          <w:sz w:val="28"/>
          <w:szCs w:val="28"/>
          <w:lang w:eastAsia="en-US"/>
        </w:rPr>
        <w:t>euro</w:t>
      </w:r>
      <w:r w:rsidRPr="006E6F08">
        <w:rPr>
          <w:rFonts w:ascii="Times New Roman" w:eastAsia="Times New Roman" w:hAnsi="Times New Roman"/>
          <w:sz w:val="28"/>
          <w:szCs w:val="28"/>
          <w:lang w:eastAsia="en-US"/>
        </w:rPr>
        <w:t xml:space="preserve"> vairāk nekā 2019.gada attiecīgajā ceturksnī.</w:t>
      </w:r>
    </w:p>
    <w:p w14:paraId="3707C919" w14:textId="77777777" w:rsidR="003F3FCD" w:rsidRPr="000C3EB5" w:rsidRDefault="003F3FCD" w:rsidP="00401A5B">
      <w:pPr>
        <w:widowControl w:val="0"/>
        <w:rPr>
          <w:rFonts w:ascii="Calibri" w:eastAsia="Calibri" w:hAnsi="Calibri" w:cs="Calibri"/>
        </w:rPr>
      </w:pPr>
    </w:p>
    <w:p w14:paraId="40BA9E72" w14:textId="77777777" w:rsidR="003F3FCD" w:rsidRPr="005A37CD" w:rsidRDefault="000548A5" w:rsidP="00401A5B">
      <w:pPr>
        <w:widowControl w:val="0"/>
        <w:jc w:val="center"/>
        <w:rPr>
          <w:rFonts w:ascii="Times New Roman" w:eastAsia="Times New Roman" w:hAnsi="Times New Roman" w:cs="Times New Roman"/>
          <w:b/>
          <w:sz w:val="28"/>
          <w:szCs w:val="24"/>
        </w:rPr>
      </w:pPr>
      <w:r w:rsidRPr="005A37CD">
        <w:rPr>
          <w:rFonts w:ascii="Times New Roman" w:eastAsia="Times New Roman" w:hAnsi="Times New Roman" w:cs="Times New Roman"/>
          <w:b/>
          <w:sz w:val="28"/>
          <w:szCs w:val="24"/>
        </w:rPr>
        <w:t>Lauksaimniecība</w:t>
      </w:r>
    </w:p>
    <w:p w14:paraId="525D5780" w14:textId="77777777" w:rsidR="003F3FCD" w:rsidRDefault="003F3FCD" w:rsidP="00401A5B">
      <w:pPr>
        <w:widowControl w:val="0"/>
        <w:ind w:firstLine="720"/>
        <w:jc w:val="both"/>
        <w:rPr>
          <w:rFonts w:ascii="Times New Roman" w:eastAsia="Times New Roman" w:hAnsi="Times New Roman" w:cs="Times New Roman"/>
          <w:sz w:val="24"/>
        </w:rPr>
      </w:pPr>
    </w:p>
    <w:p w14:paraId="353987D9" w14:textId="77777777" w:rsidR="005A37CD" w:rsidRPr="005A37CD" w:rsidRDefault="005A37CD" w:rsidP="00401A5B">
      <w:pPr>
        <w:ind w:firstLine="720"/>
        <w:jc w:val="both"/>
        <w:rPr>
          <w:rFonts w:ascii="Times New Roman" w:hAnsi="Times New Roman" w:cs="Times New Roman"/>
          <w:sz w:val="28"/>
          <w:szCs w:val="20"/>
        </w:rPr>
      </w:pPr>
      <w:r w:rsidRPr="005A37CD">
        <w:rPr>
          <w:rFonts w:ascii="Times New Roman" w:hAnsi="Times New Roman" w:cs="Times New Roman"/>
          <w:sz w:val="28"/>
          <w:szCs w:val="20"/>
        </w:rPr>
        <w:t>Latvijas tautsaimniecības nozaru struktūrā lauksaimniecība, apvienojot mežsaimniecības, lauksaimniecības (lopkopība, augkopība) un zivsaimniecības apakšnozares, pērn veidoja 3,8%, kas bija viens no augstākajiem nozares īpatsvariem pēdējo piecpadsmit gadu laikā. Salīdzinot ar 2018.gadu, lauksaimniecības daļa Latvijas ekonomikā pērn ir palielinājusies par 0,4 procentpunktiem, ko nodrošināja spēcīgā nozares izaugsme 2019.gadā.</w:t>
      </w:r>
    </w:p>
    <w:p w14:paraId="7B1D5822" w14:textId="77777777" w:rsidR="005A37CD" w:rsidRPr="005A37CD" w:rsidRDefault="005A37CD" w:rsidP="00401A5B">
      <w:pPr>
        <w:ind w:firstLine="720"/>
        <w:jc w:val="both"/>
        <w:rPr>
          <w:rFonts w:ascii="Times New Roman" w:hAnsi="Times New Roman" w:cs="Times New Roman"/>
          <w:sz w:val="28"/>
          <w:szCs w:val="20"/>
        </w:rPr>
      </w:pPr>
      <w:r w:rsidRPr="005A37CD">
        <w:rPr>
          <w:rFonts w:ascii="Times New Roman" w:hAnsi="Times New Roman" w:cs="Times New Roman"/>
          <w:sz w:val="28"/>
          <w:szCs w:val="20"/>
        </w:rPr>
        <w:t xml:space="preserve">Lai arī nozares īpatsvars kopējā Latvijas tautsaimniecības struktūrā ir neliels, lauksaimniecībā nodarbināto skaits ir salīdzinoši augsts. 2019.gadā nozarē strādāja 66,3 tūkstoši cilvēku, kas ir 7,3% no kopējā tautsaimniecībā nodarbināto iedzīvotāju skaita. Pērn lauksaimniecībā strādājošo skaits pieauga par 4,7%, tomēr kopumā kopš 2008-2009.gada finanšu krīzes nozarē ir vērojama lejupslīdoša nodarbināto skaita tendence. Savukārt, pieaugot nozares pievienotajai vērtībai, uzlabojas lauksaimniecības produktivitātes rādītāji – pērn, salīdzinot ar 2018.gadu, pievienotā vērtība nozarē uz nodarbināto palielinājusies par 7,2%, bet salīdzinājumā ar 2008.gadu tā pieaugusi par 61%. </w:t>
      </w:r>
    </w:p>
    <w:p w14:paraId="2FCB1B6B" w14:textId="19C122EB" w:rsidR="005A37CD" w:rsidRDefault="005A37CD" w:rsidP="00401A5B">
      <w:pPr>
        <w:ind w:firstLine="720"/>
        <w:jc w:val="both"/>
        <w:rPr>
          <w:rFonts w:ascii="Times New Roman" w:hAnsi="Times New Roman" w:cs="Times New Roman"/>
          <w:sz w:val="28"/>
          <w:szCs w:val="20"/>
        </w:rPr>
      </w:pPr>
      <w:r w:rsidRPr="005A37CD">
        <w:rPr>
          <w:rFonts w:ascii="Times New Roman" w:hAnsi="Times New Roman" w:cs="Times New Roman"/>
          <w:sz w:val="28"/>
          <w:szCs w:val="20"/>
        </w:rPr>
        <w:t>2019.gadā lauksaimniecība uzrādīja straujāko izaugsmi pēdējo desmit gadu laikā, salīdzinājumā ar 2018.gadu nozarē radītajai pievienotajai vērtībai palielinoties par 12,3%. Tik spēcīgu nozares izaugsmi nodrošināja lopkopības un augkopības apjomu straujais pieaugums, kā arī mērenāks pievienotās vērtības kāpums mežsaimniecībā un mežizstrādē. Savukārt šogad lauksaimniecības nozare uzrāda vājus rezultātus, šā gada pirmajā pusgadā salīdzinājumā ar attiecīgo laika posmu 2019.gadā nozarē radītajai pievienotajai vērtībai samazinoties par 1,1%, ko izraisīja kritums gan mež</w:t>
      </w:r>
      <w:r w:rsidR="00F30041">
        <w:rPr>
          <w:rFonts w:ascii="Times New Roman" w:hAnsi="Times New Roman" w:cs="Times New Roman"/>
          <w:sz w:val="28"/>
          <w:szCs w:val="20"/>
        </w:rPr>
        <w:t>saimniecībā, gan zivsaimniecībā (skat. 1.23.att.).</w:t>
      </w:r>
    </w:p>
    <w:p w14:paraId="184D3DC3" w14:textId="77777777" w:rsidR="005A37CD" w:rsidRPr="005A37CD" w:rsidRDefault="005A37CD" w:rsidP="00401A5B">
      <w:pPr>
        <w:ind w:firstLine="720"/>
        <w:jc w:val="both"/>
        <w:rPr>
          <w:rFonts w:ascii="Times New Roman" w:hAnsi="Times New Roman" w:cs="Times New Roman"/>
          <w:sz w:val="28"/>
          <w:szCs w:val="20"/>
        </w:rPr>
      </w:pPr>
    </w:p>
    <w:p w14:paraId="1DE7B682" w14:textId="77777777" w:rsidR="005A37CD" w:rsidRPr="005A37CD" w:rsidRDefault="005A37CD" w:rsidP="00401A5B">
      <w:pPr>
        <w:jc w:val="center"/>
        <w:rPr>
          <w:rFonts w:ascii="Times New Roman" w:eastAsia="Times New Roman" w:hAnsi="Times New Roman" w:cs="Times New Roman"/>
          <w:sz w:val="28"/>
          <w:szCs w:val="28"/>
        </w:rPr>
      </w:pPr>
      <w:r w:rsidRPr="005A37CD">
        <w:rPr>
          <w:rFonts w:ascii="Times New Roman" w:hAnsi="Times New Roman" w:cs="Times New Roman"/>
          <w:noProof/>
        </w:rPr>
        <w:drawing>
          <wp:inline distT="0" distB="0" distL="0" distR="0" wp14:anchorId="07E7CB50" wp14:editId="626F7CA6">
            <wp:extent cx="3810000" cy="1914525"/>
            <wp:effectExtent l="0" t="0" r="0"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515C83" w14:textId="1292580A" w:rsidR="005A37CD" w:rsidRDefault="005A37CD" w:rsidP="00401A5B">
      <w:pPr>
        <w:jc w:val="center"/>
        <w:rPr>
          <w:rFonts w:ascii="Times New Roman" w:hAnsi="Times New Roman" w:cs="Times New Roman"/>
          <w:b/>
          <w:i/>
          <w:sz w:val="24"/>
        </w:rPr>
      </w:pPr>
      <w:r w:rsidRPr="005A37CD">
        <w:rPr>
          <w:rFonts w:ascii="Times New Roman" w:hAnsi="Times New Roman" w:cs="Times New Roman"/>
          <w:b/>
          <w:i/>
          <w:sz w:val="24"/>
        </w:rPr>
        <w:t>1.23</w:t>
      </w:r>
      <w:r>
        <w:rPr>
          <w:rFonts w:ascii="Times New Roman" w:hAnsi="Times New Roman" w:cs="Times New Roman"/>
          <w:b/>
          <w:i/>
          <w:sz w:val="24"/>
        </w:rPr>
        <w:t>.</w:t>
      </w:r>
      <w:r w:rsidRPr="005A37CD">
        <w:rPr>
          <w:rFonts w:ascii="Times New Roman" w:hAnsi="Times New Roman" w:cs="Times New Roman"/>
          <w:b/>
          <w:i/>
          <w:sz w:val="24"/>
        </w:rPr>
        <w:t>att. Lauksaimniecības nozares pievienotās vērtības struktūra 2019.gadā (%)</w:t>
      </w:r>
    </w:p>
    <w:p w14:paraId="134824E4" w14:textId="77777777" w:rsidR="005A37CD" w:rsidRPr="005A37CD" w:rsidRDefault="005A37CD" w:rsidP="00401A5B">
      <w:pPr>
        <w:jc w:val="center"/>
        <w:rPr>
          <w:rFonts w:ascii="Times New Roman" w:hAnsi="Times New Roman" w:cs="Times New Roman"/>
          <w:b/>
          <w:i/>
          <w:sz w:val="24"/>
        </w:rPr>
      </w:pPr>
    </w:p>
    <w:p w14:paraId="1556EBC7" w14:textId="610E6D53" w:rsidR="005A37CD" w:rsidRDefault="005A37CD" w:rsidP="00401A5B">
      <w:pPr>
        <w:ind w:firstLine="720"/>
        <w:jc w:val="both"/>
        <w:rPr>
          <w:rFonts w:ascii="Times New Roman" w:hAnsi="Times New Roman" w:cs="Times New Roman"/>
          <w:sz w:val="28"/>
          <w:szCs w:val="20"/>
        </w:rPr>
      </w:pPr>
      <w:r w:rsidRPr="005A37CD">
        <w:rPr>
          <w:rFonts w:ascii="Times New Roman" w:hAnsi="Times New Roman" w:cs="Times New Roman"/>
          <w:sz w:val="28"/>
          <w:szCs w:val="20"/>
        </w:rPr>
        <w:t>Lielākā lauksaimniecības apakšnozare, kura apvieno lopkopību un augkopību, 2019.gadā veidoja pusi no visa lauksaimniecības sektora kopējās pievienotās vērtības un pērn uzrādīja izaugsmi 23,8% apmērā (</w:t>
      </w:r>
      <w:r w:rsidR="00F30041">
        <w:rPr>
          <w:rFonts w:ascii="Times New Roman" w:hAnsi="Times New Roman" w:cs="Times New Roman"/>
          <w:sz w:val="28"/>
          <w:szCs w:val="20"/>
        </w:rPr>
        <w:t xml:space="preserve">skat. </w:t>
      </w:r>
      <w:r w:rsidRPr="005A37CD">
        <w:rPr>
          <w:rFonts w:ascii="Times New Roman" w:hAnsi="Times New Roman" w:cs="Times New Roman"/>
          <w:sz w:val="28"/>
          <w:szCs w:val="20"/>
        </w:rPr>
        <w:t>1.24.att.). To nodrošināja straujais augkopības apjomu pieaugums (+42,7%), ko noteica vēsturiski augstākā graudaugu kopraža Latvijā. Tajā pašā laikā lopkopības apjomi pēdējo gadu laikā bijuši salīdzinoši stabili un 2019.gadā uzrādīja nelielu apjomu kritumu – par 1,4%.</w:t>
      </w:r>
    </w:p>
    <w:p w14:paraId="6A3B304A" w14:textId="77777777" w:rsidR="005A37CD" w:rsidRPr="005A37CD" w:rsidRDefault="005A37CD" w:rsidP="00401A5B">
      <w:pPr>
        <w:ind w:firstLine="720"/>
        <w:jc w:val="both"/>
        <w:rPr>
          <w:rFonts w:ascii="Times New Roman" w:hAnsi="Times New Roman" w:cs="Times New Roman"/>
          <w:sz w:val="28"/>
          <w:szCs w:val="20"/>
        </w:rPr>
      </w:pPr>
    </w:p>
    <w:p w14:paraId="429FF122" w14:textId="77777777" w:rsidR="005A37CD" w:rsidRPr="005A37CD" w:rsidRDefault="005A37CD" w:rsidP="00401A5B">
      <w:pPr>
        <w:jc w:val="center"/>
        <w:rPr>
          <w:rFonts w:ascii="Times New Roman" w:eastAsia="Times New Roman" w:hAnsi="Times New Roman" w:cs="Times New Roman"/>
          <w:sz w:val="28"/>
          <w:szCs w:val="28"/>
        </w:rPr>
      </w:pPr>
      <w:r w:rsidRPr="005A37CD">
        <w:rPr>
          <w:rFonts w:ascii="Times New Roman" w:hAnsi="Times New Roman" w:cs="Times New Roman"/>
          <w:noProof/>
        </w:rPr>
        <w:drawing>
          <wp:inline distT="0" distB="0" distL="0" distR="0" wp14:anchorId="6A0DDC2C" wp14:editId="30C46518">
            <wp:extent cx="4572000" cy="235267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F275E7" w14:textId="24E8A5FB" w:rsidR="005A37CD" w:rsidRDefault="005A37CD" w:rsidP="00401A5B">
      <w:pPr>
        <w:jc w:val="center"/>
        <w:rPr>
          <w:rFonts w:ascii="Times New Roman" w:hAnsi="Times New Roman" w:cs="Times New Roman"/>
          <w:b/>
          <w:i/>
          <w:sz w:val="24"/>
        </w:rPr>
      </w:pPr>
      <w:r w:rsidRPr="005A37CD">
        <w:rPr>
          <w:rFonts w:ascii="Times New Roman" w:hAnsi="Times New Roman" w:cs="Times New Roman"/>
          <w:b/>
          <w:i/>
          <w:sz w:val="24"/>
        </w:rPr>
        <w:t>1.24</w:t>
      </w:r>
      <w:r>
        <w:rPr>
          <w:rFonts w:ascii="Times New Roman" w:hAnsi="Times New Roman" w:cs="Times New Roman"/>
          <w:b/>
          <w:i/>
          <w:sz w:val="24"/>
        </w:rPr>
        <w:t>.</w:t>
      </w:r>
      <w:r w:rsidRPr="005A37CD">
        <w:rPr>
          <w:rFonts w:ascii="Times New Roman" w:hAnsi="Times New Roman" w:cs="Times New Roman"/>
          <w:b/>
          <w:i/>
          <w:sz w:val="24"/>
        </w:rPr>
        <w:t>att. Lauksaimniecības produkcijas indeksi (salīdzināmajās cenās), 2010=100</w:t>
      </w:r>
    </w:p>
    <w:p w14:paraId="073F0B5F" w14:textId="77777777" w:rsidR="005A37CD" w:rsidRPr="005A37CD" w:rsidRDefault="005A37CD" w:rsidP="00401A5B">
      <w:pPr>
        <w:jc w:val="center"/>
        <w:rPr>
          <w:rFonts w:ascii="Times New Roman" w:hAnsi="Times New Roman" w:cs="Times New Roman"/>
          <w:b/>
          <w:i/>
          <w:sz w:val="24"/>
        </w:rPr>
      </w:pPr>
    </w:p>
    <w:p w14:paraId="4CA1DC82" w14:textId="77777777" w:rsidR="005A37CD" w:rsidRPr="005A37CD" w:rsidRDefault="005A37CD" w:rsidP="00401A5B">
      <w:pPr>
        <w:ind w:firstLine="720"/>
        <w:jc w:val="both"/>
        <w:rPr>
          <w:rFonts w:ascii="Times New Roman" w:hAnsi="Times New Roman" w:cs="Times New Roman"/>
          <w:sz w:val="28"/>
          <w:szCs w:val="20"/>
        </w:rPr>
      </w:pPr>
      <w:r w:rsidRPr="005A37CD">
        <w:rPr>
          <w:rFonts w:ascii="Times New Roman" w:hAnsi="Times New Roman" w:cs="Times New Roman"/>
          <w:sz w:val="28"/>
          <w:szCs w:val="20"/>
        </w:rPr>
        <w:t>Savukārt šā gada pirmajā pusē lauksaimniecība attīstās daudz mērenāk, salīdzinot ar 2019.gada pirmo pusgadu augkopības un lopkopības pievienotajai vērtībai kopā palielinoties tikai par 1,4%. Nozares pārstāvji šovasar ir norādījuši, ka laika apstākļi graudaugu audzēšanai šogad nav bijuši ideāli saistībā ar ilgstošo sausumu pavasarī un vasaras sākumā, kā arī vētrām un krusu atsevišķos valsts reģionos, kas daudzviet sagāza labību veldrē un pamatīgi bojāja labības laukus. Tajā pašā laikā ražas novākšanas periodā laikapstākļi bijuši ļoti labi. Tādējādi, lai arī iepriekš cerētā rekordraža šogad visticamāk ievākta netiks, ko papildus apgrūtina pērn sasniegtais augstais ražas līmenis, kopumā situācija graudkopībā vērtējama pozitīvi. Tomēr šā gada pirmajā pusē samazinājušies lopkopības produkcijas, proti, gaļas, piena un olu, ražošanas apjomi.</w:t>
      </w:r>
    </w:p>
    <w:p w14:paraId="78954CE7" w14:textId="375A9D2A" w:rsidR="005A37CD" w:rsidRDefault="005A37CD" w:rsidP="00401A5B">
      <w:pPr>
        <w:ind w:firstLine="720"/>
        <w:jc w:val="both"/>
        <w:rPr>
          <w:rFonts w:ascii="Times New Roman" w:hAnsi="Times New Roman" w:cs="Times New Roman"/>
          <w:sz w:val="28"/>
          <w:szCs w:val="20"/>
        </w:rPr>
      </w:pPr>
      <w:r w:rsidRPr="005A37CD">
        <w:rPr>
          <w:rFonts w:ascii="Times New Roman" w:hAnsi="Times New Roman" w:cs="Times New Roman"/>
          <w:sz w:val="28"/>
          <w:szCs w:val="20"/>
        </w:rPr>
        <w:t>Lauksaimniecības produkcijas cenas 2019.gadā salīdzinājumā ar 2018.gadu pieauga par 4,6%, straujāku pieaugumu uzrādot augkopības produkcijas cenām (+8,8% gada griezumā), kamēr lopkopības produkcijas cenas palielinājās par 5,0%, tajā skaitā piena cenas – par 3,6% (</w:t>
      </w:r>
      <w:r w:rsidR="00F30041">
        <w:rPr>
          <w:rFonts w:ascii="Times New Roman" w:hAnsi="Times New Roman" w:cs="Times New Roman"/>
          <w:sz w:val="28"/>
          <w:szCs w:val="20"/>
        </w:rPr>
        <w:t xml:space="preserve">skat. </w:t>
      </w:r>
      <w:r w:rsidRPr="005A37CD">
        <w:rPr>
          <w:rFonts w:ascii="Times New Roman" w:hAnsi="Times New Roman" w:cs="Times New Roman"/>
          <w:sz w:val="28"/>
          <w:szCs w:val="20"/>
        </w:rPr>
        <w:t>1.25.att.). Savukārt šogad lauksaimniecības produkcijas cenas samazinās, 2020.gada pirmajā pusgadā salīdzinājumā ar attiecīgo laika periodu pērn cenu kritumam sasniedzot 4,1%. Graudu cenas bija par 2,8% zemākas nekā 2019.gada pirmajā pusgadā, un, atsaucoties uz nozares pārstāvju vērtējumu, šogad graudaugu cenas visdrīzāk nepieaugs, ņemot vērā, ka šogad pasaulē gaidāma rekordraža un līdz ar to rekordaugsti graudu krājumi. Savukārt starp visām augkopības kultūrām straujākais cenu kritums šā gada pirmajā pusē reģistrēts kartupeļiem – to cenas gada griezumā sarukušas par 30,0%. Lopkopības produkcijas cenas 2020.gada pirmajā pusē samazinājās par 2,5%, ko visbūtiskāk noteica zemākas liellopu un piena produkcijas cenas.</w:t>
      </w:r>
    </w:p>
    <w:p w14:paraId="51D749AA" w14:textId="77777777" w:rsidR="005A37CD" w:rsidRPr="005A37CD" w:rsidRDefault="005A37CD" w:rsidP="00401A5B">
      <w:pPr>
        <w:ind w:firstLine="720"/>
        <w:jc w:val="both"/>
        <w:rPr>
          <w:rFonts w:ascii="Times New Roman" w:hAnsi="Times New Roman" w:cs="Times New Roman"/>
          <w:sz w:val="28"/>
          <w:szCs w:val="20"/>
        </w:rPr>
      </w:pPr>
    </w:p>
    <w:p w14:paraId="12B4266B" w14:textId="77777777" w:rsidR="005A37CD" w:rsidRPr="005A37CD" w:rsidRDefault="005A37CD" w:rsidP="00401A5B">
      <w:pPr>
        <w:jc w:val="center"/>
        <w:rPr>
          <w:rFonts w:ascii="Times New Roman" w:hAnsi="Times New Roman" w:cs="Times New Roman"/>
          <w:sz w:val="28"/>
        </w:rPr>
      </w:pPr>
      <w:r w:rsidRPr="005A37CD">
        <w:rPr>
          <w:rFonts w:ascii="Times New Roman" w:hAnsi="Times New Roman" w:cs="Times New Roman"/>
          <w:noProof/>
        </w:rPr>
        <w:drawing>
          <wp:inline distT="0" distB="0" distL="0" distR="0" wp14:anchorId="79670CC7" wp14:editId="01621DF1">
            <wp:extent cx="4769485" cy="2400300"/>
            <wp:effectExtent l="0" t="0" r="1206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328AF3" w14:textId="7FB116C0" w:rsidR="005A37CD" w:rsidRDefault="005A37CD" w:rsidP="00401A5B">
      <w:pPr>
        <w:jc w:val="center"/>
        <w:rPr>
          <w:rFonts w:ascii="Times New Roman" w:eastAsia="Times New Roman" w:hAnsi="Times New Roman" w:cs="Times New Roman"/>
          <w:b/>
          <w:i/>
          <w:sz w:val="24"/>
        </w:rPr>
      </w:pPr>
      <w:r w:rsidRPr="005A37CD">
        <w:rPr>
          <w:rFonts w:ascii="Times New Roman" w:eastAsia="Times New Roman" w:hAnsi="Times New Roman" w:cs="Times New Roman"/>
          <w:b/>
          <w:i/>
          <w:sz w:val="24"/>
        </w:rPr>
        <w:t>1.25</w:t>
      </w:r>
      <w:r>
        <w:rPr>
          <w:rFonts w:ascii="Times New Roman" w:eastAsia="Times New Roman" w:hAnsi="Times New Roman" w:cs="Times New Roman"/>
          <w:b/>
          <w:i/>
          <w:sz w:val="24"/>
        </w:rPr>
        <w:t>.</w:t>
      </w:r>
      <w:r w:rsidRPr="005A37CD">
        <w:rPr>
          <w:rFonts w:ascii="Times New Roman" w:eastAsia="Times New Roman" w:hAnsi="Times New Roman" w:cs="Times New Roman"/>
          <w:b/>
          <w:i/>
          <w:sz w:val="24"/>
        </w:rPr>
        <w:t>att. Lauksaimniecības produkcijas cenas, euro par 1 tonnu</w:t>
      </w:r>
    </w:p>
    <w:p w14:paraId="47C2C839" w14:textId="77777777" w:rsidR="00F30041" w:rsidRPr="005A37CD" w:rsidRDefault="00F30041" w:rsidP="00401A5B">
      <w:pPr>
        <w:jc w:val="center"/>
        <w:rPr>
          <w:rFonts w:ascii="Times New Roman" w:eastAsia="Times New Roman" w:hAnsi="Times New Roman" w:cs="Times New Roman"/>
          <w:sz w:val="24"/>
        </w:rPr>
      </w:pPr>
    </w:p>
    <w:p w14:paraId="420948F8" w14:textId="77777777" w:rsidR="005A37CD" w:rsidRPr="005A37CD" w:rsidRDefault="005A37CD" w:rsidP="00401A5B">
      <w:pPr>
        <w:ind w:firstLine="720"/>
        <w:jc w:val="both"/>
        <w:rPr>
          <w:rFonts w:ascii="Times New Roman" w:hAnsi="Times New Roman" w:cs="Times New Roman"/>
          <w:sz w:val="28"/>
          <w:szCs w:val="20"/>
        </w:rPr>
      </w:pPr>
      <w:r w:rsidRPr="005A37CD">
        <w:rPr>
          <w:rFonts w:ascii="Times New Roman" w:hAnsi="Times New Roman" w:cs="Times New Roman"/>
          <w:sz w:val="28"/>
          <w:szCs w:val="20"/>
        </w:rPr>
        <w:t>Mežsaimniecība un mežizstrāde, kura veido gandrīz vai pusi no lauksaimniecības sektora, pērn uzrādīja pievienotās vērtības kāpumu par 5,9%, ko nodrošināja mežizstrādes darbu veikšanai labvēlīgie laikapstākļi. Arī kokmateriālu cenas, lai arī zemākas nekā 2018.gadā, joprojām bija salīdzinoši augstas, īpaši gada pirmajā pusē. Toties 2020.gada pirmajā pusgadā mežsaimniecībā vērojams kritums, salīdzinot ar pērnā gada pirmo pusgadu apakšnozares pievienotajai vērtībai samazinoties par 2,8%. Turklāt šā gada pirmajā pusē lielai daļai apaļkoku samazinājās vidējās iepirkumu cenas, nelabvēlīgi ietekmējot mežsaimnieku finansiālo situāciju.</w:t>
      </w:r>
    </w:p>
    <w:p w14:paraId="794130E0" w14:textId="77777777" w:rsidR="005A37CD" w:rsidRPr="005A37CD" w:rsidRDefault="005A37CD" w:rsidP="00401A5B">
      <w:pPr>
        <w:ind w:firstLine="720"/>
        <w:jc w:val="both"/>
        <w:rPr>
          <w:rFonts w:ascii="Times New Roman" w:hAnsi="Times New Roman" w:cs="Times New Roman"/>
          <w:sz w:val="28"/>
          <w:szCs w:val="20"/>
        </w:rPr>
      </w:pPr>
      <w:r w:rsidRPr="005A37CD">
        <w:rPr>
          <w:rFonts w:ascii="Times New Roman" w:hAnsi="Times New Roman" w:cs="Times New Roman"/>
          <w:sz w:val="28"/>
          <w:szCs w:val="20"/>
        </w:rPr>
        <w:t>Savukārt zivsaimniecība, kas veido tikai 3% no kopējais lauksaimniecības nozares pievienotās vērtības, pērn uzrādīja sarukumu par 22,9%. Tas sakrīt ar datiem par zivju nozveju, kuri uzrāda kopējās nozvejas samazinājumu 2019.gadā par 18,3%. Arī šogad zivsaimniecības nozarē turpinās kritums, pirmajā pusgadā nozares pievienotajai vērtībai samazinoties tikpat strauji kā pērn kopumā – par 22,6%. Attiecīgi – šajā laika periodā par 26,5% ir samazinājusies zivju nozveja un jūras produktu ieguve.</w:t>
      </w:r>
    </w:p>
    <w:p w14:paraId="54FCF8F6" w14:textId="26EB03CA" w:rsidR="005A37CD" w:rsidRDefault="005A37CD" w:rsidP="00401A5B">
      <w:pPr>
        <w:ind w:firstLine="720"/>
        <w:jc w:val="both"/>
        <w:rPr>
          <w:rFonts w:ascii="Times New Roman" w:hAnsi="Times New Roman" w:cs="Times New Roman"/>
          <w:sz w:val="28"/>
          <w:szCs w:val="20"/>
        </w:rPr>
      </w:pPr>
      <w:r w:rsidRPr="005A37CD">
        <w:rPr>
          <w:rFonts w:ascii="Times New Roman" w:hAnsi="Times New Roman" w:cs="Times New Roman"/>
          <w:sz w:val="28"/>
          <w:szCs w:val="20"/>
        </w:rPr>
        <w:t>Kopumā lauksaimniecības perspektīvas šim gadam ir vājākas nekā pērn, ko cita starpā netieši ietekmējusi arī Covid-19 krīze. Šogad gaidāma laba graudaugu raža, taču tā visdrīzāk nepārspēs pagājušā gada augsto līmeni. Šogad samazinās arī atsevišķu lopkopības kultūru ražošanas apjomi, kā arī sarūk lauksaimniecības produkcijas cenas. Turklāt maz ticams, ka kopējos lauksaimniecības rezultātus šogad varētu pozitīvi ietekmēt mežsaimniecības sniegums.</w:t>
      </w:r>
    </w:p>
    <w:p w14:paraId="20FD2A63" w14:textId="77777777" w:rsidR="002E297C" w:rsidRPr="005A37CD" w:rsidRDefault="002E297C" w:rsidP="00401A5B">
      <w:pPr>
        <w:ind w:firstLine="720"/>
        <w:jc w:val="both"/>
        <w:rPr>
          <w:rFonts w:ascii="Times New Roman" w:hAnsi="Times New Roman" w:cs="Times New Roman"/>
          <w:sz w:val="28"/>
          <w:szCs w:val="20"/>
        </w:rPr>
      </w:pPr>
    </w:p>
    <w:p w14:paraId="3CE811D4" w14:textId="645BB15A" w:rsidR="003F3FCD" w:rsidRPr="00155DEF" w:rsidRDefault="000548A5" w:rsidP="00FB2B77">
      <w:pPr>
        <w:pStyle w:val="Heading3"/>
        <w:numPr>
          <w:ilvl w:val="2"/>
          <w:numId w:val="10"/>
        </w:numPr>
      </w:pPr>
      <w:bookmarkStart w:id="6" w:name="_Toc53154080"/>
      <w:r w:rsidRPr="00155DEF">
        <w:t>Inflācija</w:t>
      </w:r>
      <w:bookmarkEnd w:id="6"/>
    </w:p>
    <w:p w14:paraId="2E00B826" w14:textId="77777777" w:rsidR="003F3FCD" w:rsidRDefault="003F3FCD" w:rsidP="00401A5B">
      <w:pPr>
        <w:widowControl w:val="0"/>
        <w:ind w:firstLine="720"/>
        <w:jc w:val="both"/>
        <w:rPr>
          <w:rFonts w:ascii="Times New Roman" w:eastAsia="Times New Roman" w:hAnsi="Times New Roman" w:cs="Times New Roman"/>
          <w:sz w:val="24"/>
        </w:rPr>
      </w:pPr>
    </w:p>
    <w:p w14:paraId="180096CC" w14:textId="77777777"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 xml:space="preserve">2019.gadā salīdzinājumā ar iepriekšējo gadu patēriņa cenas Latvijā pieauga par 2,8%, palielinoties gan preču, gan pakalpojumu cenām attiecīgi par 2,7% un 3,0%. Patēriņa cenu kāpumu noteica izejvielu cenu pieaugums pasaules biržās, kas atspoguļojās augstākās pārtikas, gāzes un cietā kurināmā cenās. Papildus tam, noturīgā ekonomikas izaugsme un darba samaksas kāpums veicināja iedzīvotāju pirktspēju, kas tiešā veidā stimulēja pakalpojumu cenu pieaugumu, it īpaši veselības un personīgo aprūpes pakalpojumu, ēdināšanas un izmitināšanas pakalpojumu, kā arī atpūtas un kultūras pakalpojumu cenas.  </w:t>
      </w:r>
    </w:p>
    <w:p w14:paraId="69A5C0E3" w14:textId="300AC01D"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Patēriņa cenu kāpums 2019.gadā bija fiksēts visās ES</w:t>
      </w:r>
      <w:r>
        <w:rPr>
          <w:rFonts w:ascii="Times New Roman" w:eastAsiaTheme="minorHAnsi" w:hAnsi="Times New Roman" w:cs="Times New Roman"/>
          <w:sz w:val="28"/>
          <w:szCs w:val="20"/>
          <w:lang w:eastAsia="en-US"/>
        </w:rPr>
        <w:t xml:space="preserve"> dalībvalstīs, kamēr vidējā </w:t>
      </w:r>
      <w:r w:rsidRPr="002E297C">
        <w:rPr>
          <w:rFonts w:ascii="Times New Roman" w:eastAsiaTheme="minorHAnsi" w:hAnsi="Times New Roman" w:cs="Times New Roman"/>
          <w:i/>
          <w:sz w:val="28"/>
          <w:szCs w:val="20"/>
          <w:lang w:eastAsia="en-US"/>
        </w:rPr>
        <w:t>euro</w:t>
      </w:r>
      <w:r>
        <w:rPr>
          <w:rFonts w:ascii="Times New Roman" w:eastAsiaTheme="minorHAnsi" w:hAnsi="Times New Roman" w:cs="Times New Roman"/>
          <w:sz w:val="28"/>
          <w:szCs w:val="20"/>
          <w:lang w:eastAsia="en-US"/>
        </w:rPr>
        <w:t xml:space="preserve"> </w:t>
      </w:r>
      <w:r w:rsidRPr="002E297C">
        <w:rPr>
          <w:rFonts w:ascii="Times New Roman" w:eastAsiaTheme="minorHAnsi" w:hAnsi="Times New Roman" w:cs="Times New Roman"/>
          <w:sz w:val="28"/>
          <w:szCs w:val="20"/>
          <w:lang w:eastAsia="en-US"/>
        </w:rPr>
        <w:t xml:space="preserve">zonas un ES inflācija attiecīgi bija 1,2% un 1,5%. Salīdzinājumā ar ES augstāka inflācija Latvijā skaidrojama ar vairākiem faktoriem. Pirmkārt, inflācijas atšķirību nosaka dažāds ekonomikas attīstības temps. Ja Latvijas nominālais IKP 2019.gadā palielinājās par 4,9%, tad ES vidēji ekonomikas izaugsme bija zemāka un veidoja 3,4%. Otrkārt, patēriņa groza atšķirīgā struktūra. Ekonomiski attīstītākajās valstīs tādu preču kā pārtikas, degvielas, alkoholisko dzērienu un tabakas īpatsvars kopējā patēriņa grozā ir zemāks, tādējādi pat pie vienāda šo preču cenu kāpuma ietekme uz inflāciju dažādās valstīs var ievērojami atšķirties. Piemēram, pārtikas produktu īpatsvars Latvijas patēriņa grozā sasniedz gandrīz 22%, bet ES vidēji ir ap 15%, un šo preču cena 2019. gadā Latvijā pieauga par 2,9%, bet ES vidēji par 2,0%. Tieši pārtikas cenu pieaugums Latvijā 2019.gadā nodrošināja lielāko devumu kopējā patēriņa cenu kāpumā. Treškārt, atšķirīga nodokļu politika. 2019.gadā Latvijā tika palielināta akcīzes nodokļa likme alkoholiskajiem dzērieniem un tabakai, kā arī dabas resursu nodokļa likme, kā rezultātā alkoholiskie dzērieni, tabakas izstrādājumi un atkritumu savākšanas pakalpojumi 2019.gadā sadārdzinājās attiecīgi par 4,9%, 6,7% un 17,0%. Tādejādi, nodokļu likmju izmaiņas 2019.gadā palielināja patēriņa cenu kāpumu vidēji par 0,3 procentpunktiem. Savukārt, pamatinflācija jeb patēriņa cenu izmaiņas, kas raksturo ekonomikas attīstību iekšējā tirgū, palielināja vidējo inflāciju par 1,7 procentpunktiem. </w:t>
      </w:r>
    </w:p>
    <w:p w14:paraId="16E5A7D3" w14:textId="6DB38E7E" w:rsidR="002E297C" w:rsidRDefault="002E297C" w:rsidP="00401A5B">
      <w:pPr>
        <w:ind w:firstLine="720"/>
        <w:jc w:val="both"/>
        <w:rPr>
          <w:rFonts w:ascii="Times New Roman" w:eastAsiaTheme="minorHAnsi" w:hAnsi="Times New Roman" w:cs="Times New Roman"/>
          <w:color w:val="000000" w:themeColor="text1"/>
          <w:sz w:val="28"/>
          <w:szCs w:val="20"/>
          <w:lang w:eastAsia="en-US"/>
        </w:rPr>
      </w:pPr>
      <w:r w:rsidRPr="002E297C">
        <w:rPr>
          <w:rFonts w:ascii="Times New Roman" w:eastAsiaTheme="minorHAnsi" w:hAnsi="Times New Roman" w:cs="Times New Roman"/>
          <w:sz w:val="28"/>
          <w:szCs w:val="20"/>
          <w:lang w:eastAsia="en-US"/>
        </w:rPr>
        <w:t xml:space="preserve">2020.gada pirmajos astoņos mēnešos patēriņa cenu līmenis Latvijā salīdzinājumā ar attiecīgo periodu iepriekšējā gadā pieauga par 0,6%. Lai arī patēriņa cenas kopumā palielinājās, cenu pieauguma diapazons pa mēnešiem bija plašs un kopš gada sākuma kopējā inflācijas aina Latvijā ir būtiski mainījusies </w:t>
      </w:r>
      <w:r w:rsidRPr="002E297C">
        <w:rPr>
          <w:rFonts w:ascii="Times New Roman" w:eastAsiaTheme="minorHAnsi" w:hAnsi="Times New Roman" w:cs="Times New Roman"/>
          <w:sz w:val="28"/>
          <w:szCs w:val="28"/>
          <w:lang w:eastAsia="en-US"/>
        </w:rPr>
        <w:t>Covid-19 pandēmijas ietekmē, kas galvenokārt izpaudās kā naftas cenu samazinājums pasaules tirgos un straujš pieprasījuma kritums ar tūrisma nozari saistītajiem pakalpojumiem, piemēram, aviopārvadājumiem</w:t>
      </w:r>
      <w:r w:rsidRPr="002E297C">
        <w:rPr>
          <w:rFonts w:ascii="Times New Roman" w:eastAsiaTheme="minorHAnsi" w:hAnsi="Times New Roman" w:cs="Times New Roman"/>
          <w:sz w:val="28"/>
          <w:szCs w:val="20"/>
          <w:lang w:eastAsia="en-US"/>
        </w:rPr>
        <w:t xml:space="preserve"> un izmitināšanas pakalpojumiem. Ja vēl janvārī un februārī gada inflācija pārsniedza 2%, tad maijā un jūnijā pirmo reizi kopš 2016.gada </w:t>
      </w:r>
      <w:r w:rsidRPr="002E297C">
        <w:rPr>
          <w:rFonts w:ascii="Times New Roman" w:eastAsiaTheme="minorHAnsi" w:hAnsi="Times New Roman" w:cs="Times New Roman"/>
          <w:sz w:val="28"/>
          <w:szCs w:val="28"/>
          <w:lang w:eastAsia="en-US"/>
        </w:rPr>
        <w:t xml:space="preserve">vidus Latvijā bija fiksēta deflācija un  cenas samazinājās attiecīgi par 0,6% un 0,7% salīdzinājumā ar attiecīgajiem mēnešiem iepriekšējā gadā. </w:t>
      </w:r>
      <w:r w:rsidRPr="002E297C">
        <w:rPr>
          <w:rFonts w:ascii="Times New Roman" w:eastAsiaTheme="minorHAnsi" w:hAnsi="Times New Roman" w:cs="Times New Roman"/>
          <w:color w:val="000000" w:themeColor="text1"/>
          <w:sz w:val="28"/>
          <w:szCs w:val="28"/>
          <w:lang w:eastAsia="en-US"/>
        </w:rPr>
        <w:t xml:space="preserve">Jūlijā atgriezās inflācija, kad patēriņa cenas pieauga par 0,5% salīdzinājumā ar iepriekšējā gada attiecīgo periodu, ko lielā mērā ietekmēja straujāks pārtikas cenu pieaugums. Savukārt augustā jau atkal tika fiksēta deflācija 0,2% apmērā. </w:t>
      </w:r>
      <w:r w:rsidRPr="002E297C">
        <w:rPr>
          <w:rFonts w:ascii="Times New Roman" w:eastAsiaTheme="minorHAnsi" w:hAnsi="Times New Roman" w:cs="Times New Roman"/>
          <w:color w:val="000000" w:themeColor="text1"/>
          <w:sz w:val="28"/>
          <w:szCs w:val="20"/>
          <w:lang w:eastAsia="en-US"/>
        </w:rPr>
        <w:t>Detalizētāka patēriņa cenu izmaiņu dinamika pa mēnešiem ir atspoguļota 1.26</w:t>
      </w:r>
      <w:r w:rsidR="00195261">
        <w:rPr>
          <w:rFonts w:ascii="Times New Roman" w:eastAsiaTheme="minorHAnsi" w:hAnsi="Times New Roman" w:cs="Times New Roman"/>
          <w:color w:val="000000" w:themeColor="text1"/>
          <w:sz w:val="28"/>
          <w:szCs w:val="20"/>
          <w:lang w:eastAsia="en-US"/>
        </w:rPr>
        <w:t>.</w:t>
      </w:r>
      <w:r w:rsidRPr="002E297C">
        <w:rPr>
          <w:rFonts w:ascii="Times New Roman" w:eastAsiaTheme="minorHAnsi" w:hAnsi="Times New Roman" w:cs="Times New Roman"/>
          <w:color w:val="000000" w:themeColor="text1"/>
          <w:sz w:val="28"/>
          <w:szCs w:val="20"/>
          <w:lang w:eastAsia="en-US"/>
        </w:rPr>
        <w:t xml:space="preserve">attēlā. </w:t>
      </w:r>
    </w:p>
    <w:p w14:paraId="047B094B" w14:textId="77777777" w:rsidR="002E297C" w:rsidRPr="002E297C" w:rsidRDefault="002E297C" w:rsidP="00401A5B">
      <w:pPr>
        <w:ind w:firstLine="720"/>
        <w:jc w:val="both"/>
        <w:rPr>
          <w:rFonts w:ascii="Times New Roman" w:eastAsiaTheme="minorHAnsi" w:hAnsi="Times New Roman" w:cs="Times New Roman"/>
          <w:sz w:val="28"/>
          <w:szCs w:val="20"/>
          <w:lang w:eastAsia="en-US"/>
        </w:rPr>
      </w:pPr>
    </w:p>
    <w:p w14:paraId="0363F796" w14:textId="77777777" w:rsidR="002E297C" w:rsidRPr="002E297C" w:rsidRDefault="002E297C" w:rsidP="00401A5B">
      <w:pPr>
        <w:jc w:val="center"/>
        <w:rPr>
          <w:rFonts w:ascii="Times New Roman" w:eastAsiaTheme="minorHAnsi" w:hAnsi="Times New Roman" w:cs="Times New Roman"/>
          <w:b/>
          <w:sz w:val="24"/>
          <w:szCs w:val="24"/>
          <w:lang w:eastAsia="en-US"/>
        </w:rPr>
      </w:pPr>
      <w:r w:rsidRPr="002E297C">
        <w:rPr>
          <w:rFonts w:ascii="Times New Roman" w:eastAsiaTheme="minorHAnsi" w:hAnsi="Times New Roman" w:cs="Times New Roman"/>
          <w:noProof/>
          <w:sz w:val="24"/>
          <w:szCs w:val="24"/>
        </w:rPr>
        <w:drawing>
          <wp:inline distT="0" distB="0" distL="0" distR="0" wp14:anchorId="74F076B5" wp14:editId="48070440">
            <wp:extent cx="5372100" cy="34194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1DF63B" w14:textId="05F71F2D" w:rsidR="002E297C" w:rsidRPr="002E297C" w:rsidRDefault="002E297C" w:rsidP="00401A5B">
      <w:pPr>
        <w:jc w:val="center"/>
        <w:rPr>
          <w:rFonts w:ascii="Times New Roman" w:eastAsia="Calibri" w:hAnsi="Times New Roman" w:cs="Times New Roman"/>
          <w:b/>
          <w:i/>
          <w:color w:val="000000"/>
          <w:sz w:val="24"/>
          <w:szCs w:val="24"/>
          <w:lang w:eastAsia="en-US"/>
        </w:rPr>
      </w:pPr>
      <w:r w:rsidRPr="002E297C">
        <w:rPr>
          <w:rFonts w:ascii="Times New Roman" w:eastAsia="Calibri" w:hAnsi="Times New Roman" w:cs="Times New Roman"/>
          <w:b/>
          <w:i/>
          <w:color w:val="000000" w:themeColor="text1"/>
          <w:sz w:val="24"/>
          <w:szCs w:val="24"/>
          <w:lang w:eastAsia="en-US"/>
        </w:rPr>
        <w:t>1.26</w:t>
      </w:r>
      <w:r>
        <w:rPr>
          <w:rFonts w:ascii="Times New Roman" w:eastAsia="Calibri" w:hAnsi="Times New Roman" w:cs="Times New Roman"/>
          <w:b/>
          <w:i/>
          <w:color w:val="000000" w:themeColor="text1"/>
          <w:sz w:val="24"/>
          <w:szCs w:val="24"/>
          <w:lang w:eastAsia="en-US"/>
        </w:rPr>
        <w:t>.</w:t>
      </w:r>
      <w:r w:rsidRPr="002E297C">
        <w:rPr>
          <w:rFonts w:ascii="Times New Roman" w:eastAsia="Calibri" w:hAnsi="Times New Roman" w:cs="Times New Roman"/>
          <w:b/>
          <w:i/>
          <w:color w:val="000000" w:themeColor="text1"/>
          <w:sz w:val="24"/>
          <w:szCs w:val="24"/>
          <w:lang w:eastAsia="en-US"/>
        </w:rPr>
        <w:t>att</w:t>
      </w:r>
      <w:r w:rsidRPr="002E297C">
        <w:rPr>
          <w:rFonts w:ascii="Times New Roman" w:eastAsia="Calibri" w:hAnsi="Times New Roman" w:cs="Times New Roman"/>
          <w:b/>
          <w:i/>
          <w:sz w:val="24"/>
          <w:szCs w:val="24"/>
          <w:lang w:eastAsia="en-US"/>
        </w:rPr>
        <w:t>. Patēriņa cenu indeksa (PCI) izmaiņas (%) un komponenšu devums (pp)</w:t>
      </w:r>
    </w:p>
    <w:p w14:paraId="717C0CDF" w14:textId="77777777" w:rsidR="002E297C" w:rsidRPr="002E297C" w:rsidRDefault="002E297C" w:rsidP="00401A5B">
      <w:pPr>
        <w:rPr>
          <w:rFonts w:ascii="Times New Roman" w:eastAsiaTheme="minorHAnsi" w:hAnsi="Times New Roman" w:cs="Times New Roman"/>
          <w:b/>
          <w:sz w:val="24"/>
          <w:szCs w:val="24"/>
          <w:lang w:eastAsia="en-US"/>
        </w:rPr>
      </w:pPr>
    </w:p>
    <w:p w14:paraId="3F06C63E" w14:textId="008ADB25" w:rsidR="002E297C" w:rsidRPr="002E297C" w:rsidRDefault="002E297C" w:rsidP="00401A5B">
      <w:pPr>
        <w:ind w:firstLine="567"/>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8"/>
          <w:lang w:eastAsia="en-US"/>
        </w:rPr>
        <w:t>Kopumā preču cenas astoņos mēnešos samazinājās par 0,1%, ko lielā mērā ietekmēja</w:t>
      </w:r>
      <w:r w:rsidRPr="002E297C">
        <w:rPr>
          <w:rFonts w:ascii="Times New Roman" w:eastAsiaTheme="minorHAnsi" w:hAnsi="Times New Roman" w:cs="Times New Roman"/>
          <w:sz w:val="28"/>
          <w:szCs w:val="20"/>
          <w:lang w:eastAsia="en-US"/>
        </w:rPr>
        <w:t xml:space="preserve"> energoresursu cenu kritums, kamēr pakalpojumu cenas turpināja palielināties un bija par 2,1% augstākas nekā pērnā gada astoņos mēnešos. Tomēr jau no šā gada aprīļa bija vērojama Covid-19 pandēmijas ietekme.</w:t>
      </w:r>
      <w:r>
        <w:rPr>
          <w:rFonts w:ascii="Times New Roman" w:eastAsiaTheme="minorHAnsi" w:hAnsi="Times New Roman" w:cs="Times New Roman"/>
          <w:sz w:val="28"/>
          <w:szCs w:val="20"/>
          <w:lang w:eastAsia="en-US"/>
        </w:rPr>
        <w:t xml:space="preserve"> Tā, šā </w:t>
      </w:r>
      <w:r w:rsidRPr="002E297C">
        <w:rPr>
          <w:rFonts w:ascii="Times New Roman" w:eastAsiaTheme="minorHAnsi" w:hAnsi="Times New Roman" w:cs="Times New Roman"/>
          <w:sz w:val="28"/>
          <w:szCs w:val="20"/>
          <w:lang w:eastAsia="en-US"/>
        </w:rPr>
        <w:t>g</w:t>
      </w:r>
      <w:r>
        <w:rPr>
          <w:rFonts w:ascii="Times New Roman" w:eastAsiaTheme="minorHAnsi" w:hAnsi="Times New Roman" w:cs="Times New Roman"/>
          <w:sz w:val="28"/>
          <w:szCs w:val="20"/>
          <w:lang w:eastAsia="en-US"/>
        </w:rPr>
        <w:t>ada</w:t>
      </w:r>
      <w:r w:rsidRPr="002E297C">
        <w:rPr>
          <w:rFonts w:ascii="Times New Roman" w:eastAsiaTheme="minorHAnsi" w:hAnsi="Times New Roman" w:cs="Times New Roman"/>
          <w:sz w:val="28"/>
          <w:szCs w:val="20"/>
          <w:lang w:eastAsia="en-US"/>
        </w:rPr>
        <w:t xml:space="preserve"> maijā un jūnijā preču cenu kritums vidēji bija 1,6% salīdzinājumā ar attiecīgo periodu pērn, bet pakalpojumu cenu pieaugums vidēji bija vien 1,5% salīdzinājumā ar iepriekšējā gada maiju un jūniju.</w:t>
      </w:r>
    </w:p>
    <w:p w14:paraId="01EFFC7D" w14:textId="477042E4"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Zemo inflācijas līmeni kopš šī gada aprīļa noteica gan ārējie, gan iekšējie faktori. Tomēr lielāko negatīvo devumu patēriņa cenu izmaiņās nodrošināja tieši ārējie faktori jeb naftas cenu kritums pasaules biržās. Vidējā degvielas cena Latvijas benzīntankos laikā periodā no aprīļa līdz augustam bija par 16,6%  zemāka nekā iepriekšējā gada attiecīgajā periodā. Savukārt, aprīlī un maijā kritums pārsniedza 20%, kas bija straujākais kritums kopš 1998.gada. Ko</w:t>
      </w:r>
      <w:r>
        <w:rPr>
          <w:rFonts w:ascii="Times New Roman" w:eastAsiaTheme="minorHAnsi" w:hAnsi="Times New Roman" w:cs="Times New Roman"/>
          <w:sz w:val="28"/>
          <w:szCs w:val="20"/>
          <w:lang w:eastAsia="en-US"/>
        </w:rPr>
        <w:t>pumā degvielas cena Latvijā šā gada</w:t>
      </w:r>
      <w:r w:rsidRPr="002E297C">
        <w:rPr>
          <w:rFonts w:ascii="Times New Roman" w:eastAsiaTheme="minorHAnsi" w:hAnsi="Times New Roman" w:cs="Times New Roman"/>
          <w:sz w:val="28"/>
          <w:szCs w:val="20"/>
          <w:lang w:eastAsia="en-US"/>
        </w:rPr>
        <w:t xml:space="preserve"> astoņos mēnešos bija par 9,5% zemāka nekā pagājušā gada attiecīgajā periodā. </w:t>
      </w:r>
    </w:p>
    <w:p w14:paraId="6EB5F138" w14:textId="06E645C5"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Naftas cenu kritums sākās vēl šā gada sākumā, ko ietekmēja gan ekonomikas sentimenta pasliktināšanās pasaulē saistībā ar straujo Covid-19 izplatību Ķīnā, gan OPEC eksportētājvalstu un Krievijas nespēja vienoties par naftas ieguves apjomu samazināšanu marta sākumā, lai stabilizētu naftas piedāvājumu. Pēc OPEC+ sanāksmes Saūda Arābija paziņoja, ka samazinās savu naftas cenu aprīļa piegādēm līdz 25 ASV dolāriem par barelu un vienlaicīgi palielinās naftas ieguvi, tādējādi vienas dienas laikā naftas cena samazinājās par 25%. Tomēr jau aprīļa vidū OPEC+ valstis vienojās par naftas ieguves apjomu samazinājumu par aptuveni 10 milj</w:t>
      </w:r>
      <w:r w:rsidR="00090B27">
        <w:rPr>
          <w:rFonts w:ascii="Times New Roman" w:eastAsiaTheme="minorHAnsi" w:hAnsi="Times New Roman" w:cs="Times New Roman"/>
          <w:sz w:val="28"/>
          <w:szCs w:val="20"/>
          <w:lang w:eastAsia="en-US"/>
        </w:rPr>
        <w:t>. barelu dienā sākot jau no šā gada</w:t>
      </w:r>
      <w:r w:rsidRPr="002E297C">
        <w:rPr>
          <w:rFonts w:ascii="Times New Roman" w:eastAsiaTheme="minorHAnsi" w:hAnsi="Times New Roman" w:cs="Times New Roman"/>
          <w:sz w:val="28"/>
          <w:szCs w:val="20"/>
          <w:lang w:eastAsia="en-US"/>
        </w:rPr>
        <w:t xml:space="preserve"> maija, noslēdzot vienošanos tikai uz diviem mēnešiem. Neskatoties uz būtisku naftas ieguves apjomu samazinājumu, tas nav bijis pietiekoši, lai pilnībā kompensētu naftas pieprasījuma kritumu pasaulē, kas vērtējams 20-30 milj. barelu dienā apmērā. </w:t>
      </w:r>
    </w:p>
    <w:p w14:paraId="54F3D8D2" w14:textId="33F7529D"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 xml:space="preserve">Jūnija sākumā OPEC+ valstis vienojās pagarināt naftas ieguves apjomu samazinājuma periodu līdz jūlija beigām. Ņemot vērā šo vienošanos, kā arī to, ka valstis pakāpeniski atviegloja koronavīrusa izplatības ierobežošanai noteiktos noteikumus un palielinājās energoresursu patēriņš, it īpaši Ķīnā, naftas cenas pieauga līdz 45 ASV dolāriem par barelu. Pašreiz naftas cenu samazinājumam nav pamata, un, visticamāk, naftas cena līdz ziemai saglabāsies diezgan stabila zem 50 ASV dolāru par barelu. Savukārt pēc tam naftas cenu ietekmēs pasaules valstu ekonomikas atgūšanās temps, it īpaši to valstu, kuras visvairāk patērē naftu, proti, ASV, Ķīna, Indija, Japāna un ES. Neskatoties uz to, ka kopš marta naftas cena ir vairāk nekā dubultojusies, tā joprojām ir būtiski zemāka par pagājušā gada vidējo līmeni. Tādējādi līdz </w:t>
      </w:r>
      <w:r w:rsidR="00E90EA4">
        <w:rPr>
          <w:rFonts w:ascii="Times New Roman" w:eastAsiaTheme="minorHAnsi" w:hAnsi="Times New Roman" w:cs="Times New Roman"/>
          <w:sz w:val="28"/>
          <w:szCs w:val="20"/>
          <w:lang w:eastAsia="en-US"/>
        </w:rPr>
        <w:t>šā gada</w:t>
      </w:r>
      <w:r w:rsidRPr="002E297C">
        <w:rPr>
          <w:rFonts w:ascii="Times New Roman" w:eastAsiaTheme="minorHAnsi" w:hAnsi="Times New Roman" w:cs="Times New Roman"/>
          <w:sz w:val="28"/>
          <w:szCs w:val="20"/>
          <w:lang w:eastAsia="en-US"/>
        </w:rPr>
        <w:t xml:space="preserve"> beigām degvielas cena Latvijā būs zemāka nekā pērnajā gadā. </w:t>
      </w:r>
    </w:p>
    <w:p w14:paraId="29D1DB37" w14:textId="6E423D5C"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 xml:space="preserve">No naftas cenām ir atkarīgas arī administratīvi regulējamās cenas dabasgāzei un siltumenerģijai. 2020.gada astoņos mēnešos dabasgāze bija par 17,0% lētāka nekā attiecīgajā periodā pirms gada, bet siltumenerģija bija par 0,3% dārgāka. Vairāki siltumenerģijas uzņēmumi paziņojuši par siltumenerģijas tarifa samazināšanu līdz ar naftas cenu kritumu. Tā, AS </w:t>
      </w:r>
      <w:r w:rsidR="00090B27" w:rsidRPr="00090B27">
        <w:rPr>
          <w:rFonts w:ascii="Times New Roman" w:eastAsiaTheme="minorHAnsi" w:hAnsi="Times New Roman" w:cs="Times New Roman"/>
          <w:sz w:val="28"/>
          <w:szCs w:val="20"/>
          <w:lang w:eastAsia="en-US"/>
        </w:rPr>
        <w:t>“</w:t>
      </w:r>
      <w:r w:rsidRPr="002E297C">
        <w:rPr>
          <w:rFonts w:ascii="Times New Roman" w:eastAsiaTheme="minorHAnsi" w:hAnsi="Times New Roman" w:cs="Times New Roman"/>
          <w:sz w:val="28"/>
          <w:szCs w:val="20"/>
          <w:lang w:eastAsia="en-US"/>
        </w:rPr>
        <w:t>Rīgas Siltums</w:t>
      </w:r>
      <w:r w:rsidR="00090B27" w:rsidRPr="00090B27">
        <w:rPr>
          <w:rFonts w:ascii="Times New Roman" w:eastAsiaTheme="minorHAnsi" w:hAnsi="Times New Roman" w:cs="Times New Roman"/>
          <w:sz w:val="28"/>
          <w:szCs w:val="20"/>
          <w:lang w:eastAsia="en-US"/>
        </w:rPr>
        <w:t>”</w:t>
      </w:r>
      <w:r w:rsidR="00090B27">
        <w:rPr>
          <w:rFonts w:ascii="Times New Roman" w:eastAsiaTheme="minorHAnsi" w:hAnsi="Times New Roman" w:cs="Times New Roman"/>
          <w:sz w:val="28"/>
          <w:szCs w:val="20"/>
          <w:lang w:eastAsia="en-US"/>
        </w:rPr>
        <w:t xml:space="preserve"> kopš šā gada</w:t>
      </w:r>
      <w:r w:rsidRPr="002E297C">
        <w:rPr>
          <w:rFonts w:ascii="Times New Roman" w:eastAsiaTheme="minorHAnsi" w:hAnsi="Times New Roman" w:cs="Times New Roman"/>
          <w:sz w:val="28"/>
          <w:szCs w:val="20"/>
          <w:lang w:eastAsia="en-US"/>
        </w:rPr>
        <w:t xml:space="preserve"> sākuma jau trīs reizes samazināja siltumenerģijas tarifus, tomēr bāzes efektu dēļ s</w:t>
      </w:r>
      <w:r w:rsidR="00090B27">
        <w:rPr>
          <w:rFonts w:ascii="Times New Roman" w:eastAsiaTheme="minorHAnsi" w:hAnsi="Times New Roman" w:cs="Times New Roman"/>
          <w:sz w:val="28"/>
          <w:szCs w:val="20"/>
          <w:lang w:eastAsia="en-US"/>
        </w:rPr>
        <w:t>iltumenerģijas cenu kritums šā gada</w:t>
      </w:r>
      <w:r w:rsidRPr="002E297C">
        <w:rPr>
          <w:rFonts w:ascii="Times New Roman" w:eastAsiaTheme="minorHAnsi" w:hAnsi="Times New Roman" w:cs="Times New Roman"/>
          <w:sz w:val="28"/>
          <w:szCs w:val="20"/>
          <w:lang w:eastAsia="en-US"/>
        </w:rPr>
        <w:t xml:space="preserve"> astoņos mēnešos kopumā inflācijas datos nav novērots. Tomēr tieši </w:t>
      </w:r>
      <w:r w:rsidR="00E90EA4">
        <w:rPr>
          <w:rFonts w:ascii="Times New Roman" w:eastAsiaTheme="minorHAnsi" w:hAnsi="Times New Roman" w:cs="Times New Roman"/>
          <w:sz w:val="28"/>
          <w:szCs w:val="20"/>
          <w:lang w:eastAsia="en-US"/>
        </w:rPr>
        <w:t>šā gada</w:t>
      </w:r>
      <w:r w:rsidRPr="002E297C">
        <w:rPr>
          <w:rFonts w:ascii="Times New Roman" w:eastAsiaTheme="minorHAnsi" w:hAnsi="Times New Roman" w:cs="Times New Roman"/>
          <w:sz w:val="28"/>
          <w:szCs w:val="20"/>
          <w:lang w:eastAsia="en-US"/>
        </w:rPr>
        <w:t xml:space="preserve"> augustā, kad stājas spēkā jauns tarifs,  </w:t>
      </w:r>
      <w:r w:rsidRPr="002E297C">
        <w:rPr>
          <w:rFonts w:ascii="Times New Roman" w:eastAsiaTheme="minorHAnsi" w:hAnsi="Times New Roman" w:cs="Times New Roman"/>
          <w:color w:val="000000" w:themeColor="text1"/>
          <w:sz w:val="28"/>
          <w:szCs w:val="20"/>
          <w:lang w:eastAsia="en-US"/>
        </w:rPr>
        <w:t>siltumenerģijas cena bija jau par 10,9% lētāka nekā pirms gada.</w:t>
      </w:r>
      <w:r w:rsidR="00090B27">
        <w:rPr>
          <w:rFonts w:ascii="Times New Roman" w:eastAsiaTheme="minorHAnsi" w:hAnsi="Times New Roman" w:cs="Times New Roman"/>
          <w:color w:val="000000" w:themeColor="text1"/>
          <w:sz w:val="28"/>
          <w:szCs w:val="20"/>
          <w:lang w:eastAsia="en-US"/>
        </w:rPr>
        <w:t xml:space="preserve"> Savukārt, no šā gada</w:t>
      </w:r>
      <w:r w:rsidRPr="002E297C">
        <w:rPr>
          <w:rFonts w:ascii="Times New Roman" w:eastAsiaTheme="minorHAnsi" w:hAnsi="Times New Roman" w:cs="Times New Roman"/>
          <w:color w:val="000000" w:themeColor="text1"/>
          <w:sz w:val="28"/>
          <w:szCs w:val="20"/>
          <w:lang w:eastAsia="en-US"/>
        </w:rPr>
        <w:t xml:space="preserve"> 1. oktobra AS </w:t>
      </w:r>
      <w:r w:rsidR="00090B27">
        <w:rPr>
          <w:rFonts w:ascii="Times New Roman" w:eastAsiaTheme="minorHAnsi" w:hAnsi="Times New Roman" w:cs="Times New Roman"/>
          <w:color w:val="000000" w:themeColor="text1"/>
          <w:sz w:val="28"/>
          <w:szCs w:val="20"/>
          <w:lang w:eastAsia="en-US"/>
        </w:rPr>
        <w:t>“</w:t>
      </w:r>
      <w:r w:rsidRPr="002E297C">
        <w:rPr>
          <w:rFonts w:ascii="Times New Roman" w:eastAsiaTheme="minorHAnsi" w:hAnsi="Times New Roman" w:cs="Times New Roman"/>
          <w:color w:val="000000" w:themeColor="text1"/>
          <w:sz w:val="28"/>
          <w:szCs w:val="20"/>
          <w:lang w:eastAsia="en-US"/>
        </w:rPr>
        <w:t>Rīgas Siltums</w:t>
      </w:r>
      <w:r w:rsidR="00090B27">
        <w:rPr>
          <w:rFonts w:ascii="Times New Roman" w:eastAsiaTheme="minorHAnsi" w:hAnsi="Times New Roman" w:cs="Times New Roman"/>
          <w:color w:val="000000" w:themeColor="text1"/>
          <w:sz w:val="28"/>
          <w:szCs w:val="20"/>
          <w:lang w:eastAsia="en-US"/>
        </w:rPr>
        <w:t>”</w:t>
      </w:r>
      <w:r w:rsidRPr="002E297C">
        <w:rPr>
          <w:rFonts w:ascii="Times New Roman" w:eastAsiaTheme="minorHAnsi" w:hAnsi="Times New Roman" w:cs="Times New Roman"/>
          <w:i/>
          <w:color w:val="000000" w:themeColor="text1"/>
          <w:sz w:val="28"/>
          <w:szCs w:val="20"/>
          <w:lang w:eastAsia="en-US"/>
        </w:rPr>
        <w:t xml:space="preserve"> </w:t>
      </w:r>
      <w:r w:rsidRPr="002E297C">
        <w:rPr>
          <w:rFonts w:ascii="Times New Roman" w:eastAsiaTheme="minorHAnsi" w:hAnsi="Times New Roman" w:cs="Times New Roman"/>
          <w:color w:val="000000" w:themeColor="text1"/>
          <w:sz w:val="28"/>
          <w:szCs w:val="20"/>
          <w:lang w:eastAsia="en-US"/>
        </w:rPr>
        <w:t>vēlreiz samazinās siltumenerģijas tarifu. Sabiedrisko pakalpojumu regulēšanas komisija jau apstiprināja sagatavoto tarifa izmaiņas projektu. Līdz ar to siltumenerģija</w:t>
      </w:r>
      <w:r w:rsidR="00090B27">
        <w:rPr>
          <w:rFonts w:ascii="Times New Roman" w:eastAsiaTheme="minorHAnsi" w:hAnsi="Times New Roman" w:cs="Times New Roman"/>
          <w:color w:val="000000" w:themeColor="text1"/>
          <w:sz w:val="28"/>
          <w:szCs w:val="20"/>
          <w:lang w:eastAsia="en-US"/>
        </w:rPr>
        <w:t xml:space="preserve">s cenu kritums turpmākajos šā gada </w:t>
      </w:r>
      <w:r w:rsidRPr="002E297C">
        <w:rPr>
          <w:rFonts w:ascii="Times New Roman" w:eastAsiaTheme="minorHAnsi" w:hAnsi="Times New Roman" w:cs="Times New Roman"/>
          <w:color w:val="000000" w:themeColor="text1"/>
          <w:sz w:val="28"/>
          <w:szCs w:val="20"/>
          <w:lang w:eastAsia="en-US"/>
        </w:rPr>
        <w:t xml:space="preserve">mēnešos gada griezumā saglabāsies ap 11%, tādējādi 2020.gadā vidēji siltumenerģijas cena būs par aptuveni 3,8% zemāka nekā 2019.gadā. </w:t>
      </w:r>
    </w:p>
    <w:p w14:paraId="72D3882C" w14:textId="2FF7278C"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Cenu kritums vērojam</w:t>
      </w:r>
      <w:r w:rsidR="00090B27">
        <w:rPr>
          <w:rFonts w:ascii="Times New Roman" w:eastAsiaTheme="minorHAnsi" w:hAnsi="Times New Roman" w:cs="Times New Roman"/>
          <w:sz w:val="28"/>
          <w:szCs w:val="20"/>
          <w:lang w:eastAsia="en-US"/>
        </w:rPr>
        <w:t>s arī elektroenerģijai, kas šā gada</w:t>
      </w:r>
      <w:r w:rsidRPr="002E297C">
        <w:rPr>
          <w:rFonts w:ascii="Times New Roman" w:eastAsiaTheme="minorHAnsi" w:hAnsi="Times New Roman" w:cs="Times New Roman"/>
          <w:sz w:val="28"/>
          <w:szCs w:val="20"/>
          <w:lang w:eastAsia="en-US"/>
        </w:rPr>
        <w:t xml:space="preserve"> astoņos mēnešos bija par 2,8% lētāka nekā 2019.gada attiecīgajā periodā. Cenu kritumu noteica elektroenerģijas patēriņa kritums silto laika apstākļu dēļ ziemas mēnešos, kā arī zemāka ekonomiskā aktivitāte ārkārtas situācijas laikā. Ņemot vērā, ka lielākajai daļai mājsaimniecību ir uz ilgāku laiku fiksētie elektrības tarifi, tās mazākā mērā izjūt elektrības cenu kritumu nekā tās mājsaimniecības, kurām ir dinamiskie tarifi, kas regulāri mainās atkarībā no elektroenerģijas cenas biržā. Svarīgi atzīmēt, ka lētāka degviela un cenu kritums ar mājokli saistīto energoresursu precēm un pakalpojumiem, kam ir liels īpatsvars tieši mazāk turīgo iedzīvotāju patēriņā, pašreizējos pandēmijas apstākļos vērtējams pozitīvi, jo mazina iedzīvotāju ikmēneša izmaksas. </w:t>
      </w:r>
    </w:p>
    <w:p w14:paraId="381BECDB" w14:textId="65F5FBCF"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 xml:space="preserve">Robežu slēgšana un ārvalstu tūristu skaita būtisks kritums negatīvi ietekmēja to pakalpojumu cenu dinamiku, kuri izteikti bija orientēti uz ārvalstu tūristiem. Tā, izmitināšanas pakalpojumu cenas </w:t>
      </w:r>
      <w:r w:rsidR="00E90EA4">
        <w:rPr>
          <w:rFonts w:ascii="Times New Roman" w:eastAsiaTheme="minorHAnsi" w:hAnsi="Times New Roman" w:cs="Times New Roman"/>
          <w:sz w:val="28"/>
          <w:szCs w:val="20"/>
          <w:lang w:eastAsia="en-US"/>
        </w:rPr>
        <w:t>šā gada</w:t>
      </w:r>
      <w:r w:rsidRPr="002E297C">
        <w:rPr>
          <w:rFonts w:ascii="Times New Roman" w:eastAsiaTheme="minorHAnsi" w:hAnsi="Times New Roman" w:cs="Times New Roman"/>
          <w:sz w:val="28"/>
          <w:szCs w:val="20"/>
          <w:lang w:eastAsia="en-US"/>
        </w:rPr>
        <w:t xml:space="preserve"> astoņos mēnešos samazinājās par 7,7%, bet ārkārtas situācijas laikā šo pakalpojumu cenu kritums pārsniedza 10%. Arī īres tirgū, kur toni galvenokārt nosaka aktivitāte Rīgā, ietekmēja pandēmiju ierobežojošie pasākumi. Mazāks pieprasījums pēc īres dzīvokļiem Vecrīgā un Rīgas centrā, kurus izīrē galvenokārt ārvalstu viesiem, mazināja mājokļa īres cenu par 1,6% </w:t>
      </w:r>
      <w:r w:rsidR="00E90EA4">
        <w:rPr>
          <w:rFonts w:ascii="Times New Roman" w:eastAsiaTheme="minorHAnsi" w:hAnsi="Times New Roman" w:cs="Times New Roman"/>
          <w:sz w:val="28"/>
          <w:szCs w:val="20"/>
          <w:lang w:eastAsia="en-US"/>
        </w:rPr>
        <w:t>šā gada</w:t>
      </w:r>
      <w:r w:rsidRPr="002E297C">
        <w:rPr>
          <w:rFonts w:ascii="Times New Roman" w:eastAsiaTheme="minorHAnsi" w:hAnsi="Times New Roman" w:cs="Times New Roman"/>
          <w:sz w:val="28"/>
          <w:szCs w:val="20"/>
          <w:lang w:eastAsia="en-US"/>
        </w:rPr>
        <w:t xml:space="preserve"> astoņos mēnešos kopumā, bet kopš </w:t>
      </w:r>
      <w:r w:rsidR="00E90EA4">
        <w:rPr>
          <w:rFonts w:ascii="Times New Roman" w:eastAsiaTheme="minorHAnsi" w:hAnsi="Times New Roman" w:cs="Times New Roman"/>
          <w:sz w:val="28"/>
          <w:szCs w:val="20"/>
          <w:lang w:eastAsia="en-US"/>
        </w:rPr>
        <w:t>šā gada</w:t>
      </w:r>
      <w:r w:rsidRPr="002E297C">
        <w:rPr>
          <w:rFonts w:ascii="Times New Roman" w:eastAsiaTheme="minorHAnsi" w:hAnsi="Times New Roman" w:cs="Times New Roman"/>
          <w:sz w:val="28"/>
          <w:szCs w:val="20"/>
          <w:lang w:eastAsia="en-US"/>
        </w:rPr>
        <w:t xml:space="preserve"> aprīļa mājokļa īres maksas kritums pārsniedz 5%.</w:t>
      </w:r>
    </w:p>
    <w:p w14:paraId="225A648D" w14:textId="0E317352"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 xml:space="preserve">Slēgtās robežas ārkārtas situācijas periodā un ieviestie ierobežojumi negatīvi ietekmēja ne tikai iebraucošo tūristu skaitu no ārvalstīm, bet ierobežoja arī Latvijas iedzīvotāju iespēju doties uz  ārvalstīm. Tādējādi, </w:t>
      </w:r>
      <w:r w:rsidRPr="002E297C">
        <w:rPr>
          <w:rFonts w:ascii="Times New Roman" w:eastAsiaTheme="minorHAnsi" w:hAnsi="Times New Roman" w:cs="Times New Roman"/>
          <w:sz w:val="28"/>
          <w:szCs w:val="28"/>
          <w:lang w:eastAsia="en-US"/>
        </w:rPr>
        <w:t>pasažieru aviopārvadājumu cenas</w:t>
      </w:r>
      <w:r w:rsidR="00090B27">
        <w:rPr>
          <w:rFonts w:ascii="Times New Roman" w:eastAsiaTheme="minorHAnsi" w:hAnsi="Times New Roman" w:cs="Times New Roman"/>
          <w:sz w:val="28"/>
          <w:szCs w:val="28"/>
          <w:lang w:eastAsia="en-US"/>
        </w:rPr>
        <w:t xml:space="preserve"> šā gada</w:t>
      </w:r>
      <w:r w:rsidRPr="002E297C">
        <w:rPr>
          <w:rFonts w:ascii="Times New Roman" w:eastAsiaTheme="minorHAnsi" w:hAnsi="Times New Roman" w:cs="Times New Roman"/>
          <w:sz w:val="28"/>
          <w:szCs w:val="28"/>
          <w:lang w:eastAsia="en-US"/>
        </w:rPr>
        <w:t xml:space="preserve"> astoņos mēnešos kopumā samazinājās par 0,2%, bet vasaras mēnešos jeb atvaļinājumu laikā aviobiļešu cenu kritums nedaudz pārsniedza 5%. </w:t>
      </w:r>
      <w:r w:rsidRPr="002E297C">
        <w:rPr>
          <w:rFonts w:ascii="Times New Roman" w:eastAsia="Calibri" w:hAnsi="Times New Roman" w:cs="Times New Roman"/>
          <w:sz w:val="28"/>
          <w:szCs w:val="28"/>
          <w:lang w:eastAsia="en-US"/>
        </w:rPr>
        <w:t xml:space="preserve">Kopš marta ārvalstu tūristu skaits Latvijā ir samazinājies vairāk nekā par 80%. Tikpat būtisks iebraukušo ārvalstu tūristu kritums visticamāk saglabāsies līdz gada beigām. Ar tūrismu saistītas nozares šajā krīzē cieta visvairāk un atgūšanos varētu sagaidīt tikai tad, kad būs </w:t>
      </w:r>
      <w:r w:rsidR="00090B27">
        <w:rPr>
          <w:rFonts w:ascii="Times New Roman" w:eastAsia="Calibri" w:hAnsi="Times New Roman" w:cs="Times New Roman"/>
          <w:sz w:val="28"/>
          <w:szCs w:val="28"/>
          <w:lang w:eastAsia="en-US"/>
        </w:rPr>
        <w:t>rasts risinājums Covid-</w:t>
      </w:r>
      <w:r w:rsidRPr="002E297C">
        <w:rPr>
          <w:rFonts w:ascii="Times New Roman" w:eastAsia="Calibri" w:hAnsi="Times New Roman" w:cs="Times New Roman"/>
          <w:sz w:val="28"/>
          <w:szCs w:val="28"/>
          <w:lang w:eastAsia="en-US"/>
        </w:rPr>
        <w:t xml:space="preserve">19 vīrusa izplatības apturēšanai. Tāpēc arī iepriekšminētajiem </w:t>
      </w:r>
      <w:r w:rsidRPr="002E297C">
        <w:rPr>
          <w:rFonts w:ascii="Times New Roman" w:eastAsiaTheme="minorHAnsi" w:hAnsi="Times New Roman" w:cs="Times New Roman"/>
          <w:sz w:val="28"/>
          <w:szCs w:val="20"/>
          <w:lang w:eastAsia="en-US"/>
        </w:rPr>
        <w:t xml:space="preserve">pakalpojumiem līdz gada beigām saglabāsies cenu kritums gada izteiksmē.   </w:t>
      </w:r>
    </w:p>
    <w:p w14:paraId="00D04AA5" w14:textId="77777777" w:rsidR="002E297C" w:rsidRP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Augstākminēto preču un pakalpojumu cenu kritumu kompensēja pārtikas un bezalkoholisko dzērienu cenu pieaugums par 2,8%. Izteikti augsts cenu kāpums fiksēts svaigiem augļiem (+19,6% gada griezumā), gaļai un gaļas izstrādājumiem (+7,6%), maizei un graudaugiem (+2,7%), cukuram (+3,4%), ko lielā mērā noteica ārējie faktori. Augļu un graudaugu cenu palielinājumu ietekmēja pērnā gada sliktā raža Eiropā. Savukārt gaļas un gaļas izstrādājumu cenu pieaugumu ietekmēja Āfrikas cūku mēra uzliesmojums Ķīnā pērnā gada vidū, būtiski samazinot cūkgaļas piedāvājumu pasaulē kopumā.</w:t>
      </w:r>
    </w:p>
    <w:p w14:paraId="51CC521D" w14:textId="7F72F8E5" w:rsidR="002E297C" w:rsidRDefault="002E297C" w:rsidP="00401A5B">
      <w:pPr>
        <w:ind w:firstLine="720"/>
        <w:jc w:val="both"/>
        <w:rPr>
          <w:rFonts w:ascii="Times New Roman" w:eastAsiaTheme="minorHAnsi" w:hAnsi="Times New Roman" w:cs="Times New Roman"/>
          <w:sz w:val="28"/>
          <w:szCs w:val="20"/>
          <w:lang w:eastAsia="en-US"/>
        </w:rPr>
      </w:pPr>
      <w:r w:rsidRPr="002E297C">
        <w:rPr>
          <w:rFonts w:ascii="Times New Roman" w:eastAsiaTheme="minorHAnsi" w:hAnsi="Times New Roman" w:cs="Times New Roman"/>
          <w:sz w:val="28"/>
          <w:szCs w:val="20"/>
          <w:lang w:eastAsia="en-US"/>
        </w:rPr>
        <w:t xml:space="preserve">Pandēmijas apstākļos grūti prognozēt pārtikas cenu </w:t>
      </w:r>
      <w:r w:rsidR="00090B27">
        <w:rPr>
          <w:rFonts w:ascii="Times New Roman" w:eastAsiaTheme="minorHAnsi" w:hAnsi="Times New Roman" w:cs="Times New Roman"/>
          <w:sz w:val="28"/>
          <w:szCs w:val="28"/>
          <w:lang w:eastAsia="en-US"/>
        </w:rPr>
        <w:t>izmaiņas. Šā gada</w:t>
      </w:r>
      <w:r w:rsidRPr="002E297C">
        <w:rPr>
          <w:rFonts w:ascii="Times New Roman" w:eastAsiaTheme="minorHAnsi" w:hAnsi="Times New Roman" w:cs="Times New Roman"/>
          <w:sz w:val="28"/>
          <w:szCs w:val="28"/>
          <w:lang w:eastAsia="en-US"/>
        </w:rPr>
        <w:t xml:space="preserve"> otrajā ceturksnī pārtikas cenu pieaugums pasaulē piebremzējies, ko lielā mērā ietekmēja vājš pieprasījums lopbarības un biodīzeļdegvielas nozarēs, kā arī augsti atsevišķu kultūru </w:t>
      </w:r>
      <w:r w:rsidR="00090B27">
        <w:rPr>
          <w:rFonts w:ascii="Times New Roman" w:eastAsiaTheme="minorHAnsi" w:hAnsi="Times New Roman" w:cs="Times New Roman"/>
          <w:sz w:val="28"/>
          <w:szCs w:val="28"/>
          <w:lang w:eastAsia="en-US"/>
        </w:rPr>
        <w:t>eksporta krājumi. Savukārt, šā gada</w:t>
      </w:r>
      <w:r w:rsidRPr="002E297C">
        <w:rPr>
          <w:rFonts w:ascii="Times New Roman" w:eastAsiaTheme="minorHAnsi" w:hAnsi="Times New Roman" w:cs="Times New Roman"/>
          <w:sz w:val="28"/>
          <w:szCs w:val="28"/>
          <w:lang w:eastAsia="en-US"/>
        </w:rPr>
        <w:t xml:space="preserve"> trešajā ceturksnī pārtikas cenas uzrāda jau augšupvērstu dinamiku, ko visticamāk ietekmēja patērētāju un uzņēmēju sentimenta uzlabošanās un labāki nekā prognozēts ekonomikas rādītāji </w:t>
      </w:r>
      <w:r w:rsidR="00090B27">
        <w:rPr>
          <w:rFonts w:ascii="Times New Roman" w:eastAsiaTheme="minorHAnsi" w:hAnsi="Times New Roman" w:cs="Times New Roman"/>
          <w:sz w:val="28"/>
          <w:szCs w:val="28"/>
          <w:lang w:eastAsia="en-US"/>
        </w:rPr>
        <w:t>pasaulē šā gada</w:t>
      </w:r>
      <w:r w:rsidRPr="002E297C">
        <w:rPr>
          <w:rFonts w:ascii="Times New Roman" w:eastAsiaTheme="minorHAnsi" w:hAnsi="Times New Roman" w:cs="Times New Roman"/>
          <w:sz w:val="28"/>
          <w:szCs w:val="28"/>
          <w:lang w:eastAsia="en-US"/>
        </w:rPr>
        <w:t xml:space="preserve"> otraj</w:t>
      </w:r>
      <w:r w:rsidR="00195261">
        <w:rPr>
          <w:rFonts w:ascii="Times New Roman" w:eastAsiaTheme="minorHAnsi" w:hAnsi="Times New Roman" w:cs="Times New Roman"/>
          <w:sz w:val="28"/>
          <w:szCs w:val="28"/>
          <w:lang w:eastAsia="en-US"/>
        </w:rPr>
        <w:t xml:space="preserve">ā ceturksnī (skat. 1.27.att.). </w:t>
      </w:r>
      <w:r w:rsidRPr="002E297C">
        <w:rPr>
          <w:rFonts w:ascii="Times New Roman" w:eastAsiaTheme="minorHAnsi" w:hAnsi="Times New Roman" w:cs="Times New Roman"/>
          <w:sz w:val="28"/>
          <w:szCs w:val="20"/>
          <w:lang w:eastAsia="en-US"/>
        </w:rPr>
        <w:t xml:space="preserve">Jāatzīmē arī, ka tieši pārtikas preču grupas cenu pieauguma dēļ šogad kopumā Latvijā nebūs deflācijas. </w:t>
      </w:r>
    </w:p>
    <w:p w14:paraId="37F9F97A" w14:textId="77777777" w:rsidR="00090B27" w:rsidRPr="002E297C" w:rsidRDefault="00090B27" w:rsidP="00401A5B">
      <w:pPr>
        <w:ind w:firstLine="720"/>
        <w:jc w:val="both"/>
        <w:rPr>
          <w:rFonts w:ascii="Times New Roman" w:eastAsiaTheme="minorHAnsi" w:hAnsi="Times New Roman" w:cs="Times New Roman"/>
          <w:sz w:val="28"/>
          <w:szCs w:val="20"/>
          <w:lang w:eastAsia="en-US"/>
        </w:rPr>
      </w:pPr>
    </w:p>
    <w:p w14:paraId="267708E4" w14:textId="77777777" w:rsidR="002E297C" w:rsidRPr="002E297C" w:rsidRDefault="002E297C" w:rsidP="00401A5B">
      <w:pPr>
        <w:jc w:val="center"/>
        <w:rPr>
          <w:rFonts w:ascii="Times New Roman" w:eastAsiaTheme="minorHAnsi" w:hAnsi="Times New Roman" w:cs="Times New Roman"/>
          <w:sz w:val="28"/>
          <w:szCs w:val="20"/>
          <w:lang w:eastAsia="en-US"/>
        </w:rPr>
      </w:pPr>
      <w:r w:rsidRPr="002E297C">
        <w:rPr>
          <w:rFonts w:ascii="Times New Roman" w:eastAsiaTheme="minorHAnsi" w:hAnsi="Times New Roman" w:cs="Times New Roman"/>
          <w:noProof/>
          <w:sz w:val="24"/>
          <w:szCs w:val="24"/>
        </w:rPr>
        <w:drawing>
          <wp:inline distT="0" distB="0" distL="0" distR="0" wp14:anchorId="503AE6E3" wp14:editId="7EB871EC">
            <wp:extent cx="5274310" cy="3143095"/>
            <wp:effectExtent l="0" t="0" r="2540" b="6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9CD66A" w14:textId="77777777" w:rsidR="002E297C" w:rsidRPr="002E297C" w:rsidRDefault="002E297C" w:rsidP="00401A5B">
      <w:pPr>
        <w:jc w:val="both"/>
        <w:rPr>
          <w:rFonts w:ascii="Times New Roman" w:eastAsiaTheme="minorHAnsi" w:hAnsi="Times New Roman" w:cs="Times New Roman"/>
          <w:sz w:val="28"/>
          <w:szCs w:val="20"/>
          <w:lang w:eastAsia="en-US"/>
        </w:rPr>
      </w:pPr>
    </w:p>
    <w:p w14:paraId="7EDA7433" w14:textId="39307CCE" w:rsidR="002E297C" w:rsidRPr="002E297C" w:rsidRDefault="002E297C" w:rsidP="00401A5B">
      <w:pPr>
        <w:tabs>
          <w:tab w:val="left" w:pos="5055"/>
        </w:tabs>
        <w:jc w:val="center"/>
        <w:rPr>
          <w:rFonts w:ascii="Times New Roman" w:eastAsia="Calibri" w:hAnsi="Times New Roman" w:cs="Times New Roman"/>
          <w:b/>
          <w:i/>
          <w:sz w:val="24"/>
          <w:szCs w:val="24"/>
          <w:lang w:eastAsia="en-US"/>
        </w:rPr>
      </w:pPr>
      <w:r w:rsidRPr="002E297C">
        <w:rPr>
          <w:rFonts w:ascii="Times New Roman" w:eastAsia="Calibri" w:hAnsi="Times New Roman" w:cs="Times New Roman"/>
          <w:b/>
          <w:i/>
          <w:color w:val="000000" w:themeColor="text1"/>
          <w:sz w:val="24"/>
          <w:szCs w:val="24"/>
          <w:lang w:eastAsia="en-US"/>
        </w:rPr>
        <w:t>1.27</w:t>
      </w:r>
      <w:r w:rsidR="00090B27">
        <w:rPr>
          <w:rFonts w:ascii="Times New Roman" w:eastAsia="Calibri" w:hAnsi="Times New Roman" w:cs="Times New Roman"/>
          <w:b/>
          <w:i/>
          <w:color w:val="000000" w:themeColor="text1"/>
          <w:sz w:val="24"/>
          <w:szCs w:val="24"/>
          <w:lang w:eastAsia="en-US"/>
        </w:rPr>
        <w:t>.</w:t>
      </w:r>
      <w:r w:rsidRPr="002E297C">
        <w:rPr>
          <w:rFonts w:ascii="Times New Roman" w:eastAsia="Calibri" w:hAnsi="Times New Roman" w:cs="Times New Roman"/>
          <w:b/>
          <w:i/>
          <w:sz w:val="24"/>
          <w:szCs w:val="24"/>
          <w:lang w:eastAsia="en-US"/>
        </w:rPr>
        <w:t>att. Saskaņotā patēriņa cenu indeksa izmaiņas 2020.gada astoņos mēnešos salīdzinājumā ar 2019.gada astoņiem mēnešiem, ES dalībvalstīs, %</w:t>
      </w:r>
    </w:p>
    <w:p w14:paraId="1DA8C49C" w14:textId="77777777" w:rsidR="002E297C" w:rsidRPr="002E297C" w:rsidRDefault="002E297C" w:rsidP="00401A5B">
      <w:pPr>
        <w:tabs>
          <w:tab w:val="left" w:pos="5055"/>
        </w:tabs>
        <w:jc w:val="center"/>
        <w:rPr>
          <w:rFonts w:ascii="Times New Roman" w:eastAsia="Calibri" w:hAnsi="Times New Roman" w:cs="Times New Roman"/>
          <w:b/>
          <w:i/>
          <w:sz w:val="24"/>
          <w:szCs w:val="24"/>
          <w:lang w:eastAsia="en-US"/>
        </w:rPr>
      </w:pPr>
    </w:p>
    <w:p w14:paraId="6E8B66B7" w14:textId="5534BBB2" w:rsidR="002E297C" w:rsidRPr="002E297C" w:rsidRDefault="002E297C" w:rsidP="00401A5B">
      <w:pPr>
        <w:tabs>
          <w:tab w:val="left" w:pos="5055"/>
        </w:tabs>
        <w:ind w:firstLine="567"/>
        <w:jc w:val="both"/>
        <w:rPr>
          <w:rFonts w:ascii="Times New Roman" w:eastAsia="Calibri" w:hAnsi="Times New Roman" w:cs="Times New Roman"/>
          <w:sz w:val="28"/>
          <w:szCs w:val="24"/>
          <w:lang w:eastAsia="en-US"/>
        </w:rPr>
      </w:pPr>
      <w:r w:rsidRPr="002E297C">
        <w:rPr>
          <w:rFonts w:ascii="Times New Roman" w:eastAsia="Calibri" w:hAnsi="Times New Roman" w:cs="Times New Roman"/>
          <w:sz w:val="28"/>
          <w:szCs w:val="24"/>
          <w:lang w:eastAsia="en-US"/>
        </w:rPr>
        <w:t>Saskaņotais pa</w:t>
      </w:r>
      <w:r w:rsidR="00090B27">
        <w:rPr>
          <w:rFonts w:ascii="Times New Roman" w:eastAsia="Calibri" w:hAnsi="Times New Roman" w:cs="Times New Roman"/>
          <w:sz w:val="28"/>
          <w:szCs w:val="24"/>
          <w:lang w:eastAsia="en-US"/>
        </w:rPr>
        <w:t>tēriņa cenu indekss Latvijā šā gada</w:t>
      </w:r>
      <w:r w:rsidRPr="002E297C">
        <w:rPr>
          <w:rFonts w:ascii="Times New Roman" w:eastAsia="Calibri" w:hAnsi="Times New Roman" w:cs="Times New Roman"/>
          <w:sz w:val="28"/>
          <w:szCs w:val="24"/>
          <w:lang w:eastAsia="en-US"/>
        </w:rPr>
        <w:t xml:space="preserve"> astoņos mēnešos palielinājās par 0,4% salīdzinājumā ar pērnā gada attiecīgo periodu. Patēriņa cenu indeksa pieaugums</w:t>
      </w:r>
      <w:r w:rsidR="00090B27">
        <w:rPr>
          <w:rFonts w:ascii="Times New Roman" w:eastAsia="Calibri" w:hAnsi="Times New Roman" w:cs="Times New Roman"/>
          <w:sz w:val="28"/>
          <w:szCs w:val="24"/>
          <w:lang w:eastAsia="en-US"/>
        </w:rPr>
        <w:t xml:space="preserve"> šā gada</w:t>
      </w:r>
      <w:r w:rsidRPr="002E297C">
        <w:rPr>
          <w:rFonts w:ascii="Times New Roman" w:eastAsia="Calibri" w:hAnsi="Times New Roman" w:cs="Times New Roman"/>
          <w:sz w:val="28"/>
          <w:szCs w:val="24"/>
          <w:lang w:eastAsia="en-US"/>
        </w:rPr>
        <w:t xml:space="preserve"> astoņos mēnešos bija nedaudz augstāks nekā saskaņotā patēriņa cenu indeksa pieaugums, ko lielā mērā nosaka atšķirīgs preču un pakalpojumu īpatsvars abos indeksos. Saskaņotā patēriņa cenu indeksa </w:t>
      </w:r>
      <w:r w:rsidR="00090B27">
        <w:rPr>
          <w:rFonts w:ascii="Times New Roman" w:eastAsia="Calibri" w:hAnsi="Times New Roman" w:cs="Times New Roman"/>
          <w:sz w:val="28"/>
          <w:szCs w:val="24"/>
          <w:lang w:eastAsia="en-US"/>
        </w:rPr>
        <w:t xml:space="preserve">kāpums ES un vidēji </w:t>
      </w:r>
      <w:r w:rsidR="00090B27" w:rsidRPr="00090B27">
        <w:rPr>
          <w:rFonts w:ascii="Times New Roman" w:eastAsia="Calibri" w:hAnsi="Times New Roman" w:cs="Times New Roman"/>
          <w:i/>
          <w:sz w:val="28"/>
          <w:szCs w:val="24"/>
          <w:lang w:eastAsia="en-US"/>
        </w:rPr>
        <w:t>euro</w:t>
      </w:r>
      <w:r w:rsidR="00090B27">
        <w:rPr>
          <w:rFonts w:ascii="Times New Roman" w:eastAsia="Calibri" w:hAnsi="Times New Roman" w:cs="Times New Roman"/>
          <w:sz w:val="28"/>
          <w:szCs w:val="24"/>
          <w:lang w:eastAsia="en-US"/>
        </w:rPr>
        <w:t xml:space="preserve"> </w:t>
      </w:r>
      <w:r w:rsidRPr="002E297C">
        <w:rPr>
          <w:rFonts w:ascii="Times New Roman" w:eastAsia="Calibri" w:hAnsi="Times New Roman" w:cs="Times New Roman"/>
          <w:sz w:val="28"/>
          <w:szCs w:val="24"/>
          <w:lang w:eastAsia="en-US"/>
        </w:rPr>
        <w:t>zonā ir augstāks nekā Latvijā, tomēr inflācijas tendences ES kopumā ir līdzīgas. Kopš šā gada sākuma</w:t>
      </w:r>
      <w:r w:rsidR="00090B27">
        <w:rPr>
          <w:rFonts w:ascii="Times New Roman" w:eastAsia="Calibri" w:hAnsi="Times New Roman" w:cs="Times New Roman"/>
          <w:sz w:val="28"/>
          <w:szCs w:val="24"/>
          <w:lang w:eastAsia="en-US"/>
        </w:rPr>
        <w:t xml:space="preserve"> gan ES, gan </w:t>
      </w:r>
      <w:r w:rsidR="00090B27" w:rsidRPr="00090B27">
        <w:rPr>
          <w:rFonts w:ascii="Times New Roman" w:eastAsia="Calibri" w:hAnsi="Times New Roman" w:cs="Times New Roman"/>
          <w:i/>
          <w:sz w:val="28"/>
          <w:szCs w:val="24"/>
          <w:lang w:eastAsia="en-US"/>
        </w:rPr>
        <w:t>euro</w:t>
      </w:r>
      <w:r w:rsidR="00090B27">
        <w:rPr>
          <w:rFonts w:ascii="Times New Roman" w:eastAsia="Calibri" w:hAnsi="Times New Roman" w:cs="Times New Roman"/>
          <w:sz w:val="28"/>
          <w:szCs w:val="24"/>
          <w:lang w:eastAsia="en-US"/>
        </w:rPr>
        <w:t xml:space="preserve"> </w:t>
      </w:r>
      <w:r w:rsidRPr="002E297C">
        <w:rPr>
          <w:rFonts w:ascii="Times New Roman" w:eastAsia="Calibri" w:hAnsi="Times New Roman" w:cs="Times New Roman"/>
          <w:sz w:val="28"/>
          <w:szCs w:val="24"/>
          <w:lang w:eastAsia="en-US"/>
        </w:rPr>
        <w:t xml:space="preserve">zonā saskaņotā patēriņa cenu kāpums būtiski piebremzējās, ko galvenokārt ietekmēja straujš energoresursu cenu un ekonomiskās aktivitātes samazinājums. </w:t>
      </w:r>
    </w:p>
    <w:p w14:paraId="7A775F5E" w14:textId="77777777" w:rsidR="007002A7" w:rsidRPr="00404885" w:rsidRDefault="007002A7" w:rsidP="00401A5B">
      <w:pPr>
        <w:widowControl w:val="0"/>
        <w:ind w:firstLine="720"/>
        <w:jc w:val="both"/>
        <w:rPr>
          <w:rFonts w:ascii="Times New Roman" w:eastAsia="Times New Roman" w:hAnsi="Times New Roman" w:cs="Times New Roman"/>
          <w:sz w:val="28"/>
        </w:rPr>
      </w:pPr>
    </w:p>
    <w:p w14:paraId="5092A14B" w14:textId="7394E204" w:rsidR="003F3FCD" w:rsidRPr="006C2A58" w:rsidRDefault="000548A5" w:rsidP="00FB2B77">
      <w:pPr>
        <w:pStyle w:val="Heading3"/>
        <w:numPr>
          <w:ilvl w:val="2"/>
          <w:numId w:val="9"/>
        </w:numPr>
      </w:pPr>
      <w:bookmarkStart w:id="7" w:name="_Toc53154081"/>
      <w:r w:rsidRPr="006C2A58">
        <w:t>Nodarbinātība un bezdarbs</w:t>
      </w:r>
      <w:bookmarkEnd w:id="7"/>
    </w:p>
    <w:p w14:paraId="244295BC" w14:textId="77777777" w:rsidR="003F3FCD" w:rsidRDefault="003F3FCD" w:rsidP="00401A5B">
      <w:pPr>
        <w:widowControl w:val="0"/>
        <w:ind w:firstLine="720"/>
        <w:jc w:val="both"/>
        <w:rPr>
          <w:rFonts w:ascii="Times New Roman" w:eastAsia="Times New Roman" w:hAnsi="Times New Roman" w:cs="Times New Roman"/>
          <w:sz w:val="24"/>
        </w:rPr>
      </w:pPr>
    </w:p>
    <w:p w14:paraId="5B3D2622" w14:textId="77777777" w:rsidR="00090B27" w:rsidRPr="00090B27" w:rsidRDefault="00090B27" w:rsidP="00401A5B">
      <w:pPr>
        <w:ind w:firstLine="709"/>
        <w:jc w:val="both"/>
        <w:rPr>
          <w:rFonts w:ascii="Times New Roman" w:eastAsia="Times New Roman" w:hAnsi="Times New Roman" w:cs="Times New Roman"/>
          <w:sz w:val="28"/>
          <w:szCs w:val="28"/>
        </w:rPr>
      </w:pPr>
      <w:r w:rsidRPr="00090B27">
        <w:rPr>
          <w:rFonts w:ascii="Times New Roman" w:eastAsia="Times New Roman" w:hAnsi="Times New Roman" w:cs="Times New Roman"/>
          <w:sz w:val="28"/>
          <w:szCs w:val="28"/>
        </w:rPr>
        <w:t>Līdz ar straujo ekonomikas izaugsmi pēdējos trijos gados Latvijā bija vērojama visai strauja bezdarba līmeņa samazināšanās, kas atsevišķās nozarēs un profesijās jau robežojās ar darbaspēka trūkumu, līdz 2020.gadā to pārtrauca jaunā koronavīrusa izraisītā krīze. Vienlaikus tautsaimniecībā nodarbināto iedzīvotāju skaita pieaugums pēdējos gados bija tikai mērens, ko noteica ierobežotais darbspējas vecuma iedzīvotāju skaits.</w:t>
      </w:r>
    </w:p>
    <w:p w14:paraId="53ECC5CF" w14:textId="3460B27D" w:rsidR="00090B27" w:rsidRPr="00090B27" w:rsidRDefault="00090B27" w:rsidP="00401A5B">
      <w:pPr>
        <w:ind w:firstLine="709"/>
        <w:jc w:val="both"/>
        <w:rPr>
          <w:rFonts w:ascii="Times New Roman" w:eastAsia="Times New Roman" w:hAnsi="Times New Roman" w:cs="Times New Roman"/>
          <w:sz w:val="28"/>
          <w:szCs w:val="28"/>
        </w:rPr>
      </w:pPr>
      <w:r w:rsidRPr="00090B27">
        <w:rPr>
          <w:rFonts w:ascii="Times New Roman" w:eastAsia="Times New Roman" w:hAnsi="Times New Roman" w:cs="Times New Roman"/>
          <w:sz w:val="28"/>
          <w:szCs w:val="28"/>
        </w:rPr>
        <w:t>2019.gadā bezdarba līmenis pēc darbaspēka apsekojuma bija samazinājies par 1,1 procentpunktu līdz 6,3% no ekonomiski aktīvajiem iedzīvotājiem.</w:t>
      </w:r>
      <w:r w:rsidR="00D4108D">
        <w:rPr>
          <w:rFonts w:ascii="Times New Roman" w:eastAsia="Times New Roman" w:hAnsi="Times New Roman" w:cs="Times New Roman"/>
          <w:sz w:val="28"/>
          <w:szCs w:val="28"/>
        </w:rPr>
        <w:t xml:space="preserve"> </w:t>
      </w:r>
      <w:r w:rsidRPr="00090B27">
        <w:rPr>
          <w:rFonts w:ascii="Times New Roman" w:eastAsia="Times New Roman" w:hAnsi="Times New Roman" w:cs="Times New Roman"/>
          <w:sz w:val="28"/>
          <w:szCs w:val="28"/>
        </w:rPr>
        <w:t>Savukārt jau 2020.gada pirmajā ceturksnī, kad Covid-19 krīze vēl tikai sāka ietekmēt ekonomiku, bezdarba līmenis pēc darbaspēka apsekojuma, salīdzinot ar 2019.gada pirmo ceturksni, palielinājās par 0,5 procentpunktiem, sasniedzot 7,4%. Vēl straujāks bezdarba pieaugums sekoja otrajā ceturksnī, kad bezdarba līmenis palielinājās līdz 8,6% un bija par 2,2 procentpunktiem augstāks nekā pirms gada. Neskatoties uz salīdzinoši straujo kāpumu ceturkšņa laikā, bezdarba līmenis bija atgriezies 2017.gada līmenī, un tālu atpalika no iepriekšējās finanšu krīzes laika rādītājiem, kad 2010.gada pirmajā ceturksnī bezdarba līmenis bija sasniedzis maksimumu - 21,3% no ekonomiski aktīvajiem iedzīvotājiem.</w:t>
      </w:r>
    </w:p>
    <w:p w14:paraId="3D6D7FC6" w14:textId="736D05F6" w:rsidR="00090B27" w:rsidRPr="00090B27" w:rsidRDefault="00090B27" w:rsidP="00401A5B">
      <w:pPr>
        <w:ind w:firstLine="709"/>
        <w:jc w:val="both"/>
        <w:rPr>
          <w:rFonts w:ascii="Times New Roman" w:eastAsia="Times New Roman" w:hAnsi="Times New Roman" w:cs="Times New Roman"/>
          <w:sz w:val="28"/>
          <w:szCs w:val="28"/>
        </w:rPr>
      </w:pPr>
      <w:r w:rsidRPr="00090B27">
        <w:rPr>
          <w:rFonts w:ascii="Times New Roman" w:eastAsia="Times New Roman" w:hAnsi="Times New Roman" w:cs="Times New Roman"/>
          <w:sz w:val="28"/>
          <w:szCs w:val="28"/>
        </w:rPr>
        <w:t xml:space="preserve">Līdzīgu bezdarba pieauguma dinamiku, bet ietverot jau arī jūlija un augusta situāciju, parāda </w:t>
      </w:r>
      <w:r w:rsidR="00D4108D">
        <w:rPr>
          <w:rFonts w:ascii="Times New Roman" w:eastAsia="Times New Roman" w:hAnsi="Times New Roman" w:cs="Times New Roman"/>
          <w:sz w:val="28"/>
          <w:szCs w:val="28"/>
        </w:rPr>
        <w:t>NVA</w:t>
      </w:r>
      <w:r w:rsidRPr="00090B27">
        <w:rPr>
          <w:rFonts w:ascii="Times New Roman" w:eastAsia="Times New Roman" w:hAnsi="Times New Roman" w:cs="Times New Roman"/>
          <w:sz w:val="28"/>
          <w:szCs w:val="28"/>
        </w:rPr>
        <w:t xml:space="preserve"> dati par reģistrēto bezdarbnieku skaitu un reģistrētā bezdarba līmeni. Laikā no februāra beigām līdz jūnija beigām reģistrēto bezdarbnieku skait</w:t>
      </w:r>
      <w:r w:rsidR="00D4108D">
        <w:rPr>
          <w:rFonts w:ascii="Times New Roman" w:eastAsia="Times New Roman" w:hAnsi="Times New Roman" w:cs="Times New Roman"/>
          <w:sz w:val="28"/>
          <w:szCs w:val="28"/>
        </w:rPr>
        <w:t>s palielinājās par 20 tūkst.</w:t>
      </w:r>
      <w:r w:rsidRPr="00090B27">
        <w:rPr>
          <w:rFonts w:ascii="Times New Roman" w:eastAsia="Times New Roman" w:hAnsi="Times New Roman" w:cs="Times New Roman"/>
          <w:sz w:val="28"/>
          <w:szCs w:val="28"/>
        </w:rPr>
        <w:t xml:space="preserve"> jeb 34,4%, reģistrētā bezdarba līmenim pieaugot no 6,3% līdz 8,6%. Savukārt jūlijā bezdarba pieaugums jau bija apstājies, bet augustā jau bija vērojams salīdzinoši straujš bezdarbnieku skaita samazinājums – par 2,8 tūkst</w:t>
      </w:r>
      <w:r w:rsidR="00D4108D">
        <w:rPr>
          <w:rFonts w:ascii="Times New Roman" w:eastAsia="Times New Roman" w:hAnsi="Times New Roman" w:cs="Times New Roman"/>
          <w:sz w:val="28"/>
          <w:szCs w:val="28"/>
        </w:rPr>
        <w:t>.</w:t>
      </w:r>
      <w:r w:rsidRPr="00090B27">
        <w:rPr>
          <w:rFonts w:ascii="Times New Roman" w:eastAsia="Times New Roman" w:hAnsi="Times New Roman" w:cs="Times New Roman"/>
          <w:sz w:val="28"/>
          <w:szCs w:val="28"/>
        </w:rPr>
        <w:t xml:space="preserve"> un mēneša beigās bezdarba līmenis bija samazinājies līdz 8,2% no ekonomiski aktīvajiem iedzīvotājiem.</w:t>
      </w:r>
    </w:p>
    <w:p w14:paraId="2CCBA626" w14:textId="31614268" w:rsidR="00090B27" w:rsidRDefault="00090B27" w:rsidP="00401A5B">
      <w:pPr>
        <w:ind w:firstLine="709"/>
        <w:jc w:val="both"/>
        <w:rPr>
          <w:rFonts w:ascii="Times New Roman" w:eastAsia="Times New Roman" w:hAnsi="Times New Roman" w:cs="Times New Roman"/>
          <w:sz w:val="28"/>
          <w:szCs w:val="28"/>
          <w:lang w:eastAsia="en-US"/>
        </w:rPr>
      </w:pPr>
      <w:r w:rsidRPr="00090B27">
        <w:rPr>
          <w:rFonts w:ascii="Times New Roman" w:eastAsia="Times New Roman" w:hAnsi="Times New Roman" w:cs="Times New Roman"/>
          <w:sz w:val="28"/>
          <w:szCs w:val="28"/>
        </w:rPr>
        <w:t>Kr</w:t>
      </w:r>
      <w:r w:rsidR="00D4108D">
        <w:rPr>
          <w:rFonts w:ascii="Times New Roman" w:eastAsia="Times New Roman" w:hAnsi="Times New Roman" w:cs="Times New Roman"/>
          <w:sz w:val="28"/>
          <w:szCs w:val="28"/>
        </w:rPr>
        <w:t>īzē darbu zaudējot, pirmkārt,</w:t>
      </w:r>
      <w:r w:rsidRPr="00090B27">
        <w:rPr>
          <w:rFonts w:ascii="Times New Roman" w:eastAsia="Times New Roman" w:hAnsi="Times New Roman" w:cs="Times New Roman"/>
          <w:sz w:val="28"/>
          <w:szCs w:val="28"/>
        </w:rPr>
        <w:t xml:space="preserve"> izmitināšanā un ēdināšanā, transportā, kā arī mākslas, izklaides un atpūtas nozarē strādājošajiem, bezdarba līmenis visstraujāk auga Rīgā un Rīgas apkārtnē, kamēr Latvijas reģionos, kur bezdarba līmenis jau iepriekš bija augstāks, Covid-19 ietekme darba tirgū bija daudz mazāk jūtama. Rīgas reģionā bezdarba līmenis laikā no februāra beigām līdz jūnija beigām palielinājās par 2,6 procentpunktiem, kamēr Zemgalē un Kurzemē pieaugums bijis tikai 1,7-1,9 procentpunktu apmērā. Bezdarbnieku skaits Rīgas reģionā šajā laikā auga par 62,6% jeb 13,3 tūkstošiem, kamēr Latgalē bezdarbnieku skaita pieaugums bijis tikai 10,9% jeb 1,8 tūkstoši. Tomēr, neskatoties uz atšķirīgo dinamiku šā gada laikā, bezdarba līmenis Rīgas reģionā joprojām ir ievērojami zemāks – 6,6% augusta beigās, kamēr Latgalē tas sasniedz 15,8% no ekonomiski aktīvajiem iedzīvotājiem </w:t>
      </w:r>
      <w:r w:rsidRPr="00090B27">
        <w:rPr>
          <w:rFonts w:ascii="Times New Roman" w:eastAsia="Times New Roman" w:hAnsi="Times New Roman" w:cs="Times New Roman"/>
          <w:sz w:val="28"/>
          <w:szCs w:val="28"/>
          <w:lang w:eastAsia="en-US"/>
        </w:rPr>
        <w:t>(</w:t>
      </w:r>
      <w:r w:rsidRPr="00090B27">
        <w:rPr>
          <w:rFonts w:ascii="Times New Roman" w:eastAsia="Times New Roman" w:hAnsi="Times New Roman" w:cs="Times New Roman"/>
          <w:sz w:val="28"/>
          <w:szCs w:val="28"/>
        </w:rPr>
        <w:t xml:space="preserve">skat. </w:t>
      </w:r>
      <w:r w:rsidRPr="00090B27">
        <w:rPr>
          <w:rFonts w:ascii="Times New Roman" w:eastAsia="Times New Roman" w:hAnsi="Times New Roman" w:cs="Times New Roman"/>
          <w:sz w:val="28"/>
          <w:szCs w:val="28"/>
          <w:lang w:eastAsia="en-US"/>
        </w:rPr>
        <w:t>1.28.att.).</w:t>
      </w:r>
    </w:p>
    <w:p w14:paraId="7B3D51B7" w14:textId="77777777" w:rsidR="00AC361B" w:rsidRPr="00090B27" w:rsidRDefault="00AC361B" w:rsidP="00401A5B">
      <w:pPr>
        <w:ind w:firstLine="709"/>
        <w:jc w:val="both"/>
        <w:rPr>
          <w:rFonts w:ascii="Times New Roman" w:eastAsia="Times New Roman" w:hAnsi="Times New Roman" w:cs="Times New Roman"/>
          <w:sz w:val="28"/>
          <w:szCs w:val="28"/>
        </w:rPr>
      </w:pPr>
    </w:p>
    <w:p w14:paraId="1BB1C3C4" w14:textId="77777777" w:rsidR="00090B27" w:rsidRPr="00090B27" w:rsidRDefault="00090B27" w:rsidP="00401A5B">
      <w:pPr>
        <w:jc w:val="center"/>
        <w:rPr>
          <w:rFonts w:ascii="Times New Roman" w:eastAsia="Times New Roman" w:hAnsi="Times New Roman" w:cs="Times New Roman"/>
          <w:sz w:val="28"/>
          <w:szCs w:val="28"/>
        </w:rPr>
      </w:pPr>
      <w:r w:rsidRPr="00090B27">
        <w:rPr>
          <w:rFonts w:ascii="Times New Roman" w:eastAsia="Times New Roman" w:hAnsi="Times New Roman" w:cs="Times New Roman"/>
          <w:noProof/>
          <w:sz w:val="28"/>
          <w:szCs w:val="28"/>
        </w:rPr>
        <w:drawing>
          <wp:inline distT="0" distB="0" distL="0" distR="0" wp14:anchorId="2E1DF886" wp14:editId="2CB38E6A">
            <wp:extent cx="5305646" cy="27432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B00661" w14:textId="1F31E09A" w:rsidR="00090B27" w:rsidRPr="00090B27" w:rsidRDefault="00090B27" w:rsidP="00401A5B">
      <w:pPr>
        <w:ind w:firstLine="709"/>
        <w:jc w:val="center"/>
        <w:rPr>
          <w:rFonts w:ascii="Times New Roman" w:eastAsia="Times New Roman" w:hAnsi="Times New Roman" w:cs="Times New Roman"/>
          <w:b/>
          <w:i/>
          <w:sz w:val="24"/>
          <w:szCs w:val="24"/>
          <w:lang w:eastAsia="en-US"/>
        </w:rPr>
      </w:pPr>
      <w:r w:rsidRPr="00090B27">
        <w:rPr>
          <w:rFonts w:ascii="Times New Roman" w:eastAsia="Times New Roman" w:hAnsi="Times New Roman" w:cs="Times New Roman"/>
          <w:b/>
          <w:i/>
          <w:color w:val="000000" w:themeColor="text1"/>
          <w:sz w:val="24"/>
          <w:szCs w:val="24"/>
          <w:lang w:eastAsia="en-US"/>
        </w:rPr>
        <w:t>1.28</w:t>
      </w:r>
      <w:r w:rsidR="00D4108D">
        <w:rPr>
          <w:rFonts w:ascii="Times New Roman" w:eastAsia="Times New Roman" w:hAnsi="Times New Roman" w:cs="Times New Roman"/>
          <w:b/>
          <w:i/>
          <w:color w:val="000000" w:themeColor="text1"/>
          <w:sz w:val="24"/>
          <w:szCs w:val="24"/>
          <w:lang w:eastAsia="en-US"/>
        </w:rPr>
        <w:t>.</w:t>
      </w:r>
      <w:r w:rsidRPr="00090B27">
        <w:rPr>
          <w:rFonts w:ascii="Times New Roman" w:eastAsia="Times New Roman" w:hAnsi="Times New Roman" w:cs="Times New Roman"/>
          <w:b/>
          <w:i/>
          <w:color w:val="000000" w:themeColor="text1"/>
          <w:sz w:val="24"/>
          <w:szCs w:val="24"/>
          <w:lang w:eastAsia="en-US"/>
        </w:rPr>
        <w:t>att</w:t>
      </w:r>
      <w:r w:rsidRPr="00090B27">
        <w:rPr>
          <w:rFonts w:ascii="Times New Roman" w:eastAsia="Times New Roman" w:hAnsi="Times New Roman" w:cs="Times New Roman"/>
          <w:b/>
          <w:i/>
          <w:sz w:val="24"/>
          <w:szCs w:val="24"/>
          <w:lang w:eastAsia="en-US"/>
        </w:rPr>
        <w:t>. Reģistrētā bezdarba līmenis Latvijas reģionos</w:t>
      </w:r>
    </w:p>
    <w:p w14:paraId="34F1785A" w14:textId="77777777" w:rsidR="00090B27" w:rsidRPr="00090B27" w:rsidRDefault="00090B27" w:rsidP="00401A5B">
      <w:pPr>
        <w:ind w:firstLine="709"/>
        <w:jc w:val="center"/>
        <w:rPr>
          <w:rFonts w:ascii="Times New Roman" w:eastAsia="Times New Roman" w:hAnsi="Times New Roman" w:cs="Times New Roman"/>
          <w:sz w:val="24"/>
          <w:szCs w:val="24"/>
          <w:lang w:eastAsia="en-US"/>
        </w:rPr>
      </w:pPr>
      <w:r w:rsidRPr="00090B27">
        <w:rPr>
          <w:rFonts w:ascii="Times New Roman" w:eastAsia="Times New Roman" w:hAnsi="Times New Roman" w:cs="Times New Roman"/>
          <w:b/>
          <w:i/>
          <w:sz w:val="24"/>
          <w:szCs w:val="24"/>
          <w:lang w:eastAsia="en-US"/>
        </w:rPr>
        <w:t>(% no ekonomiski aktīvajiem iedzīvotājiem) perioda beigās</w:t>
      </w:r>
    </w:p>
    <w:p w14:paraId="2EA2E89E" w14:textId="77777777" w:rsidR="00090B27" w:rsidRPr="00090B27" w:rsidRDefault="00090B27" w:rsidP="00401A5B">
      <w:pPr>
        <w:ind w:firstLine="709"/>
        <w:rPr>
          <w:rFonts w:ascii="Times New Roman" w:eastAsia="Times New Roman" w:hAnsi="Times New Roman" w:cs="Times New Roman"/>
          <w:sz w:val="28"/>
          <w:szCs w:val="28"/>
        </w:rPr>
      </w:pPr>
    </w:p>
    <w:p w14:paraId="3AC2B9A9" w14:textId="77777777" w:rsidR="00090B27" w:rsidRPr="00090B27" w:rsidRDefault="00090B27" w:rsidP="00401A5B">
      <w:pPr>
        <w:ind w:firstLine="709"/>
        <w:jc w:val="both"/>
        <w:rPr>
          <w:rFonts w:ascii="Times New Roman" w:eastAsia="Times New Roman" w:hAnsi="Times New Roman" w:cs="Times New Roman"/>
          <w:sz w:val="28"/>
          <w:szCs w:val="28"/>
        </w:rPr>
      </w:pPr>
      <w:r w:rsidRPr="00090B27">
        <w:rPr>
          <w:rFonts w:ascii="Times New Roman" w:eastAsia="Times New Roman" w:hAnsi="Times New Roman" w:cs="Times New Roman"/>
          <w:sz w:val="28"/>
          <w:szCs w:val="28"/>
        </w:rPr>
        <w:t>Darbu zaudējot vispirms tieši krīzes skartajās nozarēs nodarbinātajiem, procentuāli straujākais bezdarbnieku skaita pieaugums 2020.gada otrajā ceturksnī bija 20-24 gadu vecuma grupā. Arī pēc izglītības līmeņa visstraujākais bezdarba pieaugums bijis starp vispārējo vidējo izglītību ieguvušajiem, kamēr cilvēkus ar augstāko izglītību vai tikai pamatizglītību ieguvušos krīze skāra salīdzinoši mazāk.</w:t>
      </w:r>
    </w:p>
    <w:p w14:paraId="5B594E14" w14:textId="77777777" w:rsidR="00090B27" w:rsidRPr="00090B27" w:rsidRDefault="00090B27" w:rsidP="00401A5B">
      <w:pPr>
        <w:jc w:val="both"/>
        <w:rPr>
          <w:rFonts w:ascii="Times New Roman" w:eastAsia="Times New Roman" w:hAnsi="Times New Roman" w:cs="Times New Roman"/>
          <w:sz w:val="28"/>
          <w:szCs w:val="28"/>
        </w:rPr>
      </w:pPr>
      <w:r w:rsidRPr="00090B27">
        <w:rPr>
          <w:rFonts w:ascii="Times New Roman" w:eastAsia="Times New Roman" w:hAnsi="Times New Roman" w:cs="Times New Roman"/>
          <w:sz w:val="28"/>
          <w:szCs w:val="28"/>
        </w:rPr>
        <w:tab/>
        <w:t>Jāatzīmē arī, ka kopējo bezdarba līmeni valstī laikā no šā gada marta līdz jūnijam palīdzēja ierobežot dīkstāves pabalstu piešķiršana to uzņēmumu darbiniekiem, kuriem krīzes laikā bija būtiski kritušies darbības apjomi. Laikā no marta līdz jūnijam dīkstāves pabalstus vidēji mēnesī saņēma 31,7 tūkstoši cilvēku. Vislielākais dīkstāves pabalstu saņēmēju skaits bija aprīlī  - 42,4 tūkstoši, bet līdz jūnijam līdz ar krīzes mazināšanos pabalstu saņēmēju skaits saruka līdz 25,6 tūkstošiem. Bez šiem dīkstāves pabalstiem reģistrētā bezdarba līmenis aprīlī un maijā būtu pietuvojies jau 12,5% - līmenim, kādā tas bija 2011.-2012.gadā īsi pēc globālās finanšu krīzes pārvarēšanas.</w:t>
      </w:r>
    </w:p>
    <w:p w14:paraId="0C152C43" w14:textId="77777777" w:rsidR="00090B27" w:rsidRPr="00090B27" w:rsidRDefault="00090B27" w:rsidP="00401A5B">
      <w:pPr>
        <w:ind w:firstLine="709"/>
        <w:jc w:val="both"/>
        <w:rPr>
          <w:rFonts w:ascii="Times New Roman" w:eastAsia="Times New Roman" w:hAnsi="Times New Roman" w:cs="Times New Roman"/>
          <w:sz w:val="28"/>
          <w:szCs w:val="28"/>
        </w:rPr>
      </w:pPr>
      <w:r w:rsidRPr="00090B27">
        <w:rPr>
          <w:rFonts w:ascii="Times New Roman" w:eastAsia="Times New Roman" w:hAnsi="Times New Roman" w:cs="Times New Roman"/>
          <w:sz w:val="28"/>
          <w:szCs w:val="28"/>
        </w:rPr>
        <w:t xml:space="preserve">Tautsaimniecībā nodarbināto iedzīvotāju skaits 2019.gadā palielinājās tikai par 0,1% līdz 910 tūkstošiem, un nodarbinātības pieaugumu bremzēja galvenokārt sarūkošais darbspējas vecuma iedzīvotāju skaits. Kā liecina dati par aizņemtajām darba vietām, visstraujāk jaunas darba vietas pagājušā gada laikā veidojās administratīvo pakalpojumu, izmitināšanas un ēdināšanas, kā arī veselības un sociālās aprūpes nozarēs, kur aizņemto darba vietu skaits 2019.gadā bija attiecīgi par 4,7%, 3,9% un 3,3% lielāks nekā iepriekšējā gadā. Savukārt lielākais darba vietu skaita samazinājums 2019.gadā bija energoapgādes un valsts pārvaldes nozarēs. </w:t>
      </w:r>
    </w:p>
    <w:p w14:paraId="234FB566" w14:textId="77777777" w:rsidR="00090B27" w:rsidRPr="00090B27" w:rsidRDefault="00090B27" w:rsidP="00401A5B">
      <w:pPr>
        <w:ind w:firstLine="709"/>
        <w:jc w:val="both"/>
        <w:rPr>
          <w:rFonts w:ascii="Times New Roman" w:eastAsia="Times New Roman" w:hAnsi="Times New Roman" w:cs="Times New Roman"/>
          <w:sz w:val="28"/>
          <w:szCs w:val="28"/>
        </w:rPr>
      </w:pPr>
      <w:r w:rsidRPr="00090B27">
        <w:rPr>
          <w:rFonts w:ascii="Times New Roman" w:eastAsia="Times New Roman" w:hAnsi="Times New Roman" w:cs="Times New Roman"/>
          <w:sz w:val="28"/>
          <w:szCs w:val="28"/>
        </w:rPr>
        <w:t>2020.gada pirmajā pusē tautsaimniecībā nodarbināto iedzīvotāju skaits Covid-19 krīzes ietekmē kritās un gada pirmajā ceturksnī, pēc darbaspēka apsekojuma datiem, strādājošo iedzīvotāju skaits bija par 0,2% mazāks nekā pirms gada. Gada otrajā ceturksnī nodarbināto skaita samazinājums gada griezumā sasniedza jau 1,5%.</w:t>
      </w:r>
    </w:p>
    <w:p w14:paraId="43EEC03A" w14:textId="69C027D2" w:rsidR="00090B27" w:rsidRPr="00090B27" w:rsidRDefault="00090B27" w:rsidP="00401A5B">
      <w:pPr>
        <w:ind w:firstLine="709"/>
        <w:jc w:val="both"/>
        <w:rPr>
          <w:rFonts w:ascii="Times New Roman" w:eastAsia="Times New Roman" w:hAnsi="Times New Roman" w:cs="Times New Roman"/>
          <w:sz w:val="28"/>
          <w:szCs w:val="28"/>
        </w:rPr>
      </w:pPr>
      <w:r w:rsidRPr="00090B27">
        <w:rPr>
          <w:rFonts w:ascii="Times New Roman" w:eastAsia="Times New Roman" w:hAnsi="Times New Roman" w:cs="Times New Roman"/>
          <w:sz w:val="28"/>
          <w:szCs w:val="28"/>
        </w:rPr>
        <w:t>Atšķirībā no darbaspēka apsekojuma, kas balstās uz iedzīvotāju aptauju datiem un ietver visus nodarbinātības veidus, tajā skaitā darba ņēmējus, darba devējus, pašnodarbinātos iedzīvotājus, uzņēmumu dati šogad uzrāda krietni straujāku aizņemto darba vietu skaita samazināšanos. 2020.gada otrā ceturkšņa beigās aizņemto darba vietu skaits bijis par 41,8 tūkst</w:t>
      </w:r>
      <w:r w:rsidR="00195261">
        <w:rPr>
          <w:rFonts w:ascii="Times New Roman" w:eastAsia="Times New Roman" w:hAnsi="Times New Roman" w:cs="Times New Roman"/>
          <w:sz w:val="28"/>
          <w:szCs w:val="28"/>
        </w:rPr>
        <w:t>.</w:t>
      </w:r>
      <w:r w:rsidRPr="00090B27">
        <w:rPr>
          <w:rFonts w:ascii="Times New Roman" w:eastAsia="Times New Roman" w:hAnsi="Times New Roman" w:cs="Times New Roman"/>
          <w:sz w:val="28"/>
          <w:szCs w:val="28"/>
        </w:rPr>
        <w:t xml:space="preserve"> jeb 4,5% mazāks nekā pirms gada, tajā skaitā darba vietu skaits privātajā sektorā samazinājies par 5,6% un sabiedriskajā sektorā - par 2,0%.</w:t>
      </w:r>
    </w:p>
    <w:p w14:paraId="3951576C" w14:textId="79331090" w:rsidR="00090B27" w:rsidRDefault="00090B27" w:rsidP="00401A5B">
      <w:pPr>
        <w:ind w:firstLine="709"/>
        <w:jc w:val="both"/>
        <w:rPr>
          <w:rFonts w:ascii="Times New Roman" w:eastAsia="Times New Roman" w:hAnsi="Times New Roman" w:cs="Times New Roman"/>
          <w:sz w:val="28"/>
          <w:szCs w:val="28"/>
          <w:lang w:eastAsia="en-US"/>
        </w:rPr>
      </w:pPr>
      <w:r w:rsidRPr="00090B27">
        <w:rPr>
          <w:rFonts w:ascii="Times New Roman" w:eastAsia="Times New Roman" w:hAnsi="Times New Roman" w:cs="Times New Roman"/>
          <w:sz w:val="28"/>
          <w:szCs w:val="28"/>
        </w:rPr>
        <w:t>Vislielākais aizņemto darba vietu skaita kritums bijis Covid-19 krīzes tieši skartajās nozarēs – izmitināšanā un ēdināšanā darba vietu skaits samazinājies par 10,1 tūkst</w:t>
      </w:r>
      <w:r w:rsidR="00195261">
        <w:rPr>
          <w:rFonts w:ascii="Times New Roman" w:eastAsia="Times New Roman" w:hAnsi="Times New Roman" w:cs="Times New Roman"/>
          <w:sz w:val="28"/>
          <w:szCs w:val="28"/>
        </w:rPr>
        <w:t>.</w:t>
      </w:r>
      <w:r w:rsidRPr="00090B27">
        <w:rPr>
          <w:rFonts w:ascii="Times New Roman" w:eastAsia="Times New Roman" w:hAnsi="Times New Roman" w:cs="Times New Roman"/>
          <w:sz w:val="28"/>
          <w:szCs w:val="28"/>
        </w:rPr>
        <w:t xml:space="preserve"> jeb 26,6%, tirdzniecībā – par 8,1 tūkst</w:t>
      </w:r>
      <w:r w:rsidR="00195261">
        <w:rPr>
          <w:rFonts w:ascii="Times New Roman" w:eastAsia="Times New Roman" w:hAnsi="Times New Roman" w:cs="Times New Roman"/>
          <w:sz w:val="28"/>
          <w:szCs w:val="28"/>
        </w:rPr>
        <w:t>.</w:t>
      </w:r>
      <w:r w:rsidRPr="00090B27">
        <w:rPr>
          <w:rFonts w:ascii="Times New Roman" w:eastAsia="Times New Roman" w:hAnsi="Times New Roman" w:cs="Times New Roman"/>
          <w:sz w:val="28"/>
          <w:szCs w:val="28"/>
        </w:rPr>
        <w:t xml:space="preserve"> jeb 5,5% un transportā – par 6,6 tūkst</w:t>
      </w:r>
      <w:r w:rsidR="00195261">
        <w:rPr>
          <w:rFonts w:ascii="Times New Roman" w:eastAsia="Times New Roman" w:hAnsi="Times New Roman" w:cs="Times New Roman"/>
          <w:sz w:val="28"/>
          <w:szCs w:val="28"/>
        </w:rPr>
        <w:t>.</w:t>
      </w:r>
      <w:r w:rsidRPr="00090B27">
        <w:rPr>
          <w:rFonts w:ascii="Times New Roman" w:eastAsia="Times New Roman" w:hAnsi="Times New Roman" w:cs="Times New Roman"/>
          <w:sz w:val="28"/>
          <w:szCs w:val="28"/>
        </w:rPr>
        <w:t xml:space="preserve"> jeb 8,6%. Procentuāli ļoti straujš darba vietu samazinājums bijis arī mākslas, izlaides un atpūtas nozarē – par 11,1%. Neliels darba vietu skaita pieaugums šogad bijis tikai veselības, informācijas un komunikāciju tehnoloģiju, izglītības un ieguves rūpniecības nozarēs (skat. </w:t>
      </w:r>
      <w:r w:rsidRPr="00090B27">
        <w:rPr>
          <w:rFonts w:ascii="Times New Roman" w:eastAsia="Times New Roman" w:hAnsi="Times New Roman" w:cs="Times New Roman"/>
          <w:sz w:val="28"/>
          <w:szCs w:val="28"/>
          <w:lang w:eastAsia="en-US"/>
        </w:rPr>
        <w:t>1.29.att.).</w:t>
      </w:r>
    </w:p>
    <w:p w14:paraId="370F4A5E" w14:textId="77777777" w:rsidR="00195261" w:rsidRPr="00090B27" w:rsidRDefault="00195261" w:rsidP="00401A5B">
      <w:pPr>
        <w:ind w:firstLine="709"/>
        <w:jc w:val="both"/>
        <w:rPr>
          <w:lang w:eastAsia="en-US"/>
        </w:rPr>
      </w:pPr>
    </w:p>
    <w:p w14:paraId="0093A8B9" w14:textId="77777777" w:rsidR="00090B27" w:rsidRPr="00090B27" w:rsidRDefault="00090B27" w:rsidP="00401A5B">
      <w:pPr>
        <w:jc w:val="center"/>
        <w:rPr>
          <w:rFonts w:ascii="Times New Roman" w:eastAsia="Times New Roman" w:hAnsi="Times New Roman" w:cs="Times New Roman"/>
          <w:sz w:val="28"/>
          <w:szCs w:val="28"/>
        </w:rPr>
      </w:pPr>
      <w:r w:rsidRPr="00090B27">
        <w:rPr>
          <w:noProof/>
        </w:rPr>
        <w:drawing>
          <wp:inline distT="0" distB="0" distL="0" distR="0" wp14:anchorId="37A06744" wp14:editId="1FA65E9E">
            <wp:extent cx="5274310" cy="2809875"/>
            <wp:effectExtent l="0" t="0" r="254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81D0C04" w14:textId="0380829C" w:rsidR="00090B27" w:rsidRPr="00090B27" w:rsidRDefault="00090B27" w:rsidP="00401A5B">
      <w:pPr>
        <w:jc w:val="center"/>
        <w:rPr>
          <w:rFonts w:ascii="Times New Roman" w:eastAsia="Times New Roman" w:hAnsi="Times New Roman" w:cs="Times New Roman"/>
          <w:b/>
          <w:i/>
          <w:sz w:val="24"/>
          <w:szCs w:val="24"/>
          <w:lang w:eastAsia="en-US"/>
        </w:rPr>
      </w:pPr>
      <w:r w:rsidRPr="00090B27">
        <w:rPr>
          <w:rFonts w:ascii="Times New Roman" w:eastAsia="Times New Roman" w:hAnsi="Times New Roman" w:cs="Times New Roman"/>
          <w:b/>
          <w:i/>
          <w:sz w:val="24"/>
          <w:szCs w:val="24"/>
          <w:lang w:eastAsia="en-US"/>
        </w:rPr>
        <w:t>1.29</w:t>
      </w:r>
      <w:r w:rsidR="00195261">
        <w:rPr>
          <w:rFonts w:ascii="Times New Roman" w:eastAsia="Times New Roman" w:hAnsi="Times New Roman" w:cs="Times New Roman"/>
          <w:b/>
          <w:i/>
          <w:sz w:val="24"/>
          <w:szCs w:val="24"/>
          <w:lang w:eastAsia="en-US"/>
        </w:rPr>
        <w:t>.</w:t>
      </w:r>
      <w:r w:rsidRPr="00090B27">
        <w:rPr>
          <w:rFonts w:ascii="Times New Roman" w:eastAsia="Times New Roman" w:hAnsi="Times New Roman" w:cs="Times New Roman"/>
          <w:b/>
          <w:i/>
          <w:sz w:val="24"/>
          <w:szCs w:val="24"/>
          <w:lang w:eastAsia="en-US"/>
        </w:rPr>
        <w:t>att. Aizņemto darba vietu skaita izmaiņas gada laikā, 2020.gada 2.ceturkšņa beigas/2019.gada 2.ceturkšņa beigas</w:t>
      </w:r>
    </w:p>
    <w:p w14:paraId="1D62C002" w14:textId="77777777" w:rsidR="00090B27" w:rsidRPr="00090B27" w:rsidRDefault="00090B27" w:rsidP="00401A5B">
      <w:pPr>
        <w:ind w:firstLine="709"/>
        <w:jc w:val="both"/>
        <w:rPr>
          <w:rFonts w:ascii="Times New Roman" w:eastAsia="Times New Roman" w:hAnsi="Times New Roman" w:cs="Times New Roman"/>
          <w:sz w:val="28"/>
          <w:szCs w:val="28"/>
        </w:rPr>
      </w:pPr>
    </w:p>
    <w:p w14:paraId="706CDC4C" w14:textId="517F4EC0" w:rsidR="00090B27" w:rsidRDefault="00090B27" w:rsidP="00401A5B">
      <w:pPr>
        <w:ind w:firstLine="709"/>
        <w:jc w:val="both"/>
        <w:rPr>
          <w:rFonts w:ascii="Times New Roman" w:eastAsia="Times New Roman" w:hAnsi="Times New Roman" w:cs="Times New Roman"/>
          <w:sz w:val="28"/>
          <w:szCs w:val="28"/>
        </w:rPr>
      </w:pPr>
      <w:r w:rsidRPr="00090B27">
        <w:rPr>
          <w:rFonts w:ascii="Times New Roman" w:eastAsia="Times New Roman" w:hAnsi="Times New Roman" w:cs="Times New Roman"/>
          <w:sz w:val="28"/>
          <w:szCs w:val="28"/>
        </w:rPr>
        <w:t>Kopumā situācija darba tirgū visās Baltijas valstīs šogad attīstījusies līdzīgi un bezdarbs visās valstīs palielinājies gandrīz vienādi. Igaunijā bezdarba līmenis šā gada otrajā ceturksnī, salīdzinot ar attiecīgo ceturksni pirms gada, palielinājies par 2,0 procentpunktiem līdz 7,1%, Latvijā – par 2,2 procentpunktiem līdz 8,6%  un  Lietuvā – par 2,4 procentpunktiem līdz 8,6%. Vienlaikus bezdarba līmenis Igaunijā joprojām ir būtiski zemāks nekā Latvijā un Lietuvā, kur tas pēdējos ceturkšņos bijis praktiski vienāds, tuvu ES vidējam līmenim (</w:t>
      </w:r>
      <w:r w:rsidR="00195261">
        <w:rPr>
          <w:rFonts w:ascii="Times New Roman" w:eastAsia="Times New Roman" w:hAnsi="Times New Roman" w:cs="Times New Roman"/>
          <w:sz w:val="28"/>
          <w:szCs w:val="28"/>
        </w:rPr>
        <w:t xml:space="preserve">skat. </w:t>
      </w:r>
      <w:r w:rsidRPr="00090B27">
        <w:rPr>
          <w:rFonts w:ascii="Times New Roman" w:eastAsia="Times New Roman" w:hAnsi="Times New Roman" w:cs="Times New Roman"/>
          <w:sz w:val="28"/>
          <w:szCs w:val="28"/>
        </w:rPr>
        <w:t>1.30.att.).</w:t>
      </w:r>
    </w:p>
    <w:p w14:paraId="60C7ADE3" w14:textId="77777777" w:rsidR="00195261" w:rsidRPr="00090B27" w:rsidRDefault="00195261" w:rsidP="00401A5B">
      <w:pPr>
        <w:ind w:firstLine="709"/>
        <w:jc w:val="both"/>
        <w:rPr>
          <w:rFonts w:ascii="Times New Roman" w:eastAsia="Times New Roman" w:hAnsi="Times New Roman" w:cs="Times New Roman"/>
          <w:sz w:val="28"/>
          <w:szCs w:val="28"/>
        </w:rPr>
      </w:pPr>
    </w:p>
    <w:p w14:paraId="1B4C4C11" w14:textId="77777777" w:rsidR="00090B27" w:rsidRPr="00090B27" w:rsidRDefault="00090B27" w:rsidP="00401A5B">
      <w:pPr>
        <w:jc w:val="center"/>
        <w:rPr>
          <w:rFonts w:ascii="Times New Roman" w:eastAsia="Times New Roman" w:hAnsi="Times New Roman" w:cs="Times New Roman"/>
          <w:b/>
          <w:i/>
          <w:sz w:val="24"/>
          <w:szCs w:val="24"/>
          <w:lang w:eastAsia="en-US"/>
        </w:rPr>
      </w:pPr>
      <w:r w:rsidRPr="00090B27">
        <w:rPr>
          <w:rFonts w:ascii="Times New Roman" w:eastAsia="Times New Roman" w:hAnsi="Times New Roman" w:cs="Times New Roman"/>
          <w:b/>
          <w:i/>
          <w:noProof/>
          <w:sz w:val="18"/>
          <w:szCs w:val="18"/>
        </w:rPr>
        <w:drawing>
          <wp:inline distT="0" distB="0" distL="0" distR="0" wp14:anchorId="4C888EBE" wp14:editId="2DD8E378">
            <wp:extent cx="5153025" cy="2486025"/>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0EF6C6" w14:textId="05E6F5E6" w:rsidR="00090B27" w:rsidRPr="00090B27" w:rsidRDefault="00090B27" w:rsidP="00401A5B">
      <w:pPr>
        <w:jc w:val="center"/>
        <w:rPr>
          <w:rFonts w:ascii="Times New Roman" w:eastAsia="Times New Roman" w:hAnsi="Times New Roman" w:cs="Times New Roman"/>
          <w:b/>
          <w:i/>
          <w:sz w:val="24"/>
          <w:szCs w:val="24"/>
          <w:lang w:eastAsia="en-US"/>
        </w:rPr>
      </w:pPr>
      <w:r w:rsidRPr="00090B27">
        <w:rPr>
          <w:rFonts w:ascii="Times New Roman" w:eastAsia="Times New Roman" w:hAnsi="Times New Roman" w:cs="Times New Roman"/>
          <w:b/>
          <w:i/>
          <w:sz w:val="24"/>
          <w:szCs w:val="24"/>
          <w:lang w:eastAsia="en-US"/>
        </w:rPr>
        <w:t>1.30</w:t>
      </w:r>
      <w:r w:rsidR="00195261">
        <w:rPr>
          <w:rFonts w:ascii="Times New Roman" w:eastAsia="Times New Roman" w:hAnsi="Times New Roman" w:cs="Times New Roman"/>
          <w:b/>
          <w:i/>
          <w:sz w:val="24"/>
          <w:szCs w:val="24"/>
          <w:lang w:eastAsia="en-US"/>
        </w:rPr>
        <w:t>.</w:t>
      </w:r>
      <w:r w:rsidRPr="00090B27">
        <w:rPr>
          <w:rFonts w:ascii="Times New Roman" w:eastAsia="Times New Roman" w:hAnsi="Times New Roman" w:cs="Times New Roman"/>
          <w:b/>
          <w:i/>
          <w:sz w:val="24"/>
          <w:szCs w:val="24"/>
          <w:lang w:eastAsia="en-US"/>
        </w:rPr>
        <w:t>att. Bezdarba līmenis Baltijas valstīs un ES vidēji, pa ceturkšņiem, % no ekonomiski aktīvajiem iedzīvotājiem</w:t>
      </w:r>
    </w:p>
    <w:p w14:paraId="6D60DD0E" w14:textId="77777777" w:rsidR="003F3FCD" w:rsidRDefault="003F3FCD" w:rsidP="00401A5B">
      <w:pPr>
        <w:widowControl w:val="0"/>
        <w:ind w:firstLine="720"/>
        <w:jc w:val="both"/>
        <w:rPr>
          <w:rFonts w:ascii="Times New Roman" w:eastAsia="Times New Roman" w:hAnsi="Times New Roman" w:cs="Times New Roman"/>
          <w:sz w:val="24"/>
        </w:rPr>
      </w:pPr>
    </w:p>
    <w:p w14:paraId="380D5CBF" w14:textId="7B657332" w:rsidR="003F3FCD" w:rsidRPr="006C2A58" w:rsidRDefault="000548A5" w:rsidP="00FB2B77">
      <w:pPr>
        <w:pStyle w:val="Heading3"/>
        <w:numPr>
          <w:ilvl w:val="2"/>
          <w:numId w:val="8"/>
        </w:numPr>
      </w:pPr>
      <w:bookmarkStart w:id="8" w:name="_Toc53154082"/>
      <w:r w:rsidRPr="006C2A58">
        <w:t>Iedzīvotāju ienākumi</w:t>
      </w:r>
      <w:bookmarkEnd w:id="8"/>
    </w:p>
    <w:p w14:paraId="73ABCC32" w14:textId="77777777" w:rsidR="003F3FCD" w:rsidRDefault="003F3FCD" w:rsidP="00401A5B">
      <w:pPr>
        <w:widowControl w:val="0"/>
        <w:ind w:firstLine="720"/>
        <w:jc w:val="both"/>
        <w:rPr>
          <w:rFonts w:ascii="Times New Roman" w:eastAsia="Times New Roman" w:hAnsi="Times New Roman" w:cs="Times New Roman"/>
          <w:sz w:val="24"/>
        </w:rPr>
      </w:pPr>
    </w:p>
    <w:p w14:paraId="32D71B6E"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Līdz ar straujo ekonomikas izaugsmi un augošo pieprasījumu pēc darbiniekiem pēdējos gados Latvijā bija vērojams visai straujš mēneša vidējās darba samaksas pieaugums, kas turpinājās vēl šā gada pirmajā ceturksnī, Covid-19 krīzes ietekmē būtiskāk palēninoties tikai nākamajos trīs mēnešos.</w:t>
      </w:r>
    </w:p>
    <w:p w14:paraId="014421F5"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 xml:space="preserve">2019.gadā mēneša vidējā bruto darba samaksa palielinājās par 7,2%, vidējai algai sasniedzot 1076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xml:space="preserve">. Pagājušajā gadā kopumā straujāks darba samaksas pieaugums bija privātajā sektorā, kur mēneša vidējā bruto darba samaksa palielinājās par 7,6%, kamēr sabiedriskajā sektorā tā auga par 6,8%. Tomēr vēl joprojām augstāks darba samaksas līmenis saglabājās sabiedriskajā sektorā, kur vidējā alga bija 1103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xml:space="preserve">, kamēr privātajā sektorā tā veidoja 1067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w:t>
      </w:r>
    </w:p>
    <w:p w14:paraId="2DD7630F"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 xml:space="preserve">2020.gada pirmajā ceturksnī inerces rezultātā vēl saglabājās visai spēcīgs darba samaksas pieaugums, mēneša vidējai bruto darba samaksai, salīdzinot ar pagājušā gada pirmo ceturksni palielinoties par 6,6% līdz 1100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Otrajā ceturksnī darba samaksas pieaugums palēninājās līdz 3,9%, taču mēnešu dati rāda, ka pēc sabremzēšanās aprīlī un maijā, jūnijā darba samaksas pieaugums atkal kļuvis straujāks. Aprīlī, salīdzinot ar 2019. gada aprīli, vidējā mēneša bruto darba samaksa pieauga par 3,6%, maijā gada pieauguma temps bija viszemākais - 2,5%, bet jūnijā tas atkal palielinājās līdz 5,6%.</w:t>
      </w:r>
    </w:p>
    <w:p w14:paraId="3B0012FD" w14:textId="1DBEE410"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Kopu</w:t>
      </w:r>
      <w:r>
        <w:rPr>
          <w:rFonts w:ascii="Times New Roman" w:eastAsia="Times New Roman" w:hAnsi="Times New Roman" w:cs="Times New Roman"/>
          <w:sz w:val="28"/>
          <w:szCs w:val="28"/>
          <w:lang w:eastAsia="en-US"/>
        </w:rPr>
        <w:t>m</w:t>
      </w:r>
      <w:r w:rsidRPr="00195261">
        <w:rPr>
          <w:rFonts w:ascii="Times New Roman" w:eastAsia="Times New Roman" w:hAnsi="Times New Roman" w:cs="Times New Roman"/>
          <w:sz w:val="28"/>
          <w:szCs w:val="28"/>
          <w:lang w:eastAsia="en-US"/>
        </w:rPr>
        <w:t xml:space="preserve">ā vidējā darba samaksa otrajā ceturksnī bija 1118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xml:space="preserve">, augstākajai darba samaksai joprojām saglabājoties sabiedriskajā sektorā, kur tā bija 1138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xml:space="preserve">, bet privātajā sektorā vidējā alga veidoja 1108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Algu pieaugums otrajā ceturksnī sabiedriskajā un privātajā sektorā bija vienāds un veidoja 3,8%. Nozaru griezumā straujākie algu pieaugumi otrajā ceturksnī bija citu pakalpojumu nozarē - par 14,3% un profesionālo pakalpojumu nozarē - par 8,0%, savukārt krīzes visvairāk skartajā izmitināšanās un ēdināšanas nozarē vidējā alga samazinājās par 16,5% un transporta nozarē - par 5,1%.</w:t>
      </w:r>
    </w:p>
    <w:p w14:paraId="0CE53F67" w14:textId="08348E62" w:rsid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 xml:space="preserve">Augstākā darba samaksa joprojām saglabājās finanšu pakalpojumu un informācijas un komunikācijas pakalpojumu nozarēs, kur vidējā alga 2020.gada otrajā ceturksnī bija attiecīgi 2160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xml:space="preserve"> un 1813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xml:space="preserve">, bet zemākā darba samaksa bija izmitināšanas un ēdināšanas nozarē – 646 </w:t>
      </w:r>
      <w:r w:rsidRPr="00195261">
        <w:rPr>
          <w:rFonts w:ascii="Times New Roman" w:eastAsia="Times New Roman" w:hAnsi="Times New Roman" w:cs="Times New Roman"/>
          <w:i/>
          <w:sz w:val="28"/>
          <w:szCs w:val="28"/>
          <w:lang w:eastAsia="en-US"/>
        </w:rPr>
        <w:t xml:space="preserve">euro </w:t>
      </w:r>
      <w:r w:rsidRPr="00195261">
        <w:rPr>
          <w:rFonts w:ascii="Times New Roman" w:eastAsia="Times New Roman" w:hAnsi="Times New Roman" w:cs="Times New Roman"/>
          <w:sz w:val="28"/>
          <w:szCs w:val="28"/>
          <w:lang w:eastAsia="en-US"/>
        </w:rPr>
        <w:t>(skat. 1.31.att.).</w:t>
      </w:r>
    </w:p>
    <w:p w14:paraId="6346F46E" w14:textId="77777777" w:rsidR="00195261" w:rsidRDefault="00195261" w:rsidP="00401A5B">
      <w:pPr>
        <w:ind w:firstLine="709"/>
        <w:jc w:val="both"/>
        <w:rPr>
          <w:rFonts w:ascii="Times New Roman" w:eastAsia="Times New Roman" w:hAnsi="Times New Roman" w:cs="Times New Roman"/>
          <w:sz w:val="28"/>
          <w:szCs w:val="28"/>
          <w:lang w:eastAsia="en-US"/>
        </w:rPr>
      </w:pPr>
    </w:p>
    <w:p w14:paraId="2322B254"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p>
    <w:p w14:paraId="51BE1926" w14:textId="77777777" w:rsidR="00195261" w:rsidRPr="00195261" w:rsidRDefault="00195261" w:rsidP="00401A5B">
      <w:pPr>
        <w:jc w:val="center"/>
        <w:rPr>
          <w:rFonts w:ascii="Times New Roman" w:eastAsia="Times New Roman" w:hAnsi="Times New Roman" w:cs="Times New Roman"/>
          <w:sz w:val="28"/>
          <w:szCs w:val="28"/>
          <w:lang w:eastAsia="en-US"/>
        </w:rPr>
      </w:pPr>
      <w:r w:rsidRPr="00195261">
        <w:rPr>
          <w:noProof/>
        </w:rPr>
        <w:drawing>
          <wp:inline distT="0" distB="0" distL="0" distR="0" wp14:anchorId="128DBACC" wp14:editId="6243E3F2">
            <wp:extent cx="5274310" cy="2865755"/>
            <wp:effectExtent l="0" t="0" r="254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4D7B2A1" w14:textId="3CAC5789" w:rsidR="00195261" w:rsidRPr="00195261" w:rsidRDefault="00195261" w:rsidP="00401A5B">
      <w:pPr>
        <w:jc w:val="center"/>
        <w:rPr>
          <w:rFonts w:ascii="Times New Roman" w:eastAsia="Times New Roman" w:hAnsi="Times New Roman" w:cs="Times New Roman"/>
          <w:b/>
          <w:i/>
          <w:sz w:val="24"/>
          <w:szCs w:val="24"/>
          <w:lang w:eastAsia="en-US"/>
        </w:rPr>
      </w:pPr>
      <w:r w:rsidRPr="00195261">
        <w:rPr>
          <w:rFonts w:ascii="Times New Roman" w:eastAsia="Times New Roman" w:hAnsi="Times New Roman" w:cs="Times New Roman"/>
          <w:b/>
          <w:i/>
          <w:sz w:val="24"/>
          <w:szCs w:val="24"/>
          <w:lang w:eastAsia="en-US"/>
        </w:rPr>
        <w:t>1.31</w:t>
      </w:r>
      <w:r>
        <w:rPr>
          <w:rFonts w:ascii="Times New Roman" w:eastAsia="Times New Roman" w:hAnsi="Times New Roman" w:cs="Times New Roman"/>
          <w:b/>
          <w:i/>
          <w:sz w:val="24"/>
          <w:szCs w:val="24"/>
          <w:lang w:eastAsia="en-US"/>
        </w:rPr>
        <w:t>.</w:t>
      </w:r>
      <w:r w:rsidRPr="00195261">
        <w:rPr>
          <w:rFonts w:ascii="Times New Roman" w:eastAsia="Times New Roman" w:hAnsi="Times New Roman" w:cs="Times New Roman"/>
          <w:b/>
          <w:i/>
          <w:sz w:val="24"/>
          <w:szCs w:val="24"/>
          <w:lang w:eastAsia="en-US"/>
        </w:rPr>
        <w:t>att. Strādājošo mēneša vidējā bruto darba samaksa valstī, pa nozarēm, euro</w:t>
      </w:r>
    </w:p>
    <w:p w14:paraId="61EC8C93"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p>
    <w:p w14:paraId="4AD9C52F"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 xml:space="preserve">Būtiskas darba samaksas atšķirības saglabājas arī starp Latvijas reģioniem un joprojām ievērojami augstāka darba samaksa ir Rīgas reģionā, kur tā šā gada otrajā ceturksnī bija 1308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xml:space="preserve">. Latgales reģionā mēneša vidējā bruto darba samaksa otrajā ceturksnī bija 845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xml:space="preserve">, Vidzemes reģionā – 1017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xml:space="preserve">, Kurzemes reģionā – 1107 </w:t>
      </w:r>
      <w:r w:rsidRPr="00195261">
        <w:rPr>
          <w:rFonts w:ascii="Times New Roman" w:eastAsia="Times New Roman" w:hAnsi="Times New Roman" w:cs="Times New Roman"/>
          <w:i/>
          <w:sz w:val="28"/>
          <w:szCs w:val="28"/>
          <w:lang w:eastAsia="en-US"/>
        </w:rPr>
        <w:t>eur</w:t>
      </w:r>
      <w:r w:rsidRPr="00195261">
        <w:rPr>
          <w:rFonts w:ascii="Times New Roman" w:eastAsia="Times New Roman" w:hAnsi="Times New Roman" w:cs="Times New Roman"/>
          <w:sz w:val="28"/>
          <w:szCs w:val="28"/>
          <w:lang w:eastAsia="en-US"/>
        </w:rPr>
        <w:t xml:space="preserve">o un Zemgales reģionā 1112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Tajā pašā laikā, Covid-19 krīzei vairāk skarot Rīgā strādājošos uzņēmumus, šogad algu pieaugums Rīgas reģionā bijis mazāks nekā citviet Latvijā. Mēneša vidējā darba samaksa otrajā ceturksnī, salīdzinot ar pagājušā gada otro ceturksni, palielinājusies par 2,9%, kamēr Latgales reģionā vidējās darba samaksas pieaugums veidojis 4,6%.</w:t>
      </w:r>
    </w:p>
    <w:p w14:paraId="1F6E777D"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Neskatoties zemākiem bruto darba samaksas pieauguma tempiem, reālā darba samaksa, kas ietver patēriņa cenu un nodokļu izmaiņas un precīzāk raksturo strādājošo pirktspējas izmaiņas, šogad augusi tikpat strauji kā pagājušajā gadā, atspoguļojot zemāku patēriņa cenu pieaugumu un otrajā ceturksnī arī deflāciju. Gan pirmajā, gan otrajā ceturksnī reālā darba samaksa, salīdzinot ar pagājušā gada attiecīgo periodu, palielinājusies par 4,3%, kamēr 2019.gadā kopumā reālā darba samaksa bija augusi par 3,9%.</w:t>
      </w:r>
    </w:p>
    <w:p w14:paraId="6BEAC0F6" w14:textId="47A1A3BD" w:rsid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Ja mēneša vidējā bruto darba samaksa Latvijā visai strauji palielinājās jau kopš 2011.gada, reālā darba samaksa straujāku kāpumu sāka uzrādīt tikai ar 2014.gadu (</w:t>
      </w:r>
      <w:r>
        <w:rPr>
          <w:rFonts w:ascii="Times New Roman" w:eastAsia="Times New Roman" w:hAnsi="Times New Roman" w:cs="Times New Roman"/>
          <w:sz w:val="28"/>
          <w:szCs w:val="28"/>
          <w:lang w:eastAsia="en-US"/>
        </w:rPr>
        <w:t xml:space="preserve">skat. </w:t>
      </w:r>
      <w:r w:rsidRPr="00195261">
        <w:rPr>
          <w:rFonts w:ascii="Times New Roman" w:eastAsia="Times New Roman" w:hAnsi="Times New Roman" w:cs="Times New Roman"/>
          <w:sz w:val="28"/>
          <w:szCs w:val="28"/>
          <w:lang w:eastAsia="en-US"/>
        </w:rPr>
        <w:t xml:space="preserve">1.32.att.). Reālo ienākumu būtisko pieaugumu pēdējos gados noteicis gan bruto algas straujš kāpums, gan mērenais inflācijas līmenis, gan darbaspēka nodokļu pazemināšana, paaugstinot ar iedzīvotāju ienākuma nodokli neapliekamo diferencēto minimumu un pazeminot nodokļa likmes. Savukārt 2019.gadā, kad nodokļu izmaiņas netika veiktas, reālo ienākumu pieaugums kļuva lēnāks. </w:t>
      </w:r>
    </w:p>
    <w:p w14:paraId="1F1360BB"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p>
    <w:p w14:paraId="27F9934E" w14:textId="77777777" w:rsidR="00195261" w:rsidRPr="00195261" w:rsidRDefault="00195261" w:rsidP="00401A5B">
      <w:pPr>
        <w:jc w:val="both"/>
        <w:rPr>
          <w:rFonts w:ascii="Times New Roman" w:eastAsia="Times New Roman" w:hAnsi="Times New Roman" w:cs="Times New Roman"/>
          <w:b/>
          <w:sz w:val="28"/>
          <w:szCs w:val="28"/>
          <w:lang w:eastAsia="en-US"/>
        </w:rPr>
      </w:pPr>
      <w:r w:rsidRPr="00195261">
        <w:rPr>
          <w:rFonts w:ascii="Times New Roman" w:eastAsia="Times New Roman" w:hAnsi="Times New Roman" w:cs="Times New Roman"/>
          <w:sz w:val="28"/>
          <w:szCs w:val="28"/>
          <w:lang w:eastAsia="en-US"/>
        </w:rPr>
        <w:t xml:space="preserve"> </w:t>
      </w:r>
      <w:r w:rsidRPr="00195261">
        <w:rPr>
          <w:noProof/>
        </w:rPr>
        <w:drawing>
          <wp:inline distT="0" distB="0" distL="0" distR="0" wp14:anchorId="618CB1D3" wp14:editId="76137817">
            <wp:extent cx="5677786" cy="2498651"/>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94ED94" w14:textId="4FF6F828" w:rsidR="00195261" w:rsidRPr="00195261" w:rsidRDefault="00195261" w:rsidP="00401A5B">
      <w:pPr>
        <w:jc w:val="center"/>
        <w:rPr>
          <w:rFonts w:ascii="Times New Roman" w:eastAsia="Times New Roman" w:hAnsi="Times New Roman" w:cs="Times New Roman"/>
          <w:b/>
          <w:i/>
          <w:sz w:val="24"/>
          <w:szCs w:val="24"/>
          <w:lang w:eastAsia="en-US"/>
        </w:rPr>
      </w:pPr>
      <w:r w:rsidRPr="00195261">
        <w:rPr>
          <w:rFonts w:ascii="Times New Roman" w:eastAsia="Times New Roman" w:hAnsi="Times New Roman" w:cs="Times New Roman"/>
          <w:b/>
          <w:i/>
          <w:sz w:val="24"/>
          <w:szCs w:val="24"/>
          <w:lang w:eastAsia="en-US"/>
        </w:rPr>
        <w:t>1.32</w:t>
      </w:r>
      <w:r>
        <w:rPr>
          <w:rFonts w:ascii="Times New Roman" w:eastAsia="Times New Roman" w:hAnsi="Times New Roman" w:cs="Times New Roman"/>
          <w:b/>
          <w:i/>
          <w:sz w:val="24"/>
          <w:szCs w:val="24"/>
          <w:lang w:eastAsia="en-US"/>
        </w:rPr>
        <w:t>.</w:t>
      </w:r>
      <w:r w:rsidRPr="00195261">
        <w:rPr>
          <w:rFonts w:ascii="Times New Roman" w:eastAsia="Times New Roman" w:hAnsi="Times New Roman" w:cs="Times New Roman"/>
          <w:b/>
          <w:i/>
          <w:sz w:val="24"/>
          <w:szCs w:val="24"/>
          <w:lang w:eastAsia="en-US"/>
        </w:rPr>
        <w:t>att. Strādājošo reālās un bruto darba samaksas izmaiņas pret iepriekšējā gada attiecīgo ceturksni, %</w:t>
      </w:r>
    </w:p>
    <w:p w14:paraId="686B233A"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p>
    <w:p w14:paraId="71334774" w14:textId="6DB6B2A2"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Līdzās darba samaksai, kas ir galvenais ienākumu avots ap 40% jeb 768 tūkst</w:t>
      </w:r>
      <w:r>
        <w:rPr>
          <w:rFonts w:ascii="Times New Roman" w:eastAsia="Times New Roman" w:hAnsi="Times New Roman" w:cs="Times New Roman"/>
          <w:sz w:val="28"/>
          <w:szCs w:val="28"/>
          <w:lang w:eastAsia="en-US"/>
        </w:rPr>
        <w:t>.</w:t>
      </w:r>
      <w:r w:rsidRPr="00195261">
        <w:rPr>
          <w:rFonts w:ascii="Times New Roman" w:eastAsia="Times New Roman" w:hAnsi="Times New Roman" w:cs="Times New Roman"/>
          <w:sz w:val="28"/>
          <w:szCs w:val="28"/>
          <w:lang w:eastAsia="en-US"/>
        </w:rPr>
        <w:t xml:space="preserve"> iedzīvotāju, nozīmīgai iedzīvotāju daļai galveno ienākumu daļu veido pensija. 2020.gada otrajā cetu</w:t>
      </w:r>
      <w:r>
        <w:rPr>
          <w:rFonts w:ascii="Times New Roman" w:eastAsia="Times New Roman" w:hAnsi="Times New Roman" w:cs="Times New Roman"/>
          <w:sz w:val="28"/>
          <w:szCs w:val="28"/>
          <w:lang w:eastAsia="en-US"/>
        </w:rPr>
        <w:t>rksnī valstī bija 546,8 tūkst.</w:t>
      </w:r>
      <w:r w:rsidRPr="00195261">
        <w:rPr>
          <w:rFonts w:ascii="Times New Roman" w:eastAsia="Times New Roman" w:hAnsi="Times New Roman" w:cs="Times New Roman"/>
          <w:sz w:val="28"/>
          <w:szCs w:val="28"/>
          <w:lang w:eastAsia="en-US"/>
        </w:rPr>
        <w:t xml:space="preserve"> pensionāru (28,8% no visiem iedzīvotājiem), un, salīdzinot ar 2019.gada otro ceturksni, pensionāru skaits ir samazinājies par 0,4%. Vidējais vecuma pensijas apmērs šā gada otrajā ceturksnī bija 363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un pēdējā gada laikā tas ir palielinājies par 9,1%. Iepriekšējās ekonomiskās krīzes laikā pensiju indeksācija bija apturēta, bet atšķirībā no citiem iedzīvotāju ienākumu veidiem pensiju ieņēmumi arī nepiedzīvoja būtisku kritumu. No 2013.gada atsākās pensiju indeksācija, paaugstinot mazās pensijas. Savukārt no 2017.gada pensiju indeksācija tiek veikta, palielinot sociālās apdrošināšanas iemaksu algas pieauguma īpatsvaru indeksā līdz 50%, kas nodrošina straujāku pensiju pieaugumu nekā iepriekšējos gados, kad pensiju indeksā lielāks īpatsvars bija patēriņa cenu indeksa pieaugumam. Kopumā vidējā vecuma pensija laikā kopš 2008.gada beigām ir palielinājusies par 58,1%, kamēr strādājošo mēneša vidējā bruto darba samaksa tajā p</w:t>
      </w:r>
      <w:r>
        <w:rPr>
          <w:rFonts w:ascii="Times New Roman" w:eastAsia="Times New Roman" w:hAnsi="Times New Roman" w:cs="Times New Roman"/>
          <w:sz w:val="28"/>
          <w:szCs w:val="28"/>
          <w:lang w:eastAsia="en-US"/>
        </w:rPr>
        <w:t>ašā periodā ir pieaugusi par 57%</w:t>
      </w:r>
      <w:r w:rsidRPr="00195261">
        <w:rPr>
          <w:rFonts w:ascii="Times New Roman" w:eastAsia="Times New Roman" w:hAnsi="Times New Roman" w:cs="Times New Roman"/>
          <w:sz w:val="28"/>
          <w:szCs w:val="28"/>
          <w:lang w:eastAsia="en-US"/>
        </w:rPr>
        <w:t>.</w:t>
      </w:r>
    </w:p>
    <w:p w14:paraId="57490FBF" w14:textId="0EF64AC4"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Bezdarbnieka pabalstus 2020.gada otrajā ceturksnī saņēma 45,6 tūkst</w:t>
      </w:r>
      <w:r>
        <w:rPr>
          <w:rFonts w:ascii="Times New Roman" w:eastAsia="Times New Roman" w:hAnsi="Times New Roman" w:cs="Times New Roman"/>
          <w:sz w:val="28"/>
          <w:szCs w:val="28"/>
          <w:lang w:eastAsia="en-US"/>
        </w:rPr>
        <w:t>.</w:t>
      </w:r>
      <w:r w:rsidRPr="00195261">
        <w:rPr>
          <w:rFonts w:ascii="Times New Roman" w:eastAsia="Times New Roman" w:hAnsi="Times New Roman" w:cs="Times New Roman"/>
          <w:sz w:val="28"/>
          <w:szCs w:val="28"/>
          <w:lang w:eastAsia="en-US"/>
        </w:rPr>
        <w:t xml:space="preserve"> cilvēku un salīdzinājumā ar 2019.gada otro ceturksni bezdarbnieka pabalstu saņēmēju skaits ir palielinājies par 41,8%. Pabalstu saņēmēju īpatsvars starp visiem reģistrētajiem bezdarbniekiem pēdējā gada laikā ir pieaudzis līdz 60,3%, salīdzinot ar 57,0% pagājušā gada otrajā ceturksnī, ko noteica no jauna reģistrēto bezdarbnieku skaita būtiskais pieaugums Covid-19 krīzes laikā. Vidējais bezdarbnieka pabalsta apmērs 2020.gada otrajā ceturksnī bija 351 </w:t>
      </w:r>
      <w:r w:rsidRPr="00195261">
        <w:rPr>
          <w:rFonts w:ascii="Times New Roman" w:eastAsia="Times New Roman" w:hAnsi="Times New Roman" w:cs="Times New Roman"/>
          <w:i/>
          <w:sz w:val="28"/>
          <w:szCs w:val="28"/>
          <w:lang w:eastAsia="en-US"/>
        </w:rPr>
        <w:t xml:space="preserve">euro </w:t>
      </w:r>
      <w:r w:rsidRPr="00195261">
        <w:rPr>
          <w:rFonts w:ascii="Times New Roman" w:eastAsia="Times New Roman" w:hAnsi="Times New Roman" w:cs="Times New Roman"/>
          <w:sz w:val="28"/>
          <w:szCs w:val="28"/>
          <w:lang w:eastAsia="en-US"/>
        </w:rPr>
        <w:t>un pēdējā gada laikā tas ir palielinājies par 7,7%, liecina Valsts sociālās apdrošināšanas aģentūras dati.</w:t>
      </w:r>
    </w:p>
    <w:p w14:paraId="28EDEDBA"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 xml:space="preserve">Covid-19 krīzes laikā no marta līdz jūnijam darba ņēmēji, kuriem tika saglabātas darba vietas, varēja saņemt arī dīkstāves pabalstus. Vidējais dīkstāves pabalstu saņēmēju skaits šajā laikā bija 31,7 tūkstoši un pabalsta vidējais lielums sasniedza 388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w:t>
      </w:r>
    </w:p>
    <w:p w14:paraId="4AC5BC28"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Iedzīvotāju ienākumu galveno veidu – vidējās algas, pensiju, bezdarbnieku pabalstu salīdzinošā dinamika parādīta 1.33.attēlā.</w:t>
      </w:r>
    </w:p>
    <w:p w14:paraId="1ED01E3A"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p>
    <w:p w14:paraId="31246CCA" w14:textId="77777777" w:rsidR="00195261" w:rsidRPr="00195261" w:rsidRDefault="00195261" w:rsidP="00401A5B">
      <w:pPr>
        <w:jc w:val="both"/>
        <w:rPr>
          <w:rFonts w:ascii="Times New Roman" w:eastAsia="Times New Roman" w:hAnsi="Times New Roman" w:cs="Times New Roman"/>
          <w:b/>
          <w:i/>
          <w:sz w:val="28"/>
          <w:szCs w:val="28"/>
          <w:lang w:eastAsia="en-US"/>
        </w:rPr>
      </w:pPr>
      <w:r w:rsidRPr="00195261">
        <w:rPr>
          <w:noProof/>
        </w:rPr>
        <w:drawing>
          <wp:inline distT="0" distB="0" distL="0" distR="0" wp14:anchorId="1ABF52FD" wp14:editId="38DF7A1E">
            <wp:extent cx="5810250" cy="339090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6E536E" w14:textId="77777777" w:rsidR="00195261" w:rsidRPr="00195261" w:rsidRDefault="00195261" w:rsidP="00401A5B">
      <w:pPr>
        <w:jc w:val="center"/>
        <w:rPr>
          <w:rFonts w:ascii="Times New Roman" w:eastAsia="Times New Roman" w:hAnsi="Times New Roman" w:cs="Times New Roman"/>
          <w:b/>
          <w:i/>
          <w:sz w:val="24"/>
          <w:szCs w:val="24"/>
          <w:lang w:eastAsia="en-US"/>
        </w:rPr>
      </w:pPr>
      <w:r w:rsidRPr="00195261">
        <w:rPr>
          <w:rFonts w:ascii="Times New Roman" w:eastAsia="Times New Roman" w:hAnsi="Times New Roman" w:cs="Times New Roman"/>
          <w:b/>
          <w:i/>
          <w:sz w:val="24"/>
          <w:szCs w:val="24"/>
          <w:lang w:eastAsia="en-US"/>
        </w:rPr>
        <w:t>1.33. att. Vidējā neto darba samaksa, vidējā vecuma pensija, vidējais bezdarbnieka pabalsts un sociālās apdrošināšanas vidējā iemaksu alga, euro un izmaiņas pret iepriekšējā gada attiecīgo ceturksni, %</w:t>
      </w:r>
    </w:p>
    <w:p w14:paraId="6C8378D4"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p>
    <w:p w14:paraId="0ABF3D01" w14:textId="759B6260"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 xml:space="preserve">Līdz ar atšķirīgu dinamiku dažādiem iedzīvotāju ienākumu veidiem pēdējo gadu laikā ir mainījušies arī materiālo nevienlīdzību raksturojošie rādītāji. Džini koeficients, kas laikā pēc pagājušās finanšu krīzes bija nedaudz pazeminājies, 2016.gadā sasniedzot 34,5, 2017.gadā atkal pieauga līdz 35,6 un 2018.gadā stabilizējās 35,2 līmenī. Kopumā nevienlīdzības līmenis Latvijā laikā pēc pagājušās finanšu krīzes nav būtiski mainījies un pēc šī rādītāja Latvija aizvien ir trešā nevienlīdzīgākā valsts </w:t>
      </w:r>
      <w:r w:rsidR="00D57525">
        <w:rPr>
          <w:rFonts w:ascii="Times New Roman" w:eastAsia="Times New Roman" w:hAnsi="Times New Roman" w:cs="Times New Roman"/>
          <w:sz w:val="28"/>
          <w:szCs w:val="28"/>
          <w:lang w:eastAsia="en-US"/>
        </w:rPr>
        <w:t>ES</w:t>
      </w:r>
      <w:r w:rsidRPr="00195261">
        <w:rPr>
          <w:rFonts w:ascii="Times New Roman" w:eastAsia="Times New Roman" w:hAnsi="Times New Roman" w:cs="Times New Roman"/>
          <w:sz w:val="28"/>
          <w:szCs w:val="28"/>
          <w:lang w:eastAsia="en-US"/>
        </w:rPr>
        <w:t xml:space="preserve"> aiz Bulgārijas un Lietuvas.</w:t>
      </w:r>
    </w:p>
    <w:p w14:paraId="6593F6B3"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Līdzīga dinamika bijusi arī S80/S20 kvintiļu attiecības indeksam, kas parāda attiecību rīcībā esošo ienākumu summu, ko saņem 20% valsts iedzīvotāju ar augstākajiem ienākumiem, pret ienākumu summu, ko saņem 20% valsts iedzīvotāju ar zemākajiem ienākumiem. Šī attiecība 2018.gadā samazinājusies līdz 6,5, salīdzinot ar 6,8 iepriekšējā gadā, bet kopumā situācija pēdējo desmit gadu laikā praktiski nav mainījusies un arī pēc šī rādītāja Latvija ierindojas starp nevienlīdzīgākajām valstīm ES.</w:t>
      </w:r>
    </w:p>
    <w:p w14:paraId="786C18BA" w14:textId="577FF1E5" w:rsid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Pastāvot augstai ienākumu nevienlīdzībai, Latvijā arī saglabājas augsts nabadzības riskam pakļauto iedzīvotāju īpatsvars. Līdzīgi kā nevienlīdzību tieši raksturojošie rādītāji, arī šis rādītājs 2018.gadā ir parādījis nelielu nabadzības riskam pakļauto iedzīvotāju īpatsvara samazinājumu, tomēr joprojām ir būtiski augstāks nekā ES vidēji. Skatoties pēc nodarbošanās statusa, nabadzības riskam visvairāk Latvijā pakļauti ir pensionāri un jaunākie pieejamie dati rāda, ka Latvijā nabadzības riskam ir pakļauti vairāk nekā 50% pensionāru, kamēr ES vidēji – tikai 18,7%. Arī bezdarbniekiem nabadzības risks Latvijā ir nedaudz augstāks nekā vidēji ES, bet strādājošajiem iedzīvotājiem tas praktiski neatšķiras no ES vidējiem rādītājiem (</w:t>
      </w:r>
      <w:r w:rsidR="00D57525">
        <w:rPr>
          <w:rFonts w:ascii="Times New Roman" w:eastAsia="Times New Roman" w:hAnsi="Times New Roman" w:cs="Times New Roman"/>
          <w:sz w:val="28"/>
          <w:szCs w:val="28"/>
          <w:lang w:eastAsia="en-US"/>
        </w:rPr>
        <w:t xml:space="preserve">skat. </w:t>
      </w:r>
      <w:r w:rsidRPr="00195261">
        <w:rPr>
          <w:rFonts w:ascii="Times New Roman" w:eastAsia="Times New Roman" w:hAnsi="Times New Roman" w:cs="Times New Roman"/>
          <w:sz w:val="28"/>
          <w:szCs w:val="28"/>
          <w:lang w:eastAsia="en-US"/>
        </w:rPr>
        <w:t>1.34.att).</w:t>
      </w:r>
    </w:p>
    <w:p w14:paraId="626FB3D5" w14:textId="77777777" w:rsidR="00D57525" w:rsidRPr="00195261" w:rsidRDefault="00D57525" w:rsidP="00401A5B">
      <w:pPr>
        <w:ind w:firstLine="709"/>
        <w:jc w:val="both"/>
        <w:rPr>
          <w:rFonts w:ascii="Times New Roman" w:eastAsia="Times New Roman" w:hAnsi="Times New Roman" w:cs="Times New Roman"/>
          <w:sz w:val="28"/>
          <w:szCs w:val="28"/>
          <w:lang w:eastAsia="en-US"/>
        </w:rPr>
      </w:pPr>
    </w:p>
    <w:p w14:paraId="65FD8065" w14:textId="77777777" w:rsidR="00195261" w:rsidRPr="00195261" w:rsidRDefault="00195261" w:rsidP="00401A5B">
      <w:pPr>
        <w:jc w:val="center"/>
        <w:rPr>
          <w:rFonts w:ascii="Times New Roman" w:eastAsia="Times New Roman" w:hAnsi="Times New Roman" w:cs="Times New Roman"/>
          <w:sz w:val="28"/>
          <w:szCs w:val="28"/>
          <w:lang w:eastAsia="en-US"/>
        </w:rPr>
      </w:pPr>
      <w:r w:rsidRPr="00195261">
        <w:rPr>
          <w:rFonts w:ascii="Times New Roman" w:eastAsia="Times New Roman" w:hAnsi="Times New Roman" w:cs="Times New Roman"/>
          <w:noProof/>
          <w:sz w:val="28"/>
          <w:szCs w:val="28"/>
        </w:rPr>
        <w:drawing>
          <wp:inline distT="0" distB="0" distL="0" distR="0" wp14:anchorId="705CB24D" wp14:editId="2F313945">
            <wp:extent cx="4638675" cy="2364105"/>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338107" w14:textId="3604A884" w:rsidR="00195261" w:rsidRPr="00195261" w:rsidRDefault="00195261" w:rsidP="00401A5B">
      <w:pPr>
        <w:jc w:val="center"/>
        <w:rPr>
          <w:rFonts w:ascii="Times New Roman" w:eastAsia="Times New Roman" w:hAnsi="Times New Roman" w:cs="Times New Roman"/>
          <w:b/>
          <w:i/>
          <w:sz w:val="24"/>
          <w:szCs w:val="24"/>
          <w:lang w:eastAsia="en-US"/>
        </w:rPr>
      </w:pPr>
      <w:r w:rsidRPr="00195261">
        <w:rPr>
          <w:rFonts w:ascii="Times New Roman" w:eastAsia="Times New Roman" w:hAnsi="Times New Roman" w:cs="Times New Roman"/>
          <w:b/>
          <w:i/>
          <w:sz w:val="24"/>
          <w:szCs w:val="24"/>
          <w:lang w:eastAsia="en-US"/>
        </w:rPr>
        <w:t>1.34</w:t>
      </w:r>
      <w:r w:rsidR="00D57525">
        <w:rPr>
          <w:rFonts w:ascii="Times New Roman" w:eastAsia="Times New Roman" w:hAnsi="Times New Roman" w:cs="Times New Roman"/>
          <w:b/>
          <w:i/>
          <w:sz w:val="24"/>
          <w:szCs w:val="24"/>
          <w:lang w:eastAsia="en-US"/>
        </w:rPr>
        <w:t>.</w:t>
      </w:r>
      <w:r w:rsidRPr="00195261">
        <w:rPr>
          <w:rFonts w:ascii="Times New Roman" w:eastAsia="Times New Roman" w:hAnsi="Times New Roman" w:cs="Times New Roman"/>
          <w:b/>
          <w:i/>
          <w:sz w:val="24"/>
          <w:szCs w:val="24"/>
          <w:lang w:eastAsia="en-US"/>
        </w:rPr>
        <w:t>att. Nabadzības riskam pakļautie iedzīvotāji, pēc statusa, %</w:t>
      </w:r>
    </w:p>
    <w:p w14:paraId="57E9B751" w14:textId="77777777" w:rsidR="00195261" w:rsidRPr="00195261" w:rsidRDefault="00195261" w:rsidP="00401A5B">
      <w:pPr>
        <w:ind w:firstLine="709"/>
        <w:jc w:val="both"/>
        <w:rPr>
          <w:rFonts w:ascii="Times New Roman" w:eastAsia="Times New Roman" w:hAnsi="Times New Roman" w:cs="Times New Roman"/>
          <w:sz w:val="28"/>
          <w:szCs w:val="28"/>
          <w:lang w:eastAsia="en-US"/>
        </w:rPr>
      </w:pPr>
    </w:p>
    <w:p w14:paraId="3C2A8D18" w14:textId="1FC721AF" w:rsidR="00195261" w:rsidRPr="00195261" w:rsidRDefault="00195261" w:rsidP="00401A5B">
      <w:pPr>
        <w:ind w:firstLine="709"/>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Pēdējo gadu laikā, kopējam iedzīvotāju ienākumu līmenim palielinoties, - augot gan darba samaksai, gan pensijām, kā arī samazinoties bezdarba līmenim, pastāvīgi palielinājušies iedzīvotāju uzkrājumi komercbankās. Šā gada pirmajā pusē, neskatoties uz lēnāku darba samaksas pieaugumu un bezdarba kāpumu, kopējais iedzīvotāju noguldījumu apjoms komercbankās ir palielinājies vēl straujāk nekā iepriekšējos gados, ko noteikusi krasā patēriņa samazināšanās Covid-19 krīzes ietekmē. 2020.gada jūnija beigās Latvijas iedzīvotāju noguldījumi komercbankās bija sasnieguši 7,8 m</w:t>
      </w:r>
      <w:r w:rsidR="00D57525">
        <w:rPr>
          <w:rFonts w:ascii="Times New Roman" w:eastAsia="Times New Roman" w:hAnsi="Times New Roman" w:cs="Times New Roman"/>
          <w:sz w:val="28"/>
          <w:szCs w:val="28"/>
          <w:lang w:eastAsia="en-US"/>
        </w:rPr>
        <w:t>ljrd.</w:t>
      </w:r>
      <w:r w:rsidRPr="00195261">
        <w:rPr>
          <w:rFonts w:ascii="Times New Roman" w:eastAsia="Times New Roman" w:hAnsi="Times New Roman" w:cs="Times New Roman"/>
          <w:sz w:val="28"/>
          <w:szCs w:val="28"/>
          <w:lang w:eastAsia="en-US"/>
        </w:rPr>
        <w:t xml:space="preserve"> </w:t>
      </w:r>
      <w:r w:rsidRPr="00195261">
        <w:rPr>
          <w:rFonts w:ascii="Times New Roman" w:eastAsia="Times New Roman" w:hAnsi="Times New Roman" w:cs="Times New Roman"/>
          <w:i/>
          <w:sz w:val="28"/>
          <w:szCs w:val="28"/>
          <w:lang w:eastAsia="en-US"/>
        </w:rPr>
        <w:t>euro</w:t>
      </w:r>
      <w:r w:rsidRPr="00195261">
        <w:rPr>
          <w:rFonts w:ascii="Times New Roman" w:eastAsia="Times New Roman" w:hAnsi="Times New Roman" w:cs="Times New Roman"/>
          <w:sz w:val="28"/>
          <w:szCs w:val="28"/>
          <w:lang w:eastAsia="en-US"/>
        </w:rPr>
        <w:t>, pēdējā gada laikā palielinoties par 10%. Kopš šā gada sākuma iedzīvotāju noguldījumi ir auguši par 357 milj</w:t>
      </w:r>
      <w:r w:rsidR="00D57525">
        <w:rPr>
          <w:rFonts w:ascii="Times New Roman" w:eastAsia="Times New Roman" w:hAnsi="Times New Roman" w:cs="Times New Roman"/>
          <w:sz w:val="28"/>
          <w:szCs w:val="28"/>
          <w:lang w:eastAsia="en-US"/>
        </w:rPr>
        <w:t>.</w:t>
      </w:r>
      <w:r w:rsidRPr="00195261">
        <w:rPr>
          <w:rFonts w:ascii="Times New Roman" w:eastAsia="Times New Roman" w:hAnsi="Times New Roman" w:cs="Times New Roman"/>
          <w:sz w:val="28"/>
          <w:szCs w:val="28"/>
          <w:lang w:eastAsia="en-US"/>
        </w:rPr>
        <w:t xml:space="preserve"> jeb 4,7%, kamēr pagājušā gada pirmajā pusē noguldījumu pieaugums bija 163 miljoni jeb 2,3%. Šāds noguldījumu pieaugums laikā, kad pieaudzis bezdarba līmenis un daļai iedzīvotāju ienākumi ir kritušies, vienlaikus arī norāda uz potenciālu nevienlīdzības pieaugumu strādājošo iedzīvotāju vidū.</w:t>
      </w:r>
    </w:p>
    <w:p w14:paraId="4773B66C" w14:textId="77777777" w:rsidR="00195261" w:rsidRPr="00195261" w:rsidRDefault="00195261" w:rsidP="00401A5B">
      <w:pPr>
        <w:jc w:val="both"/>
        <w:rPr>
          <w:rFonts w:ascii="Times New Roman" w:eastAsia="Times New Roman" w:hAnsi="Times New Roman" w:cs="Times New Roman"/>
          <w:sz w:val="28"/>
          <w:szCs w:val="28"/>
          <w:lang w:eastAsia="en-US"/>
        </w:rPr>
      </w:pPr>
      <w:r w:rsidRPr="00195261">
        <w:rPr>
          <w:rFonts w:ascii="Times New Roman" w:eastAsia="Times New Roman" w:hAnsi="Times New Roman" w:cs="Times New Roman"/>
          <w:sz w:val="28"/>
          <w:szCs w:val="28"/>
          <w:lang w:eastAsia="en-US"/>
        </w:rPr>
        <w:tab/>
        <w:t>Kopumā, līdz ar ekonomikas izaugsmi Latvijas iedzīvotāju ienākumi pēdējo gadu laikā ir tuvinājušies ES vidējam līmenim, bet joprojām no tā būtiski atpaliek. Laikā no 2008. līdz 2018.gadam mājsaimniecību vidējie rīcībā esošie ienākumi uz vienu iedzīvotāju pēc pirktspējas paritātes standarta ir palielinājušies no 59% no ES vidējā līdz 66% no ES vidējā, tomēr joprojām ir ceturtie zemākie ES, apsteidzot tikai Bulgāriju, Horvātiju un Ungāriju (1.35.att.).</w:t>
      </w:r>
    </w:p>
    <w:p w14:paraId="3D2A2BDF" w14:textId="77777777" w:rsidR="00195261" w:rsidRPr="00195261" w:rsidRDefault="00195261" w:rsidP="00401A5B">
      <w:pPr>
        <w:jc w:val="both"/>
        <w:rPr>
          <w:rFonts w:ascii="Times New Roman" w:eastAsia="Times New Roman" w:hAnsi="Times New Roman" w:cs="Times New Roman"/>
          <w:sz w:val="28"/>
          <w:szCs w:val="28"/>
          <w:lang w:eastAsia="en-US"/>
        </w:rPr>
      </w:pPr>
      <w:r w:rsidRPr="00195261">
        <w:rPr>
          <w:noProof/>
        </w:rPr>
        <w:drawing>
          <wp:inline distT="0" distB="0" distL="0" distR="0" wp14:anchorId="0E6EEB4E" wp14:editId="5045BDA4">
            <wp:extent cx="5274310" cy="2978785"/>
            <wp:effectExtent l="0" t="0" r="254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5E1CD4D" w14:textId="27817131" w:rsidR="00195261" w:rsidRPr="00195261" w:rsidRDefault="00195261" w:rsidP="00401A5B">
      <w:pPr>
        <w:jc w:val="center"/>
        <w:rPr>
          <w:rFonts w:ascii="Times New Roman" w:eastAsia="Times New Roman" w:hAnsi="Times New Roman" w:cs="Times New Roman"/>
          <w:b/>
          <w:i/>
          <w:sz w:val="24"/>
          <w:szCs w:val="24"/>
          <w:lang w:eastAsia="en-US"/>
        </w:rPr>
      </w:pPr>
      <w:r w:rsidRPr="00195261">
        <w:rPr>
          <w:rFonts w:ascii="Times New Roman" w:eastAsia="Times New Roman" w:hAnsi="Times New Roman" w:cs="Times New Roman"/>
          <w:b/>
          <w:i/>
          <w:sz w:val="24"/>
          <w:szCs w:val="24"/>
          <w:lang w:eastAsia="en-US"/>
        </w:rPr>
        <w:t>1.35</w:t>
      </w:r>
      <w:r w:rsidR="00D57525">
        <w:rPr>
          <w:rFonts w:ascii="Times New Roman" w:eastAsia="Times New Roman" w:hAnsi="Times New Roman" w:cs="Times New Roman"/>
          <w:b/>
          <w:i/>
          <w:sz w:val="24"/>
          <w:szCs w:val="24"/>
          <w:lang w:eastAsia="en-US"/>
        </w:rPr>
        <w:t>.</w:t>
      </w:r>
      <w:r w:rsidRPr="00195261">
        <w:rPr>
          <w:rFonts w:ascii="Times New Roman" w:eastAsia="Times New Roman" w:hAnsi="Times New Roman" w:cs="Times New Roman"/>
          <w:b/>
          <w:i/>
          <w:sz w:val="24"/>
          <w:szCs w:val="24"/>
          <w:lang w:eastAsia="en-US"/>
        </w:rPr>
        <w:t>att. Mājsaimniecību rīcībā esošie ienākumi uz vienu iedzīvotāju pēc pirktspējas paritātes standarta ES valstīs, 2018.gadā, % no ES vidējā</w:t>
      </w:r>
    </w:p>
    <w:p w14:paraId="75663BE8" w14:textId="77777777" w:rsidR="00EC328B" w:rsidRPr="00EC328B" w:rsidRDefault="00EC328B" w:rsidP="00401A5B">
      <w:pPr>
        <w:widowControl w:val="0"/>
        <w:ind w:firstLine="720"/>
        <w:jc w:val="both"/>
        <w:rPr>
          <w:rFonts w:ascii="Calibri" w:eastAsia="Calibri" w:hAnsi="Calibri" w:cs="Calibri"/>
        </w:rPr>
      </w:pPr>
    </w:p>
    <w:p w14:paraId="6E153714" w14:textId="34CADFB9" w:rsidR="003F3FCD" w:rsidRPr="006C2A58" w:rsidRDefault="000548A5" w:rsidP="00FB2B77">
      <w:pPr>
        <w:pStyle w:val="Heading3"/>
        <w:numPr>
          <w:ilvl w:val="2"/>
          <w:numId w:val="7"/>
        </w:numPr>
      </w:pPr>
      <w:bookmarkStart w:id="9" w:name="_Toc53154083"/>
      <w:r w:rsidRPr="006C2A58">
        <w:t>Ārējā tirdzniecība un maksājumu bilance</w:t>
      </w:r>
      <w:bookmarkEnd w:id="9"/>
    </w:p>
    <w:p w14:paraId="3EEEE796" w14:textId="77777777" w:rsidR="003F3FCD" w:rsidRDefault="003F3FCD" w:rsidP="00401A5B">
      <w:pPr>
        <w:widowControl w:val="0"/>
        <w:ind w:firstLine="720"/>
        <w:jc w:val="both"/>
        <w:rPr>
          <w:rFonts w:ascii="Times New Roman" w:eastAsia="Times New Roman" w:hAnsi="Times New Roman" w:cs="Times New Roman"/>
          <w:sz w:val="24"/>
        </w:rPr>
      </w:pPr>
    </w:p>
    <w:p w14:paraId="446CDAAB" w14:textId="77777777"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imes New Roman" w:hAnsi="Times New Roman" w:cs="Times New Roman"/>
          <w:color w:val="000000"/>
          <w:sz w:val="28"/>
          <w:szCs w:val="28"/>
        </w:rPr>
        <w:t xml:space="preserve">2019.gads Latvijas eksportētājiem ir bijis izaicinājumu pilns, jo nenoteiktība saistībā ar Lielbritānijas izstāšanos no ES, koksnes cenu kritumu pasaules tirgos, mehānisko ierīču reeksporta apjomu samazinājums un straujš finanšu pakalpojumu eksporta kritums ir bremzējuši Latvijas eksporta attīstību. </w:t>
      </w:r>
      <w:r w:rsidRPr="00862260">
        <w:rPr>
          <w:rFonts w:ascii="Times New Roman" w:eastAsiaTheme="minorHAnsi" w:hAnsi="Times New Roman" w:cs="Times New Roman"/>
          <w:sz w:val="28"/>
          <w:szCs w:val="28"/>
          <w:lang w:eastAsia="en-US"/>
        </w:rPr>
        <w:t>Latvijas preču un pakalpojumu eksports salīdzināmās cenās 2019.gadā pieauga par 2,1%, kas bija vājākais kāpums kopš 2014.gada. Ņemot vērā, ka arī Latvijas reālā IKP pieauguma temps pērn sabremzējās līdz 2,1%, eksporta īpatsvars IKP palika praktiski nemainīgs salīdzinājumā ar iepriekšējiem gadiem un bija 63,3%.</w:t>
      </w:r>
    </w:p>
    <w:p w14:paraId="1F0DA405" w14:textId="77777777"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heme="minorHAnsi" w:hAnsi="Times New Roman" w:cs="Times New Roman"/>
          <w:sz w:val="28"/>
          <w:szCs w:val="28"/>
          <w:lang w:eastAsia="en-US"/>
        </w:rPr>
        <w:t>Eksporta attīstību 2019.gadā negatīvi ietekmēja arī vājāks ārējais pieprasījums, kas ir saistīts ar divu pasaules lielāko ekonomiku jeb ASV un Ķīnas tirdzniecības saspīlējumu un savstarpējo importa tarifu ieviešanu, kas radīja negatīvu efektu uz globālo tirdzniecību un pasaules ekonomisko izaugsmi. Tādējādi pasaules IKP pērn uzrādīja vājāko pieaugumu pēdējās desmitgades laikā, kamēr ES izaugsme bija zemākajā līmenī kopš 2014.gada.</w:t>
      </w:r>
    </w:p>
    <w:p w14:paraId="695A1BBF" w14:textId="77777777"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heme="minorHAnsi" w:hAnsi="Times New Roman" w:cs="Times New Roman"/>
          <w:sz w:val="28"/>
          <w:szCs w:val="28"/>
          <w:lang w:eastAsia="en-US"/>
        </w:rPr>
        <w:t xml:space="preserve">ES ir lielākais Latvijas preču un pakalpojumu eksporta tirgus. 2019.gadā uz ES tika eksportēti 72,2% no Latvijas kopējā preču eksporta un 65,9% no kopējā pakalpojumu eksporta. Tādējādi, palēninoties ES iekšējam patēriņam, Latvijas eksporta pieauguma tempi arī sāka mazināties. Piemēram, preču eksporta vērtības pieaugums faktiskajās cenās 2019.gadā uz ES palēninājās līdz 3,1%, kamēr 2018.gadā pieaugums veidoja 9,8%. Savukārt pakalpojumu eksporta vērtības pieaugums uz ES 2019.gadā palēninājās līdz 4,2%, kamēr 2018.gadā pieaugums bija 9,3%. </w:t>
      </w:r>
    </w:p>
    <w:p w14:paraId="40E7569D" w14:textId="7B6480DF"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heme="minorHAnsi" w:hAnsi="Times New Roman" w:cs="Times New Roman"/>
          <w:sz w:val="28"/>
          <w:szCs w:val="28"/>
          <w:lang w:eastAsia="en-US"/>
        </w:rPr>
        <w:t xml:space="preserve">Neskatoties uz to, ka kopš pērnā gada vidus pasaules ekonomikas izaugsme un ārējais pieprasījums sāka bremzēties, Latvijas preču un pakalpojumu eksports </w:t>
      </w:r>
      <w:r w:rsidR="00E90EA4">
        <w:rPr>
          <w:rFonts w:ascii="Times New Roman" w:eastAsiaTheme="minorHAnsi" w:hAnsi="Times New Roman" w:cs="Times New Roman"/>
          <w:sz w:val="28"/>
          <w:szCs w:val="28"/>
          <w:lang w:eastAsia="en-US"/>
        </w:rPr>
        <w:t>šā gada</w:t>
      </w:r>
      <w:r w:rsidRPr="00862260">
        <w:rPr>
          <w:rFonts w:ascii="Times New Roman" w:eastAsiaTheme="minorHAnsi" w:hAnsi="Times New Roman" w:cs="Times New Roman"/>
          <w:sz w:val="28"/>
          <w:szCs w:val="28"/>
          <w:lang w:eastAsia="en-US"/>
        </w:rPr>
        <w:t xml:space="preserve"> sākumā turpināja palielināties. 2020.gada pirmajā ceturksnī kopējā eksporta vērtība salīdzināmās cenās bija par 2,9% augstāka nekā pērnā gada pirmajā ceturksnī. Tomēr </w:t>
      </w:r>
      <w:r w:rsidR="00E90EA4">
        <w:rPr>
          <w:rFonts w:ascii="Times New Roman" w:eastAsiaTheme="minorHAnsi" w:hAnsi="Times New Roman" w:cs="Times New Roman"/>
          <w:sz w:val="28"/>
          <w:szCs w:val="28"/>
          <w:lang w:eastAsia="en-US"/>
        </w:rPr>
        <w:t>šā gada</w:t>
      </w:r>
      <w:r w:rsidRPr="00862260">
        <w:rPr>
          <w:rFonts w:ascii="Times New Roman" w:eastAsiaTheme="minorHAnsi" w:hAnsi="Times New Roman" w:cs="Times New Roman"/>
          <w:sz w:val="28"/>
          <w:szCs w:val="28"/>
          <w:lang w:eastAsia="en-US"/>
        </w:rPr>
        <w:t xml:space="preserve"> otrajā ceturksnī Latvijas preču un pakalpojumu eksports gada laikā ir samazinājies par 13,1%, uzrādot straujāko kritumu kopš 2009.gada vidus.</w:t>
      </w:r>
    </w:p>
    <w:p w14:paraId="05F291EA" w14:textId="612AC438"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heme="minorHAnsi" w:hAnsi="Times New Roman" w:cs="Times New Roman"/>
          <w:sz w:val="28"/>
          <w:szCs w:val="28"/>
          <w:lang w:eastAsia="en-US"/>
        </w:rPr>
        <w:t>Būtisko eksporta samazinājumu noteica Covid-19 pandēmija. Svarīgi norā</w:t>
      </w:r>
      <w:r>
        <w:rPr>
          <w:rFonts w:ascii="Times New Roman" w:eastAsiaTheme="minorHAnsi" w:hAnsi="Times New Roman" w:cs="Times New Roman"/>
          <w:sz w:val="28"/>
          <w:szCs w:val="28"/>
          <w:lang w:eastAsia="en-US"/>
        </w:rPr>
        <w:t>dīt, ka šā gada</w:t>
      </w:r>
      <w:r w:rsidRPr="00862260">
        <w:rPr>
          <w:rFonts w:ascii="Times New Roman" w:eastAsiaTheme="minorHAnsi" w:hAnsi="Times New Roman" w:cs="Times New Roman"/>
          <w:sz w:val="28"/>
          <w:szCs w:val="28"/>
          <w:lang w:eastAsia="en-US"/>
        </w:rPr>
        <w:t xml:space="preserve"> otrajā ceturksnī eksporta kritums bija fiksēts pilnīgi visām ES dalībvalstīm. Tomēr Latvijas gadījumā eksporta samazinājums bija viens no mazākiem ES un gandrīz uz pusi zemāks nekā ES vidēji (-21,1%). Zemāku eksporta kritumu Latvijā nekā ES vidēji var skaidrot ar labāku epidemioloģisku situāciju, kas ļāva neieviest tik stingrus pasākumus koronovīrusa izplatības mazināšanai, tādējādi ļaujot strādāt rūpniecības uzņēmumiem uz pilnu slodzi.</w:t>
      </w:r>
    </w:p>
    <w:p w14:paraId="45D47F6C" w14:textId="77777777" w:rsidR="00862260" w:rsidRPr="00862260" w:rsidRDefault="00862260" w:rsidP="00401A5B">
      <w:pPr>
        <w:jc w:val="both"/>
        <w:rPr>
          <w:rFonts w:ascii="Times New Roman" w:eastAsiaTheme="minorHAnsi" w:hAnsi="Times New Roman" w:cs="Times New Roman"/>
          <w:sz w:val="28"/>
          <w:szCs w:val="28"/>
          <w:lang w:eastAsia="en-US"/>
        </w:rPr>
      </w:pPr>
    </w:p>
    <w:p w14:paraId="04291BAB" w14:textId="77777777" w:rsidR="00862260" w:rsidRPr="00862260" w:rsidRDefault="00862260" w:rsidP="00401A5B">
      <w:pPr>
        <w:jc w:val="center"/>
        <w:rPr>
          <w:rFonts w:ascii="Times New Roman" w:eastAsiaTheme="minorHAnsi" w:hAnsi="Times New Roman" w:cs="Times New Roman"/>
          <w:sz w:val="28"/>
          <w:szCs w:val="28"/>
          <w:lang w:eastAsia="en-US"/>
        </w:rPr>
      </w:pPr>
      <w:r w:rsidRPr="00862260">
        <w:rPr>
          <w:rFonts w:ascii="Times New Roman" w:eastAsiaTheme="minorHAnsi" w:hAnsi="Times New Roman" w:cs="Times New Roman"/>
          <w:noProof/>
          <w:sz w:val="24"/>
          <w:szCs w:val="24"/>
        </w:rPr>
        <w:drawing>
          <wp:inline distT="0" distB="0" distL="0" distR="0" wp14:anchorId="0E3A44C8" wp14:editId="6C6D56D7">
            <wp:extent cx="5334000" cy="337185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1722E6" w14:textId="4B69A863" w:rsidR="00862260" w:rsidRPr="00862260" w:rsidRDefault="00862260" w:rsidP="00401A5B">
      <w:pPr>
        <w:jc w:val="center"/>
        <w:rPr>
          <w:rFonts w:ascii="Times New Roman" w:eastAsiaTheme="minorHAnsi" w:hAnsi="Times New Roman" w:cs="Times New Roman"/>
          <w:b/>
          <w:i/>
          <w:sz w:val="24"/>
          <w:szCs w:val="28"/>
          <w:lang w:eastAsia="en-US"/>
        </w:rPr>
      </w:pPr>
      <w:r w:rsidRPr="00862260">
        <w:rPr>
          <w:rFonts w:ascii="Times New Roman" w:eastAsiaTheme="minorHAnsi" w:hAnsi="Times New Roman" w:cs="Times New Roman"/>
          <w:b/>
          <w:i/>
          <w:color w:val="000000" w:themeColor="text1"/>
          <w:sz w:val="24"/>
          <w:szCs w:val="28"/>
          <w:lang w:eastAsia="en-US"/>
        </w:rPr>
        <w:t xml:space="preserve">1.36.att. Preču </w:t>
      </w:r>
      <w:r w:rsidRPr="00862260">
        <w:rPr>
          <w:rFonts w:ascii="Times New Roman" w:eastAsiaTheme="minorHAnsi" w:hAnsi="Times New Roman" w:cs="Times New Roman"/>
          <w:b/>
          <w:i/>
          <w:sz w:val="24"/>
          <w:szCs w:val="28"/>
          <w:lang w:eastAsia="en-US"/>
        </w:rPr>
        <w:t>un pakalpojumu eksporta izmaiņas salīdzināmajās cenās 2020.gada pirmajā pusgadā salīdzinājumā ar 2019.gada pirmo pusi</w:t>
      </w:r>
      <w:r>
        <w:rPr>
          <w:rFonts w:ascii="Times New Roman" w:eastAsiaTheme="minorHAnsi" w:hAnsi="Times New Roman" w:cs="Times New Roman"/>
          <w:b/>
          <w:i/>
          <w:sz w:val="24"/>
          <w:szCs w:val="28"/>
          <w:lang w:eastAsia="en-US"/>
        </w:rPr>
        <w:t>,</w:t>
      </w:r>
      <w:r w:rsidRPr="00862260">
        <w:rPr>
          <w:rFonts w:ascii="Times New Roman" w:eastAsiaTheme="minorHAnsi" w:hAnsi="Times New Roman" w:cs="Times New Roman"/>
          <w:b/>
          <w:i/>
          <w:sz w:val="24"/>
          <w:szCs w:val="28"/>
          <w:lang w:eastAsia="en-US"/>
        </w:rPr>
        <w:t xml:space="preserve"> ES dalībvalstis, %</w:t>
      </w:r>
    </w:p>
    <w:p w14:paraId="6AA298BC" w14:textId="77777777" w:rsidR="00862260" w:rsidRPr="00862260" w:rsidRDefault="00862260" w:rsidP="00401A5B">
      <w:pPr>
        <w:ind w:firstLine="720"/>
        <w:jc w:val="both"/>
        <w:rPr>
          <w:rFonts w:ascii="Times New Roman" w:eastAsiaTheme="minorHAnsi" w:hAnsi="Times New Roman" w:cs="Times New Roman"/>
          <w:sz w:val="28"/>
          <w:szCs w:val="28"/>
          <w:lang w:eastAsia="en-US"/>
        </w:rPr>
      </w:pPr>
    </w:p>
    <w:p w14:paraId="7ACA5390" w14:textId="77777777"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heme="minorHAnsi" w:hAnsi="Times New Roman" w:cs="Times New Roman"/>
          <w:sz w:val="28"/>
          <w:szCs w:val="28"/>
          <w:lang w:eastAsia="en-US"/>
        </w:rPr>
        <w:t>2020.gads sākās ar negaidīti strauju preču eksporta izaugsmi. Šā gada janvārī un februārī preču eksporta vērtība bija par attiecīgi 4,9% un 7,3% augstāka salīdzinājumā ar iepriekšējā gada attiecīgo periodu. Tik strauju preču eksporta izaugsmi gada sākumā pozitīvi ietekmēja graudaugu eksporta kāpums un mehānismu un mehānisko ierīču, kā arī elektroierīču un elektroiekārtu reeksporta pieaugums.</w:t>
      </w:r>
    </w:p>
    <w:p w14:paraId="3EF4B166" w14:textId="30DCE11D"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heme="minorHAnsi" w:hAnsi="Times New Roman" w:cs="Times New Roman"/>
          <w:sz w:val="28"/>
          <w:szCs w:val="28"/>
          <w:lang w:eastAsia="en-US"/>
        </w:rPr>
        <w:t xml:space="preserve">Savukārt martā preču eksports samazinājās par 0,7% gada griezumā, ko lielā mērā negatīvi ietekmēja bāzes efekti, lai arī kopumā marta datos vēl neiezīmējās Covid-19 pandēmijas negatīvā ietekme uz Latvijas eksportu. Tomēr, jau </w:t>
      </w:r>
      <w:r w:rsidR="00E00EF2">
        <w:rPr>
          <w:rFonts w:ascii="Times New Roman" w:eastAsiaTheme="minorHAnsi" w:hAnsi="Times New Roman" w:cs="Times New Roman"/>
          <w:sz w:val="28"/>
          <w:szCs w:val="28"/>
          <w:lang w:eastAsia="en-US"/>
        </w:rPr>
        <w:t>ar</w:t>
      </w:r>
      <w:r w:rsidRPr="00862260">
        <w:rPr>
          <w:rFonts w:ascii="Times New Roman" w:eastAsiaTheme="minorHAnsi" w:hAnsi="Times New Roman" w:cs="Times New Roman"/>
          <w:sz w:val="28"/>
          <w:szCs w:val="28"/>
          <w:lang w:eastAsia="en-US"/>
        </w:rPr>
        <w:t xml:space="preserve"> aprīli, situācija mainījās un ārējās tirdzniecības aktivitātes kritums visā pasaulē saistībā ar Covid-19 pandēmiju negatīvi ietekmēja arī Latvijas preču eksportu. </w:t>
      </w:r>
    </w:p>
    <w:p w14:paraId="4C467A15" w14:textId="0A7B1F46" w:rsidR="00862260" w:rsidRDefault="00862260" w:rsidP="00401A5B">
      <w:pPr>
        <w:ind w:firstLine="720"/>
        <w:jc w:val="both"/>
        <w:rPr>
          <w:rFonts w:ascii="Times New Roman" w:eastAsiaTheme="minorHAnsi" w:hAnsi="Times New Roman" w:cs="Times New Roman"/>
          <w:color w:val="000000" w:themeColor="text1"/>
          <w:sz w:val="28"/>
          <w:szCs w:val="28"/>
          <w:lang w:eastAsia="en-US"/>
        </w:rPr>
      </w:pPr>
      <w:r w:rsidRPr="00862260">
        <w:rPr>
          <w:rFonts w:ascii="Times New Roman" w:eastAsiaTheme="minorHAnsi" w:hAnsi="Times New Roman" w:cs="Times New Roman"/>
          <w:sz w:val="28"/>
          <w:szCs w:val="28"/>
          <w:lang w:eastAsia="en-US"/>
        </w:rPr>
        <w:t xml:space="preserve">Aprīlī un maijā Latvijas preču eksports samazinājās attiecīgi par 13,9% un 16,8% salīdzinājumā ar attiecīgo periodu pagājušajā gadā. Šajos mēnešos fiksētais eksporta kritums bija straujākais kopš 2009.gada oktobra. Jūnijā un jūlijā preču eksporta vērtība samazinājās attiecīgi par 1,4% un 0,3%. </w:t>
      </w:r>
      <w:r w:rsidRPr="00862260">
        <w:rPr>
          <w:rFonts w:ascii="Times New Roman" w:eastAsiaTheme="minorHAnsi" w:hAnsi="Times New Roman" w:cs="Times New Roman"/>
          <w:color w:val="000000" w:themeColor="text1"/>
          <w:sz w:val="28"/>
          <w:szCs w:val="28"/>
          <w:lang w:eastAsia="en-US"/>
        </w:rPr>
        <w:t xml:space="preserve">Pašreizējos </w:t>
      </w:r>
      <w:r w:rsidRPr="00862260">
        <w:rPr>
          <w:rFonts w:ascii="Times New Roman" w:eastAsiaTheme="minorHAnsi" w:hAnsi="Times New Roman" w:cs="Times New Roman"/>
          <w:sz w:val="28"/>
          <w:szCs w:val="28"/>
          <w:lang w:eastAsia="en-US"/>
        </w:rPr>
        <w:t>Covid-19</w:t>
      </w:r>
      <w:r w:rsidRPr="00862260">
        <w:rPr>
          <w:rFonts w:ascii="Times New Roman" w:eastAsiaTheme="minorHAnsi" w:hAnsi="Times New Roman" w:cs="Times New Roman"/>
          <w:color w:val="000000" w:themeColor="text1"/>
          <w:sz w:val="28"/>
          <w:szCs w:val="28"/>
          <w:lang w:eastAsia="en-US"/>
        </w:rPr>
        <w:t xml:space="preserve"> pandēmijas apstākļos, kad ārējā tirdzniecība un ekonomiskā aktivitāte visā pasaulē ir būtiski sarukusi, šādu Latvijas preču eksporta sniegumu jūnijā un jūlijā var vērtēt kā apmierinošu. Turklāt mēneša griezumā Latvijas preču eksporta vērtība pēdējos divos mēnešos uzrāda būtisku pieaugumu – salīdzinājumā ar iepriekšējo mēnesi jūnijā eksportam palielinoties par 8,0%, bet jūlijā – par 7,3%. Tas nozīmē, ka</w:t>
      </w:r>
      <w:r w:rsidRPr="00862260">
        <w:rPr>
          <w:rFonts w:ascii="Times New Roman" w:eastAsiaTheme="minorHAnsi" w:hAnsi="Times New Roman" w:cs="Times New Roman"/>
          <w:sz w:val="28"/>
          <w:szCs w:val="28"/>
          <w:lang w:eastAsia="en-US"/>
        </w:rPr>
        <w:t xml:space="preserve"> Covid-19 </w:t>
      </w:r>
      <w:r w:rsidRPr="00862260">
        <w:rPr>
          <w:rFonts w:ascii="Times New Roman" w:eastAsiaTheme="minorHAnsi" w:hAnsi="Times New Roman" w:cs="Times New Roman"/>
          <w:color w:val="000000" w:themeColor="text1"/>
          <w:sz w:val="28"/>
          <w:szCs w:val="28"/>
          <w:lang w:eastAsia="en-US"/>
        </w:rPr>
        <w:t>krīzes dziļākais punkts ir aiz muguras un būtisks preču eksporta samazinājums turpmākajos mēnešos nav gaidāms. Ko</w:t>
      </w:r>
      <w:r>
        <w:rPr>
          <w:rFonts w:ascii="Times New Roman" w:eastAsiaTheme="minorHAnsi" w:hAnsi="Times New Roman" w:cs="Times New Roman"/>
          <w:color w:val="000000" w:themeColor="text1"/>
          <w:sz w:val="28"/>
          <w:szCs w:val="28"/>
          <w:lang w:eastAsia="en-US"/>
        </w:rPr>
        <w:t>pumā preču eksporta vērtība šā gada</w:t>
      </w:r>
      <w:r w:rsidRPr="00862260">
        <w:rPr>
          <w:rFonts w:ascii="Times New Roman" w:eastAsiaTheme="minorHAnsi" w:hAnsi="Times New Roman" w:cs="Times New Roman"/>
          <w:color w:val="000000" w:themeColor="text1"/>
          <w:sz w:val="28"/>
          <w:szCs w:val="28"/>
          <w:lang w:eastAsia="en-US"/>
        </w:rPr>
        <w:t xml:space="preserve"> pirmajos septiņos mēnešos samazinājusies par 3,2% salīdzinājumā ar pērnā gada attiecīgo periodu. </w:t>
      </w:r>
    </w:p>
    <w:p w14:paraId="306B6E83" w14:textId="77777777" w:rsidR="00AC361B" w:rsidRPr="00862260" w:rsidRDefault="00AC361B" w:rsidP="00401A5B">
      <w:pPr>
        <w:ind w:firstLine="720"/>
        <w:jc w:val="both"/>
        <w:rPr>
          <w:rFonts w:ascii="Times New Roman" w:eastAsiaTheme="minorHAnsi" w:hAnsi="Times New Roman" w:cs="Times New Roman"/>
          <w:color w:val="000000" w:themeColor="text1"/>
          <w:sz w:val="28"/>
          <w:szCs w:val="28"/>
          <w:lang w:eastAsia="en-US"/>
        </w:rPr>
      </w:pPr>
    </w:p>
    <w:p w14:paraId="46C66446" w14:textId="77777777" w:rsidR="00862260" w:rsidRPr="00862260" w:rsidRDefault="00862260" w:rsidP="00401A5B">
      <w:pPr>
        <w:jc w:val="center"/>
        <w:rPr>
          <w:rFonts w:ascii="Times New Roman" w:eastAsiaTheme="minorHAnsi" w:hAnsi="Times New Roman" w:cs="Times New Roman"/>
          <w:color w:val="000000" w:themeColor="text1"/>
          <w:sz w:val="28"/>
          <w:szCs w:val="28"/>
          <w:lang w:eastAsia="en-US"/>
        </w:rPr>
      </w:pPr>
      <w:r w:rsidRPr="00862260">
        <w:rPr>
          <w:rFonts w:ascii="Times New Roman" w:eastAsiaTheme="minorHAnsi" w:hAnsi="Times New Roman" w:cs="Times New Roman"/>
          <w:noProof/>
          <w:sz w:val="24"/>
          <w:szCs w:val="24"/>
        </w:rPr>
        <w:drawing>
          <wp:inline distT="0" distB="0" distL="0" distR="0" wp14:anchorId="39A95A0F" wp14:editId="30F0D747">
            <wp:extent cx="5274310" cy="3371850"/>
            <wp:effectExtent l="0" t="0" r="254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01B9CE" w14:textId="1AC59A34" w:rsidR="00862260" w:rsidRPr="00862260" w:rsidRDefault="00862260" w:rsidP="00401A5B">
      <w:pPr>
        <w:spacing w:line="259" w:lineRule="auto"/>
        <w:jc w:val="center"/>
        <w:rPr>
          <w:rFonts w:ascii="Times New Roman" w:eastAsiaTheme="minorHAnsi" w:hAnsi="Times New Roman" w:cs="Times New Roman"/>
          <w:b/>
          <w:i/>
          <w:sz w:val="24"/>
          <w:szCs w:val="24"/>
          <w:lang w:eastAsia="en-US"/>
        </w:rPr>
      </w:pPr>
      <w:r w:rsidRPr="00862260">
        <w:rPr>
          <w:rFonts w:ascii="Times New Roman" w:eastAsiaTheme="minorHAnsi" w:hAnsi="Times New Roman" w:cs="Times New Roman"/>
          <w:b/>
          <w:i/>
          <w:color w:val="000000" w:themeColor="text1"/>
          <w:sz w:val="24"/>
          <w:szCs w:val="24"/>
          <w:lang w:eastAsia="en-US"/>
        </w:rPr>
        <w:t xml:space="preserve">1.37.att. </w:t>
      </w:r>
      <w:r w:rsidRPr="00862260">
        <w:rPr>
          <w:rFonts w:ascii="Times New Roman" w:eastAsiaTheme="minorHAnsi" w:hAnsi="Times New Roman" w:cs="Times New Roman"/>
          <w:b/>
          <w:i/>
          <w:sz w:val="24"/>
          <w:szCs w:val="24"/>
          <w:lang w:eastAsia="en-US"/>
        </w:rPr>
        <w:t>Latvijas preču ārējās tirdzniecība, faktiskajās cenās pa ceturkšņiem, milj. euro</w:t>
      </w:r>
    </w:p>
    <w:p w14:paraId="1141EEA7" w14:textId="77777777" w:rsidR="00862260" w:rsidRPr="00862260" w:rsidRDefault="00862260" w:rsidP="00401A5B">
      <w:pPr>
        <w:jc w:val="both"/>
        <w:rPr>
          <w:rFonts w:ascii="Times New Roman" w:eastAsiaTheme="minorHAnsi" w:hAnsi="Times New Roman" w:cs="Times New Roman"/>
          <w:color w:val="000000" w:themeColor="text1"/>
          <w:sz w:val="28"/>
          <w:szCs w:val="28"/>
          <w:lang w:eastAsia="en-US"/>
        </w:rPr>
      </w:pPr>
    </w:p>
    <w:p w14:paraId="296D35D7" w14:textId="5CE2203D"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heme="minorHAnsi" w:hAnsi="Times New Roman" w:cs="Times New Roman"/>
          <w:sz w:val="28"/>
          <w:szCs w:val="28"/>
          <w:lang w:eastAsia="en-US"/>
        </w:rPr>
        <w:t>Būtisks ārējā pie</w:t>
      </w:r>
      <w:r>
        <w:rPr>
          <w:rFonts w:ascii="Times New Roman" w:eastAsiaTheme="minorHAnsi" w:hAnsi="Times New Roman" w:cs="Times New Roman"/>
          <w:sz w:val="28"/>
          <w:szCs w:val="28"/>
          <w:lang w:eastAsia="en-US"/>
        </w:rPr>
        <w:t>prasījuma kritums, it īpaši šā gada</w:t>
      </w:r>
      <w:r w:rsidRPr="00862260">
        <w:rPr>
          <w:rFonts w:ascii="Times New Roman" w:eastAsiaTheme="minorHAnsi" w:hAnsi="Times New Roman" w:cs="Times New Roman"/>
          <w:sz w:val="28"/>
          <w:szCs w:val="28"/>
          <w:lang w:eastAsia="en-US"/>
        </w:rPr>
        <w:t xml:space="preserve"> otrajā ceturksnī bija paredzams. Uz to norādīja gan ekonomikas sentimenta rādītāji ES, ASV un Ķīnā, gan starptautisko organizāciju prognozes par pasaules ekonomikas attīstību un ārējo tirdzniecību. Daudzām pasaules valstīm jau martā bija izsludināts ārkārtējais stāvoklis un slēgtas robežas, bet starptautiskajai preču kustībai nebija noteikti tādi ierobežojumi kā cilvēku kustībai. Tomēr pašizolācija un karantīnas ieviešana, it īpaši </w:t>
      </w:r>
      <w:r>
        <w:rPr>
          <w:rFonts w:ascii="Times New Roman" w:eastAsiaTheme="minorHAnsi" w:hAnsi="Times New Roman" w:cs="Times New Roman"/>
          <w:sz w:val="28"/>
          <w:szCs w:val="28"/>
          <w:lang w:eastAsia="en-US"/>
        </w:rPr>
        <w:t>ES</w:t>
      </w:r>
      <w:r w:rsidRPr="00862260">
        <w:rPr>
          <w:rFonts w:ascii="Times New Roman" w:eastAsiaTheme="minorHAnsi" w:hAnsi="Times New Roman" w:cs="Times New Roman"/>
          <w:sz w:val="28"/>
          <w:szCs w:val="28"/>
          <w:lang w:eastAsia="en-US"/>
        </w:rPr>
        <w:t xml:space="preserve"> valstīs jeb lielākajā Latvijas eksporta tirgū, būtiski mazināja ekonomisko aktivitāti, kā rezultātā mazinājās arī pieprasījums pēc Latvijā ražotajām precēm.</w:t>
      </w:r>
    </w:p>
    <w:p w14:paraId="5DB74348" w14:textId="6D7780ED" w:rsidR="00862260" w:rsidRPr="00862260" w:rsidRDefault="00862260" w:rsidP="00401A5B">
      <w:pPr>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EK</w:t>
      </w:r>
      <w:r w:rsidRPr="00862260">
        <w:rPr>
          <w:rFonts w:ascii="Times New Roman" w:eastAsiaTheme="minorHAnsi" w:hAnsi="Times New Roman" w:cs="Times New Roman"/>
          <w:sz w:val="28"/>
          <w:szCs w:val="28"/>
          <w:lang w:eastAsia="en-US"/>
        </w:rPr>
        <w:t xml:space="preserve"> dati par patērētāju noskaņojumu un turpmāko ekonomikas attīstī</w:t>
      </w:r>
      <w:r>
        <w:rPr>
          <w:rFonts w:ascii="Times New Roman" w:eastAsiaTheme="minorHAnsi" w:hAnsi="Times New Roman" w:cs="Times New Roman"/>
          <w:sz w:val="28"/>
          <w:szCs w:val="28"/>
          <w:lang w:eastAsia="en-US"/>
        </w:rPr>
        <w:t>bu ES, pēc spēcīga krituma šā gada</w:t>
      </w:r>
      <w:r w:rsidRPr="00862260">
        <w:rPr>
          <w:rFonts w:ascii="Times New Roman" w:eastAsiaTheme="minorHAnsi" w:hAnsi="Times New Roman" w:cs="Times New Roman"/>
          <w:sz w:val="28"/>
          <w:szCs w:val="28"/>
          <w:lang w:eastAsia="en-US"/>
        </w:rPr>
        <w:t xml:space="preserve"> aprīlī, kopš jūnija uzrāda noturīgu augšupvērstu dinamiku. Tas norāda uz to, ka ES ekonomikā zemākais punkts tika sasniegts aprīlī un šobrīd vērojama pakāpeniska ekonomiskās aktivitātes atjaunošanās.</w:t>
      </w:r>
    </w:p>
    <w:p w14:paraId="5A9D1A9D" w14:textId="7896F767" w:rsidR="00862260" w:rsidRPr="00862260" w:rsidRDefault="00862260" w:rsidP="00401A5B">
      <w:pPr>
        <w:ind w:firstLine="720"/>
        <w:jc w:val="both"/>
        <w:rPr>
          <w:rFonts w:ascii="Times New Roman" w:eastAsiaTheme="minorHAnsi" w:hAnsi="Times New Roman" w:cs="Times New Roman"/>
          <w:color w:val="000000" w:themeColor="text1"/>
          <w:sz w:val="28"/>
          <w:szCs w:val="28"/>
          <w:lang w:eastAsia="en-US"/>
        </w:rPr>
      </w:pPr>
      <w:r w:rsidRPr="00862260">
        <w:rPr>
          <w:rFonts w:ascii="Times New Roman" w:eastAsiaTheme="minorHAnsi" w:hAnsi="Times New Roman" w:cs="Times New Roman"/>
          <w:sz w:val="28"/>
          <w:szCs w:val="28"/>
          <w:lang w:eastAsia="en-US"/>
        </w:rPr>
        <w:t>Tomēr ES uzņēmēju un patērētāju nos</w:t>
      </w:r>
      <w:r>
        <w:rPr>
          <w:rFonts w:ascii="Times New Roman" w:eastAsiaTheme="minorHAnsi" w:hAnsi="Times New Roman" w:cs="Times New Roman"/>
          <w:sz w:val="28"/>
          <w:szCs w:val="28"/>
          <w:lang w:eastAsia="en-US"/>
        </w:rPr>
        <w:t>kaņojums nav vēl sasniedzis šā gada</w:t>
      </w:r>
      <w:r w:rsidRPr="00862260">
        <w:rPr>
          <w:rFonts w:ascii="Times New Roman" w:eastAsiaTheme="minorHAnsi" w:hAnsi="Times New Roman" w:cs="Times New Roman"/>
          <w:sz w:val="28"/>
          <w:szCs w:val="28"/>
          <w:lang w:eastAsia="en-US"/>
        </w:rPr>
        <w:t xml:space="preserve"> marta līmeni, kas bija pirmais mēnesis, kad daudzas valstis izsludināja ārkārtējo stāvokli un tika ieviesti stingri ierobežojumi saistībā ar koronavīrusa infekcijas uzliesmojumu. Lai arī ekonomikas konfidence gan Latvijā, gan ES pakāpeniski uzlabojas, tā joprojām ir būtiski zemāka nekā pirms šīs krīzes. Uzlabojies ir arī Latvijas rūpnieku novērtējums par </w:t>
      </w:r>
      <w:r>
        <w:rPr>
          <w:rFonts w:ascii="Times New Roman" w:eastAsiaTheme="minorHAnsi" w:hAnsi="Times New Roman" w:cs="Times New Roman"/>
          <w:sz w:val="28"/>
          <w:szCs w:val="28"/>
          <w:lang w:eastAsia="en-US"/>
        </w:rPr>
        <w:t>preču eksporta pasūtījumiem šā gada</w:t>
      </w:r>
      <w:r w:rsidRPr="00862260">
        <w:rPr>
          <w:rFonts w:ascii="Times New Roman" w:eastAsiaTheme="minorHAnsi" w:hAnsi="Times New Roman" w:cs="Times New Roman"/>
          <w:sz w:val="28"/>
          <w:szCs w:val="28"/>
          <w:lang w:eastAsia="en-US"/>
        </w:rPr>
        <w:t xml:space="preserve"> trešajam ceturksnim, tomēr indeksa vērtība joprojām atrodas negatīvajā teritorijā, kas nozīmē, ka ražotāji neredz pamatu straujam ārējā pieprasījuma kāpumam, bet vienlaicīgi nesagaida arī situācijas pasliktināšanos līdzīgi</w:t>
      </w:r>
      <w:r>
        <w:rPr>
          <w:rFonts w:ascii="Times New Roman" w:eastAsiaTheme="minorHAnsi" w:hAnsi="Times New Roman" w:cs="Times New Roman"/>
          <w:sz w:val="28"/>
          <w:szCs w:val="28"/>
          <w:lang w:eastAsia="en-US"/>
        </w:rPr>
        <w:t xml:space="preserve"> kā šā gada</w:t>
      </w:r>
      <w:r w:rsidRPr="00862260">
        <w:rPr>
          <w:rFonts w:ascii="Times New Roman" w:eastAsiaTheme="minorHAnsi" w:hAnsi="Times New Roman" w:cs="Times New Roman"/>
          <w:sz w:val="28"/>
          <w:szCs w:val="28"/>
          <w:lang w:eastAsia="en-US"/>
        </w:rPr>
        <w:t xml:space="preserve"> otrajā ceturksnī. Ir svarīgi norādīt, </w:t>
      </w:r>
      <w:r w:rsidRPr="00862260">
        <w:rPr>
          <w:rFonts w:ascii="Times New Roman" w:eastAsiaTheme="minorHAnsi" w:hAnsi="Times New Roman" w:cs="Times New Roman"/>
          <w:color w:val="000000" w:themeColor="text1"/>
          <w:sz w:val="28"/>
          <w:szCs w:val="28"/>
          <w:lang w:eastAsia="en-US"/>
        </w:rPr>
        <w:t xml:space="preserve">ka situācija ar Covid-19 izplatību attīstās dinamiski </w:t>
      </w:r>
      <w:r>
        <w:rPr>
          <w:rFonts w:ascii="Times New Roman" w:eastAsiaTheme="minorHAnsi" w:hAnsi="Times New Roman" w:cs="Times New Roman"/>
          <w:color w:val="000000" w:themeColor="text1"/>
          <w:sz w:val="28"/>
          <w:szCs w:val="28"/>
          <w:lang w:eastAsia="en-US"/>
        </w:rPr>
        <w:t>un šā gada</w:t>
      </w:r>
      <w:r w:rsidRPr="00862260">
        <w:rPr>
          <w:rFonts w:ascii="Times New Roman" w:eastAsiaTheme="minorHAnsi" w:hAnsi="Times New Roman" w:cs="Times New Roman"/>
          <w:color w:val="000000" w:themeColor="text1"/>
          <w:sz w:val="28"/>
          <w:szCs w:val="28"/>
          <w:lang w:eastAsia="en-US"/>
        </w:rPr>
        <w:t xml:space="preserve"> septembrī ES dalībvalstīs palielinās saslimušo cilvēku skaits, kas norāda uz iespējamu pandēmijas otro vilni.</w:t>
      </w:r>
    </w:p>
    <w:p w14:paraId="5812E3BB" w14:textId="0973E972" w:rsidR="00862260" w:rsidRPr="00862260" w:rsidRDefault="00862260" w:rsidP="00401A5B">
      <w:pPr>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themeColor="text1"/>
          <w:sz w:val="28"/>
          <w:szCs w:val="28"/>
          <w:lang w:eastAsia="en-US"/>
        </w:rPr>
        <w:t>Šā gada</w:t>
      </w:r>
      <w:r w:rsidRPr="00862260">
        <w:rPr>
          <w:rFonts w:ascii="Times New Roman" w:eastAsiaTheme="minorHAnsi" w:hAnsi="Times New Roman" w:cs="Times New Roman"/>
          <w:color w:val="000000" w:themeColor="text1"/>
          <w:sz w:val="28"/>
          <w:szCs w:val="28"/>
          <w:lang w:eastAsia="en-US"/>
        </w:rPr>
        <w:t xml:space="preserve"> otrajā ceturksnī preču eksporta kritums bija fiksēts visām preču grupām </w:t>
      </w:r>
      <w:r w:rsidRPr="00862260">
        <w:rPr>
          <w:rFonts w:ascii="Times New Roman" w:eastAsiaTheme="minorHAnsi" w:hAnsi="Times New Roman" w:cs="Times New Roman"/>
          <w:sz w:val="28"/>
          <w:szCs w:val="28"/>
          <w:lang w:eastAsia="en-US"/>
        </w:rPr>
        <w:t xml:space="preserve">un uz lielāko daļu noieta tirgu, bet visvairāk samazinājās </w:t>
      </w:r>
      <w:r>
        <w:rPr>
          <w:rFonts w:ascii="Times New Roman" w:eastAsiaTheme="minorHAnsi" w:hAnsi="Times New Roman" w:cs="Times New Roman"/>
          <w:sz w:val="28"/>
          <w:szCs w:val="28"/>
          <w:lang w:eastAsia="en-US"/>
        </w:rPr>
        <w:t>eksports uz ES. Šā gada</w:t>
      </w:r>
      <w:r w:rsidRPr="00862260">
        <w:rPr>
          <w:rFonts w:ascii="Times New Roman" w:eastAsiaTheme="minorHAnsi" w:hAnsi="Times New Roman" w:cs="Times New Roman"/>
          <w:sz w:val="28"/>
          <w:szCs w:val="28"/>
          <w:lang w:eastAsia="en-US"/>
        </w:rPr>
        <w:t xml:space="preserve"> septembrī kļuva zināmi IKP dati par visām ES dalībvalstīm, un kopu</w:t>
      </w:r>
      <w:r>
        <w:rPr>
          <w:rFonts w:ascii="Times New Roman" w:eastAsiaTheme="minorHAnsi" w:hAnsi="Times New Roman" w:cs="Times New Roman"/>
          <w:sz w:val="28"/>
          <w:szCs w:val="28"/>
          <w:lang w:eastAsia="en-US"/>
        </w:rPr>
        <w:t>mā ES IKP faktiskajās cenās šā gada</w:t>
      </w:r>
      <w:r w:rsidRPr="00862260">
        <w:rPr>
          <w:rFonts w:ascii="Times New Roman" w:eastAsiaTheme="minorHAnsi" w:hAnsi="Times New Roman" w:cs="Times New Roman"/>
          <w:sz w:val="28"/>
          <w:szCs w:val="28"/>
          <w:lang w:eastAsia="en-US"/>
        </w:rPr>
        <w:t xml:space="preserve"> otrajā ceturksnī ir samazinājies par 12,3% salīdzinājumā ar pērnā gada attiecīgo ceturksni. Savukārt, ES preču importa vērtība saruka par 22,6%. Ņemot vērā, ka aptuveni trīs ceturtdaļas no Latvijas preču eksporta veido eksports uz ES, tas izskaid</w:t>
      </w:r>
      <w:r>
        <w:rPr>
          <w:rFonts w:ascii="Times New Roman" w:eastAsiaTheme="minorHAnsi" w:hAnsi="Times New Roman" w:cs="Times New Roman"/>
          <w:sz w:val="28"/>
          <w:szCs w:val="28"/>
          <w:lang w:eastAsia="en-US"/>
        </w:rPr>
        <w:t>ro straujo eksporta kritumu šā gada</w:t>
      </w:r>
      <w:r w:rsidRPr="00862260">
        <w:rPr>
          <w:rFonts w:ascii="Times New Roman" w:eastAsiaTheme="minorHAnsi" w:hAnsi="Times New Roman" w:cs="Times New Roman"/>
          <w:sz w:val="28"/>
          <w:szCs w:val="28"/>
          <w:lang w:eastAsia="en-US"/>
        </w:rPr>
        <w:t xml:space="preserve"> otrajā ceturksnī un septiņos mēnešos kopumā. </w:t>
      </w:r>
    </w:p>
    <w:p w14:paraId="67B76FF2" w14:textId="56A6D6A1"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Lielā</w:t>
      </w:r>
      <w:r>
        <w:rPr>
          <w:rFonts w:ascii="Times New Roman" w:eastAsiaTheme="minorHAnsi" w:hAnsi="Times New Roman" w:cs="Times New Roman"/>
          <w:sz w:val="28"/>
          <w:szCs w:val="20"/>
          <w:lang w:eastAsia="en-US"/>
        </w:rPr>
        <w:t>kais preču eksporta kritums šā gada</w:t>
      </w:r>
      <w:r w:rsidRPr="00862260">
        <w:rPr>
          <w:rFonts w:ascii="Times New Roman" w:eastAsiaTheme="minorHAnsi" w:hAnsi="Times New Roman" w:cs="Times New Roman"/>
          <w:sz w:val="28"/>
          <w:szCs w:val="20"/>
          <w:lang w:eastAsia="en-US"/>
        </w:rPr>
        <w:t xml:space="preserve"> septiņos mēnešos ir fiksēts satiksmes līdzekļu preču grupai, kopumā par 27,7% salīdzinājumā ar pirmajiem septiņiem mēnešiem pagājušajā gadā. Eksporta kritums šajā preču grupā tiešā veidā ir saistīts ar pandēmijas sekām un fiksēts visiem satiksmes līdzekļu veidiem. Tomēr lielākais samazinājums ir fiksēts automobiļu un to detaļu eksportam – kopumā par 110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Savukārt automobiļu un to detaļu imports samazinājies par 237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Latvija importē automobiļus galvenokārt no Vācijas, Polijas un Igaunijas, bet reeksportē galvenokārt uz Lietuvu. Ārējās tirdzniecības kritums šajā preču grupā ir fiksēts tieši ar augstākminētajam valstīm. Ņemot vērā, ka Latvija importē automobiļus arī iekšējam patēriņam, eksporta kritums ir mazāks par importa samazinājumu. Jāatzīmē, ka pirmoreiz reģistrēto viegl</w:t>
      </w:r>
      <w:r w:rsidR="004700FF">
        <w:rPr>
          <w:rFonts w:ascii="Times New Roman" w:eastAsiaTheme="minorHAnsi" w:hAnsi="Times New Roman" w:cs="Times New Roman"/>
          <w:sz w:val="28"/>
          <w:szCs w:val="20"/>
          <w:lang w:eastAsia="en-US"/>
        </w:rPr>
        <w:t>o automobiļu skaits Latvijā šā gada</w:t>
      </w:r>
      <w:r w:rsidRPr="00862260">
        <w:rPr>
          <w:rFonts w:ascii="Times New Roman" w:eastAsiaTheme="minorHAnsi" w:hAnsi="Times New Roman" w:cs="Times New Roman"/>
          <w:sz w:val="28"/>
          <w:szCs w:val="20"/>
          <w:lang w:eastAsia="en-US"/>
        </w:rPr>
        <w:t xml:space="preserve"> septiņos mēnešos kopumā ir samazinājies par 24,0% salīdzinājumā ar attiecīgo </w:t>
      </w:r>
      <w:r w:rsidR="004700FF">
        <w:rPr>
          <w:rFonts w:ascii="Times New Roman" w:eastAsiaTheme="minorHAnsi" w:hAnsi="Times New Roman" w:cs="Times New Roman"/>
          <w:sz w:val="28"/>
          <w:szCs w:val="20"/>
          <w:lang w:eastAsia="en-US"/>
        </w:rPr>
        <w:t>periodu 2019.gadā, bet tieši šā gada</w:t>
      </w:r>
      <w:r w:rsidRPr="00862260">
        <w:rPr>
          <w:rFonts w:ascii="Times New Roman" w:eastAsiaTheme="minorHAnsi" w:hAnsi="Times New Roman" w:cs="Times New Roman"/>
          <w:sz w:val="28"/>
          <w:szCs w:val="20"/>
          <w:lang w:eastAsia="en-US"/>
        </w:rPr>
        <w:t xml:space="preserve"> aprīlī un maijā kritum</w:t>
      </w:r>
      <w:r w:rsidR="004700FF">
        <w:rPr>
          <w:rFonts w:ascii="Times New Roman" w:eastAsiaTheme="minorHAnsi" w:hAnsi="Times New Roman" w:cs="Times New Roman"/>
          <w:sz w:val="28"/>
          <w:szCs w:val="20"/>
          <w:lang w:eastAsia="en-US"/>
        </w:rPr>
        <w:t>s pārsniedza 50%. Savukārt, šā gada</w:t>
      </w:r>
      <w:r w:rsidRPr="00862260">
        <w:rPr>
          <w:rFonts w:ascii="Times New Roman" w:eastAsiaTheme="minorHAnsi" w:hAnsi="Times New Roman" w:cs="Times New Roman"/>
          <w:sz w:val="28"/>
          <w:szCs w:val="20"/>
          <w:lang w:eastAsia="en-US"/>
        </w:rPr>
        <w:t xml:space="preserve"> jūlijā pirmoreiz reģistrēto vieglo automobiļu skaita kritums gada griezumā bija tikai 3,1%, liecinot par ekono</w:t>
      </w:r>
      <w:r w:rsidR="004700FF">
        <w:rPr>
          <w:rFonts w:ascii="Times New Roman" w:eastAsiaTheme="minorHAnsi" w:hAnsi="Times New Roman" w:cs="Times New Roman"/>
          <w:sz w:val="28"/>
          <w:szCs w:val="20"/>
          <w:lang w:eastAsia="en-US"/>
        </w:rPr>
        <w:t>mikas aktivitātes atjaunošanos (skat. 1.38.att.).</w:t>
      </w:r>
    </w:p>
    <w:p w14:paraId="034E9027" w14:textId="77777777" w:rsidR="00862260" w:rsidRPr="00862260" w:rsidRDefault="00862260" w:rsidP="00401A5B">
      <w:pPr>
        <w:jc w:val="center"/>
        <w:rPr>
          <w:rFonts w:ascii="Times New Roman" w:eastAsiaTheme="minorHAnsi" w:hAnsi="Times New Roman" w:cs="Times New Roman"/>
          <w:sz w:val="28"/>
          <w:szCs w:val="20"/>
          <w:lang w:eastAsia="en-US"/>
        </w:rPr>
      </w:pPr>
      <w:r w:rsidRPr="00862260">
        <w:rPr>
          <w:rFonts w:ascii="Times New Roman" w:eastAsiaTheme="minorHAnsi" w:hAnsi="Times New Roman" w:cs="Times New Roman"/>
          <w:noProof/>
          <w:sz w:val="24"/>
          <w:szCs w:val="24"/>
        </w:rPr>
        <w:drawing>
          <wp:inline distT="0" distB="0" distL="0" distR="0" wp14:anchorId="227F92DD" wp14:editId="1331FA7C">
            <wp:extent cx="5467350" cy="46005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FCD798" w14:textId="4EEDAAC1" w:rsidR="00862260" w:rsidRPr="00862260" w:rsidRDefault="004700FF" w:rsidP="00401A5B">
      <w:pPr>
        <w:spacing w:line="259" w:lineRule="auto"/>
        <w:jc w:val="center"/>
        <w:rPr>
          <w:rFonts w:ascii="Times New Roman" w:eastAsiaTheme="minorHAnsi" w:hAnsi="Times New Roman" w:cs="Times New Roman"/>
          <w:i/>
          <w:sz w:val="24"/>
          <w:szCs w:val="24"/>
          <w:lang w:eastAsia="en-US"/>
        </w:rPr>
      </w:pPr>
      <w:r>
        <w:rPr>
          <w:rFonts w:ascii="Times New Roman" w:eastAsiaTheme="minorHAnsi" w:hAnsi="Times New Roman" w:cs="Times New Roman"/>
          <w:b/>
          <w:bCs/>
          <w:i/>
          <w:color w:val="000000" w:themeColor="text1"/>
          <w:sz w:val="24"/>
          <w:szCs w:val="24"/>
          <w:lang w:eastAsia="en-US"/>
        </w:rPr>
        <w:t>1.38.</w:t>
      </w:r>
      <w:r w:rsidR="00862260" w:rsidRPr="00862260">
        <w:rPr>
          <w:rFonts w:ascii="Times New Roman" w:eastAsiaTheme="minorHAnsi" w:hAnsi="Times New Roman" w:cs="Times New Roman"/>
          <w:b/>
          <w:bCs/>
          <w:i/>
          <w:color w:val="000000" w:themeColor="text1"/>
          <w:sz w:val="24"/>
          <w:szCs w:val="24"/>
          <w:lang w:eastAsia="en-US"/>
        </w:rPr>
        <w:t xml:space="preserve">att. </w:t>
      </w:r>
      <w:r w:rsidR="00862260" w:rsidRPr="00862260">
        <w:rPr>
          <w:rFonts w:ascii="Times New Roman" w:eastAsiaTheme="minorHAnsi" w:hAnsi="Times New Roman" w:cs="Times New Roman"/>
          <w:b/>
          <w:bCs/>
          <w:i/>
          <w:sz w:val="24"/>
          <w:szCs w:val="24"/>
          <w:lang w:eastAsia="en-US"/>
        </w:rPr>
        <w:t>Latvijas preču eksports faktiskajās cenās pa grupām, devumi (pp) un kopējais pieaugums (%)</w:t>
      </w:r>
    </w:p>
    <w:p w14:paraId="39E7E19A" w14:textId="77777777" w:rsidR="00862260" w:rsidRPr="00862260" w:rsidRDefault="00862260" w:rsidP="00401A5B">
      <w:pPr>
        <w:jc w:val="both"/>
        <w:rPr>
          <w:rFonts w:ascii="Times New Roman" w:eastAsiaTheme="minorHAnsi" w:hAnsi="Times New Roman" w:cs="Times New Roman"/>
          <w:sz w:val="28"/>
          <w:szCs w:val="20"/>
          <w:lang w:eastAsia="en-US"/>
        </w:rPr>
      </w:pPr>
    </w:p>
    <w:p w14:paraId="0FC69369" w14:textId="77777777"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heme="minorHAnsi" w:hAnsi="Times New Roman" w:cs="Times New Roman"/>
          <w:sz w:val="28"/>
          <w:szCs w:val="20"/>
          <w:lang w:eastAsia="en-US"/>
        </w:rPr>
        <w:t>Būtiski samazinājās koka un koka izstrādājumu eksporta vērtība, kopumā par 9,3%, salīdzinājumā ar septiņiem mēnešiem 2019.gadā. Koksnes eksporta kritumu negatīvi ietekmēja gan bāzes efekti, gan Covid</w:t>
      </w:r>
      <w:r w:rsidRPr="00862260">
        <w:rPr>
          <w:rFonts w:ascii="Times New Roman" w:eastAsiaTheme="minorHAnsi" w:hAnsi="Times New Roman" w:cs="Times New Roman"/>
          <w:sz w:val="28"/>
          <w:szCs w:val="20"/>
          <w:lang w:eastAsia="en-US"/>
        </w:rPr>
        <w:noBreakHyphen/>
        <w:t xml:space="preserve">19 pandēmija. Pagājušā gada sākumā koksnes eksports palielinājās, ko labvēlīgi ietekmēja augstais koka un koka izstrādājumu eksporta apjoms uz </w:t>
      </w:r>
      <w:r w:rsidRPr="00862260">
        <w:rPr>
          <w:rFonts w:ascii="Times New Roman" w:eastAsiaTheme="minorHAnsi" w:hAnsi="Times New Roman" w:cs="Times New Roman"/>
          <w:sz w:val="28"/>
          <w:szCs w:val="28"/>
          <w:lang w:eastAsia="en-US"/>
        </w:rPr>
        <w:t xml:space="preserve">Lielbritāniju, kad </w:t>
      </w:r>
      <w:r w:rsidRPr="00862260">
        <w:rPr>
          <w:rFonts w:ascii="Times New Roman" w:eastAsiaTheme="minorHAnsi" w:hAnsi="Times New Roman" w:cs="Times New Roman"/>
          <w:i/>
          <w:sz w:val="28"/>
          <w:szCs w:val="28"/>
          <w:lang w:eastAsia="en-US"/>
        </w:rPr>
        <w:t>Brexit</w:t>
      </w:r>
      <w:r w:rsidRPr="00862260">
        <w:rPr>
          <w:rFonts w:ascii="Times New Roman" w:eastAsiaTheme="minorHAnsi" w:hAnsi="Times New Roman" w:cs="Times New Roman"/>
          <w:sz w:val="28"/>
          <w:szCs w:val="28"/>
          <w:lang w:eastAsia="en-US"/>
        </w:rPr>
        <w:t xml:space="preserve"> gaidās tika papildinātas šīs valsts noliktavas. Taču šī faktora pozitīvā ietekme pērnā gada maijā izzuda un gada otrajā pusē kopējā koksnes eksporta vērtība sāka samazināties, atsevišķos mēnešos kritumam sasniedzot 15%. Papildus tam, pērn bija straujš koksnes cenu kritums pasaules tirgos, kas tikai paātrināja koksnes eksporta kritumu.</w:t>
      </w:r>
    </w:p>
    <w:p w14:paraId="5011DB0A" w14:textId="31B0894F" w:rsidR="00862260" w:rsidRPr="00862260" w:rsidRDefault="004700FF" w:rsidP="00401A5B">
      <w:pPr>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Kopš šā gada</w:t>
      </w:r>
      <w:r w:rsidR="00862260" w:rsidRPr="00862260">
        <w:rPr>
          <w:rFonts w:ascii="Times New Roman" w:eastAsiaTheme="minorHAnsi" w:hAnsi="Times New Roman" w:cs="Times New Roman"/>
          <w:sz w:val="28"/>
          <w:szCs w:val="28"/>
          <w:lang w:eastAsia="en-US"/>
        </w:rPr>
        <w:t xml:space="preserve"> aprīļa koka un koka izstrādājumu eksportu sāka negatīvi ietekmē</w:t>
      </w:r>
      <w:r>
        <w:rPr>
          <w:rFonts w:ascii="Times New Roman" w:eastAsiaTheme="minorHAnsi" w:hAnsi="Times New Roman" w:cs="Times New Roman"/>
          <w:sz w:val="28"/>
          <w:szCs w:val="28"/>
          <w:lang w:eastAsia="en-US"/>
        </w:rPr>
        <w:t>t Covid-19 pandēmija. Tomēr šā gada</w:t>
      </w:r>
      <w:r w:rsidR="00862260" w:rsidRPr="00862260">
        <w:rPr>
          <w:rFonts w:ascii="Times New Roman" w:eastAsiaTheme="minorHAnsi" w:hAnsi="Times New Roman" w:cs="Times New Roman"/>
          <w:sz w:val="28"/>
          <w:szCs w:val="28"/>
          <w:lang w:eastAsia="en-US"/>
        </w:rPr>
        <w:t xml:space="preserve"> jūlijā koksnes eksporta vērtība palielinājās par 4,4% salīdzinājumā ar pērnā gada jūliju, kas bija pirmais eksporta pieaugums šajā preču grupā pēdējo 15 mēnešu laikā. Koksnes eksporta pieaugumu veicināja straujš koksnes un koka izstrādājumu</w:t>
      </w:r>
      <w:r>
        <w:rPr>
          <w:rFonts w:ascii="Times New Roman" w:eastAsiaTheme="minorHAnsi" w:hAnsi="Times New Roman" w:cs="Times New Roman"/>
          <w:sz w:val="28"/>
          <w:szCs w:val="28"/>
          <w:lang w:eastAsia="en-US"/>
        </w:rPr>
        <w:t xml:space="preserve"> ražošanas apjoma pieaugums šā gada</w:t>
      </w:r>
      <w:r w:rsidR="00862260" w:rsidRPr="00862260">
        <w:rPr>
          <w:rFonts w:ascii="Times New Roman" w:eastAsiaTheme="minorHAnsi" w:hAnsi="Times New Roman" w:cs="Times New Roman"/>
          <w:sz w:val="28"/>
          <w:szCs w:val="28"/>
          <w:lang w:eastAsia="en-US"/>
        </w:rPr>
        <w:t xml:space="preserve"> jūlijā, par 12,5% salīdzinājumā ar pērnā gada jūliju. Tik straujš koksnes rūpniecības pieaugums nebija sasniegts kopš pagājušā gada sākuma, kad nozari sāka skart koksnes cenu kritums pasaules biržās.</w:t>
      </w:r>
    </w:p>
    <w:p w14:paraId="580CFBCD" w14:textId="77777777" w:rsidR="00862260" w:rsidRPr="00862260" w:rsidRDefault="00862260" w:rsidP="00401A5B">
      <w:pPr>
        <w:ind w:firstLine="720"/>
        <w:jc w:val="both"/>
        <w:rPr>
          <w:rFonts w:ascii="Times New Roman" w:eastAsiaTheme="minorHAnsi" w:hAnsi="Times New Roman" w:cs="Times New Roman"/>
          <w:sz w:val="28"/>
          <w:szCs w:val="28"/>
          <w:lang w:eastAsia="en-US"/>
        </w:rPr>
      </w:pPr>
      <w:r w:rsidRPr="00862260">
        <w:rPr>
          <w:rFonts w:ascii="Times New Roman" w:eastAsiaTheme="minorHAnsi" w:hAnsi="Times New Roman" w:cs="Times New Roman"/>
          <w:sz w:val="28"/>
          <w:szCs w:val="28"/>
          <w:lang w:eastAsia="en-US"/>
        </w:rPr>
        <w:t xml:space="preserve">Lai arī jūlijā bija fiksēts straujš koksnes ražošanas apjomu kāpums un koksnes eksporta pieaugums jūlijā bija diversificēts un fiksēts uz daudzām valstīm, tomēr pašreiz nav pamata uzskatīt, ka krīze ir pārvarēta un turpmāk koksnes eksports uzrādīs tikai pieaugumus. Drīzāk eksporta datus jūlijā var skaidrot kā situācijas stabilizēšanos un turpmāko koksnes eksporta attīstību ietekmēs ES ekonomikas atgūšanās temps, it īpaši būvniecības un apstrādes rūpniecības nozarēs, kā arī Lielbritānijas un ES vienošanās par tirdzniecības nosacījumiem. </w:t>
      </w:r>
    </w:p>
    <w:p w14:paraId="0524DA44" w14:textId="3BFE6B75" w:rsidR="00862260" w:rsidRPr="00862260" w:rsidRDefault="004700FF" w:rsidP="00401A5B">
      <w:pPr>
        <w:ind w:firstLine="720"/>
        <w:jc w:val="both"/>
        <w:rPr>
          <w:rFonts w:ascii="Times New Roman" w:eastAsiaTheme="minorHAnsi" w:hAnsi="Times New Roman" w:cs="Times New Roman"/>
          <w:sz w:val="28"/>
          <w:szCs w:val="20"/>
          <w:lang w:eastAsia="en-US"/>
        </w:rPr>
      </w:pPr>
      <w:r>
        <w:rPr>
          <w:rFonts w:ascii="Times New Roman" w:eastAsiaTheme="minorHAnsi" w:hAnsi="Times New Roman" w:cs="Times New Roman"/>
          <w:sz w:val="28"/>
          <w:szCs w:val="20"/>
          <w:lang w:eastAsia="en-US"/>
        </w:rPr>
        <w:t>Par 23,4% šā gada</w:t>
      </w:r>
      <w:r w:rsidR="00862260" w:rsidRPr="00862260">
        <w:rPr>
          <w:rFonts w:ascii="Times New Roman" w:eastAsiaTheme="minorHAnsi" w:hAnsi="Times New Roman" w:cs="Times New Roman"/>
          <w:sz w:val="28"/>
          <w:szCs w:val="20"/>
          <w:lang w:eastAsia="en-US"/>
        </w:rPr>
        <w:t xml:space="preserve"> septiņos mēnešos ir samazinājies minerālproduktu eksports. Eksporta kritumu šajā preču grupā noteica elektroenerģijas eksporta samazinājums par 50,9%, kā arī naftas pārstrādes produktu eksporta samazinājums par 40,5%. Elektroenerģijas eksportu negatīvi ietekmēja elektroenerģijas patēriņa samazinājums Lietuvā saistībā ar siltajiem laika apstākļiem 2020.gada ziemā, kā arī ar zemāku ekonomisko aktivitāti ārkārtas situācijas laikā. Savukārt naftas pārstrādes produktu eksporta kritumu noteica gan naftas cenu kritums pasaules biržās, gan naftas produktu pieprasījuma samazinājums pandēmijas laikā vairākās ES valstīs. </w:t>
      </w:r>
    </w:p>
    <w:p w14:paraId="71D620AB" w14:textId="77777777"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Preču eksporta kritums fiksēts arī tādām preču grupām kā metāli un to izstrādājumi, būvniecības, poligrāfijas un tekstilmateriāli. Tomēr eksporta samazinājums šajās preču grupās nebija būtisks un mērāms dažos procentos.</w:t>
      </w:r>
    </w:p>
    <w:p w14:paraId="344CAF2C" w14:textId="5E7137BB" w:rsidR="004700FF" w:rsidRPr="00862260" w:rsidRDefault="004700FF" w:rsidP="00401A5B">
      <w:pPr>
        <w:ind w:firstLine="720"/>
        <w:jc w:val="both"/>
        <w:rPr>
          <w:rFonts w:ascii="Times New Roman" w:eastAsiaTheme="minorHAnsi" w:hAnsi="Times New Roman" w:cs="Times New Roman"/>
          <w:sz w:val="28"/>
          <w:szCs w:val="20"/>
          <w:lang w:eastAsia="en-US"/>
        </w:rPr>
      </w:pPr>
      <w:r>
        <w:rPr>
          <w:rFonts w:ascii="Times New Roman" w:eastAsiaTheme="minorHAnsi" w:hAnsi="Times New Roman" w:cs="Times New Roman"/>
          <w:sz w:val="28"/>
          <w:szCs w:val="20"/>
          <w:lang w:eastAsia="en-US"/>
        </w:rPr>
        <w:t>Eksporta kritumu šā gada</w:t>
      </w:r>
      <w:r w:rsidR="00862260" w:rsidRPr="00862260">
        <w:rPr>
          <w:rFonts w:ascii="Times New Roman" w:eastAsiaTheme="minorHAnsi" w:hAnsi="Times New Roman" w:cs="Times New Roman"/>
          <w:sz w:val="28"/>
          <w:szCs w:val="20"/>
          <w:lang w:eastAsia="en-US"/>
        </w:rPr>
        <w:t xml:space="preserve"> septiņos mēnešos nedaudz mazināja lauksaimniecības un pārtikas preču, kā arī mehānisko un elektroierīču eksporta pieaugums. Lauksaimniecības un pārtikas preču eksporta kāpumu par 2,4% noteica eļļas augu sēklu, gaļas un zivju izstrādājumu, labības un miltu izstrādājumu, kā arī tabakas izstrādājumu eksporta pieaugums. Šo preču eksporta pieaugumu daļēji veicināja arī reeksporta apjomu kāpums. Lauksaimniecības un pārtikas preču eksports kopu</w:t>
      </w:r>
      <w:r>
        <w:rPr>
          <w:rFonts w:ascii="Times New Roman" w:eastAsiaTheme="minorHAnsi" w:hAnsi="Times New Roman" w:cs="Times New Roman"/>
          <w:sz w:val="28"/>
          <w:szCs w:val="20"/>
          <w:lang w:eastAsia="en-US"/>
        </w:rPr>
        <w:t>mā uzrādīja pieaugumu tikai šā gada</w:t>
      </w:r>
      <w:r w:rsidR="00862260" w:rsidRPr="00862260">
        <w:rPr>
          <w:rFonts w:ascii="Times New Roman" w:eastAsiaTheme="minorHAnsi" w:hAnsi="Times New Roman" w:cs="Times New Roman"/>
          <w:sz w:val="28"/>
          <w:szCs w:val="20"/>
          <w:lang w:eastAsia="en-US"/>
        </w:rPr>
        <w:t xml:space="preserve"> pirmajā ceturksnī, bet kopš aprīļa eksporta vērtība šajā preču grupā samazinās. Būtiska loma šīs preču eksporta grupas attīstībā ir graudaugiem, kuru eksports septiņos mēnešos samazinājās par 2,0%. Tradicionāli lielākā graudaugu eksporta vērtība ir rudens mēnešos, līdz ar to lauksaimniecības un pārtikas preču kopējo eksportu turpmākajos mēnešos lielā mērā noteiks graudaugu eksports.</w:t>
      </w:r>
    </w:p>
    <w:p w14:paraId="061FD5D6" w14:textId="16F76C8D" w:rsidR="00862260" w:rsidRPr="00862260" w:rsidRDefault="00862260" w:rsidP="00401A5B">
      <w:pPr>
        <w:ind w:firstLine="720"/>
        <w:jc w:val="both"/>
        <w:rPr>
          <w:rFonts w:ascii="Times New Roman" w:eastAsia="Times New Roman" w:hAnsi="Times New Roman" w:cs="Times New Roman"/>
          <w:color w:val="FF0000"/>
          <w:sz w:val="28"/>
          <w:szCs w:val="28"/>
          <w:lang w:eastAsia="en-US"/>
        </w:rPr>
      </w:pPr>
      <w:r w:rsidRPr="00862260">
        <w:rPr>
          <w:rFonts w:ascii="Times New Roman" w:eastAsiaTheme="minorHAnsi" w:hAnsi="Times New Roman" w:cs="Times New Roman"/>
          <w:sz w:val="28"/>
          <w:szCs w:val="20"/>
          <w:lang w:eastAsia="en-US"/>
        </w:rPr>
        <w:t xml:space="preserve">Mehānisko un elektroierīču eksporta vērtība 2020.gada septiņos mēnešos palielinājās par 10,2% salīdzinājumā ar pērnā gada attiecīgo periodu. Detalizētāka analīze rāda, ka šīs grupas pieaugumu noteica reeksports, jo straujāki eksporta kāpumi ir fiksēti tādām precēm kā mobilie telefoni, monitori, projektori, datu uzglabāšanas ierīces, automātiskās datu apstrādes iekārtas jeb tās preces, kas Latvijā netiek ražotas. Augstākminētās precēs tiek importētas galvenokārt no Austrumāzijas reģiona un pēc tam reeksportētas uz ES dalībvalstīm. Pandēmijas un karantīnas ieviešana gan Austrumāzijas valstīs, gan ES nebija šķērslis samērā būtiskam mehānisko un elektroierīču eksporta kāpumam. </w:t>
      </w:r>
      <w:r w:rsidRPr="00862260">
        <w:rPr>
          <w:rFonts w:ascii="Times New Roman" w:eastAsia="Times New Roman" w:hAnsi="Times New Roman" w:cs="Times New Roman"/>
          <w:color w:val="000000" w:themeColor="text1"/>
          <w:sz w:val="28"/>
          <w:szCs w:val="28"/>
          <w:lang w:eastAsia="en-US"/>
        </w:rPr>
        <w:t>Detalizēta informācija par eksporta vērtību un izmaiņām preču grupu gri</w:t>
      </w:r>
      <w:r w:rsidR="004700FF">
        <w:rPr>
          <w:rFonts w:ascii="Times New Roman" w:eastAsia="Times New Roman" w:hAnsi="Times New Roman" w:cs="Times New Roman"/>
          <w:color w:val="000000" w:themeColor="text1"/>
          <w:sz w:val="28"/>
          <w:szCs w:val="28"/>
          <w:lang w:eastAsia="en-US"/>
        </w:rPr>
        <w:t>ezumā ir atspoguļota 1.3.tabulā.</w:t>
      </w:r>
    </w:p>
    <w:p w14:paraId="0E5B36A1" w14:textId="77777777" w:rsidR="00862260" w:rsidRPr="00862260" w:rsidRDefault="00862260" w:rsidP="00401A5B">
      <w:pPr>
        <w:ind w:firstLine="720"/>
        <w:jc w:val="both"/>
        <w:rPr>
          <w:rFonts w:ascii="Times New Roman" w:eastAsia="Times New Roman" w:hAnsi="Times New Roman" w:cs="Times New Roman"/>
          <w:color w:val="FF0000"/>
          <w:sz w:val="28"/>
          <w:szCs w:val="28"/>
          <w:lang w:eastAsia="en-US"/>
        </w:rPr>
      </w:pPr>
    </w:p>
    <w:p w14:paraId="5C4B87B1" w14:textId="1015EDAA" w:rsidR="00862260" w:rsidRPr="00862260" w:rsidRDefault="004700FF" w:rsidP="00401A5B">
      <w:pPr>
        <w:spacing w:line="259" w:lineRule="auto"/>
        <w:jc w:val="right"/>
        <w:rPr>
          <w:rFonts w:ascii="Times New Roman" w:eastAsia="Calibri" w:hAnsi="Times New Roman" w:cs="Times New Roman"/>
          <w:sz w:val="24"/>
          <w:szCs w:val="24"/>
          <w:lang w:eastAsia="en-US"/>
        </w:rPr>
      </w:pPr>
      <w:r>
        <w:rPr>
          <w:rFonts w:ascii="Times New Roman" w:eastAsia="Calibri" w:hAnsi="Times New Roman" w:cs="Times New Roman"/>
          <w:b/>
          <w:i/>
          <w:sz w:val="24"/>
          <w:szCs w:val="24"/>
          <w:lang w:eastAsia="en-US"/>
        </w:rPr>
        <w:t>1.3.</w:t>
      </w:r>
      <w:r w:rsidR="00862260" w:rsidRPr="00862260">
        <w:rPr>
          <w:rFonts w:ascii="Times New Roman" w:eastAsia="Calibri" w:hAnsi="Times New Roman" w:cs="Times New Roman"/>
          <w:b/>
          <w:i/>
          <w:sz w:val="24"/>
          <w:szCs w:val="24"/>
          <w:lang w:eastAsia="en-US"/>
        </w:rPr>
        <w:t>tabula. Preču eksporta vērtība septiņos mēnešos 2019.gadā un 2020.gadā, tās izmaiņas un preču grupu īpatsvars 2020.gada septiņos mēnešos</w:t>
      </w:r>
    </w:p>
    <w:tbl>
      <w:tblPr>
        <w:tblW w:w="9041" w:type="dxa"/>
        <w:tblLook w:val="04A0" w:firstRow="1" w:lastRow="0" w:firstColumn="1" w:lastColumn="0" w:noHBand="0" w:noVBand="1"/>
      </w:tblPr>
      <w:tblGrid>
        <w:gridCol w:w="2814"/>
        <w:gridCol w:w="1334"/>
        <w:gridCol w:w="1335"/>
        <w:gridCol w:w="1186"/>
        <w:gridCol w:w="1186"/>
        <w:gridCol w:w="1186"/>
      </w:tblGrid>
      <w:tr w:rsidR="00862260" w:rsidRPr="00862260" w14:paraId="468DA35E" w14:textId="77777777" w:rsidTr="004700FF">
        <w:trPr>
          <w:trHeight w:val="319"/>
        </w:trPr>
        <w:tc>
          <w:tcPr>
            <w:tcW w:w="281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8A17CE6"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Preču grupa</w:t>
            </w:r>
          </w:p>
        </w:tc>
        <w:tc>
          <w:tcPr>
            <w:tcW w:w="1334"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641571A"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I-VII 2019 milj. euro</w:t>
            </w:r>
          </w:p>
        </w:tc>
        <w:tc>
          <w:tcPr>
            <w:tcW w:w="1335"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3B7483A"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I-VII 2020 milj. euro</w:t>
            </w:r>
          </w:p>
        </w:tc>
        <w:tc>
          <w:tcPr>
            <w:tcW w:w="118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95AB35C"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Preču grupu īpatsvars %</w:t>
            </w:r>
          </w:p>
        </w:tc>
        <w:tc>
          <w:tcPr>
            <w:tcW w:w="118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79FA58A"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Izmaiņas, milj. euro</w:t>
            </w:r>
          </w:p>
        </w:tc>
        <w:tc>
          <w:tcPr>
            <w:tcW w:w="118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29E8628"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Izmaiņas, %</w:t>
            </w:r>
          </w:p>
        </w:tc>
      </w:tr>
      <w:tr w:rsidR="00862260" w:rsidRPr="00862260" w14:paraId="255F6DC0"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42C12A49"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Lauksaimniecības preces un pārtika</w:t>
            </w:r>
          </w:p>
        </w:tc>
        <w:tc>
          <w:tcPr>
            <w:tcW w:w="1334" w:type="dxa"/>
            <w:tcBorders>
              <w:top w:val="nil"/>
              <w:left w:val="nil"/>
              <w:bottom w:val="single" w:sz="4" w:space="0" w:color="auto"/>
              <w:right w:val="single" w:sz="4" w:space="0" w:color="auto"/>
            </w:tcBorders>
            <w:shd w:val="clear" w:color="auto" w:fill="auto"/>
            <w:noWrap/>
            <w:vAlign w:val="center"/>
            <w:hideMark/>
          </w:tcPr>
          <w:p w14:paraId="078003E5"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1335</w:t>
            </w:r>
          </w:p>
        </w:tc>
        <w:tc>
          <w:tcPr>
            <w:tcW w:w="1335" w:type="dxa"/>
            <w:tcBorders>
              <w:top w:val="nil"/>
              <w:left w:val="nil"/>
              <w:bottom w:val="single" w:sz="4" w:space="0" w:color="auto"/>
              <w:right w:val="single" w:sz="4" w:space="0" w:color="auto"/>
            </w:tcBorders>
            <w:shd w:val="clear" w:color="auto" w:fill="auto"/>
            <w:noWrap/>
            <w:vAlign w:val="center"/>
            <w:hideMark/>
          </w:tcPr>
          <w:p w14:paraId="552225B5"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1367</w:t>
            </w:r>
          </w:p>
        </w:tc>
        <w:tc>
          <w:tcPr>
            <w:tcW w:w="1186" w:type="dxa"/>
            <w:tcBorders>
              <w:top w:val="nil"/>
              <w:left w:val="nil"/>
              <w:bottom w:val="single" w:sz="4" w:space="0" w:color="auto"/>
              <w:right w:val="single" w:sz="4" w:space="0" w:color="auto"/>
            </w:tcBorders>
            <w:shd w:val="clear" w:color="auto" w:fill="auto"/>
            <w:noWrap/>
            <w:vAlign w:val="center"/>
            <w:hideMark/>
          </w:tcPr>
          <w:p w14:paraId="1A0D6F77"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19.2%</w:t>
            </w:r>
          </w:p>
        </w:tc>
        <w:tc>
          <w:tcPr>
            <w:tcW w:w="1186" w:type="dxa"/>
            <w:tcBorders>
              <w:top w:val="nil"/>
              <w:left w:val="nil"/>
              <w:bottom w:val="single" w:sz="4" w:space="0" w:color="auto"/>
              <w:right w:val="single" w:sz="4" w:space="0" w:color="auto"/>
            </w:tcBorders>
            <w:shd w:val="clear" w:color="auto" w:fill="auto"/>
            <w:noWrap/>
            <w:vAlign w:val="center"/>
            <w:hideMark/>
          </w:tcPr>
          <w:p w14:paraId="1079F27D"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32</w:t>
            </w:r>
          </w:p>
        </w:tc>
        <w:tc>
          <w:tcPr>
            <w:tcW w:w="1186" w:type="dxa"/>
            <w:tcBorders>
              <w:top w:val="nil"/>
              <w:left w:val="nil"/>
              <w:bottom w:val="single" w:sz="4" w:space="0" w:color="auto"/>
              <w:right w:val="single" w:sz="4" w:space="0" w:color="auto"/>
            </w:tcBorders>
            <w:shd w:val="clear" w:color="auto" w:fill="auto"/>
            <w:noWrap/>
            <w:vAlign w:val="center"/>
            <w:hideMark/>
          </w:tcPr>
          <w:p w14:paraId="3158591D"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2.4%</w:t>
            </w:r>
          </w:p>
        </w:tc>
      </w:tr>
      <w:tr w:rsidR="00862260" w:rsidRPr="00862260" w14:paraId="2E9BE495"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59022BC6"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Mehānismi un ierīces, t.sk. elektroierīces</w:t>
            </w:r>
          </w:p>
        </w:tc>
        <w:tc>
          <w:tcPr>
            <w:tcW w:w="1334" w:type="dxa"/>
            <w:tcBorders>
              <w:top w:val="nil"/>
              <w:left w:val="nil"/>
              <w:bottom w:val="single" w:sz="4" w:space="0" w:color="auto"/>
              <w:right w:val="single" w:sz="4" w:space="0" w:color="auto"/>
            </w:tcBorders>
            <w:shd w:val="clear" w:color="auto" w:fill="auto"/>
            <w:noWrap/>
            <w:vAlign w:val="center"/>
            <w:hideMark/>
          </w:tcPr>
          <w:p w14:paraId="435640A4"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1200</w:t>
            </w:r>
          </w:p>
        </w:tc>
        <w:tc>
          <w:tcPr>
            <w:tcW w:w="1335" w:type="dxa"/>
            <w:tcBorders>
              <w:top w:val="nil"/>
              <w:left w:val="nil"/>
              <w:bottom w:val="single" w:sz="4" w:space="0" w:color="auto"/>
              <w:right w:val="single" w:sz="4" w:space="0" w:color="auto"/>
            </w:tcBorders>
            <w:shd w:val="clear" w:color="auto" w:fill="auto"/>
            <w:noWrap/>
            <w:vAlign w:val="center"/>
            <w:hideMark/>
          </w:tcPr>
          <w:p w14:paraId="5EFABB21"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1322</w:t>
            </w:r>
          </w:p>
        </w:tc>
        <w:tc>
          <w:tcPr>
            <w:tcW w:w="1186" w:type="dxa"/>
            <w:tcBorders>
              <w:top w:val="nil"/>
              <w:left w:val="nil"/>
              <w:bottom w:val="single" w:sz="4" w:space="0" w:color="auto"/>
              <w:right w:val="single" w:sz="4" w:space="0" w:color="auto"/>
            </w:tcBorders>
            <w:shd w:val="clear" w:color="auto" w:fill="auto"/>
            <w:noWrap/>
            <w:vAlign w:val="center"/>
            <w:hideMark/>
          </w:tcPr>
          <w:p w14:paraId="53E9BBE0"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18.6%</w:t>
            </w:r>
          </w:p>
        </w:tc>
        <w:tc>
          <w:tcPr>
            <w:tcW w:w="1186" w:type="dxa"/>
            <w:tcBorders>
              <w:top w:val="nil"/>
              <w:left w:val="nil"/>
              <w:bottom w:val="single" w:sz="4" w:space="0" w:color="auto"/>
              <w:right w:val="single" w:sz="4" w:space="0" w:color="auto"/>
            </w:tcBorders>
            <w:shd w:val="clear" w:color="auto" w:fill="auto"/>
            <w:noWrap/>
            <w:vAlign w:val="center"/>
            <w:hideMark/>
          </w:tcPr>
          <w:p w14:paraId="48D966E0"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122</w:t>
            </w:r>
          </w:p>
        </w:tc>
        <w:tc>
          <w:tcPr>
            <w:tcW w:w="1186" w:type="dxa"/>
            <w:tcBorders>
              <w:top w:val="nil"/>
              <w:left w:val="nil"/>
              <w:bottom w:val="single" w:sz="4" w:space="0" w:color="auto"/>
              <w:right w:val="single" w:sz="4" w:space="0" w:color="auto"/>
            </w:tcBorders>
            <w:shd w:val="clear" w:color="auto" w:fill="auto"/>
            <w:noWrap/>
            <w:vAlign w:val="center"/>
            <w:hideMark/>
          </w:tcPr>
          <w:p w14:paraId="574C8BCC"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10.2%</w:t>
            </w:r>
          </w:p>
        </w:tc>
      </w:tr>
      <w:tr w:rsidR="00862260" w:rsidRPr="00862260" w14:paraId="478B224B"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2D9CE8F1"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Koks un koka izstrādājumi</w:t>
            </w:r>
          </w:p>
        </w:tc>
        <w:tc>
          <w:tcPr>
            <w:tcW w:w="1334" w:type="dxa"/>
            <w:tcBorders>
              <w:top w:val="nil"/>
              <w:left w:val="nil"/>
              <w:bottom w:val="single" w:sz="4" w:space="0" w:color="auto"/>
              <w:right w:val="single" w:sz="4" w:space="0" w:color="auto"/>
            </w:tcBorders>
            <w:shd w:val="clear" w:color="auto" w:fill="auto"/>
            <w:noWrap/>
            <w:vAlign w:val="center"/>
            <w:hideMark/>
          </w:tcPr>
          <w:p w14:paraId="77A143F5"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1379</w:t>
            </w:r>
          </w:p>
        </w:tc>
        <w:tc>
          <w:tcPr>
            <w:tcW w:w="1335" w:type="dxa"/>
            <w:tcBorders>
              <w:top w:val="nil"/>
              <w:left w:val="nil"/>
              <w:bottom w:val="single" w:sz="4" w:space="0" w:color="auto"/>
              <w:right w:val="single" w:sz="4" w:space="0" w:color="auto"/>
            </w:tcBorders>
            <w:shd w:val="clear" w:color="auto" w:fill="auto"/>
            <w:noWrap/>
            <w:vAlign w:val="center"/>
            <w:hideMark/>
          </w:tcPr>
          <w:p w14:paraId="00B9091E"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1251</w:t>
            </w:r>
          </w:p>
        </w:tc>
        <w:tc>
          <w:tcPr>
            <w:tcW w:w="1186" w:type="dxa"/>
            <w:tcBorders>
              <w:top w:val="nil"/>
              <w:left w:val="nil"/>
              <w:bottom w:val="single" w:sz="4" w:space="0" w:color="auto"/>
              <w:right w:val="single" w:sz="4" w:space="0" w:color="auto"/>
            </w:tcBorders>
            <w:shd w:val="clear" w:color="auto" w:fill="auto"/>
            <w:noWrap/>
            <w:vAlign w:val="center"/>
            <w:hideMark/>
          </w:tcPr>
          <w:p w14:paraId="559F61CB"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17.6%</w:t>
            </w:r>
          </w:p>
        </w:tc>
        <w:tc>
          <w:tcPr>
            <w:tcW w:w="1186" w:type="dxa"/>
            <w:tcBorders>
              <w:top w:val="nil"/>
              <w:left w:val="nil"/>
              <w:bottom w:val="single" w:sz="4" w:space="0" w:color="auto"/>
              <w:right w:val="single" w:sz="4" w:space="0" w:color="auto"/>
            </w:tcBorders>
            <w:shd w:val="clear" w:color="auto" w:fill="auto"/>
            <w:noWrap/>
            <w:vAlign w:val="center"/>
            <w:hideMark/>
          </w:tcPr>
          <w:p w14:paraId="5E7794CB"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-129</w:t>
            </w:r>
          </w:p>
        </w:tc>
        <w:tc>
          <w:tcPr>
            <w:tcW w:w="1186" w:type="dxa"/>
            <w:tcBorders>
              <w:top w:val="nil"/>
              <w:left w:val="nil"/>
              <w:bottom w:val="single" w:sz="4" w:space="0" w:color="auto"/>
              <w:right w:val="single" w:sz="4" w:space="0" w:color="auto"/>
            </w:tcBorders>
            <w:shd w:val="clear" w:color="auto" w:fill="auto"/>
            <w:noWrap/>
            <w:vAlign w:val="center"/>
            <w:hideMark/>
          </w:tcPr>
          <w:p w14:paraId="2C941234"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-9.3%</w:t>
            </w:r>
          </w:p>
        </w:tc>
      </w:tr>
      <w:tr w:rsidR="00862260" w:rsidRPr="00862260" w14:paraId="501C9683"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3FAF6313"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Metāli un to izstrādājumi</w:t>
            </w:r>
          </w:p>
        </w:tc>
        <w:tc>
          <w:tcPr>
            <w:tcW w:w="1334" w:type="dxa"/>
            <w:tcBorders>
              <w:top w:val="nil"/>
              <w:left w:val="nil"/>
              <w:bottom w:val="single" w:sz="4" w:space="0" w:color="auto"/>
              <w:right w:val="single" w:sz="4" w:space="0" w:color="auto"/>
            </w:tcBorders>
            <w:shd w:val="clear" w:color="auto" w:fill="auto"/>
            <w:noWrap/>
            <w:vAlign w:val="center"/>
            <w:hideMark/>
          </w:tcPr>
          <w:p w14:paraId="4678A2D9"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673</w:t>
            </w:r>
          </w:p>
        </w:tc>
        <w:tc>
          <w:tcPr>
            <w:tcW w:w="1335" w:type="dxa"/>
            <w:tcBorders>
              <w:top w:val="nil"/>
              <w:left w:val="nil"/>
              <w:bottom w:val="single" w:sz="4" w:space="0" w:color="auto"/>
              <w:right w:val="single" w:sz="4" w:space="0" w:color="auto"/>
            </w:tcBorders>
            <w:shd w:val="clear" w:color="auto" w:fill="auto"/>
            <w:noWrap/>
            <w:vAlign w:val="center"/>
            <w:hideMark/>
          </w:tcPr>
          <w:p w14:paraId="1D0C3B99"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640</w:t>
            </w:r>
          </w:p>
        </w:tc>
        <w:tc>
          <w:tcPr>
            <w:tcW w:w="1186" w:type="dxa"/>
            <w:tcBorders>
              <w:top w:val="nil"/>
              <w:left w:val="nil"/>
              <w:bottom w:val="single" w:sz="4" w:space="0" w:color="auto"/>
              <w:right w:val="single" w:sz="4" w:space="0" w:color="auto"/>
            </w:tcBorders>
            <w:shd w:val="clear" w:color="auto" w:fill="auto"/>
            <w:noWrap/>
            <w:vAlign w:val="center"/>
            <w:hideMark/>
          </w:tcPr>
          <w:p w14:paraId="79570B1C"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9.0%</w:t>
            </w:r>
          </w:p>
        </w:tc>
        <w:tc>
          <w:tcPr>
            <w:tcW w:w="1186" w:type="dxa"/>
            <w:tcBorders>
              <w:top w:val="nil"/>
              <w:left w:val="nil"/>
              <w:bottom w:val="single" w:sz="4" w:space="0" w:color="auto"/>
              <w:right w:val="single" w:sz="4" w:space="0" w:color="auto"/>
            </w:tcBorders>
            <w:shd w:val="clear" w:color="auto" w:fill="auto"/>
            <w:noWrap/>
            <w:vAlign w:val="center"/>
            <w:hideMark/>
          </w:tcPr>
          <w:p w14:paraId="1B5229A9"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-33</w:t>
            </w:r>
          </w:p>
        </w:tc>
        <w:tc>
          <w:tcPr>
            <w:tcW w:w="1186" w:type="dxa"/>
            <w:tcBorders>
              <w:top w:val="nil"/>
              <w:left w:val="nil"/>
              <w:bottom w:val="single" w:sz="4" w:space="0" w:color="auto"/>
              <w:right w:val="single" w:sz="4" w:space="0" w:color="auto"/>
            </w:tcBorders>
            <w:shd w:val="clear" w:color="auto" w:fill="auto"/>
            <w:noWrap/>
            <w:vAlign w:val="center"/>
            <w:hideMark/>
          </w:tcPr>
          <w:p w14:paraId="3A14EEDE"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-4.9%</w:t>
            </w:r>
          </w:p>
        </w:tc>
      </w:tr>
      <w:tr w:rsidR="00862260" w:rsidRPr="00862260" w14:paraId="6C422B95"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73C6ED96"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Ķīmiskās rūpniecības ražojumi</w:t>
            </w:r>
          </w:p>
        </w:tc>
        <w:tc>
          <w:tcPr>
            <w:tcW w:w="1334" w:type="dxa"/>
            <w:tcBorders>
              <w:top w:val="nil"/>
              <w:left w:val="nil"/>
              <w:bottom w:val="single" w:sz="4" w:space="0" w:color="auto"/>
              <w:right w:val="single" w:sz="4" w:space="0" w:color="auto"/>
            </w:tcBorders>
            <w:shd w:val="clear" w:color="auto" w:fill="auto"/>
            <w:noWrap/>
            <w:vAlign w:val="center"/>
            <w:hideMark/>
          </w:tcPr>
          <w:p w14:paraId="31959711"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562</w:t>
            </w:r>
          </w:p>
        </w:tc>
        <w:tc>
          <w:tcPr>
            <w:tcW w:w="1335" w:type="dxa"/>
            <w:tcBorders>
              <w:top w:val="nil"/>
              <w:left w:val="nil"/>
              <w:bottom w:val="single" w:sz="4" w:space="0" w:color="auto"/>
              <w:right w:val="single" w:sz="4" w:space="0" w:color="auto"/>
            </w:tcBorders>
            <w:shd w:val="clear" w:color="auto" w:fill="auto"/>
            <w:noWrap/>
            <w:vAlign w:val="center"/>
            <w:hideMark/>
          </w:tcPr>
          <w:p w14:paraId="52D13F84"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576</w:t>
            </w:r>
          </w:p>
        </w:tc>
        <w:tc>
          <w:tcPr>
            <w:tcW w:w="1186" w:type="dxa"/>
            <w:tcBorders>
              <w:top w:val="nil"/>
              <w:left w:val="nil"/>
              <w:bottom w:val="single" w:sz="4" w:space="0" w:color="auto"/>
              <w:right w:val="single" w:sz="4" w:space="0" w:color="auto"/>
            </w:tcBorders>
            <w:shd w:val="clear" w:color="auto" w:fill="auto"/>
            <w:noWrap/>
            <w:vAlign w:val="center"/>
            <w:hideMark/>
          </w:tcPr>
          <w:p w14:paraId="407E8AB6"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8.1%</w:t>
            </w:r>
          </w:p>
        </w:tc>
        <w:tc>
          <w:tcPr>
            <w:tcW w:w="1186" w:type="dxa"/>
            <w:tcBorders>
              <w:top w:val="nil"/>
              <w:left w:val="nil"/>
              <w:bottom w:val="single" w:sz="4" w:space="0" w:color="auto"/>
              <w:right w:val="single" w:sz="4" w:space="0" w:color="auto"/>
            </w:tcBorders>
            <w:shd w:val="clear" w:color="auto" w:fill="auto"/>
            <w:noWrap/>
            <w:vAlign w:val="center"/>
            <w:hideMark/>
          </w:tcPr>
          <w:p w14:paraId="519C4733"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13</w:t>
            </w:r>
          </w:p>
        </w:tc>
        <w:tc>
          <w:tcPr>
            <w:tcW w:w="1186" w:type="dxa"/>
            <w:tcBorders>
              <w:top w:val="nil"/>
              <w:left w:val="nil"/>
              <w:bottom w:val="single" w:sz="4" w:space="0" w:color="auto"/>
              <w:right w:val="single" w:sz="4" w:space="0" w:color="auto"/>
            </w:tcBorders>
            <w:shd w:val="clear" w:color="auto" w:fill="auto"/>
            <w:noWrap/>
            <w:vAlign w:val="center"/>
            <w:hideMark/>
          </w:tcPr>
          <w:p w14:paraId="73645C9F"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2.4%</w:t>
            </w:r>
          </w:p>
        </w:tc>
      </w:tr>
      <w:tr w:rsidR="00862260" w:rsidRPr="00862260" w14:paraId="28B65789"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418EDBA7"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 xml:space="preserve">Satiksmes līdzekļi </w:t>
            </w:r>
          </w:p>
        </w:tc>
        <w:tc>
          <w:tcPr>
            <w:tcW w:w="1334" w:type="dxa"/>
            <w:tcBorders>
              <w:top w:val="nil"/>
              <w:left w:val="nil"/>
              <w:bottom w:val="single" w:sz="4" w:space="0" w:color="auto"/>
              <w:right w:val="single" w:sz="4" w:space="0" w:color="auto"/>
            </w:tcBorders>
            <w:shd w:val="clear" w:color="auto" w:fill="auto"/>
            <w:noWrap/>
            <w:vAlign w:val="center"/>
            <w:hideMark/>
          </w:tcPr>
          <w:p w14:paraId="208D7E7F"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496</w:t>
            </w:r>
          </w:p>
        </w:tc>
        <w:tc>
          <w:tcPr>
            <w:tcW w:w="1335" w:type="dxa"/>
            <w:tcBorders>
              <w:top w:val="nil"/>
              <w:left w:val="nil"/>
              <w:bottom w:val="single" w:sz="4" w:space="0" w:color="auto"/>
              <w:right w:val="single" w:sz="4" w:space="0" w:color="auto"/>
            </w:tcBorders>
            <w:shd w:val="clear" w:color="auto" w:fill="auto"/>
            <w:noWrap/>
            <w:vAlign w:val="center"/>
            <w:hideMark/>
          </w:tcPr>
          <w:p w14:paraId="6F3A8608"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359</w:t>
            </w:r>
          </w:p>
        </w:tc>
        <w:tc>
          <w:tcPr>
            <w:tcW w:w="1186" w:type="dxa"/>
            <w:tcBorders>
              <w:top w:val="nil"/>
              <w:left w:val="nil"/>
              <w:bottom w:val="single" w:sz="4" w:space="0" w:color="auto"/>
              <w:right w:val="single" w:sz="4" w:space="0" w:color="auto"/>
            </w:tcBorders>
            <w:shd w:val="clear" w:color="auto" w:fill="auto"/>
            <w:noWrap/>
            <w:vAlign w:val="center"/>
            <w:hideMark/>
          </w:tcPr>
          <w:p w14:paraId="3334CE14"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5.1%</w:t>
            </w:r>
          </w:p>
        </w:tc>
        <w:tc>
          <w:tcPr>
            <w:tcW w:w="1186" w:type="dxa"/>
            <w:tcBorders>
              <w:top w:val="nil"/>
              <w:left w:val="nil"/>
              <w:bottom w:val="single" w:sz="4" w:space="0" w:color="auto"/>
              <w:right w:val="single" w:sz="4" w:space="0" w:color="auto"/>
            </w:tcBorders>
            <w:shd w:val="clear" w:color="auto" w:fill="auto"/>
            <w:noWrap/>
            <w:vAlign w:val="center"/>
            <w:hideMark/>
          </w:tcPr>
          <w:p w14:paraId="0BD2A1C5"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-137</w:t>
            </w:r>
          </w:p>
        </w:tc>
        <w:tc>
          <w:tcPr>
            <w:tcW w:w="1186" w:type="dxa"/>
            <w:tcBorders>
              <w:top w:val="nil"/>
              <w:left w:val="nil"/>
              <w:bottom w:val="single" w:sz="4" w:space="0" w:color="auto"/>
              <w:right w:val="single" w:sz="4" w:space="0" w:color="auto"/>
            </w:tcBorders>
            <w:shd w:val="clear" w:color="auto" w:fill="auto"/>
            <w:noWrap/>
            <w:vAlign w:val="center"/>
            <w:hideMark/>
          </w:tcPr>
          <w:p w14:paraId="2A94C781"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-27.7%</w:t>
            </w:r>
          </w:p>
        </w:tc>
      </w:tr>
      <w:tr w:rsidR="00862260" w:rsidRPr="00862260" w14:paraId="012B87C2"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7648FB08"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Minerālprodukti</w:t>
            </w:r>
          </w:p>
        </w:tc>
        <w:tc>
          <w:tcPr>
            <w:tcW w:w="1334" w:type="dxa"/>
            <w:tcBorders>
              <w:top w:val="nil"/>
              <w:left w:val="nil"/>
              <w:bottom w:val="single" w:sz="4" w:space="0" w:color="auto"/>
              <w:right w:val="single" w:sz="4" w:space="0" w:color="auto"/>
            </w:tcBorders>
            <w:shd w:val="clear" w:color="auto" w:fill="auto"/>
            <w:noWrap/>
            <w:vAlign w:val="center"/>
            <w:hideMark/>
          </w:tcPr>
          <w:p w14:paraId="68D3610F"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402</w:t>
            </w:r>
          </w:p>
        </w:tc>
        <w:tc>
          <w:tcPr>
            <w:tcW w:w="1335" w:type="dxa"/>
            <w:tcBorders>
              <w:top w:val="nil"/>
              <w:left w:val="nil"/>
              <w:bottom w:val="single" w:sz="4" w:space="0" w:color="auto"/>
              <w:right w:val="single" w:sz="4" w:space="0" w:color="auto"/>
            </w:tcBorders>
            <w:shd w:val="clear" w:color="auto" w:fill="auto"/>
            <w:noWrap/>
            <w:vAlign w:val="center"/>
            <w:hideMark/>
          </w:tcPr>
          <w:p w14:paraId="103F5FBC"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308</w:t>
            </w:r>
          </w:p>
        </w:tc>
        <w:tc>
          <w:tcPr>
            <w:tcW w:w="1186" w:type="dxa"/>
            <w:tcBorders>
              <w:top w:val="nil"/>
              <w:left w:val="nil"/>
              <w:bottom w:val="single" w:sz="4" w:space="0" w:color="auto"/>
              <w:right w:val="single" w:sz="4" w:space="0" w:color="auto"/>
            </w:tcBorders>
            <w:shd w:val="clear" w:color="auto" w:fill="auto"/>
            <w:noWrap/>
            <w:vAlign w:val="center"/>
            <w:hideMark/>
          </w:tcPr>
          <w:p w14:paraId="6A485642"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4.3%</w:t>
            </w:r>
          </w:p>
        </w:tc>
        <w:tc>
          <w:tcPr>
            <w:tcW w:w="1186" w:type="dxa"/>
            <w:tcBorders>
              <w:top w:val="nil"/>
              <w:left w:val="nil"/>
              <w:bottom w:val="single" w:sz="4" w:space="0" w:color="auto"/>
              <w:right w:val="single" w:sz="4" w:space="0" w:color="auto"/>
            </w:tcBorders>
            <w:shd w:val="clear" w:color="auto" w:fill="auto"/>
            <w:noWrap/>
            <w:vAlign w:val="center"/>
            <w:hideMark/>
          </w:tcPr>
          <w:p w14:paraId="74220D32"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-94</w:t>
            </w:r>
          </w:p>
        </w:tc>
        <w:tc>
          <w:tcPr>
            <w:tcW w:w="1186" w:type="dxa"/>
            <w:tcBorders>
              <w:top w:val="nil"/>
              <w:left w:val="nil"/>
              <w:bottom w:val="single" w:sz="4" w:space="0" w:color="auto"/>
              <w:right w:val="single" w:sz="4" w:space="0" w:color="auto"/>
            </w:tcBorders>
            <w:shd w:val="clear" w:color="auto" w:fill="auto"/>
            <w:noWrap/>
            <w:vAlign w:val="center"/>
            <w:hideMark/>
          </w:tcPr>
          <w:p w14:paraId="59613498"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-23.4%</w:t>
            </w:r>
          </w:p>
        </w:tc>
      </w:tr>
      <w:tr w:rsidR="00862260" w:rsidRPr="00862260" w14:paraId="63F4C043"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7E03DD76"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Plastmasas, kaučuks un to izstrādājumi</w:t>
            </w:r>
          </w:p>
        </w:tc>
        <w:tc>
          <w:tcPr>
            <w:tcW w:w="1334" w:type="dxa"/>
            <w:tcBorders>
              <w:top w:val="nil"/>
              <w:left w:val="nil"/>
              <w:bottom w:val="single" w:sz="4" w:space="0" w:color="auto"/>
              <w:right w:val="single" w:sz="4" w:space="0" w:color="auto"/>
            </w:tcBorders>
            <w:shd w:val="clear" w:color="auto" w:fill="auto"/>
            <w:noWrap/>
            <w:vAlign w:val="center"/>
            <w:hideMark/>
          </w:tcPr>
          <w:p w14:paraId="7553FCB7"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253</w:t>
            </w:r>
          </w:p>
        </w:tc>
        <w:tc>
          <w:tcPr>
            <w:tcW w:w="1335" w:type="dxa"/>
            <w:tcBorders>
              <w:top w:val="nil"/>
              <w:left w:val="nil"/>
              <w:bottom w:val="single" w:sz="4" w:space="0" w:color="auto"/>
              <w:right w:val="single" w:sz="4" w:space="0" w:color="auto"/>
            </w:tcBorders>
            <w:shd w:val="clear" w:color="auto" w:fill="auto"/>
            <w:noWrap/>
            <w:vAlign w:val="center"/>
            <w:hideMark/>
          </w:tcPr>
          <w:p w14:paraId="3212DFCF"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253</w:t>
            </w:r>
          </w:p>
        </w:tc>
        <w:tc>
          <w:tcPr>
            <w:tcW w:w="1186" w:type="dxa"/>
            <w:tcBorders>
              <w:top w:val="nil"/>
              <w:left w:val="nil"/>
              <w:bottom w:val="single" w:sz="4" w:space="0" w:color="auto"/>
              <w:right w:val="single" w:sz="4" w:space="0" w:color="auto"/>
            </w:tcBorders>
            <w:shd w:val="clear" w:color="auto" w:fill="auto"/>
            <w:noWrap/>
            <w:vAlign w:val="center"/>
            <w:hideMark/>
          </w:tcPr>
          <w:p w14:paraId="1920CE43"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3.6%</w:t>
            </w:r>
          </w:p>
        </w:tc>
        <w:tc>
          <w:tcPr>
            <w:tcW w:w="1186" w:type="dxa"/>
            <w:tcBorders>
              <w:top w:val="nil"/>
              <w:left w:val="nil"/>
              <w:bottom w:val="single" w:sz="4" w:space="0" w:color="auto"/>
              <w:right w:val="single" w:sz="4" w:space="0" w:color="auto"/>
            </w:tcBorders>
            <w:shd w:val="clear" w:color="auto" w:fill="auto"/>
            <w:noWrap/>
            <w:vAlign w:val="center"/>
            <w:hideMark/>
          </w:tcPr>
          <w:p w14:paraId="1A958D73"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0</w:t>
            </w:r>
          </w:p>
        </w:tc>
        <w:tc>
          <w:tcPr>
            <w:tcW w:w="1186" w:type="dxa"/>
            <w:tcBorders>
              <w:top w:val="nil"/>
              <w:left w:val="nil"/>
              <w:bottom w:val="single" w:sz="4" w:space="0" w:color="auto"/>
              <w:right w:val="single" w:sz="4" w:space="0" w:color="auto"/>
            </w:tcBorders>
            <w:shd w:val="clear" w:color="auto" w:fill="auto"/>
            <w:noWrap/>
            <w:vAlign w:val="center"/>
            <w:hideMark/>
          </w:tcPr>
          <w:p w14:paraId="76603596"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0.1%</w:t>
            </w:r>
          </w:p>
        </w:tc>
      </w:tr>
      <w:tr w:rsidR="00862260" w:rsidRPr="00862260" w14:paraId="50ABB551"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3F80C573"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Tekstilmateriāli un tekstilizstrādājumi</w:t>
            </w:r>
          </w:p>
        </w:tc>
        <w:tc>
          <w:tcPr>
            <w:tcW w:w="1334" w:type="dxa"/>
            <w:tcBorders>
              <w:top w:val="nil"/>
              <w:left w:val="nil"/>
              <w:bottom w:val="single" w:sz="4" w:space="0" w:color="auto"/>
              <w:right w:val="single" w:sz="4" w:space="0" w:color="auto"/>
            </w:tcBorders>
            <w:shd w:val="clear" w:color="auto" w:fill="auto"/>
            <w:noWrap/>
            <w:vAlign w:val="center"/>
            <w:hideMark/>
          </w:tcPr>
          <w:p w14:paraId="4A2390F6"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217</w:t>
            </w:r>
          </w:p>
        </w:tc>
        <w:tc>
          <w:tcPr>
            <w:tcW w:w="1335" w:type="dxa"/>
            <w:tcBorders>
              <w:top w:val="nil"/>
              <w:left w:val="nil"/>
              <w:bottom w:val="single" w:sz="4" w:space="0" w:color="auto"/>
              <w:right w:val="single" w:sz="4" w:space="0" w:color="auto"/>
            </w:tcBorders>
            <w:shd w:val="clear" w:color="auto" w:fill="auto"/>
            <w:noWrap/>
            <w:vAlign w:val="center"/>
            <w:hideMark/>
          </w:tcPr>
          <w:p w14:paraId="517D1272"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214</w:t>
            </w:r>
          </w:p>
        </w:tc>
        <w:tc>
          <w:tcPr>
            <w:tcW w:w="1186" w:type="dxa"/>
            <w:tcBorders>
              <w:top w:val="nil"/>
              <w:left w:val="nil"/>
              <w:bottom w:val="single" w:sz="4" w:space="0" w:color="auto"/>
              <w:right w:val="single" w:sz="4" w:space="0" w:color="auto"/>
            </w:tcBorders>
            <w:shd w:val="clear" w:color="auto" w:fill="auto"/>
            <w:noWrap/>
            <w:vAlign w:val="center"/>
            <w:hideMark/>
          </w:tcPr>
          <w:p w14:paraId="46397A87"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3.0%</w:t>
            </w:r>
          </w:p>
        </w:tc>
        <w:tc>
          <w:tcPr>
            <w:tcW w:w="1186" w:type="dxa"/>
            <w:tcBorders>
              <w:top w:val="nil"/>
              <w:left w:val="nil"/>
              <w:bottom w:val="single" w:sz="4" w:space="0" w:color="auto"/>
              <w:right w:val="single" w:sz="4" w:space="0" w:color="auto"/>
            </w:tcBorders>
            <w:shd w:val="clear" w:color="auto" w:fill="auto"/>
            <w:noWrap/>
            <w:vAlign w:val="center"/>
            <w:hideMark/>
          </w:tcPr>
          <w:p w14:paraId="261E6217"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w:t>
            </w:r>
          </w:p>
        </w:tc>
        <w:tc>
          <w:tcPr>
            <w:tcW w:w="1186" w:type="dxa"/>
            <w:tcBorders>
              <w:top w:val="nil"/>
              <w:left w:val="nil"/>
              <w:bottom w:val="single" w:sz="4" w:space="0" w:color="auto"/>
              <w:right w:val="single" w:sz="4" w:space="0" w:color="auto"/>
            </w:tcBorders>
            <w:shd w:val="clear" w:color="auto" w:fill="auto"/>
            <w:noWrap/>
            <w:vAlign w:val="center"/>
            <w:hideMark/>
          </w:tcPr>
          <w:p w14:paraId="76A5C60C"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-1.3%</w:t>
            </w:r>
          </w:p>
        </w:tc>
      </w:tr>
      <w:tr w:rsidR="00862260" w:rsidRPr="00862260" w14:paraId="436462C1"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6657C11C"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Būvniecības izstrādājumi</w:t>
            </w:r>
          </w:p>
        </w:tc>
        <w:tc>
          <w:tcPr>
            <w:tcW w:w="1334" w:type="dxa"/>
            <w:tcBorders>
              <w:top w:val="nil"/>
              <w:left w:val="nil"/>
              <w:bottom w:val="single" w:sz="4" w:space="0" w:color="auto"/>
              <w:right w:val="single" w:sz="4" w:space="0" w:color="auto"/>
            </w:tcBorders>
            <w:shd w:val="clear" w:color="auto" w:fill="auto"/>
            <w:noWrap/>
            <w:vAlign w:val="center"/>
            <w:hideMark/>
          </w:tcPr>
          <w:p w14:paraId="4F984376"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188</w:t>
            </w:r>
          </w:p>
        </w:tc>
        <w:tc>
          <w:tcPr>
            <w:tcW w:w="1335" w:type="dxa"/>
            <w:tcBorders>
              <w:top w:val="nil"/>
              <w:left w:val="nil"/>
              <w:bottom w:val="single" w:sz="4" w:space="0" w:color="auto"/>
              <w:right w:val="single" w:sz="4" w:space="0" w:color="auto"/>
            </w:tcBorders>
            <w:shd w:val="clear" w:color="auto" w:fill="auto"/>
            <w:noWrap/>
            <w:vAlign w:val="center"/>
            <w:hideMark/>
          </w:tcPr>
          <w:p w14:paraId="1F60DC1D"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183</w:t>
            </w:r>
          </w:p>
        </w:tc>
        <w:tc>
          <w:tcPr>
            <w:tcW w:w="1186" w:type="dxa"/>
            <w:tcBorders>
              <w:top w:val="nil"/>
              <w:left w:val="nil"/>
              <w:bottom w:val="single" w:sz="4" w:space="0" w:color="auto"/>
              <w:right w:val="single" w:sz="4" w:space="0" w:color="auto"/>
            </w:tcBorders>
            <w:shd w:val="clear" w:color="auto" w:fill="auto"/>
            <w:noWrap/>
            <w:vAlign w:val="center"/>
            <w:hideMark/>
          </w:tcPr>
          <w:p w14:paraId="61E8FAA2"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2.6%</w:t>
            </w:r>
          </w:p>
        </w:tc>
        <w:tc>
          <w:tcPr>
            <w:tcW w:w="1186" w:type="dxa"/>
            <w:tcBorders>
              <w:top w:val="nil"/>
              <w:left w:val="nil"/>
              <w:bottom w:val="single" w:sz="4" w:space="0" w:color="auto"/>
              <w:right w:val="single" w:sz="4" w:space="0" w:color="auto"/>
            </w:tcBorders>
            <w:shd w:val="clear" w:color="auto" w:fill="auto"/>
            <w:noWrap/>
            <w:vAlign w:val="center"/>
            <w:hideMark/>
          </w:tcPr>
          <w:p w14:paraId="41E3F83C"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-4</w:t>
            </w:r>
          </w:p>
        </w:tc>
        <w:tc>
          <w:tcPr>
            <w:tcW w:w="1186" w:type="dxa"/>
            <w:tcBorders>
              <w:top w:val="nil"/>
              <w:left w:val="nil"/>
              <w:bottom w:val="single" w:sz="4" w:space="0" w:color="auto"/>
              <w:right w:val="single" w:sz="4" w:space="0" w:color="auto"/>
            </w:tcBorders>
            <w:shd w:val="clear" w:color="auto" w:fill="auto"/>
            <w:noWrap/>
            <w:vAlign w:val="center"/>
            <w:hideMark/>
          </w:tcPr>
          <w:p w14:paraId="61B6F867"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-2.2%</w:t>
            </w:r>
          </w:p>
        </w:tc>
      </w:tr>
      <w:tr w:rsidR="00862260" w:rsidRPr="00862260" w14:paraId="7209DFCC"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7D2D700F"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Papīrs, kartons un poligrāfijas izstrādājumi</w:t>
            </w:r>
          </w:p>
        </w:tc>
        <w:tc>
          <w:tcPr>
            <w:tcW w:w="1334" w:type="dxa"/>
            <w:tcBorders>
              <w:top w:val="nil"/>
              <w:left w:val="nil"/>
              <w:bottom w:val="single" w:sz="4" w:space="0" w:color="auto"/>
              <w:right w:val="single" w:sz="4" w:space="0" w:color="auto"/>
            </w:tcBorders>
            <w:shd w:val="clear" w:color="auto" w:fill="auto"/>
            <w:noWrap/>
            <w:vAlign w:val="center"/>
            <w:hideMark/>
          </w:tcPr>
          <w:p w14:paraId="5330E982"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161</w:t>
            </w:r>
          </w:p>
        </w:tc>
        <w:tc>
          <w:tcPr>
            <w:tcW w:w="1335" w:type="dxa"/>
            <w:tcBorders>
              <w:top w:val="nil"/>
              <w:left w:val="nil"/>
              <w:bottom w:val="single" w:sz="4" w:space="0" w:color="auto"/>
              <w:right w:val="single" w:sz="4" w:space="0" w:color="auto"/>
            </w:tcBorders>
            <w:shd w:val="clear" w:color="auto" w:fill="auto"/>
            <w:noWrap/>
            <w:vAlign w:val="center"/>
            <w:hideMark/>
          </w:tcPr>
          <w:p w14:paraId="167AF606"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156</w:t>
            </w:r>
          </w:p>
        </w:tc>
        <w:tc>
          <w:tcPr>
            <w:tcW w:w="1186" w:type="dxa"/>
            <w:tcBorders>
              <w:top w:val="nil"/>
              <w:left w:val="nil"/>
              <w:bottom w:val="single" w:sz="4" w:space="0" w:color="auto"/>
              <w:right w:val="single" w:sz="4" w:space="0" w:color="auto"/>
            </w:tcBorders>
            <w:shd w:val="clear" w:color="auto" w:fill="auto"/>
            <w:noWrap/>
            <w:vAlign w:val="center"/>
            <w:hideMark/>
          </w:tcPr>
          <w:p w14:paraId="063CF6D6"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2.2%</w:t>
            </w:r>
          </w:p>
        </w:tc>
        <w:tc>
          <w:tcPr>
            <w:tcW w:w="1186" w:type="dxa"/>
            <w:tcBorders>
              <w:top w:val="nil"/>
              <w:left w:val="nil"/>
              <w:bottom w:val="single" w:sz="4" w:space="0" w:color="auto"/>
              <w:right w:val="single" w:sz="4" w:space="0" w:color="auto"/>
            </w:tcBorders>
            <w:shd w:val="clear" w:color="auto" w:fill="auto"/>
            <w:noWrap/>
            <w:vAlign w:val="center"/>
            <w:hideMark/>
          </w:tcPr>
          <w:p w14:paraId="6BD61B20"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w:t>
            </w:r>
          </w:p>
        </w:tc>
        <w:tc>
          <w:tcPr>
            <w:tcW w:w="1186" w:type="dxa"/>
            <w:tcBorders>
              <w:top w:val="nil"/>
              <w:left w:val="nil"/>
              <w:bottom w:val="single" w:sz="4" w:space="0" w:color="auto"/>
              <w:right w:val="single" w:sz="4" w:space="0" w:color="auto"/>
            </w:tcBorders>
            <w:shd w:val="clear" w:color="auto" w:fill="auto"/>
            <w:noWrap/>
            <w:vAlign w:val="center"/>
            <w:hideMark/>
          </w:tcPr>
          <w:p w14:paraId="0FDB7AFC"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-2.8%</w:t>
            </w:r>
          </w:p>
        </w:tc>
      </w:tr>
      <w:tr w:rsidR="00862260" w:rsidRPr="00862260" w14:paraId="6CD13AB3"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7FDB9588"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 xml:space="preserve">Pārējās preces </w:t>
            </w:r>
          </w:p>
        </w:tc>
        <w:tc>
          <w:tcPr>
            <w:tcW w:w="1334" w:type="dxa"/>
            <w:tcBorders>
              <w:top w:val="nil"/>
              <w:left w:val="nil"/>
              <w:bottom w:val="single" w:sz="4" w:space="0" w:color="auto"/>
              <w:right w:val="single" w:sz="4" w:space="0" w:color="auto"/>
            </w:tcBorders>
            <w:shd w:val="clear" w:color="auto" w:fill="auto"/>
            <w:noWrap/>
            <w:vAlign w:val="center"/>
            <w:hideMark/>
          </w:tcPr>
          <w:p w14:paraId="26048F80"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469</w:t>
            </w:r>
          </w:p>
        </w:tc>
        <w:tc>
          <w:tcPr>
            <w:tcW w:w="1335" w:type="dxa"/>
            <w:tcBorders>
              <w:top w:val="nil"/>
              <w:left w:val="nil"/>
              <w:bottom w:val="single" w:sz="4" w:space="0" w:color="auto"/>
              <w:right w:val="single" w:sz="4" w:space="0" w:color="auto"/>
            </w:tcBorders>
            <w:shd w:val="clear" w:color="auto" w:fill="auto"/>
            <w:noWrap/>
            <w:vAlign w:val="center"/>
            <w:hideMark/>
          </w:tcPr>
          <w:p w14:paraId="1801D62D"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472</w:t>
            </w:r>
          </w:p>
        </w:tc>
        <w:tc>
          <w:tcPr>
            <w:tcW w:w="1186" w:type="dxa"/>
            <w:tcBorders>
              <w:top w:val="nil"/>
              <w:left w:val="nil"/>
              <w:bottom w:val="single" w:sz="4" w:space="0" w:color="auto"/>
              <w:right w:val="single" w:sz="4" w:space="0" w:color="auto"/>
            </w:tcBorders>
            <w:shd w:val="clear" w:color="auto" w:fill="auto"/>
            <w:noWrap/>
            <w:vAlign w:val="center"/>
            <w:hideMark/>
          </w:tcPr>
          <w:p w14:paraId="19824A6D"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6.6%</w:t>
            </w:r>
          </w:p>
        </w:tc>
        <w:tc>
          <w:tcPr>
            <w:tcW w:w="1186" w:type="dxa"/>
            <w:tcBorders>
              <w:top w:val="nil"/>
              <w:left w:val="nil"/>
              <w:bottom w:val="single" w:sz="4" w:space="0" w:color="auto"/>
              <w:right w:val="single" w:sz="4" w:space="0" w:color="auto"/>
            </w:tcBorders>
            <w:shd w:val="clear" w:color="auto" w:fill="auto"/>
            <w:noWrap/>
            <w:vAlign w:val="center"/>
            <w:hideMark/>
          </w:tcPr>
          <w:p w14:paraId="366DF56A"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w:t>
            </w:r>
          </w:p>
        </w:tc>
        <w:tc>
          <w:tcPr>
            <w:tcW w:w="1186" w:type="dxa"/>
            <w:tcBorders>
              <w:top w:val="nil"/>
              <w:left w:val="nil"/>
              <w:bottom w:val="single" w:sz="4" w:space="0" w:color="auto"/>
              <w:right w:val="single" w:sz="4" w:space="0" w:color="auto"/>
            </w:tcBorders>
            <w:shd w:val="clear" w:color="auto" w:fill="auto"/>
            <w:noWrap/>
            <w:vAlign w:val="center"/>
            <w:hideMark/>
          </w:tcPr>
          <w:p w14:paraId="336CB7BA"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0.6%</w:t>
            </w:r>
          </w:p>
        </w:tc>
      </w:tr>
      <w:tr w:rsidR="00862260" w:rsidRPr="00862260" w14:paraId="0DB72460" w14:textId="77777777" w:rsidTr="004700FF">
        <w:trPr>
          <w:trHeight w:val="303"/>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14:paraId="31C5E6F4" w14:textId="77777777" w:rsidR="00862260" w:rsidRPr="00862260" w:rsidRDefault="00862260" w:rsidP="00401A5B">
            <w:pP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Kopējais preču eksports</w:t>
            </w:r>
          </w:p>
        </w:tc>
        <w:tc>
          <w:tcPr>
            <w:tcW w:w="1334" w:type="dxa"/>
            <w:tcBorders>
              <w:top w:val="nil"/>
              <w:left w:val="nil"/>
              <w:bottom w:val="single" w:sz="4" w:space="0" w:color="auto"/>
              <w:right w:val="single" w:sz="4" w:space="0" w:color="auto"/>
            </w:tcBorders>
            <w:shd w:val="clear" w:color="auto" w:fill="auto"/>
            <w:noWrap/>
            <w:vAlign w:val="center"/>
            <w:hideMark/>
          </w:tcPr>
          <w:p w14:paraId="1039F749"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7335</w:t>
            </w:r>
          </w:p>
        </w:tc>
        <w:tc>
          <w:tcPr>
            <w:tcW w:w="1335" w:type="dxa"/>
            <w:tcBorders>
              <w:top w:val="nil"/>
              <w:left w:val="nil"/>
              <w:bottom w:val="single" w:sz="4" w:space="0" w:color="auto"/>
              <w:right w:val="single" w:sz="4" w:space="0" w:color="auto"/>
            </w:tcBorders>
            <w:shd w:val="clear" w:color="auto" w:fill="auto"/>
            <w:noWrap/>
            <w:vAlign w:val="center"/>
            <w:hideMark/>
          </w:tcPr>
          <w:p w14:paraId="1AD05A6D"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7101</w:t>
            </w:r>
          </w:p>
        </w:tc>
        <w:tc>
          <w:tcPr>
            <w:tcW w:w="1186" w:type="dxa"/>
            <w:tcBorders>
              <w:top w:val="nil"/>
              <w:left w:val="nil"/>
              <w:bottom w:val="single" w:sz="4" w:space="0" w:color="auto"/>
              <w:right w:val="single" w:sz="4" w:space="0" w:color="auto"/>
            </w:tcBorders>
            <w:shd w:val="clear" w:color="auto" w:fill="auto"/>
            <w:noWrap/>
            <w:vAlign w:val="center"/>
            <w:hideMark/>
          </w:tcPr>
          <w:p w14:paraId="4629D633"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100.0%</w:t>
            </w:r>
          </w:p>
        </w:tc>
        <w:tc>
          <w:tcPr>
            <w:tcW w:w="1186" w:type="dxa"/>
            <w:tcBorders>
              <w:top w:val="nil"/>
              <w:left w:val="nil"/>
              <w:bottom w:val="single" w:sz="4" w:space="0" w:color="auto"/>
              <w:right w:val="single" w:sz="4" w:space="0" w:color="auto"/>
            </w:tcBorders>
            <w:shd w:val="clear" w:color="auto" w:fill="auto"/>
            <w:noWrap/>
            <w:vAlign w:val="center"/>
            <w:hideMark/>
          </w:tcPr>
          <w:p w14:paraId="4E0B2AC2"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-234</w:t>
            </w:r>
          </w:p>
        </w:tc>
        <w:tc>
          <w:tcPr>
            <w:tcW w:w="1186" w:type="dxa"/>
            <w:tcBorders>
              <w:top w:val="nil"/>
              <w:left w:val="nil"/>
              <w:bottom w:val="single" w:sz="4" w:space="0" w:color="auto"/>
              <w:right w:val="single" w:sz="4" w:space="0" w:color="auto"/>
            </w:tcBorders>
            <w:shd w:val="clear" w:color="auto" w:fill="auto"/>
            <w:noWrap/>
            <w:vAlign w:val="center"/>
            <w:hideMark/>
          </w:tcPr>
          <w:p w14:paraId="1D743237"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-3.2%</w:t>
            </w:r>
          </w:p>
        </w:tc>
      </w:tr>
    </w:tbl>
    <w:p w14:paraId="45FB39C9" w14:textId="77777777" w:rsidR="00862260" w:rsidRPr="00862260" w:rsidRDefault="00862260" w:rsidP="00401A5B">
      <w:pPr>
        <w:jc w:val="both"/>
        <w:rPr>
          <w:rFonts w:ascii="Times New Roman" w:eastAsiaTheme="minorHAnsi" w:hAnsi="Times New Roman" w:cs="Times New Roman"/>
          <w:sz w:val="28"/>
          <w:szCs w:val="20"/>
          <w:lang w:eastAsia="en-US"/>
        </w:rPr>
      </w:pPr>
    </w:p>
    <w:p w14:paraId="51E4B5BA" w14:textId="1DE5C10B"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Ja Covid-19 pandēmijas negatīvā ietekme uz preču eksportu ir atspoguļojusies ar nelielu novēlošanos, tad </w:t>
      </w:r>
      <w:r w:rsidRPr="004700FF">
        <w:rPr>
          <w:rFonts w:ascii="Times New Roman" w:eastAsiaTheme="minorHAnsi" w:hAnsi="Times New Roman" w:cs="Times New Roman"/>
          <w:sz w:val="28"/>
          <w:szCs w:val="20"/>
          <w:lang w:eastAsia="en-US"/>
        </w:rPr>
        <w:t>pakalpojumu eksports</w:t>
      </w:r>
      <w:r w:rsidRPr="00862260">
        <w:rPr>
          <w:rFonts w:ascii="Times New Roman" w:eastAsiaTheme="minorHAnsi" w:hAnsi="Times New Roman" w:cs="Times New Roman"/>
          <w:sz w:val="28"/>
          <w:szCs w:val="20"/>
          <w:lang w:eastAsia="en-US"/>
        </w:rPr>
        <w:t xml:space="preserve"> tik</w:t>
      </w:r>
      <w:r w:rsidR="004700FF">
        <w:rPr>
          <w:rFonts w:ascii="Times New Roman" w:eastAsiaTheme="minorHAnsi" w:hAnsi="Times New Roman" w:cs="Times New Roman"/>
          <w:sz w:val="28"/>
          <w:szCs w:val="20"/>
          <w:lang w:eastAsia="en-US"/>
        </w:rPr>
        <w:t>a skarts jau šā gada</w:t>
      </w:r>
      <w:r w:rsidRPr="00862260">
        <w:rPr>
          <w:rFonts w:ascii="Times New Roman" w:eastAsiaTheme="minorHAnsi" w:hAnsi="Times New Roman" w:cs="Times New Roman"/>
          <w:sz w:val="28"/>
          <w:szCs w:val="20"/>
          <w:lang w:eastAsia="en-US"/>
        </w:rPr>
        <w:t xml:space="preserve"> martā, jo koronavīrusa izplatība pirmām kārtām ietekmēja pakalpojumu sektorus, it īpaši pasažieru pārvadājumus, izmitināšanas, ēdināšanas un izklaides pakalpojumus. Kopumā p</w:t>
      </w:r>
      <w:r w:rsidR="004700FF">
        <w:rPr>
          <w:rFonts w:ascii="Times New Roman" w:eastAsiaTheme="minorHAnsi" w:hAnsi="Times New Roman" w:cs="Times New Roman"/>
          <w:sz w:val="28"/>
          <w:szCs w:val="20"/>
          <w:lang w:eastAsia="en-US"/>
        </w:rPr>
        <w:t>akalpojumu eksporta vērtība šā gada</w:t>
      </w:r>
      <w:r w:rsidRPr="00862260">
        <w:rPr>
          <w:rFonts w:ascii="Times New Roman" w:eastAsiaTheme="minorHAnsi" w:hAnsi="Times New Roman" w:cs="Times New Roman"/>
          <w:sz w:val="28"/>
          <w:szCs w:val="20"/>
          <w:lang w:eastAsia="en-US"/>
        </w:rPr>
        <w:t xml:space="preserve"> septiņos mēnešos samazinājās par 19,5% salīdzinājumā ar pē</w:t>
      </w:r>
      <w:r w:rsidR="004700FF">
        <w:rPr>
          <w:rFonts w:ascii="Times New Roman" w:eastAsiaTheme="minorHAnsi" w:hAnsi="Times New Roman" w:cs="Times New Roman"/>
          <w:sz w:val="28"/>
          <w:szCs w:val="20"/>
          <w:lang w:eastAsia="en-US"/>
        </w:rPr>
        <w:t>rnā gada attiecīgo periodu. Šā gada</w:t>
      </w:r>
      <w:r w:rsidRPr="00862260">
        <w:rPr>
          <w:rFonts w:ascii="Times New Roman" w:eastAsiaTheme="minorHAnsi" w:hAnsi="Times New Roman" w:cs="Times New Roman"/>
          <w:sz w:val="28"/>
          <w:szCs w:val="20"/>
          <w:lang w:eastAsia="en-US"/>
        </w:rPr>
        <w:t xml:space="preserve"> martā, kad jau vairākās pasaules valstīs bija noteikti stingri ierobežojumi koronavīrusa izplatības mazināšanai, Latvijas pakalpojumu eksports gada griezumā samazinājās par 13,2%, kritumam palielin</w:t>
      </w:r>
      <w:r w:rsidR="004700FF">
        <w:rPr>
          <w:rFonts w:ascii="Times New Roman" w:eastAsiaTheme="minorHAnsi" w:hAnsi="Times New Roman" w:cs="Times New Roman"/>
          <w:sz w:val="28"/>
          <w:szCs w:val="20"/>
          <w:lang w:eastAsia="en-US"/>
        </w:rPr>
        <w:t>oties līdz 29,5% šā gada</w:t>
      </w:r>
      <w:r w:rsidRPr="00862260">
        <w:rPr>
          <w:rFonts w:ascii="Times New Roman" w:eastAsiaTheme="minorHAnsi" w:hAnsi="Times New Roman" w:cs="Times New Roman"/>
          <w:sz w:val="28"/>
          <w:szCs w:val="20"/>
          <w:lang w:eastAsia="en-US"/>
        </w:rPr>
        <w:t xml:space="preserve"> aprīlī. Kritums tuvu 30% ir sagla</w:t>
      </w:r>
      <w:r w:rsidR="004700FF">
        <w:rPr>
          <w:rFonts w:ascii="Times New Roman" w:eastAsiaTheme="minorHAnsi" w:hAnsi="Times New Roman" w:cs="Times New Roman"/>
          <w:sz w:val="28"/>
          <w:szCs w:val="20"/>
          <w:lang w:eastAsia="en-US"/>
        </w:rPr>
        <w:t>bājies arī turpmākajos mēnešos (skat. 1.39.att.).</w:t>
      </w:r>
    </w:p>
    <w:p w14:paraId="4E1C7504" w14:textId="77777777" w:rsidR="00862260" w:rsidRPr="00862260" w:rsidRDefault="00862260" w:rsidP="00401A5B">
      <w:pPr>
        <w:jc w:val="center"/>
        <w:rPr>
          <w:rFonts w:ascii="Times New Roman" w:eastAsiaTheme="minorHAnsi" w:hAnsi="Times New Roman" w:cs="Times New Roman"/>
          <w:sz w:val="28"/>
          <w:szCs w:val="20"/>
          <w:lang w:eastAsia="en-US"/>
        </w:rPr>
      </w:pPr>
      <w:r w:rsidRPr="00862260">
        <w:rPr>
          <w:rFonts w:ascii="Times New Roman" w:eastAsiaTheme="minorHAnsi" w:hAnsi="Times New Roman" w:cs="Times New Roman"/>
          <w:noProof/>
          <w:sz w:val="24"/>
          <w:szCs w:val="24"/>
        </w:rPr>
        <w:drawing>
          <wp:inline distT="0" distB="0" distL="0" distR="0" wp14:anchorId="7F63247C" wp14:editId="197BA727">
            <wp:extent cx="5274310" cy="3400425"/>
            <wp:effectExtent l="0" t="0" r="25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4C1E921" w14:textId="1E642878" w:rsidR="00862260" w:rsidRPr="00862260" w:rsidRDefault="004700FF" w:rsidP="00401A5B">
      <w:pPr>
        <w:spacing w:line="259" w:lineRule="auto"/>
        <w:jc w:val="center"/>
        <w:rPr>
          <w:rFonts w:ascii="Times New Roman" w:eastAsiaTheme="minorHAnsi" w:hAnsi="Times New Roman" w:cs="Times New Roman"/>
          <w:b/>
          <w:bCs/>
          <w:i/>
          <w:sz w:val="24"/>
          <w:szCs w:val="24"/>
          <w:lang w:eastAsia="en-US"/>
        </w:rPr>
      </w:pPr>
      <w:r>
        <w:rPr>
          <w:rFonts w:ascii="Times New Roman" w:eastAsiaTheme="minorHAnsi" w:hAnsi="Times New Roman" w:cs="Times New Roman"/>
          <w:b/>
          <w:bCs/>
          <w:i/>
          <w:color w:val="000000" w:themeColor="text1"/>
          <w:sz w:val="24"/>
          <w:szCs w:val="24"/>
          <w:lang w:eastAsia="en-US"/>
        </w:rPr>
        <w:t>1.39.</w:t>
      </w:r>
      <w:r w:rsidR="00862260" w:rsidRPr="00862260">
        <w:rPr>
          <w:rFonts w:ascii="Times New Roman" w:eastAsiaTheme="minorHAnsi" w:hAnsi="Times New Roman" w:cs="Times New Roman"/>
          <w:b/>
          <w:bCs/>
          <w:i/>
          <w:color w:val="000000" w:themeColor="text1"/>
          <w:sz w:val="24"/>
          <w:szCs w:val="24"/>
          <w:lang w:eastAsia="en-US"/>
        </w:rPr>
        <w:t xml:space="preserve">att. </w:t>
      </w:r>
      <w:r w:rsidR="00862260" w:rsidRPr="00862260">
        <w:rPr>
          <w:rFonts w:ascii="Times New Roman" w:eastAsiaTheme="minorHAnsi" w:hAnsi="Times New Roman" w:cs="Times New Roman"/>
          <w:b/>
          <w:bCs/>
          <w:i/>
          <w:sz w:val="24"/>
          <w:szCs w:val="24"/>
          <w:lang w:eastAsia="en-US"/>
        </w:rPr>
        <w:t>Latvijas pakalpojumu eksports faktiskajās cenās pa grupām, devumi (pp) un kopējais pieaugums (%)</w:t>
      </w:r>
    </w:p>
    <w:p w14:paraId="0E196631" w14:textId="77777777" w:rsidR="00862260" w:rsidRPr="00862260" w:rsidRDefault="00862260" w:rsidP="00401A5B">
      <w:pPr>
        <w:jc w:val="both"/>
        <w:rPr>
          <w:rFonts w:ascii="Times New Roman" w:eastAsiaTheme="minorHAnsi" w:hAnsi="Times New Roman" w:cs="Times New Roman"/>
          <w:sz w:val="28"/>
          <w:szCs w:val="20"/>
          <w:lang w:eastAsia="en-US"/>
        </w:rPr>
      </w:pPr>
    </w:p>
    <w:p w14:paraId="7F72190C" w14:textId="2713E699"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Spēcīgākā ietekme vērojama transporta pakalpojumu eksportā, jo tā vērtība </w:t>
      </w:r>
      <w:r w:rsidR="004700FF">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septiņos mēnešos saruka par 34,5% salīdzinājumā ar 2019.gada attiecīgo periodu, tādējādi izskaidrojot vairāk nekā divas trešdaļas no kopējā pakalpojumu eksporta krituma. Transporta pakalpojumu eksports sāka samazināties vēl pērnā gada nogalē, ko negatīvi ietekmēja spēcīgs kritums jūras un dzelzceļa transporta pakalpojumos saistībā ar ogļu un naftas produktu kravu samazināšanos no Krievijas. </w:t>
      </w:r>
    </w:p>
    <w:p w14:paraId="5737EADA" w14:textId="756C0732"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Jūras un dzelzceļa transporta pakalpojumu eksports</w:t>
      </w:r>
      <w:r w:rsidR="004700FF">
        <w:rPr>
          <w:rFonts w:ascii="Times New Roman" w:eastAsiaTheme="minorHAnsi" w:hAnsi="Times New Roman" w:cs="Times New Roman"/>
          <w:sz w:val="28"/>
          <w:szCs w:val="20"/>
          <w:lang w:eastAsia="en-US"/>
        </w:rPr>
        <w:t xml:space="preserve"> turpināja samazināties arī šā gada</w:t>
      </w:r>
      <w:r w:rsidRPr="00862260">
        <w:rPr>
          <w:rFonts w:ascii="Times New Roman" w:eastAsiaTheme="minorHAnsi" w:hAnsi="Times New Roman" w:cs="Times New Roman"/>
          <w:sz w:val="28"/>
          <w:szCs w:val="20"/>
          <w:lang w:eastAsia="en-US"/>
        </w:rPr>
        <w:t xml:space="preserve"> pirmajā pusgadā (izvērstie dati ir pieejami tikai par </w:t>
      </w:r>
      <w:r w:rsidR="004700FF">
        <w:rPr>
          <w:rFonts w:ascii="Times New Roman" w:eastAsiaTheme="minorHAnsi" w:hAnsi="Times New Roman" w:cs="Times New Roman"/>
          <w:sz w:val="28"/>
          <w:szCs w:val="20"/>
          <w:lang w:eastAsia="en-US"/>
        </w:rPr>
        <w:t>pirmajiem sešiem mēnešiem). Šā gada</w:t>
      </w:r>
      <w:r w:rsidRPr="00862260">
        <w:rPr>
          <w:rFonts w:ascii="Times New Roman" w:eastAsiaTheme="minorHAnsi" w:hAnsi="Times New Roman" w:cs="Times New Roman"/>
          <w:sz w:val="28"/>
          <w:szCs w:val="20"/>
          <w:lang w:eastAsia="en-US"/>
        </w:rPr>
        <w:t xml:space="preserve"> pirmajā pusē jūras un dzelzceļa transporta pakalpojumu eksports ir samazinājies attiecīgi par 35,7% un 50,3% salīdzinājumā ar iepriekšējā gada </w:t>
      </w:r>
      <w:r w:rsidR="004700FF">
        <w:rPr>
          <w:rFonts w:ascii="Times New Roman" w:eastAsiaTheme="minorHAnsi" w:hAnsi="Times New Roman" w:cs="Times New Roman"/>
          <w:sz w:val="28"/>
          <w:szCs w:val="20"/>
          <w:lang w:eastAsia="en-US"/>
        </w:rPr>
        <w:t>pirmo pusgadu. Savukārt, no šā gada</w:t>
      </w:r>
      <w:r w:rsidRPr="00862260">
        <w:rPr>
          <w:rFonts w:ascii="Times New Roman" w:eastAsiaTheme="minorHAnsi" w:hAnsi="Times New Roman" w:cs="Times New Roman"/>
          <w:sz w:val="28"/>
          <w:szCs w:val="20"/>
          <w:lang w:eastAsia="en-US"/>
        </w:rPr>
        <w:t xml:space="preserve"> marta negatīvo ietekmi uz transporta pakalpojumu eksporta attīstību pastiprināja būtisks gaisa transporta pakalpojumu eksporta kritums saistībā ar pandēmiju un izsludināto ārkārtējo stāvoklī gan Latvijā, gan citās pasaules valstīs. </w:t>
      </w:r>
    </w:p>
    <w:p w14:paraId="17399307" w14:textId="1816F4C2"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Tūrisma nozare ir visvairāk cietusī nozare visā pasaulē pandēmijas dēļ. Būtiski samazinoties iebraucošo tūristu skaitam, pieprasījums pēc gaisa transporta pakalpojumiem saruka. Tā, Latvijas gaisa transporta p</w:t>
      </w:r>
      <w:r w:rsidR="004700FF">
        <w:rPr>
          <w:rFonts w:ascii="Times New Roman" w:eastAsiaTheme="minorHAnsi" w:hAnsi="Times New Roman" w:cs="Times New Roman"/>
          <w:sz w:val="28"/>
          <w:szCs w:val="20"/>
          <w:lang w:eastAsia="en-US"/>
        </w:rPr>
        <w:t>akalpojumu eksporta vērtība šā gada</w:t>
      </w:r>
      <w:r w:rsidRPr="00862260">
        <w:rPr>
          <w:rFonts w:ascii="Times New Roman" w:eastAsiaTheme="minorHAnsi" w:hAnsi="Times New Roman" w:cs="Times New Roman"/>
          <w:sz w:val="28"/>
          <w:szCs w:val="20"/>
          <w:lang w:eastAsia="en-US"/>
        </w:rPr>
        <w:t xml:space="preserve"> otrajā ceturksnī – periodā, kad valstī bija izsludināts ārkārtējas stāvoklis, bija vien 6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pretstatā 162 milj. </w:t>
      </w:r>
      <w:r w:rsidRPr="00862260">
        <w:rPr>
          <w:rFonts w:ascii="Times New Roman" w:eastAsiaTheme="minorHAnsi" w:hAnsi="Times New Roman" w:cs="Times New Roman"/>
          <w:i/>
          <w:sz w:val="28"/>
          <w:szCs w:val="20"/>
          <w:lang w:eastAsia="en-US"/>
        </w:rPr>
        <w:t xml:space="preserve">euro </w:t>
      </w:r>
      <w:r w:rsidRPr="00862260">
        <w:rPr>
          <w:rFonts w:ascii="Times New Roman" w:eastAsiaTheme="minorHAnsi" w:hAnsi="Times New Roman" w:cs="Times New Roman"/>
          <w:sz w:val="28"/>
          <w:szCs w:val="20"/>
          <w:lang w:eastAsia="en-US"/>
        </w:rPr>
        <w:t>2019.gada otrajā cetur</w:t>
      </w:r>
      <w:r w:rsidR="004700FF">
        <w:rPr>
          <w:rFonts w:ascii="Times New Roman" w:eastAsiaTheme="minorHAnsi" w:hAnsi="Times New Roman" w:cs="Times New Roman"/>
          <w:sz w:val="28"/>
          <w:szCs w:val="20"/>
          <w:lang w:eastAsia="en-US"/>
        </w:rPr>
        <w:t>ksnī, kas ir 96,3% kritums. Šā gada</w:t>
      </w:r>
      <w:r w:rsidRPr="00862260">
        <w:rPr>
          <w:rFonts w:ascii="Times New Roman" w:eastAsiaTheme="minorHAnsi" w:hAnsi="Times New Roman" w:cs="Times New Roman"/>
          <w:sz w:val="28"/>
          <w:szCs w:val="20"/>
          <w:lang w:eastAsia="en-US"/>
        </w:rPr>
        <w:t xml:space="preserve"> pirmajā pusgadā kopumā gaisa transporta pakalpojumu eksporta vērtības kritums ir m</w:t>
      </w:r>
      <w:r w:rsidR="004700FF">
        <w:rPr>
          <w:rFonts w:ascii="Times New Roman" w:eastAsiaTheme="minorHAnsi" w:hAnsi="Times New Roman" w:cs="Times New Roman"/>
          <w:sz w:val="28"/>
          <w:szCs w:val="20"/>
          <w:lang w:eastAsia="en-US"/>
        </w:rPr>
        <w:t>azāks nekā gada otrajā ceturksnī</w:t>
      </w:r>
      <w:r w:rsidRPr="00862260">
        <w:rPr>
          <w:rFonts w:ascii="Times New Roman" w:eastAsiaTheme="minorHAnsi" w:hAnsi="Times New Roman" w:cs="Times New Roman"/>
          <w:sz w:val="28"/>
          <w:szCs w:val="20"/>
          <w:lang w:eastAsia="en-US"/>
        </w:rPr>
        <w:t>, bet joprojām ir būtisks – 69,9%.</w:t>
      </w:r>
    </w:p>
    <w:p w14:paraId="16CA2141" w14:textId="735C0D60"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Analiz</w:t>
      </w:r>
      <w:r w:rsidR="004700FF">
        <w:rPr>
          <w:rFonts w:ascii="Times New Roman" w:eastAsiaTheme="minorHAnsi" w:hAnsi="Times New Roman" w:cs="Times New Roman"/>
          <w:sz w:val="28"/>
          <w:szCs w:val="20"/>
          <w:lang w:eastAsia="en-US"/>
        </w:rPr>
        <w:t xml:space="preserve">ējot aktuālākus datus par </w:t>
      </w:r>
      <w:r w:rsidRPr="00862260">
        <w:rPr>
          <w:rFonts w:ascii="Times New Roman" w:eastAsiaTheme="minorHAnsi" w:hAnsi="Times New Roman" w:cs="Times New Roman"/>
          <w:sz w:val="28"/>
          <w:szCs w:val="20"/>
          <w:lang w:eastAsia="en-US"/>
        </w:rPr>
        <w:t>lidostas</w:t>
      </w:r>
      <w:r w:rsidR="004700FF">
        <w:rPr>
          <w:rFonts w:ascii="Times New Roman" w:eastAsiaTheme="minorHAnsi" w:hAnsi="Times New Roman" w:cs="Times New Roman"/>
          <w:sz w:val="28"/>
          <w:szCs w:val="20"/>
          <w:lang w:eastAsia="en-US"/>
        </w:rPr>
        <w:t xml:space="preserve"> “Rīga” darbību šā gada</w:t>
      </w:r>
      <w:r w:rsidRPr="00862260">
        <w:rPr>
          <w:rFonts w:ascii="Times New Roman" w:eastAsiaTheme="minorHAnsi" w:hAnsi="Times New Roman" w:cs="Times New Roman"/>
          <w:sz w:val="28"/>
          <w:szCs w:val="20"/>
          <w:lang w:eastAsia="en-US"/>
        </w:rPr>
        <w:t xml:space="preserve"> jūlijā un augustā, jāsecina, ka pasažieru plūsmas kritums vasaras nogalē bija mazāks nekā laikā no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marta līdz jūnijam, tomēr kritums ir saglabājies augsts.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jūlijā un augustā Rīgas lidosta apkalpoja attiecīgi par 77,6% un 77,0% mazāk pasažieru nekā pērn attiecīgajā periodā, kamēr ārkārtējā stāvokļa lakā kritums bija tuvu 100%. Svarīgi atzīmēt arī to, ka apkalpoto lidmašīnu skaits pēc ārkārtas situācijas atcelšanas atjaunojās ātrāk nekā apkalpoto pasažieru skaits, liecinot par ārvalstu tūristu piesardzīgumu. Kopumā jāsecina, ka gaisa satiksmes un citu ar tūrisma saistīto nozaru apjomi atjaunosies tikai tad, kad būs atrasts efektīvs līdzeklis koronovīrusa izplatības novēršanai. </w:t>
      </w:r>
    </w:p>
    <w:p w14:paraId="636A6672" w14:textId="79412C9D"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Autotransporta pakalpojumu eksports cieta vismazāk pandēmijas dēļ,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pirmajā pusē samazinoties par 4,9%. Mazāks autotransporta eksporta kritums salīdzinājumā ar pārējiem transporta pakalpojumu veidiem varētu būt saistīts ar to, ka kravu pārvadājumiem nebija ieviesti tik strikti ierobežojumi kā pasažieru pārvadājumiem. </w:t>
      </w:r>
    </w:p>
    <w:p w14:paraId="03E90739" w14:textId="024E5943"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Robežu slēgšana, karantīnas ieviešana un cilvēku pulcēšanās ierobežojumi būtiski ietekmēja iebraukušo ārvalstu tūristu skaitu Latvijā. </w:t>
      </w:r>
      <w:r w:rsidRPr="00862260">
        <w:rPr>
          <w:rFonts w:ascii="Times New Roman" w:eastAsia="Calibri" w:hAnsi="Times New Roman" w:cs="Times New Roman"/>
          <w:sz w:val="28"/>
          <w:szCs w:val="28"/>
          <w:lang w:eastAsia="en-US"/>
        </w:rPr>
        <w:t>Kopš marta ārvalstu tūristu skaits Latvijā ir samazinājies vairāk nekā par 80%.</w:t>
      </w:r>
      <w:r w:rsidRPr="00862260">
        <w:rPr>
          <w:rFonts w:ascii="Times New Roman" w:eastAsiaTheme="minorHAnsi" w:hAnsi="Times New Roman" w:cs="Times New Roman"/>
          <w:sz w:val="28"/>
          <w:szCs w:val="20"/>
          <w:lang w:eastAsia="en-US"/>
        </w:rPr>
        <w:t xml:space="preserve"> Tādējādi ārvalstu tūristu izdevumi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septiņos mēnešos samazinājās par 44,0% salīdzinājumā ar pērnā gada attiecīgo periodu. Tikmēr ārvalstu tūristu izdevumu kritums laikā periodā no aprīļa līdz jūlijam bija 68</w:t>
      </w:r>
      <w:r w:rsidR="00E90EA4">
        <w:rPr>
          <w:rFonts w:ascii="Times New Roman" w:eastAsiaTheme="minorHAnsi" w:hAnsi="Times New Roman" w:cs="Times New Roman"/>
          <w:sz w:val="28"/>
          <w:szCs w:val="20"/>
          <w:lang w:eastAsia="en-US"/>
        </w:rPr>
        <w:t>,4% salīdzinājumā ar 2019.</w:t>
      </w:r>
      <w:r w:rsidRPr="00862260">
        <w:rPr>
          <w:rFonts w:ascii="Times New Roman" w:eastAsiaTheme="minorHAnsi" w:hAnsi="Times New Roman" w:cs="Times New Roman"/>
          <w:sz w:val="28"/>
          <w:szCs w:val="20"/>
          <w:lang w:eastAsia="en-US"/>
        </w:rPr>
        <w:t>gada attiecīgo periodu.</w:t>
      </w:r>
    </w:p>
    <w:p w14:paraId="1DC6C716" w14:textId="77777777" w:rsidR="00862260" w:rsidRPr="00862260" w:rsidRDefault="00862260" w:rsidP="00401A5B">
      <w:pPr>
        <w:ind w:firstLine="567"/>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Neskatoties uz kopējo ekonomikas sentimenta pasliktināšanos un ārējā pieprasījuma kritumu, pārējo pakalpojumu eksports pirmajos septiņos mēnešos pat nedaudz palielinājās, kopumā par 2,3%, ko veicināja būvniecības, kā arī informācijas un datorpakalpojumu eksporta pieaugums. Tomēr tas ir būtiski vājāks pieaugums nekā vidēji 2019.gadā, kad pārējo pakalpojumu eksports palielinājās par 10,2%.</w:t>
      </w:r>
    </w:p>
    <w:p w14:paraId="6DD0655D" w14:textId="77777777" w:rsidR="00862260" w:rsidRPr="00862260" w:rsidRDefault="00862260" w:rsidP="00401A5B">
      <w:pPr>
        <w:ind w:firstLine="567"/>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Tāpat kā eksporta, arī </w:t>
      </w:r>
      <w:r w:rsidRPr="00E90EA4">
        <w:rPr>
          <w:rFonts w:ascii="Times New Roman" w:eastAsiaTheme="minorHAnsi" w:hAnsi="Times New Roman" w:cs="Times New Roman"/>
          <w:sz w:val="28"/>
          <w:szCs w:val="20"/>
          <w:lang w:eastAsia="en-US"/>
        </w:rPr>
        <w:t>preču un pakalpojumu importa</w:t>
      </w:r>
      <w:r w:rsidRPr="00862260">
        <w:rPr>
          <w:rFonts w:ascii="Times New Roman" w:eastAsiaTheme="minorHAnsi" w:hAnsi="Times New Roman" w:cs="Times New Roman"/>
          <w:sz w:val="28"/>
          <w:szCs w:val="20"/>
          <w:lang w:eastAsia="en-US"/>
        </w:rPr>
        <w:t xml:space="preserve"> izaugsme 2019.gadā ir bremzējusies. Palēninoties Latvijas ekonomikas izaugsmei, mazinājās arī pieprasījums pēc importa precēm, galvenokārt starppatēriņa precēm, kas tiek izmantotas ražošanas procesā. Kopējā preču un pakalpojumu importa vērtība salīdzināmās cenās 2019.gadā pieauga par 3,0%, kas ir nedaudz straujāk nekā eksporta kāpums, tādējādi neto eksporta devums reālā IKP pieaugumā pērn bija negatīvs, proti, -0,7 procentpunkti.</w:t>
      </w:r>
    </w:p>
    <w:p w14:paraId="6ECDA0D6" w14:textId="2942EBEF"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Bremzējoties Latvijas iekšējam patēriņam un samazinoties reeksporta apjomiem, Covid-19 pandēmijas ietekme uz preču un pakalpojumu importu ir lielāka nekā uz eksportu.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pirmajā pusgadā kopējais imports </w:t>
      </w:r>
      <w:r w:rsidRPr="00862260">
        <w:rPr>
          <w:rFonts w:ascii="Times New Roman" w:eastAsiaTheme="minorHAnsi" w:hAnsi="Times New Roman" w:cs="Times New Roman"/>
          <w:sz w:val="28"/>
          <w:szCs w:val="28"/>
          <w:lang w:eastAsia="en-US"/>
        </w:rPr>
        <w:t xml:space="preserve">salīdzināmās cenās bija par 6,3% zemāks nekā 2019.gada pirmajā pusē. Savukārt, preču un pakalpojumu eksports attiecīgajā periodā ir samazinājies par 5,3%. </w:t>
      </w:r>
      <w:r w:rsidRPr="00862260">
        <w:rPr>
          <w:rFonts w:ascii="Times New Roman" w:eastAsiaTheme="minorHAnsi" w:hAnsi="Times New Roman" w:cs="Times New Roman"/>
          <w:sz w:val="28"/>
          <w:szCs w:val="20"/>
          <w:lang w:eastAsia="en-US"/>
        </w:rPr>
        <w:t xml:space="preserve">Ņemot vērā, ka importa samazinājums bija straujāks par eksporta kritumu, būtiski saruka Latvijas preču un pakalpojumu ārējās tirdzniecības deficīts, no 595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2019.gada pirmajā pusgadā līdz 473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pirmajā pusē. </w:t>
      </w:r>
    </w:p>
    <w:p w14:paraId="61A01BEA" w14:textId="5616DC11"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Lielāko daļu jeb 85% no kopējā preču un pakalpojumu importa veidoja tieši preču imports, tādējādi importa kritumu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pirmajā pusē lielā mērā ietekmēja preču importa samazinājums. Nacionālo kontu dati rāda, ka lielākais preču importa kritums ir fiksēts kapitālprecēm un starppatēriņa precēm - attiecīgi par 34,1% un 13,4%. Šo preču imports raksturo tautsaimniecības ekonomisko aktivitāti, jo starppatēriņa preces tiek izmantotas apstrādes rūpniecībā, bet kapitālpreču imports atspoguļo investīciju apjomu. Kopumā Latvijas nominālais IKP 2020.gadā pirmajā pusē bija 5,2% zemāks nekā pērnā gadā attiecīgajā periodā. </w:t>
      </w:r>
    </w:p>
    <w:p w14:paraId="565BC8AE" w14:textId="58EE09AC"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Preču importa vērtība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septiņos mēnešos samazinājās par 10,7% salīdzinājumā ar pērnā gada attiecīgo periodu. Zīmīgi, ka lielākie importa kritumi ir fiksēti tām pašām preču grupām kā eksportā, izņemot koksnes un koka izstrādājumu preču grupu. Lielāko negatīvo devumu preču importa kritumā noteica satiksmes līdzekļu samazinājums par 48,8%, ko noteica automobiļu un gaisa kuģu importa samazinājums attiecīgi par 29,2% un 93,1%, tādējādi izskaidrojot gandrīz divas trešdaļas no kopējā preču importa krituma. </w:t>
      </w:r>
    </w:p>
    <w:p w14:paraId="1A2EB1E6" w14:textId="77777777"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Būtisks importa kritums fiksēts arī minerālproduktiem, kopumā par 35,3%. Šajā preču grupā importa samazinājumu noteica elektroenerģijas un naftas produktu importa samazinājums no Baltijas valstīm un Krievijas. </w:t>
      </w:r>
    </w:p>
    <w:p w14:paraId="0C6B939C" w14:textId="0BB2F7BD"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Pārējās preču grupās importa kritums ir daudz mazāks. Tā, metālu un to izstrādājumu imports ir samazinājies par 7,1%, ko noteica dzelzs un neleģētā tērauda importa samazinājums no Krievijas, kā arī alumīnija importa samazinājums no vairākām ES dalībvalstīm. Būvmateriālu importa vērtība samazinājās par 10,8% salīdzinājumā ar pērnā gada pirmajiem septiņiem mēnešiem, ko noteica ģipša, cementa, akmens un stikla importa samazinājums. Metālu un būvniecības izstrādājumu importa samazinājums fiksēts sākot no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aprīļa, kamēr gada pirmajā ceturksnī kopumā būvniecības preču imports bija vēl augošs, bet metālu imports bija pērnā gada līmenī. Šo preču importa tendence norāda uz to, ka būvniecības aktivitāte Latvijā sākot no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aprīļa ir mazinājusies. Tā, būvniecības produkcijas apjoms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otrajā ceturksnī gada griezumā samazinājās par 0,6%. Tajā pašā laikā metālu un būvniecības materiālu importa samazinājumu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otrajā ceturksnī varēja izraisīt šo preču piegādes traucējumi saistībā ar karantīnas ieviešanu un ražošanas jaudas samazināšanos tirdzniecības partnervalstīs. </w:t>
      </w:r>
    </w:p>
    <w:p w14:paraId="160A6CFD" w14:textId="3B0BA4E8"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Preču importa kritumu nedaudz mazināja lauksaimniecības un pārtikas preču importa pieaugums par 1,3% salīdzinājumā ar pērnā gada pirmajiem septiņiem mēnešiem. Šo preču importa grupas pieaugumu veicināja tabakas izstrādājumu, augļu, eļļu, kafijas un tējas importa palielinājums</w:t>
      </w:r>
      <w:r w:rsidRPr="00862260">
        <w:rPr>
          <w:rFonts w:ascii="Times New Roman" w:eastAsiaTheme="minorHAnsi" w:hAnsi="Times New Roman" w:cs="Times New Roman"/>
          <w:color w:val="000000" w:themeColor="text1"/>
          <w:sz w:val="28"/>
          <w:szCs w:val="20"/>
          <w:lang w:eastAsia="en-US"/>
        </w:rPr>
        <w:t xml:space="preserve">. </w:t>
      </w:r>
      <w:r w:rsidRPr="00862260">
        <w:rPr>
          <w:rFonts w:ascii="Times New Roman" w:eastAsia="Times New Roman" w:hAnsi="Times New Roman" w:cs="Times New Roman"/>
          <w:color w:val="000000" w:themeColor="text1"/>
          <w:sz w:val="28"/>
          <w:szCs w:val="28"/>
          <w:lang w:eastAsia="en-US"/>
        </w:rPr>
        <w:t xml:space="preserve">Detalizēta informācija par importa vērtību un izmaiņām preču grupu griezumā ir atspoguļota </w:t>
      </w:r>
      <w:r w:rsidR="00E90EA4">
        <w:rPr>
          <w:rFonts w:ascii="Times New Roman" w:eastAsia="Times New Roman" w:hAnsi="Times New Roman" w:cs="Times New Roman"/>
          <w:color w:val="000000" w:themeColor="text1"/>
          <w:sz w:val="28"/>
          <w:szCs w:val="28"/>
          <w:lang w:eastAsia="en-US"/>
        </w:rPr>
        <w:t>1.4.tabulā.</w:t>
      </w:r>
    </w:p>
    <w:p w14:paraId="2903EAEC" w14:textId="77777777" w:rsidR="00862260" w:rsidRPr="00862260" w:rsidRDefault="00862260" w:rsidP="00401A5B">
      <w:pPr>
        <w:spacing w:line="259" w:lineRule="auto"/>
        <w:ind w:firstLine="720"/>
        <w:jc w:val="both"/>
        <w:rPr>
          <w:rFonts w:ascii="Times New Roman" w:eastAsia="Times New Roman" w:hAnsi="Times New Roman" w:cs="Times New Roman"/>
          <w:sz w:val="28"/>
          <w:szCs w:val="28"/>
          <w:lang w:eastAsia="en-US"/>
        </w:rPr>
      </w:pPr>
    </w:p>
    <w:p w14:paraId="16581E61" w14:textId="77777777" w:rsidR="00862260" w:rsidRPr="00862260" w:rsidRDefault="00862260" w:rsidP="00401A5B">
      <w:pPr>
        <w:spacing w:line="259" w:lineRule="auto"/>
        <w:jc w:val="right"/>
        <w:rPr>
          <w:rFonts w:ascii="Times New Roman" w:eastAsia="Calibri" w:hAnsi="Times New Roman" w:cs="Times New Roman"/>
          <w:sz w:val="24"/>
          <w:szCs w:val="24"/>
          <w:lang w:eastAsia="en-US"/>
        </w:rPr>
      </w:pPr>
      <w:r w:rsidRPr="00862260">
        <w:rPr>
          <w:rFonts w:ascii="Times New Roman" w:eastAsia="Calibri" w:hAnsi="Times New Roman" w:cs="Times New Roman"/>
          <w:b/>
          <w:i/>
          <w:sz w:val="24"/>
          <w:szCs w:val="24"/>
          <w:lang w:eastAsia="en-US"/>
        </w:rPr>
        <w:t>1.4. tabula. Preču importa vērtība septiņos mēnešos 2019.gadā un 2020.gadā, tas izmaiņas un preču grupu īpatsvars 2020.gada septiņos mēnešos</w:t>
      </w:r>
    </w:p>
    <w:tbl>
      <w:tblPr>
        <w:tblW w:w="9151" w:type="dxa"/>
        <w:tblLook w:val="04A0" w:firstRow="1" w:lastRow="0" w:firstColumn="1" w:lastColumn="0" w:noHBand="0" w:noVBand="1"/>
      </w:tblPr>
      <w:tblGrid>
        <w:gridCol w:w="2850"/>
        <w:gridCol w:w="1351"/>
        <w:gridCol w:w="1352"/>
        <w:gridCol w:w="1202"/>
        <w:gridCol w:w="1202"/>
        <w:gridCol w:w="1194"/>
      </w:tblGrid>
      <w:tr w:rsidR="00862260" w:rsidRPr="00862260" w14:paraId="51836094" w14:textId="77777777" w:rsidTr="00E90EA4">
        <w:trPr>
          <w:trHeight w:val="316"/>
        </w:trPr>
        <w:tc>
          <w:tcPr>
            <w:tcW w:w="28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D921D05"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Preču grupa</w:t>
            </w:r>
          </w:p>
        </w:tc>
        <w:tc>
          <w:tcPr>
            <w:tcW w:w="1351"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97021FA"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I-VII 2019 milj. euro</w:t>
            </w:r>
          </w:p>
        </w:tc>
        <w:tc>
          <w:tcPr>
            <w:tcW w:w="1352"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DD479DE"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I-VII 2020 milj. euro</w:t>
            </w:r>
          </w:p>
        </w:tc>
        <w:tc>
          <w:tcPr>
            <w:tcW w:w="1202"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B5411D7"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Preču grupu īpatsvars, %</w:t>
            </w:r>
          </w:p>
        </w:tc>
        <w:tc>
          <w:tcPr>
            <w:tcW w:w="1202"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233D36EE"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Izmaiņas, milj. euro</w:t>
            </w:r>
          </w:p>
        </w:tc>
        <w:tc>
          <w:tcPr>
            <w:tcW w:w="1194"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E71096C"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Izmaiņas, %</w:t>
            </w:r>
          </w:p>
        </w:tc>
      </w:tr>
      <w:tr w:rsidR="00862260" w:rsidRPr="00862260" w14:paraId="0596D5C9"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81D00C8"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Mehānismi un ierīces, t.sk. elektroierīces</w:t>
            </w:r>
          </w:p>
        </w:tc>
        <w:tc>
          <w:tcPr>
            <w:tcW w:w="1351" w:type="dxa"/>
            <w:tcBorders>
              <w:top w:val="nil"/>
              <w:left w:val="nil"/>
              <w:bottom w:val="single" w:sz="4" w:space="0" w:color="auto"/>
              <w:right w:val="single" w:sz="4" w:space="0" w:color="auto"/>
            </w:tcBorders>
            <w:shd w:val="clear" w:color="auto" w:fill="auto"/>
            <w:noWrap/>
            <w:vAlign w:val="center"/>
            <w:hideMark/>
          </w:tcPr>
          <w:p w14:paraId="4BB3CB87"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1814</w:t>
            </w:r>
          </w:p>
        </w:tc>
        <w:tc>
          <w:tcPr>
            <w:tcW w:w="1352" w:type="dxa"/>
            <w:tcBorders>
              <w:top w:val="nil"/>
              <w:left w:val="nil"/>
              <w:bottom w:val="single" w:sz="4" w:space="0" w:color="auto"/>
              <w:right w:val="single" w:sz="4" w:space="0" w:color="auto"/>
            </w:tcBorders>
            <w:shd w:val="clear" w:color="auto" w:fill="auto"/>
            <w:noWrap/>
            <w:vAlign w:val="center"/>
            <w:hideMark/>
          </w:tcPr>
          <w:p w14:paraId="4B93CFD6"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1824</w:t>
            </w:r>
          </w:p>
        </w:tc>
        <w:tc>
          <w:tcPr>
            <w:tcW w:w="1202" w:type="dxa"/>
            <w:tcBorders>
              <w:top w:val="nil"/>
              <w:left w:val="nil"/>
              <w:bottom w:val="single" w:sz="4" w:space="0" w:color="auto"/>
              <w:right w:val="single" w:sz="4" w:space="0" w:color="auto"/>
            </w:tcBorders>
            <w:shd w:val="clear" w:color="auto" w:fill="auto"/>
            <w:noWrap/>
            <w:vAlign w:val="center"/>
            <w:hideMark/>
          </w:tcPr>
          <w:p w14:paraId="00991DC3" w14:textId="3933676B"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r w:rsidR="00862260" w:rsidRPr="00862260">
              <w:rPr>
                <w:rFonts w:ascii="Times New Roman" w:eastAsia="Times New Roman" w:hAnsi="Times New Roman" w:cs="Times New Roman"/>
                <w:color w:val="000000"/>
              </w:rPr>
              <w:t>2%</w:t>
            </w:r>
          </w:p>
        </w:tc>
        <w:tc>
          <w:tcPr>
            <w:tcW w:w="1202" w:type="dxa"/>
            <w:tcBorders>
              <w:top w:val="nil"/>
              <w:left w:val="nil"/>
              <w:bottom w:val="single" w:sz="4" w:space="0" w:color="auto"/>
              <w:right w:val="single" w:sz="4" w:space="0" w:color="auto"/>
            </w:tcBorders>
            <w:shd w:val="clear" w:color="auto" w:fill="auto"/>
            <w:noWrap/>
            <w:vAlign w:val="center"/>
            <w:hideMark/>
          </w:tcPr>
          <w:p w14:paraId="0D176D3A"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10</w:t>
            </w:r>
          </w:p>
        </w:tc>
        <w:tc>
          <w:tcPr>
            <w:tcW w:w="1194" w:type="dxa"/>
            <w:tcBorders>
              <w:top w:val="nil"/>
              <w:left w:val="nil"/>
              <w:bottom w:val="single" w:sz="4" w:space="0" w:color="auto"/>
              <w:right w:val="single" w:sz="4" w:space="0" w:color="auto"/>
            </w:tcBorders>
            <w:shd w:val="clear" w:color="auto" w:fill="auto"/>
            <w:noWrap/>
            <w:vAlign w:val="center"/>
            <w:hideMark/>
          </w:tcPr>
          <w:p w14:paraId="56C60411" w14:textId="70E33ADE"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862260" w:rsidRPr="00862260">
              <w:rPr>
                <w:rFonts w:ascii="Times New Roman" w:eastAsia="Times New Roman" w:hAnsi="Times New Roman" w:cs="Times New Roman"/>
                <w:color w:val="000000"/>
              </w:rPr>
              <w:t>5%</w:t>
            </w:r>
          </w:p>
        </w:tc>
      </w:tr>
      <w:tr w:rsidR="00862260" w:rsidRPr="00862260" w14:paraId="75C4A20F" w14:textId="77777777" w:rsidTr="00E90EA4">
        <w:trPr>
          <w:trHeight w:val="738"/>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6943479"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Lauksaimniecības preces un pārtika</w:t>
            </w:r>
          </w:p>
        </w:tc>
        <w:tc>
          <w:tcPr>
            <w:tcW w:w="1351" w:type="dxa"/>
            <w:tcBorders>
              <w:top w:val="nil"/>
              <w:left w:val="nil"/>
              <w:bottom w:val="single" w:sz="4" w:space="0" w:color="auto"/>
              <w:right w:val="single" w:sz="4" w:space="0" w:color="auto"/>
            </w:tcBorders>
            <w:shd w:val="clear" w:color="auto" w:fill="auto"/>
            <w:noWrap/>
            <w:vAlign w:val="center"/>
            <w:hideMark/>
          </w:tcPr>
          <w:p w14:paraId="7EADBF20"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1506</w:t>
            </w:r>
          </w:p>
        </w:tc>
        <w:tc>
          <w:tcPr>
            <w:tcW w:w="1352" w:type="dxa"/>
            <w:tcBorders>
              <w:top w:val="nil"/>
              <w:left w:val="nil"/>
              <w:bottom w:val="single" w:sz="4" w:space="0" w:color="auto"/>
              <w:right w:val="single" w:sz="4" w:space="0" w:color="auto"/>
            </w:tcBorders>
            <w:shd w:val="clear" w:color="auto" w:fill="auto"/>
            <w:noWrap/>
            <w:vAlign w:val="center"/>
            <w:hideMark/>
          </w:tcPr>
          <w:p w14:paraId="6A8A1F2A"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1526</w:t>
            </w:r>
          </w:p>
        </w:tc>
        <w:tc>
          <w:tcPr>
            <w:tcW w:w="1202" w:type="dxa"/>
            <w:tcBorders>
              <w:top w:val="nil"/>
              <w:left w:val="nil"/>
              <w:bottom w:val="single" w:sz="4" w:space="0" w:color="auto"/>
              <w:right w:val="single" w:sz="4" w:space="0" w:color="auto"/>
            </w:tcBorders>
            <w:shd w:val="clear" w:color="auto" w:fill="auto"/>
            <w:noWrap/>
            <w:vAlign w:val="center"/>
            <w:hideMark/>
          </w:tcPr>
          <w:p w14:paraId="4FDA87DE" w14:textId="54D51BA4"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r w:rsidR="00862260" w:rsidRPr="00862260">
              <w:rPr>
                <w:rFonts w:ascii="Times New Roman" w:eastAsia="Times New Roman" w:hAnsi="Times New Roman" w:cs="Times New Roman"/>
                <w:color w:val="000000"/>
              </w:rPr>
              <w:t>6%</w:t>
            </w:r>
          </w:p>
        </w:tc>
        <w:tc>
          <w:tcPr>
            <w:tcW w:w="1202" w:type="dxa"/>
            <w:tcBorders>
              <w:top w:val="nil"/>
              <w:left w:val="nil"/>
              <w:bottom w:val="single" w:sz="4" w:space="0" w:color="auto"/>
              <w:right w:val="single" w:sz="4" w:space="0" w:color="auto"/>
            </w:tcBorders>
            <w:shd w:val="clear" w:color="auto" w:fill="auto"/>
            <w:noWrap/>
            <w:vAlign w:val="center"/>
            <w:hideMark/>
          </w:tcPr>
          <w:p w14:paraId="0D9B21EC"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19</w:t>
            </w:r>
          </w:p>
        </w:tc>
        <w:tc>
          <w:tcPr>
            <w:tcW w:w="1194" w:type="dxa"/>
            <w:tcBorders>
              <w:top w:val="nil"/>
              <w:left w:val="nil"/>
              <w:bottom w:val="single" w:sz="4" w:space="0" w:color="auto"/>
              <w:right w:val="single" w:sz="4" w:space="0" w:color="auto"/>
            </w:tcBorders>
            <w:shd w:val="clear" w:color="auto" w:fill="auto"/>
            <w:noWrap/>
            <w:vAlign w:val="center"/>
            <w:hideMark/>
          </w:tcPr>
          <w:p w14:paraId="13711F26" w14:textId="7C3C8128"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862260" w:rsidRPr="00862260">
              <w:rPr>
                <w:rFonts w:ascii="Times New Roman" w:eastAsia="Times New Roman" w:hAnsi="Times New Roman" w:cs="Times New Roman"/>
                <w:color w:val="000000"/>
              </w:rPr>
              <w:t>3%</w:t>
            </w:r>
          </w:p>
        </w:tc>
      </w:tr>
      <w:tr w:rsidR="00862260" w:rsidRPr="00862260" w14:paraId="5151659A"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38A0E91"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Ķīmiskās rūpniecības ražojumi</w:t>
            </w:r>
          </w:p>
        </w:tc>
        <w:tc>
          <w:tcPr>
            <w:tcW w:w="1351" w:type="dxa"/>
            <w:tcBorders>
              <w:top w:val="nil"/>
              <w:left w:val="nil"/>
              <w:bottom w:val="single" w:sz="4" w:space="0" w:color="auto"/>
              <w:right w:val="single" w:sz="4" w:space="0" w:color="auto"/>
            </w:tcBorders>
            <w:shd w:val="clear" w:color="auto" w:fill="auto"/>
            <w:noWrap/>
            <w:vAlign w:val="center"/>
            <w:hideMark/>
          </w:tcPr>
          <w:p w14:paraId="325D808E"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946</w:t>
            </w:r>
          </w:p>
        </w:tc>
        <w:tc>
          <w:tcPr>
            <w:tcW w:w="1352" w:type="dxa"/>
            <w:tcBorders>
              <w:top w:val="nil"/>
              <w:left w:val="nil"/>
              <w:bottom w:val="single" w:sz="4" w:space="0" w:color="auto"/>
              <w:right w:val="single" w:sz="4" w:space="0" w:color="auto"/>
            </w:tcBorders>
            <w:shd w:val="clear" w:color="auto" w:fill="auto"/>
            <w:noWrap/>
            <w:vAlign w:val="center"/>
            <w:hideMark/>
          </w:tcPr>
          <w:p w14:paraId="4819A40C"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954</w:t>
            </w:r>
          </w:p>
        </w:tc>
        <w:tc>
          <w:tcPr>
            <w:tcW w:w="1202" w:type="dxa"/>
            <w:tcBorders>
              <w:top w:val="nil"/>
              <w:left w:val="nil"/>
              <w:bottom w:val="single" w:sz="4" w:space="0" w:color="auto"/>
              <w:right w:val="single" w:sz="4" w:space="0" w:color="auto"/>
            </w:tcBorders>
            <w:shd w:val="clear" w:color="auto" w:fill="auto"/>
            <w:noWrap/>
            <w:vAlign w:val="center"/>
            <w:hideMark/>
          </w:tcPr>
          <w:p w14:paraId="1AB73FBF" w14:textId="2F063C02"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r w:rsidR="00862260" w:rsidRPr="00862260">
              <w:rPr>
                <w:rFonts w:ascii="Times New Roman" w:eastAsia="Times New Roman" w:hAnsi="Times New Roman" w:cs="Times New Roman"/>
                <w:color w:val="000000"/>
              </w:rPr>
              <w:t>6%</w:t>
            </w:r>
          </w:p>
        </w:tc>
        <w:tc>
          <w:tcPr>
            <w:tcW w:w="1202" w:type="dxa"/>
            <w:tcBorders>
              <w:top w:val="nil"/>
              <w:left w:val="nil"/>
              <w:bottom w:val="single" w:sz="4" w:space="0" w:color="auto"/>
              <w:right w:val="single" w:sz="4" w:space="0" w:color="auto"/>
            </w:tcBorders>
            <w:shd w:val="clear" w:color="auto" w:fill="auto"/>
            <w:noWrap/>
            <w:vAlign w:val="center"/>
            <w:hideMark/>
          </w:tcPr>
          <w:p w14:paraId="03153EA2"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9</w:t>
            </w:r>
          </w:p>
        </w:tc>
        <w:tc>
          <w:tcPr>
            <w:tcW w:w="1194" w:type="dxa"/>
            <w:tcBorders>
              <w:top w:val="nil"/>
              <w:left w:val="nil"/>
              <w:bottom w:val="single" w:sz="4" w:space="0" w:color="auto"/>
              <w:right w:val="single" w:sz="4" w:space="0" w:color="auto"/>
            </w:tcBorders>
            <w:shd w:val="clear" w:color="auto" w:fill="auto"/>
            <w:noWrap/>
            <w:vAlign w:val="center"/>
            <w:hideMark/>
          </w:tcPr>
          <w:p w14:paraId="611081D3" w14:textId="65EDD65C"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862260" w:rsidRPr="00862260">
              <w:rPr>
                <w:rFonts w:ascii="Times New Roman" w:eastAsia="Times New Roman" w:hAnsi="Times New Roman" w:cs="Times New Roman"/>
                <w:color w:val="000000"/>
              </w:rPr>
              <w:t>9%</w:t>
            </w:r>
          </w:p>
        </w:tc>
      </w:tr>
      <w:tr w:rsidR="00862260" w:rsidRPr="00862260" w14:paraId="300AC818"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AB3AFA5"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Metāli un to izstrādājumi</w:t>
            </w:r>
          </w:p>
        </w:tc>
        <w:tc>
          <w:tcPr>
            <w:tcW w:w="1351" w:type="dxa"/>
            <w:tcBorders>
              <w:top w:val="nil"/>
              <w:left w:val="nil"/>
              <w:bottom w:val="single" w:sz="4" w:space="0" w:color="auto"/>
              <w:right w:val="single" w:sz="4" w:space="0" w:color="auto"/>
            </w:tcBorders>
            <w:shd w:val="clear" w:color="auto" w:fill="auto"/>
            <w:noWrap/>
            <w:vAlign w:val="center"/>
            <w:hideMark/>
          </w:tcPr>
          <w:p w14:paraId="1A661998"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753</w:t>
            </w:r>
          </w:p>
        </w:tc>
        <w:tc>
          <w:tcPr>
            <w:tcW w:w="1352" w:type="dxa"/>
            <w:tcBorders>
              <w:top w:val="nil"/>
              <w:left w:val="nil"/>
              <w:bottom w:val="single" w:sz="4" w:space="0" w:color="auto"/>
              <w:right w:val="single" w:sz="4" w:space="0" w:color="auto"/>
            </w:tcBorders>
            <w:shd w:val="clear" w:color="auto" w:fill="auto"/>
            <w:noWrap/>
            <w:vAlign w:val="center"/>
            <w:hideMark/>
          </w:tcPr>
          <w:p w14:paraId="59F0AF17"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699</w:t>
            </w:r>
          </w:p>
        </w:tc>
        <w:tc>
          <w:tcPr>
            <w:tcW w:w="1202" w:type="dxa"/>
            <w:tcBorders>
              <w:top w:val="nil"/>
              <w:left w:val="nil"/>
              <w:bottom w:val="single" w:sz="4" w:space="0" w:color="auto"/>
              <w:right w:val="single" w:sz="4" w:space="0" w:color="auto"/>
            </w:tcBorders>
            <w:shd w:val="clear" w:color="auto" w:fill="auto"/>
            <w:noWrap/>
            <w:vAlign w:val="center"/>
            <w:hideMark/>
          </w:tcPr>
          <w:p w14:paraId="0179DB27" w14:textId="5D9516DE"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862260" w:rsidRPr="00862260">
              <w:rPr>
                <w:rFonts w:ascii="Times New Roman" w:eastAsia="Times New Roman" w:hAnsi="Times New Roman" w:cs="Times New Roman"/>
                <w:color w:val="000000"/>
              </w:rPr>
              <w:t>5%</w:t>
            </w:r>
          </w:p>
        </w:tc>
        <w:tc>
          <w:tcPr>
            <w:tcW w:w="1202" w:type="dxa"/>
            <w:tcBorders>
              <w:top w:val="nil"/>
              <w:left w:val="nil"/>
              <w:bottom w:val="single" w:sz="4" w:space="0" w:color="auto"/>
              <w:right w:val="single" w:sz="4" w:space="0" w:color="auto"/>
            </w:tcBorders>
            <w:shd w:val="clear" w:color="auto" w:fill="auto"/>
            <w:noWrap/>
            <w:vAlign w:val="center"/>
            <w:hideMark/>
          </w:tcPr>
          <w:p w14:paraId="3AD919D2"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-53</w:t>
            </w:r>
          </w:p>
        </w:tc>
        <w:tc>
          <w:tcPr>
            <w:tcW w:w="1194" w:type="dxa"/>
            <w:tcBorders>
              <w:top w:val="nil"/>
              <w:left w:val="nil"/>
              <w:bottom w:val="single" w:sz="4" w:space="0" w:color="auto"/>
              <w:right w:val="single" w:sz="4" w:space="0" w:color="auto"/>
            </w:tcBorders>
            <w:shd w:val="clear" w:color="auto" w:fill="auto"/>
            <w:noWrap/>
            <w:vAlign w:val="center"/>
            <w:hideMark/>
          </w:tcPr>
          <w:p w14:paraId="35C05F0A" w14:textId="2FDB22DD"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862260" w:rsidRPr="00862260">
              <w:rPr>
                <w:rFonts w:ascii="Times New Roman" w:eastAsia="Times New Roman" w:hAnsi="Times New Roman" w:cs="Times New Roman"/>
                <w:color w:val="000000"/>
              </w:rPr>
              <w:t>1%</w:t>
            </w:r>
          </w:p>
        </w:tc>
      </w:tr>
      <w:tr w:rsidR="00862260" w:rsidRPr="00862260" w14:paraId="01B5DF54"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8AB02CF"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 xml:space="preserve">Satiksmes līdzekļi </w:t>
            </w:r>
          </w:p>
        </w:tc>
        <w:tc>
          <w:tcPr>
            <w:tcW w:w="1351" w:type="dxa"/>
            <w:tcBorders>
              <w:top w:val="nil"/>
              <w:left w:val="nil"/>
              <w:bottom w:val="single" w:sz="4" w:space="0" w:color="auto"/>
              <w:right w:val="single" w:sz="4" w:space="0" w:color="auto"/>
            </w:tcBorders>
            <w:shd w:val="clear" w:color="auto" w:fill="auto"/>
            <w:noWrap/>
            <w:vAlign w:val="center"/>
            <w:hideMark/>
          </w:tcPr>
          <w:p w14:paraId="43977A9E"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1223</w:t>
            </w:r>
          </w:p>
        </w:tc>
        <w:tc>
          <w:tcPr>
            <w:tcW w:w="1352" w:type="dxa"/>
            <w:tcBorders>
              <w:top w:val="nil"/>
              <w:left w:val="nil"/>
              <w:bottom w:val="single" w:sz="4" w:space="0" w:color="auto"/>
              <w:right w:val="single" w:sz="4" w:space="0" w:color="auto"/>
            </w:tcBorders>
            <w:shd w:val="clear" w:color="auto" w:fill="auto"/>
            <w:noWrap/>
            <w:vAlign w:val="center"/>
            <w:hideMark/>
          </w:tcPr>
          <w:p w14:paraId="2547DAD0"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626</w:t>
            </w:r>
          </w:p>
        </w:tc>
        <w:tc>
          <w:tcPr>
            <w:tcW w:w="1202" w:type="dxa"/>
            <w:tcBorders>
              <w:top w:val="nil"/>
              <w:left w:val="nil"/>
              <w:bottom w:val="single" w:sz="4" w:space="0" w:color="auto"/>
              <w:right w:val="single" w:sz="4" w:space="0" w:color="auto"/>
            </w:tcBorders>
            <w:shd w:val="clear" w:color="auto" w:fill="auto"/>
            <w:noWrap/>
            <w:vAlign w:val="center"/>
            <w:hideMark/>
          </w:tcPr>
          <w:p w14:paraId="50A2281E" w14:textId="78A7DE69"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862260" w:rsidRPr="00862260">
              <w:rPr>
                <w:rFonts w:ascii="Times New Roman" w:eastAsia="Times New Roman" w:hAnsi="Times New Roman" w:cs="Times New Roman"/>
                <w:color w:val="000000"/>
              </w:rPr>
              <w:t>6%</w:t>
            </w:r>
          </w:p>
        </w:tc>
        <w:tc>
          <w:tcPr>
            <w:tcW w:w="1202" w:type="dxa"/>
            <w:tcBorders>
              <w:top w:val="nil"/>
              <w:left w:val="nil"/>
              <w:bottom w:val="single" w:sz="4" w:space="0" w:color="auto"/>
              <w:right w:val="single" w:sz="4" w:space="0" w:color="auto"/>
            </w:tcBorders>
            <w:shd w:val="clear" w:color="auto" w:fill="auto"/>
            <w:noWrap/>
            <w:vAlign w:val="center"/>
            <w:hideMark/>
          </w:tcPr>
          <w:p w14:paraId="77E9D678"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-597</w:t>
            </w:r>
          </w:p>
        </w:tc>
        <w:tc>
          <w:tcPr>
            <w:tcW w:w="1194" w:type="dxa"/>
            <w:tcBorders>
              <w:top w:val="nil"/>
              <w:left w:val="nil"/>
              <w:bottom w:val="single" w:sz="4" w:space="0" w:color="auto"/>
              <w:right w:val="single" w:sz="4" w:space="0" w:color="auto"/>
            </w:tcBorders>
            <w:shd w:val="clear" w:color="auto" w:fill="auto"/>
            <w:noWrap/>
            <w:vAlign w:val="center"/>
            <w:hideMark/>
          </w:tcPr>
          <w:p w14:paraId="60D5B60C" w14:textId="550554F7"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r w:rsidR="00862260" w:rsidRPr="00862260">
              <w:rPr>
                <w:rFonts w:ascii="Times New Roman" w:eastAsia="Times New Roman" w:hAnsi="Times New Roman" w:cs="Times New Roman"/>
                <w:color w:val="000000"/>
              </w:rPr>
              <w:t>8%</w:t>
            </w:r>
          </w:p>
        </w:tc>
      </w:tr>
      <w:tr w:rsidR="00862260" w:rsidRPr="00862260" w14:paraId="70F4AEE7"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9453B62"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Minerālprodukti</w:t>
            </w:r>
          </w:p>
        </w:tc>
        <w:tc>
          <w:tcPr>
            <w:tcW w:w="1351" w:type="dxa"/>
            <w:tcBorders>
              <w:top w:val="nil"/>
              <w:left w:val="nil"/>
              <w:bottom w:val="single" w:sz="4" w:space="0" w:color="auto"/>
              <w:right w:val="single" w:sz="4" w:space="0" w:color="auto"/>
            </w:tcBorders>
            <w:shd w:val="clear" w:color="auto" w:fill="auto"/>
            <w:noWrap/>
            <w:vAlign w:val="center"/>
            <w:hideMark/>
          </w:tcPr>
          <w:p w14:paraId="3003FC57"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845</w:t>
            </w:r>
          </w:p>
        </w:tc>
        <w:tc>
          <w:tcPr>
            <w:tcW w:w="1352" w:type="dxa"/>
            <w:tcBorders>
              <w:top w:val="nil"/>
              <w:left w:val="nil"/>
              <w:bottom w:val="single" w:sz="4" w:space="0" w:color="auto"/>
              <w:right w:val="single" w:sz="4" w:space="0" w:color="auto"/>
            </w:tcBorders>
            <w:shd w:val="clear" w:color="auto" w:fill="auto"/>
            <w:noWrap/>
            <w:vAlign w:val="center"/>
            <w:hideMark/>
          </w:tcPr>
          <w:p w14:paraId="23F46901"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547</w:t>
            </w:r>
          </w:p>
        </w:tc>
        <w:tc>
          <w:tcPr>
            <w:tcW w:w="1202" w:type="dxa"/>
            <w:tcBorders>
              <w:top w:val="nil"/>
              <w:left w:val="nil"/>
              <w:bottom w:val="single" w:sz="4" w:space="0" w:color="auto"/>
              <w:right w:val="single" w:sz="4" w:space="0" w:color="auto"/>
            </w:tcBorders>
            <w:shd w:val="clear" w:color="auto" w:fill="auto"/>
            <w:noWrap/>
            <w:vAlign w:val="center"/>
            <w:hideMark/>
          </w:tcPr>
          <w:p w14:paraId="726D0535" w14:textId="61FFA58B"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00862260" w:rsidRPr="00862260">
              <w:rPr>
                <w:rFonts w:ascii="Times New Roman" w:eastAsia="Times New Roman" w:hAnsi="Times New Roman" w:cs="Times New Roman"/>
                <w:color w:val="000000"/>
              </w:rPr>
              <w:t>7%</w:t>
            </w:r>
          </w:p>
        </w:tc>
        <w:tc>
          <w:tcPr>
            <w:tcW w:w="1202" w:type="dxa"/>
            <w:tcBorders>
              <w:top w:val="nil"/>
              <w:left w:val="nil"/>
              <w:bottom w:val="single" w:sz="4" w:space="0" w:color="auto"/>
              <w:right w:val="single" w:sz="4" w:space="0" w:color="auto"/>
            </w:tcBorders>
            <w:shd w:val="clear" w:color="auto" w:fill="auto"/>
            <w:noWrap/>
            <w:vAlign w:val="center"/>
            <w:hideMark/>
          </w:tcPr>
          <w:p w14:paraId="5B6DA4C9"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-298</w:t>
            </w:r>
          </w:p>
        </w:tc>
        <w:tc>
          <w:tcPr>
            <w:tcW w:w="1194" w:type="dxa"/>
            <w:tcBorders>
              <w:top w:val="nil"/>
              <w:left w:val="nil"/>
              <w:bottom w:val="single" w:sz="4" w:space="0" w:color="auto"/>
              <w:right w:val="single" w:sz="4" w:space="0" w:color="auto"/>
            </w:tcBorders>
            <w:shd w:val="clear" w:color="auto" w:fill="auto"/>
            <w:vAlign w:val="center"/>
            <w:hideMark/>
          </w:tcPr>
          <w:p w14:paraId="18578777" w14:textId="0062D081"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r w:rsidR="00862260" w:rsidRPr="00862260">
              <w:rPr>
                <w:rFonts w:ascii="Times New Roman" w:eastAsia="Times New Roman" w:hAnsi="Times New Roman" w:cs="Times New Roman"/>
                <w:color w:val="000000"/>
              </w:rPr>
              <w:t>3%</w:t>
            </w:r>
          </w:p>
        </w:tc>
      </w:tr>
      <w:tr w:rsidR="00862260" w:rsidRPr="00862260" w14:paraId="2D56739E"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5E6C97A"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Plastmasas, kaučuks un to izstrādājumi</w:t>
            </w:r>
          </w:p>
        </w:tc>
        <w:tc>
          <w:tcPr>
            <w:tcW w:w="1351" w:type="dxa"/>
            <w:tcBorders>
              <w:top w:val="nil"/>
              <w:left w:val="nil"/>
              <w:bottom w:val="single" w:sz="4" w:space="0" w:color="auto"/>
              <w:right w:val="single" w:sz="4" w:space="0" w:color="auto"/>
            </w:tcBorders>
            <w:shd w:val="clear" w:color="auto" w:fill="auto"/>
            <w:noWrap/>
            <w:vAlign w:val="center"/>
            <w:hideMark/>
          </w:tcPr>
          <w:p w14:paraId="31CC4D60"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502</w:t>
            </w:r>
          </w:p>
        </w:tc>
        <w:tc>
          <w:tcPr>
            <w:tcW w:w="1352" w:type="dxa"/>
            <w:tcBorders>
              <w:top w:val="nil"/>
              <w:left w:val="nil"/>
              <w:bottom w:val="single" w:sz="4" w:space="0" w:color="auto"/>
              <w:right w:val="single" w:sz="4" w:space="0" w:color="auto"/>
            </w:tcBorders>
            <w:shd w:val="clear" w:color="auto" w:fill="auto"/>
            <w:noWrap/>
            <w:vAlign w:val="center"/>
            <w:hideMark/>
          </w:tcPr>
          <w:p w14:paraId="05C11FB0"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492</w:t>
            </w:r>
          </w:p>
        </w:tc>
        <w:tc>
          <w:tcPr>
            <w:tcW w:w="1202" w:type="dxa"/>
            <w:tcBorders>
              <w:top w:val="nil"/>
              <w:left w:val="nil"/>
              <w:bottom w:val="single" w:sz="4" w:space="0" w:color="auto"/>
              <w:right w:val="single" w:sz="4" w:space="0" w:color="auto"/>
            </w:tcBorders>
            <w:shd w:val="clear" w:color="auto" w:fill="auto"/>
            <w:noWrap/>
            <w:vAlign w:val="center"/>
            <w:hideMark/>
          </w:tcPr>
          <w:p w14:paraId="5CE9652C" w14:textId="7637ADD6"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00862260" w:rsidRPr="00862260">
              <w:rPr>
                <w:rFonts w:ascii="Times New Roman" w:eastAsia="Times New Roman" w:hAnsi="Times New Roman" w:cs="Times New Roman"/>
                <w:color w:val="000000"/>
              </w:rPr>
              <w:t>0%</w:t>
            </w:r>
          </w:p>
        </w:tc>
        <w:tc>
          <w:tcPr>
            <w:tcW w:w="1202" w:type="dxa"/>
            <w:tcBorders>
              <w:top w:val="nil"/>
              <w:left w:val="nil"/>
              <w:bottom w:val="single" w:sz="4" w:space="0" w:color="auto"/>
              <w:right w:val="single" w:sz="4" w:space="0" w:color="auto"/>
            </w:tcBorders>
            <w:shd w:val="clear" w:color="auto" w:fill="auto"/>
            <w:noWrap/>
            <w:vAlign w:val="center"/>
            <w:hideMark/>
          </w:tcPr>
          <w:p w14:paraId="00DB38B5"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-10</w:t>
            </w:r>
          </w:p>
        </w:tc>
        <w:tc>
          <w:tcPr>
            <w:tcW w:w="1194" w:type="dxa"/>
            <w:tcBorders>
              <w:top w:val="nil"/>
              <w:left w:val="nil"/>
              <w:bottom w:val="single" w:sz="4" w:space="0" w:color="auto"/>
              <w:right w:val="single" w:sz="4" w:space="0" w:color="auto"/>
            </w:tcBorders>
            <w:shd w:val="clear" w:color="auto" w:fill="auto"/>
            <w:noWrap/>
            <w:vAlign w:val="center"/>
            <w:hideMark/>
          </w:tcPr>
          <w:p w14:paraId="751B248F" w14:textId="749A045F"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862260" w:rsidRPr="00862260">
              <w:rPr>
                <w:rFonts w:ascii="Times New Roman" w:eastAsia="Times New Roman" w:hAnsi="Times New Roman" w:cs="Times New Roman"/>
                <w:color w:val="000000"/>
              </w:rPr>
              <w:t>0%</w:t>
            </w:r>
          </w:p>
        </w:tc>
      </w:tr>
      <w:tr w:rsidR="00862260" w:rsidRPr="00862260" w14:paraId="3A651056"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89E488A"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Tekstilmateriāli un tekstilizstrādājumi</w:t>
            </w:r>
          </w:p>
        </w:tc>
        <w:tc>
          <w:tcPr>
            <w:tcW w:w="1351" w:type="dxa"/>
            <w:tcBorders>
              <w:top w:val="nil"/>
              <w:left w:val="nil"/>
              <w:bottom w:val="single" w:sz="4" w:space="0" w:color="auto"/>
              <w:right w:val="single" w:sz="4" w:space="0" w:color="auto"/>
            </w:tcBorders>
            <w:shd w:val="clear" w:color="auto" w:fill="auto"/>
            <w:noWrap/>
            <w:vAlign w:val="center"/>
            <w:hideMark/>
          </w:tcPr>
          <w:p w14:paraId="1B51D5AA"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310</w:t>
            </w:r>
          </w:p>
        </w:tc>
        <w:tc>
          <w:tcPr>
            <w:tcW w:w="1352" w:type="dxa"/>
            <w:tcBorders>
              <w:top w:val="nil"/>
              <w:left w:val="nil"/>
              <w:bottom w:val="single" w:sz="4" w:space="0" w:color="auto"/>
              <w:right w:val="single" w:sz="4" w:space="0" w:color="auto"/>
            </w:tcBorders>
            <w:shd w:val="clear" w:color="auto" w:fill="auto"/>
            <w:noWrap/>
            <w:vAlign w:val="center"/>
            <w:hideMark/>
          </w:tcPr>
          <w:p w14:paraId="2D7E9414"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326</w:t>
            </w:r>
          </w:p>
        </w:tc>
        <w:tc>
          <w:tcPr>
            <w:tcW w:w="1202" w:type="dxa"/>
            <w:tcBorders>
              <w:top w:val="nil"/>
              <w:left w:val="nil"/>
              <w:bottom w:val="single" w:sz="4" w:space="0" w:color="auto"/>
              <w:right w:val="single" w:sz="4" w:space="0" w:color="auto"/>
            </w:tcBorders>
            <w:shd w:val="clear" w:color="auto" w:fill="auto"/>
            <w:noWrap/>
            <w:vAlign w:val="center"/>
            <w:hideMark/>
          </w:tcPr>
          <w:p w14:paraId="6C039B61" w14:textId="0302A4D9"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862260" w:rsidRPr="00862260">
              <w:rPr>
                <w:rFonts w:ascii="Times New Roman" w:eastAsia="Times New Roman" w:hAnsi="Times New Roman" w:cs="Times New Roman"/>
                <w:color w:val="000000"/>
              </w:rPr>
              <w:t>0%</w:t>
            </w:r>
          </w:p>
        </w:tc>
        <w:tc>
          <w:tcPr>
            <w:tcW w:w="1202" w:type="dxa"/>
            <w:tcBorders>
              <w:top w:val="nil"/>
              <w:left w:val="nil"/>
              <w:bottom w:val="single" w:sz="4" w:space="0" w:color="auto"/>
              <w:right w:val="single" w:sz="4" w:space="0" w:color="auto"/>
            </w:tcBorders>
            <w:shd w:val="clear" w:color="auto" w:fill="auto"/>
            <w:noWrap/>
            <w:vAlign w:val="center"/>
            <w:hideMark/>
          </w:tcPr>
          <w:p w14:paraId="616CC974"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16</w:t>
            </w:r>
          </w:p>
        </w:tc>
        <w:tc>
          <w:tcPr>
            <w:tcW w:w="1194" w:type="dxa"/>
            <w:tcBorders>
              <w:top w:val="nil"/>
              <w:left w:val="nil"/>
              <w:bottom w:val="single" w:sz="4" w:space="0" w:color="auto"/>
              <w:right w:val="single" w:sz="4" w:space="0" w:color="auto"/>
            </w:tcBorders>
            <w:shd w:val="clear" w:color="auto" w:fill="auto"/>
            <w:noWrap/>
            <w:vAlign w:val="center"/>
            <w:hideMark/>
          </w:tcPr>
          <w:p w14:paraId="257952AA" w14:textId="73F953D2"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862260" w:rsidRPr="00862260">
              <w:rPr>
                <w:rFonts w:ascii="Times New Roman" w:eastAsia="Times New Roman" w:hAnsi="Times New Roman" w:cs="Times New Roman"/>
                <w:color w:val="000000"/>
              </w:rPr>
              <w:t>2%</w:t>
            </w:r>
          </w:p>
        </w:tc>
      </w:tr>
      <w:tr w:rsidR="00862260" w:rsidRPr="00862260" w14:paraId="40074291"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2307F25"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Koks un koka izstrādājumi</w:t>
            </w:r>
          </w:p>
        </w:tc>
        <w:tc>
          <w:tcPr>
            <w:tcW w:w="1351" w:type="dxa"/>
            <w:tcBorders>
              <w:top w:val="nil"/>
              <w:left w:val="nil"/>
              <w:bottom w:val="single" w:sz="4" w:space="0" w:color="auto"/>
              <w:right w:val="single" w:sz="4" w:space="0" w:color="auto"/>
            </w:tcBorders>
            <w:shd w:val="clear" w:color="auto" w:fill="auto"/>
            <w:noWrap/>
            <w:vAlign w:val="center"/>
            <w:hideMark/>
          </w:tcPr>
          <w:p w14:paraId="298A885B"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342</w:t>
            </w:r>
          </w:p>
        </w:tc>
        <w:tc>
          <w:tcPr>
            <w:tcW w:w="1352" w:type="dxa"/>
            <w:tcBorders>
              <w:top w:val="nil"/>
              <w:left w:val="nil"/>
              <w:bottom w:val="single" w:sz="4" w:space="0" w:color="auto"/>
              <w:right w:val="single" w:sz="4" w:space="0" w:color="auto"/>
            </w:tcBorders>
            <w:shd w:val="clear" w:color="auto" w:fill="auto"/>
            <w:noWrap/>
            <w:vAlign w:val="center"/>
            <w:hideMark/>
          </w:tcPr>
          <w:p w14:paraId="429DE3B3"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315</w:t>
            </w:r>
          </w:p>
        </w:tc>
        <w:tc>
          <w:tcPr>
            <w:tcW w:w="1202" w:type="dxa"/>
            <w:tcBorders>
              <w:top w:val="nil"/>
              <w:left w:val="nil"/>
              <w:bottom w:val="single" w:sz="4" w:space="0" w:color="auto"/>
              <w:right w:val="single" w:sz="4" w:space="0" w:color="auto"/>
            </w:tcBorders>
            <w:shd w:val="clear" w:color="auto" w:fill="auto"/>
            <w:noWrap/>
            <w:vAlign w:val="center"/>
            <w:hideMark/>
          </w:tcPr>
          <w:p w14:paraId="3E351F4C" w14:textId="1A4C7086"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862260" w:rsidRPr="00862260">
              <w:rPr>
                <w:rFonts w:ascii="Times New Roman" w:eastAsia="Times New Roman" w:hAnsi="Times New Roman" w:cs="Times New Roman"/>
                <w:color w:val="000000"/>
              </w:rPr>
              <w:t>8%</w:t>
            </w:r>
          </w:p>
        </w:tc>
        <w:tc>
          <w:tcPr>
            <w:tcW w:w="1202" w:type="dxa"/>
            <w:tcBorders>
              <w:top w:val="nil"/>
              <w:left w:val="nil"/>
              <w:bottom w:val="single" w:sz="4" w:space="0" w:color="auto"/>
              <w:right w:val="single" w:sz="4" w:space="0" w:color="auto"/>
            </w:tcBorders>
            <w:shd w:val="clear" w:color="auto" w:fill="auto"/>
            <w:noWrap/>
            <w:vAlign w:val="center"/>
            <w:hideMark/>
          </w:tcPr>
          <w:p w14:paraId="16FE7536"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-27</w:t>
            </w:r>
          </w:p>
        </w:tc>
        <w:tc>
          <w:tcPr>
            <w:tcW w:w="1194" w:type="dxa"/>
            <w:tcBorders>
              <w:top w:val="nil"/>
              <w:left w:val="nil"/>
              <w:bottom w:val="single" w:sz="4" w:space="0" w:color="auto"/>
              <w:right w:val="single" w:sz="4" w:space="0" w:color="auto"/>
            </w:tcBorders>
            <w:shd w:val="clear" w:color="auto" w:fill="auto"/>
            <w:noWrap/>
            <w:vAlign w:val="center"/>
            <w:hideMark/>
          </w:tcPr>
          <w:p w14:paraId="3AE360D9" w14:textId="48FD7779"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862260" w:rsidRPr="00862260">
              <w:rPr>
                <w:rFonts w:ascii="Times New Roman" w:eastAsia="Times New Roman" w:hAnsi="Times New Roman" w:cs="Times New Roman"/>
                <w:color w:val="000000"/>
              </w:rPr>
              <w:t>8%</w:t>
            </w:r>
          </w:p>
        </w:tc>
      </w:tr>
      <w:tr w:rsidR="00862260" w:rsidRPr="00862260" w14:paraId="01FBAD18"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191976E"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Papīrs, kartons un poligrāfijas izstrādājumi</w:t>
            </w:r>
          </w:p>
        </w:tc>
        <w:tc>
          <w:tcPr>
            <w:tcW w:w="1351" w:type="dxa"/>
            <w:tcBorders>
              <w:top w:val="nil"/>
              <w:left w:val="nil"/>
              <w:bottom w:val="single" w:sz="4" w:space="0" w:color="auto"/>
              <w:right w:val="single" w:sz="4" w:space="0" w:color="auto"/>
            </w:tcBorders>
            <w:shd w:val="clear" w:color="auto" w:fill="auto"/>
            <w:noWrap/>
            <w:vAlign w:val="center"/>
            <w:hideMark/>
          </w:tcPr>
          <w:p w14:paraId="796B403B"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180</w:t>
            </w:r>
          </w:p>
        </w:tc>
        <w:tc>
          <w:tcPr>
            <w:tcW w:w="1352" w:type="dxa"/>
            <w:tcBorders>
              <w:top w:val="nil"/>
              <w:left w:val="nil"/>
              <w:bottom w:val="single" w:sz="4" w:space="0" w:color="auto"/>
              <w:right w:val="single" w:sz="4" w:space="0" w:color="auto"/>
            </w:tcBorders>
            <w:shd w:val="clear" w:color="auto" w:fill="auto"/>
            <w:noWrap/>
            <w:vAlign w:val="center"/>
            <w:hideMark/>
          </w:tcPr>
          <w:p w14:paraId="228C1F95"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175</w:t>
            </w:r>
          </w:p>
        </w:tc>
        <w:tc>
          <w:tcPr>
            <w:tcW w:w="1202" w:type="dxa"/>
            <w:tcBorders>
              <w:top w:val="nil"/>
              <w:left w:val="nil"/>
              <w:bottom w:val="single" w:sz="4" w:space="0" w:color="auto"/>
              <w:right w:val="single" w:sz="4" w:space="0" w:color="auto"/>
            </w:tcBorders>
            <w:shd w:val="clear" w:color="auto" w:fill="auto"/>
            <w:noWrap/>
            <w:vAlign w:val="center"/>
            <w:hideMark/>
          </w:tcPr>
          <w:p w14:paraId="74A44C40" w14:textId="6522A529"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862260" w:rsidRPr="00862260">
              <w:rPr>
                <w:rFonts w:ascii="Times New Roman" w:eastAsia="Times New Roman" w:hAnsi="Times New Roman" w:cs="Times New Roman"/>
                <w:color w:val="000000"/>
              </w:rPr>
              <w:t>1%</w:t>
            </w:r>
          </w:p>
        </w:tc>
        <w:tc>
          <w:tcPr>
            <w:tcW w:w="1202" w:type="dxa"/>
            <w:tcBorders>
              <w:top w:val="nil"/>
              <w:left w:val="nil"/>
              <w:bottom w:val="single" w:sz="4" w:space="0" w:color="auto"/>
              <w:right w:val="single" w:sz="4" w:space="0" w:color="auto"/>
            </w:tcBorders>
            <w:shd w:val="clear" w:color="auto" w:fill="auto"/>
            <w:noWrap/>
            <w:vAlign w:val="center"/>
            <w:hideMark/>
          </w:tcPr>
          <w:p w14:paraId="5E0E2B22"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w:t>
            </w:r>
          </w:p>
        </w:tc>
        <w:tc>
          <w:tcPr>
            <w:tcW w:w="1194" w:type="dxa"/>
            <w:tcBorders>
              <w:top w:val="nil"/>
              <w:left w:val="nil"/>
              <w:bottom w:val="single" w:sz="4" w:space="0" w:color="auto"/>
              <w:right w:val="single" w:sz="4" w:space="0" w:color="auto"/>
            </w:tcBorders>
            <w:shd w:val="clear" w:color="auto" w:fill="auto"/>
            <w:noWrap/>
            <w:vAlign w:val="center"/>
            <w:hideMark/>
          </w:tcPr>
          <w:p w14:paraId="6099A92A" w14:textId="2A7496A0"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862260" w:rsidRPr="00862260">
              <w:rPr>
                <w:rFonts w:ascii="Times New Roman" w:eastAsia="Times New Roman" w:hAnsi="Times New Roman" w:cs="Times New Roman"/>
                <w:color w:val="000000"/>
              </w:rPr>
              <w:t>6%</w:t>
            </w:r>
          </w:p>
        </w:tc>
      </w:tr>
      <w:tr w:rsidR="00862260" w:rsidRPr="00862260" w14:paraId="112AF1E8"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F2C165C"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Būvniecības izstrādājumi</w:t>
            </w:r>
          </w:p>
        </w:tc>
        <w:tc>
          <w:tcPr>
            <w:tcW w:w="1351" w:type="dxa"/>
            <w:tcBorders>
              <w:top w:val="nil"/>
              <w:left w:val="nil"/>
              <w:bottom w:val="single" w:sz="4" w:space="0" w:color="auto"/>
              <w:right w:val="single" w:sz="4" w:space="0" w:color="auto"/>
            </w:tcBorders>
            <w:shd w:val="clear" w:color="auto" w:fill="auto"/>
            <w:noWrap/>
            <w:vAlign w:val="center"/>
            <w:hideMark/>
          </w:tcPr>
          <w:p w14:paraId="49629A72"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164</w:t>
            </w:r>
          </w:p>
        </w:tc>
        <w:tc>
          <w:tcPr>
            <w:tcW w:w="1352" w:type="dxa"/>
            <w:tcBorders>
              <w:top w:val="nil"/>
              <w:left w:val="nil"/>
              <w:bottom w:val="single" w:sz="4" w:space="0" w:color="auto"/>
              <w:right w:val="single" w:sz="4" w:space="0" w:color="auto"/>
            </w:tcBorders>
            <w:shd w:val="clear" w:color="auto" w:fill="auto"/>
            <w:noWrap/>
            <w:vAlign w:val="center"/>
            <w:hideMark/>
          </w:tcPr>
          <w:p w14:paraId="66CBDBC8"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147</w:t>
            </w:r>
          </w:p>
        </w:tc>
        <w:tc>
          <w:tcPr>
            <w:tcW w:w="1202" w:type="dxa"/>
            <w:tcBorders>
              <w:top w:val="nil"/>
              <w:left w:val="nil"/>
              <w:bottom w:val="single" w:sz="4" w:space="0" w:color="auto"/>
              <w:right w:val="single" w:sz="4" w:space="0" w:color="auto"/>
            </w:tcBorders>
            <w:shd w:val="clear" w:color="auto" w:fill="auto"/>
            <w:noWrap/>
            <w:vAlign w:val="center"/>
            <w:hideMark/>
          </w:tcPr>
          <w:p w14:paraId="35BB75BA" w14:textId="4176CD47"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862260" w:rsidRPr="00862260">
              <w:rPr>
                <w:rFonts w:ascii="Times New Roman" w:eastAsia="Times New Roman" w:hAnsi="Times New Roman" w:cs="Times New Roman"/>
                <w:color w:val="000000"/>
              </w:rPr>
              <w:t>8%</w:t>
            </w:r>
          </w:p>
        </w:tc>
        <w:tc>
          <w:tcPr>
            <w:tcW w:w="1202" w:type="dxa"/>
            <w:tcBorders>
              <w:top w:val="nil"/>
              <w:left w:val="nil"/>
              <w:bottom w:val="single" w:sz="4" w:space="0" w:color="auto"/>
              <w:right w:val="single" w:sz="4" w:space="0" w:color="auto"/>
            </w:tcBorders>
            <w:shd w:val="clear" w:color="auto" w:fill="auto"/>
            <w:noWrap/>
            <w:vAlign w:val="center"/>
            <w:hideMark/>
          </w:tcPr>
          <w:p w14:paraId="73A033E3"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-18</w:t>
            </w:r>
          </w:p>
        </w:tc>
        <w:tc>
          <w:tcPr>
            <w:tcW w:w="1194" w:type="dxa"/>
            <w:tcBorders>
              <w:top w:val="nil"/>
              <w:left w:val="nil"/>
              <w:bottom w:val="single" w:sz="4" w:space="0" w:color="auto"/>
              <w:right w:val="single" w:sz="4" w:space="0" w:color="auto"/>
            </w:tcBorders>
            <w:shd w:val="clear" w:color="auto" w:fill="auto"/>
            <w:noWrap/>
            <w:vAlign w:val="center"/>
            <w:hideMark/>
          </w:tcPr>
          <w:p w14:paraId="63F38B11" w14:textId="1CF49631"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00862260" w:rsidRPr="00862260">
              <w:rPr>
                <w:rFonts w:ascii="Times New Roman" w:eastAsia="Times New Roman" w:hAnsi="Times New Roman" w:cs="Times New Roman"/>
                <w:color w:val="000000"/>
              </w:rPr>
              <w:t>8%</w:t>
            </w:r>
          </w:p>
        </w:tc>
      </w:tr>
      <w:tr w:rsidR="00862260" w:rsidRPr="00862260" w14:paraId="13A96183" w14:textId="77777777" w:rsidTr="00E90EA4">
        <w:trPr>
          <w:trHeight w:val="316"/>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78F05E2" w14:textId="77777777" w:rsidR="00862260" w:rsidRPr="00862260" w:rsidRDefault="00862260" w:rsidP="00401A5B">
            <w:pPr>
              <w:rPr>
                <w:rFonts w:ascii="Times New Roman" w:eastAsia="Times New Roman" w:hAnsi="Times New Roman" w:cs="Times New Roman"/>
                <w:color w:val="000000"/>
              </w:rPr>
            </w:pPr>
            <w:r w:rsidRPr="00862260">
              <w:rPr>
                <w:rFonts w:ascii="Times New Roman" w:eastAsia="Times New Roman" w:hAnsi="Times New Roman" w:cs="Times New Roman"/>
                <w:color w:val="000000"/>
              </w:rPr>
              <w:t xml:space="preserve">Pārējās preces </w:t>
            </w:r>
          </w:p>
        </w:tc>
        <w:tc>
          <w:tcPr>
            <w:tcW w:w="1351" w:type="dxa"/>
            <w:tcBorders>
              <w:top w:val="nil"/>
              <w:left w:val="nil"/>
              <w:bottom w:val="single" w:sz="4" w:space="0" w:color="auto"/>
              <w:right w:val="single" w:sz="4" w:space="0" w:color="auto"/>
            </w:tcBorders>
            <w:shd w:val="clear" w:color="auto" w:fill="auto"/>
            <w:noWrap/>
            <w:vAlign w:val="center"/>
            <w:hideMark/>
          </w:tcPr>
          <w:p w14:paraId="04E17636"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603</w:t>
            </w:r>
          </w:p>
        </w:tc>
        <w:tc>
          <w:tcPr>
            <w:tcW w:w="1352" w:type="dxa"/>
            <w:tcBorders>
              <w:top w:val="nil"/>
              <w:left w:val="nil"/>
              <w:bottom w:val="single" w:sz="4" w:space="0" w:color="auto"/>
              <w:right w:val="single" w:sz="4" w:space="0" w:color="auto"/>
            </w:tcBorders>
            <w:shd w:val="clear" w:color="auto" w:fill="auto"/>
            <w:noWrap/>
            <w:vAlign w:val="center"/>
            <w:hideMark/>
          </w:tcPr>
          <w:p w14:paraId="5880B78E"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569</w:t>
            </w:r>
          </w:p>
        </w:tc>
        <w:tc>
          <w:tcPr>
            <w:tcW w:w="1202" w:type="dxa"/>
            <w:tcBorders>
              <w:top w:val="nil"/>
              <w:left w:val="nil"/>
              <w:bottom w:val="single" w:sz="4" w:space="0" w:color="auto"/>
              <w:right w:val="single" w:sz="4" w:space="0" w:color="auto"/>
            </w:tcBorders>
            <w:shd w:val="clear" w:color="auto" w:fill="auto"/>
            <w:noWrap/>
            <w:vAlign w:val="center"/>
            <w:hideMark/>
          </w:tcPr>
          <w:p w14:paraId="5D0E966E" w14:textId="2586570E"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00862260" w:rsidRPr="00862260">
              <w:rPr>
                <w:rFonts w:ascii="Times New Roman" w:eastAsia="Times New Roman" w:hAnsi="Times New Roman" w:cs="Times New Roman"/>
                <w:color w:val="000000"/>
              </w:rPr>
              <w:t>9%</w:t>
            </w:r>
          </w:p>
        </w:tc>
        <w:tc>
          <w:tcPr>
            <w:tcW w:w="1202" w:type="dxa"/>
            <w:tcBorders>
              <w:top w:val="nil"/>
              <w:left w:val="nil"/>
              <w:bottom w:val="single" w:sz="4" w:space="0" w:color="auto"/>
              <w:right w:val="single" w:sz="4" w:space="0" w:color="auto"/>
            </w:tcBorders>
            <w:shd w:val="clear" w:color="auto" w:fill="auto"/>
            <w:noWrap/>
            <w:vAlign w:val="center"/>
            <w:hideMark/>
          </w:tcPr>
          <w:p w14:paraId="13ADDD9E" w14:textId="77777777" w:rsidR="00862260" w:rsidRPr="00862260" w:rsidRDefault="00862260" w:rsidP="00401A5B">
            <w:pPr>
              <w:jc w:val="center"/>
              <w:rPr>
                <w:rFonts w:ascii="Times New Roman" w:eastAsia="Times New Roman" w:hAnsi="Times New Roman" w:cs="Times New Roman"/>
                <w:color w:val="000000"/>
              </w:rPr>
            </w:pPr>
            <w:r w:rsidRPr="00862260">
              <w:rPr>
                <w:rFonts w:ascii="Times New Roman" w:eastAsia="Times New Roman" w:hAnsi="Times New Roman" w:cs="Times New Roman"/>
                <w:color w:val="000000"/>
              </w:rPr>
              <w:t>-33</w:t>
            </w:r>
          </w:p>
        </w:tc>
        <w:tc>
          <w:tcPr>
            <w:tcW w:w="1194" w:type="dxa"/>
            <w:tcBorders>
              <w:top w:val="nil"/>
              <w:left w:val="nil"/>
              <w:bottom w:val="single" w:sz="4" w:space="0" w:color="auto"/>
              <w:right w:val="single" w:sz="4" w:space="0" w:color="auto"/>
            </w:tcBorders>
            <w:shd w:val="clear" w:color="auto" w:fill="auto"/>
            <w:noWrap/>
            <w:vAlign w:val="center"/>
            <w:hideMark/>
          </w:tcPr>
          <w:p w14:paraId="101BC035" w14:textId="1741E846" w:rsidR="00862260" w:rsidRPr="00862260" w:rsidRDefault="00E90EA4" w:rsidP="00401A5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862260" w:rsidRPr="00862260">
              <w:rPr>
                <w:rFonts w:ascii="Times New Roman" w:eastAsia="Times New Roman" w:hAnsi="Times New Roman" w:cs="Times New Roman"/>
                <w:color w:val="000000"/>
              </w:rPr>
              <w:t>5%</w:t>
            </w:r>
          </w:p>
        </w:tc>
      </w:tr>
      <w:tr w:rsidR="00862260" w:rsidRPr="00862260" w14:paraId="71C91A0D" w14:textId="77777777" w:rsidTr="00E90EA4">
        <w:trPr>
          <w:trHeight w:val="301"/>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40E912A" w14:textId="77777777" w:rsidR="00862260" w:rsidRPr="00862260" w:rsidRDefault="00862260" w:rsidP="00401A5B">
            <w:pP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Kopējais preču imports</w:t>
            </w:r>
          </w:p>
        </w:tc>
        <w:tc>
          <w:tcPr>
            <w:tcW w:w="1351" w:type="dxa"/>
            <w:tcBorders>
              <w:top w:val="nil"/>
              <w:left w:val="nil"/>
              <w:bottom w:val="single" w:sz="4" w:space="0" w:color="auto"/>
              <w:right w:val="single" w:sz="4" w:space="0" w:color="auto"/>
            </w:tcBorders>
            <w:shd w:val="clear" w:color="auto" w:fill="auto"/>
            <w:noWrap/>
            <w:vAlign w:val="center"/>
            <w:hideMark/>
          </w:tcPr>
          <w:p w14:paraId="1DE3E967"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9188</w:t>
            </w:r>
          </w:p>
        </w:tc>
        <w:tc>
          <w:tcPr>
            <w:tcW w:w="1352" w:type="dxa"/>
            <w:tcBorders>
              <w:top w:val="nil"/>
              <w:left w:val="nil"/>
              <w:bottom w:val="single" w:sz="4" w:space="0" w:color="auto"/>
              <w:right w:val="single" w:sz="4" w:space="0" w:color="auto"/>
            </w:tcBorders>
            <w:shd w:val="clear" w:color="auto" w:fill="auto"/>
            <w:noWrap/>
            <w:vAlign w:val="center"/>
            <w:hideMark/>
          </w:tcPr>
          <w:p w14:paraId="4B7DD288"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8201</w:t>
            </w:r>
          </w:p>
        </w:tc>
        <w:tc>
          <w:tcPr>
            <w:tcW w:w="1202" w:type="dxa"/>
            <w:tcBorders>
              <w:top w:val="nil"/>
              <w:left w:val="nil"/>
              <w:bottom w:val="single" w:sz="4" w:space="0" w:color="auto"/>
              <w:right w:val="single" w:sz="4" w:space="0" w:color="auto"/>
            </w:tcBorders>
            <w:shd w:val="clear" w:color="auto" w:fill="auto"/>
            <w:noWrap/>
            <w:vAlign w:val="center"/>
            <w:hideMark/>
          </w:tcPr>
          <w:p w14:paraId="35029B80" w14:textId="32AB60B4" w:rsidR="00862260" w:rsidRPr="00862260" w:rsidRDefault="00E90EA4" w:rsidP="00401A5B">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100,</w:t>
            </w:r>
            <w:r w:rsidR="00862260" w:rsidRPr="00862260">
              <w:rPr>
                <w:rFonts w:ascii="Times New Roman" w:eastAsia="Times New Roman" w:hAnsi="Times New Roman" w:cs="Times New Roman"/>
                <w:b/>
                <w:color w:val="000000"/>
              </w:rPr>
              <w:t>0%</w:t>
            </w:r>
          </w:p>
        </w:tc>
        <w:tc>
          <w:tcPr>
            <w:tcW w:w="1202" w:type="dxa"/>
            <w:tcBorders>
              <w:top w:val="nil"/>
              <w:left w:val="nil"/>
              <w:bottom w:val="single" w:sz="4" w:space="0" w:color="auto"/>
              <w:right w:val="single" w:sz="4" w:space="0" w:color="auto"/>
            </w:tcBorders>
            <w:shd w:val="clear" w:color="auto" w:fill="auto"/>
            <w:noWrap/>
            <w:vAlign w:val="center"/>
            <w:hideMark/>
          </w:tcPr>
          <w:p w14:paraId="40144D26" w14:textId="77777777" w:rsidR="00862260" w:rsidRPr="00862260" w:rsidRDefault="00862260" w:rsidP="00401A5B">
            <w:pPr>
              <w:jc w:val="center"/>
              <w:rPr>
                <w:rFonts w:ascii="Times New Roman" w:eastAsia="Times New Roman" w:hAnsi="Times New Roman" w:cs="Times New Roman"/>
                <w:b/>
                <w:color w:val="000000"/>
              </w:rPr>
            </w:pPr>
            <w:r w:rsidRPr="00862260">
              <w:rPr>
                <w:rFonts w:ascii="Times New Roman" w:eastAsia="Times New Roman" w:hAnsi="Times New Roman" w:cs="Times New Roman"/>
                <w:b/>
                <w:color w:val="000000"/>
              </w:rPr>
              <w:t>-987</w:t>
            </w:r>
          </w:p>
        </w:tc>
        <w:tc>
          <w:tcPr>
            <w:tcW w:w="1194" w:type="dxa"/>
            <w:tcBorders>
              <w:top w:val="nil"/>
              <w:left w:val="nil"/>
              <w:bottom w:val="single" w:sz="4" w:space="0" w:color="auto"/>
              <w:right w:val="single" w:sz="4" w:space="0" w:color="auto"/>
            </w:tcBorders>
            <w:shd w:val="clear" w:color="auto" w:fill="auto"/>
            <w:noWrap/>
            <w:vAlign w:val="center"/>
            <w:hideMark/>
          </w:tcPr>
          <w:p w14:paraId="65E087DD" w14:textId="77E0FE17" w:rsidR="00862260" w:rsidRPr="00862260" w:rsidRDefault="00E90EA4" w:rsidP="00401A5B">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r w:rsidR="00862260" w:rsidRPr="00862260">
              <w:rPr>
                <w:rFonts w:ascii="Times New Roman" w:eastAsia="Times New Roman" w:hAnsi="Times New Roman" w:cs="Times New Roman"/>
                <w:b/>
                <w:color w:val="000000"/>
              </w:rPr>
              <w:t>7%</w:t>
            </w:r>
          </w:p>
        </w:tc>
      </w:tr>
    </w:tbl>
    <w:p w14:paraId="4AF94CB9" w14:textId="77777777" w:rsidR="00862260" w:rsidRPr="00862260" w:rsidRDefault="00862260" w:rsidP="00401A5B">
      <w:pPr>
        <w:jc w:val="both"/>
        <w:rPr>
          <w:rFonts w:ascii="Times New Roman" w:eastAsiaTheme="minorHAnsi" w:hAnsi="Times New Roman" w:cs="Times New Roman"/>
          <w:sz w:val="28"/>
          <w:szCs w:val="20"/>
          <w:lang w:eastAsia="en-US"/>
        </w:rPr>
      </w:pPr>
    </w:p>
    <w:p w14:paraId="5901338A" w14:textId="2AE4148F"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Nozīmīga pandēmijas negatīvā ietekme redzama arī </w:t>
      </w:r>
      <w:r w:rsidRPr="00E90EA4">
        <w:rPr>
          <w:rFonts w:ascii="Times New Roman" w:eastAsiaTheme="minorHAnsi" w:hAnsi="Times New Roman" w:cs="Times New Roman"/>
          <w:sz w:val="28"/>
          <w:szCs w:val="20"/>
          <w:lang w:eastAsia="en-US"/>
        </w:rPr>
        <w:t>pakalpojumu importā</w:t>
      </w:r>
      <w:r w:rsidRPr="00862260">
        <w:rPr>
          <w:rFonts w:ascii="Times New Roman" w:eastAsiaTheme="minorHAnsi" w:hAnsi="Times New Roman" w:cs="Times New Roman"/>
          <w:sz w:val="28"/>
          <w:szCs w:val="20"/>
          <w:lang w:eastAsia="en-US"/>
        </w:rPr>
        <w:t xml:space="preserve">, jo pakalpojumu importa vērtība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septiņos mēnešos samazinājās par 19,3% salīdzinājumā ar pērnā gada attiecīgo periodu. Uz Covid-19 pandēmijas radīto krīzi ātrāk ir reaģējis transporta pakalpojumu imports un Latvijas iedzīvotāju tēriņi ārvalstīs. Šo pakalpojumu importa vērtība samazinājās attiecīgi par 25,5% un 45,5%. Savukārt pārējo pakalpojumu imports samazinājās par 3,9%.</w:t>
      </w:r>
    </w:p>
    <w:p w14:paraId="1E232946" w14:textId="651744D9"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Covid-19 pandēmijas izraisītās sekas ietekmēja arī Latvijas </w:t>
      </w:r>
      <w:r w:rsidRPr="00E90EA4">
        <w:rPr>
          <w:rFonts w:ascii="Times New Roman" w:eastAsiaTheme="minorHAnsi" w:hAnsi="Times New Roman" w:cs="Times New Roman"/>
          <w:sz w:val="28"/>
          <w:szCs w:val="20"/>
          <w:lang w:eastAsia="en-US"/>
        </w:rPr>
        <w:t>maksājumu bilances tekošo kontu.</w:t>
      </w:r>
      <w:r w:rsidRPr="00862260">
        <w:rPr>
          <w:rFonts w:ascii="Times New Roman" w:eastAsiaTheme="minorHAnsi" w:hAnsi="Times New Roman" w:cs="Times New Roman"/>
          <w:b/>
          <w:sz w:val="28"/>
          <w:szCs w:val="20"/>
          <w:lang w:eastAsia="en-US"/>
        </w:rPr>
        <w:t xml:space="preserve">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pirmajos septiņos mēnešos tekošajā kontā bija fiksēts pārpalikums 292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apmērā pretstatā 346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pārpalikumam 2019.gada septiņos mēnešos. Izmaiņas ir fiksētas visos tekošā konta apakškontos, tomēr noteicošo lomu pārpalikuma pieaugumā nodrošināja izmaiņas preču kontā. Preču importa vērtībai samazinoties straujāk par preču eksportu, preču konta deficīts samazinājies no 1639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2019.gada septiņos mēnešos līdz 1029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septiņos mēnešos. </w:t>
      </w:r>
    </w:p>
    <w:p w14:paraId="45F32ABC" w14:textId="5D2FD38E" w:rsid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Savukārt pakalpojumu kontā vērojama pretēja situācija. Pakalpojumu eksports ir samazinājies straujāk par importu, tādējādi konta pārpalikums saruka par 271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līdz 1089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Tomēr kopumā ārējās tirdzniecības bilance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septiņos mēnešos bija pozitīva un pakalpojumu konta pārpalikums bija par 60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lielāks nekā preču konta defi</w:t>
      </w:r>
      <w:r w:rsidR="00E90EA4">
        <w:rPr>
          <w:rFonts w:ascii="Times New Roman" w:eastAsiaTheme="minorHAnsi" w:hAnsi="Times New Roman" w:cs="Times New Roman"/>
          <w:sz w:val="28"/>
          <w:szCs w:val="20"/>
          <w:lang w:eastAsia="en-US"/>
        </w:rPr>
        <w:t>cīts (skat. 1.40.att.).</w:t>
      </w:r>
    </w:p>
    <w:p w14:paraId="5F63B1D5" w14:textId="77777777" w:rsidR="00E90EA4" w:rsidRPr="00862260" w:rsidRDefault="00E90EA4" w:rsidP="00401A5B">
      <w:pPr>
        <w:ind w:firstLine="720"/>
        <w:jc w:val="both"/>
        <w:rPr>
          <w:rFonts w:ascii="Times New Roman" w:eastAsiaTheme="minorHAnsi" w:hAnsi="Times New Roman" w:cs="Times New Roman"/>
          <w:sz w:val="28"/>
          <w:szCs w:val="20"/>
          <w:lang w:eastAsia="en-US"/>
        </w:rPr>
      </w:pPr>
    </w:p>
    <w:p w14:paraId="1CBB5301" w14:textId="77777777" w:rsidR="00862260" w:rsidRPr="00862260" w:rsidRDefault="00862260" w:rsidP="00401A5B">
      <w:pPr>
        <w:jc w:val="center"/>
        <w:rPr>
          <w:rFonts w:ascii="Times New Roman" w:eastAsiaTheme="minorHAnsi" w:hAnsi="Times New Roman" w:cs="Times New Roman"/>
          <w:sz w:val="28"/>
          <w:szCs w:val="20"/>
          <w:lang w:eastAsia="en-US"/>
        </w:rPr>
      </w:pPr>
      <w:r w:rsidRPr="00862260">
        <w:rPr>
          <w:rFonts w:ascii="Times New Roman" w:eastAsiaTheme="minorHAnsi" w:hAnsi="Times New Roman" w:cs="Times New Roman"/>
          <w:noProof/>
          <w:sz w:val="24"/>
          <w:szCs w:val="24"/>
        </w:rPr>
        <w:drawing>
          <wp:inline distT="0" distB="0" distL="0" distR="0" wp14:anchorId="37C8519E" wp14:editId="2A382AE4">
            <wp:extent cx="5274310" cy="3133725"/>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96C05A2" w14:textId="3DAE4CA1" w:rsidR="00862260" w:rsidRPr="00862260" w:rsidRDefault="00E90EA4" w:rsidP="00401A5B">
      <w:pPr>
        <w:jc w:val="center"/>
        <w:rPr>
          <w:rFonts w:ascii="Times New Roman" w:eastAsiaTheme="minorHAnsi" w:hAnsi="Times New Roman" w:cs="Times New Roman"/>
          <w:b/>
          <w:i/>
          <w:sz w:val="24"/>
          <w:szCs w:val="20"/>
          <w:lang w:eastAsia="en-US"/>
        </w:rPr>
      </w:pPr>
      <w:r>
        <w:rPr>
          <w:rFonts w:ascii="Times New Roman" w:eastAsiaTheme="minorHAnsi" w:hAnsi="Times New Roman" w:cs="Times New Roman"/>
          <w:b/>
          <w:i/>
          <w:color w:val="000000" w:themeColor="text1"/>
          <w:sz w:val="24"/>
          <w:szCs w:val="20"/>
          <w:lang w:eastAsia="en-US"/>
        </w:rPr>
        <w:t>1.40.</w:t>
      </w:r>
      <w:r w:rsidR="00862260" w:rsidRPr="00862260">
        <w:rPr>
          <w:rFonts w:ascii="Times New Roman" w:eastAsiaTheme="minorHAnsi" w:hAnsi="Times New Roman" w:cs="Times New Roman"/>
          <w:b/>
          <w:i/>
          <w:color w:val="000000" w:themeColor="text1"/>
          <w:sz w:val="24"/>
          <w:szCs w:val="20"/>
          <w:lang w:eastAsia="en-US"/>
        </w:rPr>
        <w:t xml:space="preserve">att. </w:t>
      </w:r>
      <w:r w:rsidR="00862260" w:rsidRPr="00862260">
        <w:rPr>
          <w:rFonts w:ascii="Times New Roman" w:eastAsiaTheme="minorHAnsi" w:hAnsi="Times New Roman" w:cs="Times New Roman"/>
          <w:b/>
          <w:i/>
          <w:sz w:val="24"/>
          <w:szCs w:val="20"/>
          <w:lang w:eastAsia="en-US"/>
        </w:rPr>
        <w:t>Latvijas maksājumu bilances tekošā konta komponentes (milj. euro) un tekošais konts procentos no IKP (labā ass)</w:t>
      </w:r>
    </w:p>
    <w:p w14:paraId="20210181" w14:textId="77777777" w:rsidR="00862260" w:rsidRPr="00862260" w:rsidRDefault="00862260" w:rsidP="00401A5B">
      <w:pPr>
        <w:ind w:firstLine="720"/>
        <w:jc w:val="both"/>
        <w:rPr>
          <w:rFonts w:ascii="Times New Roman" w:eastAsiaTheme="minorHAnsi" w:hAnsi="Times New Roman" w:cs="Times New Roman"/>
          <w:sz w:val="28"/>
          <w:szCs w:val="20"/>
          <w:lang w:eastAsia="en-US"/>
        </w:rPr>
      </w:pPr>
    </w:p>
    <w:p w14:paraId="2D4369B0" w14:textId="45611FE4" w:rsidR="00862260" w:rsidRPr="00862260" w:rsidRDefault="00862260" w:rsidP="00401A5B">
      <w:pPr>
        <w:ind w:firstLine="720"/>
        <w:jc w:val="both"/>
        <w:rPr>
          <w:rFonts w:ascii="Times New Roman" w:eastAsiaTheme="minorHAnsi" w:hAnsi="Times New Roman" w:cs="Times New Roman"/>
          <w:sz w:val="28"/>
          <w:szCs w:val="20"/>
          <w:lang w:eastAsia="en-US"/>
        </w:rPr>
      </w:pPr>
      <w:r w:rsidRPr="00862260">
        <w:rPr>
          <w:rFonts w:ascii="Times New Roman" w:eastAsiaTheme="minorHAnsi" w:hAnsi="Times New Roman" w:cs="Times New Roman"/>
          <w:sz w:val="28"/>
          <w:szCs w:val="20"/>
          <w:lang w:eastAsia="en-US"/>
        </w:rPr>
        <w:t xml:space="preserve">Sākotnējo ienākumu konta deficīts ir samazinājies par 314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līdz 29 milj. </w:t>
      </w:r>
      <w:r w:rsidRPr="00862260">
        <w:rPr>
          <w:rFonts w:ascii="Times New Roman" w:eastAsiaTheme="minorHAnsi" w:hAnsi="Times New Roman" w:cs="Times New Roman"/>
          <w:i/>
          <w:sz w:val="28"/>
          <w:szCs w:val="20"/>
          <w:lang w:eastAsia="en-US"/>
        </w:rPr>
        <w:t xml:space="preserve">euro </w:t>
      </w:r>
      <w:r w:rsidR="00E90EA4">
        <w:rPr>
          <w:rFonts w:ascii="Times New Roman" w:eastAsiaTheme="minorHAnsi" w:hAnsi="Times New Roman" w:cs="Times New Roman"/>
          <w:sz w:val="28"/>
          <w:szCs w:val="20"/>
          <w:lang w:eastAsia="en-US"/>
        </w:rPr>
        <w:t>šā gada</w:t>
      </w:r>
      <w:r w:rsidRPr="00862260">
        <w:rPr>
          <w:rFonts w:ascii="Times New Roman" w:eastAsiaTheme="minorHAnsi" w:hAnsi="Times New Roman" w:cs="Times New Roman"/>
          <w:sz w:val="28"/>
          <w:szCs w:val="20"/>
          <w:lang w:eastAsia="en-US"/>
        </w:rPr>
        <w:t xml:space="preserve"> septiņos mēnešos, ko lielā mērā noteica zemāks izmaksāto dividenžu apjoms ārvalstu investoriem. Savukārt otrreizējo ienākumu konta bilances izmaiņas bija nebūtiskas, jo pārpalikums samazinājies vien par 8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xml:space="preserve"> līdz 265 milj. </w:t>
      </w:r>
      <w:r w:rsidRPr="00862260">
        <w:rPr>
          <w:rFonts w:ascii="Times New Roman" w:eastAsiaTheme="minorHAnsi" w:hAnsi="Times New Roman" w:cs="Times New Roman"/>
          <w:i/>
          <w:sz w:val="28"/>
          <w:szCs w:val="20"/>
          <w:lang w:eastAsia="en-US"/>
        </w:rPr>
        <w:t>euro</w:t>
      </w:r>
      <w:r w:rsidRPr="00862260">
        <w:rPr>
          <w:rFonts w:ascii="Times New Roman" w:eastAsiaTheme="minorHAnsi" w:hAnsi="Times New Roman" w:cs="Times New Roman"/>
          <w:sz w:val="28"/>
          <w:szCs w:val="20"/>
          <w:lang w:eastAsia="en-US"/>
        </w:rPr>
        <w:t>, ko galvenokārt ietekmēja augstākas Latvijas iemaksas ES budžetā. Tomēr ES fondu investīciju plūsma un mājsaimniecību un uzņēmumu rezidentu naudas pārvedumi no ārvalstīm nodrošināja lielāko pārpalikuma apjomu šajā kontā.</w:t>
      </w:r>
    </w:p>
    <w:p w14:paraId="57CC3B58" w14:textId="77777777" w:rsidR="003F3FCD" w:rsidRDefault="003F3FCD" w:rsidP="00401A5B">
      <w:pPr>
        <w:widowControl w:val="0"/>
        <w:ind w:firstLine="720"/>
        <w:jc w:val="both"/>
        <w:rPr>
          <w:rFonts w:ascii="Times New Roman" w:eastAsia="Times New Roman" w:hAnsi="Times New Roman" w:cs="Times New Roman"/>
          <w:sz w:val="28"/>
        </w:rPr>
      </w:pPr>
    </w:p>
    <w:p w14:paraId="510D7104" w14:textId="7E968E3C" w:rsidR="003F3FCD" w:rsidRPr="00DA117B" w:rsidRDefault="000548A5" w:rsidP="00DA117B">
      <w:pPr>
        <w:pStyle w:val="NoSpacing"/>
        <w:jc w:val="center"/>
        <w:rPr>
          <w:rFonts w:ascii="Times New Roman" w:hAnsi="Times New Roman" w:cs="Times New Roman"/>
          <w:b/>
          <w:sz w:val="28"/>
        </w:rPr>
      </w:pPr>
      <w:r w:rsidRPr="00DA117B">
        <w:rPr>
          <w:rFonts w:ascii="Times New Roman" w:hAnsi="Times New Roman" w:cs="Times New Roman"/>
          <w:b/>
          <w:sz w:val="28"/>
        </w:rPr>
        <w:t>Investīcijas</w:t>
      </w:r>
    </w:p>
    <w:p w14:paraId="0BB57C53" w14:textId="77777777" w:rsidR="003F3FCD" w:rsidRDefault="003F3FCD" w:rsidP="00401A5B">
      <w:pPr>
        <w:widowControl w:val="0"/>
        <w:ind w:firstLine="720"/>
        <w:jc w:val="both"/>
        <w:rPr>
          <w:rFonts w:ascii="Times New Roman" w:eastAsia="Times New Roman" w:hAnsi="Times New Roman" w:cs="Times New Roman"/>
          <w:sz w:val="24"/>
        </w:rPr>
      </w:pPr>
    </w:p>
    <w:p w14:paraId="36AF1B05" w14:textId="77777777"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 xml:space="preserve">2019.gadā bruto pamatkapitāla veidošana jeb investīcijas uzrādīja pieaugumu. Tomēr salīdzinājumā ar iepriekšējiem diviem gadiem investīciju kāpumu drīzāk var uzskatīt par simbolisku, jo gada laikā tās palielinājās tikai par 2,1% salīdzināmajās cenās, kamēr 2017.gadā un 2018.gadā investīciju pieaugums veidoja attiecīgi 11,4% un 11,8%. Investīciju pieauguma tempa piebremzēšanās saistīta galvenokārt ar zemāku būvniecības aktivitāti, uz ko norāda vājāka būvniecības nozares izaugsme 2019.gadā. Investīciju kāpums 2019.gadā bija līdzvērtīgs IKP izaugsmei, nodrošinot 0,7 procentpunktus reālā IKP pieaugumā. Kopējais investīciju apjoms pērn salīdzināmajās cenās bija 6266 milj. </w:t>
      </w:r>
      <w:r w:rsidRPr="00E90EA4">
        <w:rPr>
          <w:rFonts w:ascii="Times New Roman" w:eastAsiaTheme="minorHAnsi" w:hAnsi="Times New Roman" w:cs="Times New Roman"/>
          <w:i/>
          <w:sz w:val="28"/>
          <w:szCs w:val="20"/>
          <w:lang w:eastAsia="en-US"/>
        </w:rPr>
        <w:t>euro</w:t>
      </w:r>
      <w:r w:rsidRPr="00E90EA4">
        <w:rPr>
          <w:rFonts w:ascii="Times New Roman" w:eastAsiaTheme="minorHAnsi" w:hAnsi="Times New Roman" w:cs="Times New Roman"/>
          <w:sz w:val="28"/>
          <w:szCs w:val="20"/>
          <w:lang w:eastAsia="en-US"/>
        </w:rPr>
        <w:t>, tādējādi investīciju īpatsvars reālajā IKP saglabājās 22,7% apmērā.</w:t>
      </w:r>
    </w:p>
    <w:p w14:paraId="76AC6E0C" w14:textId="77777777"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 xml:space="preserve">Būtiska loma investīciju pieaugumā pēdējos gados bija ES fondu investīcijām. Valsts budžeta izdevumi ES fondu investīciju projektiem 2019.gadā bija 712 milj. </w:t>
      </w:r>
      <w:r w:rsidRPr="00E90EA4">
        <w:rPr>
          <w:rFonts w:ascii="Times New Roman" w:eastAsiaTheme="minorHAnsi" w:hAnsi="Times New Roman" w:cs="Times New Roman"/>
          <w:i/>
          <w:sz w:val="28"/>
          <w:szCs w:val="20"/>
          <w:lang w:eastAsia="en-US"/>
        </w:rPr>
        <w:t>euro</w:t>
      </w:r>
      <w:r w:rsidRPr="00E90EA4">
        <w:rPr>
          <w:rFonts w:ascii="Times New Roman" w:eastAsiaTheme="minorHAnsi" w:hAnsi="Times New Roman" w:cs="Times New Roman"/>
          <w:sz w:val="28"/>
          <w:szCs w:val="20"/>
          <w:lang w:eastAsia="en-US"/>
        </w:rPr>
        <w:t xml:space="preserve">, no tiem 350 milj. </w:t>
      </w:r>
      <w:r w:rsidRPr="00E90EA4">
        <w:rPr>
          <w:rFonts w:ascii="Times New Roman" w:eastAsiaTheme="minorHAnsi" w:hAnsi="Times New Roman" w:cs="Times New Roman"/>
          <w:i/>
          <w:sz w:val="28"/>
          <w:szCs w:val="20"/>
          <w:lang w:eastAsia="en-US"/>
        </w:rPr>
        <w:t>euro</w:t>
      </w:r>
      <w:r w:rsidRPr="00E90EA4">
        <w:rPr>
          <w:rFonts w:ascii="Times New Roman" w:eastAsiaTheme="minorHAnsi" w:hAnsi="Times New Roman" w:cs="Times New Roman"/>
          <w:sz w:val="28"/>
          <w:szCs w:val="20"/>
          <w:lang w:eastAsia="en-US"/>
        </w:rPr>
        <w:t xml:space="preserve"> bija kapitālie izdevumi jeb investīcijas, kas tiešā veidā ietekmē bruto pamatkapitāla veidošanu. Tomēr gan kopējie valsts budžeta izdevumi ES fondu investīciju projektiem, gan kapitālie izdevumi 2019.gadā praktiski bija iepriekšējā gada līmenī, tādējādi neradot papildus stimulu straujākam investīciju pieaugumam tautsaimniecībā kopumā. Ņemot vērā aktuālākās prognozes, sagaidāms, kā arī 2020.gadā valsts budžeta izdevumi ES fondu investīciju projektiem būs aptuveni iepriekšējā gada līmenī.</w:t>
      </w:r>
    </w:p>
    <w:p w14:paraId="5006BD64" w14:textId="60271753"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 xml:space="preserve">Par spīti būtiskam ekonomikas aktivitātes kritumam 2020.gada pirmajā </w:t>
      </w:r>
      <w:r>
        <w:rPr>
          <w:rFonts w:ascii="Times New Roman" w:eastAsiaTheme="minorHAnsi" w:hAnsi="Times New Roman" w:cs="Times New Roman"/>
          <w:sz w:val="28"/>
          <w:szCs w:val="20"/>
          <w:lang w:eastAsia="en-US"/>
        </w:rPr>
        <w:t xml:space="preserve">pusgadā </w:t>
      </w:r>
      <w:r w:rsidRPr="00E90EA4">
        <w:rPr>
          <w:rFonts w:ascii="Times New Roman" w:eastAsiaTheme="minorHAnsi" w:hAnsi="Times New Roman" w:cs="Times New Roman"/>
          <w:sz w:val="28"/>
          <w:szCs w:val="20"/>
          <w:lang w:eastAsia="en-US"/>
        </w:rPr>
        <w:t>IKP samazinājās par 5,2% salīdzinājumā ar pērnā gada attiecīgo periodu), investīciju apjoms praktiski saglabājās iepriekšējā gada līmenī. Br</w:t>
      </w:r>
      <w:r>
        <w:rPr>
          <w:rFonts w:ascii="Times New Roman" w:eastAsiaTheme="minorHAnsi" w:hAnsi="Times New Roman" w:cs="Times New Roman"/>
          <w:sz w:val="28"/>
          <w:szCs w:val="20"/>
          <w:lang w:eastAsia="en-US"/>
        </w:rPr>
        <w:t>uto pamatkapitāla veidošana šā gada</w:t>
      </w:r>
      <w:r w:rsidRPr="00E90EA4">
        <w:rPr>
          <w:rFonts w:ascii="Times New Roman" w:eastAsiaTheme="minorHAnsi" w:hAnsi="Times New Roman" w:cs="Times New Roman"/>
          <w:sz w:val="28"/>
          <w:szCs w:val="20"/>
          <w:lang w:eastAsia="en-US"/>
        </w:rPr>
        <w:t xml:space="preserve"> pirmajā pusē bija 2629 milj. </w:t>
      </w:r>
      <w:r w:rsidRPr="00E90EA4">
        <w:rPr>
          <w:rFonts w:ascii="Times New Roman" w:eastAsiaTheme="minorHAnsi" w:hAnsi="Times New Roman" w:cs="Times New Roman"/>
          <w:i/>
          <w:sz w:val="28"/>
          <w:szCs w:val="20"/>
          <w:lang w:eastAsia="en-US"/>
        </w:rPr>
        <w:t>euro</w:t>
      </w:r>
      <w:r w:rsidRPr="00E90EA4">
        <w:rPr>
          <w:rFonts w:ascii="Times New Roman" w:eastAsiaTheme="minorHAnsi" w:hAnsi="Times New Roman" w:cs="Times New Roman"/>
          <w:sz w:val="28"/>
          <w:szCs w:val="20"/>
          <w:lang w:eastAsia="en-US"/>
        </w:rPr>
        <w:t xml:space="preserve"> apmērā, kas bija par 0,6% mazāk nekā 2019.gada pirmajā pusgadā. Tādējādi jāsecina, ka Covid-19 negatīvā ietekme uz investīciju aktivitāti bija būtiski zemāka nekā uz privāto patēriņu vai ārējo tirdzniecību.</w:t>
      </w:r>
    </w:p>
    <w:p w14:paraId="2D9C890F" w14:textId="77777777"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Tradicionāli, investīciju aktivitāte ir vairāk svārstīga nekā IKP vidējās izmaiņas. Papildus tam, investīcijas ir tā IKP komponente, kas vairāk pakļauta biznesa ciklam. Tā kā Covid-19 krīze nav saistīta ar biznesa ciklu kā tādu, tad mājsaimniecību un uzņēmēju rīcība attiecībā uz uzkrājumiem un investīcijām varētu būt atšķirīgāka nekā iepriekšējās finanšu un ekonomikas krīzēs. Tajā pašā laikā, šīs krīzes negatīvā ietekme uz ekonomiku iezīmējās tikai otrajā ceturksnī un gadījumā, ja epidemioloģiskā situācija saistībā ar kononorvīrusa izplatību Latvijā, Eiropā un pārējos pasaules reģionos vēl ilgāku laika saglabāsies nestabila, tad š.g. otrajā pusgadā investīciju kritums varētu pastiprināties.</w:t>
      </w:r>
    </w:p>
    <w:p w14:paraId="6942D538" w14:textId="57DA86FD"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Kopumā</w:t>
      </w:r>
      <w:r>
        <w:rPr>
          <w:rFonts w:ascii="Times New Roman" w:eastAsiaTheme="minorHAnsi" w:hAnsi="Times New Roman" w:cs="Times New Roman"/>
          <w:sz w:val="28"/>
          <w:szCs w:val="20"/>
          <w:lang w:eastAsia="en-US"/>
        </w:rPr>
        <w:t xml:space="preserve"> investīciju apjoms Latvijā šā gada</w:t>
      </w:r>
      <w:r w:rsidRPr="00E90EA4">
        <w:rPr>
          <w:rFonts w:ascii="Times New Roman" w:eastAsiaTheme="minorHAnsi" w:hAnsi="Times New Roman" w:cs="Times New Roman"/>
          <w:sz w:val="28"/>
          <w:szCs w:val="20"/>
          <w:lang w:eastAsia="en-US"/>
        </w:rPr>
        <w:t xml:space="preserve"> pirmajā ceturksnī palielinājās par 4,7%, bet otrajā ceturksnī samazinājās par 4,9% salīdzinājumā ar pērnā gada </w:t>
      </w:r>
      <w:r w:rsidR="001C58DD">
        <w:rPr>
          <w:rFonts w:ascii="Times New Roman" w:eastAsiaTheme="minorHAnsi" w:hAnsi="Times New Roman" w:cs="Times New Roman"/>
          <w:color w:val="000000" w:themeColor="text1"/>
          <w:sz w:val="28"/>
          <w:szCs w:val="20"/>
          <w:lang w:eastAsia="en-US"/>
        </w:rPr>
        <w:t>attiecīgo periodu. Ja šā gada</w:t>
      </w:r>
      <w:r w:rsidRPr="00E90EA4">
        <w:rPr>
          <w:rFonts w:ascii="Times New Roman" w:eastAsiaTheme="minorHAnsi" w:hAnsi="Times New Roman" w:cs="Times New Roman"/>
          <w:color w:val="000000" w:themeColor="text1"/>
          <w:sz w:val="28"/>
          <w:szCs w:val="20"/>
          <w:lang w:eastAsia="en-US"/>
        </w:rPr>
        <w:t xml:space="preserve"> pirmajā ceturksnī  investīciju kāpumu veicināja būvniecības attīstība, tad kritumu otrajā ceturksnī noteica būtisks investīciju samazinājums iekārtās un </w:t>
      </w:r>
      <w:r w:rsidRPr="00E90EA4">
        <w:rPr>
          <w:rFonts w:ascii="Times New Roman" w:eastAsiaTheme="minorHAnsi" w:hAnsi="Times New Roman" w:cs="Times New Roman"/>
          <w:sz w:val="28"/>
          <w:szCs w:val="20"/>
          <w:lang w:eastAsia="en-US"/>
        </w:rPr>
        <w:t>mašīnās.</w:t>
      </w:r>
    </w:p>
    <w:p w14:paraId="43FABE34" w14:textId="77777777"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Investīcijas biroju, mājokļu, noliktavu un citu ēku būvniecībā, kā arī jau esošo ēku un būvju renovācijā joprojām saglabājas kā galvenais investīciju veids. 2020.gada pirmajā pusgadā investīcijas ēkās un būvēs veidoja 52,3% no kopējām investīcijām un salīdzinājumā ar pērnā gada pirmo pusi palielinājās par 3,1% salīdzināmajās cenās. Pateicoties labvēlīgiem laika apstākļiem gada sākumā un realizētajiem būvniecības objektiem gan privātajā, gan sabiedriskajā sektorā, būvniecības produkcijas apjoms palielinājās par 5,5% salīdzinājumā ar iepriekšējā gada pirmo pusgadu pēc kalendāri izlīdzinātiem datiem.</w:t>
      </w:r>
    </w:p>
    <w:p w14:paraId="055FAA36" w14:textId="77777777" w:rsidR="00E90EA4" w:rsidRPr="00E90EA4" w:rsidRDefault="00E90EA4" w:rsidP="00401A5B">
      <w:pPr>
        <w:ind w:firstLine="720"/>
        <w:jc w:val="both"/>
        <w:rPr>
          <w:rFonts w:ascii="Times New Roman" w:eastAsiaTheme="minorHAnsi" w:hAnsi="Times New Roman" w:cs="Times New Roman"/>
          <w:sz w:val="28"/>
          <w:szCs w:val="28"/>
          <w:lang w:eastAsia="en-US"/>
        </w:rPr>
      </w:pPr>
      <w:r w:rsidRPr="00E90EA4">
        <w:rPr>
          <w:rFonts w:ascii="Times New Roman" w:eastAsiaTheme="minorHAnsi" w:hAnsi="Times New Roman" w:cs="Times New Roman"/>
          <w:sz w:val="28"/>
          <w:szCs w:val="28"/>
          <w:lang w:eastAsia="en-US"/>
        </w:rPr>
        <w:t>Covid-19 pandēmija ietekmējusi visas tautsaimniecības nozares, tomēr noskaņojuma kritums būvniecības nozarē nav bijis tik liels kā citās nozarēs. Būvniecības pasūtījumu apjoms š.g. aprīlī un maijā noslīdēja līdz 2016.gada vidējam līmenim, kad būvniecības produkcijas apjoms kopumā samazinājās par 16,6%. Tomēr kopš jūnija vērojama nepārtraukta būvniecības nozares konfidences rādītāju uzlabošanās, lai arī pagaidām vēl nav sasniegts pirmskrīzes līmenis.</w:t>
      </w:r>
    </w:p>
    <w:p w14:paraId="42117A83" w14:textId="77777777" w:rsidR="00E90EA4" w:rsidRPr="00E90EA4" w:rsidRDefault="00E90EA4" w:rsidP="00401A5B">
      <w:pPr>
        <w:ind w:firstLine="720"/>
        <w:jc w:val="both"/>
        <w:rPr>
          <w:rFonts w:ascii="Times New Roman" w:eastAsiaTheme="minorHAnsi" w:hAnsi="Times New Roman" w:cs="Times New Roman"/>
          <w:sz w:val="28"/>
          <w:szCs w:val="28"/>
          <w:lang w:eastAsia="en-US"/>
        </w:rPr>
      </w:pPr>
    </w:p>
    <w:p w14:paraId="3395C377" w14:textId="77777777" w:rsidR="00E90EA4" w:rsidRPr="00E90EA4" w:rsidRDefault="00E90EA4" w:rsidP="00401A5B">
      <w:pPr>
        <w:jc w:val="center"/>
        <w:rPr>
          <w:rFonts w:ascii="Times New Roman" w:eastAsiaTheme="minorHAnsi" w:hAnsi="Times New Roman" w:cs="Times New Roman"/>
          <w:sz w:val="28"/>
          <w:szCs w:val="28"/>
          <w:lang w:eastAsia="en-US"/>
        </w:rPr>
      </w:pPr>
      <w:r w:rsidRPr="00E90EA4">
        <w:rPr>
          <w:rFonts w:ascii="Times New Roman" w:eastAsiaTheme="minorHAnsi" w:hAnsi="Times New Roman" w:cs="Times New Roman"/>
          <w:noProof/>
          <w:sz w:val="24"/>
          <w:szCs w:val="24"/>
        </w:rPr>
        <w:drawing>
          <wp:inline distT="0" distB="0" distL="0" distR="0" wp14:anchorId="20E94F0E" wp14:editId="318A8FBF">
            <wp:extent cx="5280660" cy="31775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37877D6" w14:textId="18F430AB" w:rsidR="00E90EA4" w:rsidRPr="00E90EA4" w:rsidRDefault="00E90EA4" w:rsidP="00401A5B">
      <w:pPr>
        <w:jc w:val="center"/>
        <w:rPr>
          <w:rFonts w:ascii="Times New Roman" w:eastAsia="Calibri" w:hAnsi="Times New Roman" w:cs="Times New Roman"/>
          <w:b/>
          <w:i/>
          <w:sz w:val="24"/>
          <w:szCs w:val="24"/>
          <w:lang w:eastAsia="en-US"/>
        </w:rPr>
      </w:pPr>
      <w:r w:rsidRPr="00E90EA4">
        <w:rPr>
          <w:rFonts w:ascii="Times New Roman" w:eastAsia="Calibri" w:hAnsi="Times New Roman" w:cs="Times New Roman"/>
          <w:b/>
          <w:i/>
          <w:color w:val="000000" w:themeColor="text1"/>
          <w:sz w:val="24"/>
          <w:szCs w:val="24"/>
          <w:lang w:eastAsia="en-US"/>
        </w:rPr>
        <w:t>1.41</w:t>
      </w:r>
      <w:r w:rsidR="001C58DD">
        <w:rPr>
          <w:rFonts w:ascii="Times New Roman" w:eastAsia="Calibri" w:hAnsi="Times New Roman" w:cs="Times New Roman"/>
          <w:b/>
          <w:i/>
          <w:color w:val="000000" w:themeColor="text1"/>
          <w:sz w:val="24"/>
          <w:szCs w:val="24"/>
          <w:lang w:eastAsia="en-US"/>
        </w:rPr>
        <w:t>.</w:t>
      </w:r>
      <w:r w:rsidRPr="00E90EA4">
        <w:rPr>
          <w:rFonts w:ascii="Times New Roman" w:eastAsia="Calibri" w:hAnsi="Times New Roman" w:cs="Times New Roman"/>
          <w:b/>
          <w:i/>
          <w:color w:val="000000" w:themeColor="text1"/>
          <w:sz w:val="24"/>
          <w:szCs w:val="24"/>
          <w:lang w:eastAsia="en-US"/>
        </w:rPr>
        <w:t xml:space="preserve">att. </w:t>
      </w:r>
      <w:r w:rsidRPr="00E90EA4">
        <w:rPr>
          <w:rFonts w:ascii="Times New Roman" w:eastAsia="Calibri" w:hAnsi="Times New Roman" w:cs="Times New Roman"/>
          <w:b/>
          <w:i/>
          <w:sz w:val="24"/>
          <w:szCs w:val="24"/>
          <w:lang w:eastAsia="en-US"/>
        </w:rPr>
        <w:t xml:space="preserve">Bruto kapitālieguldījumi pa darbības veidiem, </w:t>
      </w:r>
      <w:r w:rsidRPr="00E90EA4">
        <w:rPr>
          <w:rFonts w:ascii="Times New Roman" w:eastAsia="Calibri" w:hAnsi="Times New Roman" w:cs="Times New Roman"/>
          <w:b/>
          <w:i/>
          <w:sz w:val="24"/>
          <w:szCs w:val="24"/>
          <w:lang w:eastAsia="en-US"/>
        </w:rPr>
        <w:br/>
        <w:t>milj. euro 2015.gada salīdzināmajās cenās</w:t>
      </w:r>
    </w:p>
    <w:p w14:paraId="0F9A0AC9" w14:textId="77777777" w:rsidR="00E90EA4" w:rsidRPr="00E90EA4" w:rsidRDefault="00E90EA4" w:rsidP="00401A5B">
      <w:pPr>
        <w:ind w:firstLine="720"/>
        <w:jc w:val="both"/>
        <w:rPr>
          <w:rFonts w:ascii="Times New Roman" w:eastAsiaTheme="minorHAnsi" w:hAnsi="Times New Roman" w:cs="Times New Roman"/>
          <w:sz w:val="28"/>
          <w:szCs w:val="20"/>
          <w:lang w:eastAsia="en-US"/>
        </w:rPr>
      </w:pPr>
    </w:p>
    <w:p w14:paraId="239C83C8" w14:textId="27ABB5BA"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Jāatzīmē,  ka investīcijas tehnoloģiskajās iekārtās un mašīnās, kas 2020.gada pirmajā pusgadā veidoja 39,1% no kopējām investīcijām, salīdzinājumā ar iepriekšējā gada pirmo pusi samazinājās par 6,6%. Ja kritums</w:t>
      </w:r>
      <w:r w:rsidRPr="00E90EA4" w:rsidDel="00E63142">
        <w:rPr>
          <w:rFonts w:ascii="Times New Roman" w:eastAsiaTheme="minorHAnsi" w:hAnsi="Times New Roman" w:cs="Times New Roman"/>
          <w:sz w:val="28"/>
          <w:szCs w:val="20"/>
          <w:lang w:eastAsia="en-US"/>
        </w:rPr>
        <w:t xml:space="preserve"> </w:t>
      </w:r>
      <w:r w:rsidRPr="00E90EA4">
        <w:rPr>
          <w:rFonts w:ascii="Times New Roman" w:eastAsiaTheme="minorHAnsi" w:hAnsi="Times New Roman" w:cs="Times New Roman"/>
          <w:sz w:val="28"/>
          <w:szCs w:val="20"/>
          <w:lang w:eastAsia="en-US"/>
        </w:rPr>
        <w:t>investīcijās tehnoloģiskajās iekārtās un tehnoloģijās</w:t>
      </w:r>
      <w:r w:rsidR="001C58DD">
        <w:rPr>
          <w:rFonts w:ascii="Times New Roman" w:eastAsiaTheme="minorHAnsi" w:hAnsi="Times New Roman" w:cs="Times New Roman"/>
          <w:sz w:val="28"/>
          <w:szCs w:val="20"/>
          <w:lang w:eastAsia="en-US"/>
        </w:rPr>
        <w:t xml:space="preserve"> šā gada</w:t>
      </w:r>
      <w:r w:rsidRPr="00E90EA4">
        <w:rPr>
          <w:rFonts w:ascii="Times New Roman" w:eastAsiaTheme="minorHAnsi" w:hAnsi="Times New Roman" w:cs="Times New Roman"/>
          <w:sz w:val="28"/>
          <w:szCs w:val="20"/>
          <w:lang w:eastAsia="en-US"/>
        </w:rPr>
        <w:t xml:space="preserve"> pirmajā ceturksnī bija 1,6%, tad  otrajā ceturksnī kritums pastiprinājās, sasniedzot 12,6% salīdzinājumā ar pērnā gada otro ceturksni.</w:t>
      </w:r>
    </w:p>
    <w:p w14:paraId="4678636D" w14:textId="22261647"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Covid-19 krīze negatīvi ietekmēja jau tā vājo investoru aktivitāti jauno ieguldījumu veikšanā iekārtās un mašīnās. Neskatoties uz to, ka pēdējos gados investīciju apjoms šajos aktīvos bija augošs, tas nebija pietiekošs, lai spētu būtiski veicināt un nodrošināt produktivitātes pieaugumu un inovāciju ieviešanu. Piemēram, investīcijas iekārtās un mašīnās 2019.gadā kopumā bija 2,5 m</w:t>
      </w:r>
      <w:r w:rsidR="001C58DD">
        <w:rPr>
          <w:rFonts w:ascii="Times New Roman" w:eastAsiaTheme="minorHAnsi" w:hAnsi="Times New Roman" w:cs="Times New Roman"/>
          <w:sz w:val="28"/>
          <w:szCs w:val="20"/>
          <w:lang w:eastAsia="en-US"/>
        </w:rPr>
        <w:t>ljrd.</w:t>
      </w:r>
      <w:r w:rsidRPr="00E90EA4">
        <w:rPr>
          <w:rFonts w:ascii="Times New Roman" w:eastAsiaTheme="minorHAnsi" w:hAnsi="Times New Roman" w:cs="Times New Roman"/>
          <w:sz w:val="28"/>
          <w:szCs w:val="20"/>
          <w:lang w:eastAsia="en-US"/>
        </w:rPr>
        <w:t xml:space="preserve"> </w:t>
      </w:r>
      <w:r w:rsidRPr="00E90EA4">
        <w:rPr>
          <w:rFonts w:ascii="Times New Roman" w:eastAsiaTheme="minorHAnsi" w:hAnsi="Times New Roman" w:cs="Times New Roman"/>
          <w:i/>
          <w:sz w:val="28"/>
          <w:szCs w:val="20"/>
          <w:lang w:eastAsia="en-US"/>
        </w:rPr>
        <w:t>euro</w:t>
      </w:r>
      <w:r w:rsidRPr="00E90EA4">
        <w:rPr>
          <w:rFonts w:ascii="Times New Roman" w:eastAsiaTheme="minorHAnsi" w:hAnsi="Times New Roman" w:cs="Times New Roman"/>
          <w:sz w:val="28"/>
          <w:szCs w:val="20"/>
          <w:lang w:eastAsia="en-US"/>
        </w:rPr>
        <w:t>, tādējādi sasniedzot augstāko līmeni kopš 2009.gada. Tomēr šis līmenis bija par 1 m</w:t>
      </w:r>
      <w:r w:rsidR="001C58DD">
        <w:rPr>
          <w:rFonts w:ascii="Times New Roman" w:eastAsiaTheme="minorHAnsi" w:hAnsi="Times New Roman" w:cs="Times New Roman"/>
          <w:sz w:val="28"/>
          <w:szCs w:val="20"/>
          <w:lang w:eastAsia="en-US"/>
        </w:rPr>
        <w:t>ljrd.</w:t>
      </w:r>
      <w:r w:rsidRPr="00E90EA4">
        <w:rPr>
          <w:rFonts w:ascii="Times New Roman" w:eastAsiaTheme="minorHAnsi" w:hAnsi="Times New Roman" w:cs="Times New Roman"/>
          <w:sz w:val="28"/>
          <w:szCs w:val="20"/>
          <w:lang w:eastAsia="en-US"/>
        </w:rPr>
        <w:t xml:space="preserve"> </w:t>
      </w:r>
      <w:r w:rsidRPr="00E90EA4">
        <w:rPr>
          <w:rFonts w:ascii="Times New Roman" w:eastAsiaTheme="minorHAnsi" w:hAnsi="Times New Roman" w:cs="Times New Roman"/>
          <w:i/>
          <w:sz w:val="28"/>
          <w:szCs w:val="20"/>
          <w:lang w:eastAsia="en-US"/>
        </w:rPr>
        <w:t>euro</w:t>
      </w:r>
      <w:r w:rsidRPr="00E90EA4">
        <w:rPr>
          <w:rFonts w:ascii="Times New Roman" w:eastAsiaTheme="minorHAnsi" w:hAnsi="Times New Roman" w:cs="Times New Roman"/>
          <w:sz w:val="28"/>
          <w:szCs w:val="20"/>
          <w:lang w:eastAsia="en-US"/>
        </w:rPr>
        <w:t xml:space="preserve"> zemāks nekā vidēji 2007.–2008.gadā, kamēr IKP kopumā 2007.gada jeb pirmskrīzes līmeni sasniedza jau 2017.gadā. Tas norāda uz uzņēmēju piesardzību veikt investīcijas un paplašināt savu uzņēmējdarbību</w:t>
      </w:r>
      <w:r w:rsidRPr="00E90EA4">
        <w:rPr>
          <w:rFonts w:ascii="Times New Roman" w:eastAsiaTheme="minorHAnsi" w:hAnsi="Times New Roman" w:cs="Times New Roman"/>
          <w:color w:val="FF0000"/>
          <w:sz w:val="28"/>
          <w:szCs w:val="20"/>
          <w:lang w:eastAsia="en-US"/>
        </w:rPr>
        <w:t xml:space="preserve">. </w:t>
      </w:r>
      <w:r w:rsidRPr="00E90EA4">
        <w:rPr>
          <w:rFonts w:ascii="Times New Roman" w:eastAsiaTheme="minorHAnsi" w:hAnsi="Times New Roman" w:cs="Times New Roman"/>
          <w:sz w:val="28"/>
          <w:szCs w:val="20"/>
          <w:lang w:eastAsia="en-US"/>
        </w:rPr>
        <w:t>Savukārt Covid-19 sekas tikai pasliktina šo situāciju. Papildus tam jāatzīmē, ka uzņēmēju aptauju dati par investīciju veikšanu  ietekmējošiem faktoriem norāda, ka vairāk nekā puse no investīcijām iepriekšējos gados bija vērstas uz veco iekārtu aizvietošanu un ražošanas procesu optimizāciju, bet tikai 30% no veiktajām investīcijām bija mērķētas uz ražošanas paplašināšu.</w:t>
      </w:r>
    </w:p>
    <w:p w14:paraId="138B2949" w14:textId="08122F32"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Pieprasījuma kritums, piesardzība finanšu tirgos, jaudu noslodzes kritums un ierobežotie monetārās politikas stimulēšanas instrumenti bremzēs investīciju aktivitāti visā Eiropā, tajā skaitā Latvijā. Latvijas apstrādes</w:t>
      </w:r>
      <w:r w:rsidR="001C58DD">
        <w:rPr>
          <w:rFonts w:ascii="Times New Roman" w:eastAsiaTheme="minorHAnsi" w:hAnsi="Times New Roman" w:cs="Times New Roman"/>
          <w:sz w:val="28"/>
          <w:szCs w:val="20"/>
          <w:lang w:eastAsia="en-US"/>
        </w:rPr>
        <w:t xml:space="preserve"> rūpniecības jaudu noslodze šā gada</w:t>
      </w:r>
      <w:r w:rsidRPr="00E90EA4">
        <w:rPr>
          <w:rFonts w:ascii="Times New Roman" w:eastAsiaTheme="minorHAnsi" w:hAnsi="Times New Roman" w:cs="Times New Roman"/>
          <w:sz w:val="28"/>
          <w:szCs w:val="20"/>
          <w:lang w:eastAsia="en-US"/>
        </w:rPr>
        <w:t xml:space="preserve"> otrajā un trešajā ceturksnī ir jau samazinājusies līdz 2015.gada līmenim, bet ES vidēji līdz 2009.gada līmenim. Tādējādi investīciju projekti, kuri vērsti uz ražošanas kapacitātes paplašināšanu šogad un visticamāk arī nākamgad varētu tikt atlikti. </w:t>
      </w:r>
    </w:p>
    <w:p w14:paraId="5CBBA372" w14:textId="48B2378B" w:rsid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 xml:space="preserve">Līdz šim </w:t>
      </w:r>
      <w:r w:rsidR="001C58DD">
        <w:rPr>
          <w:rFonts w:ascii="Times New Roman" w:eastAsiaTheme="minorHAnsi" w:hAnsi="Times New Roman" w:cs="Times New Roman"/>
          <w:sz w:val="28"/>
          <w:szCs w:val="20"/>
          <w:lang w:eastAsia="en-US"/>
        </w:rPr>
        <w:t>ECB</w:t>
      </w:r>
      <w:r w:rsidRPr="00E90EA4">
        <w:rPr>
          <w:rFonts w:ascii="Times New Roman" w:eastAsiaTheme="minorHAnsi" w:hAnsi="Times New Roman" w:cs="Times New Roman"/>
          <w:sz w:val="28"/>
          <w:szCs w:val="20"/>
          <w:lang w:eastAsia="en-US"/>
        </w:rPr>
        <w:t xml:space="preserve"> īstenotā aktīvu paplašinātās iegādes programma un zemās kredītu procentu likmes minimāli ir ietekmējušas kreditēšanu Latvijā. Savukārt pašreiz, kad vairākos pakalpojumu sektoros ir būtiski mazinājies apgrozījums un peļņa, uzņēmumi visticamāk atteiksies no jauniem kredītiem investīciju veikšanai. Savukārt darba organizācijas ieradumu maiņa un masveidīga attālināta darba prakses ieviešana varētu mazināt pieprasījumu pēc birojiem vidējā termiņā, kas arī negatīvi ietekmēs investīciju aktivitāti.</w:t>
      </w:r>
    </w:p>
    <w:p w14:paraId="7809A429" w14:textId="77777777" w:rsidR="001C58DD" w:rsidRPr="00E90EA4" w:rsidRDefault="001C58DD" w:rsidP="00401A5B">
      <w:pPr>
        <w:ind w:firstLine="720"/>
        <w:jc w:val="both"/>
        <w:rPr>
          <w:rFonts w:ascii="Times New Roman" w:eastAsiaTheme="minorHAnsi" w:hAnsi="Times New Roman" w:cs="Times New Roman"/>
          <w:sz w:val="28"/>
          <w:szCs w:val="20"/>
          <w:lang w:eastAsia="en-US"/>
        </w:rPr>
      </w:pPr>
    </w:p>
    <w:p w14:paraId="257A22A9" w14:textId="77777777" w:rsidR="00E90EA4" w:rsidRPr="00E90EA4" w:rsidRDefault="00E90EA4" w:rsidP="00401A5B">
      <w:pPr>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noProof/>
          <w:sz w:val="24"/>
          <w:szCs w:val="24"/>
        </w:rPr>
        <w:drawing>
          <wp:inline distT="0" distB="0" distL="0" distR="0" wp14:anchorId="2BB96D0D" wp14:editId="03995D53">
            <wp:extent cx="5438775" cy="340995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990637E" w14:textId="77777777" w:rsidR="00E90EA4" w:rsidRPr="00E90EA4" w:rsidRDefault="00E90EA4" w:rsidP="00401A5B">
      <w:pPr>
        <w:jc w:val="center"/>
        <w:rPr>
          <w:rFonts w:ascii="Times New Roman" w:eastAsia="Calibri" w:hAnsi="Times New Roman" w:cs="Times New Roman"/>
          <w:b/>
          <w:i/>
          <w:sz w:val="24"/>
          <w:szCs w:val="24"/>
          <w:lang w:eastAsia="en-US"/>
        </w:rPr>
      </w:pPr>
      <w:r w:rsidRPr="00E90EA4">
        <w:rPr>
          <w:rFonts w:ascii="Times New Roman" w:eastAsia="Calibri" w:hAnsi="Times New Roman" w:cs="Times New Roman"/>
          <w:b/>
          <w:i/>
          <w:sz w:val="24"/>
          <w:szCs w:val="24"/>
          <w:lang w:eastAsia="en-US"/>
        </w:rPr>
        <w:t>1.42. att. Uzņēmēju novērtējums par rūpniecības nozaru jaudu noslodzi katra ES dalībvalstī, indekss</w:t>
      </w:r>
    </w:p>
    <w:p w14:paraId="1345B829" w14:textId="77777777" w:rsidR="00E90EA4" w:rsidRPr="00E90EA4" w:rsidRDefault="00E90EA4" w:rsidP="00401A5B">
      <w:pPr>
        <w:ind w:firstLine="720"/>
        <w:jc w:val="both"/>
        <w:rPr>
          <w:rFonts w:ascii="Times New Roman" w:eastAsiaTheme="minorHAnsi" w:hAnsi="Times New Roman" w:cs="Times New Roman"/>
          <w:sz w:val="28"/>
          <w:szCs w:val="20"/>
          <w:lang w:eastAsia="en-US"/>
        </w:rPr>
      </w:pPr>
    </w:p>
    <w:p w14:paraId="74B6B922" w14:textId="5B9F87B5" w:rsidR="00E90EA4" w:rsidRPr="00E90EA4" w:rsidRDefault="00E90EA4" w:rsidP="00401A5B">
      <w:pPr>
        <w:ind w:firstLine="720"/>
        <w:jc w:val="both"/>
        <w:rPr>
          <w:rFonts w:ascii="Times New Roman" w:eastAsiaTheme="minorHAnsi" w:hAnsi="Times New Roman" w:cs="Times New Roman"/>
          <w:sz w:val="28"/>
          <w:szCs w:val="20"/>
          <w:lang w:eastAsia="en-US"/>
        </w:rPr>
      </w:pPr>
      <w:r w:rsidRPr="00E90EA4">
        <w:rPr>
          <w:rFonts w:ascii="Times New Roman" w:eastAsiaTheme="minorHAnsi" w:hAnsi="Times New Roman" w:cs="Times New Roman"/>
          <w:sz w:val="28"/>
          <w:szCs w:val="20"/>
          <w:lang w:eastAsia="en-US"/>
        </w:rPr>
        <w:t>Šajā ekonomikas krīzē būtiska loma ir valdības īstenotajiem ekonomikas atbalsta un izaugsmes veicināšanas pasākumiem. Salīdzinājumā ar iepriekšējo ekonomikas krīzi šobrīd Latvijas finanšu stāvoklis ir labāks un pieejamie finanšu resursi ir ievērojami plašāki. Balstoties uz informāciju par ES daudzgadu budžetu 2021.-2027.gadam un instrumentiem ES ekonomikas atbalstam izejai no Covid-19 krīzes, Latvijas ekonomikas attīstībai nākamo septiņu gadu laik</w:t>
      </w:r>
      <w:r w:rsidR="00D639E3">
        <w:rPr>
          <w:rFonts w:ascii="Times New Roman" w:eastAsiaTheme="minorHAnsi" w:hAnsi="Times New Roman" w:cs="Times New Roman"/>
          <w:sz w:val="28"/>
          <w:szCs w:val="20"/>
          <w:lang w:eastAsia="en-US"/>
        </w:rPr>
        <w:t>ā būs pieejami gandrīz 10,5 mljrd.</w:t>
      </w:r>
      <w:r w:rsidRPr="00E90EA4">
        <w:rPr>
          <w:rFonts w:ascii="Times New Roman" w:eastAsiaTheme="minorHAnsi" w:hAnsi="Times New Roman" w:cs="Times New Roman"/>
          <w:sz w:val="28"/>
          <w:szCs w:val="20"/>
          <w:lang w:eastAsia="en-US"/>
        </w:rPr>
        <w:t xml:space="preserve"> </w:t>
      </w:r>
      <w:r w:rsidRPr="00E90EA4">
        <w:rPr>
          <w:rFonts w:ascii="Times New Roman" w:eastAsiaTheme="minorHAnsi" w:hAnsi="Times New Roman" w:cs="Times New Roman"/>
          <w:i/>
          <w:sz w:val="28"/>
          <w:szCs w:val="20"/>
          <w:lang w:eastAsia="en-US"/>
        </w:rPr>
        <w:t>euro.</w:t>
      </w:r>
      <w:r w:rsidRPr="00E90EA4">
        <w:rPr>
          <w:rFonts w:ascii="Times New Roman" w:eastAsiaTheme="minorHAnsi" w:hAnsi="Times New Roman" w:cs="Times New Roman"/>
          <w:sz w:val="28"/>
          <w:szCs w:val="20"/>
          <w:lang w:eastAsia="en-US"/>
        </w:rPr>
        <w:t xml:space="preserve"> Papildus tam, lielo infrastruktūras projektu realizēšana</w:t>
      </w:r>
      <w:r w:rsidR="00D639E3">
        <w:rPr>
          <w:rFonts w:ascii="Times New Roman" w:eastAsiaTheme="minorHAnsi" w:hAnsi="Times New Roman" w:cs="Times New Roman"/>
          <w:sz w:val="28"/>
          <w:szCs w:val="20"/>
          <w:lang w:eastAsia="en-US"/>
        </w:rPr>
        <w:t xml:space="preserve">, </w:t>
      </w:r>
      <w:r w:rsidRPr="00E90EA4">
        <w:rPr>
          <w:rFonts w:ascii="Times New Roman" w:eastAsiaTheme="minorHAnsi" w:hAnsi="Times New Roman" w:cs="Times New Roman"/>
          <w:sz w:val="28"/>
          <w:szCs w:val="20"/>
          <w:lang w:eastAsia="en-US"/>
        </w:rPr>
        <w:t xml:space="preserve">piemēram, </w:t>
      </w:r>
      <w:r w:rsidR="00D639E3">
        <w:rPr>
          <w:rFonts w:ascii="Times New Roman" w:eastAsiaTheme="minorHAnsi" w:hAnsi="Times New Roman" w:cs="Times New Roman"/>
          <w:sz w:val="28"/>
          <w:szCs w:val="20"/>
          <w:lang w:eastAsia="en-US"/>
        </w:rPr>
        <w:t>“</w:t>
      </w:r>
      <w:r w:rsidRPr="00E90EA4">
        <w:rPr>
          <w:rFonts w:ascii="Times New Roman" w:eastAsiaTheme="minorHAnsi" w:hAnsi="Times New Roman" w:cs="Times New Roman"/>
          <w:i/>
          <w:sz w:val="28"/>
          <w:szCs w:val="20"/>
          <w:lang w:eastAsia="en-US"/>
        </w:rPr>
        <w:t>Rail Baltica</w:t>
      </w:r>
      <w:r w:rsidR="00D639E3">
        <w:rPr>
          <w:rFonts w:ascii="Times New Roman" w:eastAsiaTheme="minorHAnsi" w:hAnsi="Times New Roman" w:cs="Times New Roman"/>
          <w:i/>
          <w:sz w:val="28"/>
          <w:szCs w:val="20"/>
          <w:lang w:eastAsia="en-US"/>
        </w:rPr>
        <w:t>”</w:t>
      </w:r>
      <w:r w:rsidRPr="00E90EA4">
        <w:rPr>
          <w:rFonts w:ascii="Times New Roman" w:eastAsiaTheme="minorHAnsi" w:hAnsi="Times New Roman" w:cs="Times New Roman"/>
          <w:sz w:val="28"/>
          <w:szCs w:val="20"/>
          <w:lang w:eastAsia="en-US"/>
        </w:rPr>
        <w:t xml:space="preserve"> varētu būtiski palielināt investīciju apjomu vidējā termiņā.</w:t>
      </w:r>
    </w:p>
    <w:p w14:paraId="23A7A9B0" w14:textId="77777777" w:rsidR="003F3FCD" w:rsidRDefault="003F3FCD" w:rsidP="00401A5B">
      <w:pPr>
        <w:widowControl w:val="0"/>
        <w:rPr>
          <w:rFonts w:ascii="Times New Roman" w:eastAsia="Times New Roman" w:hAnsi="Times New Roman" w:cs="Times New Roman"/>
          <w:b/>
          <w:sz w:val="32"/>
        </w:rPr>
      </w:pPr>
    </w:p>
    <w:p w14:paraId="3F9336A5" w14:textId="49562FFA" w:rsidR="00D639E3" w:rsidRPr="00D639E3" w:rsidRDefault="000548A5" w:rsidP="00FB2B77">
      <w:pPr>
        <w:pStyle w:val="Heading2"/>
        <w:numPr>
          <w:ilvl w:val="1"/>
          <w:numId w:val="6"/>
        </w:numPr>
        <w:spacing w:before="0"/>
        <w:jc w:val="center"/>
        <w:rPr>
          <w:rFonts w:ascii="Times New Roman" w:eastAsia="Times New Roman" w:hAnsi="Times New Roman" w:cs="Times New Roman"/>
          <w:sz w:val="32"/>
          <w:szCs w:val="32"/>
        </w:rPr>
      </w:pPr>
      <w:bookmarkStart w:id="10" w:name="_Toc53154084"/>
      <w:r w:rsidRPr="006C2A58">
        <w:rPr>
          <w:rFonts w:ascii="Times New Roman" w:eastAsia="Times New Roman" w:hAnsi="Times New Roman" w:cs="Times New Roman"/>
          <w:sz w:val="32"/>
          <w:szCs w:val="32"/>
        </w:rPr>
        <w:t>Makroekonomisko nelīdzsvarotību uzraudzība ES</w:t>
      </w:r>
      <w:bookmarkEnd w:id="10"/>
    </w:p>
    <w:p w14:paraId="237221B5" w14:textId="77777777" w:rsidR="003F3FCD" w:rsidRDefault="003F3FCD" w:rsidP="00401A5B">
      <w:pPr>
        <w:widowControl w:val="0"/>
        <w:ind w:firstLine="720"/>
        <w:jc w:val="both"/>
        <w:rPr>
          <w:rFonts w:ascii="Times New Roman" w:eastAsia="Times New Roman" w:hAnsi="Times New Roman" w:cs="Times New Roman"/>
          <w:sz w:val="24"/>
        </w:rPr>
      </w:pPr>
    </w:p>
    <w:p w14:paraId="6568FC4A" w14:textId="056D59FD" w:rsidR="00D639E3" w:rsidRPr="00D639E3" w:rsidRDefault="00D639E3" w:rsidP="00401A5B">
      <w:pPr>
        <w:ind w:firstLine="720"/>
        <w:jc w:val="both"/>
        <w:rPr>
          <w:rFonts w:ascii="Times New Roman" w:eastAsiaTheme="minorHAnsi" w:hAnsi="Times New Roman"/>
          <w:bCs/>
          <w:sz w:val="28"/>
          <w:szCs w:val="28"/>
          <w:lang w:eastAsia="en-US"/>
        </w:rPr>
      </w:pPr>
      <w:r w:rsidRPr="00D639E3">
        <w:rPr>
          <w:rFonts w:ascii="Times New Roman" w:eastAsiaTheme="minorHAnsi" w:hAnsi="Times New Roman"/>
          <w:sz w:val="28"/>
          <w:szCs w:val="28"/>
          <w:lang w:eastAsia="en-US"/>
        </w:rPr>
        <w:t>Viens no ES pamatmērķiem ir dalībvalstu ilgtspējīgas ekonomiskās izaugsmes veicināšana. Lai nodrošinātu savlaicīgu makroekonomisko risku identificēšanu un pārvaldi 2011.gada 16.novemb</w:t>
      </w:r>
      <w:r>
        <w:rPr>
          <w:rFonts w:ascii="Times New Roman" w:eastAsiaTheme="minorHAnsi" w:hAnsi="Times New Roman"/>
          <w:sz w:val="28"/>
          <w:szCs w:val="28"/>
          <w:lang w:eastAsia="en-US"/>
        </w:rPr>
        <w:t>rī Eiropas Parlaments un ES</w:t>
      </w:r>
      <w:r w:rsidRPr="00D639E3">
        <w:rPr>
          <w:rFonts w:ascii="Times New Roman" w:eastAsiaTheme="minorHAnsi" w:hAnsi="Times New Roman"/>
          <w:sz w:val="28"/>
          <w:szCs w:val="28"/>
          <w:lang w:eastAsia="en-US"/>
        </w:rPr>
        <w:t xml:space="preserve"> Padome pieņēma divas regulas – par to, kā novērst un koriģēt makroekonomisko nelīdzsvarotību (regula Nr.1176/2011), un regulu par izpildes pasākumiem pārmērīgas makroekonomiskās n</w:t>
      </w:r>
      <w:r>
        <w:rPr>
          <w:rFonts w:ascii="Times New Roman" w:eastAsiaTheme="minorHAnsi" w:hAnsi="Times New Roman"/>
          <w:sz w:val="28"/>
          <w:szCs w:val="28"/>
          <w:lang w:eastAsia="en-US"/>
        </w:rPr>
        <w:t xml:space="preserve">elīdzsvarotības koriģēšanai </w:t>
      </w:r>
      <w:r w:rsidRPr="00D639E3">
        <w:rPr>
          <w:rFonts w:ascii="Times New Roman" w:eastAsiaTheme="minorHAnsi" w:hAnsi="Times New Roman"/>
          <w:i/>
          <w:sz w:val="28"/>
          <w:szCs w:val="28"/>
          <w:lang w:eastAsia="en-US"/>
        </w:rPr>
        <w:t>euro</w:t>
      </w:r>
      <w:r>
        <w:rPr>
          <w:rFonts w:ascii="Times New Roman" w:eastAsiaTheme="minorHAnsi" w:hAnsi="Times New Roman"/>
          <w:sz w:val="28"/>
          <w:szCs w:val="28"/>
          <w:lang w:eastAsia="en-US"/>
        </w:rPr>
        <w:t xml:space="preserve"> </w:t>
      </w:r>
      <w:r w:rsidRPr="00D639E3">
        <w:rPr>
          <w:rFonts w:ascii="Times New Roman" w:eastAsiaTheme="minorHAnsi" w:hAnsi="Times New Roman"/>
          <w:sz w:val="28"/>
          <w:szCs w:val="28"/>
          <w:lang w:eastAsia="en-US"/>
        </w:rPr>
        <w:t>zonā (Nr.1174/2011</w:t>
      </w:r>
      <w:r w:rsidRPr="00D639E3">
        <w:rPr>
          <w:rFonts w:ascii="Times New Roman" w:eastAsiaTheme="minorHAnsi" w:hAnsi="Times New Roman"/>
          <w:bCs/>
          <w:sz w:val="28"/>
          <w:szCs w:val="28"/>
          <w:lang w:eastAsia="en-US"/>
        </w:rPr>
        <w:t>).</w:t>
      </w:r>
      <w:r w:rsidRPr="00D639E3">
        <w:rPr>
          <w:rFonts w:ascii="Times New Roman" w:eastAsiaTheme="minorHAnsi" w:hAnsi="Times New Roman"/>
          <w:bCs/>
          <w:sz w:val="28"/>
          <w:szCs w:val="28"/>
          <w:vertAlign w:val="superscript"/>
          <w:lang w:eastAsia="en-US"/>
        </w:rPr>
        <w:footnoteReference w:id="3"/>
      </w:r>
      <w:r w:rsidRPr="00D639E3">
        <w:rPr>
          <w:rFonts w:ascii="Times New Roman" w:eastAsiaTheme="minorHAnsi" w:hAnsi="Times New Roman"/>
          <w:bCs/>
          <w:sz w:val="28"/>
          <w:szCs w:val="28"/>
          <w:lang w:eastAsia="en-US"/>
        </w:rPr>
        <w:t xml:space="preserve"> </w:t>
      </w:r>
    </w:p>
    <w:p w14:paraId="07A39AEC" w14:textId="343DF116" w:rsidR="00D639E3" w:rsidRPr="00D639E3" w:rsidRDefault="00D639E3" w:rsidP="00401A5B">
      <w:pPr>
        <w:ind w:firstLine="720"/>
        <w:jc w:val="both"/>
        <w:rPr>
          <w:rFonts w:ascii="Times New Roman" w:eastAsiaTheme="minorHAnsi" w:hAnsi="Times New Roman"/>
          <w:sz w:val="28"/>
          <w:szCs w:val="28"/>
          <w:lang w:eastAsia="en-US"/>
        </w:rPr>
      </w:pPr>
      <w:r w:rsidRPr="00D639E3">
        <w:rPr>
          <w:rFonts w:ascii="Times New Roman" w:eastAsiaTheme="minorHAnsi" w:hAnsi="Times New Roman"/>
          <w:sz w:val="28"/>
          <w:szCs w:val="28"/>
          <w:lang w:eastAsia="en-US"/>
        </w:rPr>
        <w:t xml:space="preserve">Procedūras izstrādes mērķis bija ne tikai stiprināt </w:t>
      </w:r>
      <w:r>
        <w:rPr>
          <w:rFonts w:ascii="Times New Roman" w:eastAsiaTheme="minorHAnsi" w:hAnsi="Times New Roman"/>
          <w:sz w:val="28"/>
          <w:szCs w:val="28"/>
          <w:lang w:eastAsia="en-US"/>
        </w:rPr>
        <w:t>SIP</w:t>
      </w:r>
      <w:r w:rsidRPr="00D639E3">
        <w:rPr>
          <w:rFonts w:ascii="Times New Roman" w:eastAsiaTheme="minorHAnsi" w:hAnsi="Times New Roman"/>
          <w:sz w:val="28"/>
          <w:szCs w:val="28"/>
          <w:lang w:eastAsia="en-US"/>
        </w:rPr>
        <w:t xml:space="preserve"> funkcionēšanu, bet papildus budžeta uzraudzībai, paplašināt fiskālo un makroekonomisko nelīdzsvarotību uzraudzību un īstenot to efektīvu vadību ES dalībvalstīs. Regulu ietvaros tika atrunāta makroekonomikas uzraudzības un nesabalansētību identificēšanas kārtība, kā arī iespējamo finanšu sankciju kārtība, kas varētu tikt piemērota dalībvalstīm, kurās makroekonomiskā disciplīna netiek ievērota.</w:t>
      </w:r>
    </w:p>
    <w:p w14:paraId="42C3406C" w14:textId="77777777" w:rsidR="00D639E3" w:rsidRDefault="00D639E3" w:rsidP="00401A5B">
      <w:pPr>
        <w:ind w:firstLine="720"/>
        <w:jc w:val="both"/>
        <w:rPr>
          <w:rFonts w:ascii="Times New Roman" w:eastAsiaTheme="minorHAnsi" w:hAnsi="Times New Roman"/>
          <w:sz w:val="28"/>
          <w:szCs w:val="28"/>
          <w:lang w:eastAsia="en-US"/>
        </w:rPr>
      </w:pPr>
      <w:r w:rsidRPr="00D639E3">
        <w:rPr>
          <w:rFonts w:ascii="Times New Roman" w:eastAsiaTheme="minorHAnsi" w:hAnsi="Times New Roman"/>
          <w:sz w:val="28"/>
          <w:szCs w:val="28"/>
          <w:lang w:eastAsia="en-US"/>
        </w:rPr>
        <w:t xml:space="preserve">Finanšu sankcijas paredz noteiktu ikgadēju soda naudu vai procentus nesošu depozītu, kas ir 0,1% no attiecīgās dalībvalsts iepriekšējā gada IKP. Neraugoties uz to, ka makroekonomiskās nesabalansētības procedūras ietvaros ir atrunātas iespējamās finanšu sankcijas, praksē nevienai no dalībvalstīm tās līdz šim netika piemērotas. </w:t>
      </w:r>
    </w:p>
    <w:p w14:paraId="6D6D53AF" w14:textId="77777777" w:rsidR="00D639E3" w:rsidRDefault="00D639E3" w:rsidP="00401A5B">
      <w:pPr>
        <w:ind w:firstLine="720"/>
        <w:jc w:val="both"/>
        <w:rPr>
          <w:rFonts w:ascii="Times New Roman" w:eastAsiaTheme="minorHAnsi" w:hAnsi="Times New Roman"/>
          <w:sz w:val="28"/>
          <w:szCs w:val="28"/>
          <w:lang w:eastAsia="en-US"/>
        </w:rPr>
      </w:pPr>
    </w:p>
    <w:p w14:paraId="14B9F0DB" w14:textId="77777777" w:rsidR="00380144" w:rsidRPr="00380144" w:rsidRDefault="00380144" w:rsidP="00FB2B77">
      <w:pPr>
        <w:pStyle w:val="ListParagraph"/>
        <w:keepNext/>
        <w:keepLines/>
        <w:numPr>
          <w:ilvl w:val="1"/>
          <w:numId w:val="12"/>
        </w:numPr>
        <w:contextualSpacing w:val="0"/>
        <w:jc w:val="center"/>
        <w:outlineLvl w:val="2"/>
        <w:rPr>
          <w:rFonts w:ascii="Times New Roman" w:eastAsia="Calibri" w:hAnsi="Times New Roman" w:cs="Times New Roman"/>
          <w:b/>
          <w:bCs/>
          <w:vanish/>
          <w:color w:val="000000" w:themeColor="text1"/>
          <w:sz w:val="28"/>
          <w:szCs w:val="28"/>
        </w:rPr>
      </w:pPr>
      <w:bookmarkStart w:id="11" w:name="_Toc53054932"/>
      <w:bookmarkStart w:id="12" w:name="_Toc53058971"/>
      <w:bookmarkStart w:id="13" w:name="_Toc53075479"/>
      <w:bookmarkStart w:id="14" w:name="_Toc53153495"/>
      <w:bookmarkStart w:id="15" w:name="_Toc53153704"/>
      <w:bookmarkStart w:id="16" w:name="_Toc53153758"/>
      <w:bookmarkStart w:id="17" w:name="_Toc53154085"/>
      <w:bookmarkEnd w:id="11"/>
      <w:bookmarkEnd w:id="12"/>
      <w:bookmarkEnd w:id="13"/>
      <w:bookmarkEnd w:id="14"/>
      <w:bookmarkEnd w:id="15"/>
      <w:bookmarkEnd w:id="16"/>
      <w:bookmarkEnd w:id="17"/>
    </w:p>
    <w:p w14:paraId="3C338281" w14:textId="26418326" w:rsidR="003F3FCD" w:rsidRPr="00626934" w:rsidRDefault="00626934" w:rsidP="00626934">
      <w:pPr>
        <w:pStyle w:val="Heading3"/>
      </w:pPr>
      <w:bookmarkStart w:id="18" w:name="_Toc53154086"/>
      <w:r>
        <w:t xml:space="preserve">1.2.1. </w:t>
      </w:r>
      <w:r w:rsidR="000548A5" w:rsidRPr="00626934">
        <w:t>Makroekonomikas nesabalansētību identificēšanas un pārvaldes posmi</w:t>
      </w:r>
      <w:bookmarkEnd w:id="18"/>
    </w:p>
    <w:p w14:paraId="1F226243" w14:textId="77777777" w:rsidR="003F3FCD" w:rsidRDefault="003F3FCD" w:rsidP="00401A5B">
      <w:pPr>
        <w:widowControl w:val="0"/>
        <w:ind w:firstLine="720"/>
        <w:jc w:val="both"/>
        <w:rPr>
          <w:rFonts w:ascii="Times New Roman" w:eastAsia="Times New Roman" w:hAnsi="Times New Roman" w:cs="Times New Roman"/>
          <w:sz w:val="24"/>
        </w:rPr>
      </w:pPr>
    </w:p>
    <w:p w14:paraId="36C54276" w14:textId="6E531D20" w:rsidR="00380144" w:rsidRPr="00380144" w:rsidRDefault="00380144" w:rsidP="00401A5B">
      <w:pPr>
        <w:ind w:firstLine="72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AMR</w:t>
      </w:r>
      <w:r w:rsidRPr="00380144">
        <w:rPr>
          <w:rFonts w:ascii="Times New Roman" w:eastAsiaTheme="minorHAnsi" w:hAnsi="Times New Roman"/>
          <w:sz w:val="28"/>
          <w:szCs w:val="28"/>
          <w:lang w:eastAsia="en-US"/>
        </w:rPr>
        <w:t xml:space="preserve"> tiek publicēts tekošā gada beigās, kas ir arī sākums jaunam makroekonomiskās nesabalansētības uzraudzības ciklam. Tādējādi šobrīd, sagatavojot 2021.gada budžeta paskaidrojumus, tiek izmantots “</w:t>
      </w:r>
      <w:r>
        <w:rPr>
          <w:rFonts w:ascii="Times New Roman" w:eastAsiaTheme="minorHAnsi" w:hAnsi="Times New Roman"/>
          <w:sz w:val="28"/>
          <w:szCs w:val="28"/>
          <w:lang w:eastAsia="en-US"/>
        </w:rPr>
        <w:t>AMR</w:t>
      </w:r>
      <w:r w:rsidRPr="00380144">
        <w:rPr>
          <w:rFonts w:ascii="Times New Roman" w:eastAsiaTheme="minorHAnsi" w:hAnsi="Times New Roman"/>
          <w:sz w:val="28"/>
          <w:szCs w:val="28"/>
          <w:lang w:eastAsia="en-US"/>
        </w:rPr>
        <w:t xml:space="preserve"> 2020” kurš tika publicēts 2019.gada 17.decembrī. Ziņojumu izstrādē tiek lietoti statistikas dati ar gandrīz divu gadu nobīdi, attiecīgi 2020.gada </w:t>
      </w:r>
      <w:r>
        <w:rPr>
          <w:rFonts w:ascii="Times New Roman" w:eastAsiaTheme="minorHAnsi" w:hAnsi="Times New Roman"/>
          <w:sz w:val="28"/>
          <w:szCs w:val="28"/>
          <w:lang w:eastAsia="en-US"/>
        </w:rPr>
        <w:t>AMR</w:t>
      </w:r>
      <w:r w:rsidRPr="00380144">
        <w:rPr>
          <w:rFonts w:ascii="Times New Roman" w:eastAsiaTheme="minorHAnsi" w:hAnsi="Times New Roman"/>
          <w:sz w:val="28"/>
          <w:szCs w:val="28"/>
          <w:lang w:eastAsia="en-US"/>
        </w:rPr>
        <w:t xml:space="preserve"> balstās uz 2018.gada statistikas datiem. Lai gan nākamais “</w:t>
      </w:r>
      <w:r>
        <w:rPr>
          <w:rFonts w:ascii="Times New Roman" w:eastAsiaTheme="minorHAnsi" w:hAnsi="Times New Roman"/>
          <w:sz w:val="28"/>
          <w:szCs w:val="28"/>
          <w:lang w:eastAsia="en-US"/>
        </w:rPr>
        <w:t>AMR</w:t>
      </w:r>
      <w:r w:rsidRPr="00380144">
        <w:rPr>
          <w:rFonts w:ascii="Times New Roman" w:eastAsiaTheme="minorHAnsi" w:hAnsi="Times New Roman"/>
          <w:sz w:val="28"/>
          <w:szCs w:val="28"/>
          <w:lang w:eastAsia="en-US"/>
        </w:rPr>
        <w:t xml:space="preserve"> 2021” tiks publicēts tikai šī gada nogalē, jau šobrīd ir zināmi gandrīz visi pamata rādītāji par Latviju, kas tiks izmantoti šajā ziņojumā un tie ir atspoguļoti</w:t>
      </w:r>
      <w:r>
        <w:rPr>
          <w:rFonts w:ascii="Times New Roman" w:eastAsiaTheme="minorHAnsi" w:hAnsi="Times New Roman"/>
          <w:sz w:val="28"/>
          <w:szCs w:val="28"/>
          <w:lang w:eastAsia="en-US"/>
        </w:rPr>
        <w:t xml:space="preserve"> 1.6.tabulā.</w:t>
      </w:r>
      <w:r w:rsidRPr="00380144">
        <w:rPr>
          <w:rFonts w:ascii="Times New Roman" w:eastAsiaTheme="minorHAnsi" w:hAnsi="Times New Roman"/>
          <w:sz w:val="28"/>
          <w:szCs w:val="28"/>
          <w:lang w:eastAsia="en-US"/>
        </w:rPr>
        <w:t xml:space="preserve"> </w:t>
      </w:r>
    </w:p>
    <w:p w14:paraId="489385EE" w14:textId="77777777" w:rsidR="00380144" w:rsidRPr="00380144" w:rsidRDefault="00380144" w:rsidP="00401A5B">
      <w:pPr>
        <w:ind w:firstLine="720"/>
        <w:jc w:val="both"/>
        <w:rPr>
          <w:rFonts w:ascii="Times New Roman" w:eastAsiaTheme="minorHAnsi" w:hAnsi="Times New Roman"/>
          <w:sz w:val="28"/>
          <w:szCs w:val="28"/>
          <w:lang w:eastAsia="en-US"/>
        </w:rPr>
      </w:pPr>
      <w:r w:rsidRPr="00380144">
        <w:rPr>
          <w:rFonts w:ascii="Times New Roman" w:eastAsiaTheme="minorHAnsi" w:hAnsi="Times New Roman"/>
          <w:sz w:val="28"/>
          <w:szCs w:val="28"/>
          <w:lang w:eastAsia="en-US"/>
        </w:rPr>
        <w:t>Ziņojuma pamatā ir divas rādītāju grupas – 14 pamata rādītāji un 28 papildinoši rādītāji. Pamata rādītājiem ir definēti mērķlīmeņi jeb pieļaujamās robežas, kuru pārsniegšana var iniciēt Padziļinātās izpētes ziņojuma (IDR) izstrādi par attiecīgo dalībvalsti. Lēmums par attiecīgās valsts ekonomikas padziļinātās izpētes procedūras uzsākšanu var tikt pieņemts pamatojoties uz izvērstu, fundamentālu ekonomiskās situācijas un saistīto risku analīzi, kā arī ņemot vērā rādītāju sagaidāmo dinamiku. Automātiska padziļinātās izpētes procedūras uzsākšana, pamatojoties vienīgi uz tehnisku dažu rādītāju noteikto robežvērtību pārsniegšanu, netiek praktizēta. Pamata rādītāju tabula (</w:t>
      </w:r>
      <w:r w:rsidRPr="00380144">
        <w:rPr>
          <w:rFonts w:ascii="Times New Roman" w:eastAsiaTheme="minorHAnsi" w:hAnsi="Times New Roman"/>
          <w:i/>
          <w:sz w:val="28"/>
          <w:szCs w:val="28"/>
          <w:lang w:eastAsia="en-US"/>
        </w:rPr>
        <w:t>scoreboard</w:t>
      </w:r>
      <w:r w:rsidRPr="00380144">
        <w:rPr>
          <w:rFonts w:ascii="Times New Roman" w:eastAsiaTheme="minorHAnsi" w:hAnsi="Times New Roman"/>
          <w:sz w:val="28"/>
          <w:szCs w:val="28"/>
          <w:lang w:eastAsia="en-US"/>
        </w:rPr>
        <w:t>) ietver šādus rādītājus:</w:t>
      </w:r>
    </w:p>
    <w:p w14:paraId="5E85C5DD" w14:textId="293AE76B" w:rsidR="00380144" w:rsidRPr="00983CAA" w:rsidRDefault="00380144" w:rsidP="00FB2B77">
      <w:pPr>
        <w:pStyle w:val="ListParagraph"/>
        <w:numPr>
          <w:ilvl w:val="0"/>
          <w:numId w:val="19"/>
        </w:numPr>
        <w:spacing w:line="259" w:lineRule="auto"/>
        <w:jc w:val="both"/>
        <w:rPr>
          <w:rFonts w:ascii="Times New Roman" w:eastAsiaTheme="minorHAnsi" w:hAnsi="Times New Roman"/>
          <w:sz w:val="28"/>
          <w:szCs w:val="28"/>
          <w:lang w:eastAsia="en-US"/>
        </w:rPr>
      </w:pPr>
      <w:r w:rsidRPr="00983CAA">
        <w:rPr>
          <w:rFonts w:ascii="Times New Roman" w:eastAsiaTheme="minorHAnsi" w:hAnsi="Times New Roman"/>
          <w:sz w:val="28"/>
          <w:szCs w:val="28"/>
          <w:lang w:eastAsia="en-US"/>
        </w:rPr>
        <w:t>tekošā konta bilance, % no IKP, trīs gadu vidējais rādītājs;</w:t>
      </w:r>
    </w:p>
    <w:p w14:paraId="4D049749" w14:textId="5C2A9555" w:rsidR="00380144" w:rsidRPr="00983CAA" w:rsidRDefault="00380144" w:rsidP="00FB2B77">
      <w:pPr>
        <w:pStyle w:val="ListParagraph"/>
        <w:numPr>
          <w:ilvl w:val="0"/>
          <w:numId w:val="19"/>
        </w:numPr>
        <w:spacing w:line="259" w:lineRule="auto"/>
        <w:jc w:val="both"/>
        <w:rPr>
          <w:rFonts w:ascii="Times New Roman" w:eastAsiaTheme="minorHAnsi" w:hAnsi="Times New Roman"/>
          <w:sz w:val="28"/>
          <w:szCs w:val="28"/>
          <w:lang w:eastAsia="en-US"/>
        </w:rPr>
      </w:pPr>
      <w:r w:rsidRPr="00983CAA">
        <w:rPr>
          <w:rFonts w:ascii="Times New Roman" w:eastAsiaTheme="minorHAnsi" w:hAnsi="Times New Roman"/>
          <w:sz w:val="28"/>
          <w:szCs w:val="28"/>
          <w:lang w:eastAsia="en-US"/>
        </w:rPr>
        <w:t>neto starptautisko investīciju pozīcija, % no IKP;</w:t>
      </w:r>
    </w:p>
    <w:p w14:paraId="442CA9DB" w14:textId="7D3631BC" w:rsidR="00380144" w:rsidRPr="00983CAA" w:rsidRDefault="00380144" w:rsidP="00FB2B77">
      <w:pPr>
        <w:pStyle w:val="ListParagraph"/>
        <w:numPr>
          <w:ilvl w:val="0"/>
          <w:numId w:val="19"/>
        </w:numPr>
        <w:spacing w:line="259" w:lineRule="auto"/>
        <w:jc w:val="both"/>
        <w:rPr>
          <w:rFonts w:ascii="Times New Roman" w:eastAsiaTheme="minorHAnsi" w:hAnsi="Times New Roman"/>
          <w:sz w:val="28"/>
          <w:szCs w:val="28"/>
          <w:lang w:eastAsia="en-US"/>
        </w:rPr>
      </w:pPr>
      <w:r w:rsidRPr="00983CAA">
        <w:rPr>
          <w:rFonts w:ascii="Times New Roman" w:eastAsiaTheme="minorHAnsi" w:hAnsi="Times New Roman"/>
          <w:sz w:val="28"/>
          <w:szCs w:val="28"/>
          <w:lang w:eastAsia="en-US"/>
        </w:rPr>
        <w:t>reālais efektīvais valūtas kurss (HICP deflators), trīs gadu % izmaiņas;</w:t>
      </w:r>
    </w:p>
    <w:p w14:paraId="007D0457" w14:textId="7DBEE225"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e</w:t>
      </w:r>
      <w:r w:rsidR="00380144" w:rsidRPr="00983CAA">
        <w:rPr>
          <w:rFonts w:ascii="Times New Roman" w:eastAsiaTheme="minorHAnsi" w:hAnsi="Times New Roman"/>
          <w:sz w:val="28"/>
          <w:szCs w:val="28"/>
          <w:lang w:eastAsia="en-US"/>
        </w:rPr>
        <w:t>ksporta tirgus daļa, % no pasaules eksporta, piecu gadu % izmaiņas;</w:t>
      </w:r>
    </w:p>
    <w:p w14:paraId="571C1F8C" w14:textId="6DCB6A65"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n</w:t>
      </w:r>
      <w:r w:rsidR="00380144" w:rsidRPr="00983CAA">
        <w:rPr>
          <w:rFonts w:ascii="Times New Roman" w:eastAsiaTheme="minorHAnsi" w:hAnsi="Times New Roman"/>
          <w:sz w:val="28"/>
          <w:szCs w:val="28"/>
          <w:lang w:eastAsia="en-US"/>
        </w:rPr>
        <w:t>ominālo vienības darbaspēka izmaksu indekss,</w:t>
      </w:r>
      <w:r w:rsidR="00380144" w:rsidRPr="00983CAA">
        <w:rPr>
          <w:rFonts w:eastAsiaTheme="minorHAnsi"/>
          <w:sz w:val="28"/>
          <w:vertAlign w:val="superscript"/>
          <w:lang w:eastAsia="en-US"/>
        </w:rPr>
        <w:footnoteReference w:id="4"/>
      </w:r>
      <w:r>
        <w:rPr>
          <w:rFonts w:ascii="Times New Roman" w:eastAsiaTheme="minorHAnsi" w:hAnsi="Times New Roman"/>
          <w:sz w:val="28"/>
          <w:szCs w:val="28"/>
          <w:lang w:eastAsia="en-US"/>
        </w:rPr>
        <w:t xml:space="preserve"> trīs</w:t>
      </w:r>
      <w:r w:rsidR="00380144" w:rsidRPr="00983CAA">
        <w:rPr>
          <w:rFonts w:ascii="Times New Roman" w:eastAsiaTheme="minorHAnsi" w:hAnsi="Times New Roman"/>
          <w:sz w:val="28"/>
          <w:szCs w:val="28"/>
          <w:lang w:eastAsia="en-US"/>
        </w:rPr>
        <w:t> gadu % izmaiņas, (2010=100);</w:t>
      </w:r>
    </w:p>
    <w:p w14:paraId="6CF32290" w14:textId="1B8BB4B5"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m</w:t>
      </w:r>
      <w:r w:rsidR="00380144" w:rsidRPr="00983CAA">
        <w:rPr>
          <w:rFonts w:ascii="Times New Roman" w:eastAsiaTheme="minorHAnsi" w:hAnsi="Times New Roman"/>
          <w:sz w:val="28"/>
          <w:szCs w:val="28"/>
          <w:lang w:eastAsia="en-US"/>
        </w:rPr>
        <w:t>ājokļu cenu indekss (2010=100), gada % izmaiņas;</w:t>
      </w:r>
    </w:p>
    <w:p w14:paraId="4681D869" w14:textId="57F95161"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p</w:t>
      </w:r>
      <w:r w:rsidR="00380144" w:rsidRPr="00983CAA">
        <w:rPr>
          <w:rFonts w:ascii="Times New Roman" w:eastAsiaTheme="minorHAnsi" w:hAnsi="Times New Roman"/>
          <w:sz w:val="28"/>
          <w:szCs w:val="28"/>
          <w:lang w:eastAsia="en-US"/>
        </w:rPr>
        <w:t>rivātā sektora konsolidētā kredītplūsma, % no IKP;</w:t>
      </w:r>
    </w:p>
    <w:p w14:paraId="7E5815C6" w14:textId="2A95C1B7"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p</w:t>
      </w:r>
      <w:r w:rsidR="00380144" w:rsidRPr="00983CAA">
        <w:rPr>
          <w:rFonts w:ascii="Times New Roman" w:eastAsiaTheme="minorHAnsi" w:hAnsi="Times New Roman"/>
          <w:sz w:val="28"/>
          <w:szCs w:val="28"/>
          <w:lang w:eastAsia="en-US"/>
        </w:rPr>
        <w:t>rivātā sektora konsolidētais parāds, % no IKP;</w:t>
      </w:r>
    </w:p>
    <w:p w14:paraId="144840C6" w14:textId="5590E36A"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v</w:t>
      </w:r>
      <w:r w:rsidR="00380144" w:rsidRPr="00983CAA">
        <w:rPr>
          <w:rFonts w:ascii="Times New Roman" w:eastAsiaTheme="minorHAnsi" w:hAnsi="Times New Roman"/>
          <w:sz w:val="28"/>
          <w:szCs w:val="28"/>
          <w:lang w:eastAsia="en-US"/>
        </w:rPr>
        <w:t>ispārējās valdības sektora parāds, % no IKP;</w:t>
      </w:r>
    </w:p>
    <w:p w14:paraId="32E99883" w14:textId="0A3B6033"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bezdarba līmenis, trīs</w:t>
      </w:r>
      <w:r w:rsidR="00380144" w:rsidRPr="00983CAA">
        <w:rPr>
          <w:rFonts w:ascii="Times New Roman" w:eastAsiaTheme="minorHAnsi" w:hAnsi="Times New Roman"/>
          <w:sz w:val="28"/>
          <w:szCs w:val="28"/>
          <w:lang w:eastAsia="en-US"/>
        </w:rPr>
        <w:t xml:space="preserve"> gadu vidējais;</w:t>
      </w:r>
    </w:p>
    <w:p w14:paraId="468CB65A" w14:textId="585527B3"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f</w:t>
      </w:r>
      <w:r w:rsidR="00380144" w:rsidRPr="00983CAA">
        <w:rPr>
          <w:rFonts w:ascii="Times New Roman" w:eastAsiaTheme="minorHAnsi" w:hAnsi="Times New Roman"/>
          <w:sz w:val="28"/>
          <w:szCs w:val="28"/>
          <w:lang w:eastAsia="en-US"/>
        </w:rPr>
        <w:t>inanšu sek</w:t>
      </w:r>
      <w:r>
        <w:rPr>
          <w:rFonts w:ascii="Times New Roman" w:eastAsiaTheme="minorHAnsi" w:hAnsi="Times New Roman"/>
          <w:sz w:val="28"/>
          <w:szCs w:val="28"/>
          <w:lang w:eastAsia="en-US"/>
        </w:rPr>
        <w:t>tora nekonsolidētās saistības, viena</w:t>
      </w:r>
      <w:r w:rsidR="00380144" w:rsidRPr="00983CAA">
        <w:rPr>
          <w:rFonts w:ascii="Times New Roman" w:eastAsiaTheme="minorHAnsi" w:hAnsi="Times New Roman"/>
          <w:sz w:val="28"/>
          <w:szCs w:val="28"/>
          <w:lang w:eastAsia="en-US"/>
        </w:rPr>
        <w:t xml:space="preserve"> gada % izmaiņas;</w:t>
      </w:r>
    </w:p>
    <w:p w14:paraId="1F3C6F97" w14:textId="1917FD0F"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i</w:t>
      </w:r>
      <w:r w:rsidR="00380144" w:rsidRPr="00983CAA">
        <w:rPr>
          <w:rFonts w:ascii="Times New Roman" w:eastAsiaTheme="minorHAnsi" w:hAnsi="Times New Roman"/>
          <w:sz w:val="28"/>
          <w:szCs w:val="28"/>
          <w:lang w:eastAsia="en-US"/>
        </w:rPr>
        <w:t>edzīvotāju eko</w:t>
      </w:r>
      <w:r>
        <w:rPr>
          <w:rFonts w:ascii="Times New Roman" w:eastAsiaTheme="minorHAnsi" w:hAnsi="Times New Roman"/>
          <w:sz w:val="28"/>
          <w:szCs w:val="28"/>
          <w:lang w:eastAsia="en-US"/>
        </w:rPr>
        <w:t>nomiskās aktivitātes līmenis – trīs</w:t>
      </w:r>
      <w:r w:rsidR="00380144" w:rsidRPr="00983CAA">
        <w:rPr>
          <w:rFonts w:ascii="Times New Roman" w:eastAsiaTheme="minorHAnsi" w:hAnsi="Times New Roman"/>
          <w:sz w:val="28"/>
          <w:szCs w:val="28"/>
          <w:lang w:eastAsia="en-US"/>
        </w:rPr>
        <w:t xml:space="preserve"> gadu izmaiņas procentu punktos no visiem iedzīvotājiem vecuma grupā no 15 līdz 64 gadiem;</w:t>
      </w:r>
    </w:p>
    <w:p w14:paraId="6C91C5F9" w14:textId="22A87613"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ilgtermiņa bezdarba līmenis – trīs</w:t>
      </w:r>
      <w:r w:rsidR="00380144" w:rsidRPr="00983CAA">
        <w:rPr>
          <w:rFonts w:ascii="Times New Roman" w:eastAsiaTheme="minorHAnsi" w:hAnsi="Times New Roman"/>
          <w:sz w:val="28"/>
          <w:szCs w:val="28"/>
          <w:lang w:eastAsia="en-US"/>
        </w:rPr>
        <w:t xml:space="preserve"> gadu izmaiņas procentu punktos no ekonomiski aktīvajiem iedzīvotājiem vecuma grupā no 15 līdz 74 gadiem;</w:t>
      </w:r>
    </w:p>
    <w:p w14:paraId="2F64E4A8" w14:textId="645E631E" w:rsidR="00380144" w:rsidRPr="00983CAA" w:rsidRDefault="00983CAA" w:rsidP="00FB2B77">
      <w:pPr>
        <w:pStyle w:val="ListParagraph"/>
        <w:numPr>
          <w:ilvl w:val="0"/>
          <w:numId w:val="19"/>
        </w:numPr>
        <w:spacing w:line="259"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jauniešu bezdarba līmenis – trīs</w:t>
      </w:r>
      <w:r w:rsidR="00380144" w:rsidRPr="00983CAA">
        <w:rPr>
          <w:rFonts w:ascii="Times New Roman" w:eastAsiaTheme="minorHAnsi" w:hAnsi="Times New Roman"/>
          <w:sz w:val="28"/>
          <w:szCs w:val="28"/>
          <w:lang w:eastAsia="en-US"/>
        </w:rPr>
        <w:t xml:space="preserve"> gadu izmaiņas procentu punktos no ekonomiski aktīvajiem iedzīvotājiem vecuma grupā no 15 līdz 24 gadiem.</w:t>
      </w:r>
    </w:p>
    <w:p w14:paraId="4CA4DCF8" w14:textId="77777777" w:rsidR="00380144" w:rsidRPr="00380144" w:rsidRDefault="00380144" w:rsidP="00401A5B">
      <w:pPr>
        <w:ind w:firstLine="567"/>
        <w:jc w:val="both"/>
        <w:rPr>
          <w:rFonts w:ascii="Times New Roman" w:eastAsiaTheme="minorHAnsi" w:hAnsi="Times New Roman"/>
          <w:sz w:val="28"/>
          <w:szCs w:val="28"/>
          <w:lang w:eastAsia="en-US"/>
        </w:rPr>
      </w:pPr>
      <w:r w:rsidRPr="00380144">
        <w:rPr>
          <w:rFonts w:ascii="Times New Roman" w:eastAsiaTheme="minorHAnsi" w:hAnsi="Times New Roman"/>
          <w:sz w:val="28"/>
          <w:szCs w:val="28"/>
          <w:lang w:eastAsia="en-US"/>
        </w:rPr>
        <w:t>Līdzīgi kā pamata rādītāju tehniskā neievērošana, arī jaunieviesto sociālo rādītāju robežvērtību tehniska neievērošana nevar kalpot par makroekonomiskās nesabalansētības fakta atzīšanu kādā no dalībvalstīm – šāds lēmums vienmēr tiek balstīts uz padziļinātu, vispārēju situācijas analīzi, ņemot vērā rādītāju dinamiku un attīstības perspektīvas.</w:t>
      </w:r>
    </w:p>
    <w:p w14:paraId="4FB1D7CC" w14:textId="77777777" w:rsidR="003F3FCD" w:rsidRPr="00EC328B" w:rsidRDefault="003F3FCD" w:rsidP="00401A5B">
      <w:pPr>
        <w:widowControl w:val="0"/>
        <w:ind w:firstLine="567"/>
        <w:jc w:val="both"/>
        <w:rPr>
          <w:rFonts w:ascii="Times New Roman" w:eastAsia="Times New Roman" w:hAnsi="Times New Roman" w:cs="Times New Roman"/>
          <w:sz w:val="24"/>
          <w:szCs w:val="24"/>
        </w:rPr>
      </w:pPr>
    </w:p>
    <w:p w14:paraId="74B085BF" w14:textId="2CFB6AC7" w:rsidR="003F3FCD" w:rsidRPr="00EC328B" w:rsidRDefault="000548A5" w:rsidP="00626934">
      <w:pPr>
        <w:pStyle w:val="Heading3"/>
        <w:rPr>
          <w:rFonts w:ascii="Calibri" w:hAnsi="Calibri" w:cs="Calibri"/>
        </w:rPr>
      </w:pPr>
      <w:r w:rsidRPr="00EC328B">
        <w:t> </w:t>
      </w:r>
      <w:bookmarkStart w:id="19" w:name="_Toc53154087"/>
      <w:r w:rsidR="00626934">
        <w:t xml:space="preserve">1.2.2. </w:t>
      </w:r>
      <w:r w:rsidRPr="00EC328B">
        <w:t>Pārmērīga makroekonomiskā nesabalansētība un Padziļināto izpētes ziņojumu izstrāde</w:t>
      </w:r>
      <w:bookmarkEnd w:id="19"/>
    </w:p>
    <w:p w14:paraId="3307EC05" w14:textId="77777777" w:rsidR="003F3FCD" w:rsidRDefault="003F3FCD" w:rsidP="00401A5B">
      <w:pPr>
        <w:widowControl w:val="0"/>
        <w:ind w:firstLine="720"/>
        <w:jc w:val="both"/>
        <w:rPr>
          <w:rFonts w:ascii="Times New Roman" w:eastAsia="Times New Roman" w:hAnsi="Times New Roman" w:cs="Times New Roman"/>
          <w:sz w:val="24"/>
        </w:rPr>
      </w:pPr>
    </w:p>
    <w:p w14:paraId="7BDCAC2D" w14:textId="5E2D5999" w:rsidR="00983CAA" w:rsidRDefault="00983CAA" w:rsidP="00401A5B">
      <w:pPr>
        <w:ind w:firstLine="720"/>
        <w:jc w:val="both"/>
        <w:rPr>
          <w:rFonts w:ascii="Times New Roman" w:eastAsiaTheme="minorHAnsi" w:hAnsi="Times New Roman"/>
          <w:sz w:val="28"/>
          <w:szCs w:val="28"/>
          <w:lang w:eastAsia="en-US"/>
        </w:rPr>
      </w:pPr>
      <w:r w:rsidRPr="00983CAA">
        <w:rPr>
          <w:rFonts w:ascii="Times New Roman" w:eastAsiaTheme="minorHAnsi" w:hAnsi="Times New Roman"/>
          <w:sz w:val="28"/>
          <w:szCs w:val="28"/>
          <w:lang w:eastAsia="en-US"/>
        </w:rPr>
        <w:t xml:space="preserve">2020.gada </w:t>
      </w:r>
      <w:r>
        <w:rPr>
          <w:rFonts w:ascii="Times New Roman" w:eastAsiaTheme="minorHAnsi" w:hAnsi="Times New Roman"/>
          <w:sz w:val="28"/>
          <w:szCs w:val="28"/>
          <w:lang w:eastAsia="en-US"/>
        </w:rPr>
        <w:t>AMR</w:t>
      </w:r>
      <w:r w:rsidRPr="00983CAA">
        <w:rPr>
          <w:rFonts w:ascii="Times New Roman" w:eastAsiaTheme="minorHAnsi" w:hAnsi="Times New Roman"/>
          <w:sz w:val="28"/>
          <w:szCs w:val="28"/>
          <w:lang w:eastAsia="en-US"/>
        </w:rPr>
        <w:t xml:space="preserve"> ietvertas 13 ES dalībvalstis, kas i</w:t>
      </w:r>
      <w:r>
        <w:rPr>
          <w:rFonts w:ascii="Times New Roman" w:eastAsiaTheme="minorHAnsi" w:hAnsi="Times New Roman"/>
          <w:sz w:val="28"/>
          <w:szCs w:val="28"/>
          <w:lang w:eastAsia="en-US"/>
        </w:rPr>
        <w:t>r identisks valstu skaits 2019.</w:t>
      </w:r>
      <w:r w:rsidRPr="00983CAA">
        <w:rPr>
          <w:rFonts w:ascii="Times New Roman" w:eastAsiaTheme="minorHAnsi" w:hAnsi="Times New Roman"/>
          <w:sz w:val="28"/>
          <w:szCs w:val="28"/>
          <w:lang w:eastAsia="en-US"/>
        </w:rPr>
        <w:t>gada ziņojumā ietvertajām valstīm, taču 2020. gada ziņojumā ir mainījies to valstu sastāvs, kurām ir konstatētas nesabalansētības un pārmērīgas nesabalansētības. Atšķirībā</w:t>
      </w:r>
      <w:r>
        <w:rPr>
          <w:rFonts w:ascii="Times New Roman" w:eastAsiaTheme="minorHAnsi" w:hAnsi="Times New Roman"/>
          <w:sz w:val="28"/>
          <w:szCs w:val="28"/>
          <w:lang w:eastAsia="en-US"/>
        </w:rPr>
        <w:t xml:space="preserve"> no iepriekšējiem gadiem par diviem</w:t>
      </w:r>
      <w:r w:rsidRPr="00983CAA">
        <w:rPr>
          <w:rFonts w:ascii="Times New Roman" w:eastAsiaTheme="minorHAnsi" w:hAnsi="Times New Roman"/>
          <w:sz w:val="28"/>
          <w:szCs w:val="28"/>
          <w:lang w:eastAsia="en-US"/>
        </w:rPr>
        <w:t xml:space="preserve"> gadījumiem ir palielinājies to valstu skaits, kurās ir konstatēta robežvērtību pārsniegšana. Lai gan sākot no 2016.gada valstu skaits, kurām veica padziļināto izpēti, ik gadu samazinājās, 2020.gada ziņojumā to skaits ir saglabājies iepriekšējā līmenī. Tāpat kā iepriekš kopš </w:t>
      </w:r>
      <w:r>
        <w:rPr>
          <w:rFonts w:ascii="Times New Roman" w:eastAsiaTheme="minorHAnsi" w:hAnsi="Times New Roman"/>
          <w:sz w:val="28"/>
          <w:szCs w:val="28"/>
          <w:lang w:eastAsia="en-US"/>
        </w:rPr>
        <w:t>AMR</w:t>
      </w:r>
      <w:r w:rsidRPr="00983CAA">
        <w:rPr>
          <w:rFonts w:ascii="Times New Roman" w:eastAsiaTheme="minorHAnsi" w:hAnsi="Times New Roman"/>
          <w:sz w:val="28"/>
          <w:szCs w:val="28"/>
          <w:lang w:eastAsia="en-US"/>
        </w:rPr>
        <w:t xml:space="preserve"> ieviešanas, Latvijā makroekonomiskās nesabalansētības nav konstatētas un par Latviju nav t</w:t>
      </w:r>
      <w:r>
        <w:rPr>
          <w:rFonts w:ascii="Times New Roman" w:eastAsiaTheme="minorHAnsi" w:hAnsi="Times New Roman"/>
          <w:sz w:val="28"/>
          <w:szCs w:val="28"/>
          <w:lang w:eastAsia="en-US"/>
        </w:rPr>
        <w:t>ikusi veikta padziļinātā izpēte (skat. 1.43.att.)</w:t>
      </w:r>
    </w:p>
    <w:p w14:paraId="157F5FF5" w14:textId="77777777" w:rsidR="00983CAA" w:rsidRPr="00983CAA" w:rsidRDefault="00983CAA" w:rsidP="00401A5B">
      <w:pPr>
        <w:ind w:firstLine="720"/>
        <w:jc w:val="both"/>
        <w:rPr>
          <w:rFonts w:ascii="Times New Roman" w:eastAsiaTheme="minorHAnsi" w:hAnsi="Times New Roman"/>
          <w:sz w:val="28"/>
          <w:szCs w:val="28"/>
          <w:lang w:eastAsia="en-US"/>
        </w:rPr>
      </w:pPr>
    </w:p>
    <w:p w14:paraId="5BC632C2" w14:textId="77777777" w:rsidR="00983CAA" w:rsidRPr="00983CAA" w:rsidRDefault="00983CAA" w:rsidP="00401A5B">
      <w:pPr>
        <w:jc w:val="both"/>
        <w:rPr>
          <w:rFonts w:ascii="Times New Roman" w:eastAsiaTheme="minorHAnsi" w:hAnsi="Times New Roman" w:cs="Times New Roman"/>
          <w:sz w:val="24"/>
          <w:szCs w:val="24"/>
          <w:lang w:eastAsia="en-US"/>
        </w:rPr>
      </w:pPr>
      <w:r w:rsidRPr="00983CAA">
        <w:rPr>
          <w:rFonts w:ascii="Times New Roman" w:eastAsiaTheme="minorHAnsi" w:hAnsi="Times New Roman" w:cs="Times New Roman"/>
          <w:noProof/>
          <w:sz w:val="24"/>
          <w:szCs w:val="24"/>
        </w:rPr>
        <w:drawing>
          <wp:inline distT="0" distB="0" distL="0" distR="0" wp14:anchorId="637814B9" wp14:editId="31516479">
            <wp:extent cx="5784112" cy="3115339"/>
            <wp:effectExtent l="0" t="0" r="7620" b="889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D96126B" w14:textId="3702EC6A" w:rsidR="00983CAA" w:rsidRPr="00983CAA" w:rsidRDefault="00983CAA" w:rsidP="00401A5B">
      <w:pPr>
        <w:jc w:val="center"/>
        <w:rPr>
          <w:rFonts w:ascii="Times New Roman" w:eastAsia="Calibri" w:hAnsi="Times New Roman" w:cs="Times New Roman"/>
          <w:b/>
          <w:i/>
          <w:sz w:val="24"/>
          <w:szCs w:val="24"/>
          <w:lang w:eastAsia="en-US"/>
        </w:rPr>
      </w:pPr>
      <w:r w:rsidRPr="00983CAA">
        <w:rPr>
          <w:rFonts w:ascii="Times New Roman" w:eastAsia="Calibri" w:hAnsi="Times New Roman" w:cs="Times New Roman"/>
          <w:b/>
          <w:i/>
          <w:sz w:val="24"/>
          <w:szCs w:val="24"/>
          <w:lang w:eastAsia="en-US"/>
        </w:rPr>
        <w:t>1.43</w:t>
      </w:r>
      <w:r>
        <w:rPr>
          <w:rFonts w:ascii="Times New Roman" w:eastAsia="Calibri" w:hAnsi="Times New Roman" w:cs="Times New Roman"/>
          <w:b/>
          <w:i/>
          <w:sz w:val="24"/>
          <w:szCs w:val="24"/>
          <w:lang w:eastAsia="en-US"/>
        </w:rPr>
        <w:t>.</w:t>
      </w:r>
      <w:r w:rsidRPr="00983CAA">
        <w:rPr>
          <w:rFonts w:ascii="Times New Roman" w:eastAsia="Calibri" w:hAnsi="Times New Roman" w:cs="Times New Roman"/>
          <w:b/>
          <w:i/>
          <w:sz w:val="24"/>
          <w:szCs w:val="24"/>
          <w:lang w:eastAsia="en-US"/>
        </w:rPr>
        <w:t xml:space="preserve">att. Valstu skaits, kurās pārsniegts </w:t>
      </w:r>
      <w:r>
        <w:rPr>
          <w:rFonts w:ascii="Times New Roman" w:eastAsiaTheme="minorHAnsi" w:hAnsi="Times New Roman" w:cs="Times New Roman"/>
          <w:b/>
          <w:i/>
          <w:sz w:val="24"/>
          <w:szCs w:val="24"/>
          <w:lang w:eastAsia="en-US"/>
        </w:rPr>
        <w:t>AMR</w:t>
      </w:r>
      <w:r w:rsidRPr="00983CAA">
        <w:rPr>
          <w:rFonts w:ascii="Times New Roman" w:eastAsiaTheme="minorHAnsi" w:hAnsi="Times New Roman" w:cs="Times New Roman"/>
          <w:b/>
          <w:i/>
          <w:sz w:val="24"/>
          <w:szCs w:val="24"/>
          <w:lang w:eastAsia="en-US"/>
        </w:rPr>
        <w:t xml:space="preserve"> rādītāju </w:t>
      </w:r>
      <w:r w:rsidRPr="00983CAA">
        <w:rPr>
          <w:rFonts w:ascii="Times New Roman" w:eastAsia="Calibri" w:hAnsi="Times New Roman" w:cs="Times New Roman"/>
          <w:b/>
          <w:i/>
          <w:sz w:val="24"/>
          <w:szCs w:val="24"/>
          <w:lang w:eastAsia="en-US"/>
        </w:rPr>
        <w:t>noteikt</w:t>
      </w:r>
      <w:r>
        <w:rPr>
          <w:rFonts w:ascii="Times New Roman" w:eastAsia="Calibri" w:hAnsi="Times New Roman" w:cs="Times New Roman"/>
          <w:b/>
          <w:i/>
          <w:sz w:val="24"/>
          <w:szCs w:val="24"/>
          <w:lang w:eastAsia="en-US"/>
        </w:rPr>
        <w:t>ais</w:t>
      </w:r>
      <w:r w:rsidRPr="00983CAA">
        <w:rPr>
          <w:rFonts w:ascii="Times New Roman" w:eastAsia="Calibri" w:hAnsi="Times New Roman" w:cs="Times New Roman"/>
          <w:b/>
          <w:i/>
          <w:sz w:val="24"/>
          <w:szCs w:val="24"/>
          <w:lang w:eastAsia="en-US"/>
        </w:rPr>
        <w:t xml:space="preserve"> robežslieksn</w:t>
      </w:r>
      <w:r>
        <w:rPr>
          <w:rFonts w:ascii="Times New Roman" w:eastAsia="Calibri" w:hAnsi="Times New Roman" w:cs="Times New Roman"/>
          <w:b/>
          <w:i/>
          <w:sz w:val="24"/>
          <w:szCs w:val="24"/>
          <w:lang w:eastAsia="en-US"/>
        </w:rPr>
        <w:t>is</w:t>
      </w:r>
      <w:r w:rsidRPr="00983CAA">
        <w:rPr>
          <w:rFonts w:ascii="Times New Roman" w:eastAsia="Calibri" w:hAnsi="Times New Roman" w:cs="Times New Roman"/>
          <w:b/>
          <w:i/>
          <w:sz w:val="24"/>
          <w:szCs w:val="24"/>
          <w:lang w:eastAsia="en-US"/>
        </w:rPr>
        <w:t xml:space="preserve"> (pa rādītājiem)</w:t>
      </w:r>
    </w:p>
    <w:p w14:paraId="614D79D2" w14:textId="77777777" w:rsidR="00983CAA" w:rsidRPr="00983CAA" w:rsidRDefault="00983CAA" w:rsidP="00401A5B">
      <w:pPr>
        <w:ind w:firstLine="720"/>
        <w:jc w:val="both"/>
        <w:rPr>
          <w:rFonts w:ascii="Times New Roman" w:eastAsiaTheme="minorHAnsi" w:hAnsi="Times New Roman"/>
          <w:sz w:val="28"/>
          <w:szCs w:val="28"/>
          <w:lang w:eastAsia="en-US"/>
        </w:rPr>
      </w:pPr>
    </w:p>
    <w:p w14:paraId="74475D27" w14:textId="13CF5BC6" w:rsidR="00983CAA" w:rsidRPr="00983CAA" w:rsidRDefault="00983CAA" w:rsidP="00401A5B">
      <w:pPr>
        <w:ind w:firstLine="720"/>
        <w:jc w:val="both"/>
        <w:rPr>
          <w:rFonts w:ascii="Times New Roman" w:eastAsiaTheme="minorHAnsi" w:hAnsi="Times New Roman"/>
          <w:sz w:val="28"/>
          <w:szCs w:val="28"/>
          <w:lang w:eastAsia="en-US"/>
        </w:rPr>
      </w:pPr>
      <w:r w:rsidRPr="00983CAA">
        <w:rPr>
          <w:rFonts w:ascii="Times New Roman" w:eastAsiaTheme="minorHAnsi" w:hAnsi="Times New Roman"/>
          <w:sz w:val="28"/>
          <w:szCs w:val="28"/>
          <w:lang w:eastAsia="en-US"/>
        </w:rPr>
        <w:t xml:space="preserve">Saskaņā ar 2020 gada </w:t>
      </w:r>
      <w:r>
        <w:rPr>
          <w:rFonts w:ascii="Times New Roman" w:eastAsiaTheme="minorHAnsi" w:hAnsi="Times New Roman"/>
          <w:sz w:val="28"/>
          <w:szCs w:val="28"/>
          <w:lang w:eastAsia="en-US"/>
        </w:rPr>
        <w:t>AMR</w:t>
      </w:r>
      <w:r w:rsidRPr="00983CAA">
        <w:rPr>
          <w:rFonts w:ascii="Times New Roman" w:eastAsiaTheme="minorHAnsi" w:hAnsi="Times New Roman"/>
          <w:sz w:val="28"/>
          <w:szCs w:val="28"/>
          <w:lang w:eastAsia="en-US"/>
        </w:rPr>
        <w:t xml:space="preserve"> padziļinātā izpētes procedūra ir uzsākta 13 valstīm – Bulgārijai, Horvātijai, Francijai, Vācijai, Īrijai, Nīderlandei, Portugālei, Rumānijai, Spānijai un Zviedrijai, kā arī Kiprai, Grieķijai un Itālijai, kurās ir konstatētas pārmērīgas nesabalan</w:t>
      </w:r>
      <w:r>
        <w:rPr>
          <w:rFonts w:ascii="Times New Roman" w:eastAsiaTheme="minorHAnsi" w:hAnsi="Times New Roman"/>
          <w:sz w:val="28"/>
          <w:szCs w:val="28"/>
          <w:lang w:eastAsia="en-US"/>
        </w:rPr>
        <w:t>sētības (skat. 1.5.tabulu).</w:t>
      </w:r>
    </w:p>
    <w:p w14:paraId="70CDA8A3" w14:textId="77777777" w:rsidR="00983CAA" w:rsidRPr="00983CAA" w:rsidRDefault="00983CAA" w:rsidP="00401A5B">
      <w:pPr>
        <w:ind w:firstLine="720"/>
        <w:jc w:val="both"/>
        <w:rPr>
          <w:rFonts w:ascii="Times New Roman" w:eastAsiaTheme="minorHAnsi" w:hAnsi="Times New Roman"/>
          <w:sz w:val="28"/>
          <w:szCs w:val="28"/>
          <w:lang w:eastAsia="en-US"/>
        </w:rPr>
      </w:pPr>
    </w:p>
    <w:p w14:paraId="1CCB5EA4" w14:textId="23605EA8" w:rsidR="00983CAA" w:rsidRPr="00983CAA" w:rsidRDefault="00983CAA" w:rsidP="00401A5B">
      <w:pPr>
        <w:jc w:val="right"/>
        <w:rPr>
          <w:rFonts w:ascii="Times New Roman" w:eastAsiaTheme="minorHAnsi" w:hAnsi="Times New Roman"/>
          <w:b/>
          <w:i/>
          <w:sz w:val="24"/>
          <w:szCs w:val="24"/>
          <w:lang w:eastAsia="en-US"/>
        </w:rPr>
      </w:pPr>
      <w:r w:rsidRPr="00983CAA">
        <w:rPr>
          <w:rFonts w:ascii="Times New Roman" w:eastAsiaTheme="minorHAnsi" w:hAnsi="Times New Roman"/>
          <w:b/>
          <w:i/>
          <w:sz w:val="24"/>
          <w:szCs w:val="24"/>
          <w:lang w:eastAsia="en-US"/>
        </w:rPr>
        <w:t xml:space="preserve">1.5. tabula. 2020.gada </w:t>
      </w:r>
      <w:r>
        <w:rPr>
          <w:rFonts w:ascii="Times New Roman" w:eastAsiaTheme="minorHAnsi" w:hAnsi="Times New Roman"/>
          <w:b/>
          <w:i/>
          <w:sz w:val="24"/>
          <w:szCs w:val="24"/>
          <w:lang w:eastAsia="en-US"/>
        </w:rPr>
        <w:t>AMR</w:t>
      </w:r>
      <w:r w:rsidRPr="00983CAA">
        <w:rPr>
          <w:rFonts w:ascii="Times New Roman" w:eastAsiaTheme="minorHAnsi" w:hAnsi="Times New Roman"/>
          <w:b/>
          <w:i/>
          <w:sz w:val="24"/>
          <w:szCs w:val="24"/>
          <w:lang w:eastAsia="en-US"/>
        </w:rPr>
        <w:t xml:space="preserve"> rezultāts</w:t>
      </w:r>
      <w:r w:rsidRPr="00983CAA">
        <w:rPr>
          <w:rFonts w:ascii="Times New Roman" w:eastAsiaTheme="minorHAnsi" w:hAnsi="Times New Roman"/>
          <w:b/>
          <w:i/>
          <w:sz w:val="24"/>
          <w:szCs w:val="24"/>
          <w:vertAlign w:val="superscript"/>
          <w:lang w:eastAsia="en-US"/>
        </w:rPr>
        <w:footnoteReference w:id="5"/>
      </w:r>
    </w:p>
    <w:tbl>
      <w:tblPr>
        <w:tblStyle w:val="ListTable2-Accent1"/>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4947"/>
      </w:tblGrid>
      <w:tr w:rsidR="00983CAA" w:rsidRPr="00983CAA" w14:paraId="28BA4AF1" w14:textId="77777777" w:rsidTr="00792CED">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4122" w:type="dxa"/>
          </w:tcPr>
          <w:p w14:paraId="40FA82EF" w14:textId="77777777" w:rsidR="00983CAA" w:rsidRPr="00983CAA" w:rsidRDefault="00983CAA" w:rsidP="00FB2B77">
            <w:pPr>
              <w:numPr>
                <w:ilvl w:val="0"/>
                <w:numId w:val="20"/>
              </w:numPr>
              <w:contextualSpacing/>
              <w:rPr>
                <w:rFonts w:ascii="Times New Roman" w:hAnsi="Times New Roman" w:cs="Times New Roman"/>
                <w:sz w:val="21"/>
                <w:szCs w:val="21"/>
              </w:rPr>
            </w:pPr>
            <w:r w:rsidRPr="00983CAA">
              <w:rPr>
                <w:rFonts w:ascii="Times New Roman" w:hAnsi="Times New Roman" w:cs="Times New Roman"/>
                <w:sz w:val="21"/>
                <w:szCs w:val="21"/>
              </w:rPr>
              <w:t xml:space="preserve">Nesabalansētības netika konstatētas un netiek iniciēta Padziļinātā izpētes ziņojuma izstrāde </w:t>
            </w:r>
          </w:p>
        </w:tc>
        <w:tc>
          <w:tcPr>
            <w:tcW w:w="4947" w:type="dxa"/>
          </w:tcPr>
          <w:p w14:paraId="657DDDFE" w14:textId="77777777" w:rsidR="00983CAA" w:rsidRPr="00983CAA" w:rsidRDefault="00983CAA" w:rsidP="00401A5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983CAA">
              <w:rPr>
                <w:rFonts w:ascii="Times New Roman" w:hAnsi="Times New Roman" w:cs="Times New Roman"/>
                <w:b w:val="0"/>
                <w:sz w:val="21"/>
                <w:szCs w:val="21"/>
              </w:rPr>
              <w:t>Austrija, Beļģija, Igaunija, Ungārija, Apvienotā Karaliste, Čehija, Dānija, Latvija, Lietuva, Luksemburga, Malta, Slovākija, Polija, Slovēnija, Somija</w:t>
            </w:r>
          </w:p>
        </w:tc>
      </w:tr>
      <w:tr w:rsidR="00983CAA" w:rsidRPr="00983CAA" w14:paraId="2F7183A6" w14:textId="77777777" w:rsidTr="00792CED">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4122" w:type="dxa"/>
          </w:tcPr>
          <w:p w14:paraId="0DD9C816" w14:textId="77777777" w:rsidR="00983CAA" w:rsidRPr="00983CAA" w:rsidRDefault="00983CAA" w:rsidP="00FB2B77">
            <w:pPr>
              <w:numPr>
                <w:ilvl w:val="0"/>
                <w:numId w:val="20"/>
              </w:numPr>
              <w:contextualSpacing/>
              <w:rPr>
                <w:rFonts w:ascii="Times New Roman" w:hAnsi="Times New Roman" w:cs="Times New Roman"/>
                <w:sz w:val="21"/>
                <w:szCs w:val="21"/>
              </w:rPr>
            </w:pPr>
            <w:r w:rsidRPr="00983CAA">
              <w:rPr>
                <w:rFonts w:ascii="Times New Roman" w:hAnsi="Times New Roman" w:cs="Times New Roman"/>
                <w:sz w:val="21"/>
                <w:szCs w:val="21"/>
              </w:rPr>
              <w:t>Pastāv makroekonomiskās nesabalansētības</w:t>
            </w:r>
          </w:p>
        </w:tc>
        <w:tc>
          <w:tcPr>
            <w:tcW w:w="4947" w:type="dxa"/>
          </w:tcPr>
          <w:p w14:paraId="76DDA0DF" w14:textId="77777777" w:rsidR="00983CAA" w:rsidRPr="00983CAA" w:rsidRDefault="00983CAA" w:rsidP="00401A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983CAA">
              <w:rPr>
                <w:rFonts w:ascii="Times New Roman" w:hAnsi="Times New Roman" w:cs="Times New Roman"/>
                <w:sz w:val="21"/>
                <w:szCs w:val="21"/>
              </w:rPr>
              <w:t>Bulgārija, Horvātija, Francija, Vācija, Īrija, Nīderlande, Portugāle, Rumānija, Spānija un Zviedrija</w:t>
            </w:r>
          </w:p>
        </w:tc>
      </w:tr>
      <w:tr w:rsidR="00983CAA" w:rsidRPr="00983CAA" w14:paraId="59EE1AFA" w14:textId="77777777" w:rsidTr="00792CED">
        <w:trPr>
          <w:trHeight w:val="495"/>
          <w:jc w:val="center"/>
        </w:trPr>
        <w:tc>
          <w:tcPr>
            <w:cnfStyle w:val="001000000000" w:firstRow="0" w:lastRow="0" w:firstColumn="1" w:lastColumn="0" w:oddVBand="0" w:evenVBand="0" w:oddHBand="0" w:evenHBand="0" w:firstRowFirstColumn="0" w:firstRowLastColumn="0" w:lastRowFirstColumn="0" w:lastRowLastColumn="0"/>
            <w:tcW w:w="4122" w:type="dxa"/>
          </w:tcPr>
          <w:p w14:paraId="30D43BDE" w14:textId="77777777" w:rsidR="00983CAA" w:rsidRPr="00983CAA" w:rsidRDefault="00983CAA" w:rsidP="00FB2B77">
            <w:pPr>
              <w:numPr>
                <w:ilvl w:val="0"/>
                <w:numId w:val="20"/>
              </w:numPr>
              <w:contextualSpacing/>
              <w:rPr>
                <w:rFonts w:ascii="Times New Roman" w:hAnsi="Times New Roman" w:cs="Times New Roman"/>
                <w:sz w:val="21"/>
                <w:szCs w:val="21"/>
              </w:rPr>
            </w:pPr>
            <w:r w:rsidRPr="00983CAA">
              <w:rPr>
                <w:rFonts w:ascii="Times New Roman" w:hAnsi="Times New Roman" w:cs="Times New Roman"/>
                <w:sz w:val="21"/>
                <w:szCs w:val="21"/>
              </w:rPr>
              <w:t>Pastāv pārmērīgas makroekonomiskās nesabalansētības</w:t>
            </w:r>
          </w:p>
        </w:tc>
        <w:tc>
          <w:tcPr>
            <w:tcW w:w="4947" w:type="dxa"/>
          </w:tcPr>
          <w:p w14:paraId="59096ED7" w14:textId="77777777" w:rsidR="00983CAA" w:rsidRPr="00983CAA" w:rsidRDefault="00983CAA" w:rsidP="00401A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983CAA">
              <w:rPr>
                <w:rFonts w:ascii="Times New Roman" w:hAnsi="Times New Roman" w:cs="Times New Roman"/>
                <w:sz w:val="21"/>
                <w:szCs w:val="21"/>
              </w:rPr>
              <w:t>Kipra, Grieķija un Itālija</w:t>
            </w:r>
          </w:p>
        </w:tc>
      </w:tr>
      <w:tr w:rsidR="00983CAA" w:rsidRPr="00983CAA" w14:paraId="383606D5" w14:textId="77777777" w:rsidTr="00792CED">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4122" w:type="dxa"/>
          </w:tcPr>
          <w:p w14:paraId="1E8DBFBD" w14:textId="77777777" w:rsidR="00983CAA" w:rsidRPr="00983CAA" w:rsidRDefault="00983CAA" w:rsidP="00FB2B77">
            <w:pPr>
              <w:numPr>
                <w:ilvl w:val="0"/>
                <w:numId w:val="20"/>
              </w:numPr>
              <w:contextualSpacing/>
              <w:rPr>
                <w:rFonts w:ascii="Times New Roman" w:hAnsi="Times New Roman" w:cs="Times New Roman"/>
                <w:sz w:val="21"/>
                <w:szCs w:val="21"/>
              </w:rPr>
            </w:pPr>
            <w:r w:rsidRPr="00983CAA">
              <w:rPr>
                <w:rFonts w:ascii="Times New Roman" w:hAnsi="Times New Roman" w:cs="Times New Roman"/>
                <w:sz w:val="21"/>
                <w:szCs w:val="21"/>
              </w:rPr>
              <w:t>Kopā, no 28 ES dalībvalstīm Padziļinātās izpētes ziņojumi izstrādāti</w:t>
            </w:r>
          </w:p>
        </w:tc>
        <w:tc>
          <w:tcPr>
            <w:tcW w:w="4947" w:type="dxa"/>
          </w:tcPr>
          <w:p w14:paraId="3F01841C" w14:textId="77777777" w:rsidR="00983CAA" w:rsidRPr="00983CAA" w:rsidRDefault="00983CAA" w:rsidP="00401A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983CAA">
              <w:rPr>
                <w:rFonts w:ascii="Times New Roman" w:hAnsi="Times New Roman" w:cs="Times New Roman"/>
                <w:sz w:val="21"/>
                <w:szCs w:val="21"/>
              </w:rPr>
              <w:t>13 dalībvalstīs</w:t>
            </w:r>
          </w:p>
        </w:tc>
      </w:tr>
    </w:tbl>
    <w:p w14:paraId="0BB0D8FF" w14:textId="77777777" w:rsidR="00983CAA" w:rsidRPr="00983CAA" w:rsidRDefault="00983CAA" w:rsidP="00401A5B">
      <w:pPr>
        <w:ind w:firstLine="720"/>
        <w:jc w:val="both"/>
        <w:rPr>
          <w:rFonts w:ascii="Times New Roman" w:eastAsiaTheme="minorHAnsi" w:hAnsi="Times New Roman"/>
          <w:sz w:val="28"/>
          <w:szCs w:val="28"/>
          <w:lang w:eastAsia="en-US"/>
        </w:rPr>
      </w:pPr>
    </w:p>
    <w:p w14:paraId="1A816A48" w14:textId="49A45DF5" w:rsidR="00983CAA" w:rsidRPr="00983CAA" w:rsidRDefault="00983CAA" w:rsidP="00401A5B">
      <w:pPr>
        <w:ind w:firstLine="720"/>
        <w:jc w:val="both"/>
        <w:rPr>
          <w:rFonts w:ascii="Times New Roman" w:eastAsiaTheme="minorHAnsi" w:hAnsi="Times New Roman"/>
          <w:sz w:val="28"/>
          <w:szCs w:val="28"/>
          <w:lang w:eastAsia="en-US"/>
        </w:rPr>
      </w:pPr>
      <w:r w:rsidRPr="00983CAA">
        <w:rPr>
          <w:rFonts w:ascii="Times New Roman" w:eastAsiaTheme="minorHAnsi" w:hAnsi="Times New Roman"/>
          <w:sz w:val="28"/>
          <w:szCs w:val="28"/>
          <w:lang w:eastAsia="en-US"/>
        </w:rPr>
        <w:t xml:space="preserve">Attiecībā uz situāciju dalībvalstīs kopumā 2020.gada </w:t>
      </w:r>
      <w:r>
        <w:rPr>
          <w:rFonts w:ascii="Times New Roman" w:eastAsiaTheme="minorHAnsi" w:hAnsi="Times New Roman"/>
          <w:sz w:val="28"/>
          <w:szCs w:val="28"/>
          <w:lang w:eastAsia="en-US"/>
        </w:rPr>
        <w:t>AMR</w:t>
      </w:r>
      <w:r w:rsidRPr="00983CAA">
        <w:rPr>
          <w:rFonts w:ascii="Times New Roman" w:eastAsiaTheme="minorHAnsi" w:hAnsi="Times New Roman"/>
          <w:sz w:val="28"/>
          <w:szCs w:val="28"/>
          <w:lang w:eastAsia="en-US"/>
        </w:rPr>
        <w:t xml:space="preserve"> ir norādīts, ka līdz šim vērojamā makroekonomikas nelīdzsvarotība ir pamazām mazinājusies, pateicoties labvēlīgiem ekonomikas apstākļiem. Pateicoties aizņemto līdzekļu īpatsvara vispārējas samazināšanās procesam pēckrīzes periodā, ir novērstas vairākas “plūsmu” nelīdzsvarotības un neilgtspējīgas tendences (īpaši lielie tekošā konta deficīti, pārmērīgs izsniegto kredītu apjoms, kas dzen uz augšu mājokļu cenas, augstās  nominālās vienības darbaspēka izmaksas, kā rezultātā mazinās izmaksu konkurētspēja). Pārējo nelīdzsvarotību (lielo privātā, valsts sektora, un kopējā ārējā parāda) novēršana ir virzījusies lēnāk salīdzinājumā ar iepriekšējiem gadiem, taču līdz ar ekonomikas izaugsmi un cenu pieauguma atsākšanos pēdējos gados valsts un privātā sektora</w:t>
      </w:r>
      <w:r w:rsidRPr="00983CAA">
        <w:rPr>
          <w:rFonts w:ascii="Times New Roman" w:eastAsiaTheme="minorHAnsi" w:hAnsi="Times New Roman"/>
          <w:b/>
          <w:sz w:val="28"/>
          <w:szCs w:val="28"/>
          <w:lang w:eastAsia="en-US"/>
        </w:rPr>
        <w:t xml:space="preserve"> </w:t>
      </w:r>
      <w:r w:rsidRPr="00983CAA">
        <w:rPr>
          <w:rFonts w:ascii="Times New Roman" w:eastAsiaTheme="minorHAnsi" w:hAnsi="Times New Roman"/>
          <w:sz w:val="28"/>
          <w:szCs w:val="28"/>
          <w:lang w:eastAsia="en-US"/>
        </w:rPr>
        <w:t xml:space="preserve">parāda attiecība pret IKP ir uzrādījusi noteiktāku samazināšanās tendenci. Vienlaikus jāatzīmē, ka pēdējā laikā līdz ar ekonomiskās aktivitātes straujāku palielināšanos vairākās dalībvalstīs (t.sk. Latvijā) ir bijis vērojams arī pieaugošs nominālās darbaspēka vienības izmaksu un mājokļu cenu kāpums. </w:t>
      </w:r>
    </w:p>
    <w:p w14:paraId="71D7161C" w14:textId="62BEB76B" w:rsidR="00983CAA" w:rsidRPr="00983CAA" w:rsidRDefault="00983CAA" w:rsidP="00401A5B">
      <w:pPr>
        <w:ind w:firstLine="720"/>
        <w:jc w:val="both"/>
        <w:rPr>
          <w:rFonts w:ascii="Times New Roman" w:eastAsiaTheme="minorHAnsi" w:hAnsi="Times New Roman"/>
          <w:sz w:val="28"/>
          <w:szCs w:val="28"/>
          <w:lang w:eastAsia="en-US"/>
        </w:rPr>
      </w:pPr>
      <w:r w:rsidRPr="00983CAA">
        <w:rPr>
          <w:rFonts w:ascii="Times New Roman" w:eastAsiaTheme="minorHAnsi" w:hAnsi="Times New Roman"/>
          <w:sz w:val="28"/>
          <w:szCs w:val="28"/>
          <w:lang w:eastAsia="en-US"/>
        </w:rPr>
        <w:t xml:space="preserve">Ziņojumā </w:t>
      </w:r>
      <w:r>
        <w:rPr>
          <w:rFonts w:ascii="Times New Roman" w:eastAsiaTheme="minorHAnsi" w:hAnsi="Times New Roman"/>
          <w:sz w:val="28"/>
          <w:szCs w:val="28"/>
          <w:lang w:eastAsia="en-US"/>
        </w:rPr>
        <w:t>EK</w:t>
      </w:r>
      <w:r w:rsidRPr="00983CAA">
        <w:rPr>
          <w:rFonts w:ascii="Times New Roman" w:eastAsiaTheme="minorHAnsi" w:hAnsi="Times New Roman"/>
          <w:sz w:val="28"/>
          <w:szCs w:val="28"/>
          <w:lang w:eastAsia="en-US"/>
        </w:rPr>
        <w:t xml:space="preserve"> ir norādījusi, ka sagatavojot nākamos ziņojumus ir nepieciešams cieši uzraudzīt vairākas tendences, kas to ieilgšanas gadījumā varētu radīt makroekonomiskus riskus. Minētās tendences ir nominālo vienības darbaspēka izmaksu attīstība un to ietekme uz ārējo konkurētspēju vairākās dalībvalstīs (Čehija, Igaunija, Latvija, Lietuva, Slovākija un Ungārija) un mājokļu tirgu un mājsaimniecību parāda attīstība (Apvienotā Karaliste, Austrija, Beļģija, Čehija, Dānija, Luksemburga, Slovākija, Slovēnija, Somija un Ungārija).</w:t>
      </w:r>
    </w:p>
    <w:p w14:paraId="5F78B18F" w14:textId="77777777" w:rsidR="003F3FCD" w:rsidRDefault="003F3FCD" w:rsidP="00401A5B">
      <w:pPr>
        <w:widowControl w:val="0"/>
        <w:ind w:firstLine="720"/>
        <w:jc w:val="both"/>
        <w:rPr>
          <w:rFonts w:ascii="Times New Roman" w:eastAsia="Times New Roman" w:hAnsi="Times New Roman" w:cs="Times New Roman"/>
          <w:sz w:val="24"/>
        </w:rPr>
      </w:pPr>
    </w:p>
    <w:p w14:paraId="2FFA1421" w14:textId="4131A5CC" w:rsidR="003F3FCD" w:rsidRDefault="00983CAA" w:rsidP="00FB2B77">
      <w:pPr>
        <w:pStyle w:val="Heading3"/>
        <w:numPr>
          <w:ilvl w:val="2"/>
          <w:numId w:val="11"/>
        </w:numPr>
      </w:pPr>
      <w:bookmarkStart w:id="20" w:name="_Toc53154088"/>
      <w:r w:rsidRPr="00983CAA">
        <w:t>Latvijas ekonomiskās situācijas novērtējums 2020.gada AMR ziņojumā un iespējamās tendences 2021.gada ziņojumā</w:t>
      </w:r>
      <w:bookmarkEnd w:id="20"/>
    </w:p>
    <w:p w14:paraId="43827FCE" w14:textId="77777777" w:rsidR="003C0B3A" w:rsidRDefault="003C0B3A" w:rsidP="00401A5B">
      <w:pPr>
        <w:keepNext/>
        <w:keepLines/>
        <w:widowControl w:val="0"/>
        <w:ind w:left="624" w:hanging="720"/>
        <w:jc w:val="center"/>
        <w:rPr>
          <w:rFonts w:ascii="Times New Roman" w:eastAsia="Times New Roman" w:hAnsi="Times New Roman" w:cs="Times New Roman"/>
          <w:b/>
          <w:sz w:val="28"/>
        </w:rPr>
      </w:pPr>
    </w:p>
    <w:p w14:paraId="67360FAE" w14:textId="1C2BF415" w:rsidR="003C0B3A" w:rsidRPr="003C0B3A" w:rsidRDefault="003C0B3A" w:rsidP="00401A5B">
      <w:pPr>
        <w:ind w:firstLine="720"/>
        <w:jc w:val="both"/>
        <w:rPr>
          <w:rFonts w:ascii="Times New Roman" w:hAnsi="Times New Roman" w:cs="Times New Roman"/>
          <w:sz w:val="28"/>
          <w:szCs w:val="28"/>
        </w:rPr>
      </w:pPr>
      <w:r w:rsidRPr="003C0B3A">
        <w:rPr>
          <w:rFonts w:ascii="Times New Roman" w:hAnsi="Times New Roman" w:cs="Times New Roman"/>
          <w:sz w:val="28"/>
          <w:szCs w:val="28"/>
        </w:rPr>
        <w:t xml:space="preserve">Lai gan 2020.gada </w:t>
      </w:r>
      <w:r>
        <w:rPr>
          <w:rFonts w:ascii="Times New Roman" w:hAnsi="Times New Roman" w:cs="Times New Roman"/>
          <w:sz w:val="28"/>
          <w:szCs w:val="28"/>
        </w:rPr>
        <w:t>AMR</w:t>
      </w:r>
      <w:r w:rsidRPr="003C0B3A">
        <w:rPr>
          <w:rFonts w:ascii="Times New Roman" w:hAnsi="Times New Roman" w:cs="Times New Roman"/>
          <w:sz w:val="28"/>
          <w:szCs w:val="28"/>
        </w:rPr>
        <w:t xml:space="preserve"> ir pārsniegtas trīs pamata statistikas rādītāju robežvērtības, kas pretstatā divām ir par vienu vairāk nekā 2019.gada ziņojumā, ziņojums joprojām ir bijis Latvijai labvēlīgs.</w:t>
      </w:r>
    </w:p>
    <w:p w14:paraId="20047974" w14:textId="3C9E582D" w:rsidR="003C0B3A" w:rsidRPr="003C0B3A" w:rsidRDefault="003C0B3A" w:rsidP="00401A5B">
      <w:pPr>
        <w:ind w:firstLine="720"/>
        <w:jc w:val="both"/>
        <w:rPr>
          <w:rFonts w:ascii="Times New Roman" w:hAnsi="Times New Roman" w:cs="Times New Roman"/>
          <w:sz w:val="28"/>
          <w:szCs w:val="28"/>
        </w:rPr>
      </w:pPr>
      <w:r w:rsidRPr="003C0B3A">
        <w:rPr>
          <w:rFonts w:ascii="Times New Roman" w:hAnsi="Times New Roman" w:cs="Times New Roman"/>
          <w:sz w:val="28"/>
          <w:szCs w:val="28"/>
        </w:rPr>
        <w:t xml:space="preserve">Specifiski par Latviju </w:t>
      </w:r>
      <w:r>
        <w:rPr>
          <w:rFonts w:ascii="Times New Roman" w:hAnsi="Times New Roman" w:cs="Times New Roman"/>
          <w:sz w:val="28"/>
          <w:szCs w:val="28"/>
        </w:rPr>
        <w:t>EK</w:t>
      </w:r>
      <w:r w:rsidRPr="003C0B3A">
        <w:rPr>
          <w:rFonts w:ascii="Times New Roman" w:hAnsi="Times New Roman" w:cs="Times New Roman"/>
          <w:sz w:val="28"/>
          <w:szCs w:val="28"/>
        </w:rPr>
        <w:t xml:space="preserve"> savā ziņojumā norāda, ka atjauninātajā rādītāju kopsavilkumā</w:t>
      </w:r>
      <w:r>
        <w:rPr>
          <w:rFonts w:ascii="Times New Roman" w:hAnsi="Times New Roman" w:cs="Times New Roman"/>
          <w:sz w:val="28"/>
          <w:szCs w:val="28"/>
        </w:rPr>
        <w:t xml:space="preserve"> (skat. 1.pielikumu</w:t>
      </w:r>
      <w:r w:rsidRPr="003C0B3A">
        <w:rPr>
          <w:rFonts w:ascii="Times New Roman" w:hAnsi="Times New Roman" w:cs="Times New Roman"/>
          <w:sz w:val="28"/>
          <w:szCs w:val="28"/>
        </w:rPr>
        <w:t>) vairāki rādītāji pārsniedz indikatīvo robežvērtību, proti, neto starptautiskā investīciju pozīcija, nominālo vienības darbaspēka izmaksu pieaugums un mājokļu reālo cenu pieaugums. Tāpat ir atzīmēts, ka 2018.gadā tekošajā kontā atkal radās neliels deficīts, bet negatīvā neto starptautisko investīciju pozīcija, kas galvenokārt atspoguļo valdības parādu un ārvalstu tiešās investīcijas, turpināja salīdzinoši strauji uzlaboties un veido -49% no IKP (2017.gadā bija -56,2%). Tajā pašā laikā vājinās konkurētspējas rādītāji, jo reālais efektīvais valūtas kurss ir palielinājies par 4,9% (2017.gadā par 1,7%) un nominālās vienības darbaspēka izmaksas turpināja pieaugt salīdzinoši spēcīgi par 15,1% (2017.gadā par 15,2%), ko veicināja noturīgais algu pieaugums. Paredzams, ka spiediens uz algām saglabāsies darbaspēka sarukuma dēļ. Tajā pašā laikā eksporta tirgus daļas pieaugums ir pozitīvs un kumulatīvais pieaugums bija +8,6% (2017.gadā +8,2).</w:t>
      </w:r>
    </w:p>
    <w:p w14:paraId="66B4188D" w14:textId="5FB86D97" w:rsidR="003C0B3A" w:rsidRPr="003C0B3A" w:rsidRDefault="003C0B3A" w:rsidP="00401A5B">
      <w:pPr>
        <w:ind w:firstLine="720"/>
        <w:jc w:val="both"/>
        <w:rPr>
          <w:rFonts w:ascii="Times New Roman" w:hAnsi="Times New Roman" w:cs="Times New Roman"/>
          <w:sz w:val="28"/>
          <w:szCs w:val="28"/>
        </w:rPr>
      </w:pPr>
      <w:r w:rsidRPr="003C0B3A">
        <w:rPr>
          <w:rFonts w:ascii="Times New Roman" w:hAnsi="Times New Roman" w:cs="Times New Roman"/>
          <w:sz w:val="28"/>
          <w:szCs w:val="28"/>
        </w:rPr>
        <w:t xml:space="preserve">Attiecībā uz mājokļu cenām ziņojumā ir norādīts, ka </w:t>
      </w:r>
      <w:r w:rsidRPr="003C0B3A">
        <w:rPr>
          <w:rFonts w:ascii="Times New Roman" w:hAnsi="Times New Roman" w:cs="Times New Roman"/>
          <w:sz w:val="28"/>
          <w:shd w:val="clear" w:color="auto" w:fill="FFFFFF"/>
        </w:rPr>
        <w:t xml:space="preserve">Latvijā mājokļu reālo cenu pieaugums ir dinamisks un 2018. gadā nedaudz paātrinājās sasniedzot 6,6% (2017.gadā bija 5,6%). Tāpēc </w:t>
      </w:r>
      <w:r>
        <w:rPr>
          <w:rFonts w:ascii="Times New Roman" w:hAnsi="Times New Roman" w:cs="Times New Roman"/>
          <w:sz w:val="28"/>
          <w:szCs w:val="28"/>
        </w:rPr>
        <w:t>AMR</w:t>
      </w:r>
      <w:r w:rsidRPr="003C0B3A">
        <w:rPr>
          <w:rFonts w:ascii="Times New Roman" w:hAnsi="Times New Roman" w:cs="Times New Roman"/>
          <w:sz w:val="28"/>
          <w:szCs w:val="28"/>
        </w:rPr>
        <w:t xml:space="preserve"> ir norādīts, ka </w:t>
      </w:r>
      <w:r w:rsidRPr="003C0B3A">
        <w:rPr>
          <w:rFonts w:ascii="Times New Roman" w:hAnsi="Times New Roman" w:cs="Times New Roman"/>
          <w:sz w:val="28"/>
          <w:shd w:val="clear" w:color="auto" w:fill="FFFFFF"/>
        </w:rPr>
        <w:t>jāpievērš uzmanība spiedienam mājokļu tirgū, pat ja vēl nav skaidru pazīmju, kas liecinātu par pārāk augstu novērtējumu mājokļu tirgū. Piemēram, 2018.gadā v</w:t>
      </w:r>
      <w:r w:rsidRPr="003C0B3A">
        <w:rPr>
          <w:rFonts w:ascii="Times New Roman" w:hAnsi="Times New Roman" w:cs="Times New Roman"/>
          <w:sz w:val="28"/>
          <w:szCs w:val="28"/>
        </w:rPr>
        <w:t>islielākais mājokļu cenu pieaugums fiksēts tādās ES valstīs, kā Čehija, Īrija, Slovēnija, Portugāle un Ungārija, kurās līdz šim gandrīz nekas neliecināja par pārāk augstu noteiktām mājokļu cenām.</w:t>
      </w:r>
    </w:p>
    <w:p w14:paraId="261EC904" w14:textId="2E36852F" w:rsidR="003C0B3A" w:rsidRPr="003C0B3A" w:rsidRDefault="003C0B3A" w:rsidP="00401A5B">
      <w:pPr>
        <w:ind w:firstLine="720"/>
        <w:jc w:val="both"/>
        <w:rPr>
          <w:rFonts w:ascii="Times New Roman" w:hAnsi="Times New Roman" w:cs="Times New Roman"/>
          <w:sz w:val="28"/>
          <w:szCs w:val="28"/>
        </w:rPr>
      </w:pPr>
      <w:r w:rsidRPr="003C0B3A">
        <w:rPr>
          <w:rFonts w:ascii="Times New Roman" w:hAnsi="Times New Roman" w:cs="Times New Roman"/>
          <w:sz w:val="28"/>
          <w:szCs w:val="28"/>
        </w:rPr>
        <w:t xml:space="preserve">Vienlaicīgi uz šo budžeta paskaidrojumu sagatavošanas brīdi jau ir zināms, ka 2019.gadā saskaņā ar </w:t>
      </w:r>
      <w:r w:rsidRPr="003C0B3A">
        <w:rPr>
          <w:rFonts w:ascii="Times New Roman" w:hAnsi="Times New Roman" w:cs="Times New Roman"/>
          <w:i/>
          <w:sz w:val="28"/>
          <w:szCs w:val="28"/>
        </w:rPr>
        <w:t>Eurostat</w:t>
      </w:r>
      <w:r w:rsidRPr="003C0B3A">
        <w:rPr>
          <w:rFonts w:ascii="Times New Roman" w:hAnsi="Times New Roman" w:cs="Times New Roman"/>
          <w:sz w:val="28"/>
          <w:szCs w:val="28"/>
        </w:rPr>
        <w:t xml:space="preserve"> provizoriskajiem datiem mājokļu cenu pieaugums Latvijā bija 5,9%, un līdz ar to arī nākamajā 2021.gada ziņojumā nepārsniegs noteikto robežvērtību 6% apmērā. Lai gan šobrīd ir zināmi tikai 2020.gada 1.ceturkšņa provizoriskie dati, taču,</w:t>
      </w:r>
      <w:r>
        <w:rPr>
          <w:rFonts w:ascii="Times New Roman" w:hAnsi="Times New Roman" w:cs="Times New Roman"/>
          <w:sz w:val="28"/>
          <w:szCs w:val="28"/>
        </w:rPr>
        <w:t xml:space="preserve"> Covid</w:t>
      </w:r>
      <w:r w:rsidRPr="003C0B3A">
        <w:rPr>
          <w:rFonts w:ascii="Times New Roman" w:hAnsi="Times New Roman" w:cs="Times New Roman"/>
          <w:sz w:val="28"/>
          <w:szCs w:val="28"/>
        </w:rPr>
        <w:t>-19 krīzes ietekmē arī 2020.gadā mājokļu cenu pieaugumam nevajadzētu pārsniegt 6% robežvērtību.</w:t>
      </w:r>
    </w:p>
    <w:p w14:paraId="06127899" w14:textId="77777777" w:rsidR="003C0B3A" w:rsidRPr="003C0B3A" w:rsidRDefault="003C0B3A" w:rsidP="00401A5B">
      <w:pPr>
        <w:ind w:firstLine="720"/>
        <w:jc w:val="both"/>
        <w:rPr>
          <w:rFonts w:ascii="Times New Roman" w:hAnsi="Times New Roman" w:cs="Times New Roman"/>
          <w:sz w:val="28"/>
          <w:szCs w:val="28"/>
        </w:rPr>
      </w:pPr>
      <w:r w:rsidRPr="003C0B3A">
        <w:rPr>
          <w:rFonts w:ascii="Times New Roman" w:hAnsi="Times New Roman" w:cs="Times New Roman"/>
          <w:sz w:val="28"/>
          <w:szCs w:val="28"/>
        </w:rPr>
        <w:t xml:space="preserve">Attiecībā uz nominālās vienības darbaspēka izmaksas kāpumu ziņojums norāda, ka Latvijā tās strauji pieaug kopš 2013.gada, līdzīgi kā pārējās Baltijas un vairākās Centrāleiropas un Austrumeiropas valstīs. Prognožu dati liecina, ka arī 2019.gadā nominālo vienības darbaspēka izmaksu robežvērtība Latvijā tika pārsniegta pat vairāk nekā 2018.gadā, kas būs jau sestais pārsnieguma gads pēc kārtas. </w:t>
      </w:r>
    </w:p>
    <w:p w14:paraId="0DA92667" w14:textId="77777777" w:rsidR="003C0B3A" w:rsidRPr="003C0B3A" w:rsidRDefault="003C0B3A" w:rsidP="00401A5B">
      <w:pPr>
        <w:ind w:firstLine="720"/>
        <w:jc w:val="both"/>
        <w:rPr>
          <w:rFonts w:ascii="Times New Roman" w:hAnsi="Times New Roman" w:cs="Times New Roman"/>
          <w:sz w:val="28"/>
          <w:szCs w:val="28"/>
        </w:rPr>
      </w:pPr>
      <w:r w:rsidRPr="003C0B3A">
        <w:rPr>
          <w:rFonts w:ascii="Times New Roman" w:hAnsi="Times New Roman" w:cs="Times New Roman"/>
          <w:sz w:val="28"/>
          <w:szCs w:val="28"/>
        </w:rPr>
        <w:t xml:space="preserve">Šāds nominālās vienības darbaspēka izmaksas pieaugums galvenokārt izriet no algu pieauguma sakarā ar pieprasījuma palielināšanos darba tirgū un 2018.gadā galvenais tā noteicošais faktors bija nominālo algu pieaugums. Mēneša vidējā bruto darba samaksa pakāpeniski palielinās jau visu pēckrīzes laiku, īpaši strauji tai sākot augt kopš 2012.gada. 2018.gadā mēneša vidējā bruto darba samaksa palielinājās par 8,4% un straujo darba samaksas kāpumu noteica spēcīgā ekonomikas izaugsme, minimālās algas paaugstinājums par 50 </w:t>
      </w:r>
      <w:r w:rsidRPr="003C0B3A">
        <w:rPr>
          <w:rFonts w:ascii="Times New Roman" w:hAnsi="Times New Roman" w:cs="Times New Roman"/>
          <w:i/>
          <w:sz w:val="28"/>
          <w:szCs w:val="28"/>
        </w:rPr>
        <w:t>euro</w:t>
      </w:r>
      <w:r w:rsidRPr="003C0B3A">
        <w:rPr>
          <w:rFonts w:ascii="Times New Roman" w:hAnsi="Times New Roman" w:cs="Times New Roman"/>
          <w:sz w:val="28"/>
          <w:szCs w:val="28"/>
        </w:rPr>
        <w:t xml:space="preserve"> līdz 430 </w:t>
      </w:r>
      <w:r w:rsidRPr="003C0B3A">
        <w:rPr>
          <w:rFonts w:ascii="Times New Roman" w:hAnsi="Times New Roman" w:cs="Times New Roman"/>
          <w:i/>
          <w:sz w:val="28"/>
          <w:szCs w:val="28"/>
        </w:rPr>
        <w:t>euro,</w:t>
      </w:r>
      <w:r w:rsidRPr="003C0B3A">
        <w:rPr>
          <w:rFonts w:ascii="Times New Roman" w:hAnsi="Times New Roman" w:cs="Times New Roman"/>
          <w:sz w:val="28"/>
          <w:szCs w:val="28"/>
        </w:rPr>
        <w:t xml:space="preserve"> kas vairāk ietekmēja algu līmeni privātajā sektorā, kā arī finansējuma palielinājums darba samaksai atsevišķām sabiedriskā sektora strādājošo kategorijām.</w:t>
      </w:r>
    </w:p>
    <w:p w14:paraId="2D330653" w14:textId="77777777" w:rsidR="003C0B3A" w:rsidRPr="003C0B3A" w:rsidRDefault="003C0B3A" w:rsidP="00401A5B">
      <w:pPr>
        <w:ind w:firstLine="720"/>
        <w:jc w:val="both"/>
        <w:rPr>
          <w:rFonts w:ascii="Times New Roman" w:hAnsi="Times New Roman" w:cs="Times New Roman"/>
          <w:sz w:val="28"/>
          <w:szCs w:val="28"/>
        </w:rPr>
      </w:pPr>
      <w:r w:rsidRPr="003C0B3A">
        <w:rPr>
          <w:rFonts w:ascii="Times New Roman" w:hAnsi="Times New Roman" w:cs="Times New Roman"/>
          <w:sz w:val="28"/>
          <w:szCs w:val="28"/>
        </w:rPr>
        <w:t>Pēdējais rādītājs, kura robežvērtību Latvija pārsniedz kopš makroekonomisko nelīdzsvarotības procedūras ieviešanas, ir neto starptautisko investīciju pozīcija. Tā atspoguļo valsts rezidentu ārējo aktīvu un pasīvu kopējo apjomu pārskata perioda beigās. Makroekonomiskās nesabalansētības procedūras rādītāju tabulā iekļautā neto starptautisko investīciju pozīcija tiek izteikta procentos no IKP un rādītāja indikatīvais slieksnis makroekonomiskās nesabalansētības procedūras ietvaros ir noteikts -35% no IKP (neto izteiksmē bilance parāda, vai Latvija ir neto investors vai neto saņēmējvalsts). No vienas puses, negatīva starptautisko investīciju bilance norāda uz nerezidentiem piederošo aktīvu būtisku īpatsvaru nacionālajā ekonomikā. No otras puses, tas var norādīt uz nacionālās ekonomikas pieaugošu ārējo saistību slogu. Līdz ar to neto starptautiskās investīciju bilances dinamiku vērtēšana notiek, apzinoties ārvalstu tiešo investīciju īpatsvaru, kas ir viens no ekonomiskās attīstības virzītājspēkiem. Veicot padziļinātu neto starptautiskās investīciju bilances fundamentālo analīzi, tiek ņemts vērā arī attiecīgās valsts tautsaimniecības struktūra. Jāatzīmē, ka rādītāja robežvērtības pārsniegšana iepriekšējos periodos nekļuva par iemeslu Latvijas iekļaušanai padziļinātās izpētes procedūrā, galvenokārt pateicoties rādītāja pozitīvai dinamikai (pakāpenisku tuvošanos noteiktajam mērķa rādītājam).</w:t>
      </w:r>
    </w:p>
    <w:p w14:paraId="19866DE1" w14:textId="323BEE2C" w:rsidR="003C0B3A" w:rsidRDefault="003C0B3A" w:rsidP="00401A5B">
      <w:pPr>
        <w:ind w:firstLine="720"/>
        <w:jc w:val="both"/>
        <w:rPr>
          <w:rFonts w:ascii="Times New Roman" w:hAnsi="Times New Roman" w:cs="Times New Roman"/>
          <w:sz w:val="28"/>
          <w:szCs w:val="28"/>
        </w:rPr>
      </w:pPr>
      <w:r>
        <w:rPr>
          <w:rFonts w:ascii="Times New Roman" w:hAnsi="Times New Roman" w:cs="Times New Roman"/>
          <w:sz w:val="28"/>
          <w:szCs w:val="28"/>
        </w:rPr>
        <w:t>EK</w:t>
      </w:r>
      <w:r w:rsidRPr="003C0B3A">
        <w:rPr>
          <w:rFonts w:ascii="Times New Roman" w:hAnsi="Times New Roman" w:cs="Times New Roman"/>
          <w:sz w:val="28"/>
          <w:szCs w:val="28"/>
        </w:rPr>
        <w:t xml:space="preserve"> savā ziņojumā norāda, ka valstīs, kurās neto starptautiskā investīciju pozīcija ir mērenāk negatīva, taču tik un tā ir zemāka par robežvērtību -35 % no IKP, tas ir saistīts ar konkrētās valsts specifiku. Tas attiecas arī uz Bulgāriju, Horvātiju, Poliju, Rumāniju, Slovākiju un Ungāriju. Latvijas gadījumā neto starptautiskā investīciju pozīcija ir nedaudz zemāka (-49,0%) nekā noteiktā robežvērtība, tomēr tāpat kā daudzās Centrāleiropas, Austrumeiropas un Baltijas valstīs, arī Latvijā ir veiktas lielas ārvalstu tiešās investīcijas, un arī Latvijas gadījumā neto starptautiskā investīciju pozīcija ievērojami uzlabojas, ja no tās atņem instrumentus bez saistību neizpildes riska (-2,4%). Pie tam saskaņā ar </w:t>
      </w:r>
      <w:r w:rsidRPr="003C0B3A">
        <w:rPr>
          <w:rFonts w:ascii="Times New Roman" w:hAnsi="Times New Roman" w:cs="Times New Roman"/>
          <w:i/>
          <w:sz w:val="28"/>
          <w:szCs w:val="28"/>
        </w:rPr>
        <w:t>Eurostat</w:t>
      </w:r>
      <w:r w:rsidRPr="003C0B3A">
        <w:rPr>
          <w:rFonts w:ascii="Times New Roman" w:hAnsi="Times New Roman" w:cs="Times New Roman"/>
          <w:sz w:val="28"/>
          <w:szCs w:val="28"/>
        </w:rPr>
        <w:t xml:space="preserve"> datiem, 2019. gadā Latvijas neto starptautiskā investīciju pozīcija vēl vairāk uzlabojās, tuvinoties noteiktajai robežvērtībai (-44,1%).</w:t>
      </w:r>
    </w:p>
    <w:p w14:paraId="402CE4D4" w14:textId="77777777" w:rsidR="00322C7C" w:rsidRPr="003C0B3A" w:rsidRDefault="00322C7C" w:rsidP="00401A5B">
      <w:pPr>
        <w:ind w:firstLine="720"/>
        <w:jc w:val="both"/>
        <w:rPr>
          <w:rFonts w:ascii="Times New Roman" w:hAnsi="Times New Roman" w:cs="Times New Roman"/>
          <w:sz w:val="28"/>
          <w:szCs w:val="28"/>
        </w:rPr>
      </w:pPr>
    </w:p>
    <w:p w14:paraId="283A0378" w14:textId="4BF8F99B" w:rsidR="003F3FCD" w:rsidRPr="002808B3" w:rsidRDefault="000548A5" w:rsidP="00FB2B77">
      <w:pPr>
        <w:pStyle w:val="Heading2"/>
        <w:numPr>
          <w:ilvl w:val="1"/>
          <w:numId w:val="11"/>
        </w:numPr>
        <w:spacing w:before="0"/>
        <w:jc w:val="center"/>
        <w:rPr>
          <w:rFonts w:ascii="Times New Roman" w:eastAsia="Times New Roman" w:hAnsi="Times New Roman" w:cs="Times New Roman"/>
          <w:sz w:val="32"/>
          <w:szCs w:val="32"/>
        </w:rPr>
      </w:pPr>
      <w:bookmarkStart w:id="21" w:name="_Toc53154089"/>
      <w:r w:rsidRPr="002808B3">
        <w:rPr>
          <w:rFonts w:ascii="Times New Roman" w:eastAsia="Times New Roman" w:hAnsi="Times New Roman" w:cs="Times New Roman"/>
          <w:sz w:val="32"/>
          <w:szCs w:val="32"/>
        </w:rPr>
        <w:t>Makroekonomiskās attīstības scenārijs</w:t>
      </w:r>
      <w:bookmarkEnd w:id="21"/>
    </w:p>
    <w:p w14:paraId="54A3D2A8" w14:textId="77777777" w:rsidR="003F3FCD" w:rsidRDefault="003F3FCD" w:rsidP="00401A5B">
      <w:pPr>
        <w:widowControl w:val="0"/>
        <w:ind w:firstLine="720"/>
        <w:jc w:val="both"/>
        <w:rPr>
          <w:rFonts w:ascii="Times New Roman" w:eastAsia="Times New Roman" w:hAnsi="Times New Roman" w:cs="Times New Roman"/>
          <w:sz w:val="24"/>
        </w:rPr>
      </w:pPr>
    </w:p>
    <w:p w14:paraId="11918B98" w14:textId="77777777" w:rsidR="00CC3C22" w:rsidRP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Vidēja termiņa makroekonomiskās attīstības scenārijs 2020.-2023.gadam izstrādāts 2020.gada jūnijā, balstoties uz konservatīviem pieņēmumiem, ņemot vērā 2020.gada pirmā ceturkšņa IKP datus un līdz 2020.gada jūnijam pieejamo īstermiņa makroekonomisko informāciju, kā arī valdības apstiprinātos atbalsta pasākumus Covid-19 izraisītās krīzes seku mazināšanai tautsaimniecībā.</w:t>
      </w:r>
    </w:p>
    <w:p w14:paraId="17A4FFEB" w14:textId="38CBE009" w:rsidR="00CC3C22" w:rsidRP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 xml:space="preserve">Izstrādājot vidēja termiņa makroekonomiskās attīstības scenāriju, </w:t>
      </w:r>
      <w:r w:rsidR="00D619F1">
        <w:rPr>
          <w:rFonts w:ascii="Times New Roman" w:eastAsia="Calibri" w:hAnsi="Times New Roman" w:cs="Times New Roman"/>
          <w:sz w:val="28"/>
          <w:lang w:eastAsia="en-US"/>
        </w:rPr>
        <w:t>FM</w:t>
      </w:r>
      <w:r w:rsidRPr="00CC3C22">
        <w:rPr>
          <w:rFonts w:ascii="Times New Roman" w:eastAsia="Calibri" w:hAnsi="Times New Roman" w:cs="Times New Roman"/>
          <w:sz w:val="28"/>
          <w:lang w:eastAsia="en-US"/>
        </w:rPr>
        <w:t xml:space="preserve"> ir konsultējusies ar </w:t>
      </w:r>
      <w:r w:rsidR="00D619F1">
        <w:rPr>
          <w:rFonts w:ascii="Times New Roman" w:eastAsia="Calibri" w:hAnsi="Times New Roman" w:cs="Times New Roman"/>
          <w:sz w:val="28"/>
          <w:lang w:eastAsia="en-US"/>
        </w:rPr>
        <w:t>SVF</w:t>
      </w:r>
      <w:r w:rsidRPr="00CC3C22">
        <w:rPr>
          <w:rFonts w:ascii="Times New Roman" w:eastAsia="Calibri" w:hAnsi="Times New Roman" w:cs="Times New Roman"/>
          <w:sz w:val="28"/>
          <w:lang w:eastAsia="en-US"/>
        </w:rPr>
        <w:t xml:space="preserve"> un </w:t>
      </w:r>
      <w:r w:rsidR="00D619F1">
        <w:rPr>
          <w:rFonts w:ascii="Times New Roman" w:eastAsia="Calibri" w:hAnsi="Times New Roman" w:cs="Times New Roman"/>
          <w:sz w:val="28"/>
          <w:lang w:eastAsia="en-US"/>
        </w:rPr>
        <w:t>EK</w:t>
      </w:r>
      <w:r w:rsidRPr="00CC3C22">
        <w:rPr>
          <w:rFonts w:ascii="Times New Roman" w:eastAsia="Calibri" w:hAnsi="Times New Roman" w:cs="Times New Roman"/>
          <w:sz w:val="28"/>
          <w:lang w:eastAsia="en-US"/>
        </w:rPr>
        <w:t xml:space="preserve"> ekspertiem. Makroekonomisko rādītāju prognozes ir saskaņotas ar </w:t>
      </w:r>
      <w:r w:rsidR="00D619F1">
        <w:rPr>
          <w:rFonts w:ascii="Times New Roman" w:eastAsia="Calibri" w:hAnsi="Times New Roman" w:cs="Times New Roman"/>
          <w:sz w:val="28"/>
          <w:lang w:eastAsia="en-US"/>
        </w:rPr>
        <w:t>LB</w:t>
      </w:r>
      <w:r w:rsidRPr="00CC3C22">
        <w:rPr>
          <w:rFonts w:ascii="Times New Roman" w:eastAsia="Calibri" w:hAnsi="Times New Roman" w:cs="Times New Roman"/>
          <w:sz w:val="28"/>
          <w:lang w:eastAsia="en-US"/>
        </w:rPr>
        <w:t xml:space="preserve"> un </w:t>
      </w:r>
      <w:r w:rsidR="00D619F1">
        <w:rPr>
          <w:rFonts w:ascii="Times New Roman" w:eastAsia="Calibri" w:hAnsi="Times New Roman" w:cs="Times New Roman"/>
          <w:sz w:val="28"/>
          <w:lang w:eastAsia="en-US"/>
        </w:rPr>
        <w:t>EM</w:t>
      </w:r>
      <w:r w:rsidRPr="00CC3C22">
        <w:rPr>
          <w:rFonts w:ascii="Times New Roman" w:eastAsia="Calibri" w:hAnsi="Times New Roman" w:cs="Times New Roman"/>
          <w:sz w:val="28"/>
          <w:lang w:eastAsia="en-US"/>
        </w:rPr>
        <w:t xml:space="preserve">, kā arī tās 15.jūnijā ir apstiprinājusi </w:t>
      </w:r>
      <w:r w:rsidR="00D619F1">
        <w:rPr>
          <w:rFonts w:ascii="Times New Roman" w:eastAsia="Calibri" w:hAnsi="Times New Roman" w:cs="Times New Roman"/>
          <w:sz w:val="28"/>
          <w:lang w:eastAsia="en-US"/>
        </w:rPr>
        <w:t>FDP</w:t>
      </w:r>
      <w:r w:rsidRPr="00CC3C22">
        <w:rPr>
          <w:rFonts w:ascii="Times New Roman" w:eastAsia="Calibri" w:hAnsi="Times New Roman" w:cs="Times New Roman"/>
          <w:sz w:val="28"/>
          <w:lang w:eastAsia="en-US"/>
        </w:rPr>
        <w:t>.</w:t>
      </w:r>
    </w:p>
    <w:p w14:paraId="2FFA889A" w14:textId="3BEBCF30" w:rsidR="00CC3C22" w:rsidRP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 xml:space="preserve">Atbilstoši atjaunotajam makroekonomiskās attīstības scenārijam, Latvijas iekšzemes kopprodukts šogad samazināsies par 7,0%. Šis IKP kritums ir tāds pats, kā FM aprīlī izstrādātajā scenārijā, sagatavojot Latvijas Stabilitātes programmu 2020.-2023.gadam, taču ir mainījušās prognozes pa IKP komponentēm no izlietojuma un ienākumu puses. 2021.gadā Latvijas </w:t>
      </w:r>
      <w:r w:rsidR="00D619F1">
        <w:rPr>
          <w:rFonts w:ascii="Times New Roman" w:eastAsia="Calibri" w:hAnsi="Times New Roman" w:cs="Times New Roman"/>
          <w:sz w:val="28"/>
          <w:lang w:eastAsia="en-US"/>
        </w:rPr>
        <w:t>IKP</w:t>
      </w:r>
      <w:r w:rsidRPr="00CC3C22">
        <w:rPr>
          <w:rFonts w:ascii="Times New Roman" w:eastAsia="Calibri" w:hAnsi="Times New Roman" w:cs="Times New Roman"/>
          <w:sz w:val="28"/>
          <w:lang w:eastAsia="en-US"/>
        </w:rPr>
        <w:t xml:space="preserve"> palielināsies par 5,1%, kas ir par 4,1 procentpunktu vairāk nekā iepriekšējā prognoze. Savukārt 2022. un 2023.gadā IKP palielināsies par 3,1%, kas attiecīgi ir par 0,4 procentpunktiem mazāk un par 0,7 procentpunktiem vairāk nekā iepriekšējās prognozēs.</w:t>
      </w:r>
    </w:p>
    <w:p w14:paraId="3957588F" w14:textId="4D087707" w:rsidR="00CC3C22" w:rsidRP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 xml:space="preserve">Makroekonomiskās attīstības scenārijs balstās uz pieņēmumu, ka Covid-19 pandēmija 2020.gada pirmajā pusē tiek ierobežota un pēc tam ekonomiskā aktivitāte pasaulē un Latvijā pakāpeniski atjaunojas. Šāds pieņēmums bija pamatā visu starptautisko institūciju makroekonomikas prognozēm, kas balstījās uz Covid-19 izplatības dinamikas pēdējiem datiem. Scenārijs paredz, ka pēc 1,5% lejupslīdes 2020.gada pirmajā ceturksnī, otrajā ceturksnī Latvijas ekonomika piedzīvo krasu kritumu līdz zemākajam punktam un pēc tam aktivitātes līmenis sāk atjaunoties. Trešajā un </w:t>
      </w:r>
      <w:r w:rsidR="005D5F3A">
        <w:rPr>
          <w:rFonts w:ascii="Times New Roman" w:eastAsia="Calibri" w:hAnsi="Times New Roman" w:cs="Times New Roman"/>
          <w:sz w:val="28"/>
          <w:lang w:eastAsia="en-US"/>
        </w:rPr>
        <w:t xml:space="preserve">ceturtajā </w:t>
      </w:r>
      <w:r w:rsidRPr="00CC3C22">
        <w:rPr>
          <w:rFonts w:ascii="Times New Roman" w:eastAsia="Calibri" w:hAnsi="Times New Roman" w:cs="Times New Roman"/>
          <w:sz w:val="28"/>
          <w:lang w:eastAsia="en-US"/>
        </w:rPr>
        <w:t>ceturksnī samazinājumi gada griezumā prognozēti aptuveni uz pusi mazāki nekā  otrajā ceturksnī.  Krīzes smagāk skartajās nozarēs - transportā, izmitināšanā un ēdināšanā, mākslas, izklaides un atpūtas nozarē, profesionālo pakalpojumu nozarē izlaides apjomi līdz 2020.gada beigām neatgriežas 2019.gada līmenī.</w:t>
      </w:r>
    </w:p>
    <w:p w14:paraId="66ED2CE7" w14:textId="252F821F" w:rsidR="00CC3C22" w:rsidRP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No izlietojuma puses lielākais kritums 2020.gadā gaidāms investīcijās, kur, uzņēmējiem atsakoties no investīcijām un a</w:t>
      </w:r>
      <w:r w:rsidR="005D5F3A">
        <w:rPr>
          <w:rFonts w:ascii="Times New Roman" w:eastAsia="Calibri" w:hAnsi="Times New Roman" w:cs="Times New Roman"/>
          <w:sz w:val="28"/>
          <w:lang w:eastAsia="en-US"/>
        </w:rPr>
        <w:t xml:space="preserve">tliekot investīciju projektus, </w:t>
      </w:r>
      <w:r w:rsidRPr="00CC3C22">
        <w:rPr>
          <w:rFonts w:ascii="Times New Roman" w:eastAsia="Calibri" w:hAnsi="Times New Roman" w:cs="Times New Roman"/>
          <w:sz w:val="28"/>
          <w:lang w:eastAsia="en-US"/>
        </w:rPr>
        <w:t>bruto pamatkapitāla veidošana prognozēta par 10,2% mazāka nekā 2019.gadā. Eksports samazināsies par 10,3%, ko daļēji kompensēs importa samazinājums par 11,5%, bet privātais patēriņš saruks par 7,5%. Kopējo ekonomikas kritumu nedaudz mīkstinās sabiedriskā patēriņa pieaugums par 3,1%, saglabājot</w:t>
      </w:r>
      <w:r w:rsidR="00D619F1">
        <w:rPr>
          <w:rFonts w:ascii="Times New Roman" w:eastAsia="Calibri" w:hAnsi="Times New Roman" w:cs="Times New Roman"/>
          <w:sz w:val="28"/>
          <w:lang w:eastAsia="en-US"/>
        </w:rPr>
        <w:t xml:space="preserve"> šā</w:t>
      </w:r>
      <w:r w:rsidRPr="00CC3C22">
        <w:rPr>
          <w:rFonts w:ascii="Times New Roman" w:eastAsia="Calibri" w:hAnsi="Times New Roman" w:cs="Times New Roman"/>
          <w:sz w:val="28"/>
          <w:lang w:eastAsia="en-US"/>
        </w:rPr>
        <w:t xml:space="preserve"> gada plānoto izdevumu apmēru.</w:t>
      </w:r>
    </w:p>
    <w:p w14:paraId="33E09AA5" w14:textId="714BC3D0" w:rsid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Nākamajos gados ekonomikas izaugsme pakāpeniski atjaunosies, IKP pieaugumam 2021.gadā veidojot 5,1% tomēr IKP vēl neatgriežoties 2019.gada līmenī un to pārsniedzot tikai 2022.gadā, kad tāpat kā 2023.gadā, prognozēta ekonom</w:t>
      </w:r>
      <w:r w:rsidR="00D619F1">
        <w:rPr>
          <w:rFonts w:ascii="Times New Roman" w:eastAsia="Calibri" w:hAnsi="Times New Roman" w:cs="Times New Roman"/>
          <w:sz w:val="28"/>
          <w:lang w:eastAsia="en-US"/>
        </w:rPr>
        <w:t>ikas izaugsme 3,1% apmērā (skat. 1.7.tabulu).</w:t>
      </w:r>
    </w:p>
    <w:p w14:paraId="076E0C19" w14:textId="77777777" w:rsidR="00D619F1" w:rsidRPr="00CC3C22" w:rsidRDefault="00D619F1" w:rsidP="00401A5B">
      <w:pPr>
        <w:ind w:firstLine="720"/>
        <w:jc w:val="both"/>
        <w:rPr>
          <w:rFonts w:ascii="Times New Roman" w:eastAsia="Calibri" w:hAnsi="Times New Roman" w:cs="Times New Roman"/>
          <w:sz w:val="28"/>
          <w:lang w:eastAsia="en-US"/>
        </w:rPr>
      </w:pPr>
    </w:p>
    <w:p w14:paraId="4A998807" w14:textId="77777777" w:rsidR="00CC3C22" w:rsidRPr="00CC3C22" w:rsidRDefault="00CC3C22" w:rsidP="00401A5B">
      <w:pPr>
        <w:keepNext/>
        <w:jc w:val="right"/>
        <w:rPr>
          <w:rFonts w:ascii="Times New Roman" w:eastAsiaTheme="minorHAnsi" w:hAnsi="Times New Roman" w:cs="Times New Roman"/>
          <w:b/>
          <w:i/>
          <w:sz w:val="24"/>
          <w:szCs w:val="24"/>
          <w:lang w:eastAsia="en-US"/>
        </w:rPr>
      </w:pPr>
      <w:r w:rsidRPr="00CC3C22">
        <w:rPr>
          <w:rFonts w:ascii="Times New Roman" w:eastAsiaTheme="minorHAnsi" w:hAnsi="Times New Roman" w:cs="Times New Roman"/>
          <w:b/>
          <w:i/>
          <w:sz w:val="24"/>
          <w:szCs w:val="24"/>
          <w:lang w:eastAsia="en-US"/>
        </w:rPr>
        <w:t>1.7. tabula. Makroekonomisko prognožu kopsavilkums</w:t>
      </w:r>
    </w:p>
    <w:tbl>
      <w:tblPr>
        <w:tblW w:w="8926" w:type="dxa"/>
        <w:jc w:val="center"/>
        <w:tblLayout w:type="fixed"/>
        <w:tblLook w:val="04A0" w:firstRow="1" w:lastRow="0" w:firstColumn="1" w:lastColumn="0" w:noHBand="0" w:noVBand="1"/>
      </w:tblPr>
      <w:tblGrid>
        <w:gridCol w:w="3823"/>
        <w:gridCol w:w="935"/>
        <w:gridCol w:w="935"/>
        <w:gridCol w:w="936"/>
        <w:gridCol w:w="935"/>
        <w:gridCol w:w="1362"/>
      </w:tblGrid>
      <w:tr w:rsidR="00CC3C22" w:rsidRPr="00CC3C22" w14:paraId="174AD9BF" w14:textId="77777777" w:rsidTr="00D619F1">
        <w:trPr>
          <w:trHeight w:val="300"/>
          <w:jc w:val="center"/>
        </w:trPr>
        <w:tc>
          <w:tcPr>
            <w:tcW w:w="382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F045772" w14:textId="77777777" w:rsidR="00CC3C22" w:rsidRPr="00CC3C22" w:rsidRDefault="00CC3C22" w:rsidP="00401A5B">
            <w:pPr>
              <w:rPr>
                <w:rFonts w:ascii="Times New Roman" w:eastAsia="Calibri" w:hAnsi="Times New Roman" w:cs="Times New Roman"/>
                <w:b/>
                <w:sz w:val="20"/>
                <w:szCs w:val="20"/>
              </w:rPr>
            </w:pPr>
          </w:p>
        </w:tc>
        <w:tc>
          <w:tcPr>
            <w:tcW w:w="93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49BA7A0" w14:textId="77777777" w:rsidR="00CC3C22" w:rsidRPr="00CC3C22" w:rsidRDefault="00CC3C22" w:rsidP="00401A5B">
            <w:pPr>
              <w:jc w:val="center"/>
              <w:rPr>
                <w:rFonts w:ascii="Times New Roman" w:eastAsia="Calibri" w:hAnsi="Times New Roman" w:cs="Times New Roman"/>
                <w:b/>
                <w:sz w:val="20"/>
                <w:szCs w:val="20"/>
              </w:rPr>
            </w:pPr>
            <w:r w:rsidRPr="00CC3C22">
              <w:rPr>
                <w:rFonts w:ascii="Times New Roman" w:eastAsia="Calibri" w:hAnsi="Times New Roman" w:cs="Times New Roman"/>
                <w:b/>
                <w:sz w:val="20"/>
                <w:szCs w:val="20"/>
              </w:rPr>
              <w:t>2019</w:t>
            </w:r>
          </w:p>
        </w:tc>
        <w:tc>
          <w:tcPr>
            <w:tcW w:w="93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27A7EAA" w14:textId="77777777" w:rsidR="00CC3C22" w:rsidRPr="00CC3C22" w:rsidRDefault="00CC3C22" w:rsidP="00401A5B">
            <w:pPr>
              <w:jc w:val="center"/>
              <w:rPr>
                <w:rFonts w:ascii="Times New Roman" w:eastAsia="Calibri" w:hAnsi="Times New Roman" w:cs="Times New Roman"/>
                <w:b/>
                <w:sz w:val="20"/>
                <w:szCs w:val="20"/>
              </w:rPr>
            </w:pPr>
            <w:r w:rsidRPr="00CC3C22">
              <w:rPr>
                <w:rFonts w:ascii="Times New Roman" w:eastAsia="Calibri" w:hAnsi="Times New Roman" w:cs="Times New Roman"/>
                <w:b/>
                <w:sz w:val="20"/>
                <w:szCs w:val="20"/>
              </w:rPr>
              <w:t>2020</w:t>
            </w:r>
          </w:p>
        </w:tc>
        <w:tc>
          <w:tcPr>
            <w:tcW w:w="93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05A1BEB" w14:textId="77777777" w:rsidR="00CC3C22" w:rsidRPr="00CC3C22" w:rsidRDefault="00CC3C22" w:rsidP="00401A5B">
            <w:pPr>
              <w:jc w:val="center"/>
              <w:rPr>
                <w:rFonts w:ascii="Times New Roman" w:eastAsia="Calibri" w:hAnsi="Times New Roman" w:cs="Times New Roman"/>
                <w:b/>
                <w:sz w:val="20"/>
                <w:szCs w:val="20"/>
              </w:rPr>
            </w:pPr>
            <w:r w:rsidRPr="00CC3C22">
              <w:rPr>
                <w:rFonts w:ascii="Times New Roman" w:eastAsia="Calibri" w:hAnsi="Times New Roman" w:cs="Times New Roman"/>
                <w:b/>
                <w:sz w:val="20"/>
                <w:szCs w:val="20"/>
              </w:rPr>
              <w:t>2021</w:t>
            </w:r>
          </w:p>
        </w:tc>
        <w:tc>
          <w:tcPr>
            <w:tcW w:w="93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BEDF03F" w14:textId="77777777" w:rsidR="00CC3C22" w:rsidRPr="00CC3C22" w:rsidRDefault="00CC3C22" w:rsidP="00401A5B">
            <w:pPr>
              <w:jc w:val="center"/>
              <w:rPr>
                <w:rFonts w:ascii="Times New Roman" w:eastAsia="Calibri" w:hAnsi="Times New Roman" w:cs="Times New Roman"/>
                <w:b/>
                <w:sz w:val="20"/>
                <w:szCs w:val="20"/>
              </w:rPr>
            </w:pPr>
            <w:r w:rsidRPr="00CC3C22">
              <w:rPr>
                <w:rFonts w:ascii="Times New Roman" w:eastAsia="Calibri" w:hAnsi="Times New Roman" w:cs="Times New Roman"/>
                <w:b/>
                <w:sz w:val="20"/>
                <w:szCs w:val="20"/>
              </w:rPr>
              <w:t>2022</w:t>
            </w:r>
          </w:p>
        </w:tc>
        <w:tc>
          <w:tcPr>
            <w:tcW w:w="1362"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2266DB1" w14:textId="77777777" w:rsidR="00CC3C22" w:rsidRPr="00CC3C22" w:rsidRDefault="00CC3C22" w:rsidP="00401A5B">
            <w:pPr>
              <w:jc w:val="center"/>
              <w:rPr>
                <w:rFonts w:ascii="Times New Roman" w:eastAsia="Calibri" w:hAnsi="Times New Roman" w:cs="Times New Roman"/>
                <w:b/>
                <w:sz w:val="20"/>
                <w:szCs w:val="20"/>
              </w:rPr>
            </w:pPr>
            <w:r w:rsidRPr="00CC3C22">
              <w:rPr>
                <w:rFonts w:ascii="Times New Roman" w:eastAsia="Calibri" w:hAnsi="Times New Roman" w:cs="Times New Roman"/>
                <w:b/>
                <w:sz w:val="20"/>
                <w:szCs w:val="20"/>
              </w:rPr>
              <w:t>2023</w:t>
            </w:r>
          </w:p>
        </w:tc>
      </w:tr>
      <w:tr w:rsidR="00CC3C22" w:rsidRPr="00CC3C22" w14:paraId="4A77ADEA" w14:textId="77777777" w:rsidTr="00D619F1">
        <w:trPr>
          <w:trHeight w:val="3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041F1" w14:textId="77777777" w:rsidR="00CC3C22" w:rsidRPr="00CC3C22" w:rsidRDefault="00CC3C22" w:rsidP="00401A5B">
            <w:pPr>
              <w:rPr>
                <w:rFonts w:ascii="Times New Roman" w:eastAsia="Calibri" w:hAnsi="Times New Roman" w:cs="Times New Roman"/>
                <w:b/>
                <w:sz w:val="20"/>
                <w:szCs w:val="20"/>
              </w:rPr>
            </w:pP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123E84F5" w14:textId="77777777" w:rsidR="00CC3C22" w:rsidRPr="00186BB3" w:rsidRDefault="00CC3C22" w:rsidP="00401A5B">
            <w:pPr>
              <w:jc w:val="center"/>
              <w:rPr>
                <w:rFonts w:ascii="Times New Roman" w:eastAsia="Calibri" w:hAnsi="Times New Roman" w:cs="Times New Roman"/>
                <w:sz w:val="20"/>
                <w:szCs w:val="20"/>
              </w:rPr>
            </w:pPr>
            <w:r w:rsidRPr="00186BB3">
              <w:rPr>
                <w:rFonts w:ascii="Times New Roman" w:eastAsia="Calibri" w:hAnsi="Times New Roman" w:cs="Times New Roman"/>
                <w:sz w:val="20"/>
                <w:szCs w:val="20"/>
              </w:rPr>
              <w:t>fakts</w:t>
            </w:r>
          </w:p>
        </w:tc>
        <w:tc>
          <w:tcPr>
            <w:tcW w:w="4168" w:type="dxa"/>
            <w:gridSpan w:val="4"/>
            <w:tcBorders>
              <w:top w:val="single" w:sz="4" w:space="0" w:color="auto"/>
              <w:left w:val="nil"/>
              <w:bottom w:val="single" w:sz="4" w:space="0" w:color="auto"/>
              <w:right w:val="single" w:sz="4" w:space="0" w:color="auto"/>
            </w:tcBorders>
            <w:shd w:val="clear" w:color="auto" w:fill="auto"/>
            <w:noWrap/>
            <w:vAlign w:val="center"/>
          </w:tcPr>
          <w:p w14:paraId="037F6CA5" w14:textId="77777777" w:rsidR="00CC3C22" w:rsidRPr="00186BB3" w:rsidRDefault="00CC3C22" w:rsidP="00401A5B">
            <w:pPr>
              <w:jc w:val="center"/>
              <w:rPr>
                <w:rFonts w:ascii="Times New Roman" w:eastAsia="Calibri" w:hAnsi="Times New Roman" w:cs="Times New Roman"/>
                <w:sz w:val="20"/>
                <w:szCs w:val="20"/>
              </w:rPr>
            </w:pPr>
            <w:r w:rsidRPr="00186BB3">
              <w:rPr>
                <w:rFonts w:ascii="Times New Roman" w:eastAsia="Calibri" w:hAnsi="Times New Roman" w:cs="Times New Roman"/>
                <w:sz w:val="20"/>
                <w:szCs w:val="20"/>
              </w:rPr>
              <w:t>prognoze</w:t>
            </w:r>
          </w:p>
        </w:tc>
      </w:tr>
      <w:tr w:rsidR="00CC3C22" w:rsidRPr="00CC3C22" w14:paraId="5D22C724" w14:textId="77777777" w:rsidTr="00D619F1">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C57B7C8" w14:textId="32F798A3" w:rsidR="00CC3C22" w:rsidRPr="00CC3C22" w:rsidRDefault="00D619F1" w:rsidP="00401A5B">
            <w:pP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IKP, </w:t>
            </w:r>
            <w:r w:rsidR="00CC3C22" w:rsidRPr="00CC3C22">
              <w:rPr>
                <w:rFonts w:ascii="Times New Roman" w:eastAsia="Calibri" w:hAnsi="Times New Roman" w:cs="Times New Roman"/>
                <w:b/>
                <w:noProof/>
                <w:sz w:val="20"/>
                <w:szCs w:val="20"/>
              </w:rPr>
              <w:t xml:space="preserve">milj. </w:t>
            </w:r>
            <w:r w:rsidR="00CC3C22" w:rsidRPr="00CC3C22">
              <w:rPr>
                <w:rFonts w:ascii="Times New Roman" w:eastAsia="Calibri" w:hAnsi="Times New Roman" w:cs="Times New Roman"/>
                <w:b/>
                <w:i/>
                <w:noProof/>
                <w:sz w:val="20"/>
                <w:szCs w:val="20"/>
              </w:rPr>
              <w:t>euro</w:t>
            </w:r>
          </w:p>
        </w:tc>
        <w:tc>
          <w:tcPr>
            <w:tcW w:w="935" w:type="dxa"/>
            <w:tcBorders>
              <w:top w:val="single" w:sz="4" w:space="0" w:color="auto"/>
              <w:left w:val="nil"/>
              <w:bottom w:val="single" w:sz="4" w:space="0" w:color="auto"/>
              <w:right w:val="single" w:sz="4" w:space="0" w:color="auto"/>
            </w:tcBorders>
            <w:shd w:val="clear" w:color="auto" w:fill="auto"/>
            <w:noWrap/>
            <w:tcMar>
              <w:right w:w="170" w:type="dxa"/>
            </w:tcMar>
            <w:vAlign w:val="center"/>
          </w:tcPr>
          <w:p w14:paraId="7C326252"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30 463</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33F2EEEF"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28 194</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09C50624"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30 022</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66895935"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31 601</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3E30470E"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33 247</w:t>
            </w:r>
          </w:p>
        </w:tc>
      </w:tr>
      <w:tr w:rsidR="00CC3C22" w:rsidRPr="00CC3C22" w14:paraId="35BA4A98" w14:textId="77777777" w:rsidTr="00D619F1">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A3E8EDD" w14:textId="77777777" w:rsidR="00CC3C22" w:rsidRPr="00CC3C22" w:rsidRDefault="00CC3C22" w:rsidP="00401A5B">
            <w:pPr>
              <w:rPr>
                <w:rFonts w:ascii="Times New Roman" w:eastAsia="Calibri" w:hAnsi="Times New Roman" w:cs="Times New Roman"/>
                <w:noProof/>
                <w:sz w:val="20"/>
                <w:szCs w:val="20"/>
              </w:rPr>
            </w:pPr>
            <w:r w:rsidRPr="00CC3C22">
              <w:rPr>
                <w:rFonts w:ascii="Times New Roman" w:eastAsia="Calibri" w:hAnsi="Times New Roman" w:cs="Times New Roman"/>
                <w:noProof/>
                <w:sz w:val="20"/>
                <w:szCs w:val="20"/>
              </w:rPr>
              <w:t>pieaugums faktiskajās cenās, %</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6CFB8581"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4,5</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083DA22C"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-7,5</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3F8332A6"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6,5</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273ADAC8"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5,3</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17E7E148"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5,2</w:t>
            </w:r>
          </w:p>
        </w:tc>
      </w:tr>
      <w:tr w:rsidR="00CC3C22" w:rsidRPr="00CC3C22" w14:paraId="7159DB50" w14:textId="77777777" w:rsidTr="00D619F1">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6CC6EFA" w14:textId="77777777" w:rsidR="00CC3C22" w:rsidRPr="00CC3C22" w:rsidRDefault="00CC3C22" w:rsidP="00401A5B">
            <w:pPr>
              <w:rPr>
                <w:rFonts w:ascii="Times New Roman" w:eastAsia="Calibri" w:hAnsi="Times New Roman" w:cs="Times New Roman"/>
                <w:noProof/>
                <w:sz w:val="20"/>
                <w:szCs w:val="20"/>
              </w:rPr>
            </w:pPr>
            <w:r w:rsidRPr="00CC3C22">
              <w:rPr>
                <w:rFonts w:ascii="Times New Roman" w:eastAsia="Calibri" w:hAnsi="Times New Roman" w:cs="Times New Roman"/>
                <w:noProof/>
                <w:sz w:val="20"/>
                <w:szCs w:val="20"/>
              </w:rPr>
              <w:t>pieaugums salīdzināmās cenās, %</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2BCA4AC8"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2,1</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0AA3ABF5"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-7,0</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44088C8D"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5,1</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1704E00E"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3,1</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311442F7"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3,1</w:t>
            </w:r>
          </w:p>
        </w:tc>
      </w:tr>
      <w:tr w:rsidR="00CC3C22" w:rsidRPr="00CC3C22" w14:paraId="33E4B08A" w14:textId="77777777" w:rsidTr="00D619F1">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F3F873F" w14:textId="77777777" w:rsidR="00CC3C22" w:rsidRPr="00CC3C22" w:rsidRDefault="00CC3C22" w:rsidP="00401A5B">
            <w:pPr>
              <w:rPr>
                <w:rFonts w:ascii="Times New Roman" w:eastAsia="Calibri" w:hAnsi="Times New Roman" w:cs="Times New Roman"/>
                <w:b/>
                <w:noProof/>
                <w:sz w:val="20"/>
                <w:szCs w:val="20"/>
              </w:rPr>
            </w:pPr>
            <w:r w:rsidRPr="00CC3C22">
              <w:rPr>
                <w:rFonts w:ascii="Times New Roman" w:eastAsia="Calibri" w:hAnsi="Times New Roman" w:cs="Times New Roman"/>
                <w:b/>
                <w:noProof/>
                <w:sz w:val="20"/>
                <w:szCs w:val="20"/>
              </w:rPr>
              <w:t>IKP deflators (gads pret gadu), %</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6334470A"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2,4</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67962B97"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-0,5</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07131B59"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1,3</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030CD07F"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2,0</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1DA73D3B"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2,0</w:t>
            </w:r>
          </w:p>
        </w:tc>
      </w:tr>
      <w:tr w:rsidR="00CC3C22" w:rsidRPr="00CC3C22" w14:paraId="5CD8E065" w14:textId="77777777" w:rsidTr="00D619F1">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7558023" w14:textId="77777777" w:rsidR="00CC3C22" w:rsidRPr="00CC3C22" w:rsidRDefault="00CC3C22" w:rsidP="00401A5B">
            <w:pPr>
              <w:rPr>
                <w:rFonts w:ascii="Times New Roman" w:eastAsia="Calibri" w:hAnsi="Times New Roman" w:cs="Times New Roman"/>
                <w:b/>
                <w:noProof/>
                <w:sz w:val="20"/>
                <w:szCs w:val="20"/>
              </w:rPr>
            </w:pPr>
            <w:r w:rsidRPr="00CC3C22">
              <w:rPr>
                <w:rFonts w:ascii="Times New Roman" w:eastAsia="Calibri" w:hAnsi="Times New Roman" w:cs="Times New Roman"/>
                <w:b/>
                <w:noProof/>
                <w:sz w:val="20"/>
                <w:szCs w:val="20"/>
              </w:rPr>
              <w:t>PCI (gads pret gadu), %</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5621AF08"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2,8</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6544AA75"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0,2</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164C4191"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1,2</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067C2335"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2,0</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635F5F53"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2,0</w:t>
            </w:r>
          </w:p>
        </w:tc>
      </w:tr>
      <w:tr w:rsidR="00CC3C22" w:rsidRPr="00CC3C22" w14:paraId="7CD75352" w14:textId="77777777" w:rsidTr="00D619F1">
        <w:trPr>
          <w:trHeight w:val="6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7257C74" w14:textId="77777777" w:rsidR="00CC3C22" w:rsidRPr="00CC3C22" w:rsidRDefault="00CC3C22" w:rsidP="00401A5B">
            <w:pPr>
              <w:rPr>
                <w:rFonts w:ascii="Times New Roman" w:eastAsia="Calibri" w:hAnsi="Times New Roman" w:cs="Times New Roman"/>
                <w:b/>
                <w:noProof/>
                <w:sz w:val="20"/>
                <w:szCs w:val="20"/>
              </w:rPr>
            </w:pPr>
            <w:r w:rsidRPr="00CC3C22">
              <w:rPr>
                <w:rFonts w:ascii="Times New Roman" w:eastAsia="Calibri" w:hAnsi="Times New Roman" w:cs="Times New Roman"/>
                <w:b/>
                <w:noProof/>
                <w:sz w:val="20"/>
                <w:szCs w:val="20"/>
              </w:rPr>
              <w:t xml:space="preserve">Tautsaimniecībā nodarbināto mēn. vid. bruto darba samaksa, </w:t>
            </w:r>
            <w:r w:rsidRPr="00CC3C22">
              <w:rPr>
                <w:rFonts w:ascii="Times New Roman" w:eastAsia="Calibri" w:hAnsi="Times New Roman" w:cs="Times New Roman"/>
                <w:b/>
                <w:i/>
                <w:noProof/>
                <w:sz w:val="20"/>
                <w:szCs w:val="20"/>
              </w:rPr>
              <w:t>euro</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442427FC"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1 076</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3A1ED114"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1 065</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4B47C0A2"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1 097</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1AB5F4EC"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1 152</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5181D50E"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1 210</w:t>
            </w:r>
          </w:p>
        </w:tc>
      </w:tr>
      <w:tr w:rsidR="00CC3C22" w:rsidRPr="00CC3C22" w14:paraId="34F03FB9" w14:textId="77777777" w:rsidTr="00D619F1">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BA47DCD" w14:textId="77777777" w:rsidR="00CC3C22" w:rsidRPr="00CC3C22" w:rsidRDefault="00CC3C22" w:rsidP="00401A5B">
            <w:pPr>
              <w:rPr>
                <w:rFonts w:ascii="Times New Roman" w:eastAsia="Calibri" w:hAnsi="Times New Roman" w:cs="Times New Roman"/>
                <w:noProof/>
                <w:sz w:val="20"/>
                <w:szCs w:val="20"/>
              </w:rPr>
            </w:pPr>
            <w:r w:rsidRPr="00CC3C22">
              <w:rPr>
                <w:rFonts w:ascii="Times New Roman" w:eastAsia="Calibri" w:hAnsi="Times New Roman" w:cs="Times New Roman"/>
                <w:noProof/>
                <w:sz w:val="20"/>
                <w:szCs w:val="20"/>
              </w:rPr>
              <w:t>pieaugums faktiskajās cenās, %</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207B1BFC"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7,2</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2DED456D"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-1,0</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028D26E4"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3,0</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7C19A675"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5,0</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7F13C818"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5,0</w:t>
            </w:r>
          </w:p>
        </w:tc>
      </w:tr>
      <w:tr w:rsidR="00CC3C22" w:rsidRPr="00CC3C22" w14:paraId="72564517" w14:textId="77777777" w:rsidTr="00D619F1">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FC9718C" w14:textId="77777777" w:rsidR="00CC3C22" w:rsidRPr="00CC3C22" w:rsidRDefault="00CC3C22" w:rsidP="00401A5B">
            <w:pPr>
              <w:rPr>
                <w:rFonts w:ascii="Times New Roman" w:eastAsia="Calibri" w:hAnsi="Times New Roman" w:cs="Times New Roman"/>
                <w:noProof/>
                <w:sz w:val="20"/>
                <w:szCs w:val="20"/>
              </w:rPr>
            </w:pPr>
            <w:r w:rsidRPr="00CC3C22">
              <w:rPr>
                <w:rFonts w:ascii="Times New Roman" w:eastAsia="Calibri" w:hAnsi="Times New Roman" w:cs="Times New Roman"/>
                <w:noProof/>
                <w:sz w:val="20"/>
                <w:szCs w:val="20"/>
              </w:rPr>
              <w:t>pieaugums salīdzināmās cenās, %</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6E1603CA"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4,2</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5D9C4701"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-1,2</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4F5CDD7C"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1,8</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38A9BC02"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2,9</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629E6A06"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2,9</w:t>
            </w:r>
          </w:p>
        </w:tc>
      </w:tr>
      <w:tr w:rsidR="00CC3C22" w:rsidRPr="00CC3C22" w14:paraId="7D6CEEEF" w14:textId="77777777" w:rsidTr="00D619F1">
        <w:trPr>
          <w:trHeight w:val="6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2A5662F" w14:textId="77777777" w:rsidR="00CC3C22" w:rsidRPr="00CC3C22" w:rsidRDefault="00CC3C22" w:rsidP="00401A5B">
            <w:pPr>
              <w:rPr>
                <w:rFonts w:ascii="Times New Roman" w:eastAsia="Calibri" w:hAnsi="Times New Roman" w:cs="Times New Roman"/>
                <w:b/>
                <w:noProof/>
                <w:sz w:val="20"/>
                <w:szCs w:val="20"/>
              </w:rPr>
            </w:pPr>
            <w:r w:rsidRPr="00CC3C22">
              <w:rPr>
                <w:rFonts w:ascii="Times New Roman" w:eastAsia="Calibri" w:hAnsi="Times New Roman" w:cs="Times New Roman"/>
                <w:b/>
                <w:noProof/>
                <w:sz w:val="20"/>
                <w:szCs w:val="20"/>
              </w:rPr>
              <w:t>Nodarbinātība, tūkst. iedzīvotāju (atbilstoši darbaspēka apsekojumiem)</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4E4E0964"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910</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22CB25F5"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870</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667BFFAB"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875</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3E0C30E4"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884</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74BC78A3"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883</w:t>
            </w:r>
          </w:p>
        </w:tc>
      </w:tr>
      <w:tr w:rsidR="00CC3C22" w:rsidRPr="00CC3C22" w14:paraId="6FE4AE65" w14:textId="77777777" w:rsidTr="00D619F1">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5717526A" w14:textId="77777777" w:rsidR="00CC3C22" w:rsidRPr="00CC3C22" w:rsidRDefault="00CC3C22" w:rsidP="00401A5B">
            <w:pPr>
              <w:rPr>
                <w:rFonts w:ascii="Times New Roman" w:eastAsia="Calibri" w:hAnsi="Times New Roman" w:cs="Times New Roman"/>
                <w:noProof/>
                <w:sz w:val="20"/>
                <w:szCs w:val="20"/>
              </w:rPr>
            </w:pPr>
            <w:r w:rsidRPr="00CC3C22">
              <w:rPr>
                <w:rFonts w:ascii="Times New Roman" w:eastAsia="Calibri" w:hAnsi="Times New Roman" w:cs="Times New Roman"/>
                <w:noProof/>
                <w:sz w:val="20"/>
                <w:szCs w:val="20"/>
              </w:rPr>
              <w:t>pieaugums, %</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34C195A2"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0,1</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01963BA0"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-4,4</w:t>
            </w:r>
          </w:p>
        </w:tc>
        <w:tc>
          <w:tcPr>
            <w:tcW w:w="936" w:type="dxa"/>
            <w:tcBorders>
              <w:top w:val="nil"/>
              <w:left w:val="nil"/>
              <w:bottom w:val="single" w:sz="4" w:space="0" w:color="auto"/>
              <w:right w:val="single" w:sz="4" w:space="0" w:color="auto"/>
            </w:tcBorders>
            <w:shd w:val="clear" w:color="auto" w:fill="auto"/>
            <w:noWrap/>
            <w:tcMar>
              <w:right w:w="170" w:type="dxa"/>
            </w:tcMar>
            <w:vAlign w:val="center"/>
          </w:tcPr>
          <w:p w14:paraId="7B7A1F72"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0,6</w:t>
            </w:r>
          </w:p>
        </w:tc>
        <w:tc>
          <w:tcPr>
            <w:tcW w:w="935" w:type="dxa"/>
            <w:tcBorders>
              <w:top w:val="nil"/>
              <w:left w:val="nil"/>
              <w:bottom w:val="single" w:sz="4" w:space="0" w:color="auto"/>
              <w:right w:val="single" w:sz="4" w:space="0" w:color="auto"/>
            </w:tcBorders>
            <w:shd w:val="clear" w:color="auto" w:fill="auto"/>
            <w:noWrap/>
            <w:tcMar>
              <w:right w:w="170" w:type="dxa"/>
            </w:tcMar>
            <w:vAlign w:val="center"/>
          </w:tcPr>
          <w:p w14:paraId="17154CB5"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1,0</w:t>
            </w:r>
          </w:p>
        </w:tc>
        <w:tc>
          <w:tcPr>
            <w:tcW w:w="1362" w:type="dxa"/>
            <w:tcBorders>
              <w:top w:val="nil"/>
              <w:left w:val="nil"/>
              <w:bottom w:val="single" w:sz="4" w:space="0" w:color="auto"/>
              <w:right w:val="single" w:sz="4" w:space="0" w:color="auto"/>
            </w:tcBorders>
            <w:shd w:val="clear" w:color="auto" w:fill="auto"/>
            <w:noWrap/>
            <w:tcMar>
              <w:right w:w="170" w:type="dxa"/>
            </w:tcMar>
            <w:vAlign w:val="center"/>
          </w:tcPr>
          <w:p w14:paraId="272C772D" w14:textId="77777777" w:rsidR="00CC3C22" w:rsidRPr="00CC3C22" w:rsidRDefault="00CC3C22" w:rsidP="00401A5B">
            <w:pPr>
              <w:jc w:val="center"/>
              <w:rPr>
                <w:rFonts w:ascii="Times New Roman" w:eastAsia="Calibri" w:hAnsi="Times New Roman" w:cs="Times New Roman"/>
                <w:sz w:val="20"/>
                <w:szCs w:val="20"/>
                <w:lang w:eastAsia="en-US"/>
              </w:rPr>
            </w:pPr>
            <w:r w:rsidRPr="00CC3C22">
              <w:rPr>
                <w:rFonts w:ascii="Times New Roman" w:eastAsia="Calibri" w:hAnsi="Times New Roman" w:cs="Times New Roman"/>
                <w:sz w:val="20"/>
                <w:szCs w:val="20"/>
                <w:lang w:eastAsia="en-US"/>
              </w:rPr>
              <w:t>-0,1</w:t>
            </w:r>
          </w:p>
        </w:tc>
      </w:tr>
      <w:tr w:rsidR="00CC3C22" w:rsidRPr="00CC3C22" w14:paraId="3E36EA02" w14:textId="77777777" w:rsidTr="00D619F1">
        <w:trPr>
          <w:trHeight w:val="3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3499C" w14:textId="77777777" w:rsidR="00CC3C22" w:rsidRPr="00CC3C22" w:rsidRDefault="00CC3C22" w:rsidP="00401A5B">
            <w:pPr>
              <w:rPr>
                <w:rFonts w:ascii="Times New Roman" w:eastAsia="Calibri" w:hAnsi="Times New Roman" w:cs="Times New Roman"/>
                <w:b/>
                <w:noProof/>
                <w:sz w:val="20"/>
                <w:szCs w:val="20"/>
              </w:rPr>
            </w:pPr>
            <w:r w:rsidRPr="00CC3C22">
              <w:rPr>
                <w:rFonts w:ascii="Times New Roman" w:eastAsia="Calibri" w:hAnsi="Times New Roman" w:cs="Times New Roman"/>
                <w:b/>
                <w:noProof/>
                <w:sz w:val="20"/>
                <w:szCs w:val="20"/>
              </w:rPr>
              <w:t>Bezdarba līmenis (gada vidējais),</w:t>
            </w:r>
            <w:r w:rsidRPr="00CC3C22">
              <w:rPr>
                <w:rFonts w:ascii="Times New Roman" w:eastAsia="Calibri" w:hAnsi="Times New Roman" w:cs="Times New Roman"/>
                <w:b/>
                <w:noProof/>
                <w:sz w:val="20"/>
                <w:szCs w:val="20"/>
              </w:rPr>
              <w:br/>
              <w:t>% no ekon. aktīviem iedzīv.</w:t>
            </w:r>
          </w:p>
        </w:tc>
        <w:tc>
          <w:tcPr>
            <w:tcW w:w="935" w:type="dxa"/>
            <w:tcBorders>
              <w:top w:val="single" w:sz="4" w:space="0" w:color="auto"/>
              <w:left w:val="nil"/>
              <w:bottom w:val="single" w:sz="4" w:space="0" w:color="auto"/>
              <w:right w:val="single" w:sz="4" w:space="0" w:color="auto"/>
            </w:tcBorders>
            <w:shd w:val="clear" w:color="auto" w:fill="auto"/>
            <w:noWrap/>
            <w:tcMar>
              <w:right w:w="170" w:type="dxa"/>
            </w:tcMar>
            <w:vAlign w:val="center"/>
          </w:tcPr>
          <w:p w14:paraId="202BB553"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6,3</w:t>
            </w:r>
          </w:p>
        </w:tc>
        <w:tc>
          <w:tcPr>
            <w:tcW w:w="935" w:type="dxa"/>
            <w:tcBorders>
              <w:top w:val="single" w:sz="4" w:space="0" w:color="auto"/>
              <w:left w:val="nil"/>
              <w:bottom w:val="single" w:sz="4" w:space="0" w:color="auto"/>
              <w:right w:val="single" w:sz="4" w:space="0" w:color="auto"/>
            </w:tcBorders>
            <w:shd w:val="clear" w:color="auto" w:fill="auto"/>
            <w:noWrap/>
            <w:tcMar>
              <w:right w:w="170" w:type="dxa"/>
            </w:tcMar>
            <w:vAlign w:val="center"/>
          </w:tcPr>
          <w:p w14:paraId="47D7E7DA"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10,5</w:t>
            </w:r>
          </w:p>
        </w:tc>
        <w:tc>
          <w:tcPr>
            <w:tcW w:w="936" w:type="dxa"/>
            <w:tcBorders>
              <w:top w:val="single" w:sz="4" w:space="0" w:color="auto"/>
              <w:left w:val="nil"/>
              <w:bottom w:val="single" w:sz="4" w:space="0" w:color="auto"/>
              <w:right w:val="single" w:sz="4" w:space="0" w:color="auto"/>
            </w:tcBorders>
            <w:shd w:val="clear" w:color="auto" w:fill="auto"/>
            <w:noWrap/>
            <w:tcMar>
              <w:right w:w="170" w:type="dxa"/>
            </w:tcMar>
            <w:vAlign w:val="center"/>
          </w:tcPr>
          <w:p w14:paraId="40E66099"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9,8</w:t>
            </w:r>
          </w:p>
        </w:tc>
        <w:tc>
          <w:tcPr>
            <w:tcW w:w="935" w:type="dxa"/>
            <w:tcBorders>
              <w:top w:val="single" w:sz="4" w:space="0" w:color="auto"/>
              <w:left w:val="nil"/>
              <w:bottom w:val="single" w:sz="4" w:space="0" w:color="auto"/>
              <w:right w:val="single" w:sz="4" w:space="0" w:color="auto"/>
            </w:tcBorders>
            <w:shd w:val="clear" w:color="auto" w:fill="auto"/>
            <w:noWrap/>
            <w:tcMar>
              <w:right w:w="170" w:type="dxa"/>
            </w:tcMar>
            <w:vAlign w:val="center"/>
          </w:tcPr>
          <w:p w14:paraId="6114B595"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8,1</w:t>
            </w:r>
          </w:p>
        </w:tc>
        <w:tc>
          <w:tcPr>
            <w:tcW w:w="1362" w:type="dxa"/>
            <w:tcBorders>
              <w:top w:val="single" w:sz="4" w:space="0" w:color="auto"/>
              <w:left w:val="nil"/>
              <w:bottom w:val="single" w:sz="4" w:space="0" w:color="auto"/>
              <w:right w:val="single" w:sz="4" w:space="0" w:color="auto"/>
            </w:tcBorders>
            <w:shd w:val="clear" w:color="auto" w:fill="auto"/>
            <w:noWrap/>
            <w:tcMar>
              <w:right w:w="170" w:type="dxa"/>
            </w:tcMar>
            <w:vAlign w:val="center"/>
          </w:tcPr>
          <w:p w14:paraId="7286F376" w14:textId="77777777" w:rsidR="00CC3C22" w:rsidRPr="00CC3C22" w:rsidRDefault="00CC3C22" w:rsidP="00401A5B">
            <w:pPr>
              <w:jc w:val="center"/>
              <w:rPr>
                <w:rFonts w:ascii="Times New Roman" w:eastAsia="Calibri" w:hAnsi="Times New Roman" w:cs="Times New Roman"/>
                <w:b/>
                <w:sz w:val="20"/>
                <w:szCs w:val="20"/>
                <w:lang w:eastAsia="en-US"/>
              </w:rPr>
            </w:pPr>
            <w:r w:rsidRPr="00CC3C22">
              <w:rPr>
                <w:rFonts w:ascii="Times New Roman" w:eastAsia="Calibri" w:hAnsi="Times New Roman" w:cs="Times New Roman"/>
                <w:b/>
                <w:sz w:val="20"/>
                <w:szCs w:val="20"/>
                <w:lang w:eastAsia="en-US"/>
              </w:rPr>
              <w:t>7,3</w:t>
            </w:r>
          </w:p>
        </w:tc>
      </w:tr>
    </w:tbl>
    <w:p w14:paraId="5BBC172E" w14:textId="77777777" w:rsidR="00CC3C22" w:rsidRPr="00CC3C22" w:rsidRDefault="00CC3C22" w:rsidP="00401A5B">
      <w:pPr>
        <w:ind w:firstLine="720"/>
        <w:jc w:val="both"/>
        <w:rPr>
          <w:rFonts w:ascii="Times New Roman" w:eastAsia="Calibri" w:hAnsi="Times New Roman" w:cs="Times New Roman"/>
          <w:sz w:val="28"/>
          <w:lang w:eastAsia="en-US"/>
        </w:rPr>
      </w:pPr>
    </w:p>
    <w:p w14:paraId="59D2325A" w14:textId="41B55D51" w:rsidR="00CC3C22" w:rsidRP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 xml:space="preserve">Gada vidējā inflācija 2020.gadā prognozēta 0,2% un 2021.gadā 1,2% līmenī. Salīdzinājumā ar Latvijas Stabilitātes programmas 2020.-2023.gadam prognozēm inflācijas prognoze 2020.gadam ir samazināta par 0,2 procentpunktiem un 2021.gadam – par 0,5 procentpunktiem, galvenokārt straujā </w:t>
      </w:r>
      <w:r w:rsidR="005D5F3A">
        <w:rPr>
          <w:rFonts w:ascii="Times New Roman" w:eastAsia="Calibri" w:hAnsi="Times New Roman" w:cs="Times New Roman"/>
          <w:sz w:val="28"/>
          <w:lang w:eastAsia="en-US"/>
        </w:rPr>
        <w:t xml:space="preserve">energoresursu cenu krituma dēļ, </w:t>
      </w:r>
      <w:r w:rsidRPr="00CC3C22">
        <w:rPr>
          <w:rFonts w:ascii="Times New Roman" w:eastAsia="Calibri" w:hAnsi="Times New Roman" w:cs="Times New Roman"/>
          <w:sz w:val="28"/>
          <w:lang w:eastAsia="en-US"/>
        </w:rPr>
        <w:t>kā arī mazinoties pakalpojumu cenu pieaugumam. Nākamajos divos gados patēriņa cenu pieaugums atjaunosies 2% līmenī.</w:t>
      </w:r>
    </w:p>
    <w:p w14:paraId="6FE27D16" w14:textId="4CD86AC2" w:rsidR="00CC3C22" w:rsidRP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 xml:space="preserve">Makroekonomiskās attīstības scenārijā pieņemts, ka </w:t>
      </w:r>
      <w:r w:rsidR="005D5F3A">
        <w:rPr>
          <w:rFonts w:ascii="Times New Roman" w:eastAsia="Calibri" w:hAnsi="Times New Roman" w:cs="Times New Roman"/>
          <w:sz w:val="28"/>
          <w:lang w:eastAsia="en-US"/>
        </w:rPr>
        <w:t>korona</w:t>
      </w:r>
      <w:r w:rsidRPr="00CC3C22">
        <w:rPr>
          <w:rFonts w:ascii="Times New Roman" w:eastAsia="Calibri" w:hAnsi="Times New Roman" w:cs="Times New Roman"/>
          <w:sz w:val="28"/>
          <w:lang w:eastAsia="en-US"/>
        </w:rPr>
        <w:t xml:space="preserve">vīrusa izplatības un tā ierobežošanas pasākumu ietekmē tautsaimniecībā nodarbināto iedzīvotāju skaits 2020.gadā samazināsies vidēji par 40 tūkstošiem jeb 4,4%, darbu zaudējot daļai darbinieku ierobežojumu tieši skartajās nozarēs, tajā skaitā transportā, tirdzniecībā, izmitināšanā un ēdināšanā, profesionālajos un administratīvajos pakalpojumos, kā arī nedaudz samazinoties strādājošo skaitam arī netieši ietekmētajās nozarēs. Attiecīgi sagaidāms, ka bezdarba līmenis 2020.gadā salīdzinājumā ar 2019.gadu pieaugs par 4,2 procentpunktiem līdz 10,5%. 2021. un 2022.gadā, ekonomikas izaugsmei atjaunojoties, nodarbināto skaits nedaudz palielināsies, līdz 2023.gadam stabilizējoties 883 tūkstošu līmenī, bet bezdarba līmenis 2021.gadā pazemināsies līdz 9,8%. </w:t>
      </w:r>
    </w:p>
    <w:p w14:paraId="5EE59F64" w14:textId="77777777" w:rsidR="00CC3C22" w:rsidRP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Ņemot vērā valdības apstiprinātos nodarbinātības atbalsta pasākumus, nodarbināto iedzīvotāju skaita prognoze 2020.gadam, salīdzinājumā ar iepriekšējo prognozi, ir nedaudz paaugstināta, sagaidot, ka strādājošo skaita kritums 2020.gadā būs par pieciem tūkstošiem mazāks nekā tika prognozēts, sagatavojot Latvijas Stabilitātes programmu.</w:t>
      </w:r>
    </w:p>
    <w:p w14:paraId="2A209679" w14:textId="77777777" w:rsidR="00CC3C22" w:rsidRPr="00CC3C22" w:rsidRDefault="00CC3C22" w:rsidP="00401A5B">
      <w:pPr>
        <w:ind w:firstLine="720"/>
        <w:jc w:val="both"/>
        <w:rPr>
          <w:rFonts w:ascii="Times New Roman" w:eastAsia="Calibri" w:hAnsi="Times New Roman" w:cs="Times New Roman"/>
          <w:sz w:val="28"/>
          <w:lang w:eastAsia="en-US"/>
        </w:rPr>
      </w:pPr>
      <w:r w:rsidRPr="00CC3C22">
        <w:rPr>
          <w:rFonts w:ascii="Times New Roman" w:eastAsia="Calibri" w:hAnsi="Times New Roman" w:cs="Times New Roman"/>
          <w:sz w:val="28"/>
          <w:lang w:eastAsia="en-US"/>
        </w:rPr>
        <w:t>Atbilstoši jaunajam makroekonomiskās attīstības scenārijam, mēneša vidējā darba samaksa 2020.gadā samazināsies par 1,0%, gada pirmajā ceturksnī vēl saglabājoties spēcīgam algu pieaugumam, bet pēc tam uzņēmējiem vairs nespējot saglabāt esošo algu līmeni strauja ekonomikas krituma apstākļos. Nākamajos gados algu pieaugums pakāpeniski atjaunosies, 2021.gadā mēneša vidējai darba samaksai palielinoties par 3,0% un pēc tam pieaugumam stabilizējoties līmenī, kas ir tuvs kopējam produktivitātes pieaugumam tautsaimniecībā.</w:t>
      </w:r>
    </w:p>
    <w:p w14:paraId="686F2E43" w14:textId="77777777" w:rsidR="003F3FCD" w:rsidRPr="00BA3601" w:rsidRDefault="003F3FCD" w:rsidP="00401A5B">
      <w:pPr>
        <w:widowControl w:val="0"/>
        <w:jc w:val="center"/>
        <w:rPr>
          <w:rFonts w:ascii="Times New Roman" w:eastAsia="Times New Roman" w:hAnsi="Times New Roman" w:cs="Times New Roman"/>
          <w:b/>
          <w:sz w:val="24"/>
        </w:rPr>
      </w:pPr>
    </w:p>
    <w:p w14:paraId="4D51F046" w14:textId="77777777" w:rsidR="00D619F1" w:rsidRPr="00D619F1" w:rsidRDefault="00D619F1" w:rsidP="00FB2B77">
      <w:pPr>
        <w:pStyle w:val="ListParagraph"/>
        <w:keepNext/>
        <w:keepLines/>
        <w:numPr>
          <w:ilvl w:val="1"/>
          <w:numId w:val="12"/>
        </w:numPr>
        <w:contextualSpacing w:val="0"/>
        <w:jc w:val="center"/>
        <w:outlineLvl w:val="2"/>
        <w:rPr>
          <w:rFonts w:ascii="Times New Roman" w:eastAsia="Calibri" w:hAnsi="Times New Roman" w:cs="Times New Roman"/>
          <w:b/>
          <w:bCs/>
          <w:vanish/>
          <w:color w:val="000000" w:themeColor="text1"/>
          <w:sz w:val="28"/>
          <w:szCs w:val="28"/>
        </w:rPr>
      </w:pPr>
      <w:bookmarkStart w:id="22" w:name="_Toc53058976"/>
      <w:bookmarkStart w:id="23" w:name="_Toc53075484"/>
      <w:bookmarkStart w:id="24" w:name="_Toc53153500"/>
      <w:bookmarkStart w:id="25" w:name="_Toc53153709"/>
      <w:bookmarkStart w:id="26" w:name="_Toc53153763"/>
      <w:bookmarkStart w:id="27" w:name="_Toc53154090"/>
      <w:bookmarkEnd w:id="22"/>
      <w:bookmarkEnd w:id="23"/>
      <w:bookmarkEnd w:id="24"/>
      <w:bookmarkEnd w:id="25"/>
      <w:bookmarkEnd w:id="26"/>
      <w:bookmarkEnd w:id="27"/>
    </w:p>
    <w:p w14:paraId="0C4EB455" w14:textId="6E7F75A0" w:rsidR="003F3FCD" w:rsidRPr="00BA3601" w:rsidRDefault="00626934" w:rsidP="005D361F">
      <w:pPr>
        <w:pStyle w:val="Heading3"/>
      </w:pPr>
      <w:bookmarkStart w:id="28" w:name="_Toc53154091"/>
      <w:r>
        <w:t xml:space="preserve">1.3.1. </w:t>
      </w:r>
      <w:r w:rsidR="000548A5" w:rsidRPr="00BA3601">
        <w:t>Makroekonomiskās attīstības scenārija riski</w:t>
      </w:r>
      <w:bookmarkEnd w:id="28"/>
    </w:p>
    <w:p w14:paraId="4268DB40" w14:textId="77777777" w:rsidR="003F3FCD" w:rsidRDefault="003F3FCD" w:rsidP="00401A5B">
      <w:pPr>
        <w:widowControl w:val="0"/>
        <w:ind w:firstLine="720"/>
        <w:jc w:val="both"/>
        <w:rPr>
          <w:rFonts w:ascii="Times New Roman" w:eastAsia="Times New Roman" w:hAnsi="Times New Roman" w:cs="Times New Roman"/>
          <w:sz w:val="24"/>
        </w:rPr>
      </w:pPr>
    </w:p>
    <w:p w14:paraId="1FE1D37F" w14:textId="5ECED7F5" w:rsidR="00D619F1" w:rsidRPr="00D619F1" w:rsidRDefault="00D619F1" w:rsidP="00401A5B">
      <w:pPr>
        <w:ind w:firstLine="709"/>
        <w:jc w:val="both"/>
        <w:rPr>
          <w:rFonts w:ascii="Times New Roman" w:eastAsia="Calibri" w:hAnsi="Times New Roman" w:cs="Times New Roman"/>
          <w:sz w:val="28"/>
        </w:rPr>
      </w:pPr>
      <w:r w:rsidRPr="00D619F1">
        <w:rPr>
          <w:rFonts w:ascii="Times New Roman" w:eastAsia="Calibri" w:hAnsi="Times New Roman" w:cs="Times New Roman"/>
          <w:sz w:val="28"/>
        </w:rPr>
        <w:t xml:space="preserve">Izstrādājot makroekonomisko rādītāju prognozes, </w:t>
      </w:r>
      <w:r>
        <w:rPr>
          <w:rFonts w:ascii="Times New Roman" w:eastAsia="Calibri" w:hAnsi="Times New Roman" w:cs="Times New Roman"/>
          <w:sz w:val="28"/>
        </w:rPr>
        <w:t>FM</w:t>
      </w:r>
      <w:r w:rsidRPr="00D619F1">
        <w:rPr>
          <w:rFonts w:ascii="Times New Roman" w:eastAsia="Calibri" w:hAnsi="Times New Roman" w:cs="Times New Roman"/>
          <w:sz w:val="28"/>
        </w:rPr>
        <w:t xml:space="preserve"> balstījās uz konservatīviem pieņēmumiem, kā arī izvērtēja ārējās un iekšējās vides riskus, kuriem īstenojoties, ekonomikas izaugsme var izrādīties straujāka vai lēnāka, nekā paredz pamata prognoze. Jāatzīmē, ka prognozes vēl nekad nav izstrādātas tik augstas nenoteiktības apstākļos, ko nosaka Covid-19 neparedzamā izplatība pasaulē, un prognožu riski pārsvarā ir lejupvērsti. </w:t>
      </w:r>
    </w:p>
    <w:p w14:paraId="357B7B91" w14:textId="77777777" w:rsidR="00D619F1" w:rsidRPr="00D619F1" w:rsidRDefault="00D619F1" w:rsidP="00401A5B">
      <w:pPr>
        <w:ind w:firstLine="709"/>
        <w:jc w:val="both"/>
        <w:rPr>
          <w:rFonts w:ascii="Times New Roman" w:eastAsia="Calibri" w:hAnsi="Times New Roman" w:cs="Times New Roman"/>
          <w:sz w:val="28"/>
        </w:rPr>
      </w:pPr>
      <w:r w:rsidRPr="00D619F1">
        <w:rPr>
          <w:rFonts w:ascii="Times New Roman" w:eastAsia="Calibri" w:hAnsi="Times New Roman" w:cs="Times New Roman"/>
          <w:sz w:val="28"/>
        </w:rPr>
        <w:t>Būtiskākais negatīvais risks ir Covid-19 atkārtots uzliesmojums Eiropā un Latvijā, kas var radīt nepieciešamību pēc jauniem, vēl spēcīgākiem ierobežojošajiem pasākumiem. Tāpat vērā ņemami negatīvie riski ir saistīti ar sociālās un etniskās spriedzes saasināšanos pasaulē, ģeopolitisko konfliktu aktualizēšanos, ASV un Ķīnas attiecību pasliktināšanos, strauju protekcionisma pieaugumu un augstu nestabilitāti un svārstīgumu finanšu tirgos.</w:t>
      </w:r>
    </w:p>
    <w:p w14:paraId="5D4027A4" w14:textId="049EB4E7" w:rsidR="00D619F1" w:rsidRDefault="00D619F1" w:rsidP="00401A5B">
      <w:pPr>
        <w:ind w:firstLine="709"/>
        <w:jc w:val="both"/>
        <w:rPr>
          <w:rFonts w:ascii="Times New Roman" w:eastAsia="Calibri" w:hAnsi="Times New Roman" w:cs="Times New Roman"/>
          <w:sz w:val="28"/>
        </w:rPr>
      </w:pPr>
      <w:r w:rsidRPr="00D619F1">
        <w:rPr>
          <w:rFonts w:ascii="Times New Roman" w:eastAsia="Calibri" w:hAnsi="Times New Roman" w:cs="Times New Roman"/>
          <w:sz w:val="28"/>
        </w:rPr>
        <w:t xml:space="preserve">Vienlaikus pašlaik pastāv arī pozitīvie riski, kas var nodrošināt straujāku ekonomiskās izaugsmes atjaunošanos, tajā skaitā Covid-19 vakcīnas un zāļu ātrāka atklāšana, spēcīgāka apjomīgo monetārās un fiskālās stimulēšanas pasākumu ietekme, kā arī straujāka vīrusu ierobežojošo pasākumu atcelšana un uzņēmēju un patērētāju konfidences atjaunošanās. Papildus tam, ekonomisko aktivitāti stimulēs ES fondu investīcijas 2021-2027.gada plānošanas periodā, it sevišķi saistībā ar Eiropas Atveseļošanas un noturības mehānisma finansējumu un </w:t>
      </w:r>
      <w:r>
        <w:rPr>
          <w:rFonts w:ascii="Times New Roman" w:eastAsia="Calibri" w:hAnsi="Times New Roman" w:cs="Times New Roman"/>
          <w:sz w:val="28"/>
        </w:rPr>
        <w:t>“</w:t>
      </w:r>
      <w:r w:rsidRPr="00D619F1">
        <w:rPr>
          <w:rFonts w:ascii="Times New Roman" w:eastAsia="Calibri" w:hAnsi="Times New Roman" w:cs="Times New Roman"/>
          <w:i/>
          <w:sz w:val="28"/>
        </w:rPr>
        <w:t>Rail</w:t>
      </w:r>
      <w:r>
        <w:rPr>
          <w:rFonts w:ascii="Times New Roman" w:eastAsia="Calibri" w:hAnsi="Times New Roman" w:cs="Times New Roman"/>
          <w:i/>
          <w:sz w:val="28"/>
        </w:rPr>
        <w:t xml:space="preserve"> </w:t>
      </w:r>
      <w:r w:rsidRPr="00D619F1">
        <w:rPr>
          <w:rFonts w:ascii="Times New Roman" w:eastAsia="Calibri" w:hAnsi="Times New Roman" w:cs="Times New Roman"/>
          <w:i/>
          <w:sz w:val="28"/>
        </w:rPr>
        <w:t>Baltica</w:t>
      </w:r>
      <w:r>
        <w:rPr>
          <w:rFonts w:ascii="Times New Roman" w:eastAsia="Calibri" w:hAnsi="Times New Roman" w:cs="Times New Roman"/>
          <w:i/>
          <w:sz w:val="28"/>
        </w:rPr>
        <w:t>”</w:t>
      </w:r>
      <w:r w:rsidRPr="00D619F1">
        <w:rPr>
          <w:rFonts w:ascii="Times New Roman" w:eastAsia="Calibri" w:hAnsi="Times New Roman" w:cs="Times New Roman"/>
          <w:sz w:val="28"/>
        </w:rPr>
        <w:t xml:space="preserve"> projekta realizāciju.</w:t>
      </w:r>
    </w:p>
    <w:p w14:paraId="578EB59E" w14:textId="77777777" w:rsidR="00322C7C" w:rsidRPr="00D619F1" w:rsidRDefault="00322C7C" w:rsidP="00401A5B">
      <w:pPr>
        <w:ind w:firstLine="709"/>
        <w:jc w:val="both"/>
        <w:rPr>
          <w:rFonts w:ascii="Times New Roman" w:eastAsia="Calibri" w:hAnsi="Times New Roman" w:cs="Times New Roman"/>
          <w:sz w:val="28"/>
        </w:rPr>
      </w:pPr>
    </w:p>
    <w:p w14:paraId="6755DA58" w14:textId="0C6FA16C" w:rsidR="003F3FCD" w:rsidRPr="002808B3" w:rsidRDefault="000548A5" w:rsidP="00FB2B77">
      <w:pPr>
        <w:pStyle w:val="Heading2"/>
        <w:numPr>
          <w:ilvl w:val="1"/>
          <w:numId w:val="11"/>
        </w:numPr>
        <w:spacing w:before="0"/>
        <w:jc w:val="center"/>
        <w:rPr>
          <w:rFonts w:ascii="Times New Roman" w:eastAsia="Calibri" w:hAnsi="Times New Roman" w:cs="Times New Roman"/>
          <w:sz w:val="32"/>
          <w:szCs w:val="32"/>
        </w:rPr>
      </w:pPr>
      <w:bookmarkStart w:id="29" w:name="_Toc53154092"/>
      <w:r w:rsidRPr="002808B3">
        <w:rPr>
          <w:rFonts w:ascii="Times New Roman" w:eastAsia="Times New Roman" w:hAnsi="Times New Roman" w:cs="Times New Roman"/>
          <w:sz w:val="32"/>
          <w:szCs w:val="32"/>
        </w:rPr>
        <w:t>Jūtīguma analīze</w:t>
      </w:r>
      <w:bookmarkEnd w:id="29"/>
    </w:p>
    <w:p w14:paraId="63A64B17" w14:textId="77777777" w:rsidR="003F3FCD" w:rsidRDefault="003F3FCD" w:rsidP="00401A5B">
      <w:pPr>
        <w:widowControl w:val="0"/>
        <w:ind w:firstLine="720"/>
        <w:jc w:val="both"/>
        <w:rPr>
          <w:rFonts w:ascii="Times New Roman" w:eastAsia="Times New Roman" w:hAnsi="Times New Roman" w:cs="Times New Roman"/>
          <w:color w:val="000000"/>
          <w:sz w:val="28"/>
        </w:rPr>
      </w:pPr>
    </w:p>
    <w:p w14:paraId="322D87C5" w14:textId="77777777" w:rsidR="00D619F1" w:rsidRPr="00D619F1" w:rsidRDefault="00D619F1" w:rsidP="00401A5B">
      <w:pPr>
        <w:autoSpaceDE w:val="0"/>
        <w:autoSpaceDN w:val="0"/>
        <w:adjustRightInd w:val="0"/>
        <w:ind w:firstLine="720"/>
        <w:jc w:val="both"/>
        <w:rPr>
          <w:rFonts w:ascii="Times New Roman" w:eastAsia="Times New Roman" w:hAnsi="Times New Roman" w:cs="Times New Roman"/>
          <w:color w:val="000000"/>
          <w:sz w:val="28"/>
          <w:szCs w:val="28"/>
        </w:rPr>
      </w:pPr>
      <w:r w:rsidRPr="00D619F1">
        <w:rPr>
          <w:rFonts w:ascii="Times New Roman" w:eastAsia="Times New Roman" w:hAnsi="Times New Roman" w:cs="Times New Roman"/>
          <w:color w:val="000000"/>
          <w:sz w:val="28"/>
          <w:szCs w:val="28"/>
        </w:rPr>
        <w:t>Ņemot vērā iespējamos pozitīvos un negatīvos riskus ekonomikas izaugsmei, FM ir izstrādājusi divus alternatīvus ekonomikas attīstības scenārijus laika posmam no 2020. līdz 2023.gadam, kad realizētos viens vai vairāki no iepriekšminētajiem riskiem. Šajos scenārijos ir modelēta šo risku realizēšanās ietekme uz dažādiem makroekonomiskajiem rādītājiem un budžeta ieņēmumiem.</w:t>
      </w:r>
    </w:p>
    <w:p w14:paraId="580EB718" w14:textId="0C652B57" w:rsidR="003F3FCD" w:rsidRPr="002808B3" w:rsidRDefault="000548A5" w:rsidP="00FB2B77">
      <w:pPr>
        <w:pStyle w:val="Heading3"/>
        <w:numPr>
          <w:ilvl w:val="2"/>
          <w:numId w:val="12"/>
        </w:numPr>
      </w:pPr>
      <w:bookmarkStart w:id="30" w:name="_Toc53154093"/>
      <w:r w:rsidRPr="002808B3">
        <w:t>Optimistiskais scenārijs</w:t>
      </w:r>
      <w:bookmarkEnd w:id="30"/>
    </w:p>
    <w:p w14:paraId="47930815" w14:textId="77777777" w:rsidR="003F3FCD" w:rsidRDefault="003F3FCD" w:rsidP="00401A5B">
      <w:pPr>
        <w:widowControl w:val="0"/>
        <w:ind w:firstLine="720"/>
        <w:jc w:val="both"/>
        <w:rPr>
          <w:rFonts w:ascii="Times New Roman" w:eastAsia="Times New Roman" w:hAnsi="Times New Roman" w:cs="Times New Roman"/>
          <w:color w:val="000000"/>
          <w:sz w:val="24"/>
        </w:rPr>
      </w:pPr>
    </w:p>
    <w:p w14:paraId="30EB531D" w14:textId="77777777" w:rsidR="00186BB3" w:rsidRPr="00186BB3" w:rsidRDefault="00186BB3" w:rsidP="00401A5B">
      <w:pPr>
        <w:autoSpaceDE w:val="0"/>
        <w:autoSpaceDN w:val="0"/>
        <w:adjustRightInd w:val="0"/>
        <w:ind w:firstLine="720"/>
        <w:jc w:val="both"/>
        <w:rPr>
          <w:rFonts w:ascii="Times New Roman" w:eastAsia="Times New Roman" w:hAnsi="Times New Roman" w:cs="Times New Roman"/>
          <w:color w:val="000000"/>
          <w:sz w:val="28"/>
          <w:szCs w:val="28"/>
        </w:rPr>
      </w:pPr>
      <w:r w:rsidRPr="00186BB3">
        <w:rPr>
          <w:rFonts w:ascii="Times New Roman" w:eastAsia="Times New Roman" w:hAnsi="Times New Roman" w:cs="Times New Roman"/>
          <w:color w:val="000000"/>
          <w:sz w:val="28"/>
          <w:szCs w:val="28"/>
        </w:rPr>
        <w:t xml:space="preserve">Optimistiskais scenārijs paredz straujāku IKP izaugsmi 2020.gadā, pieņemot, ka ekonomika būs labāk pārcietusi Covid-19 pirmo vilni. Šī gada sākums iestājās ar lielu nenoteiktību saistībā ar Covid-19 izplatību un ieviestajiem pasākumiem. Tā rezultātā strauji samazinājās eksports un mājsaimniecību patēriņš. Tajā pašā laikā daudzas mājsaimniecības un uzņēmēji izmantoja šo laiku, lai veiktu nelielus būvniecības darbus, mazinot būvniecības nozares iespējamo kritumu. Papildus tam valdības izmaksātie dīkstāves pabalsti veicināja nodarbinātības saglabāšanos, nodrošinot, ka krīzes tiešā veidā neskartie ekonomikas sektori spēs ātrāk atsākt atkopšanos. </w:t>
      </w:r>
    </w:p>
    <w:p w14:paraId="4EE03F00" w14:textId="7CE5E02F" w:rsidR="00186BB3" w:rsidRPr="00186BB3" w:rsidRDefault="00186BB3" w:rsidP="00401A5B">
      <w:pPr>
        <w:autoSpaceDE w:val="0"/>
        <w:autoSpaceDN w:val="0"/>
        <w:adjustRightInd w:val="0"/>
        <w:ind w:firstLine="720"/>
        <w:jc w:val="both"/>
        <w:rPr>
          <w:rFonts w:ascii="Times New Roman" w:eastAsia="Times New Roman" w:hAnsi="Times New Roman" w:cs="Times New Roman"/>
          <w:color w:val="000000"/>
          <w:sz w:val="28"/>
          <w:szCs w:val="28"/>
        </w:rPr>
      </w:pPr>
      <w:r w:rsidRPr="00186BB3">
        <w:rPr>
          <w:rFonts w:ascii="Times New Roman" w:eastAsia="Times New Roman" w:hAnsi="Times New Roman" w:cs="Times New Roman"/>
          <w:color w:val="000000"/>
          <w:sz w:val="28"/>
          <w:szCs w:val="28"/>
        </w:rPr>
        <w:t xml:space="preserve">Tā kā 2020.gada 2.ceturkšņa IKP rezultāti ir labāki (-8,9%), nekā prognožu bāzes scenārija tapšanas laikā, 2020.gada jūnijā (-10,8%), tad tam būs pozitīvs arī bāzes efekts uz izaugsmes statistiku, nodrošinot, ka IKP kritums šogad būtu 5,2% apmērā, kas ir par 1,8 procentpunktiem </w:t>
      </w:r>
      <w:r w:rsidR="00FB2B77">
        <w:rPr>
          <w:rFonts w:ascii="Times New Roman" w:eastAsia="Times New Roman" w:hAnsi="Times New Roman" w:cs="Times New Roman"/>
          <w:color w:val="000000"/>
          <w:sz w:val="28"/>
          <w:szCs w:val="28"/>
        </w:rPr>
        <w:t>mazāk</w:t>
      </w:r>
      <w:r w:rsidRPr="00186BB3">
        <w:rPr>
          <w:rFonts w:ascii="Times New Roman" w:eastAsia="Times New Roman" w:hAnsi="Times New Roman" w:cs="Times New Roman"/>
          <w:color w:val="000000"/>
          <w:sz w:val="28"/>
          <w:szCs w:val="28"/>
        </w:rPr>
        <w:t xml:space="preserve"> nekā bāzes scenārijā. Tam būs arī pozitīva ietekme uz 2021.gada izaugsmi, to palielinot līdz 5,7% jeb par 0,6 procentpunktiem salīdzinājumā ar bāzes scenāriju.</w:t>
      </w:r>
    </w:p>
    <w:p w14:paraId="0BDDB713" w14:textId="77777777" w:rsidR="00186BB3" w:rsidRPr="00186BB3" w:rsidRDefault="00186BB3" w:rsidP="00401A5B">
      <w:pPr>
        <w:autoSpaceDE w:val="0"/>
        <w:autoSpaceDN w:val="0"/>
        <w:adjustRightInd w:val="0"/>
        <w:ind w:firstLine="720"/>
        <w:jc w:val="both"/>
        <w:rPr>
          <w:rFonts w:ascii="Times New Roman" w:eastAsia="Times New Roman" w:hAnsi="Times New Roman" w:cs="Times New Roman"/>
          <w:color w:val="000000"/>
          <w:sz w:val="28"/>
          <w:szCs w:val="28"/>
        </w:rPr>
      </w:pPr>
      <w:r w:rsidRPr="00186BB3">
        <w:rPr>
          <w:rFonts w:ascii="Times New Roman" w:eastAsia="Times New Roman" w:hAnsi="Times New Roman" w:cs="Times New Roman"/>
          <w:color w:val="000000"/>
          <w:sz w:val="28"/>
          <w:szCs w:val="28"/>
        </w:rPr>
        <w:t>Straujāka ekonomiskā aktivitāte nodrošinās arī darba algu nelielu pieaugumu un mazāku nodarbinātības kritumi 2020.gadā, bezdarbam palielinoties ne tik strauji kā bāzes scenārijā, sasniedzot 8,3% (pretstatā 10,5% bāzes scenārija prognozēm). Savukārt mēneša vidējās bruto darba samaksas pieaugums 2020. un 2021.gadā attiecīgi būs par 5 un 2 procentpunktiem straujāks nekā pamata scenārijā, un pieaugot par 4% un 5% attiecīgi. Šo faktoru ietekmē privātais patēriņš 2021. un 2022.gadā varētu augt par 3 un 1 procentpunktu straujāk, nekā paredzēts pamata scenārijā.</w:t>
      </w:r>
    </w:p>
    <w:p w14:paraId="53C4FFBC" w14:textId="3FA79FB3" w:rsidR="00186BB3" w:rsidRPr="00186BB3" w:rsidRDefault="00186BB3" w:rsidP="00401A5B">
      <w:pPr>
        <w:autoSpaceDE w:val="0"/>
        <w:autoSpaceDN w:val="0"/>
        <w:adjustRightInd w:val="0"/>
        <w:ind w:firstLine="720"/>
        <w:jc w:val="both"/>
        <w:rPr>
          <w:rFonts w:ascii="Times New Roman" w:eastAsia="Times New Roman" w:hAnsi="Times New Roman" w:cs="Times New Roman"/>
          <w:color w:val="000000"/>
          <w:sz w:val="28"/>
          <w:szCs w:val="28"/>
        </w:rPr>
      </w:pPr>
      <w:r w:rsidRPr="00186BB3">
        <w:rPr>
          <w:rFonts w:ascii="Times New Roman" w:eastAsia="Times New Roman" w:hAnsi="Times New Roman" w:cs="Times New Roman"/>
          <w:color w:val="000000"/>
          <w:sz w:val="28"/>
          <w:szCs w:val="28"/>
        </w:rPr>
        <w:t xml:space="preserve">Savukārt sākot no 2021.gada ļoti nozīmīgs būs ES finansēto investīciju ieplūdes pieaugums. Eiropas Atveseļošanās un noturības mehānisma un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RailBaltica”</w:t>
      </w:r>
      <w:r w:rsidRPr="00186BB3">
        <w:rPr>
          <w:rFonts w:ascii="Times New Roman" w:eastAsia="Times New Roman" w:hAnsi="Times New Roman" w:cs="Times New Roman"/>
          <w:color w:val="000000"/>
          <w:sz w:val="28"/>
          <w:szCs w:val="28"/>
        </w:rPr>
        <w:t xml:space="preserve"> realizācijas paredzētais finansējums, kas kopā ar ES struktūrfondiem nodrošinās pāri 1,2 m</w:t>
      </w:r>
      <w:r>
        <w:rPr>
          <w:rFonts w:ascii="Times New Roman" w:eastAsia="Times New Roman" w:hAnsi="Times New Roman" w:cs="Times New Roman"/>
          <w:color w:val="000000"/>
          <w:sz w:val="28"/>
          <w:szCs w:val="28"/>
        </w:rPr>
        <w:t>ljrd.</w:t>
      </w:r>
      <w:r w:rsidRPr="00186BB3">
        <w:rPr>
          <w:rFonts w:ascii="Times New Roman" w:eastAsia="Times New Roman" w:hAnsi="Times New Roman" w:cs="Times New Roman"/>
          <w:color w:val="000000"/>
          <w:sz w:val="28"/>
          <w:szCs w:val="28"/>
        </w:rPr>
        <w:t xml:space="preserve"> </w:t>
      </w:r>
      <w:r w:rsidRPr="00186BB3">
        <w:rPr>
          <w:rFonts w:ascii="Times New Roman" w:eastAsia="Times New Roman" w:hAnsi="Times New Roman" w:cs="Times New Roman"/>
          <w:i/>
          <w:color w:val="000000"/>
          <w:sz w:val="28"/>
          <w:szCs w:val="28"/>
        </w:rPr>
        <w:t>euro</w:t>
      </w:r>
      <w:r w:rsidRPr="00186BB3">
        <w:rPr>
          <w:rFonts w:ascii="Times New Roman" w:eastAsia="Times New Roman" w:hAnsi="Times New Roman" w:cs="Times New Roman"/>
          <w:color w:val="000000"/>
          <w:sz w:val="28"/>
          <w:szCs w:val="28"/>
        </w:rPr>
        <w:t xml:space="preserve"> investīciju (jeb 56% pieaugumu) 2021.gadā, un aptuveni 1,6 un 1,9 m</w:t>
      </w:r>
      <w:r>
        <w:rPr>
          <w:rFonts w:ascii="Times New Roman" w:eastAsia="Times New Roman" w:hAnsi="Times New Roman" w:cs="Times New Roman"/>
          <w:color w:val="000000"/>
          <w:sz w:val="28"/>
          <w:szCs w:val="28"/>
        </w:rPr>
        <w:t>ljrd.</w:t>
      </w:r>
      <w:r w:rsidRPr="00186BB3">
        <w:rPr>
          <w:rFonts w:ascii="Times New Roman" w:eastAsia="Times New Roman" w:hAnsi="Times New Roman" w:cs="Times New Roman"/>
          <w:color w:val="000000"/>
          <w:sz w:val="28"/>
          <w:szCs w:val="28"/>
        </w:rPr>
        <w:t xml:space="preserve"> </w:t>
      </w:r>
      <w:r w:rsidRPr="00186BB3">
        <w:rPr>
          <w:rFonts w:ascii="Times New Roman" w:eastAsia="Times New Roman" w:hAnsi="Times New Roman" w:cs="Times New Roman"/>
          <w:i/>
          <w:color w:val="000000"/>
          <w:sz w:val="28"/>
          <w:szCs w:val="28"/>
        </w:rPr>
        <w:t>euro</w:t>
      </w:r>
      <w:r w:rsidRPr="00186BB3">
        <w:rPr>
          <w:rFonts w:ascii="Times New Roman" w:eastAsia="Times New Roman" w:hAnsi="Times New Roman" w:cs="Times New Roman"/>
          <w:color w:val="000000"/>
          <w:sz w:val="28"/>
          <w:szCs w:val="28"/>
        </w:rPr>
        <w:t xml:space="preserve"> a</w:t>
      </w:r>
      <w:r>
        <w:rPr>
          <w:rFonts w:ascii="Times New Roman" w:eastAsia="Times New Roman" w:hAnsi="Times New Roman" w:cs="Times New Roman"/>
          <w:color w:val="000000"/>
          <w:sz w:val="28"/>
          <w:szCs w:val="28"/>
        </w:rPr>
        <w:t>ttiecīgi 2022.gadā un 2023.gadā (skat. 1.8.tabulu).</w:t>
      </w:r>
    </w:p>
    <w:p w14:paraId="4793B31A" w14:textId="77777777" w:rsidR="00186BB3" w:rsidRPr="00186BB3" w:rsidRDefault="00186BB3" w:rsidP="00401A5B">
      <w:pPr>
        <w:keepNext/>
        <w:jc w:val="right"/>
        <w:rPr>
          <w:rFonts w:ascii="Times New Roman" w:eastAsiaTheme="minorHAnsi" w:hAnsi="Times New Roman" w:cs="Times New Roman"/>
          <w:b/>
          <w:i/>
          <w:sz w:val="24"/>
          <w:szCs w:val="24"/>
          <w:lang w:eastAsia="en-US"/>
        </w:rPr>
      </w:pPr>
    </w:p>
    <w:p w14:paraId="084AC431" w14:textId="6C9A7079" w:rsidR="00186BB3" w:rsidRPr="00186BB3" w:rsidRDefault="00294F87" w:rsidP="00401A5B">
      <w:pPr>
        <w:keepNext/>
        <w:jc w:val="right"/>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1.8.</w:t>
      </w:r>
      <w:r w:rsidR="00186BB3" w:rsidRPr="00186BB3">
        <w:rPr>
          <w:rFonts w:ascii="Times New Roman" w:eastAsiaTheme="minorHAnsi" w:hAnsi="Times New Roman" w:cs="Times New Roman"/>
          <w:b/>
          <w:i/>
          <w:sz w:val="24"/>
          <w:szCs w:val="24"/>
          <w:lang w:eastAsia="en-US"/>
        </w:rPr>
        <w:t>tabula. Optimistiskais makroekonomisko rādītāju attīstības scenārijs</w:t>
      </w:r>
    </w:p>
    <w:tbl>
      <w:tblPr>
        <w:tblW w:w="8821" w:type="dxa"/>
        <w:jc w:val="center"/>
        <w:shd w:val="clear" w:color="auto" w:fill="FFFFFF" w:themeFill="background1"/>
        <w:tblLayout w:type="fixed"/>
        <w:tblLook w:val="04A0" w:firstRow="1" w:lastRow="0" w:firstColumn="1" w:lastColumn="0" w:noHBand="0" w:noVBand="1"/>
      </w:tblPr>
      <w:tblGrid>
        <w:gridCol w:w="3967"/>
        <w:gridCol w:w="1029"/>
        <w:gridCol w:w="955"/>
        <w:gridCol w:w="957"/>
        <w:gridCol w:w="955"/>
        <w:gridCol w:w="958"/>
      </w:tblGrid>
      <w:tr w:rsidR="00186BB3" w:rsidRPr="00186BB3" w14:paraId="3B0C0E8C" w14:textId="77777777" w:rsidTr="00186BB3">
        <w:trPr>
          <w:trHeight w:val="302"/>
          <w:jc w:val="center"/>
        </w:trPr>
        <w:tc>
          <w:tcPr>
            <w:tcW w:w="39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75533D0" w14:textId="77777777" w:rsidR="00186BB3" w:rsidRPr="00186BB3" w:rsidRDefault="00186BB3" w:rsidP="00401A5B">
            <w:pPr>
              <w:jc w:val="center"/>
              <w:rPr>
                <w:rFonts w:ascii="Times New Roman" w:eastAsia="Calibri" w:hAnsi="Times New Roman" w:cs="Times New Roman"/>
                <w:b/>
                <w:sz w:val="20"/>
                <w:szCs w:val="20"/>
              </w:rPr>
            </w:pPr>
          </w:p>
        </w:tc>
        <w:tc>
          <w:tcPr>
            <w:tcW w:w="102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AB18C40"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2019</w:t>
            </w:r>
          </w:p>
        </w:tc>
        <w:tc>
          <w:tcPr>
            <w:tcW w:w="95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85E5D59"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2020</w:t>
            </w:r>
          </w:p>
        </w:tc>
        <w:tc>
          <w:tcPr>
            <w:tcW w:w="957"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73000F8"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2021</w:t>
            </w:r>
          </w:p>
        </w:tc>
        <w:tc>
          <w:tcPr>
            <w:tcW w:w="95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7A1D135"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2022</w:t>
            </w:r>
          </w:p>
        </w:tc>
        <w:tc>
          <w:tcPr>
            <w:tcW w:w="95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5E3B10C"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2023</w:t>
            </w:r>
          </w:p>
        </w:tc>
      </w:tr>
      <w:tr w:rsidR="00186BB3" w:rsidRPr="00186BB3" w14:paraId="5F227204" w14:textId="77777777" w:rsidTr="00186BB3">
        <w:trPr>
          <w:trHeight w:val="302"/>
          <w:jc w:val="center"/>
        </w:trPr>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96EDFE" w14:textId="77777777" w:rsidR="00186BB3" w:rsidRPr="00186BB3" w:rsidRDefault="00186BB3" w:rsidP="00401A5B">
            <w:pPr>
              <w:jc w:val="center"/>
              <w:rPr>
                <w:rFonts w:ascii="Times New Roman" w:eastAsia="Calibri" w:hAnsi="Times New Roman" w:cs="Times New Roman"/>
                <w:b/>
                <w:sz w:val="20"/>
                <w:szCs w:val="20"/>
              </w:rPr>
            </w:pPr>
          </w:p>
        </w:tc>
        <w:tc>
          <w:tcPr>
            <w:tcW w:w="1029" w:type="dxa"/>
            <w:tcBorders>
              <w:top w:val="single" w:sz="4" w:space="0" w:color="auto"/>
              <w:left w:val="nil"/>
              <w:bottom w:val="single" w:sz="4" w:space="0" w:color="auto"/>
              <w:right w:val="single" w:sz="4" w:space="0" w:color="auto"/>
            </w:tcBorders>
            <w:shd w:val="clear" w:color="auto" w:fill="FFFFFF" w:themeFill="background1"/>
            <w:noWrap/>
            <w:vAlign w:val="center"/>
          </w:tcPr>
          <w:p w14:paraId="31352103" w14:textId="77777777" w:rsidR="00186BB3" w:rsidRPr="00186BB3" w:rsidRDefault="00186BB3" w:rsidP="00401A5B">
            <w:pPr>
              <w:jc w:val="center"/>
              <w:rPr>
                <w:rFonts w:ascii="Times New Roman" w:eastAsia="Calibri" w:hAnsi="Times New Roman" w:cs="Times New Roman"/>
                <w:sz w:val="20"/>
                <w:szCs w:val="20"/>
              </w:rPr>
            </w:pPr>
            <w:r w:rsidRPr="00186BB3">
              <w:rPr>
                <w:rFonts w:ascii="Times New Roman" w:eastAsia="Calibri" w:hAnsi="Times New Roman" w:cs="Times New Roman"/>
                <w:sz w:val="20"/>
                <w:szCs w:val="20"/>
              </w:rPr>
              <w:t>fakts</w:t>
            </w:r>
          </w:p>
        </w:tc>
        <w:tc>
          <w:tcPr>
            <w:tcW w:w="3825" w:type="dxa"/>
            <w:gridSpan w:val="4"/>
            <w:tcBorders>
              <w:top w:val="single" w:sz="4" w:space="0" w:color="auto"/>
              <w:left w:val="nil"/>
              <w:bottom w:val="single" w:sz="4" w:space="0" w:color="auto"/>
              <w:right w:val="single" w:sz="4" w:space="0" w:color="auto"/>
            </w:tcBorders>
            <w:shd w:val="clear" w:color="auto" w:fill="FFFFFF" w:themeFill="background1"/>
            <w:noWrap/>
            <w:vAlign w:val="center"/>
          </w:tcPr>
          <w:p w14:paraId="5E402D9B" w14:textId="77777777" w:rsidR="00186BB3" w:rsidRPr="00186BB3" w:rsidRDefault="00186BB3" w:rsidP="00401A5B">
            <w:pPr>
              <w:jc w:val="center"/>
              <w:rPr>
                <w:rFonts w:ascii="Times New Roman" w:eastAsia="Calibri" w:hAnsi="Times New Roman" w:cs="Times New Roman"/>
                <w:sz w:val="20"/>
                <w:szCs w:val="20"/>
              </w:rPr>
            </w:pPr>
            <w:r w:rsidRPr="00186BB3">
              <w:rPr>
                <w:rFonts w:ascii="Times New Roman" w:eastAsia="Calibri" w:hAnsi="Times New Roman" w:cs="Times New Roman"/>
                <w:sz w:val="20"/>
                <w:szCs w:val="20"/>
              </w:rPr>
              <w:t>prognoze</w:t>
            </w:r>
          </w:p>
        </w:tc>
      </w:tr>
      <w:tr w:rsidR="00186BB3" w:rsidRPr="00186BB3" w14:paraId="7F6CC3AC" w14:textId="77777777" w:rsidTr="00186BB3">
        <w:trPr>
          <w:trHeight w:val="302"/>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7CF412"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 xml:space="preserve">Iekšzemes kopprodukts (IKP), </w:t>
            </w:r>
            <w:r w:rsidRPr="00186BB3">
              <w:rPr>
                <w:rFonts w:ascii="Times New Roman" w:eastAsia="Calibri" w:hAnsi="Times New Roman" w:cs="Times New Roman"/>
                <w:b/>
                <w:sz w:val="20"/>
                <w:szCs w:val="20"/>
              </w:rPr>
              <w:br/>
              <w:t xml:space="preserve">milj. </w:t>
            </w:r>
            <w:r w:rsidRPr="00186BB3">
              <w:rPr>
                <w:rFonts w:ascii="Times New Roman" w:eastAsia="Calibri" w:hAnsi="Times New Roman" w:cs="Times New Roman"/>
                <w:b/>
                <w:i/>
                <w:sz w:val="20"/>
                <w:szCs w:val="20"/>
              </w:rPr>
              <w:t>euro</w:t>
            </w:r>
          </w:p>
        </w:tc>
        <w:tc>
          <w:tcPr>
            <w:tcW w:w="1029"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1FAC309B"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lang w:eastAsia="en-US"/>
              </w:rPr>
              <w:t>30 463</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BD16A86"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29 363</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BF063B5"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31 499</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702DE61A"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33 511</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BE15AFF"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35 245</w:t>
            </w:r>
          </w:p>
        </w:tc>
      </w:tr>
      <w:tr w:rsidR="00186BB3" w:rsidRPr="00186BB3" w14:paraId="6A19944A" w14:textId="77777777" w:rsidTr="00186BB3">
        <w:trPr>
          <w:trHeight w:val="302"/>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9B91ED"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faktiskajās cenās, %</w:t>
            </w:r>
          </w:p>
        </w:tc>
        <w:tc>
          <w:tcPr>
            <w:tcW w:w="1029"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D39EF11"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lang w:eastAsia="en-US"/>
              </w:rPr>
              <w:t>4,5</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2951AF9"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-3,6</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D3873FC"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7,3</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9C666DC"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6,4</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7B64EE5E"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5,2</w:t>
            </w:r>
          </w:p>
        </w:tc>
      </w:tr>
      <w:tr w:rsidR="00186BB3" w:rsidRPr="00186BB3" w14:paraId="16EDB0AA" w14:textId="77777777" w:rsidTr="00186BB3">
        <w:trPr>
          <w:trHeight w:val="302"/>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5ADCBB"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salīdzināmās cenās, %</w:t>
            </w:r>
          </w:p>
        </w:tc>
        <w:tc>
          <w:tcPr>
            <w:tcW w:w="1029"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2D2E9D2"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lang w:eastAsia="en-US"/>
              </w:rPr>
              <w:t>2,1</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bottom"/>
          </w:tcPr>
          <w:p w14:paraId="1060E8BF"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-5,2</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bottom"/>
          </w:tcPr>
          <w:p w14:paraId="70CD977D"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5,7</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bottom"/>
          </w:tcPr>
          <w:p w14:paraId="1A3987C8"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4,2</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bottom"/>
          </w:tcPr>
          <w:p w14:paraId="2C1AB064"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3,1</w:t>
            </w:r>
          </w:p>
        </w:tc>
      </w:tr>
      <w:tr w:rsidR="00186BB3" w:rsidRPr="00186BB3" w14:paraId="70D22734" w14:textId="77777777" w:rsidTr="00186BB3">
        <w:trPr>
          <w:trHeight w:val="438"/>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9F3669"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IKP deflators (gads pret gadu), %</w:t>
            </w:r>
          </w:p>
        </w:tc>
        <w:tc>
          <w:tcPr>
            <w:tcW w:w="1029"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71F72D03"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lang w:eastAsia="en-US"/>
              </w:rPr>
              <w:t>2,4</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bottom"/>
          </w:tcPr>
          <w:p w14:paraId="3286C83F"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1,7</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bottom"/>
          </w:tcPr>
          <w:p w14:paraId="77BCF1F9"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1,5</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bottom"/>
          </w:tcPr>
          <w:p w14:paraId="269BDC8A"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2,1</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bottom"/>
          </w:tcPr>
          <w:p w14:paraId="44685002"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w:t>
            </w:r>
          </w:p>
        </w:tc>
      </w:tr>
      <w:tr w:rsidR="00186BB3" w:rsidRPr="00186BB3" w14:paraId="285E2FF9" w14:textId="77777777" w:rsidTr="00186BB3">
        <w:trPr>
          <w:trHeight w:val="302"/>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36E4DC"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PCI (gads pret gadu), %</w:t>
            </w:r>
          </w:p>
        </w:tc>
        <w:tc>
          <w:tcPr>
            <w:tcW w:w="1029"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9F6A636"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2,8</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6533ABC"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0,5</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2012553"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1,6</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101B1A1"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2,1</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908241C"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2,1</w:t>
            </w:r>
          </w:p>
        </w:tc>
      </w:tr>
      <w:tr w:rsidR="00186BB3" w:rsidRPr="00186BB3" w14:paraId="26149B46" w14:textId="77777777" w:rsidTr="00186BB3">
        <w:trPr>
          <w:trHeight w:val="605"/>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632937"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 xml:space="preserve">Tautsaimniecībā nodarbināto mēn. vid. bruto darba samaksa, </w:t>
            </w:r>
            <w:r w:rsidRPr="00186BB3">
              <w:rPr>
                <w:rFonts w:ascii="Times New Roman" w:eastAsia="Calibri" w:hAnsi="Times New Roman" w:cs="Times New Roman"/>
                <w:b/>
                <w:i/>
                <w:sz w:val="20"/>
                <w:szCs w:val="20"/>
              </w:rPr>
              <w:t>euro</w:t>
            </w:r>
          </w:p>
        </w:tc>
        <w:tc>
          <w:tcPr>
            <w:tcW w:w="1029"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373100F1"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1 076</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DFDEED8"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1 119</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41C0D7BE"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1 175</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E2176DB"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1 240</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4D97971"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1 302</w:t>
            </w:r>
          </w:p>
        </w:tc>
      </w:tr>
      <w:tr w:rsidR="00186BB3" w:rsidRPr="00186BB3" w14:paraId="6693E201" w14:textId="77777777" w:rsidTr="00186BB3">
        <w:trPr>
          <w:trHeight w:val="302"/>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95A13F"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faktiskajās cenās, %</w:t>
            </w:r>
          </w:p>
        </w:tc>
        <w:tc>
          <w:tcPr>
            <w:tcW w:w="1029"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A57DF68"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7,2</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8225374"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4,0</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7E8453C"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5,0</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4B4DC33"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5,5</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79705C5A"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5,0</w:t>
            </w:r>
          </w:p>
        </w:tc>
      </w:tr>
      <w:tr w:rsidR="00186BB3" w:rsidRPr="00186BB3" w14:paraId="3363DD81" w14:textId="77777777" w:rsidTr="00186BB3">
        <w:trPr>
          <w:trHeight w:val="302"/>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521D33"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salīdzināmās cenās, %</w:t>
            </w:r>
          </w:p>
        </w:tc>
        <w:tc>
          <w:tcPr>
            <w:tcW w:w="1029"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33370964"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4,2</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1700F54"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3,5</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308E6BA"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3,3</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78845EA"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3,3</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31EEDB67"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2,8</w:t>
            </w:r>
          </w:p>
        </w:tc>
      </w:tr>
      <w:tr w:rsidR="00186BB3" w:rsidRPr="00186BB3" w14:paraId="1A269171" w14:textId="77777777" w:rsidTr="00186BB3">
        <w:trPr>
          <w:trHeight w:val="605"/>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356499"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Nodarbinātība, tūkst. iedzīvotāju (atbilstoši darbaspēka apsekojumiem)</w:t>
            </w:r>
          </w:p>
        </w:tc>
        <w:tc>
          <w:tcPr>
            <w:tcW w:w="1029"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3061070B"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910</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557F316"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892</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A154E68"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901</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4E6DED8E"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910</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A3F5180"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909</w:t>
            </w:r>
          </w:p>
        </w:tc>
      </w:tr>
      <w:tr w:rsidR="00186BB3" w:rsidRPr="00186BB3" w14:paraId="6BC3F4B4" w14:textId="77777777" w:rsidTr="00186BB3">
        <w:trPr>
          <w:trHeight w:val="302"/>
          <w:jc w:val="center"/>
        </w:trPr>
        <w:tc>
          <w:tcPr>
            <w:tcW w:w="39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A64BC7"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w:t>
            </w:r>
          </w:p>
        </w:tc>
        <w:tc>
          <w:tcPr>
            <w:tcW w:w="1029"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AB6062F"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0,1</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417FA57"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-2,0</w:t>
            </w:r>
          </w:p>
        </w:tc>
        <w:tc>
          <w:tcPr>
            <w:tcW w:w="957"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6EB971A"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1,0</w:t>
            </w:r>
          </w:p>
        </w:tc>
        <w:tc>
          <w:tcPr>
            <w:tcW w:w="955"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37107C77"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1,0</w:t>
            </w:r>
          </w:p>
        </w:tc>
        <w:tc>
          <w:tcPr>
            <w:tcW w:w="958"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E83A7AB"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-0,1</w:t>
            </w:r>
          </w:p>
        </w:tc>
      </w:tr>
      <w:tr w:rsidR="00186BB3" w:rsidRPr="00186BB3" w14:paraId="56CCA2EB" w14:textId="77777777" w:rsidTr="00186BB3">
        <w:trPr>
          <w:trHeight w:val="302"/>
          <w:jc w:val="center"/>
        </w:trPr>
        <w:tc>
          <w:tcPr>
            <w:tcW w:w="39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8F9653"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Bezdarba līmenis (gada vidējais),</w:t>
            </w:r>
            <w:r w:rsidRPr="00186BB3">
              <w:rPr>
                <w:rFonts w:ascii="Times New Roman" w:eastAsia="Calibri" w:hAnsi="Times New Roman" w:cs="Times New Roman"/>
                <w:b/>
                <w:sz w:val="20"/>
                <w:szCs w:val="20"/>
              </w:rPr>
              <w:br/>
              <w:t>% no ekon. aktīviem iedzīv.</w:t>
            </w:r>
          </w:p>
        </w:tc>
        <w:tc>
          <w:tcPr>
            <w:tcW w:w="1029"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3A86CE96"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6,3</w:t>
            </w:r>
          </w:p>
        </w:tc>
        <w:tc>
          <w:tcPr>
            <w:tcW w:w="955"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60B02190"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8,3</w:t>
            </w:r>
          </w:p>
        </w:tc>
        <w:tc>
          <w:tcPr>
            <w:tcW w:w="957"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60047FAE"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7,2</w:t>
            </w:r>
          </w:p>
        </w:tc>
        <w:tc>
          <w:tcPr>
            <w:tcW w:w="955"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27A32568"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5,4</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38DECF8A"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4,6</w:t>
            </w:r>
          </w:p>
        </w:tc>
      </w:tr>
    </w:tbl>
    <w:p w14:paraId="13B76619" w14:textId="6451CB26" w:rsidR="003F3FCD" w:rsidRDefault="003F3FCD" w:rsidP="00401A5B">
      <w:pPr>
        <w:widowControl w:val="0"/>
        <w:ind w:firstLine="720"/>
        <w:jc w:val="both"/>
        <w:rPr>
          <w:rFonts w:ascii="Times New Roman" w:eastAsia="Times New Roman" w:hAnsi="Times New Roman" w:cs="Times New Roman"/>
          <w:color w:val="000000"/>
          <w:sz w:val="24"/>
        </w:rPr>
      </w:pPr>
    </w:p>
    <w:p w14:paraId="7DD483ED" w14:textId="77777777" w:rsidR="003F3FCD" w:rsidRDefault="003F3FCD" w:rsidP="00401A5B">
      <w:pPr>
        <w:widowControl w:val="0"/>
        <w:ind w:firstLine="720"/>
        <w:jc w:val="both"/>
        <w:rPr>
          <w:rFonts w:ascii="Times New Roman" w:eastAsia="Times New Roman" w:hAnsi="Times New Roman" w:cs="Times New Roman"/>
          <w:b/>
          <w:color w:val="000000"/>
          <w:sz w:val="28"/>
        </w:rPr>
      </w:pPr>
    </w:p>
    <w:p w14:paraId="3C915DD5" w14:textId="77777777" w:rsidR="00186BB3" w:rsidRPr="00186BB3" w:rsidRDefault="00186BB3" w:rsidP="00FB2B77">
      <w:pPr>
        <w:pStyle w:val="ListParagraph"/>
        <w:keepNext/>
        <w:keepLines/>
        <w:numPr>
          <w:ilvl w:val="1"/>
          <w:numId w:val="12"/>
        </w:numPr>
        <w:contextualSpacing w:val="0"/>
        <w:jc w:val="center"/>
        <w:outlineLvl w:val="2"/>
        <w:rPr>
          <w:rFonts w:ascii="Times New Roman" w:eastAsia="Calibri" w:hAnsi="Times New Roman" w:cs="Times New Roman"/>
          <w:b/>
          <w:bCs/>
          <w:vanish/>
          <w:color w:val="000000" w:themeColor="text1"/>
          <w:sz w:val="28"/>
          <w:szCs w:val="28"/>
        </w:rPr>
      </w:pPr>
      <w:bookmarkStart w:id="31" w:name="_Toc53058980"/>
      <w:bookmarkStart w:id="32" w:name="_Toc53075488"/>
      <w:bookmarkStart w:id="33" w:name="_Toc53153504"/>
      <w:bookmarkStart w:id="34" w:name="_Toc53153713"/>
      <w:bookmarkStart w:id="35" w:name="_Toc53153767"/>
      <w:bookmarkStart w:id="36" w:name="_Toc53154094"/>
      <w:bookmarkEnd w:id="31"/>
      <w:bookmarkEnd w:id="32"/>
      <w:bookmarkEnd w:id="33"/>
      <w:bookmarkEnd w:id="34"/>
      <w:bookmarkEnd w:id="35"/>
      <w:bookmarkEnd w:id="36"/>
    </w:p>
    <w:p w14:paraId="1D985BA7" w14:textId="77777777" w:rsidR="00186BB3" w:rsidRPr="00186BB3" w:rsidRDefault="00186BB3" w:rsidP="00FB2B77">
      <w:pPr>
        <w:pStyle w:val="ListParagraph"/>
        <w:keepNext/>
        <w:keepLines/>
        <w:numPr>
          <w:ilvl w:val="2"/>
          <w:numId w:val="11"/>
        </w:numPr>
        <w:contextualSpacing w:val="0"/>
        <w:jc w:val="center"/>
        <w:outlineLvl w:val="2"/>
        <w:rPr>
          <w:rFonts w:ascii="Times New Roman" w:eastAsia="Calibri" w:hAnsi="Times New Roman" w:cs="Times New Roman"/>
          <w:b/>
          <w:bCs/>
          <w:vanish/>
          <w:color w:val="000000" w:themeColor="text1"/>
          <w:sz w:val="28"/>
          <w:szCs w:val="28"/>
        </w:rPr>
      </w:pPr>
      <w:bookmarkStart w:id="37" w:name="_Toc53058981"/>
      <w:bookmarkStart w:id="38" w:name="_Toc53075489"/>
      <w:bookmarkStart w:id="39" w:name="_Toc53153505"/>
      <w:bookmarkStart w:id="40" w:name="_Toc53153714"/>
      <w:bookmarkStart w:id="41" w:name="_Toc53153768"/>
      <w:bookmarkStart w:id="42" w:name="_Toc53154095"/>
      <w:bookmarkEnd w:id="37"/>
      <w:bookmarkEnd w:id="38"/>
      <w:bookmarkEnd w:id="39"/>
      <w:bookmarkEnd w:id="40"/>
      <w:bookmarkEnd w:id="41"/>
      <w:bookmarkEnd w:id="42"/>
    </w:p>
    <w:p w14:paraId="5CD619CD" w14:textId="1D58FFE5" w:rsidR="003F3FCD" w:rsidRDefault="000548A5" w:rsidP="00401A5B">
      <w:pPr>
        <w:jc w:val="center"/>
        <w:rPr>
          <w:rFonts w:ascii="Times New Roman" w:hAnsi="Times New Roman" w:cs="Times New Roman"/>
          <w:b/>
          <w:sz w:val="28"/>
          <w:szCs w:val="28"/>
        </w:rPr>
      </w:pPr>
      <w:r w:rsidRPr="00294F87">
        <w:rPr>
          <w:rFonts w:ascii="Times New Roman" w:hAnsi="Times New Roman" w:cs="Times New Roman"/>
          <w:b/>
          <w:sz w:val="28"/>
          <w:szCs w:val="28"/>
        </w:rPr>
        <w:t>Ietekme uz vispā</w:t>
      </w:r>
      <w:r w:rsidR="00294F87" w:rsidRPr="00294F87">
        <w:rPr>
          <w:rFonts w:ascii="Times New Roman" w:hAnsi="Times New Roman" w:cs="Times New Roman"/>
          <w:b/>
          <w:sz w:val="28"/>
          <w:szCs w:val="28"/>
        </w:rPr>
        <w:t>rējās valdības budžetu</w:t>
      </w:r>
    </w:p>
    <w:p w14:paraId="7A5DA5F1" w14:textId="248854D5" w:rsidR="00294F87" w:rsidRDefault="00294F87" w:rsidP="00401A5B">
      <w:pPr>
        <w:jc w:val="center"/>
        <w:rPr>
          <w:rFonts w:ascii="Times New Roman" w:hAnsi="Times New Roman" w:cs="Times New Roman"/>
          <w:b/>
          <w:sz w:val="28"/>
          <w:szCs w:val="28"/>
        </w:rPr>
      </w:pPr>
    </w:p>
    <w:p w14:paraId="6E4C9115" w14:textId="77777777" w:rsidR="00294F87" w:rsidRPr="00294F87" w:rsidRDefault="00294F87" w:rsidP="00294F87">
      <w:pPr>
        <w:autoSpaceDE w:val="0"/>
        <w:autoSpaceDN w:val="0"/>
        <w:adjustRightInd w:val="0"/>
        <w:ind w:firstLine="720"/>
        <w:jc w:val="both"/>
        <w:rPr>
          <w:rFonts w:ascii="Times New Roman" w:eastAsia="Times New Roman" w:hAnsi="Times New Roman" w:cs="Times New Roman"/>
          <w:noProof/>
          <w:color w:val="000000"/>
          <w:sz w:val="28"/>
          <w:szCs w:val="28"/>
        </w:rPr>
      </w:pPr>
      <w:r w:rsidRPr="00294F87">
        <w:rPr>
          <w:rFonts w:ascii="Times New Roman" w:eastAsia="Times New Roman" w:hAnsi="Times New Roman" w:cs="Times New Roman"/>
          <w:noProof/>
          <w:color w:val="000000"/>
          <w:sz w:val="28"/>
          <w:szCs w:val="28"/>
        </w:rPr>
        <w:t xml:space="preserve">Īstenojoties optimistiskajam scenārijam, kopbudžeta nodokļu ieņēmumi un valsts pamatbudžeta nenodokļu ieņēmumi palielinātos par 456,4 milj. </w:t>
      </w:r>
      <w:r w:rsidRPr="00294F87">
        <w:rPr>
          <w:rFonts w:ascii="Times New Roman" w:eastAsia="Times New Roman" w:hAnsi="Times New Roman" w:cs="Times New Roman"/>
          <w:i/>
          <w:noProof/>
          <w:color w:val="000000"/>
          <w:sz w:val="28"/>
          <w:szCs w:val="28"/>
        </w:rPr>
        <w:t>euro</w:t>
      </w:r>
      <w:r w:rsidRPr="00294F87">
        <w:rPr>
          <w:rFonts w:ascii="Times New Roman" w:eastAsia="Times New Roman" w:hAnsi="Times New Roman" w:cs="Times New Roman"/>
          <w:noProof/>
          <w:color w:val="000000"/>
          <w:sz w:val="28"/>
          <w:szCs w:val="28"/>
        </w:rPr>
        <w:t xml:space="preserve"> jeb 1,5% no IKP 2021.gadā salīdzinājumā ar bāzes scenāriju. Savukārt 2022. un 2023.gadā tie būtu attiecīgi par 597,1 milj. </w:t>
      </w:r>
      <w:r w:rsidRPr="00294F87">
        <w:rPr>
          <w:rFonts w:ascii="Times New Roman" w:eastAsia="Times New Roman" w:hAnsi="Times New Roman" w:cs="Times New Roman"/>
          <w:i/>
          <w:noProof/>
          <w:color w:val="000000"/>
          <w:sz w:val="28"/>
          <w:szCs w:val="28"/>
        </w:rPr>
        <w:t>euro</w:t>
      </w:r>
      <w:r w:rsidRPr="00294F87">
        <w:rPr>
          <w:rFonts w:ascii="Times New Roman" w:eastAsia="Times New Roman" w:hAnsi="Times New Roman" w:cs="Times New Roman"/>
          <w:noProof/>
          <w:color w:val="000000"/>
          <w:sz w:val="28"/>
          <w:szCs w:val="28"/>
        </w:rPr>
        <w:t xml:space="preserve"> jeb 1,9% no IKP un 623,5 milj. </w:t>
      </w:r>
      <w:r w:rsidRPr="00294F87">
        <w:rPr>
          <w:rFonts w:ascii="Times New Roman" w:eastAsia="Times New Roman" w:hAnsi="Times New Roman" w:cs="Times New Roman"/>
          <w:i/>
          <w:noProof/>
          <w:color w:val="000000"/>
          <w:sz w:val="28"/>
          <w:szCs w:val="28"/>
        </w:rPr>
        <w:t>euro</w:t>
      </w:r>
      <w:r w:rsidRPr="00294F87">
        <w:rPr>
          <w:rFonts w:ascii="Times New Roman" w:eastAsia="Times New Roman" w:hAnsi="Times New Roman" w:cs="Times New Roman"/>
          <w:noProof/>
          <w:color w:val="000000"/>
          <w:sz w:val="28"/>
          <w:szCs w:val="28"/>
        </w:rPr>
        <w:t xml:space="preserve"> jeb 1,9% no IKP augstāki nekā bāzes scenārijā.</w:t>
      </w:r>
    </w:p>
    <w:p w14:paraId="0A66D7B5" w14:textId="67C6D03F" w:rsidR="00294F87" w:rsidRPr="00294F87" w:rsidRDefault="00294F87" w:rsidP="00294F87">
      <w:pPr>
        <w:autoSpaceDE w:val="0"/>
        <w:autoSpaceDN w:val="0"/>
        <w:adjustRightInd w:val="0"/>
        <w:ind w:firstLine="720"/>
        <w:jc w:val="both"/>
        <w:rPr>
          <w:rFonts w:ascii="Times New Roman" w:eastAsia="Times New Roman" w:hAnsi="Times New Roman" w:cs="Times New Roman"/>
          <w:noProof/>
          <w:color w:val="000000"/>
          <w:sz w:val="28"/>
          <w:szCs w:val="28"/>
          <w:highlight w:val="yellow"/>
        </w:rPr>
      </w:pPr>
      <w:r w:rsidRPr="00294F87">
        <w:rPr>
          <w:rFonts w:ascii="Times New Roman" w:eastAsia="Times New Roman" w:hAnsi="Times New Roman" w:cs="Times New Roman"/>
          <w:noProof/>
          <w:color w:val="000000"/>
          <w:sz w:val="28"/>
          <w:szCs w:val="28"/>
        </w:rPr>
        <w:t xml:space="preserve">Izpildoties optimistiskajam scenārijam, aptuveni puse no kopbudžeta ieņēmuma pieauguma būtu attiecināma uz valsts pamatbudžetu. </w:t>
      </w:r>
      <w:r w:rsidRPr="00294F87">
        <w:rPr>
          <w:rFonts w:ascii="Times New Roman" w:eastAsia="Times New Roman" w:hAnsi="Times New Roman" w:cs="Times New Roman"/>
          <w:color w:val="000000"/>
          <w:sz w:val="28"/>
          <w:szCs w:val="28"/>
        </w:rPr>
        <w:t>Pie šāda scenārija, pieaugot nodokļu ieņēmumiem, uzlabotos valsts budžeta finansiālā bilance, kā rezultātā samazinātos kopējā finansēšanas nepieciešamība un attiecīgi arī aizņemšanās apjoms attiecīgajā periodā, salīdzinot ar bāzes scenāriju. Mazāks aizņemšanās apjoms izraisītu ietaupījumu procentu izdevumos. Optimistiskā scenārija gadījumā procentu izdevumi 2021</w:t>
      </w:r>
      <w:r>
        <w:rPr>
          <w:rFonts w:ascii="Times New Roman" w:eastAsia="Times New Roman" w:hAnsi="Times New Roman" w:cs="Times New Roman"/>
          <w:color w:val="000000"/>
          <w:sz w:val="28"/>
          <w:szCs w:val="28"/>
        </w:rPr>
        <w:t>.</w:t>
      </w:r>
      <w:r w:rsidRPr="00294F87">
        <w:rPr>
          <w:rFonts w:ascii="Times New Roman" w:eastAsia="Times New Roman" w:hAnsi="Times New Roman" w:cs="Times New Roman"/>
          <w:color w:val="000000"/>
          <w:sz w:val="28"/>
          <w:szCs w:val="28"/>
        </w:rPr>
        <w:t>gadā nemainītos, jo aizņemšanos neietekmētu, 2022</w:t>
      </w:r>
      <w:r>
        <w:rPr>
          <w:rFonts w:ascii="Times New Roman" w:eastAsia="Times New Roman" w:hAnsi="Times New Roman" w:cs="Times New Roman"/>
          <w:color w:val="000000"/>
          <w:sz w:val="28"/>
          <w:szCs w:val="28"/>
        </w:rPr>
        <w:t>.</w:t>
      </w:r>
      <w:r w:rsidRPr="00294F87">
        <w:rPr>
          <w:rFonts w:ascii="Times New Roman" w:eastAsia="Times New Roman" w:hAnsi="Times New Roman" w:cs="Times New Roman"/>
          <w:color w:val="000000"/>
          <w:sz w:val="28"/>
          <w:szCs w:val="28"/>
        </w:rPr>
        <w:t>gadā izdevumi būtu par 4,6 milj</w:t>
      </w:r>
      <w:r w:rsidRPr="00294F87">
        <w:rPr>
          <w:rFonts w:ascii="Times New Roman" w:eastAsia="Times New Roman" w:hAnsi="Times New Roman" w:cs="Times New Roman"/>
          <w:noProof/>
          <w:color w:val="000000"/>
          <w:sz w:val="28"/>
          <w:szCs w:val="28"/>
        </w:rPr>
        <w:t xml:space="preserve">. </w:t>
      </w:r>
      <w:r w:rsidRPr="00294F87">
        <w:rPr>
          <w:rFonts w:ascii="Times New Roman" w:eastAsia="Times New Roman" w:hAnsi="Times New Roman" w:cs="Times New Roman"/>
          <w:i/>
          <w:noProof/>
          <w:color w:val="000000"/>
          <w:sz w:val="28"/>
          <w:szCs w:val="28"/>
        </w:rPr>
        <w:t>euro</w:t>
      </w:r>
      <w:r w:rsidRPr="00294F87">
        <w:rPr>
          <w:rFonts w:ascii="Times New Roman" w:eastAsia="Times New Roman" w:hAnsi="Times New Roman" w:cs="Times New Roman"/>
          <w:noProof/>
          <w:color w:val="000000"/>
          <w:sz w:val="28"/>
          <w:szCs w:val="28"/>
        </w:rPr>
        <w:t xml:space="preserve"> un 2023.gadā par 9,1 milj. </w:t>
      </w:r>
      <w:r w:rsidRPr="00294F87">
        <w:rPr>
          <w:rFonts w:ascii="Times New Roman" w:eastAsia="Times New Roman" w:hAnsi="Times New Roman" w:cs="Times New Roman"/>
          <w:i/>
          <w:noProof/>
          <w:color w:val="000000"/>
          <w:sz w:val="28"/>
          <w:szCs w:val="28"/>
        </w:rPr>
        <w:t>euro</w:t>
      </w:r>
      <w:r w:rsidRPr="00294F87">
        <w:rPr>
          <w:rFonts w:ascii="Times New Roman" w:eastAsia="Times New Roman" w:hAnsi="Times New Roman" w:cs="Times New Roman"/>
          <w:noProof/>
          <w:color w:val="000000"/>
          <w:sz w:val="28"/>
          <w:szCs w:val="28"/>
        </w:rPr>
        <w:t xml:space="preserve"> mazāki nekā bāzes scenārijā.</w:t>
      </w:r>
    </w:p>
    <w:p w14:paraId="266DDEA5" w14:textId="77777777" w:rsidR="00294F87" w:rsidRPr="00294F87" w:rsidRDefault="00294F87" w:rsidP="00294F87">
      <w:pPr>
        <w:keepNext/>
        <w:spacing w:before="240"/>
        <w:jc w:val="right"/>
        <w:rPr>
          <w:rFonts w:ascii="Times New Roman" w:eastAsia="Calibri" w:hAnsi="Times New Roman" w:cs="Times New Roman"/>
          <w:b/>
          <w:i/>
          <w:sz w:val="24"/>
          <w:szCs w:val="24"/>
          <w:lang w:eastAsia="en-US"/>
        </w:rPr>
      </w:pPr>
      <w:r w:rsidRPr="00294F87">
        <w:rPr>
          <w:rFonts w:ascii="Times New Roman" w:eastAsia="Calibri" w:hAnsi="Times New Roman" w:cs="Times New Roman"/>
          <w:b/>
          <w:i/>
          <w:sz w:val="24"/>
          <w:szCs w:val="24"/>
          <w:lang w:eastAsia="en-US"/>
        </w:rPr>
        <w:t xml:space="preserve">1.9.tabula. Optimistiskā scenārija ietekme uz vispārējās valdības budžetu, </w:t>
      </w:r>
      <w:r w:rsidRPr="00294F87">
        <w:rPr>
          <w:rFonts w:ascii="Times New Roman" w:eastAsia="Calibri" w:hAnsi="Times New Roman" w:cs="Times New Roman"/>
          <w:b/>
          <w:i/>
          <w:noProof/>
          <w:sz w:val="24"/>
          <w:szCs w:val="24"/>
          <w:lang w:eastAsia="en-US"/>
        </w:rPr>
        <w:t>milj. euro</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851"/>
        <w:gridCol w:w="850"/>
        <w:gridCol w:w="851"/>
        <w:gridCol w:w="850"/>
        <w:gridCol w:w="709"/>
        <w:gridCol w:w="709"/>
        <w:gridCol w:w="709"/>
        <w:gridCol w:w="721"/>
        <w:gridCol w:w="9"/>
      </w:tblGrid>
      <w:tr w:rsidR="00294F87" w:rsidRPr="00294F87" w14:paraId="451E8D1D" w14:textId="77777777" w:rsidTr="00294F87">
        <w:trPr>
          <w:trHeight w:val="493"/>
          <w:tblHeader/>
          <w:jc w:val="center"/>
        </w:trPr>
        <w:tc>
          <w:tcPr>
            <w:tcW w:w="2830" w:type="dxa"/>
            <w:shd w:val="clear" w:color="auto" w:fill="9CC2E5"/>
            <w:vAlign w:val="center"/>
            <w:hideMark/>
          </w:tcPr>
          <w:p w14:paraId="60033A01" w14:textId="77777777" w:rsidR="00294F87" w:rsidRPr="00294F87" w:rsidRDefault="00294F87" w:rsidP="00294F87">
            <w:pPr>
              <w:rPr>
                <w:rFonts w:ascii="Times New Roman" w:eastAsia="Times New Roman" w:hAnsi="Times New Roman" w:cs="Times New Roman"/>
                <w:sz w:val="20"/>
                <w:szCs w:val="20"/>
              </w:rPr>
            </w:pPr>
          </w:p>
        </w:tc>
        <w:tc>
          <w:tcPr>
            <w:tcW w:w="3402" w:type="dxa"/>
            <w:gridSpan w:val="4"/>
            <w:shd w:val="clear" w:color="auto" w:fill="9CC2E5"/>
            <w:vAlign w:val="center"/>
          </w:tcPr>
          <w:p w14:paraId="76D51EF0"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Optimistiskais scenārijs</w:t>
            </w:r>
          </w:p>
        </w:tc>
        <w:tc>
          <w:tcPr>
            <w:tcW w:w="2857" w:type="dxa"/>
            <w:gridSpan w:val="5"/>
            <w:shd w:val="clear" w:color="auto" w:fill="9CC2E5"/>
            <w:vAlign w:val="center"/>
          </w:tcPr>
          <w:p w14:paraId="6910D093"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Novirze no bāzes scenārija</w:t>
            </w:r>
          </w:p>
        </w:tc>
      </w:tr>
      <w:tr w:rsidR="00294F87" w:rsidRPr="00294F87" w14:paraId="7A507F52" w14:textId="77777777" w:rsidTr="00294F87">
        <w:trPr>
          <w:gridAfter w:val="1"/>
          <w:wAfter w:w="9" w:type="dxa"/>
          <w:trHeight w:val="185"/>
          <w:jc w:val="center"/>
        </w:trPr>
        <w:tc>
          <w:tcPr>
            <w:tcW w:w="2830" w:type="dxa"/>
            <w:shd w:val="clear" w:color="auto" w:fill="DEEAF6" w:themeFill="accent1" w:themeFillTint="33"/>
            <w:vAlign w:val="center"/>
            <w:hideMark/>
          </w:tcPr>
          <w:p w14:paraId="40187916" w14:textId="77777777" w:rsidR="00294F87" w:rsidRPr="00294F87" w:rsidRDefault="00294F87" w:rsidP="00294F87">
            <w:pPr>
              <w:rPr>
                <w:rFonts w:ascii="Times New Roman" w:eastAsia="Times New Roman" w:hAnsi="Times New Roman" w:cs="Times New Roman"/>
                <w:sz w:val="20"/>
                <w:szCs w:val="20"/>
              </w:rPr>
            </w:pPr>
          </w:p>
        </w:tc>
        <w:tc>
          <w:tcPr>
            <w:tcW w:w="851" w:type="dxa"/>
            <w:shd w:val="clear" w:color="auto" w:fill="DEEAF6" w:themeFill="accent1" w:themeFillTint="33"/>
            <w:tcMar>
              <w:left w:w="57" w:type="dxa"/>
              <w:right w:w="57" w:type="dxa"/>
            </w:tcMar>
            <w:vAlign w:val="center"/>
          </w:tcPr>
          <w:p w14:paraId="05EA1BE2"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2020</w:t>
            </w:r>
          </w:p>
        </w:tc>
        <w:tc>
          <w:tcPr>
            <w:tcW w:w="850" w:type="dxa"/>
            <w:shd w:val="clear" w:color="auto" w:fill="DEEAF6" w:themeFill="accent1" w:themeFillTint="33"/>
            <w:tcMar>
              <w:left w:w="57" w:type="dxa"/>
              <w:right w:w="57" w:type="dxa"/>
            </w:tcMar>
            <w:vAlign w:val="center"/>
          </w:tcPr>
          <w:p w14:paraId="013C6D3F"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2021</w:t>
            </w:r>
          </w:p>
        </w:tc>
        <w:tc>
          <w:tcPr>
            <w:tcW w:w="851" w:type="dxa"/>
            <w:shd w:val="clear" w:color="auto" w:fill="DEEAF6" w:themeFill="accent1" w:themeFillTint="33"/>
            <w:tcMar>
              <w:left w:w="57" w:type="dxa"/>
              <w:right w:w="57" w:type="dxa"/>
            </w:tcMar>
            <w:vAlign w:val="center"/>
          </w:tcPr>
          <w:p w14:paraId="0637A996"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2022</w:t>
            </w:r>
          </w:p>
        </w:tc>
        <w:tc>
          <w:tcPr>
            <w:tcW w:w="850" w:type="dxa"/>
            <w:shd w:val="clear" w:color="auto" w:fill="DEEAF6" w:themeFill="accent1" w:themeFillTint="33"/>
            <w:tcMar>
              <w:left w:w="57" w:type="dxa"/>
              <w:right w:w="57" w:type="dxa"/>
            </w:tcMar>
            <w:vAlign w:val="center"/>
          </w:tcPr>
          <w:p w14:paraId="20718C9A"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2023</w:t>
            </w:r>
          </w:p>
        </w:tc>
        <w:tc>
          <w:tcPr>
            <w:tcW w:w="709" w:type="dxa"/>
            <w:shd w:val="clear" w:color="auto" w:fill="DEEAF6" w:themeFill="accent1" w:themeFillTint="33"/>
            <w:tcMar>
              <w:left w:w="57" w:type="dxa"/>
              <w:right w:w="57" w:type="dxa"/>
            </w:tcMar>
            <w:vAlign w:val="center"/>
            <w:hideMark/>
          </w:tcPr>
          <w:p w14:paraId="3F2BBC41"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2020</w:t>
            </w:r>
          </w:p>
        </w:tc>
        <w:tc>
          <w:tcPr>
            <w:tcW w:w="709" w:type="dxa"/>
            <w:shd w:val="clear" w:color="auto" w:fill="DEEAF6" w:themeFill="accent1" w:themeFillTint="33"/>
            <w:tcMar>
              <w:left w:w="57" w:type="dxa"/>
              <w:right w:w="57" w:type="dxa"/>
            </w:tcMar>
            <w:vAlign w:val="center"/>
            <w:hideMark/>
          </w:tcPr>
          <w:p w14:paraId="0BE1EF08"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2021</w:t>
            </w:r>
          </w:p>
        </w:tc>
        <w:tc>
          <w:tcPr>
            <w:tcW w:w="709" w:type="dxa"/>
            <w:shd w:val="clear" w:color="auto" w:fill="DEEAF6" w:themeFill="accent1" w:themeFillTint="33"/>
            <w:tcMar>
              <w:left w:w="57" w:type="dxa"/>
              <w:right w:w="57" w:type="dxa"/>
            </w:tcMar>
            <w:vAlign w:val="center"/>
          </w:tcPr>
          <w:p w14:paraId="759BC6CB"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2022</w:t>
            </w:r>
          </w:p>
        </w:tc>
        <w:tc>
          <w:tcPr>
            <w:tcW w:w="721" w:type="dxa"/>
            <w:shd w:val="clear" w:color="auto" w:fill="DEEAF6" w:themeFill="accent1" w:themeFillTint="33"/>
            <w:tcMar>
              <w:left w:w="57" w:type="dxa"/>
              <w:right w:w="57" w:type="dxa"/>
            </w:tcMar>
            <w:vAlign w:val="center"/>
            <w:hideMark/>
          </w:tcPr>
          <w:p w14:paraId="74263F1F" w14:textId="77777777" w:rsidR="00294F87" w:rsidRPr="00294F87" w:rsidRDefault="00294F87" w:rsidP="00294F87">
            <w:pPr>
              <w:jc w:val="cente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2023</w:t>
            </w:r>
          </w:p>
        </w:tc>
      </w:tr>
      <w:tr w:rsidR="00294F87" w:rsidRPr="00294F87" w14:paraId="57F296FB" w14:textId="77777777" w:rsidTr="00D73AE5">
        <w:trPr>
          <w:gridAfter w:val="1"/>
          <w:wAfter w:w="9" w:type="dxa"/>
          <w:trHeight w:val="306"/>
          <w:jc w:val="center"/>
        </w:trPr>
        <w:tc>
          <w:tcPr>
            <w:tcW w:w="2830" w:type="dxa"/>
            <w:shd w:val="clear" w:color="auto" w:fill="auto"/>
            <w:vAlign w:val="center"/>
          </w:tcPr>
          <w:p w14:paraId="7D315EC0" w14:textId="77777777" w:rsidR="00294F87" w:rsidRPr="00294F87" w:rsidRDefault="00294F87" w:rsidP="00294F87">
            <w:pPr>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Vispārējās valdības budžeta bilance</w:t>
            </w:r>
            <w:r w:rsidRPr="00294F87">
              <w:rPr>
                <w:rFonts w:ascii="Times New Roman" w:eastAsia="Times New Roman" w:hAnsi="Times New Roman" w:cs="Times New Roman"/>
                <w:b/>
                <w:sz w:val="20"/>
                <w:szCs w:val="20"/>
                <w:vertAlign w:val="superscript"/>
              </w:rPr>
              <w:footnoteReference w:id="6"/>
            </w:r>
            <w:r w:rsidRPr="00294F87">
              <w:rPr>
                <w:rFonts w:ascii="Times New Roman" w:eastAsia="Times New Roman" w:hAnsi="Times New Roman" w:cs="Times New Roman"/>
                <w:b/>
                <w:sz w:val="20"/>
                <w:szCs w:val="20"/>
              </w:rPr>
              <w:t>, % no IKP</w:t>
            </w:r>
          </w:p>
        </w:tc>
        <w:tc>
          <w:tcPr>
            <w:tcW w:w="851" w:type="dxa"/>
            <w:shd w:val="clear" w:color="auto" w:fill="auto"/>
            <w:tcMar>
              <w:left w:w="57" w:type="dxa"/>
              <w:right w:w="57" w:type="dxa"/>
            </w:tcMar>
            <w:vAlign w:val="center"/>
          </w:tcPr>
          <w:p w14:paraId="6A0CF697"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-6,2</w:t>
            </w:r>
          </w:p>
        </w:tc>
        <w:tc>
          <w:tcPr>
            <w:tcW w:w="850" w:type="dxa"/>
            <w:shd w:val="clear" w:color="auto" w:fill="auto"/>
            <w:tcMar>
              <w:left w:w="57" w:type="dxa"/>
              <w:right w:w="57" w:type="dxa"/>
            </w:tcMar>
            <w:vAlign w:val="center"/>
          </w:tcPr>
          <w:p w14:paraId="0E5CEF07"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-2,3</w:t>
            </w:r>
          </w:p>
        </w:tc>
        <w:tc>
          <w:tcPr>
            <w:tcW w:w="851" w:type="dxa"/>
            <w:shd w:val="clear" w:color="auto" w:fill="auto"/>
            <w:tcMar>
              <w:left w:w="57" w:type="dxa"/>
              <w:right w:w="57" w:type="dxa"/>
            </w:tcMar>
            <w:vAlign w:val="center"/>
          </w:tcPr>
          <w:p w14:paraId="1E4A8FCD"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-0,8</w:t>
            </w:r>
          </w:p>
        </w:tc>
        <w:tc>
          <w:tcPr>
            <w:tcW w:w="850" w:type="dxa"/>
            <w:shd w:val="clear" w:color="auto" w:fill="auto"/>
            <w:tcMar>
              <w:left w:w="57" w:type="dxa"/>
              <w:right w:w="57" w:type="dxa"/>
            </w:tcMar>
            <w:vAlign w:val="center"/>
          </w:tcPr>
          <w:p w14:paraId="2D7B5E0D"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0,2</w:t>
            </w:r>
          </w:p>
        </w:tc>
        <w:tc>
          <w:tcPr>
            <w:tcW w:w="709" w:type="dxa"/>
            <w:shd w:val="clear" w:color="auto" w:fill="auto"/>
            <w:tcMar>
              <w:left w:w="57" w:type="dxa"/>
              <w:right w:w="57" w:type="dxa"/>
            </w:tcMar>
            <w:vAlign w:val="center"/>
          </w:tcPr>
          <w:p w14:paraId="70D3E380"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1,4</w:t>
            </w:r>
          </w:p>
        </w:tc>
        <w:tc>
          <w:tcPr>
            <w:tcW w:w="709" w:type="dxa"/>
            <w:shd w:val="clear" w:color="auto" w:fill="auto"/>
            <w:tcMar>
              <w:left w:w="57" w:type="dxa"/>
              <w:right w:w="57" w:type="dxa"/>
            </w:tcMar>
            <w:vAlign w:val="center"/>
          </w:tcPr>
          <w:p w14:paraId="0BCB89FB" w14:textId="77777777" w:rsidR="00294F87" w:rsidRPr="00294F87" w:rsidRDefault="00294F87" w:rsidP="00294F87">
            <w:pPr>
              <w:spacing w:line="259" w:lineRule="auto"/>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1,6</w:t>
            </w:r>
          </w:p>
        </w:tc>
        <w:tc>
          <w:tcPr>
            <w:tcW w:w="709" w:type="dxa"/>
            <w:shd w:val="clear" w:color="auto" w:fill="auto"/>
            <w:tcMar>
              <w:left w:w="57" w:type="dxa"/>
              <w:right w:w="57" w:type="dxa"/>
            </w:tcMar>
            <w:vAlign w:val="center"/>
          </w:tcPr>
          <w:p w14:paraId="1A792BFE" w14:textId="77777777" w:rsidR="00294F87" w:rsidRPr="00294F87" w:rsidRDefault="00294F87" w:rsidP="00294F87">
            <w:pPr>
              <w:spacing w:line="259" w:lineRule="auto"/>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2,0</w:t>
            </w:r>
          </w:p>
        </w:tc>
        <w:tc>
          <w:tcPr>
            <w:tcW w:w="721" w:type="dxa"/>
            <w:shd w:val="clear" w:color="auto" w:fill="auto"/>
            <w:tcMar>
              <w:left w:w="57" w:type="dxa"/>
              <w:right w:w="57" w:type="dxa"/>
            </w:tcMar>
            <w:vAlign w:val="center"/>
          </w:tcPr>
          <w:p w14:paraId="35995F87" w14:textId="77777777" w:rsidR="00294F87" w:rsidRPr="00294F87" w:rsidRDefault="00294F87" w:rsidP="00294F87">
            <w:pPr>
              <w:spacing w:line="259" w:lineRule="auto"/>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1,9</w:t>
            </w:r>
          </w:p>
        </w:tc>
      </w:tr>
      <w:tr w:rsidR="00294F87" w:rsidRPr="00294F87" w14:paraId="1B16F09C" w14:textId="77777777" w:rsidTr="00D73AE5">
        <w:trPr>
          <w:gridAfter w:val="1"/>
          <w:wAfter w:w="9" w:type="dxa"/>
          <w:trHeight w:val="306"/>
          <w:jc w:val="center"/>
        </w:trPr>
        <w:tc>
          <w:tcPr>
            <w:tcW w:w="2830" w:type="dxa"/>
            <w:shd w:val="clear" w:color="auto" w:fill="auto"/>
            <w:vAlign w:val="center"/>
          </w:tcPr>
          <w:p w14:paraId="10970C54" w14:textId="77777777" w:rsidR="00294F87" w:rsidRPr="00294F87" w:rsidRDefault="00294F87" w:rsidP="00294F87">
            <w:pPr>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Vispārējās valdības budžeta bilance</w:t>
            </w:r>
          </w:p>
        </w:tc>
        <w:tc>
          <w:tcPr>
            <w:tcW w:w="851" w:type="dxa"/>
            <w:shd w:val="clear" w:color="auto" w:fill="auto"/>
            <w:tcMar>
              <w:left w:w="57" w:type="dxa"/>
              <w:right w:w="57" w:type="dxa"/>
            </w:tcMar>
            <w:vAlign w:val="center"/>
          </w:tcPr>
          <w:p w14:paraId="0DC0B0A2"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-1 832,2</w:t>
            </w:r>
          </w:p>
        </w:tc>
        <w:tc>
          <w:tcPr>
            <w:tcW w:w="850" w:type="dxa"/>
            <w:shd w:val="clear" w:color="auto" w:fill="auto"/>
            <w:tcMar>
              <w:left w:w="57" w:type="dxa"/>
              <w:right w:w="57" w:type="dxa"/>
            </w:tcMar>
            <w:vAlign w:val="center"/>
          </w:tcPr>
          <w:p w14:paraId="34450095"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-728,5</w:t>
            </w:r>
          </w:p>
        </w:tc>
        <w:tc>
          <w:tcPr>
            <w:tcW w:w="851" w:type="dxa"/>
            <w:shd w:val="clear" w:color="auto" w:fill="auto"/>
            <w:tcMar>
              <w:left w:w="57" w:type="dxa"/>
              <w:right w:w="57" w:type="dxa"/>
            </w:tcMar>
            <w:vAlign w:val="center"/>
          </w:tcPr>
          <w:p w14:paraId="563423C7"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-275,2</w:t>
            </w:r>
          </w:p>
        </w:tc>
        <w:tc>
          <w:tcPr>
            <w:tcW w:w="850" w:type="dxa"/>
            <w:shd w:val="clear" w:color="auto" w:fill="auto"/>
            <w:tcMar>
              <w:left w:w="57" w:type="dxa"/>
              <w:right w:w="57" w:type="dxa"/>
            </w:tcMar>
            <w:vAlign w:val="center"/>
          </w:tcPr>
          <w:p w14:paraId="294D665B"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68,9</w:t>
            </w:r>
          </w:p>
        </w:tc>
        <w:tc>
          <w:tcPr>
            <w:tcW w:w="709" w:type="dxa"/>
            <w:shd w:val="clear" w:color="auto" w:fill="auto"/>
            <w:tcMar>
              <w:left w:w="57" w:type="dxa"/>
              <w:right w:w="57" w:type="dxa"/>
            </w:tcMar>
            <w:vAlign w:val="center"/>
          </w:tcPr>
          <w:p w14:paraId="195C7B77"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311,6</w:t>
            </w:r>
          </w:p>
        </w:tc>
        <w:tc>
          <w:tcPr>
            <w:tcW w:w="709" w:type="dxa"/>
            <w:shd w:val="clear" w:color="auto" w:fill="auto"/>
            <w:tcMar>
              <w:left w:w="57" w:type="dxa"/>
              <w:right w:w="57" w:type="dxa"/>
            </w:tcMar>
            <w:vAlign w:val="center"/>
          </w:tcPr>
          <w:p w14:paraId="0BF945DF"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456,4</w:t>
            </w:r>
          </w:p>
        </w:tc>
        <w:tc>
          <w:tcPr>
            <w:tcW w:w="709" w:type="dxa"/>
            <w:shd w:val="clear" w:color="auto" w:fill="auto"/>
            <w:tcMar>
              <w:left w:w="57" w:type="dxa"/>
              <w:right w:w="57" w:type="dxa"/>
            </w:tcMar>
            <w:vAlign w:val="center"/>
          </w:tcPr>
          <w:p w14:paraId="74FA33FB"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601,7</w:t>
            </w:r>
          </w:p>
        </w:tc>
        <w:tc>
          <w:tcPr>
            <w:tcW w:w="721" w:type="dxa"/>
            <w:shd w:val="clear" w:color="auto" w:fill="auto"/>
            <w:tcMar>
              <w:left w:w="57" w:type="dxa"/>
              <w:right w:w="57" w:type="dxa"/>
            </w:tcMar>
            <w:vAlign w:val="center"/>
          </w:tcPr>
          <w:p w14:paraId="3DA91853"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632,6</w:t>
            </w:r>
          </w:p>
        </w:tc>
      </w:tr>
      <w:tr w:rsidR="00294F87" w:rsidRPr="00294F87" w14:paraId="0A3E8C98" w14:textId="77777777" w:rsidTr="00D73AE5">
        <w:trPr>
          <w:gridAfter w:val="1"/>
          <w:wAfter w:w="9" w:type="dxa"/>
          <w:trHeight w:val="333"/>
          <w:jc w:val="center"/>
        </w:trPr>
        <w:tc>
          <w:tcPr>
            <w:tcW w:w="2830" w:type="dxa"/>
            <w:shd w:val="clear" w:color="auto" w:fill="auto"/>
            <w:vAlign w:val="center"/>
          </w:tcPr>
          <w:p w14:paraId="5A195CF3" w14:textId="77777777" w:rsidR="00294F87" w:rsidRPr="00294F87" w:rsidRDefault="00294F87" w:rsidP="00294F87">
            <w:pPr>
              <w:ind w:left="166"/>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Nodokļu ieņēmumi</w:t>
            </w:r>
          </w:p>
        </w:tc>
        <w:tc>
          <w:tcPr>
            <w:tcW w:w="851" w:type="dxa"/>
            <w:shd w:val="clear" w:color="auto" w:fill="auto"/>
            <w:tcMar>
              <w:left w:w="57" w:type="dxa"/>
              <w:right w:w="57" w:type="dxa"/>
            </w:tcMar>
            <w:vAlign w:val="center"/>
          </w:tcPr>
          <w:p w14:paraId="1A0FACAC"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8 977,3</w:t>
            </w:r>
          </w:p>
        </w:tc>
        <w:tc>
          <w:tcPr>
            <w:tcW w:w="850" w:type="dxa"/>
            <w:shd w:val="clear" w:color="auto" w:fill="auto"/>
            <w:tcMar>
              <w:left w:w="57" w:type="dxa"/>
              <w:right w:w="57" w:type="dxa"/>
            </w:tcMar>
            <w:vAlign w:val="center"/>
          </w:tcPr>
          <w:p w14:paraId="66600684" w14:textId="60386F38" w:rsidR="00294F87" w:rsidRPr="00294F87" w:rsidRDefault="00116FC6" w:rsidP="00294F87">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9 775</w:t>
            </w:r>
            <w:r w:rsidR="00294F87" w:rsidRPr="00294F87">
              <w:rPr>
                <w:rFonts w:ascii="Times New Roman" w:eastAsia="Times New Roman" w:hAnsi="Times New Roman" w:cs="Times New Roman"/>
                <w:sz w:val="20"/>
                <w:szCs w:val="20"/>
              </w:rPr>
              <w:t>,0</w:t>
            </w:r>
          </w:p>
        </w:tc>
        <w:tc>
          <w:tcPr>
            <w:tcW w:w="851" w:type="dxa"/>
            <w:shd w:val="clear" w:color="auto" w:fill="auto"/>
            <w:tcMar>
              <w:left w:w="57" w:type="dxa"/>
              <w:right w:w="57" w:type="dxa"/>
            </w:tcMar>
            <w:vAlign w:val="center"/>
          </w:tcPr>
          <w:p w14:paraId="0CE6F376" w14:textId="3799147A" w:rsidR="00294F87" w:rsidRPr="00294F87" w:rsidRDefault="00116FC6" w:rsidP="00294F87">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10 559</w:t>
            </w:r>
            <w:r w:rsidR="00294F87" w:rsidRPr="00294F87">
              <w:rPr>
                <w:rFonts w:ascii="Times New Roman" w:eastAsia="Times New Roman" w:hAnsi="Times New Roman" w:cs="Times New Roman"/>
                <w:sz w:val="20"/>
                <w:szCs w:val="20"/>
              </w:rPr>
              <w:t>,0</w:t>
            </w:r>
          </w:p>
        </w:tc>
        <w:tc>
          <w:tcPr>
            <w:tcW w:w="850" w:type="dxa"/>
            <w:shd w:val="clear" w:color="auto" w:fill="auto"/>
            <w:tcMar>
              <w:left w:w="57" w:type="dxa"/>
              <w:right w:w="57" w:type="dxa"/>
            </w:tcMar>
            <w:vAlign w:val="center"/>
          </w:tcPr>
          <w:p w14:paraId="1316B2DD" w14:textId="1D4CD098" w:rsidR="00294F87" w:rsidRPr="00294F87" w:rsidRDefault="00294F87" w:rsidP="00116FC6">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 xml:space="preserve">11 </w:t>
            </w:r>
            <w:r w:rsidR="00116FC6">
              <w:rPr>
                <w:rFonts w:ascii="Times New Roman" w:eastAsia="Times New Roman" w:hAnsi="Times New Roman" w:cs="Times New Roman"/>
                <w:sz w:val="20"/>
                <w:szCs w:val="20"/>
              </w:rPr>
              <w:t>109</w:t>
            </w:r>
            <w:r w:rsidRPr="00294F87">
              <w:rPr>
                <w:rFonts w:ascii="Times New Roman" w:eastAsia="Times New Roman" w:hAnsi="Times New Roman" w:cs="Times New Roman"/>
                <w:sz w:val="20"/>
                <w:szCs w:val="20"/>
              </w:rPr>
              <w:t>,6</w:t>
            </w:r>
          </w:p>
        </w:tc>
        <w:tc>
          <w:tcPr>
            <w:tcW w:w="709" w:type="dxa"/>
            <w:shd w:val="clear" w:color="auto" w:fill="auto"/>
            <w:tcMar>
              <w:left w:w="57" w:type="dxa"/>
              <w:right w:w="57" w:type="dxa"/>
            </w:tcMar>
            <w:vAlign w:val="center"/>
          </w:tcPr>
          <w:p w14:paraId="68D87637"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311,6</w:t>
            </w:r>
          </w:p>
        </w:tc>
        <w:tc>
          <w:tcPr>
            <w:tcW w:w="709" w:type="dxa"/>
            <w:shd w:val="clear" w:color="auto" w:fill="auto"/>
            <w:tcMar>
              <w:left w:w="57" w:type="dxa"/>
              <w:right w:w="57" w:type="dxa"/>
            </w:tcMar>
            <w:vAlign w:val="center"/>
          </w:tcPr>
          <w:p w14:paraId="533C0315"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434,4</w:t>
            </w:r>
          </w:p>
        </w:tc>
        <w:tc>
          <w:tcPr>
            <w:tcW w:w="709" w:type="dxa"/>
            <w:shd w:val="clear" w:color="auto" w:fill="auto"/>
            <w:tcMar>
              <w:left w:w="57" w:type="dxa"/>
              <w:right w:w="57" w:type="dxa"/>
            </w:tcMar>
            <w:vAlign w:val="center"/>
          </w:tcPr>
          <w:p w14:paraId="404F1412"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572,0</w:t>
            </w:r>
          </w:p>
        </w:tc>
        <w:tc>
          <w:tcPr>
            <w:tcW w:w="721" w:type="dxa"/>
            <w:shd w:val="clear" w:color="auto" w:fill="auto"/>
            <w:tcMar>
              <w:left w:w="57" w:type="dxa"/>
              <w:right w:w="57" w:type="dxa"/>
            </w:tcMar>
            <w:vAlign w:val="center"/>
          </w:tcPr>
          <w:p w14:paraId="34C1CF68"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599,2</w:t>
            </w:r>
          </w:p>
        </w:tc>
      </w:tr>
      <w:tr w:rsidR="00294F87" w:rsidRPr="00294F87" w14:paraId="3720B33F" w14:textId="77777777" w:rsidTr="00D73AE5">
        <w:trPr>
          <w:gridAfter w:val="1"/>
          <w:wAfter w:w="9" w:type="dxa"/>
          <w:trHeight w:val="306"/>
          <w:jc w:val="center"/>
        </w:trPr>
        <w:tc>
          <w:tcPr>
            <w:tcW w:w="2830" w:type="dxa"/>
            <w:shd w:val="clear" w:color="auto" w:fill="auto"/>
            <w:vAlign w:val="center"/>
          </w:tcPr>
          <w:p w14:paraId="1CA46575" w14:textId="77777777" w:rsidR="00294F87" w:rsidRPr="00294F87" w:rsidRDefault="00294F87" w:rsidP="00294F87">
            <w:pPr>
              <w:ind w:left="166"/>
              <w:rPr>
                <w:rFonts w:ascii="Times New Roman" w:eastAsia="Times New Roman" w:hAnsi="Times New Roman" w:cs="Times New Roman"/>
                <w:noProof/>
                <w:sz w:val="20"/>
                <w:szCs w:val="20"/>
              </w:rPr>
            </w:pPr>
            <w:r w:rsidRPr="00294F87">
              <w:rPr>
                <w:rFonts w:ascii="Times New Roman" w:eastAsia="Times New Roman" w:hAnsi="Times New Roman" w:cs="Times New Roman"/>
                <w:noProof/>
                <w:sz w:val="20"/>
                <w:szCs w:val="20"/>
              </w:rPr>
              <w:t>Nenodokļu ieņēmumi</w:t>
            </w:r>
          </w:p>
        </w:tc>
        <w:tc>
          <w:tcPr>
            <w:tcW w:w="851" w:type="dxa"/>
            <w:shd w:val="clear" w:color="auto" w:fill="auto"/>
            <w:tcMar>
              <w:left w:w="57" w:type="dxa"/>
              <w:right w:w="57" w:type="dxa"/>
            </w:tcMar>
            <w:vAlign w:val="center"/>
          </w:tcPr>
          <w:p w14:paraId="69D502DB"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648,9</w:t>
            </w:r>
          </w:p>
        </w:tc>
        <w:tc>
          <w:tcPr>
            <w:tcW w:w="850" w:type="dxa"/>
            <w:shd w:val="clear" w:color="auto" w:fill="auto"/>
            <w:tcMar>
              <w:left w:w="57" w:type="dxa"/>
              <w:right w:w="57" w:type="dxa"/>
            </w:tcMar>
            <w:vAlign w:val="center"/>
          </w:tcPr>
          <w:p w14:paraId="2BDB8518"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586,9</w:t>
            </w:r>
          </w:p>
        </w:tc>
        <w:tc>
          <w:tcPr>
            <w:tcW w:w="851" w:type="dxa"/>
            <w:shd w:val="clear" w:color="auto" w:fill="auto"/>
            <w:tcMar>
              <w:left w:w="57" w:type="dxa"/>
              <w:right w:w="57" w:type="dxa"/>
            </w:tcMar>
            <w:vAlign w:val="center"/>
          </w:tcPr>
          <w:p w14:paraId="1F8DB506"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561,1</w:t>
            </w:r>
          </w:p>
        </w:tc>
        <w:tc>
          <w:tcPr>
            <w:tcW w:w="850" w:type="dxa"/>
            <w:shd w:val="clear" w:color="auto" w:fill="auto"/>
            <w:tcMar>
              <w:left w:w="57" w:type="dxa"/>
              <w:right w:w="57" w:type="dxa"/>
            </w:tcMar>
            <w:vAlign w:val="center"/>
          </w:tcPr>
          <w:p w14:paraId="1A666FB7"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554,0</w:t>
            </w:r>
          </w:p>
        </w:tc>
        <w:tc>
          <w:tcPr>
            <w:tcW w:w="709" w:type="dxa"/>
            <w:shd w:val="clear" w:color="auto" w:fill="auto"/>
            <w:tcMar>
              <w:left w:w="57" w:type="dxa"/>
              <w:right w:w="57" w:type="dxa"/>
            </w:tcMar>
            <w:vAlign w:val="center"/>
          </w:tcPr>
          <w:p w14:paraId="66D86C5C"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0,0</w:t>
            </w:r>
          </w:p>
        </w:tc>
        <w:tc>
          <w:tcPr>
            <w:tcW w:w="709" w:type="dxa"/>
            <w:shd w:val="clear" w:color="auto" w:fill="auto"/>
            <w:tcMar>
              <w:left w:w="57" w:type="dxa"/>
              <w:right w:w="57" w:type="dxa"/>
            </w:tcMar>
            <w:vAlign w:val="center"/>
          </w:tcPr>
          <w:p w14:paraId="17C1FE0F"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22,0</w:t>
            </w:r>
          </w:p>
        </w:tc>
        <w:tc>
          <w:tcPr>
            <w:tcW w:w="709" w:type="dxa"/>
            <w:shd w:val="clear" w:color="auto" w:fill="auto"/>
            <w:tcMar>
              <w:left w:w="57" w:type="dxa"/>
              <w:right w:w="57" w:type="dxa"/>
            </w:tcMar>
            <w:vAlign w:val="center"/>
          </w:tcPr>
          <w:p w14:paraId="083C49DD"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25,1</w:t>
            </w:r>
          </w:p>
        </w:tc>
        <w:tc>
          <w:tcPr>
            <w:tcW w:w="721" w:type="dxa"/>
            <w:shd w:val="clear" w:color="auto" w:fill="auto"/>
            <w:tcMar>
              <w:left w:w="57" w:type="dxa"/>
              <w:right w:w="57" w:type="dxa"/>
            </w:tcMar>
            <w:vAlign w:val="center"/>
          </w:tcPr>
          <w:p w14:paraId="0BEA508C"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24,3</w:t>
            </w:r>
          </w:p>
        </w:tc>
      </w:tr>
      <w:tr w:rsidR="00294F87" w:rsidRPr="00294F87" w14:paraId="0F5AE16D" w14:textId="77777777" w:rsidTr="00792CED">
        <w:trPr>
          <w:gridAfter w:val="1"/>
          <w:wAfter w:w="9" w:type="dxa"/>
          <w:trHeight w:val="347"/>
          <w:jc w:val="center"/>
        </w:trPr>
        <w:tc>
          <w:tcPr>
            <w:tcW w:w="2830" w:type="dxa"/>
            <w:shd w:val="clear" w:color="auto" w:fill="auto"/>
            <w:vAlign w:val="center"/>
          </w:tcPr>
          <w:p w14:paraId="7C894E0D" w14:textId="77777777" w:rsidR="00294F87" w:rsidRPr="00294F87" w:rsidRDefault="00294F87" w:rsidP="00294F87">
            <w:pPr>
              <w:ind w:left="166"/>
              <w:rPr>
                <w:rFonts w:ascii="Times New Roman" w:eastAsia="Times New Roman" w:hAnsi="Times New Roman" w:cs="Times New Roman"/>
                <w:noProof/>
                <w:sz w:val="20"/>
                <w:szCs w:val="20"/>
              </w:rPr>
            </w:pPr>
            <w:r w:rsidRPr="00294F87">
              <w:rPr>
                <w:rFonts w:ascii="Times New Roman" w:eastAsia="Times New Roman" w:hAnsi="Times New Roman" w:cs="Times New Roman"/>
                <w:noProof/>
                <w:sz w:val="20"/>
                <w:szCs w:val="20"/>
              </w:rPr>
              <w:t>Procentu izdevumi</w:t>
            </w:r>
          </w:p>
        </w:tc>
        <w:tc>
          <w:tcPr>
            <w:tcW w:w="851" w:type="dxa"/>
            <w:shd w:val="clear" w:color="auto" w:fill="auto"/>
            <w:tcMar>
              <w:left w:w="57" w:type="dxa"/>
              <w:right w:w="57" w:type="dxa"/>
            </w:tcMar>
            <w:vAlign w:val="center"/>
          </w:tcPr>
          <w:p w14:paraId="3A844494"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263,2</w:t>
            </w:r>
          </w:p>
        </w:tc>
        <w:tc>
          <w:tcPr>
            <w:tcW w:w="850" w:type="dxa"/>
            <w:shd w:val="clear" w:color="auto" w:fill="auto"/>
            <w:tcMar>
              <w:left w:w="57" w:type="dxa"/>
              <w:right w:w="57" w:type="dxa"/>
            </w:tcMar>
            <w:vAlign w:val="center"/>
          </w:tcPr>
          <w:p w14:paraId="7F47C557"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268,5</w:t>
            </w:r>
          </w:p>
        </w:tc>
        <w:tc>
          <w:tcPr>
            <w:tcW w:w="851" w:type="dxa"/>
            <w:shd w:val="clear" w:color="auto" w:fill="auto"/>
            <w:tcMar>
              <w:left w:w="57" w:type="dxa"/>
              <w:right w:w="57" w:type="dxa"/>
            </w:tcMar>
            <w:vAlign w:val="center"/>
          </w:tcPr>
          <w:p w14:paraId="7F6AAA2A"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237,7</w:t>
            </w:r>
          </w:p>
        </w:tc>
        <w:tc>
          <w:tcPr>
            <w:tcW w:w="850" w:type="dxa"/>
            <w:shd w:val="clear" w:color="auto" w:fill="auto"/>
            <w:tcMar>
              <w:left w:w="57" w:type="dxa"/>
              <w:right w:w="57" w:type="dxa"/>
            </w:tcMar>
            <w:vAlign w:val="center"/>
          </w:tcPr>
          <w:p w14:paraId="3A0F0E5C"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230,8</w:t>
            </w:r>
          </w:p>
        </w:tc>
        <w:tc>
          <w:tcPr>
            <w:tcW w:w="709" w:type="dxa"/>
            <w:shd w:val="clear" w:color="auto" w:fill="auto"/>
            <w:tcMar>
              <w:left w:w="57" w:type="dxa"/>
              <w:right w:w="57" w:type="dxa"/>
            </w:tcMar>
            <w:vAlign w:val="center"/>
          </w:tcPr>
          <w:p w14:paraId="6EA6B80F"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0,0</w:t>
            </w:r>
          </w:p>
        </w:tc>
        <w:tc>
          <w:tcPr>
            <w:tcW w:w="709" w:type="dxa"/>
            <w:shd w:val="clear" w:color="auto" w:fill="auto"/>
            <w:tcMar>
              <w:left w:w="57" w:type="dxa"/>
              <w:right w:w="57" w:type="dxa"/>
            </w:tcMar>
            <w:vAlign w:val="center"/>
          </w:tcPr>
          <w:p w14:paraId="0CF01316"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0,0</w:t>
            </w:r>
          </w:p>
        </w:tc>
        <w:tc>
          <w:tcPr>
            <w:tcW w:w="709" w:type="dxa"/>
            <w:shd w:val="clear" w:color="auto" w:fill="auto"/>
            <w:tcMar>
              <w:left w:w="57" w:type="dxa"/>
              <w:right w:w="57" w:type="dxa"/>
            </w:tcMar>
            <w:vAlign w:val="center"/>
          </w:tcPr>
          <w:p w14:paraId="7118DB60"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-4,6</w:t>
            </w:r>
          </w:p>
        </w:tc>
        <w:tc>
          <w:tcPr>
            <w:tcW w:w="721" w:type="dxa"/>
            <w:shd w:val="clear" w:color="auto" w:fill="auto"/>
            <w:tcMar>
              <w:left w:w="57" w:type="dxa"/>
              <w:right w:w="57" w:type="dxa"/>
            </w:tcMar>
            <w:vAlign w:val="center"/>
          </w:tcPr>
          <w:p w14:paraId="61A4EE67"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-9,1</w:t>
            </w:r>
          </w:p>
        </w:tc>
      </w:tr>
      <w:tr w:rsidR="00294F87" w:rsidRPr="00294F87" w14:paraId="605A3DE9" w14:textId="77777777" w:rsidTr="00792CED">
        <w:trPr>
          <w:gridAfter w:val="1"/>
          <w:wAfter w:w="9" w:type="dxa"/>
          <w:trHeight w:val="482"/>
          <w:jc w:val="center"/>
        </w:trPr>
        <w:tc>
          <w:tcPr>
            <w:tcW w:w="2830" w:type="dxa"/>
            <w:shd w:val="clear" w:color="auto" w:fill="auto"/>
            <w:vAlign w:val="center"/>
          </w:tcPr>
          <w:p w14:paraId="2C86DDAD" w14:textId="77777777" w:rsidR="00294F87" w:rsidRPr="00294F87" w:rsidRDefault="00294F87" w:rsidP="00294F87">
            <w:pPr>
              <w:rPr>
                <w:rFonts w:ascii="Times New Roman" w:eastAsia="Times New Roman" w:hAnsi="Times New Roman" w:cs="Times New Roman"/>
                <w:noProof/>
                <w:sz w:val="20"/>
                <w:szCs w:val="20"/>
              </w:rPr>
            </w:pPr>
            <w:r w:rsidRPr="00294F87">
              <w:rPr>
                <w:rFonts w:ascii="Times New Roman" w:eastAsia="Times New Roman" w:hAnsi="Times New Roman" w:cs="Times New Roman"/>
                <w:noProof/>
                <w:sz w:val="20"/>
                <w:szCs w:val="20"/>
              </w:rPr>
              <w:t xml:space="preserve">   Procentu izdevumi</w:t>
            </w:r>
            <w:r w:rsidRPr="00294F87">
              <w:rPr>
                <w:rFonts w:ascii="Times New Roman" w:eastAsia="Times New Roman" w:hAnsi="Times New Roman" w:cs="Times New Roman"/>
                <w:noProof/>
                <w:sz w:val="20"/>
                <w:szCs w:val="20"/>
              </w:rPr>
              <w:br/>
              <w:t xml:space="preserve">  (% likmes paliel. par 1 pp)</w:t>
            </w:r>
          </w:p>
        </w:tc>
        <w:tc>
          <w:tcPr>
            <w:tcW w:w="851" w:type="dxa"/>
            <w:shd w:val="clear" w:color="auto" w:fill="auto"/>
            <w:tcMar>
              <w:left w:w="57" w:type="dxa"/>
              <w:right w:w="57" w:type="dxa"/>
            </w:tcMar>
            <w:vAlign w:val="center"/>
          </w:tcPr>
          <w:p w14:paraId="4CF30FD6"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263,2</w:t>
            </w:r>
          </w:p>
        </w:tc>
        <w:tc>
          <w:tcPr>
            <w:tcW w:w="850" w:type="dxa"/>
            <w:shd w:val="clear" w:color="auto" w:fill="auto"/>
            <w:tcMar>
              <w:left w:w="57" w:type="dxa"/>
              <w:right w:w="57" w:type="dxa"/>
            </w:tcMar>
            <w:vAlign w:val="center"/>
          </w:tcPr>
          <w:p w14:paraId="23B3645A"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268,5</w:t>
            </w:r>
          </w:p>
        </w:tc>
        <w:tc>
          <w:tcPr>
            <w:tcW w:w="851" w:type="dxa"/>
            <w:shd w:val="clear" w:color="auto" w:fill="auto"/>
            <w:tcMar>
              <w:left w:w="57" w:type="dxa"/>
              <w:right w:w="57" w:type="dxa"/>
            </w:tcMar>
            <w:vAlign w:val="center"/>
          </w:tcPr>
          <w:p w14:paraId="341DA1D8"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252,5</w:t>
            </w:r>
          </w:p>
        </w:tc>
        <w:tc>
          <w:tcPr>
            <w:tcW w:w="850" w:type="dxa"/>
            <w:shd w:val="clear" w:color="auto" w:fill="auto"/>
            <w:tcMar>
              <w:left w:w="57" w:type="dxa"/>
              <w:right w:w="57" w:type="dxa"/>
            </w:tcMar>
            <w:vAlign w:val="center"/>
          </w:tcPr>
          <w:p w14:paraId="6FD6AA71"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255,6</w:t>
            </w:r>
          </w:p>
        </w:tc>
        <w:tc>
          <w:tcPr>
            <w:tcW w:w="709" w:type="dxa"/>
            <w:shd w:val="clear" w:color="auto" w:fill="auto"/>
            <w:tcMar>
              <w:left w:w="57" w:type="dxa"/>
              <w:right w:w="57" w:type="dxa"/>
            </w:tcMar>
            <w:vAlign w:val="center"/>
          </w:tcPr>
          <w:p w14:paraId="19559C20"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0,0</w:t>
            </w:r>
          </w:p>
        </w:tc>
        <w:tc>
          <w:tcPr>
            <w:tcW w:w="709" w:type="dxa"/>
            <w:shd w:val="clear" w:color="auto" w:fill="auto"/>
            <w:tcMar>
              <w:left w:w="57" w:type="dxa"/>
              <w:right w:w="57" w:type="dxa"/>
            </w:tcMar>
            <w:vAlign w:val="center"/>
          </w:tcPr>
          <w:p w14:paraId="045340D5"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0,0</w:t>
            </w:r>
          </w:p>
        </w:tc>
        <w:tc>
          <w:tcPr>
            <w:tcW w:w="709" w:type="dxa"/>
            <w:shd w:val="clear" w:color="auto" w:fill="auto"/>
            <w:tcMar>
              <w:left w:w="57" w:type="dxa"/>
              <w:right w:w="57" w:type="dxa"/>
            </w:tcMar>
            <w:vAlign w:val="center"/>
          </w:tcPr>
          <w:p w14:paraId="08EAF09E"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10,3</w:t>
            </w:r>
          </w:p>
        </w:tc>
        <w:tc>
          <w:tcPr>
            <w:tcW w:w="721" w:type="dxa"/>
            <w:shd w:val="clear" w:color="auto" w:fill="auto"/>
            <w:tcMar>
              <w:left w:w="57" w:type="dxa"/>
              <w:right w:w="57" w:type="dxa"/>
            </w:tcMar>
            <w:vAlign w:val="center"/>
          </w:tcPr>
          <w:p w14:paraId="381D8A95"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15,7</w:t>
            </w:r>
          </w:p>
        </w:tc>
      </w:tr>
      <w:tr w:rsidR="00294F87" w:rsidRPr="00294F87" w14:paraId="06E68CB6" w14:textId="77777777" w:rsidTr="00792CED">
        <w:trPr>
          <w:gridAfter w:val="1"/>
          <w:wAfter w:w="9" w:type="dxa"/>
          <w:trHeight w:val="482"/>
          <w:jc w:val="center"/>
        </w:trPr>
        <w:tc>
          <w:tcPr>
            <w:tcW w:w="2830" w:type="dxa"/>
            <w:shd w:val="clear" w:color="auto" w:fill="auto"/>
            <w:vAlign w:val="center"/>
          </w:tcPr>
          <w:p w14:paraId="0105EDF0" w14:textId="77777777" w:rsidR="00294F87" w:rsidRPr="00294F87" w:rsidRDefault="00294F87" w:rsidP="00294F87">
            <w:pPr>
              <w:rPr>
                <w:rFonts w:ascii="Times New Roman" w:eastAsia="Calibri" w:hAnsi="Times New Roman" w:cs="Times New Roman"/>
                <w:noProof/>
                <w:sz w:val="20"/>
                <w:szCs w:val="20"/>
                <w:lang w:eastAsia="en-US"/>
              </w:rPr>
            </w:pPr>
            <w:r w:rsidRPr="00294F87">
              <w:rPr>
                <w:rFonts w:ascii="Times New Roman" w:eastAsia="Times New Roman" w:hAnsi="Times New Roman" w:cs="Times New Roman"/>
                <w:noProof/>
                <w:sz w:val="20"/>
                <w:szCs w:val="20"/>
              </w:rPr>
              <w:t xml:space="preserve">   Procentu izdevumi</w:t>
            </w:r>
            <w:r w:rsidRPr="00294F87">
              <w:rPr>
                <w:rFonts w:ascii="Times New Roman" w:eastAsia="Times New Roman" w:hAnsi="Times New Roman" w:cs="Times New Roman"/>
                <w:noProof/>
                <w:sz w:val="20"/>
                <w:szCs w:val="20"/>
              </w:rPr>
              <w:br/>
              <w:t xml:space="preserve">   (% likmes samaz. par 1 pp)</w:t>
            </w:r>
          </w:p>
        </w:tc>
        <w:tc>
          <w:tcPr>
            <w:tcW w:w="851" w:type="dxa"/>
            <w:shd w:val="clear" w:color="auto" w:fill="auto"/>
            <w:tcMar>
              <w:left w:w="57" w:type="dxa"/>
              <w:right w:w="57" w:type="dxa"/>
            </w:tcMar>
            <w:vAlign w:val="center"/>
          </w:tcPr>
          <w:p w14:paraId="5B85BEF1"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263,2</w:t>
            </w:r>
          </w:p>
        </w:tc>
        <w:tc>
          <w:tcPr>
            <w:tcW w:w="850" w:type="dxa"/>
            <w:shd w:val="clear" w:color="auto" w:fill="auto"/>
            <w:tcMar>
              <w:left w:w="57" w:type="dxa"/>
              <w:right w:w="57" w:type="dxa"/>
            </w:tcMar>
            <w:vAlign w:val="center"/>
          </w:tcPr>
          <w:p w14:paraId="34FB0A94"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268,5</w:t>
            </w:r>
          </w:p>
        </w:tc>
        <w:tc>
          <w:tcPr>
            <w:tcW w:w="851" w:type="dxa"/>
            <w:shd w:val="clear" w:color="auto" w:fill="auto"/>
            <w:tcMar>
              <w:left w:w="57" w:type="dxa"/>
              <w:right w:w="57" w:type="dxa"/>
            </w:tcMar>
            <w:vAlign w:val="center"/>
          </w:tcPr>
          <w:p w14:paraId="1DD1ABB4"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232,6</w:t>
            </w:r>
          </w:p>
        </w:tc>
        <w:tc>
          <w:tcPr>
            <w:tcW w:w="850" w:type="dxa"/>
            <w:shd w:val="clear" w:color="auto" w:fill="auto"/>
            <w:tcMar>
              <w:left w:w="57" w:type="dxa"/>
              <w:right w:w="57" w:type="dxa"/>
            </w:tcMar>
            <w:vAlign w:val="center"/>
          </w:tcPr>
          <w:p w14:paraId="0FB4ED5D"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224,7</w:t>
            </w:r>
          </w:p>
        </w:tc>
        <w:tc>
          <w:tcPr>
            <w:tcW w:w="709" w:type="dxa"/>
            <w:shd w:val="clear" w:color="auto" w:fill="auto"/>
            <w:tcMar>
              <w:left w:w="57" w:type="dxa"/>
              <w:right w:w="57" w:type="dxa"/>
            </w:tcMar>
            <w:vAlign w:val="center"/>
          </w:tcPr>
          <w:p w14:paraId="2B02BB83"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0,0</w:t>
            </w:r>
          </w:p>
        </w:tc>
        <w:tc>
          <w:tcPr>
            <w:tcW w:w="709" w:type="dxa"/>
            <w:shd w:val="clear" w:color="auto" w:fill="auto"/>
            <w:tcMar>
              <w:left w:w="57" w:type="dxa"/>
              <w:right w:w="57" w:type="dxa"/>
            </w:tcMar>
            <w:vAlign w:val="center"/>
          </w:tcPr>
          <w:p w14:paraId="22E0694F"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0,0</w:t>
            </w:r>
          </w:p>
        </w:tc>
        <w:tc>
          <w:tcPr>
            <w:tcW w:w="709" w:type="dxa"/>
            <w:shd w:val="clear" w:color="auto" w:fill="auto"/>
            <w:tcMar>
              <w:left w:w="57" w:type="dxa"/>
              <w:right w:w="57" w:type="dxa"/>
            </w:tcMar>
            <w:vAlign w:val="center"/>
          </w:tcPr>
          <w:p w14:paraId="1634B193"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-9,6</w:t>
            </w:r>
          </w:p>
        </w:tc>
        <w:tc>
          <w:tcPr>
            <w:tcW w:w="721" w:type="dxa"/>
            <w:shd w:val="clear" w:color="auto" w:fill="auto"/>
            <w:tcMar>
              <w:left w:w="57" w:type="dxa"/>
              <w:right w:w="57" w:type="dxa"/>
            </w:tcMar>
            <w:vAlign w:val="center"/>
          </w:tcPr>
          <w:p w14:paraId="7E8D1EE1" w14:textId="77777777" w:rsidR="00294F87" w:rsidRPr="00294F87" w:rsidRDefault="00294F87" w:rsidP="00294F87">
            <w:pPr>
              <w:spacing w:line="259" w:lineRule="auto"/>
              <w:jc w:val="right"/>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-15,3</w:t>
            </w:r>
          </w:p>
        </w:tc>
      </w:tr>
      <w:tr w:rsidR="00294F87" w:rsidRPr="00294F87" w14:paraId="0E0C6AE8" w14:textId="77777777" w:rsidTr="00792CED">
        <w:trPr>
          <w:gridAfter w:val="1"/>
          <w:wAfter w:w="9" w:type="dxa"/>
          <w:trHeight w:val="482"/>
          <w:jc w:val="center"/>
        </w:trPr>
        <w:tc>
          <w:tcPr>
            <w:tcW w:w="2830" w:type="dxa"/>
            <w:shd w:val="clear" w:color="auto" w:fill="auto"/>
            <w:vAlign w:val="center"/>
          </w:tcPr>
          <w:p w14:paraId="55B0D60B" w14:textId="77777777" w:rsidR="00294F87" w:rsidRPr="00294F87" w:rsidRDefault="00294F87" w:rsidP="00294F87">
            <w:pPr>
              <w:rPr>
                <w:rFonts w:ascii="Times New Roman" w:eastAsia="Times New Roman" w:hAnsi="Times New Roman" w:cs="Times New Roman"/>
                <w:b/>
                <w:noProof/>
                <w:sz w:val="20"/>
                <w:szCs w:val="20"/>
              </w:rPr>
            </w:pPr>
            <w:r w:rsidRPr="00294F87">
              <w:rPr>
                <w:rFonts w:ascii="Times New Roman" w:eastAsia="Times New Roman" w:hAnsi="Times New Roman" w:cs="Times New Roman"/>
                <w:b/>
                <w:noProof/>
                <w:sz w:val="20"/>
                <w:szCs w:val="20"/>
              </w:rPr>
              <w:t>Vispārējās valdības parāds,</w:t>
            </w:r>
            <w:r w:rsidRPr="00294F87">
              <w:rPr>
                <w:rFonts w:ascii="Times New Roman" w:eastAsia="Times New Roman" w:hAnsi="Times New Roman" w:cs="Times New Roman"/>
                <w:b/>
                <w:noProof/>
                <w:sz w:val="20"/>
                <w:szCs w:val="20"/>
              </w:rPr>
              <w:br/>
              <w:t>% no IKP</w:t>
            </w:r>
          </w:p>
        </w:tc>
        <w:tc>
          <w:tcPr>
            <w:tcW w:w="851" w:type="dxa"/>
            <w:shd w:val="clear" w:color="auto" w:fill="auto"/>
            <w:tcMar>
              <w:left w:w="57" w:type="dxa"/>
              <w:right w:w="57" w:type="dxa"/>
            </w:tcMar>
            <w:vAlign w:val="center"/>
          </w:tcPr>
          <w:p w14:paraId="7C10391C"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44,8</w:t>
            </w:r>
          </w:p>
        </w:tc>
        <w:tc>
          <w:tcPr>
            <w:tcW w:w="850" w:type="dxa"/>
            <w:shd w:val="clear" w:color="auto" w:fill="auto"/>
            <w:tcMar>
              <w:left w:w="57" w:type="dxa"/>
              <w:right w:w="57" w:type="dxa"/>
            </w:tcMar>
            <w:vAlign w:val="center"/>
          </w:tcPr>
          <w:p w14:paraId="156BF491"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42,2</w:t>
            </w:r>
          </w:p>
        </w:tc>
        <w:tc>
          <w:tcPr>
            <w:tcW w:w="851" w:type="dxa"/>
            <w:shd w:val="clear" w:color="auto" w:fill="auto"/>
            <w:tcMar>
              <w:left w:w="57" w:type="dxa"/>
              <w:right w:w="57" w:type="dxa"/>
            </w:tcMar>
            <w:vAlign w:val="center"/>
          </w:tcPr>
          <w:p w14:paraId="699208DC"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40,3</w:t>
            </w:r>
          </w:p>
        </w:tc>
        <w:tc>
          <w:tcPr>
            <w:tcW w:w="850" w:type="dxa"/>
            <w:shd w:val="clear" w:color="auto" w:fill="auto"/>
            <w:tcMar>
              <w:left w:w="57" w:type="dxa"/>
              <w:right w:w="57" w:type="dxa"/>
            </w:tcMar>
            <w:vAlign w:val="center"/>
          </w:tcPr>
          <w:p w14:paraId="226AC3E1"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37,7</w:t>
            </w:r>
          </w:p>
        </w:tc>
        <w:tc>
          <w:tcPr>
            <w:tcW w:w="709" w:type="dxa"/>
            <w:shd w:val="clear" w:color="auto" w:fill="auto"/>
            <w:tcMar>
              <w:left w:w="57" w:type="dxa"/>
              <w:right w:w="57" w:type="dxa"/>
            </w:tcMar>
            <w:vAlign w:val="center"/>
          </w:tcPr>
          <w:p w14:paraId="74E94E0D"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-2,5</w:t>
            </w:r>
          </w:p>
        </w:tc>
        <w:tc>
          <w:tcPr>
            <w:tcW w:w="709" w:type="dxa"/>
            <w:shd w:val="clear" w:color="auto" w:fill="auto"/>
            <w:tcMar>
              <w:left w:w="57" w:type="dxa"/>
              <w:right w:w="57" w:type="dxa"/>
            </w:tcMar>
            <w:vAlign w:val="center"/>
          </w:tcPr>
          <w:p w14:paraId="35643538" w14:textId="77777777" w:rsidR="00294F87" w:rsidRPr="00294F87" w:rsidRDefault="00294F87" w:rsidP="00294F87">
            <w:pPr>
              <w:spacing w:line="259" w:lineRule="auto"/>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-3,8</w:t>
            </w:r>
          </w:p>
        </w:tc>
        <w:tc>
          <w:tcPr>
            <w:tcW w:w="709" w:type="dxa"/>
            <w:shd w:val="clear" w:color="auto" w:fill="auto"/>
            <w:tcMar>
              <w:left w:w="57" w:type="dxa"/>
              <w:right w:w="57" w:type="dxa"/>
            </w:tcMar>
            <w:vAlign w:val="center"/>
          </w:tcPr>
          <w:p w14:paraId="605A7FC8" w14:textId="77777777" w:rsidR="00294F87" w:rsidRPr="00294F87" w:rsidRDefault="00294F87" w:rsidP="00294F87">
            <w:pPr>
              <w:spacing w:line="259" w:lineRule="auto"/>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-5,7</w:t>
            </w:r>
          </w:p>
        </w:tc>
        <w:tc>
          <w:tcPr>
            <w:tcW w:w="721" w:type="dxa"/>
            <w:shd w:val="clear" w:color="auto" w:fill="auto"/>
            <w:tcMar>
              <w:left w:w="57" w:type="dxa"/>
              <w:right w:w="57" w:type="dxa"/>
            </w:tcMar>
            <w:vAlign w:val="center"/>
          </w:tcPr>
          <w:p w14:paraId="0AE4FEB7" w14:textId="77777777" w:rsidR="00294F87" w:rsidRPr="00294F87" w:rsidRDefault="00294F87" w:rsidP="00294F87">
            <w:pPr>
              <w:spacing w:line="259" w:lineRule="auto"/>
              <w:jc w:val="right"/>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-7,1</w:t>
            </w:r>
          </w:p>
        </w:tc>
      </w:tr>
    </w:tbl>
    <w:p w14:paraId="0D6DF125" w14:textId="77777777" w:rsidR="00294F87" w:rsidRPr="00294F87" w:rsidRDefault="00294F87" w:rsidP="00294F87">
      <w:pPr>
        <w:autoSpaceDE w:val="0"/>
        <w:autoSpaceDN w:val="0"/>
        <w:adjustRightInd w:val="0"/>
        <w:ind w:firstLine="720"/>
        <w:jc w:val="both"/>
        <w:rPr>
          <w:rFonts w:ascii="Times New Roman" w:eastAsia="Times New Roman" w:hAnsi="Times New Roman" w:cs="Times New Roman"/>
          <w:color w:val="000000"/>
          <w:sz w:val="24"/>
          <w:szCs w:val="24"/>
          <w:highlight w:val="yellow"/>
        </w:rPr>
      </w:pPr>
    </w:p>
    <w:p w14:paraId="4DC8C805" w14:textId="77777777" w:rsidR="00294F87" w:rsidRPr="00294F87" w:rsidRDefault="00294F87" w:rsidP="00294F87">
      <w:pPr>
        <w:autoSpaceDE w:val="0"/>
        <w:autoSpaceDN w:val="0"/>
        <w:adjustRightInd w:val="0"/>
        <w:ind w:firstLine="720"/>
        <w:jc w:val="both"/>
        <w:rPr>
          <w:rFonts w:ascii="Times New Roman" w:eastAsia="Times New Roman" w:hAnsi="Times New Roman" w:cs="Times New Roman"/>
          <w:noProof/>
          <w:color w:val="000000"/>
          <w:sz w:val="28"/>
          <w:szCs w:val="24"/>
        </w:rPr>
      </w:pPr>
      <w:r w:rsidRPr="00294F87">
        <w:rPr>
          <w:rFonts w:ascii="Times New Roman" w:eastAsia="Times New Roman" w:hAnsi="Times New Roman" w:cs="Times New Roman"/>
          <w:noProof/>
          <w:color w:val="000000"/>
          <w:sz w:val="28"/>
          <w:szCs w:val="24"/>
        </w:rPr>
        <w:t xml:space="preserve">Vispārējās valdības budžeta bilance optimistiskajā scenārijā uzlabotos no 3,9% deficīta bāzes scenārijā uz 2,3% deficītu no IKP 2021.gadā, jeb par 456,4 milj. </w:t>
      </w:r>
      <w:r w:rsidRPr="00294F87">
        <w:rPr>
          <w:rFonts w:ascii="Times New Roman" w:eastAsia="Times New Roman" w:hAnsi="Times New Roman" w:cs="Times New Roman"/>
          <w:i/>
          <w:noProof/>
          <w:color w:val="000000"/>
          <w:sz w:val="28"/>
          <w:szCs w:val="24"/>
        </w:rPr>
        <w:t>euro</w:t>
      </w:r>
      <w:r w:rsidRPr="00294F87">
        <w:rPr>
          <w:rFonts w:ascii="Times New Roman" w:eastAsia="Times New Roman" w:hAnsi="Times New Roman" w:cs="Times New Roman"/>
          <w:noProof/>
          <w:color w:val="000000"/>
          <w:sz w:val="28"/>
          <w:szCs w:val="24"/>
        </w:rPr>
        <w:t xml:space="preserve">. 2022. un 2023.gadā bilance uzlabotos attiecīgi par 601,7 milj. </w:t>
      </w:r>
      <w:r w:rsidRPr="00294F87">
        <w:rPr>
          <w:rFonts w:ascii="Times New Roman" w:eastAsia="Times New Roman" w:hAnsi="Times New Roman" w:cs="Times New Roman"/>
          <w:i/>
          <w:noProof/>
          <w:color w:val="000000"/>
          <w:sz w:val="28"/>
          <w:szCs w:val="24"/>
        </w:rPr>
        <w:t>euro</w:t>
      </w:r>
      <w:r w:rsidRPr="00294F87">
        <w:rPr>
          <w:rFonts w:ascii="Times New Roman" w:eastAsia="Times New Roman" w:hAnsi="Times New Roman" w:cs="Times New Roman"/>
          <w:noProof/>
          <w:color w:val="000000"/>
          <w:sz w:val="28"/>
          <w:szCs w:val="24"/>
        </w:rPr>
        <w:t xml:space="preserve"> un 632,6 milj. </w:t>
      </w:r>
      <w:r w:rsidRPr="00294F87">
        <w:rPr>
          <w:rFonts w:ascii="Times New Roman" w:eastAsia="Times New Roman" w:hAnsi="Times New Roman" w:cs="Times New Roman"/>
          <w:i/>
          <w:noProof/>
          <w:color w:val="000000"/>
          <w:sz w:val="28"/>
          <w:szCs w:val="24"/>
        </w:rPr>
        <w:t>euro</w:t>
      </w:r>
      <w:r w:rsidRPr="00294F87">
        <w:rPr>
          <w:rFonts w:ascii="Times New Roman" w:eastAsia="Times New Roman" w:hAnsi="Times New Roman" w:cs="Times New Roman"/>
          <w:noProof/>
          <w:color w:val="000000"/>
          <w:sz w:val="28"/>
          <w:szCs w:val="24"/>
        </w:rPr>
        <w:t xml:space="preserve">, tādējādi vispārējās valdības budžetā 2022.gadā būtu deficīts 0,8% no IKP, bet 2023. gadā budžets būtu ar 0,2% no IKP pārpalikumu. </w:t>
      </w:r>
    </w:p>
    <w:p w14:paraId="27B4E17D" w14:textId="5C7F22D9" w:rsidR="003F3FCD" w:rsidRPr="00792CED" w:rsidRDefault="00294F87" w:rsidP="00792CED">
      <w:pPr>
        <w:jc w:val="both"/>
        <w:rPr>
          <w:rFonts w:ascii="Times New Roman" w:hAnsi="Times New Roman" w:cs="Times New Roman"/>
          <w:b/>
          <w:sz w:val="28"/>
          <w:szCs w:val="28"/>
        </w:rPr>
      </w:pPr>
      <w:r w:rsidRPr="00294F87">
        <w:rPr>
          <w:rFonts w:ascii="Times New Roman" w:eastAsia="Times New Roman" w:hAnsi="Times New Roman" w:cs="Times New Roman"/>
          <w:noProof/>
          <w:color w:val="000000"/>
          <w:sz w:val="28"/>
          <w:szCs w:val="24"/>
        </w:rPr>
        <w:t>Papildus aplūkojam scenārijus, kuros aizņemšanās procentu likmes parāda pārfinansēšanai nosvārstās viena procentpunkta robežās – par vienu procentpunktu palielinoties un šādā apmērā samazinoties. Procentu likmēm par vienu procentpuktu palielinoties, procentu izdevumi 2021. gadā nemainītos, jo aizņemšanos neietekmētu, 2022</w:t>
      </w:r>
      <w:r w:rsidR="00792CED">
        <w:rPr>
          <w:rFonts w:ascii="Times New Roman" w:eastAsia="Times New Roman" w:hAnsi="Times New Roman" w:cs="Times New Roman"/>
          <w:noProof/>
          <w:color w:val="000000"/>
          <w:sz w:val="28"/>
          <w:szCs w:val="24"/>
        </w:rPr>
        <w:t>.</w:t>
      </w:r>
      <w:r w:rsidRPr="00294F87">
        <w:rPr>
          <w:rFonts w:ascii="Times New Roman" w:eastAsia="Times New Roman" w:hAnsi="Times New Roman" w:cs="Times New Roman"/>
          <w:noProof/>
          <w:color w:val="000000"/>
          <w:sz w:val="28"/>
          <w:szCs w:val="24"/>
        </w:rPr>
        <w:t xml:space="preserve">gadā izdevumi būtu par 10,3 milj. </w:t>
      </w:r>
      <w:r w:rsidRPr="00294F87">
        <w:rPr>
          <w:rFonts w:ascii="Times New Roman" w:eastAsia="Times New Roman" w:hAnsi="Times New Roman" w:cs="Times New Roman"/>
          <w:i/>
          <w:noProof/>
          <w:color w:val="000000"/>
          <w:sz w:val="28"/>
          <w:szCs w:val="24"/>
        </w:rPr>
        <w:t>euro</w:t>
      </w:r>
      <w:r w:rsidRPr="00294F87">
        <w:rPr>
          <w:rFonts w:ascii="Times New Roman" w:eastAsia="Times New Roman" w:hAnsi="Times New Roman" w:cs="Times New Roman"/>
          <w:noProof/>
          <w:color w:val="000000"/>
          <w:sz w:val="28"/>
          <w:szCs w:val="24"/>
        </w:rPr>
        <w:t xml:space="preserve"> lielāki, bet 2023</w:t>
      </w:r>
      <w:r w:rsidR="00792CED">
        <w:rPr>
          <w:rFonts w:ascii="Times New Roman" w:eastAsia="Times New Roman" w:hAnsi="Times New Roman" w:cs="Times New Roman"/>
          <w:noProof/>
          <w:color w:val="000000"/>
          <w:sz w:val="28"/>
          <w:szCs w:val="24"/>
        </w:rPr>
        <w:t>.</w:t>
      </w:r>
      <w:r w:rsidRPr="00294F87">
        <w:rPr>
          <w:rFonts w:ascii="Times New Roman" w:eastAsia="Times New Roman" w:hAnsi="Times New Roman" w:cs="Times New Roman"/>
          <w:noProof/>
          <w:color w:val="000000"/>
          <w:sz w:val="28"/>
          <w:szCs w:val="24"/>
        </w:rPr>
        <w:t xml:space="preserve">gadā par 15,7 milj. </w:t>
      </w:r>
      <w:r w:rsidRPr="00294F87">
        <w:rPr>
          <w:rFonts w:ascii="Times New Roman" w:eastAsia="Times New Roman" w:hAnsi="Times New Roman" w:cs="Times New Roman"/>
          <w:i/>
          <w:noProof/>
          <w:color w:val="000000"/>
          <w:sz w:val="28"/>
          <w:szCs w:val="24"/>
        </w:rPr>
        <w:t>euro</w:t>
      </w:r>
      <w:r w:rsidRPr="00294F87">
        <w:rPr>
          <w:rFonts w:ascii="Times New Roman" w:eastAsia="Times New Roman" w:hAnsi="Times New Roman" w:cs="Times New Roman"/>
          <w:noProof/>
          <w:color w:val="000000"/>
          <w:sz w:val="28"/>
          <w:szCs w:val="24"/>
        </w:rPr>
        <w:t xml:space="preserve"> lielāki nekā bāzes scenārijā. Savukārt procentu likmei par vienu procentpuktu samazinoties, izdevumi 2021. gadā nemainītos, 2022</w:t>
      </w:r>
      <w:r w:rsidR="00792CED">
        <w:rPr>
          <w:rFonts w:ascii="Times New Roman" w:eastAsia="Times New Roman" w:hAnsi="Times New Roman" w:cs="Times New Roman"/>
          <w:noProof/>
          <w:color w:val="000000"/>
          <w:sz w:val="28"/>
          <w:szCs w:val="24"/>
        </w:rPr>
        <w:t>.</w:t>
      </w:r>
      <w:r w:rsidRPr="00294F87">
        <w:rPr>
          <w:rFonts w:ascii="Times New Roman" w:eastAsia="Times New Roman" w:hAnsi="Times New Roman" w:cs="Times New Roman"/>
          <w:noProof/>
          <w:color w:val="000000"/>
          <w:sz w:val="28"/>
          <w:szCs w:val="24"/>
        </w:rPr>
        <w:t xml:space="preserve">gadā izdevumi būtu par 9,6 milj. </w:t>
      </w:r>
      <w:r w:rsidRPr="00294F87">
        <w:rPr>
          <w:rFonts w:ascii="Times New Roman" w:eastAsia="Times New Roman" w:hAnsi="Times New Roman" w:cs="Times New Roman"/>
          <w:i/>
          <w:noProof/>
          <w:color w:val="000000"/>
          <w:sz w:val="28"/>
          <w:szCs w:val="24"/>
        </w:rPr>
        <w:t>euro</w:t>
      </w:r>
      <w:r w:rsidRPr="00294F87">
        <w:rPr>
          <w:rFonts w:ascii="Times New Roman" w:eastAsia="Times New Roman" w:hAnsi="Times New Roman" w:cs="Times New Roman"/>
          <w:noProof/>
          <w:color w:val="000000"/>
          <w:sz w:val="28"/>
          <w:szCs w:val="24"/>
        </w:rPr>
        <w:t xml:space="preserve"> un 2023</w:t>
      </w:r>
      <w:r w:rsidR="00792CED">
        <w:rPr>
          <w:rFonts w:ascii="Times New Roman" w:eastAsia="Times New Roman" w:hAnsi="Times New Roman" w:cs="Times New Roman"/>
          <w:noProof/>
          <w:color w:val="000000"/>
          <w:sz w:val="28"/>
          <w:szCs w:val="24"/>
        </w:rPr>
        <w:t>.</w:t>
      </w:r>
      <w:r w:rsidRPr="00294F87">
        <w:rPr>
          <w:rFonts w:ascii="Times New Roman" w:eastAsia="Times New Roman" w:hAnsi="Times New Roman" w:cs="Times New Roman"/>
          <w:noProof/>
          <w:color w:val="000000"/>
          <w:sz w:val="28"/>
          <w:szCs w:val="24"/>
        </w:rPr>
        <w:t xml:space="preserve">gadā par 15,3 milj. </w:t>
      </w:r>
      <w:r w:rsidRPr="00294F87">
        <w:rPr>
          <w:rFonts w:ascii="Times New Roman" w:eastAsia="Times New Roman" w:hAnsi="Times New Roman" w:cs="Times New Roman"/>
          <w:i/>
          <w:noProof/>
          <w:color w:val="000000"/>
          <w:sz w:val="28"/>
          <w:szCs w:val="24"/>
        </w:rPr>
        <w:t>euro</w:t>
      </w:r>
      <w:r w:rsidRPr="00294F87">
        <w:rPr>
          <w:rFonts w:ascii="Times New Roman" w:eastAsia="Times New Roman" w:hAnsi="Times New Roman" w:cs="Times New Roman"/>
          <w:noProof/>
          <w:color w:val="000000"/>
          <w:sz w:val="28"/>
          <w:szCs w:val="24"/>
        </w:rPr>
        <w:t xml:space="preserve"> mazāki nekā bāzes scenārijā.</w:t>
      </w:r>
    </w:p>
    <w:p w14:paraId="613B3254" w14:textId="5059663D" w:rsidR="003F3FCD" w:rsidRPr="00186BB3" w:rsidRDefault="000548A5" w:rsidP="00FB2B77">
      <w:pPr>
        <w:pStyle w:val="Heading3"/>
        <w:numPr>
          <w:ilvl w:val="2"/>
          <w:numId w:val="59"/>
        </w:numPr>
      </w:pPr>
      <w:bookmarkStart w:id="43" w:name="_Toc53154096"/>
      <w:r w:rsidRPr="00186BB3">
        <w:t>Pesimistiskais scenārijs</w:t>
      </w:r>
      <w:bookmarkEnd w:id="43"/>
    </w:p>
    <w:p w14:paraId="3706AA04" w14:textId="77777777" w:rsidR="002808B3" w:rsidRPr="002808B3" w:rsidRDefault="002808B3" w:rsidP="00401A5B"/>
    <w:p w14:paraId="455CA86F" w14:textId="77777777" w:rsidR="00186BB3" w:rsidRPr="00186BB3" w:rsidRDefault="00186BB3" w:rsidP="00401A5B">
      <w:pPr>
        <w:autoSpaceDE w:val="0"/>
        <w:autoSpaceDN w:val="0"/>
        <w:adjustRightInd w:val="0"/>
        <w:ind w:firstLine="720"/>
        <w:jc w:val="both"/>
        <w:rPr>
          <w:rFonts w:ascii="Times New Roman" w:eastAsia="Times New Roman" w:hAnsi="Times New Roman" w:cs="Times New Roman"/>
          <w:color w:val="000000"/>
          <w:sz w:val="28"/>
          <w:szCs w:val="28"/>
        </w:rPr>
      </w:pPr>
      <w:r w:rsidRPr="00186BB3">
        <w:rPr>
          <w:rFonts w:ascii="Times New Roman" w:eastAsia="Times New Roman" w:hAnsi="Times New Roman" w:cs="Times New Roman"/>
          <w:color w:val="000000"/>
          <w:sz w:val="28"/>
          <w:szCs w:val="28"/>
        </w:rPr>
        <w:t>Ja makroekonomiskās attīstības scenārija negatīvie riski īstenojas, koronavīrusa izplatības ierobežošana ieilgst vai tiek piedzīvots jauns spēcīgs slimības vilnis, IKP un nodarbinātības rādītāju kritums būs straujāks, nekā paredzēts makroekonomiskās attīstības scenārijā. Šajā scenārijā pieņemts, ka Latvija 2020.gada ceturtajā ceturksnī piedzīvo jaunu, smagu Covid-19 uzliesmojumu, kura apturēšanai nepieciešami jauni ierobežojošie pasākumi, kas var būt arī stingrāki nekā otrajā ceturksnī noteiktie.</w:t>
      </w:r>
    </w:p>
    <w:p w14:paraId="0EB67747" w14:textId="77777777" w:rsidR="00186BB3" w:rsidRPr="00186BB3" w:rsidRDefault="00186BB3" w:rsidP="00401A5B">
      <w:pPr>
        <w:autoSpaceDE w:val="0"/>
        <w:autoSpaceDN w:val="0"/>
        <w:adjustRightInd w:val="0"/>
        <w:ind w:firstLine="720"/>
        <w:jc w:val="both"/>
        <w:rPr>
          <w:rFonts w:ascii="Times New Roman" w:eastAsia="Times New Roman" w:hAnsi="Times New Roman" w:cs="Times New Roman"/>
          <w:color w:val="000000"/>
          <w:sz w:val="28"/>
          <w:szCs w:val="28"/>
        </w:rPr>
      </w:pPr>
      <w:r w:rsidRPr="00186BB3">
        <w:rPr>
          <w:rFonts w:ascii="Times New Roman" w:eastAsia="Times New Roman" w:hAnsi="Times New Roman" w:cs="Times New Roman"/>
          <w:color w:val="000000"/>
          <w:sz w:val="28"/>
          <w:szCs w:val="28"/>
        </w:rPr>
        <w:t>Ekonomikas lejupslīdei 2020.gada ceturtajā ceturksnī gada griezumā uzrādot aptuveni tādu pašu kritumu kā otrajā ceturksnī, strauji sarūkot pakalpojumu nozaru kā izmitināšana un ēdināšana, māksla, izklaide un atpūta, transports pievienotās vērtības apjoma, 2020.gadā kopā iekšzemes kopprodukts var samazināties par 9,0%, kas ir par diviem procentpunktiem straujāks kritums nekā paredzēts pamata scenārijā. Vēl lielāka negatīvā ietekme gaidāma 2021.gadā, kad IKP pieaugums būs par 3,1 procentpunktu zemāks nekā pamata scenārijā, savukārt nākamajos divos gados ekonomiskās izaugsmes tempu atjaunošanās notiks straujāk un IKP palielināsies attiecīgi par 4,6% 2022.gadā un 3,2% 2023.gadā.</w:t>
      </w:r>
    </w:p>
    <w:p w14:paraId="090AA72D" w14:textId="1A7A06E6" w:rsidR="00186BB3" w:rsidRPr="00186BB3" w:rsidRDefault="00186BB3" w:rsidP="00401A5B">
      <w:pPr>
        <w:autoSpaceDE w:val="0"/>
        <w:autoSpaceDN w:val="0"/>
        <w:adjustRightInd w:val="0"/>
        <w:ind w:firstLine="720"/>
        <w:jc w:val="both"/>
        <w:rPr>
          <w:rFonts w:ascii="Times New Roman" w:eastAsia="Times New Roman" w:hAnsi="Times New Roman" w:cs="Times New Roman"/>
          <w:color w:val="000000"/>
          <w:sz w:val="28"/>
          <w:szCs w:val="28"/>
        </w:rPr>
      </w:pPr>
      <w:r w:rsidRPr="00186BB3">
        <w:rPr>
          <w:rFonts w:ascii="Times New Roman" w:eastAsia="Times New Roman" w:hAnsi="Times New Roman" w:cs="Times New Roman"/>
          <w:color w:val="000000"/>
          <w:sz w:val="28"/>
          <w:szCs w:val="28"/>
        </w:rPr>
        <w:t>Arī darba tirgū lielākā negatīvā ietekme būs jūtama 2021.gadā, kad bezdarba līmenis negatīvā scenārija īstenošanās gadījumā būs par 2,1 procentpunktu augstāks nekā paredzēts pamata scenārijā – 11,9%, kamēr  2020.gadā ietekme uz bezdarba līmeni prognozēta 0,3 procentpunktu apmērā, bezdarba līmenim sasniedzot 10,8%. Līdzīgi tautsaimniecībā nodarbināto iedzīvotāju skaits 2020.gadā prognozēts par trim tūkst</w:t>
      </w:r>
      <w:r>
        <w:rPr>
          <w:rFonts w:ascii="Times New Roman" w:eastAsia="Times New Roman" w:hAnsi="Times New Roman" w:cs="Times New Roman"/>
          <w:color w:val="000000"/>
          <w:sz w:val="28"/>
          <w:szCs w:val="28"/>
        </w:rPr>
        <w:t>.</w:t>
      </w:r>
      <w:r w:rsidRPr="00186BB3">
        <w:rPr>
          <w:rFonts w:ascii="Times New Roman" w:eastAsia="Times New Roman" w:hAnsi="Times New Roman" w:cs="Times New Roman"/>
          <w:color w:val="000000"/>
          <w:sz w:val="28"/>
          <w:szCs w:val="28"/>
        </w:rPr>
        <w:t xml:space="preserve"> zemāks, bet 2021.gadā – par 20 tūkst</w:t>
      </w:r>
      <w:r>
        <w:rPr>
          <w:rFonts w:ascii="Times New Roman" w:eastAsia="Times New Roman" w:hAnsi="Times New Roman" w:cs="Times New Roman"/>
          <w:color w:val="000000"/>
          <w:sz w:val="28"/>
          <w:szCs w:val="28"/>
        </w:rPr>
        <w:t>.</w:t>
      </w:r>
      <w:r w:rsidRPr="00186BB3">
        <w:rPr>
          <w:rFonts w:ascii="Times New Roman" w:eastAsia="Times New Roman" w:hAnsi="Times New Roman" w:cs="Times New Roman"/>
          <w:color w:val="000000"/>
          <w:sz w:val="28"/>
          <w:szCs w:val="28"/>
        </w:rPr>
        <w:t xml:space="preserve"> zemāks nekā pamata scenārijā.</w:t>
      </w:r>
    </w:p>
    <w:p w14:paraId="78BC2EA7" w14:textId="0BB92ED8" w:rsidR="00186BB3" w:rsidRDefault="00186BB3" w:rsidP="00401A5B">
      <w:pPr>
        <w:autoSpaceDE w:val="0"/>
        <w:autoSpaceDN w:val="0"/>
        <w:adjustRightInd w:val="0"/>
        <w:ind w:firstLine="720"/>
        <w:jc w:val="both"/>
        <w:rPr>
          <w:rFonts w:ascii="Times New Roman" w:eastAsia="Times New Roman" w:hAnsi="Times New Roman" w:cs="Times New Roman"/>
          <w:color w:val="000000"/>
          <w:sz w:val="28"/>
          <w:szCs w:val="28"/>
        </w:rPr>
      </w:pPr>
      <w:r w:rsidRPr="00186BB3">
        <w:rPr>
          <w:rFonts w:ascii="Times New Roman" w:eastAsia="Times New Roman" w:hAnsi="Times New Roman" w:cs="Times New Roman"/>
          <w:color w:val="000000"/>
          <w:sz w:val="28"/>
          <w:szCs w:val="28"/>
        </w:rPr>
        <w:t>Inflācijas līmenis, Latvijai piedzīvojot Covid-19 otro vilni, 2020.gadā varētu būt par 0,1 procentpunktu un 2021.gadā par 0,7 procentpunktiem zemāks nekā pamata scen</w:t>
      </w:r>
      <w:r>
        <w:rPr>
          <w:rFonts w:ascii="Times New Roman" w:eastAsia="Times New Roman" w:hAnsi="Times New Roman" w:cs="Times New Roman"/>
          <w:color w:val="000000"/>
          <w:sz w:val="28"/>
          <w:szCs w:val="28"/>
        </w:rPr>
        <w:t>ārijā, - attiecīgi 0,1% un 0,5% (skat. 1.9.tabulu).</w:t>
      </w:r>
    </w:p>
    <w:p w14:paraId="5A46DAFA" w14:textId="77777777" w:rsidR="00322C7C" w:rsidRPr="00186BB3" w:rsidRDefault="00322C7C" w:rsidP="00401A5B">
      <w:pPr>
        <w:autoSpaceDE w:val="0"/>
        <w:autoSpaceDN w:val="0"/>
        <w:adjustRightInd w:val="0"/>
        <w:ind w:firstLine="720"/>
        <w:jc w:val="both"/>
        <w:rPr>
          <w:rFonts w:ascii="Times New Roman" w:eastAsia="Times New Roman" w:hAnsi="Times New Roman" w:cs="Times New Roman"/>
          <w:color w:val="000000"/>
          <w:sz w:val="28"/>
          <w:szCs w:val="28"/>
        </w:rPr>
      </w:pPr>
    </w:p>
    <w:p w14:paraId="6656BD8B" w14:textId="5D356A5E" w:rsidR="00186BB3" w:rsidRPr="00186BB3" w:rsidRDefault="00186BB3" w:rsidP="00401A5B">
      <w:pPr>
        <w:keepNext/>
        <w:jc w:val="right"/>
        <w:rPr>
          <w:rFonts w:ascii="Times New Roman" w:eastAsiaTheme="minorHAnsi" w:hAnsi="Times New Roman" w:cs="Times New Roman"/>
          <w:b/>
          <w:i/>
          <w:sz w:val="24"/>
          <w:szCs w:val="24"/>
          <w:lang w:eastAsia="en-US"/>
        </w:rPr>
      </w:pPr>
      <w:r w:rsidRPr="00186BB3">
        <w:rPr>
          <w:rFonts w:ascii="Times New Roman" w:eastAsiaTheme="minorHAnsi" w:hAnsi="Times New Roman" w:cs="Times New Roman"/>
          <w:b/>
          <w:i/>
          <w:sz w:val="24"/>
          <w:szCs w:val="24"/>
          <w:lang w:eastAsia="en-US"/>
        </w:rPr>
        <w:t>1.</w:t>
      </w:r>
      <w:r>
        <w:rPr>
          <w:rFonts w:ascii="Times New Roman" w:eastAsiaTheme="minorHAnsi" w:hAnsi="Times New Roman" w:cs="Times New Roman"/>
          <w:b/>
          <w:i/>
          <w:sz w:val="24"/>
          <w:szCs w:val="24"/>
          <w:lang w:eastAsia="en-US"/>
        </w:rPr>
        <w:t>9</w:t>
      </w:r>
      <w:r w:rsidRPr="00186BB3">
        <w:rPr>
          <w:rFonts w:ascii="Times New Roman" w:eastAsiaTheme="minorHAnsi" w:hAnsi="Times New Roman" w:cs="Times New Roman"/>
          <w:b/>
          <w:i/>
          <w:sz w:val="24"/>
          <w:szCs w:val="24"/>
          <w:lang w:eastAsia="en-US"/>
        </w:rPr>
        <w:t>. tabula. Pesimistiskais makroekonomisko rādītāju attīstības scenārijs</w:t>
      </w:r>
    </w:p>
    <w:tbl>
      <w:tblPr>
        <w:tblW w:w="8926" w:type="dxa"/>
        <w:jc w:val="center"/>
        <w:shd w:val="clear" w:color="auto" w:fill="FFFFFF" w:themeFill="background1"/>
        <w:tblLayout w:type="fixed"/>
        <w:tblLook w:val="04A0" w:firstRow="1" w:lastRow="0" w:firstColumn="1" w:lastColumn="0" w:noHBand="0" w:noVBand="1"/>
      </w:tblPr>
      <w:tblGrid>
        <w:gridCol w:w="3539"/>
        <w:gridCol w:w="1134"/>
        <w:gridCol w:w="1134"/>
        <w:gridCol w:w="992"/>
        <w:gridCol w:w="993"/>
        <w:gridCol w:w="1134"/>
      </w:tblGrid>
      <w:tr w:rsidR="00186BB3" w:rsidRPr="00186BB3" w14:paraId="4D639102" w14:textId="77777777" w:rsidTr="00792CED">
        <w:trPr>
          <w:trHeight w:val="300"/>
          <w:jc w:val="center"/>
        </w:trPr>
        <w:tc>
          <w:tcPr>
            <w:tcW w:w="35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8B26785" w14:textId="77777777" w:rsidR="00186BB3" w:rsidRPr="00186BB3" w:rsidRDefault="00186BB3" w:rsidP="00401A5B">
            <w:pPr>
              <w:jc w:val="center"/>
              <w:rPr>
                <w:rFonts w:ascii="Times New Roman" w:eastAsia="Calibri" w:hAnsi="Times New Roman" w:cs="Times New Roman"/>
                <w:b/>
                <w:sz w:val="20"/>
                <w:szCs w:val="20"/>
              </w:rPr>
            </w:pP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F3A33FA"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2019</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6E8F5C8"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2020</w:t>
            </w:r>
          </w:p>
        </w:tc>
        <w:tc>
          <w:tcPr>
            <w:tcW w:w="992"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229CC14"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2021</w:t>
            </w:r>
          </w:p>
        </w:tc>
        <w:tc>
          <w:tcPr>
            <w:tcW w:w="993"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886ED9C"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2022</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B566B6A" w14:textId="77777777" w:rsidR="00186BB3" w:rsidRPr="00186BB3" w:rsidRDefault="00186BB3" w:rsidP="00401A5B">
            <w:pPr>
              <w:jc w:val="center"/>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2023</w:t>
            </w:r>
          </w:p>
        </w:tc>
      </w:tr>
      <w:tr w:rsidR="00186BB3" w:rsidRPr="00186BB3" w14:paraId="3F15B84F" w14:textId="77777777" w:rsidTr="00792CED">
        <w:trPr>
          <w:trHeight w:val="300"/>
          <w:jc w:val="center"/>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BEC8D9" w14:textId="77777777" w:rsidR="00186BB3" w:rsidRPr="00186BB3" w:rsidRDefault="00186BB3" w:rsidP="00401A5B">
            <w:pPr>
              <w:jc w:val="center"/>
              <w:rPr>
                <w:rFonts w:ascii="Times New Roman" w:eastAsia="Calibri" w:hAnsi="Times New Roman" w:cs="Times New Roman"/>
                <w:b/>
                <w:sz w:val="20"/>
                <w:szCs w:val="2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552C25D7" w14:textId="77777777" w:rsidR="00186BB3" w:rsidRPr="00186BB3" w:rsidRDefault="00186BB3" w:rsidP="00401A5B">
            <w:pPr>
              <w:jc w:val="center"/>
              <w:rPr>
                <w:rFonts w:ascii="Times New Roman" w:eastAsia="Calibri" w:hAnsi="Times New Roman" w:cs="Times New Roman"/>
                <w:sz w:val="20"/>
                <w:szCs w:val="20"/>
              </w:rPr>
            </w:pPr>
            <w:r w:rsidRPr="00186BB3">
              <w:rPr>
                <w:rFonts w:ascii="Times New Roman" w:eastAsia="Calibri" w:hAnsi="Times New Roman" w:cs="Times New Roman"/>
                <w:sz w:val="20"/>
                <w:szCs w:val="20"/>
              </w:rPr>
              <w:t>fakts</w:t>
            </w:r>
          </w:p>
        </w:tc>
        <w:tc>
          <w:tcPr>
            <w:tcW w:w="4253" w:type="dxa"/>
            <w:gridSpan w:val="4"/>
            <w:tcBorders>
              <w:top w:val="single" w:sz="4" w:space="0" w:color="auto"/>
              <w:left w:val="nil"/>
              <w:bottom w:val="single" w:sz="4" w:space="0" w:color="auto"/>
              <w:right w:val="single" w:sz="4" w:space="0" w:color="auto"/>
            </w:tcBorders>
            <w:shd w:val="clear" w:color="auto" w:fill="FFFFFF" w:themeFill="background1"/>
            <w:noWrap/>
            <w:vAlign w:val="center"/>
          </w:tcPr>
          <w:p w14:paraId="19B4906F" w14:textId="77777777" w:rsidR="00186BB3" w:rsidRPr="00186BB3" w:rsidRDefault="00186BB3" w:rsidP="00401A5B">
            <w:pPr>
              <w:jc w:val="center"/>
              <w:rPr>
                <w:rFonts w:ascii="Times New Roman" w:eastAsia="Calibri" w:hAnsi="Times New Roman" w:cs="Times New Roman"/>
                <w:sz w:val="20"/>
                <w:szCs w:val="20"/>
              </w:rPr>
            </w:pPr>
            <w:r w:rsidRPr="00186BB3">
              <w:rPr>
                <w:rFonts w:ascii="Times New Roman" w:eastAsia="Calibri" w:hAnsi="Times New Roman" w:cs="Times New Roman"/>
                <w:sz w:val="20"/>
                <w:szCs w:val="20"/>
              </w:rPr>
              <w:t>prognoze</w:t>
            </w:r>
          </w:p>
        </w:tc>
      </w:tr>
      <w:tr w:rsidR="00186BB3" w:rsidRPr="00186BB3" w14:paraId="4E139C52" w14:textId="77777777" w:rsidTr="00792CED">
        <w:trPr>
          <w:trHeight w:val="300"/>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4C7B34"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 xml:space="preserve">Iekšzemes kopprodukts (IKP), </w:t>
            </w:r>
            <w:r w:rsidRPr="00186BB3">
              <w:rPr>
                <w:rFonts w:ascii="Times New Roman" w:eastAsia="Calibri" w:hAnsi="Times New Roman" w:cs="Times New Roman"/>
                <w:b/>
                <w:sz w:val="20"/>
                <w:szCs w:val="20"/>
              </w:rPr>
              <w:br/>
              <w:t xml:space="preserve">milj. </w:t>
            </w:r>
            <w:r w:rsidRPr="00186BB3">
              <w:rPr>
                <w:rFonts w:ascii="Times New Roman" w:eastAsia="Calibri" w:hAnsi="Times New Roman" w:cs="Times New Roman"/>
                <w:b/>
                <w:i/>
                <w:sz w:val="20"/>
                <w:szCs w:val="20"/>
              </w:rPr>
              <w:t>euro</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741F3ED2"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lang w:eastAsia="en-US"/>
              </w:rPr>
              <w:t>30 463</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DBA02AF"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27 587</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405F248"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28 390</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432C6DA0"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30 154</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A76792E"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31 734</w:t>
            </w:r>
          </w:p>
        </w:tc>
      </w:tr>
      <w:tr w:rsidR="00186BB3" w:rsidRPr="00186BB3" w14:paraId="4C7B04CF" w14:textId="77777777" w:rsidTr="00792CED">
        <w:trPr>
          <w:trHeight w:val="300"/>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60E1FC"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faktiskajās cenās, %</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CCA6579"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lang w:eastAsia="en-US"/>
              </w:rPr>
              <w:t>4,5</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BA3C67F"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-9,4</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3502D36C"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2,9</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4875B58B"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6,2</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6C27122"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5,2</w:t>
            </w:r>
          </w:p>
        </w:tc>
      </w:tr>
      <w:tr w:rsidR="00186BB3" w:rsidRPr="00186BB3" w14:paraId="03DEE4AA" w14:textId="77777777" w:rsidTr="00792CED">
        <w:trPr>
          <w:trHeight w:val="300"/>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7462C6"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salīdzināmās cenās, %</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9FE1D25"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lang w:eastAsia="en-US"/>
              </w:rPr>
              <w:t>2,1</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4B0FEC5"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-9,0</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52A7561"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2,0</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8E5CB5B"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4,6</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42B70F9D"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3,2</w:t>
            </w:r>
          </w:p>
        </w:tc>
      </w:tr>
      <w:tr w:rsidR="00186BB3" w:rsidRPr="00186BB3" w14:paraId="6C50FD8E" w14:textId="77777777" w:rsidTr="00792CED">
        <w:trPr>
          <w:trHeight w:val="434"/>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F6ED15"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IKP deflators (gads pret gadu), %</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3F1EF42"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2,6</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3748C66"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-0,5</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93ADB3B"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0,9</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1F9266C"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1,6</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E43DBB8"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w:t>
            </w:r>
          </w:p>
        </w:tc>
      </w:tr>
      <w:tr w:rsidR="00186BB3" w:rsidRPr="00186BB3" w14:paraId="3C51B0FC" w14:textId="77777777" w:rsidTr="00792CED">
        <w:trPr>
          <w:trHeight w:val="300"/>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1C1702"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PCI (gads pret gadu), %</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2ABB39F"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2,8</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30169309"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0,1</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D13838D"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0,5</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20AABCC6"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1,2</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118B7D8"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2,0</w:t>
            </w:r>
          </w:p>
        </w:tc>
      </w:tr>
      <w:tr w:rsidR="00186BB3" w:rsidRPr="00186BB3" w14:paraId="2C260D5D" w14:textId="77777777" w:rsidTr="00792CED">
        <w:trPr>
          <w:trHeight w:val="600"/>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FF9362"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 xml:space="preserve">Tautsaimniecībā nodarbināto mēn. vid. bruto darba samaksa, </w:t>
            </w:r>
            <w:r w:rsidRPr="00186BB3">
              <w:rPr>
                <w:rFonts w:ascii="Times New Roman" w:eastAsia="Calibri" w:hAnsi="Times New Roman" w:cs="Times New Roman"/>
                <w:b/>
                <w:i/>
                <w:sz w:val="20"/>
                <w:szCs w:val="20"/>
              </w:rPr>
              <w:t>euro</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7BC5D64A"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1 076</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FBABDDB"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1 065</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A1266D4"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1 076</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EFFBEFC"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1 130</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44EBFF0"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1 186</w:t>
            </w:r>
          </w:p>
        </w:tc>
      </w:tr>
      <w:tr w:rsidR="00186BB3" w:rsidRPr="00186BB3" w14:paraId="1A080EAA" w14:textId="77777777" w:rsidTr="00792CED">
        <w:trPr>
          <w:trHeight w:val="300"/>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DB84F2"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faktiskajās cenās, %</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28821C9"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7,2</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B850F1D"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-1,0</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AA17F02"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1,0</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09267C4"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5,0</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BA37D3C"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5,0</w:t>
            </w:r>
          </w:p>
        </w:tc>
      </w:tr>
      <w:tr w:rsidR="00186BB3" w:rsidRPr="00186BB3" w14:paraId="3371A893" w14:textId="77777777" w:rsidTr="00792CED">
        <w:trPr>
          <w:trHeight w:val="300"/>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2740A6"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salīdzināmās cenās, %</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76E7FAED"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4,2</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3C925DB8"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-1,1</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6222CFD"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0,5</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7824DB3F"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3,8</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38FBEAF6"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2,9</w:t>
            </w:r>
          </w:p>
        </w:tc>
      </w:tr>
      <w:tr w:rsidR="00186BB3" w:rsidRPr="00186BB3" w14:paraId="189A2EB8" w14:textId="77777777" w:rsidTr="00792CED">
        <w:trPr>
          <w:trHeight w:val="600"/>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5CD4A3"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Nodarbinātība, tūkst. iedzīvotāju (atbilstoši darbaspēka apsekojumiem)</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465644C3"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910</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7698B49E"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867</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B56120D"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855</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FFF51EB"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875</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50F66C00"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883</w:t>
            </w:r>
          </w:p>
        </w:tc>
      </w:tr>
      <w:tr w:rsidR="00186BB3" w:rsidRPr="00186BB3" w14:paraId="24C66AE2" w14:textId="77777777" w:rsidTr="00792CED">
        <w:trPr>
          <w:trHeight w:val="300"/>
          <w:jc w:val="center"/>
        </w:trPr>
        <w:tc>
          <w:tcPr>
            <w:tcW w:w="35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FEFFD7" w14:textId="77777777" w:rsidR="00186BB3" w:rsidRPr="00186BB3" w:rsidRDefault="00186BB3" w:rsidP="00401A5B">
            <w:pPr>
              <w:rPr>
                <w:rFonts w:ascii="Times New Roman" w:eastAsia="Calibri" w:hAnsi="Times New Roman" w:cs="Times New Roman"/>
                <w:sz w:val="20"/>
                <w:szCs w:val="20"/>
              </w:rPr>
            </w:pPr>
            <w:r w:rsidRPr="00186BB3">
              <w:rPr>
                <w:rFonts w:ascii="Times New Roman" w:eastAsia="Calibri" w:hAnsi="Times New Roman" w:cs="Times New Roman"/>
                <w:sz w:val="20"/>
                <w:szCs w:val="20"/>
              </w:rPr>
              <w:t>pieaugums, %</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6AA9C161"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0,1</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D6CA432"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-4,7</w:t>
            </w:r>
          </w:p>
        </w:tc>
        <w:tc>
          <w:tcPr>
            <w:tcW w:w="992"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BE3D29B"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-1,4</w:t>
            </w:r>
          </w:p>
        </w:tc>
        <w:tc>
          <w:tcPr>
            <w:tcW w:w="993"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0E133FE1"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2,3</w:t>
            </w:r>
          </w:p>
        </w:tc>
        <w:tc>
          <w:tcPr>
            <w:tcW w:w="1134" w:type="dxa"/>
            <w:tcBorders>
              <w:top w:val="nil"/>
              <w:left w:val="nil"/>
              <w:bottom w:val="single" w:sz="4" w:space="0" w:color="auto"/>
              <w:right w:val="single" w:sz="4" w:space="0" w:color="auto"/>
            </w:tcBorders>
            <w:shd w:val="clear" w:color="auto" w:fill="FFFFFF" w:themeFill="background1"/>
            <w:noWrap/>
            <w:tcMar>
              <w:right w:w="170" w:type="dxa"/>
            </w:tcMar>
            <w:vAlign w:val="center"/>
          </w:tcPr>
          <w:p w14:paraId="13865DBA" w14:textId="77777777" w:rsidR="00186BB3" w:rsidRPr="00186BB3" w:rsidRDefault="00186BB3" w:rsidP="00401A5B">
            <w:pPr>
              <w:jc w:val="right"/>
              <w:rPr>
                <w:rFonts w:ascii="Times New Roman" w:eastAsia="Calibri" w:hAnsi="Times New Roman" w:cs="Times New Roman"/>
                <w:sz w:val="20"/>
                <w:szCs w:val="20"/>
              </w:rPr>
            </w:pPr>
            <w:r w:rsidRPr="00186BB3">
              <w:rPr>
                <w:rFonts w:ascii="Times New Roman" w:eastAsia="Calibri" w:hAnsi="Times New Roman" w:cs="Times New Roman"/>
                <w:sz w:val="20"/>
                <w:szCs w:val="20"/>
              </w:rPr>
              <w:t>0,9</w:t>
            </w:r>
          </w:p>
        </w:tc>
      </w:tr>
      <w:tr w:rsidR="00186BB3" w:rsidRPr="00186BB3" w14:paraId="1D15D0C0" w14:textId="77777777" w:rsidTr="00792CED">
        <w:trPr>
          <w:trHeight w:val="300"/>
          <w:jc w:val="center"/>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FF306C" w14:textId="77777777" w:rsidR="00186BB3" w:rsidRPr="00186BB3" w:rsidRDefault="00186BB3" w:rsidP="00401A5B">
            <w:pPr>
              <w:rPr>
                <w:rFonts w:ascii="Times New Roman" w:eastAsia="Calibri" w:hAnsi="Times New Roman" w:cs="Times New Roman"/>
                <w:b/>
                <w:sz w:val="20"/>
                <w:szCs w:val="20"/>
              </w:rPr>
            </w:pPr>
            <w:r w:rsidRPr="00186BB3">
              <w:rPr>
                <w:rFonts w:ascii="Times New Roman" w:eastAsia="Calibri" w:hAnsi="Times New Roman" w:cs="Times New Roman"/>
                <w:b/>
                <w:sz w:val="20"/>
                <w:szCs w:val="20"/>
              </w:rPr>
              <w:t>Bezdarba līmenis (gada vidējais),</w:t>
            </w:r>
            <w:r w:rsidRPr="00186BB3">
              <w:rPr>
                <w:rFonts w:ascii="Times New Roman" w:eastAsia="Calibri" w:hAnsi="Times New Roman" w:cs="Times New Roman"/>
                <w:b/>
                <w:sz w:val="20"/>
                <w:szCs w:val="20"/>
              </w:rPr>
              <w:br/>
              <w:t>% no ekon. aktīviem iedzīv.</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5AF194A5"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6,3</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00E07010"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10,8</w:t>
            </w:r>
          </w:p>
        </w:tc>
        <w:tc>
          <w:tcPr>
            <w:tcW w:w="992"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3D37BB6D"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11,9</w:t>
            </w:r>
          </w:p>
        </w:tc>
        <w:tc>
          <w:tcPr>
            <w:tcW w:w="993"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1E1E257C"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9,1</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right w:w="170" w:type="dxa"/>
            </w:tcMar>
            <w:vAlign w:val="center"/>
          </w:tcPr>
          <w:p w14:paraId="0590BFAC" w14:textId="77777777" w:rsidR="00186BB3" w:rsidRPr="00186BB3" w:rsidRDefault="00186BB3" w:rsidP="00401A5B">
            <w:pPr>
              <w:jc w:val="right"/>
              <w:rPr>
                <w:rFonts w:ascii="Times New Roman" w:eastAsia="Calibri" w:hAnsi="Times New Roman" w:cs="Times New Roman"/>
                <w:b/>
                <w:sz w:val="20"/>
                <w:szCs w:val="20"/>
              </w:rPr>
            </w:pPr>
            <w:r w:rsidRPr="00186BB3">
              <w:rPr>
                <w:rFonts w:ascii="Times New Roman" w:eastAsia="Calibri" w:hAnsi="Times New Roman" w:cs="Times New Roman"/>
                <w:b/>
                <w:sz w:val="20"/>
                <w:szCs w:val="20"/>
              </w:rPr>
              <w:t>7,4</w:t>
            </w:r>
          </w:p>
        </w:tc>
      </w:tr>
    </w:tbl>
    <w:p w14:paraId="44FBD893" w14:textId="77777777" w:rsidR="003F3FCD" w:rsidRDefault="003F3FCD" w:rsidP="00401A5B">
      <w:pPr>
        <w:widowControl w:val="0"/>
        <w:ind w:firstLine="720"/>
        <w:jc w:val="both"/>
        <w:rPr>
          <w:rFonts w:ascii="Times New Roman" w:eastAsia="Times New Roman" w:hAnsi="Times New Roman" w:cs="Times New Roman"/>
          <w:b/>
          <w:color w:val="000000"/>
          <w:sz w:val="28"/>
        </w:rPr>
      </w:pPr>
    </w:p>
    <w:p w14:paraId="0CB04623" w14:textId="77777777" w:rsidR="003F3FCD" w:rsidRPr="00186BB3" w:rsidRDefault="000548A5" w:rsidP="00401A5B">
      <w:pPr>
        <w:widowControl w:val="0"/>
        <w:ind w:firstLine="567"/>
        <w:jc w:val="center"/>
        <w:rPr>
          <w:rFonts w:ascii="Times New Roman" w:eastAsia="Times New Roman" w:hAnsi="Times New Roman" w:cs="Times New Roman"/>
          <w:b/>
          <w:color w:val="000000"/>
          <w:sz w:val="28"/>
        </w:rPr>
      </w:pPr>
      <w:r w:rsidRPr="00792CED">
        <w:rPr>
          <w:rFonts w:ascii="Times New Roman" w:eastAsia="Times New Roman" w:hAnsi="Times New Roman" w:cs="Times New Roman"/>
          <w:b/>
          <w:color w:val="000000"/>
          <w:sz w:val="28"/>
        </w:rPr>
        <w:t>Ietekme uz vispārējās valdības budžetu un parādu</w:t>
      </w:r>
    </w:p>
    <w:p w14:paraId="617F722C" w14:textId="77777777" w:rsidR="003F3FCD" w:rsidRDefault="003F3FCD" w:rsidP="00401A5B">
      <w:pPr>
        <w:widowControl w:val="0"/>
        <w:ind w:firstLine="720"/>
        <w:jc w:val="both"/>
        <w:rPr>
          <w:rFonts w:ascii="Times New Roman" w:eastAsia="Times New Roman" w:hAnsi="Times New Roman" w:cs="Times New Roman"/>
          <w:color w:val="000000"/>
          <w:sz w:val="24"/>
        </w:rPr>
      </w:pPr>
    </w:p>
    <w:p w14:paraId="3372F25D" w14:textId="77777777" w:rsidR="00792CED" w:rsidRPr="00323FA6" w:rsidRDefault="00792CED" w:rsidP="00792CED">
      <w:pPr>
        <w:pStyle w:val="Default"/>
        <w:ind w:firstLine="720"/>
        <w:jc w:val="both"/>
        <w:rPr>
          <w:noProof/>
          <w:sz w:val="28"/>
        </w:rPr>
      </w:pPr>
      <w:r w:rsidRPr="00323FA6">
        <w:rPr>
          <w:noProof/>
          <w:sz w:val="28"/>
        </w:rPr>
        <w:t xml:space="preserve">Īstenojoties pesimistiskajam scenārijam, kopbudžeta nodokļu ieņēmumi un valsts pamatbudžeta nenodokļu ieņēmumi samazinātos par </w:t>
      </w:r>
      <w:r>
        <w:rPr>
          <w:noProof/>
          <w:sz w:val="28"/>
        </w:rPr>
        <w:t>461,7</w:t>
      </w:r>
      <w:r w:rsidRPr="00323FA6">
        <w:rPr>
          <w:noProof/>
          <w:sz w:val="28"/>
        </w:rPr>
        <w:t xml:space="preserve"> milj. </w:t>
      </w:r>
      <w:r w:rsidRPr="00792CED">
        <w:rPr>
          <w:i/>
          <w:noProof/>
          <w:sz w:val="28"/>
        </w:rPr>
        <w:t>euro</w:t>
      </w:r>
      <w:r w:rsidRPr="00323FA6">
        <w:rPr>
          <w:noProof/>
          <w:sz w:val="28"/>
        </w:rPr>
        <w:t xml:space="preserve"> jeb 1,5% no IKP 2021.gadā salīdzinājumā ar bāzes scenāriju. Savukārt 2022. un 2023.gadā tie būtu attiecīgi par </w:t>
      </w:r>
      <w:r>
        <w:rPr>
          <w:noProof/>
          <w:sz w:val="28"/>
        </w:rPr>
        <w:t>400,9</w:t>
      </w:r>
      <w:r w:rsidRPr="00323FA6">
        <w:rPr>
          <w:noProof/>
          <w:sz w:val="28"/>
        </w:rPr>
        <w:t xml:space="preserve"> milj. </w:t>
      </w:r>
      <w:r w:rsidRPr="00792CED">
        <w:rPr>
          <w:i/>
          <w:noProof/>
          <w:sz w:val="28"/>
        </w:rPr>
        <w:t>euro</w:t>
      </w:r>
      <w:r w:rsidRPr="00323FA6">
        <w:rPr>
          <w:noProof/>
          <w:sz w:val="28"/>
        </w:rPr>
        <w:t xml:space="preserve"> jeb 1,</w:t>
      </w:r>
      <w:r>
        <w:rPr>
          <w:noProof/>
          <w:sz w:val="28"/>
        </w:rPr>
        <w:t>3</w:t>
      </w:r>
      <w:r w:rsidRPr="00323FA6">
        <w:rPr>
          <w:noProof/>
          <w:sz w:val="28"/>
        </w:rPr>
        <w:t xml:space="preserve">% no IKP un </w:t>
      </w:r>
      <w:r>
        <w:rPr>
          <w:noProof/>
          <w:sz w:val="28"/>
        </w:rPr>
        <w:t>380,7</w:t>
      </w:r>
      <w:r w:rsidRPr="00323FA6">
        <w:rPr>
          <w:noProof/>
          <w:sz w:val="28"/>
        </w:rPr>
        <w:t xml:space="preserve"> milj. </w:t>
      </w:r>
      <w:r w:rsidRPr="00792CED">
        <w:rPr>
          <w:i/>
          <w:noProof/>
          <w:sz w:val="28"/>
        </w:rPr>
        <w:t>euro</w:t>
      </w:r>
      <w:r w:rsidRPr="00323FA6">
        <w:rPr>
          <w:noProof/>
          <w:sz w:val="28"/>
        </w:rPr>
        <w:t xml:space="preserve"> jeb 1,1% no IKP zemāki nekā bāzes scenārijā.</w:t>
      </w:r>
    </w:p>
    <w:p w14:paraId="5BC8A41D" w14:textId="62ABE2B2" w:rsidR="00792CED" w:rsidRPr="00323FA6" w:rsidRDefault="00792CED" w:rsidP="00792CED">
      <w:pPr>
        <w:pStyle w:val="Default"/>
        <w:ind w:firstLine="720"/>
        <w:jc w:val="both"/>
        <w:rPr>
          <w:noProof/>
          <w:sz w:val="28"/>
          <w:highlight w:val="yellow"/>
        </w:rPr>
      </w:pPr>
      <w:r w:rsidRPr="00323FA6">
        <w:rPr>
          <w:noProof/>
          <w:sz w:val="28"/>
        </w:rPr>
        <w:t>Izpildoties pesimistiskajam scenārijam, vairāk kā puse no kopbudžeta ieņēmuma samazinājuma būtu attiecināma uz valsts pamatbudžetu. Pie šāda scenārija, samazinoties nodokļu ieņēmumiem, pasliktinātos valsts budžeta finansiālā bilance, kā rezultātā palielinātos kopējā finansēšanas nepieciešamība un attiecīgi arī aizņemšanās apjoms attiecīgajā periodā, salīdzinot ar bāzes scenāriju. Lielāks aizņemšanās apjoms izraisītu palielinājumu procentu izdevumos. Pesimistiskā scenārija gadījumā procentu izdevumi 2021</w:t>
      </w:r>
      <w:r>
        <w:rPr>
          <w:noProof/>
          <w:sz w:val="28"/>
        </w:rPr>
        <w:t>.</w:t>
      </w:r>
      <w:r w:rsidRPr="00323FA6">
        <w:rPr>
          <w:noProof/>
          <w:sz w:val="28"/>
        </w:rPr>
        <w:t xml:space="preserve">gadā palielinātos par 0,2 milj. </w:t>
      </w:r>
      <w:r w:rsidRPr="00323FA6">
        <w:rPr>
          <w:i/>
          <w:noProof/>
          <w:sz w:val="28"/>
        </w:rPr>
        <w:t>euro</w:t>
      </w:r>
      <w:r w:rsidRPr="00323FA6">
        <w:rPr>
          <w:noProof/>
          <w:sz w:val="28"/>
        </w:rPr>
        <w:t xml:space="preserve">, 2022.gadā izdevumi būtu par 4,0 milj. </w:t>
      </w:r>
      <w:r w:rsidRPr="00323FA6">
        <w:rPr>
          <w:i/>
          <w:noProof/>
          <w:sz w:val="28"/>
        </w:rPr>
        <w:t>euro</w:t>
      </w:r>
      <w:r w:rsidRPr="00323FA6">
        <w:rPr>
          <w:noProof/>
          <w:sz w:val="28"/>
        </w:rPr>
        <w:t xml:space="preserve"> un 2023.gadā par 6,</w:t>
      </w:r>
      <w:r>
        <w:rPr>
          <w:noProof/>
          <w:sz w:val="28"/>
        </w:rPr>
        <w:t>9</w:t>
      </w:r>
      <w:r w:rsidRPr="00323FA6">
        <w:rPr>
          <w:noProof/>
          <w:sz w:val="28"/>
        </w:rPr>
        <w:t xml:space="preserve"> milj. </w:t>
      </w:r>
      <w:r w:rsidRPr="00323FA6">
        <w:rPr>
          <w:i/>
          <w:noProof/>
          <w:sz w:val="28"/>
        </w:rPr>
        <w:t>euro</w:t>
      </w:r>
      <w:r w:rsidRPr="00323FA6">
        <w:rPr>
          <w:noProof/>
          <w:sz w:val="28"/>
        </w:rPr>
        <w:t xml:space="preserve"> lielāki nekā bāzes scenārijā.</w:t>
      </w:r>
    </w:p>
    <w:p w14:paraId="0C771623" w14:textId="044CDF9F" w:rsidR="00792CED" w:rsidRDefault="00792CED" w:rsidP="00792CED">
      <w:pPr>
        <w:rPr>
          <w:rFonts w:ascii="Times New Roman" w:hAnsi="Times New Roman" w:cs="Times New Roman"/>
          <w:b/>
          <w:i/>
          <w:sz w:val="24"/>
          <w:szCs w:val="24"/>
        </w:rPr>
      </w:pPr>
    </w:p>
    <w:p w14:paraId="06FB88B5" w14:textId="77777777" w:rsidR="00792CED" w:rsidRDefault="00792CED" w:rsidP="00792CED">
      <w:pPr>
        <w:keepNext/>
        <w:jc w:val="right"/>
        <w:rPr>
          <w:rFonts w:ascii="Times New Roman" w:hAnsi="Times New Roman" w:cs="Times New Roman"/>
          <w:b/>
          <w:i/>
          <w:sz w:val="24"/>
          <w:szCs w:val="24"/>
        </w:rPr>
      </w:pPr>
      <w:r w:rsidRPr="00323FA6">
        <w:rPr>
          <w:rFonts w:ascii="Times New Roman" w:hAnsi="Times New Roman" w:cs="Times New Roman"/>
          <w:b/>
          <w:i/>
          <w:sz w:val="24"/>
          <w:szCs w:val="24"/>
        </w:rPr>
        <w:t>1.11.tabula.</w:t>
      </w:r>
      <w:r>
        <w:rPr>
          <w:rFonts w:ascii="Times New Roman" w:hAnsi="Times New Roman" w:cs="Times New Roman"/>
          <w:b/>
          <w:i/>
          <w:sz w:val="24"/>
          <w:szCs w:val="24"/>
        </w:rPr>
        <w:t xml:space="preserve"> Pesimistiskā scenārija ietekme uz vispārējās valdības </w:t>
      </w:r>
      <w:r w:rsidRPr="00323FA6">
        <w:rPr>
          <w:rFonts w:ascii="Times New Roman" w:hAnsi="Times New Roman" w:cs="Times New Roman"/>
          <w:b/>
          <w:i/>
          <w:sz w:val="24"/>
          <w:szCs w:val="24"/>
        </w:rPr>
        <w:t xml:space="preserve">budžetu, </w:t>
      </w:r>
    </w:p>
    <w:p w14:paraId="4F98E3C0" w14:textId="7D176E9D" w:rsidR="00792CED" w:rsidRPr="00323FA6" w:rsidRDefault="00792CED" w:rsidP="00792CED">
      <w:pPr>
        <w:keepNext/>
        <w:jc w:val="right"/>
        <w:rPr>
          <w:rFonts w:ascii="Times New Roman" w:hAnsi="Times New Roman" w:cs="Times New Roman"/>
          <w:b/>
          <w:i/>
          <w:noProof/>
          <w:sz w:val="24"/>
          <w:szCs w:val="24"/>
        </w:rPr>
      </w:pPr>
      <w:r w:rsidRPr="00323FA6">
        <w:rPr>
          <w:rFonts w:ascii="Times New Roman" w:hAnsi="Times New Roman" w:cs="Times New Roman"/>
          <w:b/>
          <w:i/>
          <w:noProof/>
          <w:sz w:val="24"/>
          <w:szCs w:val="24"/>
        </w:rPr>
        <w:t>milj. euro</w:t>
      </w: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2"/>
        <w:gridCol w:w="848"/>
        <w:gridCol w:w="847"/>
        <w:gridCol w:w="848"/>
        <w:gridCol w:w="847"/>
        <w:gridCol w:w="706"/>
        <w:gridCol w:w="706"/>
        <w:gridCol w:w="705"/>
        <w:gridCol w:w="631"/>
        <w:gridCol w:w="15"/>
      </w:tblGrid>
      <w:tr w:rsidR="00792CED" w:rsidRPr="00323FA6" w14:paraId="0F287674" w14:textId="77777777" w:rsidTr="00D73AE5">
        <w:trPr>
          <w:trHeight w:val="592"/>
          <w:tblHeader/>
          <w:jc w:val="center"/>
        </w:trPr>
        <w:tc>
          <w:tcPr>
            <w:tcW w:w="2962" w:type="dxa"/>
            <w:shd w:val="clear" w:color="auto" w:fill="9CC2E5" w:themeFill="accent1" w:themeFillTint="99"/>
            <w:vAlign w:val="center"/>
            <w:hideMark/>
          </w:tcPr>
          <w:p w14:paraId="37662EF1" w14:textId="77777777" w:rsidR="00792CED" w:rsidRPr="00246CD7" w:rsidRDefault="00792CED" w:rsidP="00D73AE5">
            <w:pPr>
              <w:rPr>
                <w:rFonts w:ascii="Times New Roman" w:eastAsia="Times New Roman" w:hAnsi="Times New Roman" w:cs="Times New Roman"/>
                <w:sz w:val="20"/>
                <w:szCs w:val="20"/>
              </w:rPr>
            </w:pPr>
          </w:p>
        </w:tc>
        <w:tc>
          <w:tcPr>
            <w:tcW w:w="3390" w:type="dxa"/>
            <w:gridSpan w:val="4"/>
            <w:shd w:val="clear" w:color="auto" w:fill="9CC2E5" w:themeFill="accent1" w:themeFillTint="99"/>
            <w:vAlign w:val="center"/>
          </w:tcPr>
          <w:p w14:paraId="6623A67F"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Pesimistiskais scenārijs</w:t>
            </w:r>
          </w:p>
        </w:tc>
        <w:tc>
          <w:tcPr>
            <w:tcW w:w="2763" w:type="dxa"/>
            <w:gridSpan w:val="5"/>
            <w:shd w:val="clear" w:color="auto" w:fill="9CC2E5" w:themeFill="accent1" w:themeFillTint="99"/>
            <w:vAlign w:val="center"/>
          </w:tcPr>
          <w:p w14:paraId="00B732E7"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Novirze no bāzes scenārija</w:t>
            </w:r>
          </w:p>
        </w:tc>
      </w:tr>
      <w:tr w:rsidR="00792CED" w:rsidRPr="00323FA6" w14:paraId="3B433DBF" w14:textId="77777777" w:rsidTr="00792CED">
        <w:trPr>
          <w:gridAfter w:val="1"/>
          <w:wAfter w:w="15" w:type="dxa"/>
          <w:trHeight w:val="221"/>
          <w:jc w:val="center"/>
        </w:trPr>
        <w:tc>
          <w:tcPr>
            <w:tcW w:w="2962" w:type="dxa"/>
            <w:shd w:val="clear" w:color="auto" w:fill="DEEAF6" w:themeFill="accent1" w:themeFillTint="33"/>
            <w:vAlign w:val="center"/>
            <w:hideMark/>
          </w:tcPr>
          <w:p w14:paraId="1E54EBE7" w14:textId="77777777" w:rsidR="00792CED" w:rsidRPr="00246CD7" w:rsidRDefault="00792CED" w:rsidP="00D73AE5">
            <w:pPr>
              <w:rPr>
                <w:rFonts w:ascii="Times New Roman" w:eastAsia="Times New Roman" w:hAnsi="Times New Roman" w:cs="Times New Roman"/>
                <w:sz w:val="20"/>
                <w:szCs w:val="20"/>
              </w:rPr>
            </w:pPr>
          </w:p>
        </w:tc>
        <w:tc>
          <w:tcPr>
            <w:tcW w:w="848" w:type="dxa"/>
            <w:shd w:val="clear" w:color="auto" w:fill="DEEAF6" w:themeFill="accent1" w:themeFillTint="33"/>
            <w:tcMar>
              <w:left w:w="57" w:type="dxa"/>
              <w:right w:w="57" w:type="dxa"/>
            </w:tcMar>
            <w:vAlign w:val="center"/>
          </w:tcPr>
          <w:p w14:paraId="3AEABEE5"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2020</w:t>
            </w:r>
          </w:p>
        </w:tc>
        <w:tc>
          <w:tcPr>
            <w:tcW w:w="847" w:type="dxa"/>
            <w:shd w:val="clear" w:color="auto" w:fill="DEEAF6" w:themeFill="accent1" w:themeFillTint="33"/>
            <w:tcMar>
              <w:left w:w="57" w:type="dxa"/>
              <w:right w:w="57" w:type="dxa"/>
            </w:tcMar>
            <w:vAlign w:val="center"/>
          </w:tcPr>
          <w:p w14:paraId="5AAA1B56"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2021</w:t>
            </w:r>
          </w:p>
        </w:tc>
        <w:tc>
          <w:tcPr>
            <w:tcW w:w="848" w:type="dxa"/>
            <w:shd w:val="clear" w:color="auto" w:fill="DEEAF6" w:themeFill="accent1" w:themeFillTint="33"/>
            <w:tcMar>
              <w:left w:w="57" w:type="dxa"/>
              <w:right w:w="57" w:type="dxa"/>
            </w:tcMar>
            <w:vAlign w:val="center"/>
          </w:tcPr>
          <w:p w14:paraId="4AE7A6FB"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2022</w:t>
            </w:r>
          </w:p>
        </w:tc>
        <w:tc>
          <w:tcPr>
            <w:tcW w:w="847" w:type="dxa"/>
            <w:shd w:val="clear" w:color="auto" w:fill="DEEAF6" w:themeFill="accent1" w:themeFillTint="33"/>
            <w:tcMar>
              <w:left w:w="57" w:type="dxa"/>
              <w:right w:w="57" w:type="dxa"/>
            </w:tcMar>
            <w:vAlign w:val="center"/>
          </w:tcPr>
          <w:p w14:paraId="33FDC4E0"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2023</w:t>
            </w:r>
          </w:p>
        </w:tc>
        <w:tc>
          <w:tcPr>
            <w:tcW w:w="706" w:type="dxa"/>
            <w:shd w:val="clear" w:color="auto" w:fill="DEEAF6" w:themeFill="accent1" w:themeFillTint="33"/>
            <w:tcMar>
              <w:left w:w="57" w:type="dxa"/>
              <w:right w:w="57" w:type="dxa"/>
            </w:tcMar>
            <w:vAlign w:val="center"/>
            <w:hideMark/>
          </w:tcPr>
          <w:p w14:paraId="2976891D"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2020</w:t>
            </w:r>
          </w:p>
        </w:tc>
        <w:tc>
          <w:tcPr>
            <w:tcW w:w="706" w:type="dxa"/>
            <w:shd w:val="clear" w:color="auto" w:fill="DEEAF6" w:themeFill="accent1" w:themeFillTint="33"/>
            <w:tcMar>
              <w:left w:w="57" w:type="dxa"/>
              <w:right w:w="57" w:type="dxa"/>
            </w:tcMar>
            <w:vAlign w:val="center"/>
            <w:hideMark/>
          </w:tcPr>
          <w:p w14:paraId="4376D8CE"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2021</w:t>
            </w:r>
          </w:p>
        </w:tc>
        <w:tc>
          <w:tcPr>
            <w:tcW w:w="705" w:type="dxa"/>
            <w:shd w:val="clear" w:color="auto" w:fill="DEEAF6" w:themeFill="accent1" w:themeFillTint="33"/>
            <w:tcMar>
              <w:left w:w="57" w:type="dxa"/>
              <w:right w:w="57" w:type="dxa"/>
            </w:tcMar>
            <w:vAlign w:val="center"/>
          </w:tcPr>
          <w:p w14:paraId="41682450"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2022</w:t>
            </w:r>
          </w:p>
        </w:tc>
        <w:tc>
          <w:tcPr>
            <w:tcW w:w="631" w:type="dxa"/>
            <w:shd w:val="clear" w:color="auto" w:fill="DEEAF6" w:themeFill="accent1" w:themeFillTint="33"/>
            <w:tcMar>
              <w:left w:w="57" w:type="dxa"/>
              <w:right w:w="57" w:type="dxa"/>
            </w:tcMar>
            <w:vAlign w:val="center"/>
            <w:hideMark/>
          </w:tcPr>
          <w:p w14:paraId="5345E3DB" w14:textId="77777777" w:rsidR="00792CED" w:rsidRPr="00246CD7" w:rsidRDefault="00792CED" w:rsidP="00D73AE5">
            <w:pPr>
              <w:jc w:val="cente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2023</w:t>
            </w:r>
          </w:p>
        </w:tc>
      </w:tr>
      <w:tr w:rsidR="00792CED" w:rsidRPr="00323FA6" w14:paraId="1F991FEB" w14:textId="77777777" w:rsidTr="00D73AE5">
        <w:trPr>
          <w:gridAfter w:val="1"/>
          <w:wAfter w:w="15" w:type="dxa"/>
          <w:trHeight w:val="367"/>
          <w:jc w:val="center"/>
        </w:trPr>
        <w:tc>
          <w:tcPr>
            <w:tcW w:w="2962" w:type="dxa"/>
            <w:shd w:val="clear" w:color="auto" w:fill="auto"/>
            <w:vAlign w:val="center"/>
          </w:tcPr>
          <w:p w14:paraId="1DA4A586" w14:textId="77777777" w:rsidR="00792CED" w:rsidRPr="00246CD7" w:rsidRDefault="00792CED" w:rsidP="00D73AE5">
            <w:pPr>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Vispārējās valdības budžeta bilance</w:t>
            </w:r>
            <w:r w:rsidRPr="00246CD7">
              <w:rPr>
                <w:rStyle w:val="FootnoteReference"/>
                <w:rFonts w:eastAsia="Times New Roman"/>
                <w:sz w:val="20"/>
                <w:szCs w:val="20"/>
              </w:rPr>
              <w:footnoteReference w:id="7"/>
            </w:r>
            <w:r w:rsidRPr="00246CD7">
              <w:rPr>
                <w:rFonts w:ascii="Times New Roman" w:eastAsia="Times New Roman" w:hAnsi="Times New Roman" w:cs="Times New Roman"/>
                <w:b/>
                <w:sz w:val="20"/>
                <w:szCs w:val="20"/>
              </w:rPr>
              <w:t>, % no IKP</w:t>
            </w:r>
          </w:p>
        </w:tc>
        <w:tc>
          <w:tcPr>
            <w:tcW w:w="848" w:type="dxa"/>
            <w:shd w:val="clear" w:color="auto" w:fill="auto"/>
            <w:tcMar>
              <w:left w:w="57" w:type="dxa"/>
              <w:right w:w="57" w:type="dxa"/>
            </w:tcMar>
            <w:vAlign w:val="center"/>
          </w:tcPr>
          <w:p w14:paraId="506ED70D"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-8,3</w:t>
            </w:r>
          </w:p>
        </w:tc>
        <w:tc>
          <w:tcPr>
            <w:tcW w:w="847" w:type="dxa"/>
            <w:shd w:val="clear" w:color="auto" w:fill="auto"/>
            <w:tcMar>
              <w:left w:w="57" w:type="dxa"/>
              <w:right w:w="57" w:type="dxa"/>
            </w:tcMar>
            <w:vAlign w:val="center"/>
          </w:tcPr>
          <w:p w14:paraId="473CF19A"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8</w:t>
            </w:r>
          </w:p>
        </w:tc>
        <w:tc>
          <w:tcPr>
            <w:tcW w:w="848" w:type="dxa"/>
            <w:shd w:val="clear" w:color="auto" w:fill="auto"/>
            <w:tcMar>
              <w:left w:w="57" w:type="dxa"/>
              <w:right w:w="57" w:type="dxa"/>
            </w:tcMar>
            <w:vAlign w:val="center"/>
          </w:tcPr>
          <w:p w14:paraId="080D7FA9"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3</w:t>
            </w:r>
          </w:p>
        </w:tc>
        <w:tc>
          <w:tcPr>
            <w:tcW w:w="847" w:type="dxa"/>
            <w:shd w:val="clear" w:color="auto" w:fill="auto"/>
            <w:tcMar>
              <w:left w:w="57" w:type="dxa"/>
              <w:right w:w="57" w:type="dxa"/>
            </w:tcMar>
            <w:vAlign w:val="center"/>
          </w:tcPr>
          <w:p w14:paraId="08E71A4A"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3,0</w:t>
            </w:r>
          </w:p>
        </w:tc>
        <w:tc>
          <w:tcPr>
            <w:tcW w:w="706" w:type="dxa"/>
            <w:shd w:val="clear" w:color="auto" w:fill="auto"/>
            <w:tcMar>
              <w:left w:w="57" w:type="dxa"/>
              <w:right w:w="57" w:type="dxa"/>
            </w:tcMar>
            <w:vAlign w:val="center"/>
          </w:tcPr>
          <w:p w14:paraId="24E83C96"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-0,7</w:t>
            </w:r>
          </w:p>
        </w:tc>
        <w:tc>
          <w:tcPr>
            <w:tcW w:w="706" w:type="dxa"/>
            <w:shd w:val="clear" w:color="auto" w:fill="auto"/>
            <w:tcMar>
              <w:left w:w="57" w:type="dxa"/>
              <w:right w:w="57" w:type="dxa"/>
            </w:tcMar>
            <w:vAlign w:val="center"/>
          </w:tcPr>
          <w:p w14:paraId="7C6906B4"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9</w:t>
            </w:r>
          </w:p>
        </w:tc>
        <w:tc>
          <w:tcPr>
            <w:tcW w:w="705" w:type="dxa"/>
            <w:shd w:val="clear" w:color="auto" w:fill="auto"/>
            <w:tcMar>
              <w:left w:w="57" w:type="dxa"/>
              <w:right w:w="57" w:type="dxa"/>
            </w:tcMar>
            <w:vAlign w:val="center"/>
          </w:tcPr>
          <w:p w14:paraId="64331AC7"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5</w:t>
            </w:r>
          </w:p>
        </w:tc>
        <w:tc>
          <w:tcPr>
            <w:tcW w:w="631" w:type="dxa"/>
            <w:shd w:val="clear" w:color="auto" w:fill="auto"/>
            <w:tcMar>
              <w:left w:w="57" w:type="dxa"/>
              <w:right w:w="57" w:type="dxa"/>
            </w:tcMar>
            <w:vAlign w:val="center"/>
          </w:tcPr>
          <w:p w14:paraId="17973A02"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3</w:t>
            </w:r>
          </w:p>
        </w:tc>
      </w:tr>
      <w:tr w:rsidR="00792CED" w:rsidRPr="00323FA6" w14:paraId="79408F67" w14:textId="77777777" w:rsidTr="00D73AE5">
        <w:trPr>
          <w:gridAfter w:val="1"/>
          <w:wAfter w:w="15" w:type="dxa"/>
          <w:trHeight w:val="367"/>
          <w:jc w:val="center"/>
        </w:trPr>
        <w:tc>
          <w:tcPr>
            <w:tcW w:w="2962" w:type="dxa"/>
            <w:shd w:val="clear" w:color="auto" w:fill="auto"/>
            <w:vAlign w:val="center"/>
          </w:tcPr>
          <w:p w14:paraId="506A2EE5" w14:textId="77777777" w:rsidR="00792CED" w:rsidRPr="00246CD7" w:rsidRDefault="00792CED" w:rsidP="00D73AE5">
            <w:pPr>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Vispārējās valdības budžeta bilance</w:t>
            </w:r>
          </w:p>
        </w:tc>
        <w:tc>
          <w:tcPr>
            <w:tcW w:w="848" w:type="dxa"/>
            <w:shd w:val="clear" w:color="auto" w:fill="auto"/>
            <w:tcMar>
              <w:left w:w="57" w:type="dxa"/>
              <w:right w:w="57" w:type="dxa"/>
            </w:tcMar>
            <w:vAlign w:val="center"/>
          </w:tcPr>
          <w:p w14:paraId="1495EDB2"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-2 278,</w:t>
            </w:r>
            <w:r>
              <w:rPr>
                <w:rFonts w:ascii="Times New Roman" w:eastAsia="Times New Roman" w:hAnsi="Times New Roman" w:cs="Times New Roman"/>
                <w:sz w:val="20"/>
                <w:szCs w:val="20"/>
              </w:rPr>
              <w:t>6</w:t>
            </w:r>
          </w:p>
        </w:tc>
        <w:tc>
          <w:tcPr>
            <w:tcW w:w="847" w:type="dxa"/>
            <w:shd w:val="clear" w:color="auto" w:fill="auto"/>
            <w:tcMar>
              <w:left w:w="57" w:type="dxa"/>
              <w:right w:w="57" w:type="dxa"/>
            </w:tcMar>
            <w:vAlign w:val="center"/>
          </w:tcPr>
          <w:p w14:paraId="56CC8BB9"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646,8</w:t>
            </w:r>
          </w:p>
        </w:tc>
        <w:tc>
          <w:tcPr>
            <w:tcW w:w="848" w:type="dxa"/>
            <w:shd w:val="clear" w:color="auto" w:fill="auto"/>
            <w:tcMar>
              <w:left w:w="57" w:type="dxa"/>
              <w:right w:w="57" w:type="dxa"/>
            </w:tcMar>
            <w:vAlign w:val="center"/>
          </w:tcPr>
          <w:p w14:paraId="00190BAE"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281,7</w:t>
            </w:r>
          </w:p>
        </w:tc>
        <w:tc>
          <w:tcPr>
            <w:tcW w:w="847" w:type="dxa"/>
            <w:shd w:val="clear" w:color="auto" w:fill="auto"/>
            <w:tcMar>
              <w:left w:w="57" w:type="dxa"/>
              <w:right w:w="57" w:type="dxa"/>
            </w:tcMar>
            <w:vAlign w:val="center"/>
          </w:tcPr>
          <w:p w14:paraId="5BE1D306"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w:t>
            </w:r>
            <w:r>
              <w:rPr>
                <w:rFonts w:ascii="Times New Roman" w:eastAsia="Times New Roman" w:hAnsi="Times New Roman" w:cs="Times New Roman"/>
                <w:sz w:val="20"/>
                <w:szCs w:val="20"/>
              </w:rPr>
              <w:t>951,3</w:t>
            </w:r>
          </w:p>
        </w:tc>
        <w:tc>
          <w:tcPr>
            <w:tcW w:w="706" w:type="dxa"/>
            <w:shd w:val="clear" w:color="auto" w:fill="auto"/>
            <w:tcMar>
              <w:left w:w="57" w:type="dxa"/>
              <w:right w:w="57" w:type="dxa"/>
            </w:tcMar>
            <w:vAlign w:val="center"/>
          </w:tcPr>
          <w:p w14:paraId="01696B98"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-134,</w:t>
            </w:r>
            <w:r>
              <w:rPr>
                <w:rFonts w:ascii="Times New Roman" w:eastAsia="Times New Roman" w:hAnsi="Times New Roman" w:cs="Times New Roman"/>
                <w:sz w:val="20"/>
                <w:szCs w:val="20"/>
              </w:rPr>
              <w:t>9</w:t>
            </w:r>
          </w:p>
        </w:tc>
        <w:tc>
          <w:tcPr>
            <w:tcW w:w="706" w:type="dxa"/>
            <w:shd w:val="clear" w:color="auto" w:fill="auto"/>
            <w:tcMar>
              <w:left w:w="57" w:type="dxa"/>
              <w:right w:w="57" w:type="dxa"/>
            </w:tcMar>
            <w:vAlign w:val="center"/>
          </w:tcPr>
          <w:p w14:paraId="4451623D"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w:t>
            </w:r>
            <w:r>
              <w:rPr>
                <w:rFonts w:ascii="Times New Roman" w:eastAsia="Times New Roman" w:hAnsi="Times New Roman" w:cs="Times New Roman"/>
                <w:sz w:val="20"/>
                <w:szCs w:val="20"/>
              </w:rPr>
              <w:t>461,9</w:t>
            </w:r>
          </w:p>
        </w:tc>
        <w:tc>
          <w:tcPr>
            <w:tcW w:w="705" w:type="dxa"/>
            <w:shd w:val="clear" w:color="auto" w:fill="auto"/>
            <w:tcMar>
              <w:left w:w="57" w:type="dxa"/>
              <w:right w:w="57" w:type="dxa"/>
            </w:tcMar>
            <w:vAlign w:val="center"/>
          </w:tcPr>
          <w:p w14:paraId="01328499"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w:t>
            </w:r>
            <w:r>
              <w:rPr>
                <w:rFonts w:ascii="Times New Roman" w:eastAsia="Times New Roman" w:hAnsi="Times New Roman" w:cs="Times New Roman"/>
                <w:sz w:val="20"/>
                <w:szCs w:val="20"/>
              </w:rPr>
              <w:t>404,8</w:t>
            </w:r>
          </w:p>
        </w:tc>
        <w:tc>
          <w:tcPr>
            <w:tcW w:w="631" w:type="dxa"/>
            <w:shd w:val="clear" w:color="auto" w:fill="auto"/>
            <w:tcMar>
              <w:left w:w="57" w:type="dxa"/>
              <w:right w:w="57" w:type="dxa"/>
            </w:tcMar>
            <w:vAlign w:val="center"/>
          </w:tcPr>
          <w:p w14:paraId="0A1596A3"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w:t>
            </w:r>
            <w:r>
              <w:rPr>
                <w:rFonts w:ascii="Times New Roman" w:eastAsia="Times New Roman" w:hAnsi="Times New Roman" w:cs="Times New Roman"/>
                <w:sz w:val="20"/>
                <w:szCs w:val="20"/>
              </w:rPr>
              <w:t>387,6</w:t>
            </w:r>
          </w:p>
        </w:tc>
      </w:tr>
      <w:tr w:rsidR="00792CED" w:rsidRPr="00323FA6" w14:paraId="3E6D050E" w14:textId="77777777" w:rsidTr="00D73AE5">
        <w:trPr>
          <w:gridAfter w:val="1"/>
          <w:wAfter w:w="15" w:type="dxa"/>
          <w:trHeight w:val="400"/>
          <w:jc w:val="center"/>
        </w:trPr>
        <w:tc>
          <w:tcPr>
            <w:tcW w:w="2962" w:type="dxa"/>
            <w:shd w:val="clear" w:color="auto" w:fill="auto"/>
            <w:vAlign w:val="center"/>
          </w:tcPr>
          <w:p w14:paraId="3CCA63DB" w14:textId="77777777" w:rsidR="00792CED" w:rsidRPr="00246CD7" w:rsidRDefault="00792CED" w:rsidP="00D73AE5">
            <w:pPr>
              <w:ind w:left="166"/>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Nodokļu ieņēmumi</w:t>
            </w:r>
          </w:p>
        </w:tc>
        <w:tc>
          <w:tcPr>
            <w:tcW w:w="848" w:type="dxa"/>
            <w:shd w:val="clear" w:color="auto" w:fill="auto"/>
            <w:tcMar>
              <w:left w:w="57" w:type="dxa"/>
              <w:right w:w="57" w:type="dxa"/>
            </w:tcMar>
            <w:vAlign w:val="center"/>
          </w:tcPr>
          <w:p w14:paraId="3B65AD56" w14:textId="77777777" w:rsidR="00792CED" w:rsidRPr="002831DF" w:rsidRDefault="00792CED" w:rsidP="00D73AE5">
            <w:pPr>
              <w:jc w:val="right"/>
              <w:rPr>
                <w:rFonts w:ascii="Times New Roman" w:eastAsia="Times New Roman" w:hAnsi="Times New Roman" w:cs="Times New Roman"/>
                <w:sz w:val="20"/>
                <w:szCs w:val="20"/>
              </w:rPr>
            </w:pPr>
            <w:r w:rsidRPr="002831DF">
              <w:rPr>
                <w:rFonts w:ascii="Times New Roman" w:eastAsia="Times New Roman" w:hAnsi="Times New Roman" w:cs="Times New Roman"/>
                <w:sz w:val="20"/>
                <w:szCs w:val="20"/>
              </w:rPr>
              <w:t>8 530,9</w:t>
            </w:r>
          </w:p>
        </w:tc>
        <w:tc>
          <w:tcPr>
            <w:tcW w:w="847" w:type="dxa"/>
            <w:shd w:val="clear" w:color="auto" w:fill="auto"/>
            <w:tcMar>
              <w:left w:w="57" w:type="dxa"/>
              <w:right w:w="57" w:type="dxa"/>
            </w:tcMar>
            <w:vAlign w:val="center"/>
          </w:tcPr>
          <w:p w14:paraId="46B7A1D8" w14:textId="7EE8C900" w:rsidR="00792CED" w:rsidRPr="002831DF" w:rsidRDefault="00792CED" w:rsidP="00116FC6">
            <w:pPr>
              <w:jc w:val="right"/>
              <w:rPr>
                <w:rFonts w:ascii="Times New Roman" w:eastAsia="Times New Roman" w:hAnsi="Times New Roman" w:cs="Times New Roman"/>
                <w:sz w:val="20"/>
                <w:szCs w:val="20"/>
              </w:rPr>
            </w:pPr>
            <w:r w:rsidRPr="002831DF">
              <w:rPr>
                <w:rFonts w:ascii="Times New Roman" w:eastAsia="Times New Roman" w:hAnsi="Times New Roman" w:cs="Times New Roman"/>
                <w:sz w:val="20"/>
                <w:szCs w:val="20"/>
              </w:rPr>
              <w:t xml:space="preserve">8 </w:t>
            </w:r>
            <w:r w:rsidR="00116FC6">
              <w:rPr>
                <w:rFonts w:ascii="Times New Roman" w:eastAsia="Times New Roman" w:hAnsi="Times New Roman" w:cs="Times New Roman"/>
                <w:sz w:val="20"/>
                <w:szCs w:val="20"/>
              </w:rPr>
              <w:t>898</w:t>
            </w:r>
            <w:r w:rsidRPr="002831DF">
              <w:rPr>
                <w:rFonts w:ascii="Times New Roman" w:eastAsia="Times New Roman" w:hAnsi="Times New Roman" w:cs="Times New Roman"/>
                <w:sz w:val="20"/>
                <w:szCs w:val="20"/>
              </w:rPr>
              <w:t>,6</w:t>
            </w:r>
          </w:p>
        </w:tc>
        <w:tc>
          <w:tcPr>
            <w:tcW w:w="848" w:type="dxa"/>
            <w:shd w:val="clear" w:color="auto" w:fill="auto"/>
            <w:tcMar>
              <w:left w:w="57" w:type="dxa"/>
              <w:right w:w="57" w:type="dxa"/>
            </w:tcMar>
            <w:vAlign w:val="center"/>
          </w:tcPr>
          <w:p w14:paraId="0DC8C100" w14:textId="48C83263" w:rsidR="00792CED" w:rsidRPr="002831DF" w:rsidRDefault="00792CED" w:rsidP="00D73AE5">
            <w:pPr>
              <w:jc w:val="right"/>
              <w:rPr>
                <w:rFonts w:ascii="Times New Roman" w:eastAsia="Times New Roman" w:hAnsi="Times New Roman" w:cs="Times New Roman"/>
                <w:sz w:val="20"/>
                <w:szCs w:val="20"/>
              </w:rPr>
            </w:pPr>
            <w:r w:rsidRPr="002831DF">
              <w:rPr>
                <w:rFonts w:ascii="Times New Roman" w:eastAsia="Times New Roman" w:hAnsi="Times New Roman" w:cs="Times New Roman"/>
                <w:sz w:val="20"/>
                <w:szCs w:val="20"/>
              </w:rPr>
              <w:t>9</w:t>
            </w:r>
            <w:r w:rsidR="00116FC6">
              <w:rPr>
                <w:rFonts w:ascii="Times New Roman" w:eastAsia="Times New Roman" w:hAnsi="Times New Roman" w:cs="Times New Roman"/>
                <w:sz w:val="20"/>
                <w:szCs w:val="20"/>
              </w:rPr>
              <w:t xml:space="preserve"> 601</w:t>
            </w:r>
            <w:r w:rsidRPr="002831DF">
              <w:rPr>
                <w:rFonts w:ascii="Times New Roman" w:eastAsia="Times New Roman" w:hAnsi="Times New Roman" w:cs="Times New Roman"/>
                <w:sz w:val="20"/>
                <w:szCs w:val="20"/>
              </w:rPr>
              <w:t>,7</w:t>
            </w:r>
          </w:p>
        </w:tc>
        <w:tc>
          <w:tcPr>
            <w:tcW w:w="847" w:type="dxa"/>
            <w:shd w:val="clear" w:color="auto" w:fill="auto"/>
            <w:tcMar>
              <w:left w:w="57" w:type="dxa"/>
              <w:right w:w="57" w:type="dxa"/>
            </w:tcMar>
            <w:vAlign w:val="center"/>
          </w:tcPr>
          <w:p w14:paraId="69A0D532" w14:textId="1A6E28B6" w:rsidR="00792CED" w:rsidRPr="002831DF" w:rsidRDefault="00116FC6" w:rsidP="00D73AE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10 145</w:t>
            </w:r>
            <w:r w:rsidR="00792CED" w:rsidRPr="002831DF">
              <w:rPr>
                <w:rFonts w:ascii="Times New Roman" w:eastAsia="Times New Roman" w:hAnsi="Times New Roman" w:cs="Times New Roman"/>
                <w:sz w:val="20"/>
                <w:szCs w:val="20"/>
              </w:rPr>
              <w:t>,3</w:t>
            </w:r>
          </w:p>
        </w:tc>
        <w:tc>
          <w:tcPr>
            <w:tcW w:w="706" w:type="dxa"/>
            <w:shd w:val="clear" w:color="auto" w:fill="auto"/>
            <w:tcMar>
              <w:left w:w="57" w:type="dxa"/>
              <w:right w:w="57" w:type="dxa"/>
            </w:tcMar>
            <w:vAlign w:val="center"/>
          </w:tcPr>
          <w:p w14:paraId="5A1FC1D8"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-134,</w:t>
            </w:r>
            <w:r>
              <w:rPr>
                <w:rFonts w:ascii="Times New Roman" w:eastAsia="Times New Roman" w:hAnsi="Times New Roman" w:cs="Times New Roman"/>
                <w:sz w:val="20"/>
                <w:szCs w:val="20"/>
              </w:rPr>
              <w:t>9</w:t>
            </w:r>
          </w:p>
        </w:tc>
        <w:tc>
          <w:tcPr>
            <w:tcW w:w="706" w:type="dxa"/>
            <w:shd w:val="clear" w:color="auto" w:fill="auto"/>
            <w:tcMar>
              <w:left w:w="57" w:type="dxa"/>
              <w:right w:w="57" w:type="dxa"/>
            </w:tcMar>
            <w:vAlign w:val="center"/>
          </w:tcPr>
          <w:p w14:paraId="0F5C5DC7"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w:t>
            </w:r>
            <w:r>
              <w:rPr>
                <w:rFonts w:ascii="Times New Roman" w:eastAsia="Times New Roman" w:hAnsi="Times New Roman" w:cs="Times New Roman"/>
                <w:sz w:val="20"/>
                <w:szCs w:val="20"/>
              </w:rPr>
              <w:t>441,9</w:t>
            </w:r>
          </w:p>
        </w:tc>
        <w:tc>
          <w:tcPr>
            <w:tcW w:w="705" w:type="dxa"/>
            <w:shd w:val="clear" w:color="auto" w:fill="auto"/>
            <w:tcMar>
              <w:left w:w="57" w:type="dxa"/>
              <w:right w:w="57" w:type="dxa"/>
            </w:tcMar>
            <w:vAlign w:val="center"/>
          </w:tcPr>
          <w:p w14:paraId="65865AC1"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w:t>
            </w:r>
            <w:r>
              <w:rPr>
                <w:rFonts w:ascii="Times New Roman" w:eastAsia="Times New Roman" w:hAnsi="Times New Roman" w:cs="Times New Roman"/>
                <w:sz w:val="20"/>
                <w:szCs w:val="20"/>
              </w:rPr>
              <w:t>385,2</w:t>
            </w:r>
          </w:p>
        </w:tc>
        <w:tc>
          <w:tcPr>
            <w:tcW w:w="631" w:type="dxa"/>
            <w:shd w:val="clear" w:color="auto" w:fill="auto"/>
            <w:tcMar>
              <w:left w:w="57" w:type="dxa"/>
              <w:right w:w="57" w:type="dxa"/>
            </w:tcMar>
            <w:vAlign w:val="center"/>
          </w:tcPr>
          <w:p w14:paraId="6E54988B"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w:t>
            </w:r>
            <w:r>
              <w:rPr>
                <w:rFonts w:ascii="Times New Roman" w:eastAsia="Times New Roman" w:hAnsi="Times New Roman" w:cs="Times New Roman"/>
                <w:sz w:val="20"/>
                <w:szCs w:val="20"/>
              </w:rPr>
              <w:t>365,0</w:t>
            </w:r>
          </w:p>
        </w:tc>
      </w:tr>
      <w:tr w:rsidR="00792CED" w:rsidRPr="00323FA6" w14:paraId="33E92A1D" w14:textId="77777777" w:rsidTr="00D73AE5">
        <w:trPr>
          <w:gridAfter w:val="1"/>
          <w:wAfter w:w="15" w:type="dxa"/>
          <w:trHeight w:val="367"/>
          <w:jc w:val="center"/>
        </w:trPr>
        <w:tc>
          <w:tcPr>
            <w:tcW w:w="2962" w:type="dxa"/>
            <w:shd w:val="clear" w:color="auto" w:fill="auto"/>
            <w:vAlign w:val="center"/>
          </w:tcPr>
          <w:p w14:paraId="7767CDF6" w14:textId="77777777" w:rsidR="00792CED" w:rsidRPr="00246CD7" w:rsidRDefault="00792CED" w:rsidP="00D73AE5">
            <w:pPr>
              <w:ind w:left="166"/>
              <w:rPr>
                <w:rFonts w:ascii="Times New Roman" w:eastAsia="Times New Roman" w:hAnsi="Times New Roman" w:cs="Times New Roman"/>
                <w:noProof/>
                <w:sz w:val="20"/>
                <w:szCs w:val="20"/>
              </w:rPr>
            </w:pPr>
            <w:r w:rsidRPr="00246CD7">
              <w:rPr>
                <w:rFonts w:ascii="Times New Roman" w:eastAsia="Times New Roman" w:hAnsi="Times New Roman" w:cs="Times New Roman"/>
                <w:noProof/>
                <w:sz w:val="20"/>
                <w:szCs w:val="20"/>
              </w:rPr>
              <w:t>Nenodokļu ieņēmumi</w:t>
            </w:r>
          </w:p>
        </w:tc>
        <w:tc>
          <w:tcPr>
            <w:tcW w:w="848" w:type="dxa"/>
            <w:shd w:val="clear" w:color="auto" w:fill="auto"/>
            <w:tcMar>
              <w:left w:w="57" w:type="dxa"/>
              <w:right w:w="57" w:type="dxa"/>
            </w:tcMar>
            <w:vAlign w:val="center"/>
          </w:tcPr>
          <w:p w14:paraId="64555B70"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648,9</w:t>
            </w:r>
          </w:p>
        </w:tc>
        <w:tc>
          <w:tcPr>
            <w:tcW w:w="847" w:type="dxa"/>
            <w:shd w:val="clear" w:color="auto" w:fill="auto"/>
            <w:tcMar>
              <w:left w:w="57" w:type="dxa"/>
              <w:right w:w="57" w:type="dxa"/>
            </w:tcMar>
            <w:vAlign w:val="center"/>
          </w:tcPr>
          <w:p w14:paraId="39A1C84E" w14:textId="77777777" w:rsidR="00792CED" w:rsidRPr="002831DF" w:rsidRDefault="00792CED" w:rsidP="00D73AE5">
            <w:pPr>
              <w:jc w:val="right"/>
              <w:rPr>
                <w:rFonts w:ascii="Times New Roman" w:eastAsia="Times New Roman" w:hAnsi="Times New Roman" w:cs="Times New Roman"/>
                <w:sz w:val="20"/>
                <w:szCs w:val="20"/>
              </w:rPr>
            </w:pPr>
            <w:r w:rsidRPr="002831DF">
              <w:rPr>
                <w:rFonts w:ascii="Times New Roman" w:eastAsia="Times New Roman" w:hAnsi="Times New Roman" w:cs="Times New Roman"/>
                <w:sz w:val="20"/>
                <w:szCs w:val="20"/>
              </w:rPr>
              <w:t>545,1</w:t>
            </w:r>
          </w:p>
        </w:tc>
        <w:tc>
          <w:tcPr>
            <w:tcW w:w="848" w:type="dxa"/>
            <w:shd w:val="clear" w:color="auto" w:fill="auto"/>
            <w:tcMar>
              <w:left w:w="57" w:type="dxa"/>
              <w:right w:w="57" w:type="dxa"/>
            </w:tcMar>
            <w:vAlign w:val="center"/>
          </w:tcPr>
          <w:p w14:paraId="0E8E3267" w14:textId="77777777" w:rsidR="00792CED" w:rsidRPr="002831DF" w:rsidRDefault="00792CED" w:rsidP="00D73AE5">
            <w:pPr>
              <w:jc w:val="right"/>
              <w:rPr>
                <w:rFonts w:ascii="Times New Roman" w:eastAsia="Times New Roman" w:hAnsi="Times New Roman" w:cs="Times New Roman"/>
                <w:sz w:val="20"/>
                <w:szCs w:val="20"/>
              </w:rPr>
            </w:pPr>
            <w:r w:rsidRPr="002831DF">
              <w:rPr>
                <w:rFonts w:ascii="Times New Roman" w:eastAsia="Times New Roman" w:hAnsi="Times New Roman" w:cs="Times New Roman"/>
                <w:sz w:val="20"/>
                <w:szCs w:val="20"/>
              </w:rPr>
              <w:t>520,3</w:t>
            </w:r>
          </w:p>
        </w:tc>
        <w:tc>
          <w:tcPr>
            <w:tcW w:w="847" w:type="dxa"/>
            <w:shd w:val="clear" w:color="auto" w:fill="auto"/>
            <w:tcMar>
              <w:left w:w="57" w:type="dxa"/>
              <w:right w:w="57" w:type="dxa"/>
            </w:tcMar>
            <w:vAlign w:val="center"/>
          </w:tcPr>
          <w:p w14:paraId="003059A3" w14:textId="77777777" w:rsidR="00792CED" w:rsidRPr="002831DF" w:rsidRDefault="00792CED" w:rsidP="00D73AE5">
            <w:pPr>
              <w:jc w:val="right"/>
              <w:rPr>
                <w:rFonts w:ascii="Times New Roman" w:eastAsia="Times New Roman" w:hAnsi="Times New Roman" w:cs="Times New Roman"/>
                <w:sz w:val="20"/>
                <w:szCs w:val="20"/>
              </w:rPr>
            </w:pPr>
            <w:r w:rsidRPr="002831DF">
              <w:rPr>
                <w:rFonts w:ascii="Times New Roman" w:eastAsia="Times New Roman" w:hAnsi="Times New Roman" w:cs="Times New Roman"/>
                <w:sz w:val="20"/>
                <w:szCs w:val="20"/>
              </w:rPr>
              <w:t>514,0</w:t>
            </w:r>
          </w:p>
        </w:tc>
        <w:tc>
          <w:tcPr>
            <w:tcW w:w="706" w:type="dxa"/>
            <w:shd w:val="clear" w:color="auto" w:fill="auto"/>
            <w:tcMar>
              <w:left w:w="57" w:type="dxa"/>
              <w:right w:w="57" w:type="dxa"/>
            </w:tcMar>
            <w:vAlign w:val="center"/>
          </w:tcPr>
          <w:p w14:paraId="59EB68E0"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0,0</w:t>
            </w:r>
          </w:p>
        </w:tc>
        <w:tc>
          <w:tcPr>
            <w:tcW w:w="706" w:type="dxa"/>
            <w:shd w:val="clear" w:color="auto" w:fill="auto"/>
            <w:tcMar>
              <w:left w:w="57" w:type="dxa"/>
              <w:right w:w="57" w:type="dxa"/>
            </w:tcMar>
            <w:vAlign w:val="center"/>
          </w:tcPr>
          <w:p w14:paraId="37234F17"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-19,8</w:t>
            </w:r>
          </w:p>
        </w:tc>
        <w:tc>
          <w:tcPr>
            <w:tcW w:w="705" w:type="dxa"/>
            <w:shd w:val="clear" w:color="auto" w:fill="auto"/>
            <w:tcMar>
              <w:left w:w="57" w:type="dxa"/>
              <w:right w:w="57" w:type="dxa"/>
            </w:tcMar>
            <w:vAlign w:val="center"/>
          </w:tcPr>
          <w:p w14:paraId="609DF4ED"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-15,6</w:t>
            </w:r>
          </w:p>
        </w:tc>
        <w:tc>
          <w:tcPr>
            <w:tcW w:w="631" w:type="dxa"/>
            <w:shd w:val="clear" w:color="auto" w:fill="auto"/>
            <w:tcMar>
              <w:left w:w="57" w:type="dxa"/>
              <w:right w:w="57" w:type="dxa"/>
            </w:tcMar>
            <w:vAlign w:val="center"/>
          </w:tcPr>
          <w:p w14:paraId="26CA248E"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-15,7</w:t>
            </w:r>
          </w:p>
        </w:tc>
      </w:tr>
      <w:tr w:rsidR="00792CED" w:rsidRPr="00323FA6" w14:paraId="100D8BC4" w14:textId="77777777" w:rsidTr="00D73AE5">
        <w:trPr>
          <w:gridAfter w:val="1"/>
          <w:wAfter w:w="15" w:type="dxa"/>
          <w:trHeight w:val="287"/>
          <w:jc w:val="center"/>
        </w:trPr>
        <w:tc>
          <w:tcPr>
            <w:tcW w:w="2962" w:type="dxa"/>
            <w:tcBorders>
              <w:bottom w:val="double" w:sz="4" w:space="0" w:color="auto"/>
            </w:tcBorders>
            <w:shd w:val="clear" w:color="auto" w:fill="auto"/>
            <w:vAlign w:val="center"/>
          </w:tcPr>
          <w:p w14:paraId="13015BCD" w14:textId="77777777" w:rsidR="00792CED" w:rsidRPr="00246CD7" w:rsidRDefault="00792CED" w:rsidP="00D73AE5">
            <w:pPr>
              <w:ind w:left="166"/>
              <w:rPr>
                <w:rFonts w:ascii="Times New Roman" w:eastAsia="Times New Roman" w:hAnsi="Times New Roman" w:cs="Times New Roman"/>
                <w:noProof/>
                <w:sz w:val="20"/>
                <w:szCs w:val="20"/>
              </w:rPr>
            </w:pPr>
            <w:r w:rsidRPr="00246CD7">
              <w:rPr>
                <w:rFonts w:ascii="Times New Roman" w:eastAsia="Times New Roman" w:hAnsi="Times New Roman" w:cs="Times New Roman"/>
                <w:noProof/>
                <w:sz w:val="20"/>
                <w:szCs w:val="20"/>
              </w:rPr>
              <w:t>Procentu izdevumi</w:t>
            </w:r>
          </w:p>
        </w:tc>
        <w:tc>
          <w:tcPr>
            <w:tcW w:w="848" w:type="dxa"/>
            <w:tcBorders>
              <w:bottom w:val="double" w:sz="4" w:space="0" w:color="auto"/>
            </w:tcBorders>
            <w:shd w:val="clear" w:color="auto" w:fill="auto"/>
            <w:tcMar>
              <w:left w:w="57" w:type="dxa"/>
              <w:right w:w="57" w:type="dxa"/>
            </w:tcMar>
            <w:vAlign w:val="center"/>
          </w:tcPr>
          <w:p w14:paraId="362B82F7"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263,2</w:t>
            </w:r>
          </w:p>
        </w:tc>
        <w:tc>
          <w:tcPr>
            <w:tcW w:w="847" w:type="dxa"/>
            <w:tcBorders>
              <w:bottom w:val="double" w:sz="4" w:space="0" w:color="auto"/>
            </w:tcBorders>
            <w:shd w:val="clear" w:color="auto" w:fill="auto"/>
            <w:tcMar>
              <w:left w:w="57" w:type="dxa"/>
              <w:right w:w="57" w:type="dxa"/>
            </w:tcMar>
            <w:vAlign w:val="center"/>
          </w:tcPr>
          <w:p w14:paraId="3E4C201D"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268,7</w:t>
            </w:r>
          </w:p>
        </w:tc>
        <w:tc>
          <w:tcPr>
            <w:tcW w:w="848" w:type="dxa"/>
            <w:tcBorders>
              <w:bottom w:val="double" w:sz="4" w:space="0" w:color="auto"/>
            </w:tcBorders>
            <w:shd w:val="clear" w:color="auto" w:fill="auto"/>
            <w:tcMar>
              <w:left w:w="57" w:type="dxa"/>
              <w:right w:w="57" w:type="dxa"/>
            </w:tcMar>
            <w:vAlign w:val="center"/>
          </w:tcPr>
          <w:p w14:paraId="0978BEF9"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246,2</w:t>
            </w:r>
          </w:p>
        </w:tc>
        <w:tc>
          <w:tcPr>
            <w:tcW w:w="847" w:type="dxa"/>
            <w:tcBorders>
              <w:bottom w:val="double" w:sz="4" w:space="0" w:color="auto"/>
            </w:tcBorders>
            <w:shd w:val="clear" w:color="auto" w:fill="auto"/>
            <w:tcMar>
              <w:left w:w="57" w:type="dxa"/>
              <w:right w:w="57" w:type="dxa"/>
            </w:tcMar>
            <w:vAlign w:val="center"/>
          </w:tcPr>
          <w:p w14:paraId="7843000A"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246,8</w:t>
            </w:r>
          </w:p>
        </w:tc>
        <w:tc>
          <w:tcPr>
            <w:tcW w:w="706" w:type="dxa"/>
            <w:tcBorders>
              <w:bottom w:val="double" w:sz="4" w:space="0" w:color="auto"/>
            </w:tcBorders>
            <w:shd w:val="clear" w:color="auto" w:fill="auto"/>
            <w:tcMar>
              <w:left w:w="57" w:type="dxa"/>
              <w:right w:w="57" w:type="dxa"/>
            </w:tcMar>
            <w:vAlign w:val="center"/>
          </w:tcPr>
          <w:p w14:paraId="3D657891"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0,0</w:t>
            </w:r>
          </w:p>
        </w:tc>
        <w:tc>
          <w:tcPr>
            <w:tcW w:w="706" w:type="dxa"/>
            <w:tcBorders>
              <w:bottom w:val="double" w:sz="4" w:space="0" w:color="auto"/>
            </w:tcBorders>
            <w:shd w:val="clear" w:color="auto" w:fill="auto"/>
            <w:tcMar>
              <w:left w:w="57" w:type="dxa"/>
              <w:right w:w="57" w:type="dxa"/>
            </w:tcMar>
            <w:vAlign w:val="center"/>
          </w:tcPr>
          <w:p w14:paraId="78CF331B"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0,2</w:t>
            </w:r>
          </w:p>
        </w:tc>
        <w:tc>
          <w:tcPr>
            <w:tcW w:w="705" w:type="dxa"/>
            <w:tcBorders>
              <w:bottom w:val="double" w:sz="4" w:space="0" w:color="auto"/>
            </w:tcBorders>
            <w:shd w:val="clear" w:color="auto" w:fill="auto"/>
            <w:tcMar>
              <w:left w:w="57" w:type="dxa"/>
              <w:right w:w="57" w:type="dxa"/>
            </w:tcMar>
            <w:vAlign w:val="center"/>
          </w:tcPr>
          <w:p w14:paraId="3FE88A3F"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4,0</w:t>
            </w:r>
          </w:p>
        </w:tc>
        <w:tc>
          <w:tcPr>
            <w:tcW w:w="631" w:type="dxa"/>
            <w:tcBorders>
              <w:bottom w:val="double" w:sz="4" w:space="0" w:color="auto"/>
            </w:tcBorders>
            <w:shd w:val="clear" w:color="auto" w:fill="auto"/>
            <w:tcMar>
              <w:left w:w="57" w:type="dxa"/>
              <w:right w:w="57" w:type="dxa"/>
            </w:tcMar>
            <w:vAlign w:val="center"/>
          </w:tcPr>
          <w:p w14:paraId="570C5B0B"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6,</w:t>
            </w:r>
            <w:r>
              <w:rPr>
                <w:rFonts w:ascii="Times New Roman" w:eastAsia="Times New Roman" w:hAnsi="Times New Roman" w:cs="Times New Roman"/>
                <w:sz w:val="20"/>
                <w:szCs w:val="20"/>
              </w:rPr>
              <w:t>9</w:t>
            </w:r>
          </w:p>
        </w:tc>
      </w:tr>
      <w:tr w:rsidR="00792CED" w:rsidRPr="00323FA6" w14:paraId="287D1AFA" w14:textId="77777777" w:rsidTr="00D73AE5">
        <w:trPr>
          <w:gridAfter w:val="1"/>
          <w:wAfter w:w="15" w:type="dxa"/>
          <w:trHeight w:val="579"/>
          <w:jc w:val="center"/>
        </w:trPr>
        <w:tc>
          <w:tcPr>
            <w:tcW w:w="2962" w:type="dxa"/>
            <w:tcBorders>
              <w:top w:val="double" w:sz="4" w:space="0" w:color="auto"/>
              <w:left w:val="single" w:sz="4" w:space="0" w:color="auto"/>
            </w:tcBorders>
            <w:shd w:val="clear" w:color="auto" w:fill="auto"/>
            <w:vAlign w:val="center"/>
          </w:tcPr>
          <w:p w14:paraId="72B79EB7" w14:textId="77777777" w:rsidR="00792CED" w:rsidRPr="00246CD7" w:rsidRDefault="00792CED" w:rsidP="00D73AE5">
            <w:pPr>
              <w:rPr>
                <w:rFonts w:ascii="Times New Roman" w:eastAsia="Times New Roman" w:hAnsi="Times New Roman" w:cs="Times New Roman"/>
                <w:noProof/>
                <w:sz w:val="20"/>
                <w:szCs w:val="20"/>
              </w:rPr>
            </w:pPr>
            <w:r w:rsidRPr="00246CD7">
              <w:rPr>
                <w:rFonts w:ascii="Times New Roman" w:eastAsia="Times New Roman" w:hAnsi="Times New Roman" w:cs="Times New Roman"/>
                <w:noProof/>
                <w:sz w:val="20"/>
                <w:szCs w:val="20"/>
              </w:rPr>
              <w:t xml:space="preserve">   Procentu izdevumi</w:t>
            </w:r>
            <w:r w:rsidRPr="00246CD7">
              <w:rPr>
                <w:rFonts w:ascii="Times New Roman" w:eastAsia="Times New Roman" w:hAnsi="Times New Roman" w:cs="Times New Roman"/>
                <w:noProof/>
                <w:sz w:val="20"/>
                <w:szCs w:val="20"/>
              </w:rPr>
              <w:br/>
              <w:t xml:space="preserve">  (% likmes paliel. par 1 pp)</w:t>
            </w:r>
          </w:p>
        </w:tc>
        <w:tc>
          <w:tcPr>
            <w:tcW w:w="848" w:type="dxa"/>
            <w:tcBorders>
              <w:top w:val="double" w:sz="4" w:space="0" w:color="auto"/>
            </w:tcBorders>
            <w:shd w:val="clear" w:color="auto" w:fill="auto"/>
            <w:tcMar>
              <w:left w:w="57" w:type="dxa"/>
              <w:right w:w="57" w:type="dxa"/>
            </w:tcMar>
            <w:vAlign w:val="center"/>
          </w:tcPr>
          <w:p w14:paraId="0950BB62"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263,2</w:t>
            </w:r>
          </w:p>
        </w:tc>
        <w:tc>
          <w:tcPr>
            <w:tcW w:w="847" w:type="dxa"/>
            <w:tcBorders>
              <w:top w:val="double" w:sz="4" w:space="0" w:color="auto"/>
            </w:tcBorders>
            <w:shd w:val="clear" w:color="auto" w:fill="auto"/>
            <w:tcMar>
              <w:left w:w="57" w:type="dxa"/>
              <w:right w:w="57" w:type="dxa"/>
            </w:tcMar>
            <w:vAlign w:val="center"/>
          </w:tcPr>
          <w:p w14:paraId="79315D77"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272,1</w:t>
            </w:r>
          </w:p>
        </w:tc>
        <w:tc>
          <w:tcPr>
            <w:tcW w:w="848" w:type="dxa"/>
            <w:tcBorders>
              <w:top w:val="double" w:sz="4" w:space="0" w:color="auto"/>
            </w:tcBorders>
            <w:shd w:val="clear" w:color="auto" w:fill="auto"/>
            <w:tcMar>
              <w:left w:w="57" w:type="dxa"/>
              <w:right w:w="57" w:type="dxa"/>
            </w:tcMar>
            <w:vAlign w:val="center"/>
          </w:tcPr>
          <w:p w14:paraId="75DB8747"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273,9</w:t>
            </w:r>
          </w:p>
        </w:tc>
        <w:tc>
          <w:tcPr>
            <w:tcW w:w="847" w:type="dxa"/>
            <w:tcBorders>
              <w:top w:val="double" w:sz="4" w:space="0" w:color="auto"/>
            </w:tcBorders>
            <w:shd w:val="clear" w:color="auto" w:fill="auto"/>
            <w:tcMar>
              <w:left w:w="57" w:type="dxa"/>
              <w:right w:w="57" w:type="dxa"/>
            </w:tcMar>
            <w:vAlign w:val="center"/>
          </w:tcPr>
          <w:p w14:paraId="01E1A21D"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297,3</w:t>
            </w:r>
          </w:p>
        </w:tc>
        <w:tc>
          <w:tcPr>
            <w:tcW w:w="706" w:type="dxa"/>
            <w:tcBorders>
              <w:top w:val="double" w:sz="4" w:space="0" w:color="auto"/>
            </w:tcBorders>
            <w:shd w:val="clear" w:color="auto" w:fill="auto"/>
            <w:tcMar>
              <w:left w:w="57" w:type="dxa"/>
              <w:right w:w="57" w:type="dxa"/>
            </w:tcMar>
            <w:vAlign w:val="center"/>
          </w:tcPr>
          <w:p w14:paraId="4814D4A1"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0,0</w:t>
            </w:r>
          </w:p>
        </w:tc>
        <w:tc>
          <w:tcPr>
            <w:tcW w:w="706" w:type="dxa"/>
            <w:tcBorders>
              <w:top w:val="double" w:sz="4" w:space="0" w:color="auto"/>
            </w:tcBorders>
            <w:shd w:val="clear" w:color="auto" w:fill="auto"/>
            <w:tcMar>
              <w:left w:w="57" w:type="dxa"/>
              <w:right w:w="57" w:type="dxa"/>
            </w:tcMar>
            <w:vAlign w:val="center"/>
          </w:tcPr>
          <w:p w14:paraId="622DF0C4"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3,6</w:t>
            </w:r>
          </w:p>
        </w:tc>
        <w:tc>
          <w:tcPr>
            <w:tcW w:w="705" w:type="dxa"/>
            <w:tcBorders>
              <w:top w:val="double" w:sz="4" w:space="0" w:color="auto"/>
            </w:tcBorders>
            <w:shd w:val="clear" w:color="auto" w:fill="auto"/>
            <w:tcMar>
              <w:left w:w="57" w:type="dxa"/>
              <w:right w:w="57" w:type="dxa"/>
            </w:tcMar>
            <w:vAlign w:val="center"/>
          </w:tcPr>
          <w:p w14:paraId="177A7C9A"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31,7</w:t>
            </w:r>
          </w:p>
        </w:tc>
        <w:tc>
          <w:tcPr>
            <w:tcW w:w="631" w:type="dxa"/>
            <w:tcBorders>
              <w:top w:val="double" w:sz="4" w:space="0" w:color="auto"/>
              <w:right w:val="single" w:sz="4" w:space="0" w:color="auto"/>
            </w:tcBorders>
            <w:shd w:val="clear" w:color="auto" w:fill="auto"/>
            <w:tcMar>
              <w:left w:w="57" w:type="dxa"/>
              <w:right w:w="57" w:type="dxa"/>
            </w:tcMar>
            <w:vAlign w:val="center"/>
          </w:tcPr>
          <w:p w14:paraId="510ADAEA"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57,4</w:t>
            </w:r>
          </w:p>
        </w:tc>
      </w:tr>
      <w:tr w:rsidR="00792CED" w:rsidRPr="00323FA6" w14:paraId="69A56CD2" w14:textId="77777777" w:rsidTr="00D73AE5">
        <w:trPr>
          <w:gridAfter w:val="1"/>
          <w:wAfter w:w="15" w:type="dxa"/>
          <w:trHeight w:val="579"/>
          <w:jc w:val="center"/>
        </w:trPr>
        <w:tc>
          <w:tcPr>
            <w:tcW w:w="2962" w:type="dxa"/>
            <w:tcBorders>
              <w:left w:val="single" w:sz="4" w:space="0" w:color="auto"/>
              <w:bottom w:val="double" w:sz="4" w:space="0" w:color="auto"/>
            </w:tcBorders>
            <w:shd w:val="clear" w:color="auto" w:fill="auto"/>
            <w:vAlign w:val="center"/>
          </w:tcPr>
          <w:p w14:paraId="6280A5BC" w14:textId="77777777" w:rsidR="00792CED" w:rsidRPr="00246CD7" w:rsidRDefault="00792CED" w:rsidP="00D73AE5">
            <w:pPr>
              <w:rPr>
                <w:rFonts w:ascii="Times New Roman" w:hAnsi="Times New Roman" w:cs="Times New Roman"/>
                <w:noProof/>
                <w:sz w:val="20"/>
                <w:szCs w:val="20"/>
              </w:rPr>
            </w:pPr>
            <w:r w:rsidRPr="00246CD7">
              <w:rPr>
                <w:rFonts w:ascii="Times New Roman" w:eastAsia="Times New Roman" w:hAnsi="Times New Roman" w:cs="Times New Roman"/>
                <w:noProof/>
                <w:sz w:val="20"/>
                <w:szCs w:val="20"/>
              </w:rPr>
              <w:t xml:space="preserve">   Procentu izdevumi</w:t>
            </w:r>
            <w:r w:rsidRPr="00246CD7">
              <w:rPr>
                <w:rFonts w:ascii="Times New Roman" w:eastAsia="Times New Roman" w:hAnsi="Times New Roman" w:cs="Times New Roman"/>
                <w:noProof/>
                <w:sz w:val="20"/>
                <w:szCs w:val="20"/>
              </w:rPr>
              <w:br/>
              <w:t xml:space="preserve">   (% likmes samaz. par 1 pp)</w:t>
            </w:r>
          </w:p>
        </w:tc>
        <w:tc>
          <w:tcPr>
            <w:tcW w:w="848" w:type="dxa"/>
            <w:tcBorders>
              <w:bottom w:val="double" w:sz="4" w:space="0" w:color="auto"/>
            </w:tcBorders>
            <w:shd w:val="clear" w:color="auto" w:fill="auto"/>
            <w:tcMar>
              <w:left w:w="57" w:type="dxa"/>
              <w:right w:w="57" w:type="dxa"/>
            </w:tcMar>
            <w:vAlign w:val="center"/>
          </w:tcPr>
          <w:p w14:paraId="7C6310FC"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263,2</w:t>
            </w:r>
          </w:p>
        </w:tc>
        <w:tc>
          <w:tcPr>
            <w:tcW w:w="847" w:type="dxa"/>
            <w:tcBorders>
              <w:bottom w:val="double" w:sz="4" w:space="0" w:color="auto"/>
            </w:tcBorders>
            <w:shd w:val="clear" w:color="auto" w:fill="auto"/>
            <w:tcMar>
              <w:left w:w="57" w:type="dxa"/>
              <w:right w:w="57" w:type="dxa"/>
            </w:tcMar>
            <w:vAlign w:val="center"/>
          </w:tcPr>
          <w:p w14:paraId="7F8F7EC4"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268,3</w:t>
            </w:r>
          </w:p>
        </w:tc>
        <w:tc>
          <w:tcPr>
            <w:tcW w:w="848" w:type="dxa"/>
            <w:tcBorders>
              <w:bottom w:val="double" w:sz="4" w:space="0" w:color="auto"/>
            </w:tcBorders>
            <w:shd w:val="clear" w:color="auto" w:fill="auto"/>
            <w:tcMar>
              <w:left w:w="57" w:type="dxa"/>
              <w:right w:w="57" w:type="dxa"/>
            </w:tcMar>
            <w:vAlign w:val="center"/>
          </w:tcPr>
          <w:p w14:paraId="3EFF22B5"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224,1</w:t>
            </w:r>
          </w:p>
        </w:tc>
        <w:tc>
          <w:tcPr>
            <w:tcW w:w="847" w:type="dxa"/>
            <w:tcBorders>
              <w:bottom w:val="double" w:sz="4" w:space="0" w:color="auto"/>
            </w:tcBorders>
            <w:shd w:val="clear" w:color="auto" w:fill="auto"/>
            <w:tcMar>
              <w:left w:w="57" w:type="dxa"/>
              <w:right w:w="57" w:type="dxa"/>
            </w:tcMar>
            <w:vAlign w:val="center"/>
          </w:tcPr>
          <w:p w14:paraId="5CE35D2F"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208,7</w:t>
            </w:r>
          </w:p>
        </w:tc>
        <w:tc>
          <w:tcPr>
            <w:tcW w:w="706" w:type="dxa"/>
            <w:tcBorders>
              <w:bottom w:val="double" w:sz="4" w:space="0" w:color="auto"/>
            </w:tcBorders>
            <w:shd w:val="clear" w:color="auto" w:fill="auto"/>
            <w:tcMar>
              <w:left w:w="57" w:type="dxa"/>
              <w:right w:w="57" w:type="dxa"/>
            </w:tcMar>
            <w:vAlign w:val="center"/>
          </w:tcPr>
          <w:p w14:paraId="197AAF57"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0,0</w:t>
            </w:r>
          </w:p>
        </w:tc>
        <w:tc>
          <w:tcPr>
            <w:tcW w:w="706" w:type="dxa"/>
            <w:tcBorders>
              <w:bottom w:val="double" w:sz="4" w:space="0" w:color="auto"/>
            </w:tcBorders>
            <w:shd w:val="clear" w:color="auto" w:fill="auto"/>
            <w:tcMar>
              <w:left w:w="57" w:type="dxa"/>
              <w:right w:w="57" w:type="dxa"/>
            </w:tcMar>
            <w:vAlign w:val="center"/>
          </w:tcPr>
          <w:p w14:paraId="12A5593A"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-0,2</w:t>
            </w:r>
          </w:p>
        </w:tc>
        <w:tc>
          <w:tcPr>
            <w:tcW w:w="705" w:type="dxa"/>
            <w:tcBorders>
              <w:bottom w:val="double" w:sz="4" w:space="0" w:color="auto"/>
            </w:tcBorders>
            <w:shd w:val="clear" w:color="auto" w:fill="auto"/>
            <w:tcMar>
              <w:left w:w="57" w:type="dxa"/>
              <w:right w:w="57" w:type="dxa"/>
            </w:tcMar>
            <w:vAlign w:val="center"/>
          </w:tcPr>
          <w:p w14:paraId="6C5CB785"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-18,1</w:t>
            </w:r>
          </w:p>
        </w:tc>
        <w:tc>
          <w:tcPr>
            <w:tcW w:w="631" w:type="dxa"/>
            <w:tcBorders>
              <w:bottom w:val="double" w:sz="4" w:space="0" w:color="auto"/>
              <w:right w:val="single" w:sz="4" w:space="0" w:color="auto"/>
            </w:tcBorders>
            <w:shd w:val="clear" w:color="auto" w:fill="auto"/>
            <w:tcMar>
              <w:left w:w="57" w:type="dxa"/>
              <w:right w:w="57" w:type="dxa"/>
            </w:tcMar>
            <w:vAlign w:val="center"/>
          </w:tcPr>
          <w:p w14:paraId="3BF96506" w14:textId="77777777" w:rsidR="00792CED" w:rsidRPr="00246CD7" w:rsidRDefault="00792CED" w:rsidP="00D73AE5">
            <w:pPr>
              <w:jc w:val="right"/>
              <w:rPr>
                <w:rFonts w:ascii="Times New Roman" w:eastAsia="Times New Roman" w:hAnsi="Times New Roman" w:cs="Times New Roman"/>
                <w:sz w:val="20"/>
                <w:szCs w:val="20"/>
              </w:rPr>
            </w:pPr>
            <w:r w:rsidRPr="00246CD7">
              <w:rPr>
                <w:rFonts w:ascii="Times New Roman" w:eastAsia="Times New Roman" w:hAnsi="Times New Roman" w:cs="Times New Roman"/>
                <w:sz w:val="20"/>
                <w:szCs w:val="20"/>
              </w:rPr>
              <w:t>-31,2</w:t>
            </w:r>
          </w:p>
        </w:tc>
      </w:tr>
      <w:tr w:rsidR="00792CED" w:rsidRPr="00323FA6" w14:paraId="5685CC6A" w14:textId="77777777" w:rsidTr="00D73AE5">
        <w:trPr>
          <w:gridAfter w:val="1"/>
          <w:wAfter w:w="15" w:type="dxa"/>
          <w:trHeight w:val="579"/>
          <w:jc w:val="center"/>
        </w:trPr>
        <w:tc>
          <w:tcPr>
            <w:tcW w:w="2962" w:type="dxa"/>
            <w:tcBorders>
              <w:top w:val="double" w:sz="4" w:space="0" w:color="auto"/>
            </w:tcBorders>
            <w:shd w:val="clear" w:color="auto" w:fill="auto"/>
            <w:vAlign w:val="center"/>
          </w:tcPr>
          <w:p w14:paraId="0A4CA5BC" w14:textId="77777777" w:rsidR="00792CED" w:rsidRPr="00246CD7" w:rsidRDefault="00792CED" w:rsidP="00D73AE5">
            <w:pPr>
              <w:rPr>
                <w:rFonts w:ascii="Times New Roman" w:eastAsia="Times New Roman" w:hAnsi="Times New Roman" w:cs="Times New Roman"/>
                <w:b/>
                <w:noProof/>
                <w:sz w:val="20"/>
                <w:szCs w:val="20"/>
              </w:rPr>
            </w:pPr>
            <w:r w:rsidRPr="00246CD7">
              <w:rPr>
                <w:rFonts w:ascii="Times New Roman" w:eastAsia="Times New Roman" w:hAnsi="Times New Roman" w:cs="Times New Roman"/>
                <w:b/>
                <w:noProof/>
                <w:sz w:val="20"/>
                <w:szCs w:val="20"/>
              </w:rPr>
              <w:t>Vispārējās valdības parāds,</w:t>
            </w:r>
            <w:r w:rsidRPr="00246CD7">
              <w:rPr>
                <w:rFonts w:ascii="Times New Roman" w:eastAsia="Times New Roman" w:hAnsi="Times New Roman" w:cs="Times New Roman"/>
                <w:b/>
                <w:noProof/>
                <w:sz w:val="20"/>
                <w:szCs w:val="20"/>
              </w:rPr>
              <w:br/>
              <w:t xml:space="preserve">% no IKP </w:t>
            </w:r>
          </w:p>
        </w:tc>
        <w:tc>
          <w:tcPr>
            <w:tcW w:w="848" w:type="dxa"/>
            <w:tcBorders>
              <w:top w:val="double" w:sz="4" w:space="0" w:color="auto"/>
            </w:tcBorders>
            <w:shd w:val="clear" w:color="auto" w:fill="auto"/>
            <w:tcMar>
              <w:left w:w="57" w:type="dxa"/>
              <w:right w:w="57" w:type="dxa"/>
            </w:tcMar>
            <w:vAlign w:val="center"/>
          </w:tcPr>
          <w:p w14:paraId="397ED0EC"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48,9</w:t>
            </w:r>
          </w:p>
        </w:tc>
        <w:tc>
          <w:tcPr>
            <w:tcW w:w="847" w:type="dxa"/>
            <w:tcBorders>
              <w:top w:val="double" w:sz="4" w:space="0" w:color="auto"/>
            </w:tcBorders>
            <w:shd w:val="clear" w:color="auto" w:fill="auto"/>
            <w:tcMar>
              <w:left w:w="57" w:type="dxa"/>
              <w:right w:w="57" w:type="dxa"/>
            </w:tcMar>
            <w:vAlign w:val="center"/>
          </w:tcPr>
          <w:p w14:paraId="5121CD58"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50,7</w:t>
            </w:r>
          </w:p>
        </w:tc>
        <w:tc>
          <w:tcPr>
            <w:tcW w:w="848" w:type="dxa"/>
            <w:tcBorders>
              <w:top w:val="double" w:sz="4" w:space="0" w:color="auto"/>
            </w:tcBorders>
            <w:shd w:val="clear" w:color="auto" w:fill="auto"/>
            <w:tcMar>
              <w:left w:w="57" w:type="dxa"/>
              <w:right w:w="57" w:type="dxa"/>
            </w:tcMar>
            <w:vAlign w:val="center"/>
          </w:tcPr>
          <w:p w14:paraId="18CF7A1E"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51,2</w:t>
            </w:r>
          </w:p>
        </w:tc>
        <w:tc>
          <w:tcPr>
            <w:tcW w:w="847" w:type="dxa"/>
            <w:tcBorders>
              <w:top w:val="double" w:sz="4" w:space="0" w:color="auto"/>
            </w:tcBorders>
            <w:shd w:val="clear" w:color="auto" w:fill="auto"/>
            <w:tcMar>
              <w:left w:w="57" w:type="dxa"/>
              <w:right w:w="57" w:type="dxa"/>
            </w:tcMar>
            <w:vAlign w:val="center"/>
          </w:tcPr>
          <w:p w14:paraId="6A8C9FDF"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50,7</w:t>
            </w:r>
          </w:p>
        </w:tc>
        <w:tc>
          <w:tcPr>
            <w:tcW w:w="706" w:type="dxa"/>
            <w:tcBorders>
              <w:top w:val="double" w:sz="4" w:space="0" w:color="auto"/>
            </w:tcBorders>
            <w:shd w:val="clear" w:color="auto" w:fill="auto"/>
            <w:tcMar>
              <w:left w:w="57" w:type="dxa"/>
              <w:right w:w="57" w:type="dxa"/>
            </w:tcMar>
            <w:vAlign w:val="center"/>
          </w:tcPr>
          <w:p w14:paraId="2FDE1916"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1,6</w:t>
            </w:r>
          </w:p>
        </w:tc>
        <w:tc>
          <w:tcPr>
            <w:tcW w:w="706" w:type="dxa"/>
            <w:tcBorders>
              <w:top w:val="double" w:sz="4" w:space="0" w:color="auto"/>
            </w:tcBorders>
            <w:shd w:val="clear" w:color="auto" w:fill="auto"/>
            <w:tcMar>
              <w:left w:w="57" w:type="dxa"/>
              <w:right w:w="57" w:type="dxa"/>
            </w:tcMar>
            <w:vAlign w:val="center"/>
          </w:tcPr>
          <w:p w14:paraId="76752A1F"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4,7</w:t>
            </w:r>
          </w:p>
        </w:tc>
        <w:tc>
          <w:tcPr>
            <w:tcW w:w="705" w:type="dxa"/>
            <w:tcBorders>
              <w:top w:val="double" w:sz="4" w:space="0" w:color="auto"/>
            </w:tcBorders>
            <w:shd w:val="clear" w:color="auto" w:fill="auto"/>
            <w:tcMar>
              <w:left w:w="57" w:type="dxa"/>
              <w:right w:w="57" w:type="dxa"/>
            </w:tcMar>
            <w:vAlign w:val="center"/>
          </w:tcPr>
          <w:p w14:paraId="07DDCBE5"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5,3</w:t>
            </w:r>
          </w:p>
        </w:tc>
        <w:tc>
          <w:tcPr>
            <w:tcW w:w="631" w:type="dxa"/>
            <w:tcBorders>
              <w:top w:val="double" w:sz="4" w:space="0" w:color="auto"/>
            </w:tcBorders>
            <w:shd w:val="clear" w:color="auto" w:fill="auto"/>
            <w:tcMar>
              <w:left w:w="57" w:type="dxa"/>
              <w:right w:w="57" w:type="dxa"/>
            </w:tcMar>
            <w:vAlign w:val="center"/>
          </w:tcPr>
          <w:p w14:paraId="62E3C191" w14:textId="77777777" w:rsidR="00792CED" w:rsidRPr="00246CD7" w:rsidRDefault="00792CED" w:rsidP="00D73AE5">
            <w:pPr>
              <w:jc w:val="right"/>
              <w:rPr>
                <w:rFonts w:ascii="Times New Roman" w:eastAsia="Times New Roman" w:hAnsi="Times New Roman" w:cs="Times New Roman"/>
                <w:b/>
                <w:sz w:val="20"/>
                <w:szCs w:val="20"/>
              </w:rPr>
            </w:pPr>
            <w:r w:rsidRPr="00246CD7">
              <w:rPr>
                <w:rFonts w:ascii="Times New Roman" w:eastAsia="Times New Roman" w:hAnsi="Times New Roman" w:cs="Times New Roman"/>
                <w:b/>
                <w:sz w:val="20"/>
                <w:szCs w:val="20"/>
              </w:rPr>
              <w:t>5,9</w:t>
            </w:r>
          </w:p>
        </w:tc>
      </w:tr>
    </w:tbl>
    <w:p w14:paraId="65FFD832" w14:textId="77777777" w:rsidR="00792CED" w:rsidRPr="00323FA6" w:rsidRDefault="00792CED" w:rsidP="00792CED">
      <w:pPr>
        <w:autoSpaceDE w:val="0"/>
        <w:autoSpaceDN w:val="0"/>
        <w:adjustRightInd w:val="0"/>
        <w:ind w:firstLine="720"/>
        <w:jc w:val="both"/>
        <w:rPr>
          <w:rFonts w:ascii="Times New Roman" w:eastAsia="Times New Roman" w:hAnsi="Times New Roman" w:cs="Times New Roman"/>
          <w:noProof/>
          <w:color w:val="000000"/>
          <w:sz w:val="28"/>
          <w:szCs w:val="24"/>
        </w:rPr>
      </w:pPr>
    </w:p>
    <w:p w14:paraId="2315E044" w14:textId="77777777" w:rsidR="00792CED" w:rsidRPr="00323FA6" w:rsidRDefault="00792CED" w:rsidP="00792CED">
      <w:pPr>
        <w:autoSpaceDE w:val="0"/>
        <w:autoSpaceDN w:val="0"/>
        <w:adjustRightInd w:val="0"/>
        <w:ind w:firstLine="720"/>
        <w:jc w:val="both"/>
        <w:rPr>
          <w:rFonts w:ascii="Times New Roman" w:eastAsia="Times New Roman" w:hAnsi="Times New Roman" w:cs="Times New Roman"/>
          <w:noProof/>
          <w:color w:val="000000"/>
          <w:sz w:val="28"/>
          <w:szCs w:val="24"/>
        </w:rPr>
      </w:pPr>
      <w:r w:rsidRPr="009927BF">
        <w:rPr>
          <w:rFonts w:ascii="Times New Roman" w:eastAsia="Times New Roman" w:hAnsi="Times New Roman" w:cs="Times New Roman"/>
          <w:noProof/>
          <w:color w:val="000000"/>
          <w:sz w:val="28"/>
          <w:szCs w:val="24"/>
        </w:rPr>
        <w:t xml:space="preserve">Vispārējās valdības budžeta bilance pesimistiskajā scenārijā pasliktinātos no 3,9% deficīta bāzes scenārijā uz 5,8% deficītu no IKP 2021.gadā, jeb par 461,9 milj. </w:t>
      </w:r>
      <w:r w:rsidRPr="009927BF">
        <w:rPr>
          <w:rFonts w:ascii="Times New Roman" w:eastAsia="Times New Roman" w:hAnsi="Times New Roman" w:cs="Times New Roman"/>
          <w:i/>
          <w:noProof/>
          <w:color w:val="000000"/>
          <w:sz w:val="28"/>
          <w:szCs w:val="24"/>
        </w:rPr>
        <w:t>euro</w:t>
      </w:r>
      <w:r w:rsidRPr="009927BF">
        <w:rPr>
          <w:rFonts w:ascii="Times New Roman" w:eastAsia="Times New Roman" w:hAnsi="Times New Roman" w:cs="Times New Roman"/>
          <w:noProof/>
          <w:color w:val="000000"/>
          <w:sz w:val="28"/>
          <w:szCs w:val="24"/>
        </w:rPr>
        <w:t xml:space="preserve">. 2022. un 2023.gadā bilance pasliktinātos attiecīgi par 404,8 milj. </w:t>
      </w:r>
      <w:r w:rsidRPr="009927BF">
        <w:rPr>
          <w:rFonts w:ascii="Times New Roman" w:eastAsia="Times New Roman" w:hAnsi="Times New Roman" w:cs="Times New Roman"/>
          <w:i/>
          <w:noProof/>
          <w:color w:val="000000"/>
          <w:sz w:val="28"/>
          <w:szCs w:val="24"/>
        </w:rPr>
        <w:t>euro</w:t>
      </w:r>
      <w:r w:rsidRPr="009927BF">
        <w:rPr>
          <w:rFonts w:ascii="Times New Roman" w:eastAsia="Times New Roman" w:hAnsi="Times New Roman" w:cs="Times New Roman"/>
          <w:noProof/>
          <w:color w:val="000000"/>
          <w:sz w:val="28"/>
          <w:szCs w:val="24"/>
        </w:rPr>
        <w:t xml:space="preserve"> un 387,6 milj. </w:t>
      </w:r>
      <w:r w:rsidRPr="009927BF">
        <w:rPr>
          <w:rFonts w:ascii="Times New Roman" w:eastAsia="Times New Roman" w:hAnsi="Times New Roman" w:cs="Times New Roman"/>
          <w:i/>
          <w:noProof/>
          <w:color w:val="000000"/>
          <w:sz w:val="28"/>
          <w:szCs w:val="24"/>
        </w:rPr>
        <w:t>euro</w:t>
      </w:r>
      <w:r w:rsidRPr="009927BF">
        <w:rPr>
          <w:rFonts w:ascii="Times New Roman" w:eastAsia="Times New Roman" w:hAnsi="Times New Roman" w:cs="Times New Roman"/>
          <w:noProof/>
          <w:color w:val="000000"/>
          <w:sz w:val="28"/>
          <w:szCs w:val="24"/>
        </w:rPr>
        <w:t>, un vispārējās valdības budžetā veidotos 4,3% no IKP deficīts 2022.gadā un 3,0% no IKP deficīts 2023.gadā.</w:t>
      </w:r>
      <w:r w:rsidRPr="00323FA6">
        <w:rPr>
          <w:rFonts w:ascii="Times New Roman" w:eastAsia="Times New Roman" w:hAnsi="Times New Roman" w:cs="Times New Roman"/>
          <w:noProof/>
          <w:color w:val="000000"/>
          <w:sz w:val="28"/>
          <w:szCs w:val="24"/>
        </w:rPr>
        <w:t xml:space="preserve"> </w:t>
      </w:r>
    </w:p>
    <w:p w14:paraId="19494BF9" w14:textId="1A2B2E99" w:rsidR="00792CED" w:rsidRPr="00323FA6" w:rsidRDefault="00792CED" w:rsidP="00792CED">
      <w:pPr>
        <w:autoSpaceDE w:val="0"/>
        <w:autoSpaceDN w:val="0"/>
        <w:adjustRightInd w:val="0"/>
        <w:spacing w:after="120"/>
        <w:ind w:firstLine="720"/>
        <w:jc w:val="both"/>
        <w:rPr>
          <w:rFonts w:ascii="Times New Roman" w:eastAsia="Times New Roman" w:hAnsi="Times New Roman" w:cs="Times New Roman"/>
          <w:noProof/>
          <w:color w:val="000000"/>
          <w:sz w:val="28"/>
          <w:szCs w:val="24"/>
        </w:rPr>
      </w:pPr>
      <w:r w:rsidRPr="00323FA6">
        <w:rPr>
          <w:rFonts w:ascii="Times New Roman" w:eastAsia="Times New Roman" w:hAnsi="Times New Roman" w:cs="Times New Roman"/>
          <w:noProof/>
          <w:color w:val="000000"/>
          <w:sz w:val="28"/>
          <w:szCs w:val="24"/>
        </w:rPr>
        <w:t xml:space="preserve">Papildus aplūkojam scenārijus, kuros aizņemšanās procentu likmes parāda pārfinansēšanai nosvārstās viena procentpukta robežās, par vienu procentpuktu palielinoties un šādā apmērā samazinoties. Procentu likmēm par vienu procentpuktu palielinoties, procentu izdevumi 2021. gadā </w:t>
      </w:r>
      <w:r>
        <w:rPr>
          <w:rFonts w:ascii="Times New Roman" w:eastAsia="Times New Roman" w:hAnsi="Times New Roman" w:cs="Times New Roman"/>
          <w:noProof/>
          <w:color w:val="000000"/>
          <w:sz w:val="28"/>
          <w:szCs w:val="24"/>
        </w:rPr>
        <w:t>palielinātos par 3,6 </w:t>
      </w:r>
      <w:r w:rsidRPr="00323FA6">
        <w:rPr>
          <w:rFonts w:ascii="Times New Roman" w:eastAsia="Times New Roman" w:hAnsi="Times New Roman" w:cs="Times New Roman"/>
          <w:noProof/>
          <w:color w:val="000000"/>
          <w:sz w:val="28"/>
          <w:szCs w:val="24"/>
        </w:rPr>
        <w:t xml:space="preserve">milj. </w:t>
      </w:r>
      <w:r w:rsidRPr="00323FA6">
        <w:rPr>
          <w:rFonts w:ascii="Times New Roman" w:eastAsia="Times New Roman" w:hAnsi="Times New Roman" w:cs="Times New Roman"/>
          <w:i/>
          <w:noProof/>
          <w:color w:val="000000"/>
          <w:sz w:val="28"/>
          <w:szCs w:val="24"/>
        </w:rPr>
        <w:t>euro</w:t>
      </w:r>
      <w:r w:rsidRPr="00323FA6">
        <w:rPr>
          <w:rFonts w:ascii="Times New Roman" w:eastAsia="Times New Roman" w:hAnsi="Times New Roman" w:cs="Times New Roman"/>
          <w:noProof/>
          <w:color w:val="000000"/>
          <w:sz w:val="28"/>
          <w:szCs w:val="24"/>
        </w:rPr>
        <w:t xml:space="preserve">, 2022.gadā izdevumi būtu jau par 31,7 milj. </w:t>
      </w:r>
      <w:r w:rsidRPr="00323FA6">
        <w:rPr>
          <w:rFonts w:ascii="Times New Roman" w:eastAsia="Times New Roman" w:hAnsi="Times New Roman" w:cs="Times New Roman"/>
          <w:i/>
          <w:noProof/>
          <w:color w:val="000000"/>
          <w:sz w:val="28"/>
          <w:szCs w:val="24"/>
        </w:rPr>
        <w:t>euro</w:t>
      </w:r>
      <w:r w:rsidRPr="00323FA6">
        <w:rPr>
          <w:rFonts w:ascii="Times New Roman" w:eastAsia="Times New Roman" w:hAnsi="Times New Roman" w:cs="Times New Roman"/>
          <w:noProof/>
          <w:color w:val="000000"/>
          <w:sz w:val="28"/>
          <w:szCs w:val="24"/>
        </w:rPr>
        <w:t xml:space="preserve"> un 2023</w:t>
      </w:r>
      <w:r>
        <w:rPr>
          <w:rFonts w:ascii="Times New Roman" w:eastAsia="Times New Roman" w:hAnsi="Times New Roman" w:cs="Times New Roman"/>
          <w:noProof/>
          <w:color w:val="000000"/>
          <w:sz w:val="28"/>
          <w:szCs w:val="24"/>
        </w:rPr>
        <w:t>.</w:t>
      </w:r>
      <w:r w:rsidRPr="00323FA6">
        <w:rPr>
          <w:rFonts w:ascii="Times New Roman" w:eastAsia="Times New Roman" w:hAnsi="Times New Roman" w:cs="Times New Roman"/>
          <w:noProof/>
          <w:color w:val="000000"/>
          <w:sz w:val="28"/>
          <w:szCs w:val="24"/>
        </w:rPr>
        <w:t xml:space="preserve">gadā par 57,4 milj. </w:t>
      </w:r>
      <w:r w:rsidRPr="00323FA6">
        <w:rPr>
          <w:rFonts w:ascii="Times New Roman" w:eastAsia="Times New Roman" w:hAnsi="Times New Roman" w:cs="Times New Roman"/>
          <w:i/>
          <w:noProof/>
          <w:color w:val="000000"/>
          <w:sz w:val="28"/>
          <w:szCs w:val="24"/>
        </w:rPr>
        <w:t>euro</w:t>
      </w:r>
      <w:r w:rsidRPr="00323FA6">
        <w:rPr>
          <w:rFonts w:ascii="Times New Roman" w:eastAsia="Times New Roman" w:hAnsi="Times New Roman" w:cs="Times New Roman"/>
          <w:noProof/>
          <w:color w:val="000000"/>
          <w:sz w:val="28"/>
          <w:szCs w:val="24"/>
        </w:rPr>
        <w:t xml:space="preserve"> lielāki nekā bāzes scenārijā. Savukārt procentu likmēm par vienu procentpuktu samazinoties izdevumi 2021</w:t>
      </w:r>
      <w:r>
        <w:rPr>
          <w:rFonts w:ascii="Times New Roman" w:eastAsia="Times New Roman" w:hAnsi="Times New Roman" w:cs="Times New Roman"/>
          <w:noProof/>
          <w:color w:val="000000"/>
          <w:sz w:val="28"/>
          <w:szCs w:val="24"/>
        </w:rPr>
        <w:t>.</w:t>
      </w:r>
      <w:r w:rsidRPr="00323FA6">
        <w:rPr>
          <w:rFonts w:ascii="Times New Roman" w:eastAsia="Times New Roman" w:hAnsi="Times New Roman" w:cs="Times New Roman"/>
          <w:noProof/>
          <w:color w:val="000000"/>
          <w:sz w:val="28"/>
          <w:szCs w:val="24"/>
        </w:rPr>
        <w:t xml:space="preserve">gadā samazinātos par 0,2 milj. </w:t>
      </w:r>
      <w:r w:rsidRPr="00323FA6">
        <w:rPr>
          <w:rFonts w:ascii="Times New Roman" w:eastAsia="Times New Roman" w:hAnsi="Times New Roman" w:cs="Times New Roman"/>
          <w:i/>
          <w:noProof/>
          <w:color w:val="000000"/>
          <w:sz w:val="28"/>
          <w:szCs w:val="24"/>
        </w:rPr>
        <w:t>euro</w:t>
      </w:r>
      <w:r w:rsidRPr="00323FA6">
        <w:rPr>
          <w:rFonts w:ascii="Times New Roman" w:eastAsia="Times New Roman" w:hAnsi="Times New Roman" w:cs="Times New Roman"/>
          <w:noProof/>
          <w:color w:val="000000"/>
          <w:sz w:val="28"/>
          <w:szCs w:val="24"/>
        </w:rPr>
        <w:t xml:space="preserve">, 2022. gadā izdevumi būtu par 18,1 milj. </w:t>
      </w:r>
      <w:r w:rsidRPr="00323FA6">
        <w:rPr>
          <w:rFonts w:ascii="Times New Roman" w:eastAsia="Times New Roman" w:hAnsi="Times New Roman" w:cs="Times New Roman"/>
          <w:i/>
          <w:noProof/>
          <w:color w:val="000000"/>
          <w:sz w:val="28"/>
          <w:szCs w:val="24"/>
        </w:rPr>
        <w:t>euro</w:t>
      </w:r>
      <w:r w:rsidRPr="00323FA6">
        <w:rPr>
          <w:rFonts w:ascii="Times New Roman" w:eastAsia="Times New Roman" w:hAnsi="Times New Roman" w:cs="Times New Roman"/>
          <w:noProof/>
          <w:color w:val="000000"/>
          <w:sz w:val="28"/>
          <w:szCs w:val="24"/>
        </w:rPr>
        <w:t xml:space="preserve"> un 2023.gadā par 31,2 milj. </w:t>
      </w:r>
      <w:r w:rsidRPr="00323FA6">
        <w:rPr>
          <w:rFonts w:ascii="Times New Roman" w:eastAsia="Times New Roman" w:hAnsi="Times New Roman" w:cs="Times New Roman"/>
          <w:i/>
          <w:noProof/>
          <w:color w:val="000000"/>
          <w:sz w:val="28"/>
          <w:szCs w:val="24"/>
        </w:rPr>
        <w:t>euro</w:t>
      </w:r>
      <w:r w:rsidRPr="00323FA6">
        <w:rPr>
          <w:rFonts w:ascii="Times New Roman" w:eastAsia="Times New Roman" w:hAnsi="Times New Roman" w:cs="Times New Roman"/>
          <w:noProof/>
          <w:color w:val="000000"/>
          <w:sz w:val="28"/>
          <w:szCs w:val="24"/>
        </w:rPr>
        <w:t xml:space="preserve"> mazāki nekā bāzes scenārijā.</w:t>
      </w:r>
    </w:p>
    <w:p w14:paraId="66725621" w14:textId="0A584A02" w:rsidR="002808B3" w:rsidRDefault="002808B3" w:rsidP="00401A5B">
      <w:pPr>
        <w:widowControl w:val="0"/>
        <w:jc w:val="both"/>
        <w:rPr>
          <w:rFonts w:ascii="Calibri" w:eastAsia="Calibri" w:hAnsi="Calibri" w:cs="Calibri"/>
        </w:rPr>
      </w:pPr>
    </w:p>
    <w:p w14:paraId="43B3F236" w14:textId="39EDF1B6" w:rsidR="003F3FCD" w:rsidRPr="002808B3" w:rsidRDefault="000548A5" w:rsidP="00FB2B77">
      <w:pPr>
        <w:pStyle w:val="Heading2"/>
        <w:numPr>
          <w:ilvl w:val="1"/>
          <w:numId w:val="11"/>
        </w:numPr>
        <w:spacing w:before="0"/>
        <w:jc w:val="center"/>
        <w:rPr>
          <w:rFonts w:ascii="Times New Roman" w:eastAsia="Times New Roman" w:hAnsi="Times New Roman" w:cs="Times New Roman"/>
          <w:sz w:val="32"/>
          <w:szCs w:val="32"/>
        </w:rPr>
      </w:pPr>
      <w:bookmarkStart w:id="44" w:name="_Toc53154097"/>
      <w:r w:rsidRPr="002808B3">
        <w:rPr>
          <w:rFonts w:ascii="Times New Roman" w:eastAsia="Times New Roman" w:hAnsi="Times New Roman" w:cs="Times New Roman"/>
          <w:sz w:val="32"/>
          <w:szCs w:val="32"/>
        </w:rPr>
        <w:t>Iepriekšējo makroekonomisko prognožu izvērtējums</w:t>
      </w:r>
      <w:bookmarkEnd w:id="44"/>
    </w:p>
    <w:p w14:paraId="695FEABD" w14:textId="77777777" w:rsidR="003F3FCD" w:rsidRDefault="003F3FCD" w:rsidP="00401A5B">
      <w:pPr>
        <w:widowControl w:val="0"/>
        <w:rPr>
          <w:rFonts w:ascii="Times New Roman" w:eastAsia="Times New Roman" w:hAnsi="Times New Roman" w:cs="Times New Roman"/>
          <w:sz w:val="28"/>
        </w:rPr>
      </w:pPr>
    </w:p>
    <w:p w14:paraId="2F7DA891" w14:textId="30AD1827" w:rsidR="00913BD3" w:rsidRPr="00913BD3" w:rsidRDefault="00913BD3" w:rsidP="00401A5B">
      <w:pPr>
        <w:ind w:firstLine="720"/>
        <w:jc w:val="both"/>
        <w:rPr>
          <w:rFonts w:ascii="Times New Roman" w:eastAsiaTheme="minorHAnsi" w:hAnsi="Times New Roman" w:cs="Times New Roman"/>
          <w:sz w:val="28"/>
          <w:szCs w:val="28"/>
          <w:lang w:eastAsia="en-US"/>
        </w:rPr>
      </w:pPr>
      <w:r w:rsidRPr="00913BD3">
        <w:rPr>
          <w:rFonts w:ascii="Times New Roman" w:eastAsiaTheme="minorHAnsi" w:hAnsi="Times New Roman" w:cs="Times New Roman"/>
          <w:sz w:val="28"/>
          <w:szCs w:val="28"/>
          <w:lang w:eastAsia="en-US"/>
        </w:rPr>
        <w:t>FM</w:t>
      </w:r>
      <w:r>
        <w:rPr>
          <w:rFonts w:ascii="Times New Roman" w:eastAsiaTheme="minorHAnsi" w:hAnsi="Times New Roman" w:cs="Times New Roman"/>
          <w:sz w:val="28"/>
          <w:szCs w:val="28"/>
          <w:lang w:eastAsia="en-US"/>
        </w:rPr>
        <w:t xml:space="preserve"> makroekonomiskās prognozes šā gada</w:t>
      </w:r>
      <w:r w:rsidRPr="00913BD3">
        <w:rPr>
          <w:rFonts w:ascii="Times New Roman" w:eastAsiaTheme="minorHAnsi" w:hAnsi="Times New Roman" w:cs="Times New Roman"/>
          <w:sz w:val="28"/>
          <w:szCs w:val="28"/>
          <w:lang w:eastAsia="en-US"/>
        </w:rPr>
        <w:t xml:space="preserve"> budžeta vajadz</w:t>
      </w:r>
      <w:r>
        <w:rPr>
          <w:rFonts w:ascii="Times New Roman" w:eastAsiaTheme="minorHAnsi" w:hAnsi="Times New Roman" w:cs="Times New Roman"/>
          <w:sz w:val="28"/>
          <w:szCs w:val="28"/>
          <w:lang w:eastAsia="en-US"/>
        </w:rPr>
        <w:t xml:space="preserve">ībām tika izstrādātas 2020.gada </w:t>
      </w:r>
      <w:r w:rsidRPr="00913BD3">
        <w:rPr>
          <w:rFonts w:ascii="Times New Roman" w:eastAsiaTheme="minorHAnsi" w:hAnsi="Times New Roman" w:cs="Times New Roman"/>
          <w:sz w:val="28"/>
          <w:szCs w:val="28"/>
          <w:lang w:eastAsia="en-US"/>
        </w:rPr>
        <w:t>jūnijā, balstoties uz pēdējiem uz to brīdi pieejamajiem datiem. Prognozes tika balstītas uz piesardzīgiem pieņēmumiem, ļaujot veidot arī piesardzīgu fiskālo politiku. Šī pieeja sevi ir attaisnojusi, jo pēdējos piecos gados FM prognozes kopumā ir atbildušas ekonomiskajam trendam un prognozēm nav vērojamas sistemātiskas kļūdas, līdz ar to prognozēšanas process kop</w:t>
      </w:r>
      <w:r>
        <w:rPr>
          <w:rFonts w:ascii="Times New Roman" w:eastAsiaTheme="minorHAnsi" w:hAnsi="Times New Roman" w:cs="Times New Roman"/>
          <w:sz w:val="28"/>
          <w:szCs w:val="28"/>
          <w:lang w:eastAsia="en-US"/>
        </w:rPr>
        <w:t>umā ir vērtējams kā apmierinošs (skat. 1.44.att).</w:t>
      </w:r>
    </w:p>
    <w:p w14:paraId="02B89E9E" w14:textId="77777777" w:rsidR="00913BD3" w:rsidRPr="00913BD3" w:rsidRDefault="00913BD3" w:rsidP="00401A5B">
      <w:pPr>
        <w:jc w:val="center"/>
        <w:rPr>
          <w:rFonts w:ascii="Times New Roman" w:eastAsiaTheme="minorHAnsi" w:hAnsi="Times New Roman" w:cs="Times New Roman"/>
          <w:sz w:val="28"/>
          <w:szCs w:val="28"/>
          <w:lang w:eastAsia="en-US"/>
        </w:rPr>
      </w:pPr>
      <w:r w:rsidRPr="00913BD3">
        <w:rPr>
          <w:rFonts w:ascii="Times New Roman" w:eastAsiaTheme="minorHAnsi" w:hAnsi="Times New Roman" w:cs="Times New Roman"/>
          <w:noProof/>
          <w:sz w:val="24"/>
          <w:szCs w:val="24"/>
        </w:rPr>
        <w:drawing>
          <wp:inline distT="0" distB="0" distL="0" distR="0" wp14:anchorId="4D7C9267" wp14:editId="2A356F6F">
            <wp:extent cx="5667154" cy="2853055"/>
            <wp:effectExtent l="0" t="0" r="0" b="44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FA9C200" w14:textId="153FD301" w:rsidR="00913BD3" w:rsidRDefault="00913BD3" w:rsidP="00401A5B">
      <w:pPr>
        <w:jc w:val="center"/>
        <w:rPr>
          <w:rFonts w:ascii="Times New Roman" w:eastAsia="Times New Roman" w:hAnsi="Times New Roman" w:cs="Times New Roman"/>
          <w:b/>
          <w:i/>
          <w:sz w:val="24"/>
          <w:szCs w:val="24"/>
          <w:lang w:eastAsia="en-US"/>
        </w:rPr>
      </w:pPr>
      <w:r w:rsidRPr="00913BD3">
        <w:rPr>
          <w:rFonts w:ascii="Times New Roman" w:eastAsia="Times New Roman" w:hAnsi="Times New Roman" w:cs="Times New Roman"/>
          <w:b/>
          <w:i/>
          <w:sz w:val="24"/>
          <w:szCs w:val="24"/>
          <w:lang w:eastAsia="en-US"/>
        </w:rPr>
        <w:t>1.44</w:t>
      </w:r>
      <w:r>
        <w:rPr>
          <w:rFonts w:ascii="Times New Roman" w:eastAsia="Times New Roman" w:hAnsi="Times New Roman" w:cs="Times New Roman"/>
          <w:b/>
          <w:i/>
          <w:sz w:val="24"/>
          <w:szCs w:val="24"/>
          <w:lang w:eastAsia="en-US"/>
        </w:rPr>
        <w:t>.</w:t>
      </w:r>
      <w:r w:rsidRPr="00913BD3">
        <w:rPr>
          <w:rFonts w:ascii="Times New Roman" w:eastAsia="Times New Roman" w:hAnsi="Times New Roman" w:cs="Times New Roman"/>
          <w:b/>
          <w:i/>
          <w:sz w:val="24"/>
          <w:szCs w:val="24"/>
          <w:lang w:eastAsia="en-US"/>
        </w:rPr>
        <w:t>att. IKP vidēja termiņa prognozes un faktiskā izpilde, salīdzināmās cenās, 2007=100</w:t>
      </w:r>
    </w:p>
    <w:p w14:paraId="4C8E9A50" w14:textId="77777777" w:rsidR="00792CED" w:rsidRPr="00913BD3" w:rsidRDefault="00792CED" w:rsidP="00401A5B">
      <w:pPr>
        <w:jc w:val="center"/>
        <w:rPr>
          <w:rFonts w:ascii="Times New Roman" w:eastAsia="Times New Roman" w:hAnsi="Times New Roman" w:cs="Times New Roman"/>
          <w:b/>
          <w:i/>
          <w:sz w:val="24"/>
          <w:szCs w:val="24"/>
          <w:lang w:eastAsia="en-US"/>
        </w:rPr>
      </w:pPr>
    </w:p>
    <w:p w14:paraId="2E847975" w14:textId="2ED585FB" w:rsidR="00913BD3" w:rsidRPr="00913BD3" w:rsidRDefault="00913BD3" w:rsidP="00401A5B">
      <w:pPr>
        <w:ind w:firstLine="720"/>
        <w:jc w:val="both"/>
        <w:rPr>
          <w:rFonts w:ascii="Times New Roman" w:eastAsiaTheme="minorHAnsi" w:hAnsi="Times New Roman" w:cs="Times New Roman"/>
          <w:sz w:val="28"/>
          <w:szCs w:val="28"/>
          <w:lang w:eastAsia="en-US"/>
        </w:rPr>
      </w:pPr>
      <w:r w:rsidRPr="00913BD3">
        <w:rPr>
          <w:rFonts w:ascii="Times New Roman" w:eastAsiaTheme="minorHAnsi" w:hAnsi="Times New Roman" w:cs="Times New Roman"/>
          <w:sz w:val="28"/>
          <w:szCs w:val="28"/>
          <w:lang w:eastAsia="en-US"/>
        </w:rPr>
        <w:t>IKP pieauguma prognožu kļūda piecos pēdējos gad</w:t>
      </w:r>
      <w:r>
        <w:rPr>
          <w:rFonts w:ascii="Times New Roman" w:eastAsiaTheme="minorHAnsi" w:hAnsi="Times New Roman" w:cs="Times New Roman"/>
          <w:sz w:val="28"/>
          <w:szCs w:val="28"/>
          <w:lang w:eastAsia="en-US"/>
        </w:rPr>
        <w:t>os vidēji bija 0,8 procentpunkti</w:t>
      </w:r>
      <w:r w:rsidRPr="00913BD3">
        <w:rPr>
          <w:rFonts w:ascii="Times New Roman" w:eastAsiaTheme="minorHAnsi" w:hAnsi="Times New Roman" w:cs="Times New Roman"/>
          <w:sz w:val="28"/>
          <w:szCs w:val="28"/>
          <w:lang w:eastAsia="en-US"/>
        </w:rPr>
        <w:t>, gan pozitīvā, gan negatīvā virzienā. Pārsvarā kļūda negatīvā virzienā, proti, IKP pieaugums prognozēts mazāks nekā fakts, ir saistīta ar piesardzīgiem pieņēmumiem. Savukārt, kļūda pozitīvā virzienā pārsvarā ir saistīta ar netipisku ekonomisko sabremzēšanos, piemēram, kā tas notika 2016.gadā un 2019.gadā. Salīdzinājumam, starptautisko institūciju prognožu kļūdas pēdējos piecos gados bija tajā pašā virzienā un kopumā bija lielākas.</w:t>
      </w:r>
    </w:p>
    <w:p w14:paraId="2B3446DC" w14:textId="77777777" w:rsidR="00913BD3" w:rsidRPr="00913BD3" w:rsidRDefault="00913BD3" w:rsidP="00401A5B">
      <w:pPr>
        <w:ind w:firstLine="720"/>
        <w:jc w:val="both"/>
        <w:rPr>
          <w:rFonts w:ascii="Times New Roman" w:eastAsiaTheme="minorHAnsi" w:hAnsi="Times New Roman" w:cs="Times New Roman"/>
          <w:sz w:val="28"/>
          <w:szCs w:val="28"/>
          <w:lang w:eastAsia="en-US"/>
        </w:rPr>
      </w:pPr>
      <w:r w:rsidRPr="00913BD3">
        <w:rPr>
          <w:rFonts w:ascii="Times New Roman" w:eastAsiaTheme="minorHAnsi" w:hAnsi="Times New Roman" w:cs="Times New Roman"/>
          <w:sz w:val="28"/>
          <w:szCs w:val="28"/>
          <w:lang w:eastAsia="en-US"/>
        </w:rPr>
        <w:t>Arī nākamie gadi būs ar lielu prognožu novirzi no faktiskajiem datiem, ņemot vērā lielo nenoteiktību, kādu rada Covid-19 ietekme uz ekonomisko attīstību turpmākajos gados.</w:t>
      </w:r>
    </w:p>
    <w:p w14:paraId="0F8F3918" w14:textId="52525E1A" w:rsidR="00913BD3" w:rsidRDefault="00913BD3" w:rsidP="00401A5B">
      <w:pPr>
        <w:ind w:firstLine="720"/>
        <w:jc w:val="both"/>
        <w:rPr>
          <w:rFonts w:ascii="Times New Roman" w:eastAsiaTheme="minorHAnsi" w:hAnsi="Times New Roman" w:cs="Times New Roman"/>
          <w:sz w:val="28"/>
          <w:szCs w:val="28"/>
          <w:lang w:eastAsia="en-US"/>
        </w:rPr>
      </w:pPr>
      <w:r w:rsidRPr="00913BD3">
        <w:rPr>
          <w:rFonts w:ascii="Times New Roman" w:eastAsiaTheme="minorHAnsi" w:hAnsi="Times New Roman" w:cs="Times New Roman"/>
          <w:sz w:val="28"/>
          <w:szCs w:val="28"/>
          <w:lang w:eastAsia="en-US"/>
        </w:rPr>
        <w:t>Pēdējos piecos gados būtiskākā ietekme uz prognožu novirzi ir krājumu izmaiņām, kas 2016.gadā un 2019.gadā veidoja attiecīgi -2,5 un +2,1 procentpunktus, arī 2017. un 2018.</w:t>
      </w:r>
      <w:r>
        <w:rPr>
          <w:rFonts w:ascii="Times New Roman" w:eastAsiaTheme="minorHAnsi" w:hAnsi="Times New Roman" w:cs="Times New Roman"/>
          <w:sz w:val="28"/>
          <w:szCs w:val="28"/>
          <w:lang w:eastAsia="en-US"/>
        </w:rPr>
        <w:t xml:space="preserve"> gados tā bija vērā ņemama (skat </w:t>
      </w:r>
      <w:r w:rsidRPr="00913BD3">
        <w:rPr>
          <w:rFonts w:ascii="Times New Roman" w:eastAsiaTheme="minorHAnsi" w:hAnsi="Times New Roman" w:cs="Times New Roman"/>
          <w:sz w:val="28"/>
          <w:szCs w:val="28"/>
          <w:lang w:eastAsia="en-US"/>
        </w:rPr>
        <w:t>1.45</w:t>
      </w:r>
      <w:r>
        <w:rPr>
          <w:rFonts w:ascii="Times New Roman" w:eastAsiaTheme="minorHAnsi" w:hAnsi="Times New Roman" w:cs="Times New Roman"/>
          <w:sz w:val="28"/>
          <w:szCs w:val="28"/>
          <w:lang w:eastAsia="en-US"/>
        </w:rPr>
        <w:t>.</w:t>
      </w:r>
      <w:r w:rsidRPr="00913BD3">
        <w:rPr>
          <w:rFonts w:ascii="Times New Roman" w:eastAsiaTheme="minorHAnsi" w:hAnsi="Times New Roman" w:cs="Times New Roman"/>
          <w:sz w:val="28"/>
          <w:szCs w:val="28"/>
          <w:lang w:eastAsia="en-US"/>
        </w:rPr>
        <w:t>att.). CSP krājumu izmaiņās iekļauj ekonomiskajai darbībai nepieciešamos uzkrājumus, kā arī statistisko novirzi, kas rodas no IKP kontu balansēšanas no ražošanas un izlietojuma puses. Tieši statistiskā novirze ir galvenais nezināmais, kas ietekmē prognozes un kuru nav iespējams racionāli prognozēt. Prognozēs tika pieņemts, ka tai nav ietekme uz IKP pieauguma tempiem, kas ir arī visp</w:t>
      </w:r>
      <w:r>
        <w:rPr>
          <w:rFonts w:ascii="Times New Roman" w:eastAsiaTheme="minorHAnsi" w:hAnsi="Times New Roman" w:cs="Times New Roman"/>
          <w:sz w:val="28"/>
          <w:szCs w:val="28"/>
          <w:lang w:eastAsia="en-US"/>
        </w:rPr>
        <w:t>ārpieņemta prognozēšanas prakse (skat. 1.11.tabulu)</w:t>
      </w:r>
    </w:p>
    <w:p w14:paraId="367A27BC" w14:textId="496D9325" w:rsidR="00913BD3" w:rsidRDefault="00913BD3" w:rsidP="00401A5B">
      <w:pPr>
        <w:ind w:firstLine="720"/>
        <w:jc w:val="both"/>
        <w:rPr>
          <w:rFonts w:ascii="Times New Roman" w:eastAsiaTheme="minorHAnsi" w:hAnsi="Times New Roman" w:cs="Times New Roman"/>
          <w:sz w:val="28"/>
          <w:szCs w:val="28"/>
          <w:lang w:eastAsia="en-US"/>
        </w:rPr>
      </w:pPr>
    </w:p>
    <w:p w14:paraId="048E1907" w14:textId="51272BC7" w:rsidR="00913BD3" w:rsidRDefault="00913BD3" w:rsidP="00401A5B">
      <w:pPr>
        <w:ind w:firstLine="720"/>
        <w:jc w:val="both"/>
        <w:rPr>
          <w:rFonts w:ascii="Times New Roman" w:eastAsiaTheme="minorHAnsi" w:hAnsi="Times New Roman" w:cs="Times New Roman"/>
          <w:sz w:val="28"/>
          <w:szCs w:val="28"/>
          <w:lang w:eastAsia="en-US"/>
        </w:rPr>
      </w:pPr>
      <w:r w:rsidRPr="00913BD3">
        <w:rPr>
          <w:rFonts w:ascii="Times New Roman" w:eastAsiaTheme="minorHAnsi" w:hAnsi="Times New Roman" w:cs="Times New Roman"/>
          <w:noProof/>
          <w:sz w:val="24"/>
          <w:szCs w:val="24"/>
        </w:rPr>
        <w:drawing>
          <wp:inline distT="0" distB="0" distL="0" distR="0" wp14:anchorId="5A702721" wp14:editId="1B99F7A7">
            <wp:extent cx="5274310" cy="2854960"/>
            <wp:effectExtent l="0" t="0" r="2540" b="254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45DF12" w14:textId="77777777" w:rsidR="00913BD3" w:rsidRPr="00913BD3" w:rsidRDefault="00913BD3" w:rsidP="00401A5B">
      <w:pPr>
        <w:jc w:val="center"/>
        <w:rPr>
          <w:rFonts w:ascii="Times New Roman" w:eastAsia="Times New Roman" w:hAnsi="Times New Roman" w:cs="Times New Roman"/>
          <w:b/>
          <w:i/>
          <w:sz w:val="24"/>
          <w:szCs w:val="24"/>
          <w:lang w:eastAsia="en-US"/>
        </w:rPr>
      </w:pPr>
      <w:r w:rsidRPr="00913BD3">
        <w:rPr>
          <w:rFonts w:ascii="Times New Roman" w:eastAsia="Times New Roman" w:hAnsi="Times New Roman" w:cs="Times New Roman"/>
          <w:b/>
          <w:i/>
          <w:sz w:val="24"/>
          <w:szCs w:val="24"/>
          <w:lang w:eastAsia="en-US"/>
        </w:rPr>
        <w:t>1.45. att. IKP salīdzināmās cenās faktiskā izaugsmes un attiecīgā gada gadskārtējā valsts budžeta likumā iekļautās IKP izaugsmes prognozes starpība pa IKP komponentēm, procentpunkti</w:t>
      </w:r>
    </w:p>
    <w:p w14:paraId="719EB7E6" w14:textId="77777777" w:rsidR="00913BD3" w:rsidRPr="00913BD3" w:rsidRDefault="00913BD3" w:rsidP="00401A5B">
      <w:pPr>
        <w:ind w:firstLine="720"/>
        <w:jc w:val="both"/>
        <w:rPr>
          <w:rFonts w:ascii="Times New Roman" w:eastAsiaTheme="minorHAnsi" w:hAnsi="Times New Roman" w:cs="Times New Roman"/>
          <w:sz w:val="28"/>
          <w:szCs w:val="28"/>
          <w:lang w:eastAsia="en-US"/>
        </w:rPr>
      </w:pPr>
    </w:p>
    <w:p w14:paraId="19FAF05D" w14:textId="51932B8D" w:rsidR="00913BD3" w:rsidRPr="00322C7C" w:rsidRDefault="00913BD3" w:rsidP="00322C7C">
      <w:pPr>
        <w:jc w:val="right"/>
        <w:rPr>
          <w:rFonts w:ascii="Times New Roman" w:eastAsiaTheme="minorHAnsi" w:hAnsi="Times New Roman" w:cs="Times New Roman"/>
          <w:b/>
          <w:i/>
          <w:sz w:val="24"/>
          <w:szCs w:val="24"/>
          <w:lang w:eastAsia="en-US"/>
        </w:rPr>
      </w:pPr>
      <w:r w:rsidRPr="00913BD3">
        <w:rPr>
          <w:rFonts w:ascii="Times New Roman" w:eastAsiaTheme="minorHAnsi" w:hAnsi="Times New Roman" w:cs="Times New Roman"/>
          <w:b/>
          <w:i/>
          <w:sz w:val="24"/>
          <w:szCs w:val="24"/>
          <w:lang w:eastAsia="en-US"/>
        </w:rPr>
        <w:t>1.11.tabula. Finanšu ministrijas un starptautisko finanšu institūciju IKP pieauguma salīdzināmajās cenās (%) prognožu salīdzinājums</w:t>
      </w:r>
      <w:r w:rsidRPr="00913BD3">
        <w:rPr>
          <w:rFonts w:ascii="Times New Roman" w:eastAsiaTheme="minorHAnsi" w:hAnsi="Times New Roman" w:cs="Times New Roman"/>
          <w:b/>
          <w:i/>
          <w:sz w:val="24"/>
          <w:szCs w:val="24"/>
          <w:vertAlign w:val="superscript"/>
          <w:lang w:eastAsia="en-US"/>
        </w:rPr>
        <w:footnoteReference w:id="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9"/>
        <w:gridCol w:w="658"/>
        <w:gridCol w:w="659"/>
        <w:gridCol w:w="658"/>
        <w:gridCol w:w="660"/>
        <w:gridCol w:w="659"/>
        <w:gridCol w:w="660"/>
        <w:gridCol w:w="659"/>
        <w:gridCol w:w="660"/>
        <w:gridCol w:w="659"/>
        <w:gridCol w:w="660"/>
        <w:gridCol w:w="660"/>
      </w:tblGrid>
      <w:tr w:rsidR="00913BD3" w:rsidRPr="00913BD3" w14:paraId="47E93C33" w14:textId="77777777" w:rsidTr="00913BD3">
        <w:trPr>
          <w:trHeight w:val="300"/>
        </w:trPr>
        <w:tc>
          <w:tcPr>
            <w:tcW w:w="1657" w:type="dxa"/>
            <w:shd w:val="clear" w:color="auto" w:fill="DEEAF6" w:themeFill="accent1" w:themeFillTint="33"/>
            <w:noWrap/>
            <w:hideMark/>
          </w:tcPr>
          <w:p w14:paraId="4AE3F20E" w14:textId="77777777" w:rsidR="00913BD3" w:rsidRPr="00913BD3" w:rsidRDefault="00913BD3" w:rsidP="00401A5B">
            <w:pPr>
              <w:jc w:val="both"/>
              <w:rPr>
                <w:rFonts w:ascii="Times New Roman" w:eastAsia="Calibri" w:hAnsi="Times New Roman" w:cs="Times New Roman"/>
                <w:b/>
                <w:sz w:val="20"/>
                <w:szCs w:val="20"/>
              </w:rPr>
            </w:pPr>
            <w:r w:rsidRPr="00913BD3">
              <w:rPr>
                <w:rFonts w:ascii="Times New Roman" w:eastAsia="Calibri" w:hAnsi="Times New Roman" w:cs="Times New Roman"/>
                <w:b/>
                <w:sz w:val="20"/>
                <w:szCs w:val="20"/>
              </w:rPr>
              <w:t> </w:t>
            </w:r>
          </w:p>
        </w:tc>
        <w:tc>
          <w:tcPr>
            <w:tcW w:w="603" w:type="dxa"/>
            <w:shd w:val="clear" w:color="auto" w:fill="DEEAF6" w:themeFill="accent1" w:themeFillTint="33"/>
            <w:noWrap/>
            <w:tcMar>
              <w:right w:w="113" w:type="dxa"/>
            </w:tcMar>
            <w:vAlign w:val="center"/>
            <w:hideMark/>
          </w:tcPr>
          <w:p w14:paraId="25C9EDDC"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2011</w:t>
            </w:r>
          </w:p>
        </w:tc>
        <w:tc>
          <w:tcPr>
            <w:tcW w:w="604" w:type="dxa"/>
            <w:shd w:val="clear" w:color="auto" w:fill="DEEAF6" w:themeFill="accent1" w:themeFillTint="33"/>
            <w:noWrap/>
            <w:tcMar>
              <w:right w:w="113" w:type="dxa"/>
            </w:tcMar>
            <w:vAlign w:val="center"/>
            <w:hideMark/>
          </w:tcPr>
          <w:p w14:paraId="4EB6E48B"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2012</w:t>
            </w:r>
          </w:p>
        </w:tc>
        <w:tc>
          <w:tcPr>
            <w:tcW w:w="603" w:type="dxa"/>
            <w:shd w:val="clear" w:color="auto" w:fill="DEEAF6" w:themeFill="accent1" w:themeFillTint="33"/>
            <w:noWrap/>
            <w:tcMar>
              <w:right w:w="113" w:type="dxa"/>
            </w:tcMar>
            <w:vAlign w:val="center"/>
            <w:hideMark/>
          </w:tcPr>
          <w:p w14:paraId="596A773F"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2013</w:t>
            </w:r>
          </w:p>
        </w:tc>
        <w:tc>
          <w:tcPr>
            <w:tcW w:w="604" w:type="dxa"/>
            <w:shd w:val="clear" w:color="auto" w:fill="DEEAF6" w:themeFill="accent1" w:themeFillTint="33"/>
            <w:noWrap/>
            <w:tcMar>
              <w:right w:w="113" w:type="dxa"/>
            </w:tcMar>
            <w:vAlign w:val="center"/>
            <w:hideMark/>
          </w:tcPr>
          <w:p w14:paraId="646D820D"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2014</w:t>
            </w:r>
          </w:p>
        </w:tc>
        <w:tc>
          <w:tcPr>
            <w:tcW w:w="603" w:type="dxa"/>
            <w:shd w:val="clear" w:color="auto" w:fill="DEEAF6" w:themeFill="accent1" w:themeFillTint="33"/>
            <w:tcMar>
              <w:right w:w="113" w:type="dxa"/>
            </w:tcMar>
            <w:vAlign w:val="center"/>
            <w:hideMark/>
          </w:tcPr>
          <w:p w14:paraId="58232894"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2015</w:t>
            </w:r>
          </w:p>
        </w:tc>
        <w:tc>
          <w:tcPr>
            <w:tcW w:w="604" w:type="dxa"/>
            <w:shd w:val="clear" w:color="auto" w:fill="DEEAF6" w:themeFill="accent1" w:themeFillTint="33"/>
            <w:tcMar>
              <w:right w:w="113" w:type="dxa"/>
            </w:tcMar>
            <w:vAlign w:val="center"/>
            <w:hideMark/>
          </w:tcPr>
          <w:p w14:paraId="57D89945"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2016</w:t>
            </w:r>
          </w:p>
        </w:tc>
        <w:tc>
          <w:tcPr>
            <w:tcW w:w="603" w:type="dxa"/>
            <w:shd w:val="clear" w:color="auto" w:fill="DEEAF6" w:themeFill="accent1" w:themeFillTint="33"/>
            <w:noWrap/>
            <w:tcMar>
              <w:right w:w="113" w:type="dxa"/>
            </w:tcMar>
            <w:vAlign w:val="center"/>
            <w:hideMark/>
          </w:tcPr>
          <w:p w14:paraId="2B7CCE4D"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2017</w:t>
            </w:r>
          </w:p>
        </w:tc>
        <w:tc>
          <w:tcPr>
            <w:tcW w:w="604" w:type="dxa"/>
            <w:shd w:val="clear" w:color="auto" w:fill="DEEAF6" w:themeFill="accent1" w:themeFillTint="33"/>
            <w:tcMar>
              <w:right w:w="113" w:type="dxa"/>
            </w:tcMar>
            <w:vAlign w:val="center"/>
            <w:hideMark/>
          </w:tcPr>
          <w:p w14:paraId="6E031877"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2018</w:t>
            </w:r>
          </w:p>
        </w:tc>
        <w:tc>
          <w:tcPr>
            <w:tcW w:w="603" w:type="dxa"/>
            <w:shd w:val="clear" w:color="auto" w:fill="DEEAF6" w:themeFill="accent1" w:themeFillTint="33"/>
            <w:noWrap/>
            <w:tcMar>
              <w:right w:w="113" w:type="dxa"/>
            </w:tcMar>
            <w:vAlign w:val="center"/>
            <w:hideMark/>
          </w:tcPr>
          <w:p w14:paraId="07CE8BCA"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2019</w:t>
            </w:r>
          </w:p>
        </w:tc>
        <w:tc>
          <w:tcPr>
            <w:tcW w:w="604" w:type="dxa"/>
            <w:shd w:val="clear" w:color="auto" w:fill="DEEAF6" w:themeFill="accent1" w:themeFillTint="33"/>
            <w:tcMar>
              <w:right w:w="113" w:type="dxa"/>
            </w:tcMar>
            <w:vAlign w:val="center"/>
            <w:hideMark/>
          </w:tcPr>
          <w:p w14:paraId="19D56FEB"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2020</w:t>
            </w:r>
          </w:p>
        </w:tc>
        <w:tc>
          <w:tcPr>
            <w:tcW w:w="604" w:type="dxa"/>
            <w:shd w:val="clear" w:color="auto" w:fill="DEEAF6" w:themeFill="accent1" w:themeFillTint="33"/>
            <w:noWrap/>
            <w:tcMar>
              <w:right w:w="113" w:type="dxa"/>
            </w:tcMar>
            <w:vAlign w:val="center"/>
            <w:hideMark/>
          </w:tcPr>
          <w:p w14:paraId="2C33524E" w14:textId="77777777" w:rsidR="00913BD3" w:rsidRPr="00913BD3" w:rsidRDefault="00913BD3" w:rsidP="00401A5B">
            <w:pPr>
              <w:jc w:val="right"/>
              <w:rPr>
                <w:rFonts w:ascii="Times New Roman" w:eastAsia="Calibri" w:hAnsi="Times New Roman" w:cs="Times New Roman"/>
                <w:b/>
                <w:sz w:val="20"/>
                <w:szCs w:val="20"/>
              </w:rPr>
            </w:pPr>
            <w:r w:rsidRPr="00913BD3">
              <w:rPr>
                <w:rFonts w:ascii="Times New Roman" w:eastAsia="Calibri" w:hAnsi="Times New Roman" w:cs="Times New Roman"/>
                <w:b/>
                <w:sz w:val="20"/>
                <w:szCs w:val="20"/>
              </w:rPr>
              <w:t>2021</w:t>
            </w:r>
          </w:p>
        </w:tc>
      </w:tr>
      <w:tr w:rsidR="00913BD3" w:rsidRPr="00913BD3" w14:paraId="17E051EE" w14:textId="77777777" w:rsidTr="00913BD3">
        <w:trPr>
          <w:trHeight w:val="300"/>
        </w:trPr>
        <w:tc>
          <w:tcPr>
            <w:tcW w:w="1657" w:type="dxa"/>
            <w:shd w:val="clear" w:color="auto" w:fill="auto"/>
            <w:noWrap/>
            <w:vAlign w:val="center"/>
            <w:hideMark/>
          </w:tcPr>
          <w:p w14:paraId="59B73D67" w14:textId="5E47280B" w:rsidR="00913BD3" w:rsidRPr="00913BD3" w:rsidRDefault="00913BD3" w:rsidP="00401A5B">
            <w:pPr>
              <w:jc w:val="both"/>
              <w:rPr>
                <w:rFonts w:ascii="Times New Roman" w:eastAsia="Calibri" w:hAnsi="Times New Roman" w:cs="Times New Roman"/>
                <w:sz w:val="20"/>
                <w:szCs w:val="20"/>
              </w:rPr>
            </w:pPr>
            <w:r>
              <w:rPr>
                <w:rFonts w:ascii="Times New Roman" w:eastAsia="Calibri" w:hAnsi="Times New Roman" w:cs="Times New Roman"/>
                <w:sz w:val="20"/>
                <w:szCs w:val="20"/>
              </w:rPr>
              <w:t>FM</w:t>
            </w:r>
          </w:p>
        </w:tc>
        <w:tc>
          <w:tcPr>
            <w:tcW w:w="603" w:type="dxa"/>
            <w:shd w:val="clear" w:color="auto" w:fill="auto"/>
            <w:noWrap/>
            <w:tcMar>
              <w:right w:w="113" w:type="dxa"/>
            </w:tcMar>
            <w:vAlign w:val="center"/>
            <w:hideMark/>
          </w:tcPr>
          <w:p w14:paraId="65BB8031"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3,3</w:t>
            </w:r>
          </w:p>
        </w:tc>
        <w:tc>
          <w:tcPr>
            <w:tcW w:w="604" w:type="dxa"/>
            <w:shd w:val="clear" w:color="auto" w:fill="auto"/>
            <w:noWrap/>
            <w:tcMar>
              <w:right w:w="113" w:type="dxa"/>
            </w:tcMar>
            <w:vAlign w:val="center"/>
            <w:hideMark/>
          </w:tcPr>
          <w:p w14:paraId="6531C798"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2,5</w:t>
            </w:r>
          </w:p>
        </w:tc>
        <w:tc>
          <w:tcPr>
            <w:tcW w:w="603" w:type="dxa"/>
            <w:shd w:val="clear" w:color="auto" w:fill="auto"/>
            <w:noWrap/>
            <w:tcMar>
              <w:right w:w="113" w:type="dxa"/>
            </w:tcMar>
            <w:vAlign w:val="center"/>
            <w:hideMark/>
          </w:tcPr>
          <w:p w14:paraId="41C2EC5C"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3,7</w:t>
            </w:r>
          </w:p>
        </w:tc>
        <w:tc>
          <w:tcPr>
            <w:tcW w:w="604" w:type="dxa"/>
            <w:shd w:val="clear" w:color="auto" w:fill="auto"/>
            <w:noWrap/>
            <w:tcMar>
              <w:right w:w="113" w:type="dxa"/>
            </w:tcMar>
            <w:vAlign w:val="center"/>
            <w:hideMark/>
          </w:tcPr>
          <w:p w14:paraId="6DF24C9A"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4,2</w:t>
            </w:r>
          </w:p>
        </w:tc>
        <w:tc>
          <w:tcPr>
            <w:tcW w:w="603" w:type="dxa"/>
            <w:shd w:val="clear" w:color="auto" w:fill="auto"/>
            <w:tcMar>
              <w:right w:w="113" w:type="dxa"/>
            </w:tcMar>
            <w:vAlign w:val="center"/>
            <w:hideMark/>
          </w:tcPr>
          <w:p w14:paraId="03719F38"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2,8</w:t>
            </w:r>
          </w:p>
        </w:tc>
        <w:tc>
          <w:tcPr>
            <w:tcW w:w="604" w:type="dxa"/>
            <w:shd w:val="clear" w:color="auto" w:fill="auto"/>
            <w:tcMar>
              <w:right w:w="113" w:type="dxa"/>
            </w:tcMar>
            <w:vAlign w:val="center"/>
            <w:hideMark/>
          </w:tcPr>
          <w:p w14:paraId="38F5D0C8"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2,5</w:t>
            </w:r>
          </w:p>
        </w:tc>
        <w:tc>
          <w:tcPr>
            <w:tcW w:w="603" w:type="dxa"/>
            <w:shd w:val="clear" w:color="auto" w:fill="auto"/>
            <w:noWrap/>
            <w:tcMar>
              <w:right w:w="113" w:type="dxa"/>
            </w:tcMar>
            <w:vAlign w:val="center"/>
            <w:hideMark/>
          </w:tcPr>
          <w:p w14:paraId="49574D4A"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3,7</w:t>
            </w:r>
          </w:p>
        </w:tc>
        <w:tc>
          <w:tcPr>
            <w:tcW w:w="604" w:type="dxa"/>
            <w:shd w:val="clear" w:color="auto" w:fill="auto"/>
            <w:noWrap/>
            <w:tcMar>
              <w:right w:w="113" w:type="dxa"/>
            </w:tcMar>
            <w:vAlign w:val="center"/>
            <w:hideMark/>
          </w:tcPr>
          <w:p w14:paraId="353CF869"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3,4</w:t>
            </w:r>
          </w:p>
        </w:tc>
        <w:tc>
          <w:tcPr>
            <w:tcW w:w="603" w:type="dxa"/>
            <w:shd w:val="clear" w:color="auto" w:fill="auto"/>
            <w:noWrap/>
            <w:tcMar>
              <w:right w:w="113" w:type="dxa"/>
            </w:tcMar>
            <w:vAlign w:val="center"/>
            <w:hideMark/>
          </w:tcPr>
          <w:p w14:paraId="7F129687"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3,0</w:t>
            </w:r>
          </w:p>
        </w:tc>
        <w:tc>
          <w:tcPr>
            <w:tcW w:w="604" w:type="dxa"/>
            <w:shd w:val="clear" w:color="auto" w:fill="auto"/>
            <w:noWrap/>
            <w:tcMar>
              <w:right w:w="113" w:type="dxa"/>
            </w:tcMar>
            <w:vAlign w:val="center"/>
            <w:hideMark/>
          </w:tcPr>
          <w:p w14:paraId="0725B6B4"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2,8</w:t>
            </w:r>
          </w:p>
        </w:tc>
        <w:tc>
          <w:tcPr>
            <w:tcW w:w="604" w:type="dxa"/>
            <w:shd w:val="clear" w:color="auto" w:fill="auto"/>
            <w:noWrap/>
            <w:tcMar>
              <w:right w:w="113" w:type="dxa"/>
            </w:tcMar>
            <w:vAlign w:val="center"/>
            <w:hideMark/>
          </w:tcPr>
          <w:p w14:paraId="4CDEBC08"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5,1</w:t>
            </w:r>
          </w:p>
        </w:tc>
      </w:tr>
      <w:tr w:rsidR="00913BD3" w:rsidRPr="00913BD3" w14:paraId="48C3265D" w14:textId="77777777" w:rsidTr="00913BD3">
        <w:trPr>
          <w:trHeight w:val="300"/>
        </w:trPr>
        <w:tc>
          <w:tcPr>
            <w:tcW w:w="1657" w:type="dxa"/>
            <w:shd w:val="clear" w:color="auto" w:fill="auto"/>
            <w:noWrap/>
            <w:vAlign w:val="center"/>
            <w:hideMark/>
          </w:tcPr>
          <w:p w14:paraId="13B3D4D5" w14:textId="3D0A5282" w:rsidR="00913BD3" w:rsidRPr="00913BD3" w:rsidRDefault="00913BD3" w:rsidP="00401A5B">
            <w:pPr>
              <w:jc w:val="both"/>
              <w:rPr>
                <w:rFonts w:ascii="Times New Roman" w:eastAsia="Calibri" w:hAnsi="Times New Roman" w:cs="Times New Roman"/>
                <w:sz w:val="20"/>
                <w:szCs w:val="20"/>
              </w:rPr>
            </w:pPr>
            <w:r>
              <w:rPr>
                <w:rFonts w:ascii="Times New Roman" w:eastAsia="Calibri" w:hAnsi="Times New Roman" w:cs="Times New Roman"/>
                <w:sz w:val="20"/>
                <w:szCs w:val="20"/>
              </w:rPr>
              <w:t>EK</w:t>
            </w:r>
          </w:p>
        </w:tc>
        <w:tc>
          <w:tcPr>
            <w:tcW w:w="603" w:type="dxa"/>
            <w:shd w:val="clear" w:color="auto" w:fill="auto"/>
            <w:noWrap/>
            <w:tcMar>
              <w:right w:w="113" w:type="dxa"/>
            </w:tcMar>
            <w:vAlign w:val="center"/>
            <w:hideMark/>
          </w:tcPr>
          <w:p w14:paraId="74F899C9"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3,3</w:t>
            </w:r>
          </w:p>
        </w:tc>
        <w:tc>
          <w:tcPr>
            <w:tcW w:w="604" w:type="dxa"/>
            <w:shd w:val="clear" w:color="auto" w:fill="auto"/>
            <w:noWrap/>
            <w:tcMar>
              <w:right w:w="113" w:type="dxa"/>
            </w:tcMar>
            <w:vAlign w:val="center"/>
            <w:hideMark/>
          </w:tcPr>
          <w:p w14:paraId="0030ACE2"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2,5</w:t>
            </w:r>
          </w:p>
        </w:tc>
        <w:tc>
          <w:tcPr>
            <w:tcW w:w="603" w:type="dxa"/>
            <w:shd w:val="clear" w:color="auto" w:fill="auto"/>
            <w:noWrap/>
            <w:tcMar>
              <w:right w:w="113" w:type="dxa"/>
            </w:tcMar>
            <w:vAlign w:val="center"/>
            <w:hideMark/>
          </w:tcPr>
          <w:p w14:paraId="66650D20"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3,6</w:t>
            </w:r>
          </w:p>
        </w:tc>
        <w:tc>
          <w:tcPr>
            <w:tcW w:w="604" w:type="dxa"/>
            <w:shd w:val="clear" w:color="auto" w:fill="auto"/>
            <w:noWrap/>
            <w:tcMar>
              <w:right w:w="113" w:type="dxa"/>
            </w:tcMar>
            <w:vAlign w:val="center"/>
            <w:hideMark/>
          </w:tcPr>
          <w:p w14:paraId="4DB57937"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4,0</w:t>
            </w:r>
          </w:p>
        </w:tc>
        <w:tc>
          <w:tcPr>
            <w:tcW w:w="603" w:type="dxa"/>
            <w:shd w:val="clear" w:color="auto" w:fill="auto"/>
            <w:tcMar>
              <w:right w:w="113" w:type="dxa"/>
            </w:tcMar>
            <w:vAlign w:val="center"/>
            <w:hideMark/>
          </w:tcPr>
          <w:p w14:paraId="45F80D1F"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2,9</w:t>
            </w:r>
          </w:p>
        </w:tc>
        <w:tc>
          <w:tcPr>
            <w:tcW w:w="604" w:type="dxa"/>
            <w:shd w:val="clear" w:color="auto" w:fill="auto"/>
            <w:tcMar>
              <w:right w:w="113" w:type="dxa"/>
            </w:tcMar>
            <w:vAlign w:val="center"/>
            <w:hideMark/>
          </w:tcPr>
          <w:p w14:paraId="581C2571"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2,8</w:t>
            </w:r>
          </w:p>
        </w:tc>
        <w:tc>
          <w:tcPr>
            <w:tcW w:w="603" w:type="dxa"/>
            <w:shd w:val="clear" w:color="auto" w:fill="auto"/>
            <w:tcMar>
              <w:right w:w="113" w:type="dxa"/>
            </w:tcMar>
            <w:vAlign w:val="center"/>
            <w:hideMark/>
          </w:tcPr>
          <w:p w14:paraId="4AD54F52"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3,2</w:t>
            </w:r>
          </w:p>
        </w:tc>
        <w:tc>
          <w:tcPr>
            <w:tcW w:w="604" w:type="dxa"/>
            <w:shd w:val="clear" w:color="auto" w:fill="auto"/>
            <w:tcMar>
              <w:right w:w="113" w:type="dxa"/>
            </w:tcMar>
            <w:vAlign w:val="center"/>
            <w:hideMark/>
          </w:tcPr>
          <w:p w14:paraId="7450CC83"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3,5</w:t>
            </w:r>
          </w:p>
        </w:tc>
        <w:tc>
          <w:tcPr>
            <w:tcW w:w="603" w:type="dxa"/>
            <w:shd w:val="clear" w:color="auto" w:fill="auto"/>
            <w:tcMar>
              <w:right w:w="113" w:type="dxa"/>
            </w:tcMar>
            <w:vAlign w:val="center"/>
            <w:hideMark/>
          </w:tcPr>
          <w:p w14:paraId="5AC2A19E"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3,2</w:t>
            </w:r>
          </w:p>
        </w:tc>
        <w:tc>
          <w:tcPr>
            <w:tcW w:w="604" w:type="dxa"/>
            <w:shd w:val="clear" w:color="auto" w:fill="auto"/>
            <w:tcMar>
              <w:right w:w="113" w:type="dxa"/>
            </w:tcMar>
            <w:vAlign w:val="center"/>
            <w:hideMark/>
          </w:tcPr>
          <w:p w14:paraId="77BF171E"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2,8</w:t>
            </w:r>
          </w:p>
        </w:tc>
        <w:tc>
          <w:tcPr>
            <w:tcW w:w="604" w:type="dxa"/>
            <w:shd w:val="clear" w:color="auto" w:fill="auto"/>
            <w:tcMar>
              <w:right w:w="113" w:type="dxa"/>
            </w:tcMar>
            <w:vAlign w:val="center"/>
            <w:hideMark/>
          </w:tcPr>
          <w:p w14:paraId="78E6C93D"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6,4</w:t>
            </w:r>
          </w:p>
        </w:tc>
      </w:tr>
      <w:tr w:rsidR="00913BD3" w:rsidRPr="00913BD3" w14:paraId="2D810FC1" w14:textId="77777777" w:rsidTr="00913BD3">
        <w:trPr>
          <w:trHeight w:val="300"/>
        </w:trPr>
        <w:tc>
          <w:tcPr>
            <w:tcW w:w="1657" w:type="dxa"/>
            <w:shd w:val="clear" w:color="auto" w:fill="auto"/>
            <w:noWrap/>
            <w:vAlign w:val="center"/>
            <w:hideMark/>
          </w:tcPr>
          <w:p w14:paraId="01A3ABB6" w14:textId="5FED8E88" w:rsidR="00913BD3" w:rsidRPr="00913BD3" w:rsidRDefault="00913BD3" w:rsidP="00401A5B">
            <w:pPr>
              <w:jc w:val="both"/>
              <w:rPr>
                <w:rFonts w:ascii="Times New Roman" w:eastAsia="Calibri" w:hAnsi="Times New Roman" w:cs="Times New Roman"/>
                <w:sz w:val="20"/>
                <w:szCs w:val="20"/>
              </w:rPr>
            </w:pPr>
            <w:r>
              <w:rPr>
                <w:rFonts w:ascii="Times New Roman" w:eastAsia="Calibri" w:hAnsi="Times New Roman" w:cs="Times New Roman"/>
                <w:sz w:val="20"/>
                <w:szCs w:val="20"/>
              </w:rPr>
              <w:t>SVF</w:t>
            </w:r>
          </w:p>
        </w:tc>
        <w:tc>
          <w:tcPr>
            <w:tcW w:w="603" w:type="dxa"/>
            <w:shd w:val="clear" w:color="auto" w:fill="auto"/>
            <w:noWrap/>
            <w:tcMar>
              <w:right w:w="113" w:type="dxa"/>
            </w:tcMar>
            <w:vAlign w:val="center"/>
            <w:hideMark/>
          </w:tcPr>
          <w:p w14:paraId="7EFF0422"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3,3</w:t>
            </w:r>
          </w:p>
        </w:tc>
        <w:tc>
          <w:tcPr>
            <w:tcW w:w="604" w:type="dxa"/>
            <w:shd w:val="clear" w:color="auto" w:fill="auto"/>
            <w:noWrap/>
            <w:tcMar>
              <w:right w:w="113" w:type="dxa"/>
            </w:tcMar>
            <w:vAlign w:val="center"/>
            <w:hideMark/>
          </w:tcPr>
          <w:p w14:paraId="184E9433"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3,0</w:t>
            </w:r>
          </w:p>
        </w:tc>
        <w:tc>
          <w:tcPr>
            <w:tcW w:w="603" w:type="dxa"/>
            <w:shd w:val="clear" w:color="auto" w:fill="auto"/>
            <w:noWrap/>
            <w:tcMar>
              <w:right w:w="113" w:type="dxa"/>
            </w:tcMar>
            <w:vAlign w:val="center"/>
            <w:hideMark/>
          </w:tcPr>
          <w:p w14:paraId="199833AF"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3,5</w:t>
            </w:r>
          </w:p>
        </w:tc>
        <w:tc>
          <w:tcPr>
            <w:tcW w:w="604" w:type="dxa"/>
            <w:shd w:val="clear" w:color="auto" w:fill="auto"/>
            <w:noWrap/>
            <w:tcMar>
              <w:right w:w="113" w:type="dxa"/>
            </w:tcMar>
            <w:vAlign w:val="center"/>
            <w:hideMark/>
          </w:tcPr>
          <w:p w14:paraId="7F037B2A"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4,2</w:t>
            </w:r>
          </w:p>
        </w:tc>
        <w:tc>
          <w:tcPr>
            <w:tcW w:w="603" w:type="dxa"/>
            <w:shd w:val="clear" w:color="auto" w:fill="auto"/>
            <w:tcMar>
              <w:right w:w="113" w:type="dxa"/>
            </w:tcMar>
            <w:vAlign w:val="center"/>
            <w:hideMark/>
          </w:tcPr>
          <w:p w14:paraId="4398FC1C"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3,2</w:t>
            </w:r>
          </w:p>
        </w:tc>
        <w:tc>
          <w:tcPr>
            <w:tcW w:w="604" w:type="dxa"/>
            <w:shd w:val="clear" w:color="auto" w:fill="auto"/>
            <w:tcMar>
              <w:right w:w="113" w:type="dxa"/>
            </w:tcMar>
            <w:vAlign w:val="center"/>
            <w:hideMark/>
          </w:tcPr>
          <w:p w14:paraId="5F0C8FC4"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3,2</w:t>
            </w:r>
          </w:p>
        </w:tc>
        <w:tc>
          <w:tcPr>
            <w:tcW w:w="603" w:type="dxa"/>
            <w:shd w:val="clear" w:color="auto" w:fill="auto"/>
            <w:tcMar>
              <w:right w:w="113" w:type="dxa"/>
            </w:tcMar>
            <w:vAlign w:val="center"/>
            <w:hideMark/>
          </w:tcPr>
          <w:p w14:paraId="7FF44AFC"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3,0</w:t>
            </w:r>
          </w:p>
        </w:tc>
        <w:tc>
          <w:tcPr>
            <w:tcW w:w="604" w:type="dxa"/>
            <w:shd w:val="clear" w:color="auto" w:fill="auto"/>
            <w:tcMar>
              <w:right w:w="113" w:type="dxa"/>
            </w:tcMar>
            <w:vAlign w:val="center"/>
            <w:hideMark/>
          </w:tcPr>
          <w:p w14:paraId="59ED9E41"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3,3</w:t>
            </w:r>
          </w:p>
        </w:tc>
        <w:tc>
          <w:tcPr>
            <w:tcW w:w="603" w:type="dxa"/>
            <w:shd w:val="clear" w:color="auto" w:fill="auto"/>
            <w:tcMar>
              <w:right w:w="113" w:type="dxa"/>
            </w:tcMar>
            <w:vAlign w:val="center"/>
            <w:hideMark/>
          </w:tcPr>
          <w:p w14:paraId="0BDD156F"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3,3</w:t>
            </w:r>
          </w:p>
        </w:tc>
        <w:tc>
          <w:tcPr>
            <w:tcW w:w="604" w:type="dxa"/>
            <w:shd w:val="clear" w:color="auto" w:fill="auto"/>
            <w:tcMar>
              <w:right w:w="113" w:type="dxa"/>
            </w:tcMar>
            <w:vAlign w:val="center"/>
            <w:hideMark/>
          </w:tcPr>
          <w:p w14:paraId="3B8BF36E"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3,1</w:t>
            </w:r>
          </w:p>
        </w:tc>
        <w:tc>
          <w:tcPr>
            <w:tcW w:w="604" w:type="dxa"/>
            <w:shd w:val="clear" w:color="auto" w:fill="auto"/>
            <w:tcMar>
              <w:right w:w="113" w:type="dxa"/>
            </w:tcMar>
            <w:vAlign w:val="center"/>
            <w:hideMark/>
          </w:tcPr>
          <w:p w14:paraId="03068DF8"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8,3</w:t>
            </w:r>
          </w:p>
        </w:tc>
      </w:tr>
      <w:tr w:rsidR="00913BD3" w:rsidRPr="00913BD3" w14:paraId="610CE229" w14:textId="77777777" w:rsidTr="00913BD3">
        <w:trPr>
          <w:trHeight w:val="300"/>
        </w:trPr>
        <w:tc>
          <w:tcPr>
            <w:tcW w:w="1657" w:type="dxa"/>
            <w:shd w:val="clear" w:color="auto" w:fill="auto"/>
            <w:noWrap/>
            <w:vAlign w:val="center"/>
            <w:hideMark/>
          </w:tcPr>
          <w:p w14:paraId="4B461C7B" w14:textId="77777777" w:rsidR="00913BD3" w:rsidRPr="00913BD3" w:rsidRDefault="00913BD3" w:rsidP="00401A5B">
            <w:pPr>
              <w:jc w:val="both"/>
              <w:rPr>
                <w:rFonts w:ascii="Times New Roman" w:eastAsia="Calibri" w:hAnsi="Times New Roman" w:cs="Times New Roman"/>
                <w:sz w:val="20"/>
                <w:szCs w:val="20"/>
              </w:rPr>
            </w:pPr>
            <w:r w:rsidRPr="00913BD3">
              <w:rPr>
                <w:rFonts w:ascii="Times New Roman" w:eastAsia="Calibri" w:hAnsi="Times New Roman" w:cs="Times New Roman"/>
                <w:sz w:val="20"/>
                <w:szCs w:val="20"/>
              </w:rPr>
              <w:t>OECD</w:t>
            </w:r>
          </w:p>
        </w:tc>
        <w:tc>
          <w:tcPr>
            <w:tcW w:w="603" w:type="dxa"/>
            <w:shd w:val="clear" w:color="auto" w:fill="auto"/>
            <w:noWrap/>
            <w:tcMar>
              <w:right w:w="113" w:type="dxa"/>
            </w:tcMar>
            <w:vAlign w:val="center"/>
            <w:hideMark/>
          </w:tcPr>
          <w:p w14:paraId="5BBF8275"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 </w:t>
            </w:r>
          </w:p>
        </w:tc>
        <w:tc>
          <w:tcPr>
            <w:tcW w:w="604" w:type="dxa"/>
            <w:shd w:val="clear" w:color="auto" w:fill="auto"/>
            <w:noWrap/>
            <w:tcMar>
              <w:right w:w="113" w:type="dxa"/>
            </w:tcMar>
            <w:vAlign w:val="center"/>
            <w:hideMark/>
          </w:tcPr>
          <w:p w14:paraId="5CFCB24C"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 </w:t>
            </w:r>
          </w:p>
        </w:tc>
        <w:tc>
          <w:tcPr>
            <w:tcW w:w="603" w:type="dxa"/>
            <w:shd w:val="clear" w:color="auto" w:fill="auto"/>
            <w:noWrap/>
            <w:tcMar>
              <w:right w:w="113" w:type="dxa"/>
            </w:tcMar>
            <w:vAlign w:val="center"/>
            <w:hideMark/>
          </w:tcPr>
          <w:p w14:paraId="6550E7BF"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 </w:t>
            </w:r>
          </w:p>
        </w:tc>
        <w:tc>
          <w:tcPr>
            <w:tcW w:w="604" w:type="dxa"/>
            <w:shd w:val="clear" w:color="auto" w:fill="auto"/>
            <w:noWrap/>
            <w:tcMar>
              <w:right w:w="113" w:type="dxa"/>
            </w:tcMar>
            <w:vAlign w:val="center"/>
            <w:hideMark/>
          </w:tcPr>
          <w:p w14:paraId="6BD777EE"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 </w:t>
            </w:r>
          </w:p>
        </w:tc>
        <w:tc>
          <w:tcPr>
            <w:tcW w:w="603" w:type="dxa"/>
            <w:shd w:val="clear" w:color="auto" w:fill="auto"/>
            <w:tcMar>
              <w:right w:w="113" w:type="dxa"/>
            </w:tcMar>
            <w:vAlign w:val="center"/>
            <w:hideMark/>
          </w:tcPr>
          <w:p w14:paraId="4420D4BB"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3,2</w:t>
            </w:r>
          </w:p>
        </w:tc>
        <w:tc>
          <w:tcPr>
            <w:tcW w:w="604" w:type="dxa"/>
            <w:shd w:val="clear" w:color="auto" w:fill="auto"/>
            <w:tcMar>
              <w:right w:w="113" w:type="dxa"/>
            </w:tcMar>
            <w:vAlign w:val="center"/>
            <w:hideMark/>
          </w:tcPr>
          <w:p w14:paraId="3A8DD9BC"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3,6</w:t>
            </w:r>
          </w:p>
        </w:tc>
        <w:tc>
          <w:tcPr>
            <w:tcW w:w="603" w:type="dxa"/>
            <w:shd w:val="clear" w:color="auto" w:fill="auto"/>
            <w:tcMar>
              <w:right w:w="113" w:type="dxa"/>
            </w:tcMar>
            <w:vAlign w:val="center"/>
            <w:hideMark/>
          </w:tcPr>
          <w:p w14:paraId="6EE6C5EE"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3,5</w:t>
            </w:r>
          </w:p>
        </w:tc>
        <w:tc>
          <w:tcPr>
            <w:tcW w:w="604" w:type="dxa"/>
            <w:shd w:val="clear" w:color="auto" w:fill="auto"/>
            <w:tcMar>
              <w:right w:w="113" w:type="dxa"/>
            </w:tcMar>
            <w:vAlign w:val="center"/>
            <w:hideMark/>
          </w:tcPr>
          <w:p w14:paraId="264423FD"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3,5</w:t>
            </w:r>
          </w:p>
        </w:tc>
        <w:tc>
          <w:tcPr>
            <w:tcW w:w="603" w:type="dxa"/>
            <w:shd w:val="clear" w:color="auto" w:fill="auto"/>
            <w:tcMar>
              <w:right w:w="113" w:type="dxa"/>
            </w:tcMar>
            <w:vAlign w:val="center"/>
            <w:hideMark/>
          </w:tcPr>
          <w:p w14:paraId="1F256360"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3,6</w:t>
            </w:r>
          </w:p>
        </w:tc>
        <w:tc>
          <w:tcPr>
            <w:tcW w:w="604" w:type="dxa"/>
            <w:shd w:val="clear" w:color="auto" w:fill="auto"/>
            <w:tcMar>
              <w:right w:w="113" w:type="dxa"/>
            </w:tcMar>
            <w:vAlign w:val="center"/>
            <w:hideMark/>
          </w:tcPr>
          <w:p w14:paraId="786211C5"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2,7</w:t>
            </w:r>
          </w:p>
        </w:tc>
        <w:tc>
          <w:tcPr>
            <w:tcW w:w="604" w:type="dxa"/>
            <w:shd w:val="clear" w:color="auto" w:fill="auto"/>
            <w:tcMar>
              <w:right w:w="113" w:type="dxa"/>
            </w:tcMar>
            <w:vAlign w:val="center"/>
            <w:hideMark/>
          </w:tcPr>
          <w:p w14:paraId="65509FBC"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6,4</w:t>
            </w:r>
          </w:p>
        </w:tc>
      </w:tr>
      <w:tr w:rsidR="00913BD3" w:rsidRPr="00913BD3" w14:paraId="4E5D6BE6" w14:textId="77777777" w:rsidTr="00913BD3">
        <w:trPr>
          <w:trHeight w:val="300"/>
        </w:trPr>
        <w:tc>
          <w:tcPr>
            <w:tcW w:w="1657" w:type="dxa"/>
            <w:shd w:val="clear" w:color="auto" w:fill="auto"/>
            <w:noWrap/>
            <w:vAlign w:val="center"/>
            <w:hideMark/>
          </w:tcPr>
          <w:p w14:paraId="464D2A31" w14:textId="77777777" w:rsidR="00913BD3" w:rsidRPr="00913BD3" w:rsidRDefault="00913BD3" w:rsidP="00401A5B">
            <w:pPr>
              <w:rPr>
                <w:rFonts w:ascii="Times New Roman" w:eastAsia="Calibri" w:hAnsi="Times New Roman" w:cs="Times New Roman"/>
                <w:sz w:val="20"/>
                <w:szCs w:val="20"/>
              </w:rPr>
            </w:pPr>
            <w:r w:rsidRPr="00913BD3">
              <w:rPr>
                <w:rFonts w:ascii="Times New Roman" w:eastAsia="Calibri" w:hAnsi="Times New Roman" w:cs="Times New Roman"/>
                <w:sz w:val="20"/>
                <w:szCs w:val="20"/>
              </w:rPr>
              <w:t>IKP fakts pirms CSP datu revīzijas 30.09.2020</w:t>
            </w:r>
          </w:p>
        </w:tc>
        <w:tc>
          <w:tcPr>
            <w:tcW w:w="603" w:type="dxa"/>
            <w:shd w:val="clear" w:color="auto" w:fill="auto"/>
            <w:noWrap/>
            <w:tcMar>
              <w:right w:w="113" w:type="dxa"/>
            </w:tcMar>
            <w:vAlign w:val="center"/>
            <w:hideMark/>
          </w:tcPr>
          <w:p w14:paraId="195877D7"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6,3</w:t>
            </w:r>
          </w:p>
        </w:tc>
        <w:tc>
          <w:tcPr>
            <w:tcW w:w="604" w:type="dxa"/>
            <w:shd w:val="clear" w:color="auto" w:fill="auto"/>
            <w:noWrap/>
            <w:tcMar>
              <w:right w:w="113" w:type="dxa"/>
            </w:tcMar>
            <w:vAlign w:val="center"/>
            <w:hideMark/>
          </w:tcPr>
          <w:p w14:paraId="71FA2501"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4,1</w:t>
            </w:r>
          </w:p>
        </w:tc>
        <w:tc>
          <w:tcPr>
            <w:tcW w:w="603" w:type="dxa"/>
            <w:shd w:val="clear" w:color="auto" w:fill="auto"/>
            <w:noWrap/>
            <w:tcMar>
              <w:right w:w="113" w:type="dxa"/>
            </w:tcMar>
            <w:vAlign w:val="center"/>
            <w:hideMark/>
          </w:tcPr>
          <w:p w14:paraId="246A9685"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2,3</w:t>
            </w:r>
          </w:p>
        </w:tc>
        <w:tc>
          <w:tcPr>
            <w:tcW w:w="604" w:type="dxa"/>
            <w:shd w:val="clear" w:color="auto" w:fill="auto"/>
            <w:noWrap/>
            <w:tcMar>
              <w:right w:w="113" w:type="dxa"/>
            </w:tcMar>
            <w:vAlign w:val="center"/>
            <w:hideMark/>
          </w:tcPr>
          <w:p w14:paraId="281D293C"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1,9</w:t>
            </w:r>
          </w:p>
        </w:tc>
        <w:tc>
          <w:tcPr>
            <w:tcW w:w="603" w:type="dxa"/>
            <w:shd w:val="clear" w:color="auto" w:fill="auto"/>
            <w:noWrap/>
            <w:tcMar>
              <w:right w:w="113" w:type="dxa"/>
            </w:tcMar>
            <w:vAlign w:val="center"/>
            <w:hideMark/>
          </w:tcPr>
          <w:p w14:paraId="01C3B021"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3,3</w:t>
            </w:r>
          </w:p>
        </w:tc>
        <w:tc>
          <w:tcPr>
            <w:tcW w:w="604" w:type="dxa"/>
            <w:shd w:val="clear" w:color="auto" w:fill="auto"/>
            <w:noWrap/>
            <w:tcMar>
              <w:right w:w="113" w:type="dxa"/>
            </w:tcMar>
            <w:vAlign w:val="center"/>
            <w:hideMark/>
          </w:tcPr>
          <w:p w14:paraId="4B48807C"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1,8</w:t>
            </w:r>
          </w:p>
        </w:tc>
        <w:tc>
          <w:tcPr>
            <w:tcW w:w="603" w:type="dxa"/>
            <w:shd w:val="clear" w:color="auto" w:fill="auto"/>
            <w:noWrap/>
            <w:tcMar>
              <w:right w:w="113" w:type="dxa"/>
            </w:tcMar>
            <w:vAlign w:val="center"/>
            <w:hideMark/>
          </w:tcPr>
          <w:p w14:paraId="3775EC1E"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3,8</w:t>
            </w:r>
          </w:p>
        </w:tc>
        <w:tc>
          <w:tcPr>
            <w:tcW w:w="604" w:type="dxa"/>
            <w:shd w:val="clear" w:color="auto" w:fill="auto"/>
            <w:noWrap/>
            <w:tcMar>
              <w:right w:w="113" w:type="dxa"/>
            </w:tcMar>
            <w:vAlign w:val="center"/>
            <w:hideMark/>
          </w:tcPr>
          <w:p w14:paraId="41F007ED"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4,3</w:t>
            </w:r>
          </w:p>
        </w:tc>
        <w:tc>
          <w:tcPr>
            <w:tcW w:w="603" w:type="dxa"/>
            <w:shd w:val="clear" w:color="auto" w:fill="auto"/>
            <w:noWrap/>
            <w:tcMar>
              <w:right w:w="113" w:type="dxa"/>
            </w:tcMar>
            <w:vAlign w:val="center"/>
            <w:hideMark/>
          </w:tcPr>
          <w:p w14:paraId="306CDE73"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2,2</w:t>
            </w:r>
          </w:p>
        </w:tc>
        <w:tc>
          <w:tcPr>
            <w:tcW w:w="604" w:type="dxa"/>
            <w:shd w:val="clear" w:color="auto" w:fill="auto"/>
            <w:noWrap/>
            <w:tcMar>
              <w:right w:w="113" w:type="dxa"/>
            </w:tcMar>
            <w:vAlign w:val="center"/>
            <w:hideMark/>
          </w:tcPr>
          <w:p w14:paraId="5B9EA2F7"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 </w:t>
            </w:r>
          </w:p>
        </w:tc>
        <w:tc>
          <w:tcPr>
            <w:tcW w:w="604" w:type="dxa"/>
            <w:shd w:val="clear" w:color="auto" w:fill="auto"/>
            <w:noWrap/>
            <w:tcMar>
              <w:right w:w="113" w:type="dxa"/>
            </w:tcMar>
            <w:vAlign w:val="center"/>
            <w:hideMark/>
          </w:tcPr>
          <w:p w14:paraId="6FDEB89E"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 </w:t>
            </w:r>
          </w:p>
        </w:tc>
      </w:tr>
      <w:tr w:rsidR="00913BD3" w:rsidRPr="00913BD3" w14:paraId="5A5C0AF8" w14:textId="77777777" w:rsidTr="00913BD3">
        <w:trPr>
          <w:trHeight w:val="300"/>
        </w:trPr>
        <w:tc>
          <w:tcPr>
            <w:tcW w:w="1657" w:type="dxa"/>
            <w:shd w:val="clear" w:color="auto" w:fill="auto"/>
            <w:noWrap/>
            <w:vAlign w:val="center"/>
          </w:tcPr>
          <w:p w14:paraId="710142F9" w14:textId="77777777" w:rsidR="00913BD3" w:rsidRPr="00913BD3" w:rsidRDefault="00913BD3" w:rsidP="00401A5B">
            <w:pPr>
              <w:rPr>
                <w:rFonts w:ascii="Times New Roman" w:eastAsia="Calibri" w:hAnsi="Times New Roman" w:cs="Times New Roman"/>
                <w:sz w:val="20"/>
                <w:szCs w:val="20"/>
              </w:rPr>
            </w:pPr>
            <w:r w:rsidRPr="00913BD3">
              <w:rPr>
                <w:rFonts w:ascii="Times New Roman" w:eastAsia="Calibri" w:hAnsi="Times New Roman" w:cs="Times New Roman"/>
                <w:sz w:val="20"/>
                <w:szCs w:val="20"/>
              </w:rPr>
              <w:t>IKP fakts pēc CSP datu revīzijas 30.09.2020</w:t>
            </w:r>
          </w:p>
        </w:tc>
        <w:tc>
          <w:tcPr>
            <w:tcW w:w="603" w:type="dxa"/>
            <w:shd w:val="clear" w:color="auto" w:fill="auto"/>
            <w:noWrap/>
            <w:tcMar>
              <w:right w:w="113" w:type="dxa"/>
            </w:tcMar>
            <w:vAlign w:val="center"/>
          </w:tcPr>
          <w:p w14:paraId="5873444A"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6,5</w:t>
            </w:r>
          </w:p>
        </w:tc>
        <w:tc>
          <w:tcPr>
            <w:tcW w:w="604" w:type="dxa"/>
            <w:shd w:val="clear" w:color="auto" w:fill="auto"/>
            <w:noWrap/>
            <w:tcMar>
              <w:right w:w="113" w:type="dxa"/>
            </w:tcMar>
            <w:vAlign w:val="center"/>
          </w:tcPr>
          <w:p w14:paraId="590FB235"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4,3</w:t>
            </w:r>
          </w:p>
        </w:tc>
        <w:tc>
          <w:tcPr>
            <w:tcW w:w="603" w:type="dxa"/>
            <w:shd w:val="clear" w:color="auto" w:fill="auto"/>
            <w:noWrap/>
            <w:tcMar>
              <w:right w:w="113" w:type="dxa"/>
            </w:tcMar>
            <w:vAlign w:val="center"/>
          </w:tcPr>
          <w:p w14:paraId="4A34879A"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2,3</w:t>
            </w:r>
          </w:p>
        </w:tc>
        <w:tc>
          <w:tcPr>
            <w:tcW w:w="604" w:type="dxa"/>
            <w:shd w:val="clear" w:color="auto" w:fill="auto"/>
            <w:noWrap/>
            <w:tcMar>
              <w:right w:w="113" w:type="dxa"/>
            </w:tcMar>
            <w:vAlign w:val="center"/>
          </w:tcPr>
          <w:p w14:paraId="5C42EB72"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1,1</w:t>
            </w:r>
          </w:p>
        </w:tc>
        <w:tc>
          <w:tcPr>
            <w:tcW w:w="603" w:type="dxa"/>
            <w:shd w:val="clear" w:color="auto" w:fill="auto"/>
            <w:noWrap/>
            <w:tcMar>
              <w:right w:w="113" w:type="dxa"/>
            </w:tcMar>
            <w:vAlign w:val="center"/>
          </w:tcPr>
          <w:p w14:paraId="0E4F5FB7"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4,0</w:t>
            </w:r>
          </w:p>
        </w:tc>
        <w:tc>
          <w:tcPr>
            <w:tcW w:w="604" w:type="dxa"/>
            <w:shd w:val="clear" w:color="auto" w:fill="auto"/>
            <w:noWrap/>
            <w:tcMar>
              <w:right w:w="113" w:type="dxa"/>
            </w:tcMar>
            <w:vAlign w:val="center"/>
          </w:tcPr>
          <w:p w14:paraId="1617A728"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2,4</w:t>
            </w:r>
          </w:p>
        </w:tc>
        <w:tc>
          <w:tcPr>
            <w:tcW w:w="603" w:type="dxa"/>
            <w:shd w:val="clear" w:color="auto" w:fill="auto"/>
            <w:noWrap/>
            <w:tcMar>
              <w:right w:w="113" w:type="dxa"/>
            </w:tcMar>
            <w:vAlign w:val="center"/>
          </w:tcPr>
          <w:p w14:paraId="24745B6F"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3,3</w:t>
            </w:r>
          </w:p>
        </w:tc>
        <w:tc>
          <w:tcPr>
            <w:tcW w:w="604" w:type="dxa"/>
            <w:shd w:val="clear" w:color="auto" w:fill="auto"/>
            <w:noWrap/>
            <w:tcMar>
              <w:right w:w="113" w:type="dxa"/>
            </w:tcMar>
            <w:vAlign w:val="center"/>
          </w:tcPr>
          <w:p w14:paraId="1EE48A1E"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4,0</w:t>
            </w:r>
          </w:p>
        </w:tc>
        <w:tc>
          <w:tcPr>
            <w:tcW w:w="603" w:type="dxa"/>
            <w:shd w:val="clear" w:color="auto" w:fill="auto"/>
            <w:noWrap/>
            <w:tcMar>
              <w:right w:w="113" w:type="dxa"/>
            </w:tcMar>
            <w:vAlign w:val="center"/>
          </w:tcPr>
          <w:p w14:paraId="40935DBE" w14:textId="77777777" w:rsidR="00913BD3" w:rsidRPr="00913BD3" w:rsidRDefault="00913BD3" w:rsidP="00401A5B">
            <w:pPr>
              <w:jc w:val="right"/>
              <w:rPr>
                <w:rFonts w:ascii="Times New Roman" w:eastAsia="Calibri" w:hAnsi="Times New Roman" w:cs="Times New Roman"/>
                <w:sz w:val="20"/>
                <w:szCs w:val="20"/>
              </w:rPr>
            </w:pPr>
            <w:r w:rsidRPr="00913BD3">
              <w:rPr>
                <w:rFonts w:ascii="Times New Roman" w:eastAsia="Calibri" w:hAnsi="Times New Roman" w:cs="Times New Roman"/>
                <w:sz w:val="20"/>
                <w:szCs w:val="20"/>
              </w:rPr>
              <w:t>2,1</w:t>
            </w:r>
          </w:p>
        </w:tc>
        <w:tc>
          <w:tcPr>
            <w:tcW w:w="604" w:type="dxa"/>
            <w:shd w:val="clear" w:color="auto" w:fill="auto"/>
            <w:noWrap/>
            <w:tcMar>
              <w:right w:w="113" w:type="dxa"/>
            </w:tcMar>
            <w:vAlign w:val="center"/>
          </w:tcPr>
          <w:p w14:paraId="70800861" w14:textId="77777777" w:rsidR="00913BD3" w:rsidRPr="00913BD3" w:rsidRDefault="00913BD3" w:rsidP="00401A5B">
            <w:pPr>
              <w:jc w:val="right"/>
              <w:rPr>
                <w:rFonts w:ascii="Times New Roman" w:eastAsia="Calibri" w:hAnsi="Times New Roman" w:cs="Times New Roman"/>
                <w:sz w:val="20"/>
                <w:szCs w:val="20"/>
              </w:rPr>
            </w:pPr>
          </w:p>
        </w:tc>
        <w:tc>
          <w:tcPr>
            <w:tcW w:w="604" w:type="dxa"/>
            <w:shd w:val="clear" w:color="auto" w:fill="auto"/>
            <w:noWrap/>
            <w:tcMar>
              <w:right w:w="113" w:type="dxa"/>
            </w:tcMar>
            <w:vAlign w:val="center"/>
          </w:tcPr>
          <w:p w14:paraId="7ACE6094" w14:textId="77777777" w:rsidR="00913BD3" w:rsidRPr="00913BD3" w:rsidRDefault="00913BD3" w:rsidP="00401A5B">
            <w:pPr>
              <w:jc w:val="right"/>
              <w:rPr>
                <w:rFonts w:ascii="Times New Roman" w:eastAsia="Calibri" w:hAnsi="Times New Roman" w:cs="Times New Roman"/>
                <w:sz w:val="20"/>
                <w:szCs w:val="20"/>
              </w:rPr>
            </w:pPr>
          </w:p>
        </w:tc>
      </w:tr>
    </w:tbl>
    <w:p w14:paraId="181DBA04" w14:textId="77777777" w:rsidR="00913BD3" w:rsidRPr="00913BD3" w:rsidRDefault="00913BD3" w:rsidP="00401A5B">
      <w:pPr>
        <w:jc w:val="both"/>
        <w:rPr>
          <w:rFonts w:ascii="Times New Roman" w:eastAsiaTheme="minorHAnsi" w:hAnsi="Times New Roman" w:cs="Times New Roman"/>
          <w:sz w:val="28"/>
          <w:szCs w:val="28"/>
          <w:lang w:eastAsia="en-US"/>
        </w:rPr>
      </w:pPr>
    </w:p>
    <w:p w14:paraId="4775F0D6" w14:textId="77777777" w:rsidR="00913BD3" w:rsidRPr="00913BD3" w:rsidRDefault="00913BD3" w:rsidP="00401A5B">
      <w:pPr>
        <w:ind w:firstLine="720"/>
        <w:jc w:val="both"/>
        <w:rPr>
          <w:rFonts w:ascii="Times New Roman" w:eastAsiaTheme="minorHAnsi" w:hAnsi="Times New Roman" w:cs="Times New Roman"/>
          <w:sz w:val="28"/>
          <w:szCs w:val="28"/>
          <w:lang w:eastAsia="en-US"/>
        </w:rPr>
      </w:pPr>
      <w:r w:rsidRPr="00913BD3">
        <w:rPr>
          <w:rFonts w:ascii="Times New Roman" w:eastAsiaTheme="minorHAnsi" w:hAnsi="Times New Roman" w:cs="Times New Roman"/>
          <w:sz w:val="28"/>
          <w:szCs w:val="28"/>
          <w:lang w:eastAsia="en-US"/>
        </w:rPr>
        <w:t>Tā kā krājumu izmaiņas ir saistītas ar importu, tad šī novirze atbilstoši FM makroekonomiskajam  modelim atspoguļojās neto eksportā un investīcijās bruto pamatkapitālā. Pēdējais ir saistīts ar to, ka saņemot detalizētāku informāciju, CSP daļu no krājumiem pārkvalificē uz investīcijām bruto pamatkapitālā.</w:t>
      </w:r>
    </w:p>
    <w:p w14:paraId="392A2231" w14:textId="7884BD73" w:rsidR="00913BD3" w:rsidRPr="00913BD3" w:rsidRDefault="00913BD3" w:rsidP="00401A5B">
      <w:pPr>
        <w:ind w:firstLine="720"/>
        <w:jc w:val="both"/>
        <w:rPr>
          <w:rFonts w:ascii="Times New Roman" w:eastAsiaTheme="minorHAnsi" w:hAnsi="Times New Roman" w:cs="Times New Roman"/>
          <w:sz w:val="28"/>
          <w:szCs w:val="28"/>
          <w:lang w:eastAsia="en-US"/>
        </w:rPr>
      </w:pPr>
      <w:r w:rsidRPr="00913BD3">
        <w:rPr>
          <w:rFonts w:ascii="Times New Roman" w:eastAsiaTheme="minorHAnsi" w:hAnsi="Times New Roman" w:cs="Times New Roman"/>
          <w:sz w:val="28"/>
          <w:szCs w:val="28"/>
          <w:lang w:eastAsia="en-US"/>
        </w:rPr>
        <w:t>Vislielākās prognožu kļūdas bija saistītas ar nenoteiktību, kad 2009.gadā Latvija un pasaule piedzīvoja ekonomisko un finanšu krīzi. Tas radīja straujāku nekā prognozēts iekšējā patēriņa kritumu un atkopšanos attiecīgi 2009. un 2010. gadā. Nākamajos gados privātais patēriņš atgriezās pie normālā attīstības tempa, kas atbilst iedzīvotāju ienākumu un nodarbinātības trendam. Savukārt šajā laika periodā kļūdu neto eksporta prognozē radīja virkne notikumu ar neprognozējamām sekām uz starptautisko tirdznie</w:t>
      </w:r>
      <w:r>
        <w:rPr>
          <w:rFonts w:ascii="Times New Roman" w:eastAsiaTheme="minorHAnsi" w:hAnsi="Times New Roman" w:cs="Times New Roman"/>
          <w:sz w:val="28"/>
          <w:szCs w:val="28"/>
          <w:lang w:eastAsia="en-US"/>
        </w:rPr>
        <w:t xml:space="preserve">cību – 2010.gadā saasinājās </w:t>
      </w:r>
      <w:r w:rsidRPr="00913BD3">
        <w:rPr>
          <w:rFonts w:ascii="Times New Roman" w:eastAsiaTheme="minorHAnsi" w:hAnsi="Times New Roman" w:cs="Times New Roman"/>
          <w:i/>
          <w:sz w:val="28"/>
          <w:szCs w:val="28"/>
          <w:lang w:eastAsia="en-US"/>
        </w:rPr>
        <w:t>euro</w:t>
      </w:r>
      <w:r>
        <w:rPr>
          <w:rFonts w:ascii="Times New Roman" w:eastAsiaTheme="minorHAnsi" w:hAnsi="Times New Roman" w:cs="Times New Roman"/>
          <w:sz w:val="28"/>
          <w:szCs w:val="28"/>
          <w:lang w:eastAsia="en-US"/>
        </w:rPr>
        <w:t xml:space="preserve"> </w:t>
      </w:r>
      <w:r w:rsidRPr="00913BD3">
        <w:rPr>
          <w:rFonts w:ascii="Times New Roman" w:eastAsiaTheme="minorHAnsi" w:hAnsi="Times New Roman" w:cs="Times New Roman"/>
          <w:sz w:val="28"/>
          <w:szCs w:val="28"/>
          <w:lang w:eastAsia="en-US"/>
        </w:rPr>
        <w:t xml:space="preserve">zonas parādu krīze, kad pastāvēja reāli atsevišķu </w:t>
      </w:r>
      <w:r w:rsidRPr="00913BD3">
        <w:rPr>
          <w:rFonts w:ascii="Times New Roman" w:eastAsiaTheme="minorHAnsi" w:hAnsi="Times New Roman" w:cs="Times New Roman"/>
          <w:i/>
          <w:sz w:val="28"/>
          <w:szCs w:val="28"/>
          <w:lang w:eastAsia="en-US"/>
        </w:rPr>
        <w:t>euro</w:t>
      </w:r>
      <w:r>
        <w:rPr>
          <w:rFonts w:ascii="Times New Roman" w:eastAsiaTheme="minorHAnsi" w:hAnsi="Times New Roman" w:cs="Times New Roman"/>
          <w:sz w:val="28"/>
          <w:szCs w:val="28"/>
          <w:lang w:eastAsia="en-US"/>
        </w:rPr>
        <w:t xml:space="preserve"> </w:t>
      </w:r>
      <w:r w:rsidRPr="00913BD3">
        <w:rPr>
          <w:rFonts w:ascii="Times New Roman" w:eastAsiaTheme="minorHAnsi" w:hAnsi="Times New Roman" w:cs="Times New Roman"/>
          <w:sz w:val="28"/>
          <w:szCs w:val="28"/>
          <w:lang w:eastAsia="en-US"/>
        </w:rPr>
        <w:t>zonas valstu maksātnespējas draudi un pieaugošā ģeopolitiskā nenoteiktība. Tomēr kopš 2012.gada ārējās tirdzniecības devums IKP izaugsmē bija pozitīvāks nekā sākotnēji prognozēts, kas atspoguļojās arī Latvijas tirgus daļas pieaugumā.</w:t>
      </w:r>
    </w:p>
    <w:p w14:paraId="5EBC0264" w14:textId="56001368" w:rsidR="003B02F2" w:rsidRDefault="00913BD3" w:rsidP="00FD5F28">
      <w:pPr>
        <w:ind w:firstLine="720"/>
        <w:jc w:val="both"/>
        <w:rPr>
          <w:rFonts w:ascii="Times New Roman" w:eastAsiaTheme="minorHAnsi" w:hAnsi="Times New Roman" w:cs="Times New Roman"/>
          <w:sz w:val="28"/>
          <w:szCs w:val="28"/>
          <w:lang w:eastAsia="en-US"/>
        </w:rPr>
      </w:pPr>
      <w:r w:rsidRPr="00913BD3">
        <w:rPr>
          <w:rFonts w:ascii="Times New Roman" w:eastAsiaTheme="minorHAnsi" w:hAnsi="Times New Roman" w:cs="Times New Roman"/>
          <w:sz w:val="28"/>
          <w:szCs w:val="28"/>
          <w:lang w:eastAsia="en-US"/>
        </w:rPr>
        <w:t>Sākot ar 2013.gadu, līdz ar ekonomikas stabilizāciju, IKP prognožu kļūd</w:t>
      </w:r>
      <w:r w:rsidR="00FD5F28">
        <w:rPr>
          <w:rFonts w:ascii="Times New Roman" w:eastAsiaTheme="minorHAnsi" w:hAnsi="Times New Roman" w:cs="Times New Roman"/>
          <w:sz w:val="28"/>
          <w:szCs w:val="28"/>
          <w:lang w:eastAsia="en-US"/>
        </w:rPr>
        <w:t>a ir būtiski ir samazinājusies.</w:t>
      </w:r>
    </w:p>
    <w:p w14:paraId="5BF558B8" w14:textId="43A48559" w:rsidR="00F75A1F" w:rsidRDefault="00F75A1F" w:rsidP="00FD5F28">
      <w:pPr>
        <w:ind w:firstLine="720"/>
        <w:jc w:val="both"/>
        <w:rPr>
          <w:rFonts w:ascii="Times New Roman" w:eastAsiaTheme="minorHAnsi" w:hAnsi="Times New Roman" w:cs="Times New Roman"/>
          <w:sz w:val="28"/>
          <w:szCs w:val="28"/>
          <w:lang w:eastAsia="en-US"/>
        </w:rPr>
      </w:pPr>
    </w:p>
    <w:p w14:paraId="199C8332" w14:textId="1CCCE95E" w:rsidR="00F75A1F" w:rsidRDefault="00F75A1F" w:rsidP="00FD5F28">
      <w:pPr>
        <w:ind w:firstLine="720"/>
        <w:jc w:val="both"/>
        <w:rPr>
          <w:rFonts w:ascii="Times New Roman" w:eastAsiaTheme="minorHAnsi" w:hAnsi="Times New Roman" w:cs="Times New Roman"/>
          <w:sz w:val="28"/>
          <w:szCs w:val="28"/>
          <w:lang w:eastAsia="en-US"/>
        </w:rPr>
      </w:pPr>
    </w:p>
    <w:p w14:paraId="7C216973" w14:textId="260926CA" w:rsidR="00F75A1F" w:rsidRDefault="00F75A1F" w:rsidP="00FD5F28">
      <w:pPr>
        <w:ind w:firstLine="720"/>
        <w:jc w:val="both"/>
        <w:rPr>
          <w:rFonts w:ascii="Times New Roman" w:eastAsiaTheme="minorHAnsi" w:hAnsi="Times New Roman" w:cs="Times New Roman"/>
          <w:sz w:val="28"/>
          <w:szCs w:val="28"/>
          <w:lang w:eastAsia="en-US"/>
        </w:rPr>
      </w:pPr>
    </w:p>
    <w:p w14:paraId="4821E295" w14:textId="06E7AFE9" w:rsidR="00F75A1F" w:rsidRDefault="00F75A1F" w:rsidP="00FD5F28">
      <w:pPr>
        <w:ind w:firstLine="720"/>
        <w:jc w:val="both"/>
        <w:rPr>
          <w:rFonts w:ascii="Times New Roman" w:eastAsiaTheme="minorHAnsi" w:hAnsi="Times New Roman" w:cs="Times New Roman"/>
          <w:sz w:val="28"/>
          <w:szCs w:val="28"/>
          <w:lang w:eastAsia="en-US"/>
        </w:rPr>
      </w:pPr>
    </w:p>
    <w:p w14:paraId="01542968" w14:textId="2C8A155D" w:rsidR="00F75A1F" w:rsidRDefault="00F75A1F" w:rsidP="00FD5F28">
      <w:pPr>
        <w:ind w:firstLine="720"/>
        <w:jc w:val="both"/>
        <w:rPr>
          <w:rFonts w:ascii="Times New Roman" w:eastAsiaTheme="minorHAnsi" w:hAnsi="Times New Roman" w:cs="Times New Roman"/>
          <w:sz w:val="28"/>
          <w:szCs w:val="28"/>
          <w:lang w:eastAsia="en-US"/>
        </w:rPr>
      </w:pPr>
    </w:p>
    <w:p w14:paraId="48626A53" w14:textId="215F97F4" w:rsidR="00F75A1F" w:rsidRDefault="00F75A1F" w:rsidP="00FD5F28">
      <w:pPr>
        <w:ind w:firstLine="720"/>
        <w:jc w:val="both"/>
        <w:rPr>
          <w:rFonts w:ascii="Times New Roman" w:eastAsiaTheme="minorHAnsi" w:hAnsi="Times New Roman" w:cs="Times New Roman"/>
          <w:sz w:val="28"/>
          <w:szCs w:val="28"/>
          <w:lang w:eastAsia="en-US"/>
        </w:rPr>
      </w:pPr>
    </w:p>
    <w:p w14:paraId="6B552D6D" w14:textId="0A000731" w:rsidR="00F75A1F" w:rsidRDefault="00F75A1F" w:rsidP="00FD5F28">
      <w:pPr>
        <w:ind w:firstLine="720"/>
        <w:jc w:val="both"/>
        <w:rPr>
          <w:rFonts w:ascii="Times New Roman" w:eastAsiaTheme="minorHAnsi" w:hAnsi="Times New Roman" w:cs="Times New Roman"/>
          <w:sz w:val="28"/>
          <w:szCs w:val="28"/>
          <w:lang w:eastAsia="en-US"/>
        </w:rPr>
      </w:pPr>
    </w:p>
    <w:p w14:paraId="3E2086EB" w14:textId="627E529D" w:rsidR="00F75A1F" w:rsidRDefault="00F75A1F" w:rsidP="00FD5F28">
      <w:pPr>
        <w:ind w:firstLine="720"/>
        <w:jc w:val="both"/>
        <w:rPr>
          <w:rFonts w:ascii="Times New Roman" w:eastAsiaTheme="minorHAnsi" w:hAnsi="Times New Roman" w:cs="Times New Roman"/>
          <w:sz w:val="28"/>
          <w:szCs w:val="28"/>
          <w:lang w:eastAsia="en-US"/>
        </w:rPr>
      </w:pPr>
    </w:p>
    <w:p w14:paraId="23344480" w14:textId="01018863" w:rsidR="00F75A1F" w:rsidRDefault="00F75A1F" w:rsidP="00FD5F28">
      <w:pPr>
        <w:ind w:firstLine="720"/>
        <w:jc w:val="both"/>
        <w:rPr>
          <w:rFonts w:ascii="Times New Roman" w:eastAsiaTheme="minorHAnsi" w:hAnsi="Times New Roman" w:cs="Times New Roman"/>
          <w:sz w:val="28"/>
          <w:szCs w:val="28"/>
          <w:lang w:eastAsia="en-US"/>
        </w:rPr>
      </w:pPr>
    </w:p>
    <w:p w14:paraId="32D9ECF3" w14:textId="474739BA" w:rsidR="00F75A1F" w:rsidRDefault="00F75A1F" w:rsidP="00FD5F28">
      <w:pPr>
        <w:ind w:firstLine="720"/>
        <w:jc w:val="both"/>
        <w:rPr>
          <w:rFonts w:ascii="Times New Roman" w:eastAsiaTheme="minorHAnsi" w:hAnsi="Times New Roman" w:cs="Times New Roman"/>
          <w:sz w:val="28"/>
          <w:szCs w:val="28"/>
          <w:lang w:eastAsia="en-US"/>
        </w:rPr>
      </w:pPr>
    </w:p>
    <w:p w14:paraId="127E67E5" w14:textId="6F1A8B59" w:rsidR="00F75A1F" w:rsidRDefault="00F75A1F" w:rsidP="00FD5F28">
      <w:pPr>
        <w:ind w:firstLine="720"/>
        <w:jc w:val="both"/>
        <w:rPr>
          <w:rFonts w:ascii="Times New Roman" w:eastAsiaTheme="minorHAnsi" w:hAnsi="Times New Roman" w:cs="Times New Roman"/>
          <w:sz w:val="28"/>
          <w:szCs w:val="28"/>
          <w:lang w:eastAsia="en-US"/>
        </w:rPr>
      </w:pPr>
    </w:p>
    <w:p w14:paraId="6860D30F" w14:textId="40034FAA" w:rsidR="00F75A1F" w:rsidRDefault="00F75A1F" w:rsidP="00FD5F28">
      <w:pPr>
        <w:ind w:firstLine="720"/>
        <w:jc w:val="both"/>
        <w:rPr>
          <w:rFonts w:ascii="Times New Roman" w:eastAsiaTheme="minorHAnsi" w:hAnsi="Times New Roman" w:cs="Times New Roman"/>
          <w:sz w:val="28"/>
          <w:szCs w:val="28"/>
          <w:lang w:eastAsia="en-US"/>
        </w:rPr>
      </w:pPr>
    </w:p>
    <w:p w14:paraId="5A13F357" w14:textId="65063191" w:rsidR="00F75A1F" w:rsidRDefault="00F75A1F" w:rsidP="00FD5F28">
      <w:pPr>
        <w:ind w:firstLine="720"/>
        <w:jc w:val="both"/>
        <w:rPr>
          <w:rFonts w:ascii="Times New Roman" w:eastAsiaTheme="minorHAnsi" w:hAnsi="Times New Roman" w:cs="Times New Roman"/>
          <w:sz w:val="28"/>
          <w:szCs w:val="28"/>
          <w:lang w:eastAsia="en-US"/>
        </w:rPr>
      </w:pPr>
    </w:p>
    <w:p w14:paraId="39A87BAA" w14:textId="4536A766" w:rsidR="00F75A1F" w:rsidRDefault="00F75A1F" w:rsidP="00FD5F28">
      <w:pPr>
        <w:ind w:firstLine="720"/>
        <w:jc w:val="both"/>
        <w:rPr>
          <w:rFonts w:ascii="Times New Roman" w:eastAsiaTheme="minorHAnsi" w:hAnsi="Times New Roman" w:cs="Times New Roman"/>
          <w:sz w:val="28"/>
          <w:szCs w:val="28"/>
          <w:lang w:eastAsia="en-US"/>
        </w:rPr>
      </w:pPr>
    </w:p>
    <w:p w14:paraId="5CC0BFE1" w14:textId="4B996920" w:rsidR="00F75A1F" w:rsidRDefault="00F75A1F" w:rsidP="00FD5F28">
      <w:pPr>
        <w:ind w:firstLine="720"/>
        <w:jc w:val="both"/>
        <w:rPr>
          <w:rFonts w:ascii="Times New Roman" w:eastAsiaTheme="minorHAnsi" w:hAnsi="Times New Roman" w:cs="Times New Roman"/>
          <w:sz w:val="28"/>
          <w:szCs w:val="28"/>
          <w:lang w:eastAsia="en-US"/>
        </w:rPr>
      </w:pPr>
    </w:p>
    <w:p w14:paraId="5762C0CC" w14:textId="35260412" w:rsidR="00F75A1F" w:rsidRDefault="00F75A1F" w:rsidP="00FD5F28">
      <w:pPr>
        <w:ind w:firstLine="720"/>
        <w:jc w:val="both"/>
        <w:rPr>
          <w:rFonts w:ascii="Times New Roman" w:eastAsiaTheme="minorHAnsi" w:hAnsi="Times New Roman" w:cs="Times New Roman"/>
          <w:sz w:val="28"/>
          <w:szCs w:val="28"/>
          <w:lang w:eastAsia="en-US"/>
        </w:rPr>
      </w:pPr>
    </w:p>
    <w:p w14:paraId="0E76F4FE" w14:textId="7DFE89B4" w:rsidR="00F75A1F" w:rsidRDefault="00F75A1F" w:rsidP="00FD5F28">
      <w:pPr>
        <w:ind w:firstLine="720"/>
        <w:jc w:val="both"/>
        <w:rPr>
          <w:rFonts w:ascii="Times New Roman" w:eastAsiaTheme="minorHAnsi" w:hAnsi="Times New Roman" w:cs="Times New Roman"/>
          <w:sz w:val="28"/>
          <w:szCs w:val="28"/>
          <w:lang w:eastAsia="en-US"/>
        </w:rPr>
      </w:pPr>
    </w:p>
    <w:p w14:paraId="28F5C81C" w14:textId="7E4D7364" w:rsidR="00F75A1F" w:rsidRDefault="00F75A1F" w:rsidP="00FD5F28">
      <w:pPr>
        <w:ind w:firstLine="720"/>
        <w:jc w:val="both"/>
        <w:rPr>
          <w:rFonts w:ascii="Times New Roman" w:eastAsiaTheme="minorHAnsi" w:hAnsi="Times New Roman" w:cs="Times New Roman"/>
          <w:sz w:val="28"/>
          <w:szCs w:val="28"/>
          <w:lang w:eastAsia="en-US"/>
        </w:rPr>
      </w:pPr>
    </w:p>
    <w:p w14:paraId="7C50B298" w14:textId="4A0F6EAC" w:rsidR="00F75A1F" w:rsidRDefault="00F75A1F" w:rsidP="00FD5F28">
      <w:pPr>
        <w:ind w:firstLine="720"/>
        <w:jc w:val="both"/>
        <w:rPr>
          <w:rFonts w:ascii="Times New Roman" w:eastAsiaTheme="minorHAnsi" w:hAnsi="Times New Roman" w:cs="Times New Roman"/>
          <w:sz w:val="28"/>
          <w:szCs w:val="28"/>
          <w:lang w:eastAsia="en-US"/>
        </w:rPr>
      </w:pPr>
    </w:p>
    <w:p w14:paraId="4D15A755" w14:textId="0F4E2C0B" w:rsidR="00F75A1F" w:rsidRDefault="00F75A1F" w:rsidP="00FD5F28">
      <w:pPr>
        <w:ind w:firstLine="720"/>
        <w:jc w:val="both"/>
        <w:rPr>
          <w:rFonts w:ascii="Times New Roman" w:eastAsiaTheme="minorHAnsi" w:hAnsi="Times New Roman" w:cs="Times New Roman"/>
          <w:sz w:val="28"/>
          <w:szCs w:val="28"/>
          <w:lang w:eastAsia="en-US"/>
        </w:rPr>
      </w:pPr>
    </w:p>
    <w:p w14:paraId="44FC4C08" w14:textId="5B28AD94" w:rsidR="00F75A1F" w:rsidRDefault="00F75A1F" w:rsidP="00FD5F28">
      <w:pPr>
        <w:ind w:firstLine="720"/>
        <w:jc w:val="both"/>
        <w:rPr>
          <w:rFonts w:ascii="Times New Roman" w:eastAsiaTheme="minorHAnsi" w:hAnsi="Times New Roman" w:cs="Times New Roman"/>
          <w:sz w:val="28"/>
          <w:szCs w:val="28"/>
          <w:lang w:eastAsia="en-US"/>
        </w:rPr>
      </w:pPr>
    </w:p>
    <w:p w14:paraId="4297F656" w14:textId="0C34337B" w:rsidR="00F75A1F" w:rsidRDefault="00F75A1F" w:rsidP="00FD5F28">
      <w:pPr>
        <w:ind w:firstLine="720"/>
        <w:jc w:val="both"/>
        <w:rPr>
          <w:rFonts w:ascii="Times New Roman" w:eastAsiaTheme="minorHAnsi" w:hAnsi="Times New Roman" w:cs="Times New Roman"/>
          <w:sz w:val="28"/>
          <w:szCs w:val="28"/>
          <w:lang w:eastAsia="en-US"/>
        </w:rPr>
      </w:pPr>
    </w:p>
    <w:p w14:paraId="49A7AF27" w14:textId="77777777" w:rsidR="00F75A1F" w:rsidRPr="00FD5F28" w:rsidRDefault="00F75A1F" w:rsidP="00FD5F28">
      <w:pPr>
        <w:ind w:firstLine="720"/>
        <w:jc w:val="both"/>
        <w:rPr>
          <w:rFonts w:ascii="Times New Roman" w:eastAsiaTheme="minorHAnsi" w:hAnsi="Times New Roman" w:cs="Times New Roman"/>
          <w:sz w:val="28"/>
          <w:szCs w:val="28"/>
          <w:lang w:eastAsia="en-US"/>
        </w:rPr>
      </w:pPr>
    </w:p>
    <w:p w14:paraId="6DB4A0CC" w14:textId="77777777" w:rsidR="003F3FCD" w:rsidRDefault="003F3FCD" w:rsidP="00401A5B">
      <w:pPr>
        <w:widowControl w:val="0"/>
        <w:ind w:firstLine="720"/>
        <w:jc w:val="both"/>
        <w:rPr>
          <w:rFonts w:ascii="Calibri" w:eastAsia="Calibri" w:hAnsi="Calibri" w:cs="Calibri"/>
        </w:rPr>
      </w:pPr>
    </w:p>
    <w:p w14:paraId="4589B695" w14:textId="130AD914" w:rsidR="003F3FCD" w:rsidRPr="00792CED" w:rsidRDefault="000548A5" w:rsidP="00FB2B77">
      <w:pPr>
        <w:pStyle w:val="Heading1"/>
        <w:numPr>
          <w:ilvl w:val="0"/>
          <w:numId w:val="6"/>
        </w:numPr>
        <w:spacing w:before="0"/>
        <w:jc w:val="center"/>
        <w:rPr>
          <w:rFonts w:eastAsia="Times New Roman" w:cs="Times New Roman"/>
        </w:rPr>
      </w:pPr>
      <w:bookmarkStart w:id="45" w:name="_Toc53154098"/>
      <w:r w:rsidRPr="00792CED">
        <w:rPr>
          <w:rFonts w:eastAsia="Times New Roman" w:cs="Times New Roman"/>
        </w:rPr>
        <w:t>Fiskālā politika</w:t>
      </w:r>
      <w:bookmarkEnd w:id="45"/>
    </w:p>
    <w:p w14:paraId="4F2E515D" w14:textId="77777777" w:rsidR="00E0033D" w:rsidRDefault="00E0033D" w:rsidP="00401A5B">
      <w:pPr>
        <w:widowControl w:val="0"/>
        <w:jc w:val="both"/>
        <w:rPr>
          <w:rFonts w:ascii="Times New Roman" w:eastAsia="Times New Roman" w:hAnsi="Times New Roman" w:cs="Times New Roman"/>
          <w:sz w:val="28"/>
          <w:highlight w:val="yellow"/>
        </w:rPr>
      </w:pPr>
    </w:p>
    <w:p w14:paraId="62A79F2C" w14:textId="71389C86" w:rsidR="00792CED" w:rsidRPr="00792CED" w:rsidRDefault="00792CED" w:rsidP="00792CED">
      <w:pPr>
        <w:widowControl w:val="0"/>
        <w:ind w:firstLine="675"/>
        <w:jc w:val="both"/>
        <w:rPr>
          <w:rFonts w:ascii="Times New Roman" w:eastAsia="Times New Roman" w:hAnsi="Times New Roman" w:cs="Times New Roman"/>
          <w:sz w:val="28"/>
        </w:rPr>
      </w:pPr>
      <w:r w:rsidRPr="00792CED">
        <w:rPr>
          <w:rFonts w:ascii="Times New Roman" w:eastAsia="Times New Roman" w:hAnsi="Times New Roman" w:cs="Times New Roman"/>
          <w:sz w:val="28"/>
        </w:rPr>
        <w:t xml:space="preserve">VTBIL </w:t>
      </w:r>
      <w:r>
        <w:rPr>
          <w:rFonts w:ascii="Times New Roman" w:eastAsia="Times New Roman" w:hAnsi="Times New Roman" w:cs="Times New Roman"/>
          <w:sz w:val="28"/>
        </w:rPr>
        <w:t>2021., 2022. un 2023.gadam</w:t>
      </w:r>
      <w:r w:rsidRPr="00792CED">
        <w:rPr>
          <w:rFonts w:ascii="Times New Roman" w:eastAsia="Times New Roman" w:hAnsi="Times New Roman" w:cs="Times New Roman"/>
          <w:sz w:val="28"/>
        </w:rPr>
        <w:t xml:space="preserve"> tiek sagatavots laikā, kad Latvijas ekonomiku un publiskās finanses ir skārusi Covid-19 pandēmija, kas ir izraisījusi būtiskas izmaiņas līdz šim īstenotajā fiskālajā politikā, kas ir balstīta uz ekonomiskajā ciklā sabalansēta budžeta veidošanu. Sekojoši var atzīmēt divus būtiskus ietekmes virzienus:</w:t>
      </w:r>
    </w:p>
    <w:p w14:paraId="539236EC" w14:textId="19BBBC08" w:rsidR="00792CED" w:rsidRPr="00792CED" w:rsidRDefault="0005600D" w:rsidP="00FB2B77">
      <w:pPr>
        <w:widowControl w:val="0"/>
        <w:numPr>
          <w:ilvl w:val="0"/>
          <w:numId w:val="16"/>
        </w:numPr>
        <w:contextualSpacing/>
        <w:jc w:val="both"/>
        <w:rPr>
          <w:rFonts w:ascii="Times New Roman" w:eastAsia="Times New Roman" w:hAnsi="Times New Roman" w:cs="Times New Roman"/>
          <w:sz w:val="28"/>
        </w:rPr>
      </w:pPr>
      <w:r>
        <w:rPr>
          <w:rFonts w:ascii="Times New Roman" w:eastAsia="Times New Roman" w:hAnsi="Times New Roman" w:cs="Times New Roman"/>
          <w:sz w:val="28"/>
        </w:rPr>
        <w:t>i</w:t>
      </w:r>
      <w:r w:rsidR="00792CED" w:rsidRPr="00792CED">
        <w:rPr>
          <w:rFonts w:ascii="Times New Roman" w:eastAsia="Times New Roman" w:hAnsi="Times New Roman" w:cs="Times New Roman"/>
          <w:sz w:val="28"/>
        </w:rPr>
        <w:t>zmaiņas SIP un FDL fiskālās disciplīnas nosacījumu piemērošanā;</w:t>
      </w:r>
    </w:p>
    <w:p w14:paraId="7CC0627A" w14:textId="471C5930" w:rsidR="00792CED" w:rsidRPr="00792CED" w:rsidRDefault="0005600D" w:rsidP="00FB2B77">
      <w:pPr>
        <w:widowControl w:val="0"/>
        <w:numPr>
          <w:ilvl w:val="0"/>
          <w:numId w:val="16"/>
        </w:numPr>
        <w:contextualSpacing/>
        <w:jc w:val="both"/>
        <w:rPr>
          <w:rFonts w:ascii="Times New Roman" w:eastAsia="Times New Roman" w:hAnsi="Times New Roman" w:cs="Times New Roman"/>
          <w:sz w:val="28"/>
        </w:rPr>
      </w:pPr>
      <w:r>
        <w:rPr>
          <w:rFonts w:ascii="Times New Roman" w:eastAsia="Times New Roman" w:hAnsi="Times New Roman" w:cs="Times New Roman"/>
          <w:sz w:val="28"/>
        </w:rPr>
        <w:t>v</w:t>
      </w:r>
      <w:r w:rsidR="00792CED" w:rsidRPr="00792CED">
        <w:rPr>
          <w:rFonts w:ascii="Times New Roman" w:eastAsia="Times New Roman" w:hAnsi="Times New Roman" w:cs="Times New Roman"/>
          <w:sz w:val="28"/>
        </w:rPr>
        <w:t>aldības sniegtais finans</w:t>
      </w:r>
      <w:r>
        <w:rPr>
          <w:rFonts w:ascii="Times New Roman" w:eastAsia="Times New Roman" w:hAnsi="Times New Roman" w:cs="Times New Roman"/>
          <w:sz w:val="28"/>
        </w:rPr>
        <w:t xml:space="preserve">iālais atbalsts Covid-19 krīzes </w:t>
      </w:r>
      <w:r w:rsidR="00792CED" w:rsidRPr="00792CED">
        <w:rPr>
          <w:rFonts w:ascii="Times New Roman" w:eastAsia="Times New Roman" w:hAnsi="Times New Roman" w:cs="Times New Roman"/>
          <w:sz w:val="28"/>
        </w:rPr>
        <w:t xml:space="preserve">seku mazināšanai.  </w:t>
      </w:r>
    </w:p>
    <w:p w14:paraId="7B8EE165" w14:textId="7F78E126" w:rsidR="00792CED" w:rsidRPr="00792CED" w:rsidRDefault="0005600D" w:rsidP="00792CED">
      <w:pPr>
        <w:jc w:val="both"/>
        <w:rPr>
          <w:rFonts w:ascii="Times New Roman" w:eastAsia="Times New Roman" w:hAnsi="Times New Roman" w:cs="Times New Roman"/>
          <w:sz w:val="28"/>
        </w:rPr>
      </w:pPr>
      <w:r>
        <w:rPr>
          <w:rFonts w:ascii="Times New Roman" w:eastAsia="Times New Roman" w:hAnsi="Times New Roman" w:cs="Times New Roman"/>
          <w:sz w:val="28"/>
        </w:rPr>
        <w:tab/>
        <w:t>2020.</w:t>
      </w:r>
      <w:r w:rsidR="00792CED" w:rsidRPr="00792CED">
        <w:rPr>
          <w:rFonts w:ascii="Times New Roman" w:eastAsia="Times New Roman" w:hAnsi="Times New Roman" w:cs="Times New Roman"/>
          <w:sz w:val="28"/>
        </w:rPr>
        <w:t xml:space="preserve">gadā ES līmenī tika aktivizēta SIP vispārējā izņēmuma klauzula, kas ES dalībvalstīm ļauj palielināt vispārējās </w:t>
      </w:r>
      <w:r>
        <w:rPr>
          <w:rFonts w:ascii="Times New Roman" w:eastAsia="Times New Roman" w:hAnsi="Times New Roman" w:cs="Times New Roman"/>
          <w:sz w:val="28"/>
        </w:rPr>
        <w:t>valdības budžeta deficītu 2020.</w:t>
      </w:r>
      <w:r w:rsidR="00792CED" w:rsidRPr="00792CED">
        <w:rPr>
          <w:rFonts w:ascii="Times New Roman" w:eastAsia="Times New Roman" w:hAnsi="Times New Roman" w:cs="Times New Roman"/>
          <w:sz w:val="28"/>
        </w:rPr>
        <w:t>gadā tik, cik ir nepieciešams Covid-19 pandēmijas izsauktā ekonomikas kaitējuma mazināšanai. Līdz ar to ES fisk</w:t>
      </w:r>
      <w:r>
        <w:rPr>
          <w:rFonts w:ascii="Times New Roman" w:eastAsia="Times New Roman" w:hAnsi="Times New Roman" w:cs="Times New Roman"/>
          <w:sz w:val="28"/>
        </w:rPr>
        <w:t>ālās politikas regulējums 2020.</w:t>
      </w:r>
      <w:r w:rsidR="00792CED" w:rsidRPr="00792CED">
        <w:rPr>
          <w:rFonts w:ascii="Times New Roman" w:eastAsia="Times New Roman" w:hAnsi="Times New Roman" w:cs="Times New Roman"/>
          <w:sz w:val="28"/>
        </w:rPr>
        <w:t xml:space="preserve">gadā ļauj  atkāpties no iepriekš noteiktajiem deficīta mērķiem. </w:t>
      </w:r>
      <w:r>
        <w:rPr>
          <w:rFonts w:ascii="Times New Roman" w:eastAsia="Times New Roman" w:hAnsi="Times New Roman" w:cs="Times New Roman"/>
          <w:sz w:val="28"/>
        </w:rPr>
        <w:t>Fiskālās disciplīnas likuma 12.</w:t>
      </w:r>
      <w:r w:rsidR="00792CED" w:rsidRPr="00792CED">
        <w:rPr>
          <w:rFonts w:ascii="Times New Roman" w:eastAsia="Times New Roman" w:hAnsi="Times New Roman" w:cs="Times New Roman"/>
          <w:sz w:val="28"/>
        </w:rPr>
        <w:t>pants paredz līdzīgu iespēju atkāpties no 0,5% strukturālā deficīta ievērošanas nopietnas ekonomikas lejupslīdes laikā. ES vispārējās izņēmuma klauzulas aktivizēšana bija pam</w:t>
      </w:r>
      <w:r>
        <w:rPr>
          <w:rFonts w:ascii="Times New Roman" w:eastAsia="Times New Roman" w:hAnsi="Times New Roman" w:cs="Times New Roman"/>
          <w:sz w:val="28"/>
        </w:rPr>
        <w:t>ats tam, lai aktivizētu FDL 12.</w:t>
      </w:r>
      <w:r w:rsidR="00972667">
        <w:rPr>
          <w:rFonts w:ascii="Times New Roman" w:eastAsia="Times New Roman" w:hAnsi="Times New Roman" w:cs="Times New Roman"/>
          <w:sz w:val="28"/>
        </w:rPr>
        <w:t>pantā</w:t>
      </w:r>
      <w:r w:rsidR="00792CED" w:rsidRPr="00792CED">
        <w:rPr>
          <w:rFonts w:ascii="Times New Roman" w:eastAsia="Times New Roman" w:hAnsi="Times New Roman" w:cs="Times New Roman"/>
          <w:sz w:val="28"/>
        </w:rPr>
        <w:t xml:space="preserve"> noteikto atkāpes nosacījumu. </w:t>
      </w:r>
    </w:p>
    <w:p w14:paraId="3369E24B" w14:textId="113F4394" w:rsidR="00792CED" w:rsidRPr="00792CED" w:rsidRDefault="00792CED" w:rsidP="00792CED">
      <w:pPr>
        <w:widowControl w:val="0"/>
        <w:ind w:firstLine="709"/>
        <w:jc w:val="both"/>
        <w:rPr>
          <w:rFonts w:ascii="Times New Roman" w:eastAsia="Times New Roman" w:hAnsi="Times New Roman" w:cs="Times New Roman"/>
          <w:sz w:val="28"/>
        </w:rPr>
      </w:pPr>
      <w:r w:rsidRPr="00792CED">
        <w:rPr>
          <w:rFonts w:ascii="Times New Roman" w:eastAsia="Times New Roman" w:hAnsi="Times New Roman" w:cs="Times New Roman"/>
          <w:sz w:val="28"/>
        </w:rPr>
        <w:t>Attiecībā uz MK sniegto atbalstu Covid-19 krīzes kontekstā, jāatzīmē, ka būtiskākie ar Covid-19 krīzi saistītie lēmumi un atbalsta pasākumi šogad tika pieņemti pirms aktuālā budžeta cikla uzsākšanas un tika aprakstīti Latvijas Stabilitātes programmā 2020.-2023. gadam, ietverot tos atbalsta pasākumus, kas tika apstiprināti līdz šā gada</w:t>
      </w:r>
      <w:r w:rsidR="0005600D">
        <w:rPr>
          <w:rFonts w:ascii="Times New Roman" w:eastAsia="Times New Roman" w:hAnsi="Times New Roman" w:cs="Times New Roman"/>
          <w:sz w:val="28"/>
        </w:rPr>
        <w:t xml:space="preserve"> 17.</w:t>
      </w:r>
      <w:r w:rsidRPr="00792CED">
        <w:rPr>
          <w:rFonts w:ascii="Times New Roman" w:eastAsia="Times New Roman" w:hAnsi="Times New Roman" w:cs="Times New Roman"/>
          <w:sz w:val="28"/>
        </w:rPr>
        <w:t>aprīlim. Tomēr ņemot vērā, ka atsevišķi atbalsta pasākumi ir aktualizēti un ir pieņemti jauni pasākumi,</w:t>
      </w:r>
      <w:r w:rsidR="0005600D">
        <w:rPr>
          <w:rFonts w:ascii="Times New Roman" w:eastAsia="Times New Roman" w:hAnsi="Times New Roman" w:cs="Times New Roman"/>
          <w:sz w:val="28"/>
        </w:rPr>
        <w:t xml:space="preserve"> </w:t>
      </w:r>
      <w:r w:rsidRPr="00792CED">
        <w:rPr>
          <w:rFonts w:ascii="Times New Roman" w:eastAsia="Times New Roman" w:hAnsi="Times New Roman" w:cs="Times New Roman"/>
          <w:sz w:val="28"/>
        </w:rPr>
        <w:t>VTBIL</w:t>
      </w:r>
      <w:r w:rsidR="0005600D">
        <w:rPr>
          <w:rFonts w:ascii="Times New Roman" w:eastAsia="Times New Roman" w:hAnsi="Times New Roman" w:cs="Times New Roman"/>
          <w:sz w:val="28"/>
        </w:rPr>
        <w:t xml:space="preserve"> 2021., 2022. un 2023.gadam projektā</w:t>
      </w:r>
      <w:r w:rsidRPr="00792CED">
        <w:rPr>
          <w:rFonts w:ascii="Times New Roman" w:eastAsia="Times New Roman" w:hAnsi="Times New Roman" w:cs="Times New Roman"/>
          <w:sz w:val="28"/>
        </w:rPr>
        <w:t xml:space="preserve"> ir ietverta informāciju par aktuālo situāciju attiecībā uz MK pieņemtajiem atbalsta pasākumiem.</w:t>
      </w:r>
    </w:p>
    <w:p w14:paraId="001B21CE" w14:textId="21764966" w:rsidR="00792CED" w:rsidRPr="00792CED" w:rsidRDefault="00792CED" w:rsidP="00792CED">
      <w:pPr>
        <w:widowControl w:val="0"/>
        <w:ind w:firstLine="709"/>
        <w:jc w:val="both"/>
        <w:rPr>
          <w:rFonts w:ascii="Times New Roman" w:eastAsia="Times New Roman" w:hAnsi="Times New Roman" w:cs="Times New Roman"/>
          <w:sz w:val="28"/>
        </w:rPr>
      </w:pPr>
      <w:r w:rsidRPr="00792CED">
        <w:rPr>
          <w:rFonts w:ascii="Times New Roman" w:eastAsia="Times New Roman" w:hAnsi="Times New Roman" w:cs="Times New Roman"/>
          <w:sz w:val="28"/>
        </w:rPr>
        <w:t>Tomēr jāatzīmē, ka nākamajā un turpmākajos gados atbilstoši pašreizējām EK un ES dalībvalstu makroekonomiskajām prognozēm Covid-19 pandēmijas izraisītais ekonomiskais šoks mazināsies. Līdz ar to, vienlaikus saglabājot Latvijas valdības faktisko spēju reaģēt uz turpmāku Covid-19 pandēmijas attīstību negatīvāka scenārija gadījumā un pieņemt atbilstošus atbals</w:t>
      </w:r>
      <w:r w:rsidR="00972667">
        <w:rPr>
          <w:rFonts w:ascii="Times New Roman" w:eastAsia="Times New Roman" w:hAnsi="Times New Roman" w:cs="Times New Roman"/>
          <w:sz w:val="28"/>
        </w:rPr>
        <w:t>ta pasākumus, lai mazinātu Covid</w:t>
      </w:r>
      <w:r w:rsidRPr="00792CED">
        <w:rPr>
          <w:rFonts w:ascii="Times New Roman" w:eastAsia="Times New Roman" w:hAnsi="Times New Roman" w:cs="Times New Roman"/>
          <w:sz w:val="28"/>
        </w:rPr>
        <w:t>-19 krīzes ietekmi uz Latvijas tautsaimniecību, valstī ir nepieciešams plānot fiskālo politiku arī vidējam termiņam.</w:t>
      </w:r>
    </w:p>
    <w:p w14:paraId="2BEC850C" w14:textId="77777777" w:rsidR="00792CED" w:rsidRPr="00792CED" w:rsidRDefault="00792CED" w:rsidP="00792CED">
      <w:pPr>
        <w:widowControl w:val="0"/>
        <w:ind w:firstLine="720"/>
        <w:jc w:val="both"/>
        <w:rPr>
          <w:rFonts w:ascii="Times New Roman" w:eastAsia="Times New Roman" w:hAnsi="Times New Roman" w:cs="Times New Roman"/>
          <w:sz w:val="28"/>
        </w:rPr>
      </w:pPr>
      <w:r w:rsidRPr="00792CED">
        <w:rPr>
          <w:rFonts w:ascii="Times New Roman" w:eastAsia="Times New Roman" w:hAnsi="Times New Roman" w:cs="Times New Roman"/>
          <w:sz w:val="28"/>
        </w:rPr>
        <w:t>Latvijas fiskālās politikas vispārējais mērķis laika periodam no 2021. līdz 2023.gadam saglabājas tāds pats, kā iepriekš un tas ir ilgtspējīgi kāpināt iedzīvotāju dzīves kvalitāti.</w:t>
      </w:r>
      <w:r w:rsidRPr="00792CED">
        <w:rPr>
          <w:rFonts w:ascii="Calibri" w:eastAsia="Calibri" w:hAnsi="Calibri" w:cs="Calibri"/>
          <w:sz w:val="24"/>
        </w:rPr>
        <w:t xml:space="preserve"> </w:t>
      </w:r>
      <w:r w:rsidRPr="00792CED">
        <w:rPr>
          <w:rFonts w:ascii="Times New Roman" w:eastAsia="Times New Roman" w:hAnsi="Times New Roman" w:cs="Times New Roman"/>
          <w:sz w:val="28"/>
        </w:rPr>
        <w:t>Dzīves kvalitāte ietver iedzīvotāju labklājību, medicīnas pakalpojumu pieejamību, dabas vidi, attīstītu infrastruktūru un kultūru, kvalitatīvu un darba tirgum atbilstošu izglītības sistēmas nodrošināšanu,  kā arī pārmērīgas iedzīvotāju ienākumu nevienlīdzības novēršanu. Būtiski ir nodrošināt, ka valstī ir apstākļi dzīves kvalitātes uzlabošanai ne tikai šobrīd, bet arī turpmāk. Tāpēc fiskālās politikas mērķī akcents ir likts uz ilgtspēju. Ilgtspējīga dzīves kvalitātes kāpināšana nozīmē, ka publiskie finanšu resursi tiek novirzīti ne tikai pašreizējiem dzīves kvalitātes uzlabošanas pasākumiem, bet publiskie resursi 2021. -2023. gadam tiek plānoti un sadalīti tā, lai tiktu nodrošināti apstākļi, ka valsts varēs dzīves kvalitāti kāpināt arī ilgtermiņā. To var panākt, pirmkārt, atsakoties no pašreizējo izdevumu segšanas uz nākamo paaudžu rēķina, jeb atsakoties no pārmērīgas publisko izdevumu palielināšanas uz deficīta rēķina, neskaitot deficīta palielināšanu ārkārtas situācijās kā Covid-19 krīze, otrkārt, novirzot publiskos resursus labvēlīgas vides veidošanai un ekonomikas attīstībai.</w:t>
      </w:r>
    </w:p>
    <w:p w14:paraId="1F03838E" w14:textId="2A7F978C" w:rsidR="00792CED" w:rsidRPr="00792CED" w:rsidRDefault="00792CED" w:rsidP="0005600D">
      <w:pPr>
        <w:widowControl w:val="0"/>
        <w:ind w:firstLine="709"/>
        <w:jc w:val="both"/>
        <w:rPr>
          <w:rFonts w:ascii="Times New Roman" w:eastAsia="Times New Roman" w:hAnsi="Times New Roman" w:cs="Times New Roman"/>
          <w:sz w:val="28"/>
        </w:rPr>
      </w:pPr>
      <w:r w:rsidRPr="00792CED">
        <w:rPr>
          <w:rFonts w:ascii="Times New Roman" w:eastAsia="Times New Roman" w:hAnsi="Times New Roman" w:cs="Times New Roman"/>
          <w:sz w:val="28"/>
        </w:rPr>
        <w:t xml:space="preserve"> Tādējādi, saglabājot līdzšinējo pieeju,</w:t>
      </w:r>
      <w:r w:rsidR="0005600D">
        <w:rPr>
          <w:rFonts w:ascii="Times New Roman" w:eastAsia="Times New Roman" w:hAnsi="Times New Roman" w:cs="Times New Roman"/>
          <w:sz w:val="28"/>
        </w:rPr>
        <w:t xml:space="preserve"> arī</w:t>
      </w:r>
      <w:r w:rsidRPr="00792CED">
        <w:rPr>
          <w:rFonts w:ascii="Times New Roman" w:eastAsia="Times New Roman" w:hAnsi="Times New Roman" w:cs="Times New Roman"/>
          <w:sz w:val="28"/>
        </w:rPr>
        <w:t xml:space="preserve"> VTBIL</w:t>
      </w:r>
      <w:r w:rsidR="0005600D">
        <w:rPr>
          <w:rFonts w:ascii="Times New Roman" w:eastAsia="Times New Roman" w:hAnsi="Times New Roman" w:cs="Times New Roman"/>
          <w:sz w:val="28"/>
        </w:rPr>
        <w:t xml:space="preserve"> 2021., 2022. u 2023.gadam</w:t>
      </w:r>
      <w:r w:rsidRPr="00792CED">
        <w:rPr>
          <w:rFonts w:ascii="Times New Roman" w:eastAsia="Times New Roman" w:hAnsi="Times New Roman" w:cs="Times New Roman"/>
          <w:sz w:val="28"/>
        </w:rPr>
        <w:t xml:space="preserve"> tiek izvirzīti Latvijas fiskālās politikas specifiskie mērķi jeb vidēja termiņa budžeta politikas prioritārie attīstības virzieni:</w:t>
      </w:r>
    </w:p>
    <w:p w14:paraId="64DAA88A" w14:textId="1150BA51" w:rsidR="00792CED" w:rsidRPr="0005600D" w:rsidRDefault="00792CED" w:rsidP="00FB2B77">
      <w:pPr>
        <w:pStyle w:val="ListParagraph"/>
        <w:widowControl w:val="0"/>
        <w:numPr>
          <w:ilvl w:val="0"/>
          <w:numId w:val="57"/>
        </w:numPr>
        <w:jc w:val="both"/>
        <w:rPr>
          <w:rFonts w:ascii="Times New Roman" w:eastAsia="Times New Roman" w:hAnsi="Times New Roman" w:cs="Times New Roman"/>
          <w:sz w:val="28"/>
        </w:rPr>
      </w:pPr>
      <w:r w:rsidRPr="0005600D">
        <w:rPr>
          <w:rFonts w:ascii="Times New Roman" w:eastAsia="Times New Roman" w:hAnsi="Times New Roman" w:cs="Times New Roman"/>
          <w:sz w:val="28"/>
        </w:rPr>
        <w:t xml:space="preserve">uzņēmumu konkurētspējas veicināšana un investīcijas atbalstošas vides attīstīšana, samazinot darbaspēka nodokļu slogu un reorganizējot mikrouzņēmumu nodokļa režīmu; </w:t>
      </w:r>
    </w:p>
    <w:p w14:paraId="33809AB0" w14:textId="2B03B711" w:rsidR="00792CED" w:rsidRPr="0005600D" w:rsidRDefault="00792CED" w:rsidP="00FB2B77">
      <w:pPr>
        <w:pStyle w:val="ListParagraph"/>
        <w:widowControl w:val="0"/>
        <w:numPr>
          <w:ilvl w:val="0"/>
          <w:numId w:val="57"/>
        </w:numPr>
        <w:jc w:val="both"/>
        <w:rPr>
          <w:rFonts w:ascii="Times New Roman" w:eastAsia="Times New Roman" w:hAnsi="Times New Roman" w:cs="Times New Roman"/>
          <w:sz w:val="28"/>
        </w:rPr>
      </w:pPr>
      <w:r w:rsidRPr="0005600D">
        <w:rPr>
          <w:rFonts w:ascii="Times New Roman" w:eastAsia="Times New Roman" w:hAnsi="Times New Roman" w:cs="Times New Roman"/>
          <w:sz w:val="28"/>
        </w:rPr>
        <w:t>adekvātu valsts sociālās apdrošināšanas pakalpojumu nodrošināšana, nosakot atbilstošu obligāto iemaksu objektu vispārējā nodokļu režīmā un alternatīvajos nodokļu režīmos nodarbinātajiem;</w:t>
      </w:r>
    </w:p>
    <w:p w14:paraId="67BB22A2" w14:textId="635929F8" w:rsidR="00792CED" w:rsidRPr="0005600D" w:rsidRDefault="00792CED" w:rsidP="00FB2B77">
      <w:pPr>
        <w:pStyle w:val="ListParagraph"/>
        <w:widowControl w:val="0"/>
        <w:numPr>
          <w:ilvl w:val="0"/>
          <w:numId w:val="57"/>
        </w:numPr>
        <w:jc w:val="both"/>
        <w:rPr>
          <w:rFonts w:ascii="Times New Roman" w:eastAsia="Times New Roman" w:hAnsi="Times New Roman" w:cs="Times New Roman"/>
          <w:sz w:val="28"/>
        </w:rPr>
      </w:pPr>
      <w:r w:rsidRPr="0005600D">
        <w:rPr>
          <w:rFonts w:ascii="Times New Roman" w:eastAsia="Times New Roman" w:hAnsi="Times New Roman" w:cs="Times New Roman"/>
          <w:sz w:val="28"/>
        </w:rPr>
        <w:t>veselības un izglītības nozares cilvēkkapitāla kapacitātes saglabāšana un stiprināšana, palielinot publisko finansējumu ārstniecības personu un pedago</w:t>
      </w:r>
      <w:r w:rsidR="0005600D">
        <w:rPr>
          <w:rFonts w:ascii="Times New Roman" w:eastAsia="Times New Roman" w:hAnsi="Times New Roman" w:cs="Times New Roman"/>
          <w:sz w:val="28"/>
        </w:rPr>
        <w:t>gu atalgojumam;</w:t>
      </w:r>
    </w:p>
    <w:p w14:paraId="112C92BF" w14:textId="76975DE6" w:rsidR="00792CED" w:rsidRPr="0005600D" w:rsidRDefault="00792CED" w:rsidP="00FB2B77">
      <w:pPr>
        <w:pStyle w:val="ListParagraph"/>
        <w:widowControl w:val="0"/>
        <w:numPr>
          <w:ilvl w:val="0"/>
          <w:numId w:val="57"/>
        </w:numPr>
        <w:jc w:val="both"/>
        <w:rPr>
          <w:rFonts w:ascii="Times New Roman" w:eastAsia="Times New Roman" w:hAnsi="Times New Roman" w:cs="Times New Roman"/>
          <w:sz w:val="28"/>
        </w:rPr>
      </w:pPr>
      <w:r w:rsidRPr="0005600D">
        <w:rPr>
          <w:rFonts w:ascii="Times New Roman" w:eastAsia="Times New Roman" w:hAnsi="Times New Roman" w:cs="Times New Roman"/>
          <w:sz w:val="28"/>
        </w:rPr>
        <w:t>ienākumu nevienlīdzības mazināšana, paaugstinot ienākumu slieksni, līdz kuram piemēro ar iedzīvotāju ienākuma nodokli neapliekamo minimumu, kā arī palielinot garantēto minimālo ienākumu, minimālo pensiju un pabalstus sociāli maz aizsargātām sabiedrības grupām.</w:t>
      </w:r>
    </w:p>
    <w:p w14:paraId="76066075" w14:textId="1E34307E" w:rsidR="00792CED" w:rsidRPr="00792CED" w:rsidRDefault="00792CED" w:rsidP="00792CED">
      <w:pPr>
        <w:widowControl w:val="0"/>
        <w:ind w:firstLine="720"/>
        <w:jc w:val="both"/>
        <w:rPr>
          <w:rFonts w:ascii="Calibri" w:eastAsia="Calibri" w:hAnsi="Calibri" w:cs="Calibri"/>
          <w:sz w:val="24"/>
        </w:rPr>
      </w:pPr>
      <w:r w:rsidRPr="00792CED">
        <w:rPr>
          <w:rFonts w:ascii="Times New Roman" w:eastAsia="Times New Roman" w:hAnsi="Times New Roman" w:cs="Times New Roman"/>
          <w:sz w:val="28"/>
        </w:rPr>
        <w:t>Latvijas fiskālās politikas vispārējais mērķis un specifiskie mērķi ir tieši saistīti ar NAP 2021.-2027.gadam, kas ir hierarhiski augstākais nacionāla līmeņa septiņu gadu plānošanas dokuments, un rada nepieciešamos fiskālos apstākļus, lai īstenotu dzīvē NAP vīziju par Latviju:</w:t>
      </w:r>
      <w:r w:rsidRPr="00792CED">
        <w:rPr>
          <w:rFonts w:ascii="Calibri" w:eastAsia="Calibri" w:hAnsi="Calibri" w:cs="Calibri"/>
          <w:sz w:val="24"/>
        </w:rPr>
        <w:t xml:space="preserve"> </w:t>
      </w:r>
      <w:r w:rsidRPr="00792CED">
        <w:rPr>
          <w:rFonts w:ascii="Times New Roman" w:eastAsia="Times New Roman" w:hAnsi="Times New Roman" w:cs="Times New Roman"/>
          <w:i/>
          <w:sz w:val="28"/>
        </w:rPr>
        <w:t>„</w:t>
      </w:r>
      <w:r w:rsidRPr="00792CED">
        <w:rPr>
          <w:rFonts w:ascii="Times New Roman" w:eastAsia="Times New Roman" w:hAnsi="Times New Roman" w:cs="Times New Roman"/>
          <w:sz w:val="28"/>
        </w:rPr>
        <w:t xml:space="preserve">2030. gadā Latvija būs plaukstoša aktīvu un atbildīgu pilsoņu valsts. Ikviens varēs justies drošs un piederīgs Latvijai, šeit katrs varēs īstenot savus mērķus. Nācijas stiprums sakņosies mantotajās, iepazītajās un jaunradītajās kultūras un garīgajās vērtībās, latviešu valodas bagātībā un citu valodu zināšanās. Tas vienos sabiedrību jaunu, daudzveidīgu un neatkārtojamu vērtību radīšanai ekonomikā, zinātnē un kultūrā, kuras novērtēs, pazīs un </w:t>
      </w:r>
      <w:r w:rsidR="0005600D">
        <w:rPr>
          <w:rFonts w:ascii="Times New Roman" w:eastAsia="Times New Roman" w:hAnsi="Times New Roman" w:cs="Times New Roman"/>
          <w:sz w:val="28"/>
        </w:rPr>
        <w:t>cienīs arī ārpus Latvijas” (</w:t>
      </w:r>
      <w:r w:rsidR="00D73AE5">
        <w:rPr>
          <w:rFonts w:ascii="Times New Roman" w:eastAsia="Times New Roman" w:hAnsi="Times New Roman" w:cs="Times New Roman"/>
          <w:sz w:val="28"/>
        </w:rPr>
        <w:t xml:space="preserve">NAP </w:t>
      </w:r>
      <w:r w:rsidR="00D73AE5" w:rsidRPr="00D73AE5">
        <w:rPr>
          <w:rFonts w:ascii="Times New Roman" w:eastAsia="Times New Roman" w:hAnsi="Times New Roman" w:cs="Times New Roman"/>
          <w:sz w:val="28"/>
        </w:rPr>
        <w:t>2021. - 2027. gadam</w:t>
      </w:r>
      <w:r w:rsidR="00D73AE5">
        <w:rPr>
          <w:rFonts w:ascii="Times New Roman" w:eastAsia="Times New Roman" w:hAnsi="Times New Roman" w:cs="Times New Roman"/>
          <w:sz w:val="28"/>
        </w:rPr>
        <w:t>).</w:t>
      </w:r>
    </w:p>
    <w:p w14:paraId="6DAF55BF" w14:textId="77777777" w:rsidR="00792CED" w:rsidRPr="00792CED" w:rsidRDefault="00792CED" w:rsidP="00792CED">
      <w:pPr>
        <w:widowControl w:val="0"/>
        <w:ind w:firstLine="720"/>
        <w:jc w:val="both"/>
        <w:rPr>
          <w:rFonts w:ascii="Times New Roman" w:eastAsia="Times New Roman" w:hAnsi="Times New Roman" w:cs="Times New Roman"/>
          <w:sz w:val="28"/>
        </w:rPr>
      </w:pPr>
      <w:r w:rsidRPr="00792CED">
        <w:rPr>
          <w:rFonts w:ascii="Times New Roman" w:eastAsia="Times New Roman" w:hAnsi="Times New Roman" w:cs="Times New Roman"/>
          <w:sz w:val="28"/>
        </w:rPr>
        <w:t>Tālāk šajā nodaļā tiks sniegts izvērsums gan par to kā tiek aprēķināti pieejamie papildus resursi MK prioritāšu īstenošanai, gan arī par to, kādi ir MK pieņemtie lēmumi fiskālās politikas vispārējā mērķa un specifisko mērķu sasniegšanai. Informācija tiks ietverta sekojošās apakšdaļās:</w:t>
      </w:r>
    </w:p>
    <w:p w14:paraId="7A797A4B" w14:textId="70AAEA0C" w:rsidR="00792CED" w:rsidRPr="00792CED" w:rsidRDefault="00D73AE5" w:rsidP="00792CED">
      <w:pPr>
        <w:widowControl w:val="0"/>
        <w:numPr>
          <w:ilvl w:val="0"/>
          <w:numId w:val="1"/>
        </w:numPr>
        <w:ind w:left="1069" w:hanging="360"/>
        <w:jc w:val="both"/>
        <w:rPr>
          <w:rFonts w:ascii="Times New Roman" w:eastAsia="Times New Roman" w:hAnsi="Times New Roman" w:cs="Times New Roman"/>
          <w:sz w:val="28"/>
        </w:rPr>
      </w:pPr>
      <w:r>
        <w:rPr>
          <w:rFonts w:ascii="Times New Roman" w:eastAsia="Times New Roman" w:hAnsi="Times New Roman" w:cs="Times New Roman"/>
          <w:sz w:val="28"/>
        </w:rPr>
        <w:t>v</w:t>
      </w:r>
      <w:r w:rsidR="00792CED" w:rsidRPr="00792CED">
        <w:rPr>
          <w:rFonts w:ascii="Times New Roman" w:eastAsia="Times New Roman" w:hAnsi="Times New Roman" w:cs="Times New Roman"/>
          <w:sz w:val="28"/>
        </w:rPr>
        <w:t>idēja termiņa strukturālās bilances mērķu noteikšana;</w:t>
      </w:r>
    </w:p>
    <w:p w14:paraId="21557D78" w14:textId="5A3DF70B" w:rsidR="00792CED" w:rsidRPr="00792CED" w:rsidRDefault="00D73AE5" w:rsidP="00792CED">
      <w:pPr>
        <w:widowControl w:val="0"/>
        <w:numPr>
          <w:ilvl w:val="0"/>
          <w:numId w:val="1"/>
        </w:numPr>
        <w:ind w:left="1069" w:hanging="360"/>
        <w:jc w:val="both"/>
        <w:rPr>
          <w:rFonts w:ascii="Times New Roman" w:eastAsia="Times New Roman" w:hAnsi="Times New Roman" w:cs="Times New Roman"/>
          <w:sz w:val="28"/>
        </w:rPr>
      </w:pPr>
      <w:r>
        <w:rPr>
          <w:rFonts w:ascii="Times New Roman" w:eastAsia="Times New Roman" w:hAnsi="Times New Roman" w:cs="Times New Roman"/>
          <w:sz w:val="28"/>
        </w:rPr>
        <w:t>v</w:t>
      </w:r>
      <w:r w:rsidR="00792CED" w:rsidRPr="00792CED">
        <w:rPr>
          <w:rFonts w:ascii="Times New Roman" w:eastAsia="Times New Roman" w:hAnsi="Times New Roman" w:cs="Times New Roman"/>
          <w:sz w:val="28"/>
        </w:rPr>
        <w:t>ispārējās valdības budžeta bilance;</w:t>
      </w:r>
    </w:p>
    <w:p w14:paraId="67BB1F8F" w14:textId="17959666" w:rsidR="00792CED" w:rsidRPr="00792CED" w:rsidRDefault="00D73AE5" w:rsidP="00792CED">
      <w:pPr>
        <w:widowControl w:val="0"/>
        <w:numPr>
          <w:ilvl w:val="0"/>
          <w:numId w:val="1"/>
        </w:numPr>
        <w:ind w:left="1069" w:hanging="360"/>
        <w:jc w:val="both"/>
        <w:rPr>
          <w:rFonts w:ascii="Times New Roman" w:eastAsia="Times New Roman" w:hAnsi="Times New Roman" w:cs="Times New Roman"/>
          <w:sz w:val="28"/>
        </w:rPr>
      </w:pPr>
      <w:r>
        <w:rPr>
          <w:rFonts w:ascii="Times New Roman" w:eastAsia="Times New Roman" w:hAnsi="Times New Roman" w:cs="Times New Roman"/>
          <w:sz w:val="28"/>
        </w:rPr>
        <w:t>v</w:t>
      </w:r>
      <w:r w:rsidR="00792CED" w:rsidRPr="00792CED">
        <w:rPr>
          <w:rFonts w:ascii="Times New Roman" w:eastAsia="Times New Roman" w:hAnsi="Times New Roman" w:cs="Times New Roman"/>
          <w:sz w:val="28"/>
        </w:rPr>
        <w:t>idēja termiņa budžeta prioritārie attīstības virzieni.</w:t>
      </w:r>
    </w:p>
    <w:p w14:paraId="469F5C92" w14:textId="77777777" w:rsidR="00FB5161" w:rsidRPr="0004087E" w:rsidRDefault="00FB5161" w:rsidP="00FB5161">
      <w:pPr>
        <w:widowControl w:val="0"/>
        <w:ind w:left="1069"/>
        <w:jc w:val="both"/>
        <w:rPr>
          <w:rFonts w:ascii="Times New Roman" w:eastAsia="Times New Roman" w:hAnsi="Times New Roman" w:cs="Times New Roman"/>
          <w:sz w:val="24"/>
          <w:highlight w:val="green"/>
        </w:rPr>
      </w:pPr>
    </w:p>
    <w:p w14:paraId="387C4DCE" w14:textId="6798EAEB" w:rsidR="000C3EB5" w:rsidRPr="00FB5161" w:rsidRDefault="000548A5" w:rsidP="00401A5B">
      <w:pPr>
        <w:pStyle w:val="Heading2"/>
        <w:numPr>
          <w:ilvl w:val="0"/>
          <w:numId w:val="0"/>
        </w:numPr>
        <w:spacing w:before="0"/>
        <w:ind w:left="576"/>
        <w:jc w:val="center"/>
        <w:rPr>
          <w:rFonts w:ascii="Times New Roman" w:eastAsia="Times New Roman" w:hAnsi="Times New Roman" w:cs="Times New Roman"/>
          <w:sz w:val="32"/>
          <w:szCs w:val="32"/>
        </w:rPr>
      </w:pPr>
      <w:bookmarkStart w:id="46" w:name="_Toc53154099"/>
      <w:r w:rsidRPr="00FB5161">
        <w:rPr>
          <w:rFonts w:ascii="Times New Roman" w:eastAsia="Times New Roman" w:hAnsi="Times New Roman" w:cs="Times New Roman"/>
          <w:sz w:val="32"/>
          <w:szCs w:val="32"/>
        </w:rPr>
        <w:t>2.1. Vidēja termiņa strukturālās bilances mērķu noteikšana</w:t>
      </w:r>
      <w:bookmarkEnd w:id="46"/>
    </w:p>
    <w:p w14:paraId="13C1B4E6" w14:textId="77777777" w:rsidR="00346EEF" w:rsidRPr="00750CD1" w:rsidRDefault="00346EEF" w:rsidP="00401A5B">
      <w:pPr>
        <w:rPr>
          <w:highlight w:val="green"/>
        </w:rPr>
      </w:pPr>
    </w:p>
    <w:p w14:paraId="7BE67E8D" w14:textId="73081FB8" w:rsidR="00D73AE5" w:rsidRPr="00D73AE5" w:rsidRDefault="00D73AE5" w:rsidP="00D73AE5">
      <w:pPr>
        <w:ind w:firstLine="720"/>
        <w:jc w:val="both"/>
        <w:rPr>
          <w:rFonts w:ascii="Times New Roman" w:eastAsia="Times New Roman" w:hAnsi="Times New Roman" w:cs="Times New Roman"/>
          <w:sz w:val="28"/>
        </w:rPr>
      </w:pPr>
      <w:r w:rsidRPr="00D73AE5">
        <w:rPr>
          <w:rFonts w:ascii="Times New Roman" w:eastAsia="Times New Roman" w:hAnsi="Times New Roman" w:cs="Times New Roman"/>
          <w:sz w:val="28"/>
        </w:rPr>
        <w:t>Fiskālās politika</w:t>
      </w:r>
      <w:r>
        <w:rPr>
          <w:rFonts w:ascii="Times New Roman" w:eastAsia="Times New Roman" w:hAnsi="Times New Roman" w:cs="Times New Roman"/>
          <w:sz w:val="28"/>
        </w:rPr>
        <w:t>s mērķu noteikšanai 2021.-2023.</w:t>
      </w:r>
      <w:r w:rsidRPr="00D73AE5">
        <w:rPr>
          <w:rFonts w:ascii="Times New Roman" w:eastAsia="Times New Roman" w:hAnsi="Times New Roman" w:cs="Times New Roman"/>
          <w:sz w:val="28"/>
        </w:rPr>
        <w:t>gadā ir nepieciešams zināt attiecīgajā gadā spēkā esošos skaitliskos fiskālos nosacījumus. EK nav noteikusi termiņu, līdz kuram būs spēkā vispārējā izņēmuma klauzula, bet juridiski tā var būt spēkā, kamēr ES valstī vai ES kopumā ir vērojama nopietna ekonomikas lejupslīde. Vienlaikus EK</w:t>
      </w:r>
      <w:r>
        <w:rPr>
          <w:rFonts w:ascii="Times New Roman" w:eastAsia="Times New Roman" w:hAnsi="Times New Roman" w:cs="Times New Roman"/>
          <w:sz w:val="28"/>
        </w:rPr>
        <w:t xml:space="preserve"> 2021.</w:t>
      </w:r>
      <w:r w:rsidRPr="00D73AE5">
        <w:rPr>
          <w:rFonts w:ascii="Times New Roman" w:eastAsia="Times New Roman" w:hAnsi="Times New Roman" w:cs="Times New Roman"/>
          <w:sz w:val="28"/>
        </w:rPr>
        <w:t>gada ilgtspējīgas izaugsmes stratēģijā ir paziņojusi, ka vispārējā izņēmuma klauzula paliks spēkā arī</w:t>
      </w:r>
      <w:r>
        <w:rPr>
          <w:rFonts w:ascii="Times New Roman" w:eastAsia="Times New Roman" w:hAnsi="Times New Roman" w:cs="Times New Roman"/>
          <w:sz w:val="28"/>
        </w:rPr>
        <w:t xml:space="preserve"> 2021.</w:t>
      </w:r>
      <w:r w:rsidRPr="00D73AE5">
        <w:rPr>
          <w:rFonts w:ascii="Times New Roman" w:eastAsia="Times New Roman" w:hAnsi="Times New Roman" w:cs="Times New Roman"/>
          <w:sz w:val="28"/>
        </w:rPr>
        <w:t>gadā, jo EK ieskatā dalībvalstīm ir jāsniedz mērķtiecīgs un pagaidu fiskālais atbalsts to ekonomikām</w:t>
      </w:r>
      <w:r>
        <w:rPr>
          <w:rFonts w:ascii="Times New Roman" w:eastAsia="Times New Roman" w:hAnsi="Times New Roman" w:cs="Times New Roman"/>
          <w:sz w:val="28"/>
        </w:rPr>
        <w:t xml:space="preserve"> arī 2021.</w:t>
      </w:r>
      <w:r w:rsidRPr="00D73AE5">
        <w:rPr>
          <w:rFonts w:ascii="Times New Roman" w:eastAsia="Times New Roman" w:hAnsi="Times New Roman" w:cs="Times New Roman"/>
          <w:sz w:val="28"/>
        </w:rPr>
        <w:t>gadā, vienlaikus nodrošinot fiskālo ilgtspēju vidējā termiņā. Savukārt, 2022.</w:t>
      </w:r>
      <w:r>
        <w:rPr>
          <w:rFonts w:ascii="Times New Roman" w:eastAsia="Times New Roman" w:hAnsi="Times New Roman" w:cs="Times New Roman"/>
          <w:sz w:val="28"/>
        </w:rPr>
        <w:t xml:space="preserve"> un 2023.</w:t>
      </w:r>
      <w:r w:rsidRPr="00D73AE5">
        <w:rPr>
          <w:rFonts w:ascii="Times New Roman" w:eastAsia="Times New Roman" w:hAnsi="Times New Roman" w:cs="Times New Roman"/>
          <w:sz w:val="28"/>
        </w:rPr>
        <w:t>gadā VTBIL sagatavošanā tiek izmantots pieņēmums, ka vispārējā izņēmuma klauzula tiek atcelta.</w:t>
      </w:r>
    </w:p>
    <w:p w14:paraId="5491E8C6" w14:textId="67A932AF" w:rsidR="00D73AE5" w:rsidRPr="00D73AE5" w:rsidRDefault="00D73AE5" w:rsidP="00D73AE5">
      <w:pPr>
        <w:ind w:firstLine="720"/>
        <w:jc w:val="both"/>
        <w:rPr>
          <w:rFonts w:ascii="Times New Roman" w:eastAsia="Times New Roman" w:hAnsi="Times New Roman" w:cs="Times New Roman"/>
          <w:sz w:val="28"/>
        </w:rPr>
      </w:pPr>
      <w:r w:rsidRPr="00D73AE5">
        <w:rPr>
          <w:rFonts w:ascii="Times New Roman" w:eastAsia="Times New Roman" w:hAnsi="Times New Roman" w:cs="Times New Roman"/>
          <w:sz w:val="28"/>
        </w:rPr>
        <w:t>Šie pieņēmumi ir iestrādāti arī Covid-19 infekcijas izplatības seku pārvarēšanas likuma 33.pantā, kas paredz atkāpes no FDL definētajiem fiskālās disciplīnas no</w:t>
      </w:r>
      <w:r>
        <w:rPr>
          <w:rFonts w:ascii="Times New Roman" w:eastAsia="Times New Roman" w:hAnsi="Times New Roman" w:cs="Times New Roman"/>
          <w:sz w:val="28"/>
        </w:rPr>
        <w:t>sacījumiem tikai 2020. un 2021.</w:t>
      </w:r>
      <w:r w:rsidRPr="00D73AE5">
        <w:rPr>
          <w:rFonts w:ascii="Times New Roman" w:eastAsia="Times New Roman" w:hAnsi="Times New Roman" w:cs="Times New Roman"/>
          <w:sz w:val="28"/>
        </w:rPr>
        <w:t xml:space="preserve">gadā.  </w:t>
      </w:r>
    </w:p>
    <w:p w14:paraId="7C9BD003" w14:textId="15D3008E" w:rsidR="00D73AE5" w:rsidRPr="00D73AE5" w:rsidRDefault="00D73AE5" w:rsidP="00D73AE5">
      <w:pPr>
        <w:ind w:firstLine="720"/>
        <w:jc w:val="both"/>
        <w:rPr>
          <w:rFonts w:ascii="Times New Roman" w:eastAsia="Times New Roman" w:hAnsi="Times New Roman" w:cs="Times New Roman"/>
          <w:sz w:val="28"/>
        </w:rPr>
      </w:pPr>
      <w:r w:rsidRPr="00D73AE5">
        <w:rPr>
          <w:rFonts w:ascii="Times New Roman" w:eastAsia="Times New Roman" w:hAnsi="Times New Roman" w:cs="Times New Roman"/>
          <w:sz w:val="28"/>
        </w:rPr>
        <w:t>Līdz ar to saskaņā SIP nosac</w:t>
      </w:r>
      <w:r>
        <w:rPr>
          <w:rFonts w:ascii="Times New Roman" w:eastAsia="Times New Roman" w:hAnsi="Times New Roman" w:cs="Times New Roman"/>
          <w:sz w:val="28"/>
        </w:rPr>
        <w:t>ījumiem var prognozēt, ka 2021.</w:t>
      </w:r>
      <w:r w:rsidRPr="00D73AE5">
        <w:rPr>
          <w:rFonts w:ascii="Times New Roman" w:eastAsia="Times New Roman" w:hAnsi="Times New Roman" w:cs="Times New Roman"/>
          <w:sz w:val="28"/>
        </w:rPr>
        <w:t>gadā pret Latviju tiks uzsākta pārmērīga  budžeta deficīta procedūra, saskaņā ar kuru ES Padome apstiprinās rekomendāciju par noteiktu nominālā deficīta sam</w:t>
      </w:r>
      <w:r>
        <w:rPr>
          <w:rFonts w:ascii="Times New Roman" w:eastAsia="Times New Roman" w:hAnsi="Times New Roman" w:cs="Times New Roman"/>
          <w:sz w:val="28"/>
        </w:rPr>
        <w:t>azināšanu, lai vidējā termiņā (trīs</w:t>
      </w:r>
      <w:r w:rsidRPr="00D73AE5">
        <w:rPr>
          <w:rFonts w:ascii="Times New Roman" w:eastAsia="Times New Roman" w:hAnsi="Times New Roman" w:cs="Times New Roman"/>
          <w:sz w:val="28"/>
        </w:rPr>
        <w:t xml:space="preserve"> gadu laikā) tas atbilstu Māstrihtas kritērijam. Tā kā pašlaik nav pietiekamas informācijas par prognozējamo rekomendācijā ietverto deficīta samazināšanas trajektoriju, to pašlaik nav iespējams izmantot vispārējās valdības budžeta bilances mērķu aprēķināšanā.</w:t>
      </w:r>
    </w:p>
    <w:p w14:paraId="517738C8" w14:textId="29A9604B" w:rsidR="003F3FCD" w:rsidRPr="00F75A1F" w:rsidRDefault="00D73AE5" w:rsidP="00F75A1F">
      <w:pPr>
        <w:ind w:firstLine="720"/>
        <w:jc w:val="both"/>
        <w:rPr>
          <w:rFonts w:ascii="Times New Roman" w:eastAsia="Times New Roman" w:hAnsi="Times New Roman" w:cs="Times New Roman"/>
          <w:sz w:val="28"/>
        </w:rPr>
      </w:pPr>
      <w:r w:rsidRPr="00D73AE5">
        <w:rPr>
          <w:rFonts w:ascii="Times New Roman" w:eastAsia="Times New Roman" w:hAnsi="Times New Roman" w:cs="Times New Roman"/>
          <w:sz w:val="28"/>
        </w:rPr>
        <w:t>FDL, savukārt, līdz ar vispārējās izņēmuma klau</w:t>
      </w:r>
      <w:r>
        <w:rPr>
          <w:rFonts w:ascii="Times New Roman" w:eastAsia="Times New Roman" w:hAnsi="Times New Roman" w:cs="Times New Roman"/>
          <w:sz w:val="28"/>
        </w:rPr>
        <w:t>zulas atcelšanu, 2022. un 2023.gadā liek ievērot FDL 10.</w:t>
      </w:r>
      <w:r w:rsidRPr="00D73AE5">
        <w:rPr>
          <w:rFonts w:ascii="Times New Roman" w:eastAsia="Times New Roman" w:hAnsi="Times New Roman" w:cs="Times New Roman"/>
          <w:sz w:val="28"/>
        </w:rPr>
        <w:t>pantā noteikto 0</w:t>
      </w:r>
      <w:r>
        <w:rPr>
          <w:rFonts w:ascii="Times New Roman" w:eastAsia="Times New Roman" w:hAnsi="Times New Roman" w:cs="Times New Roman"/>
          <w:sz w:val="28"/>
        </w:rPr>
        <w:t xml:space="preserve">,5% strukturālā deficīta mērķi. </w:t>
      </w:r>
      <w:r w:rsidRPr="00D73AE5">
        <w:rPr>
          <w:rFonts w:ascii="Times New Roman" w:eastAsia="Times New Roman" w:hAnsi="Times New Roman" w:cs="Times New Roman"/>
          <w:sz w:val="28"/>
        </w:rPr>
        <w:t>Vienlaikus jāatzīmē, ka strukturālo bilances mērķu noteikšanā atsevišķiem VTBIL gadiem ir noteikta atšķirīga pieeja, kas detalizēti i</w:t>
      </w:r>
      <w:r w:rsidR="00F75A1F">
        <w:rPr>
          <w:rFonts w:ascii="Times New Roman" w:eastAsia="Times New Roman" w:hAnsi="Times New Roman" w:cs="Times New Roman"/>
          <w:sz w:val="28"/>
        </w:rPr>
        <w:t>r izklāstīta turpmākajā nodaļā.</w:t>
      </w:r>
    </w:p>
    <w:p w14:paraId="65CA2F4A" w14:textId="28CBD8B4" w:rsidR="003F3FCD" w:rsidRPr="00D73AE5" w:rsidRDefault="00E8646E" w:rsidP="005D361F">
      <w:pPr>
        <w:pStyle w:val="Heading3"/>
      </w:pPr>
      <w:bookmarkStart w:id="47" w:name="_Toc53154100"/>
      <w:r w:rsidRPr="00D73AE5">
        <w:t>2</w:t>
      </w:r>
      <w:r w:rsidR="00941601" w:rsidRPr="00D73AE5">
        <w:t>.1.1</w:t>
      </w:r>
      <w:r w:rsidRPr="00D73AE5">
        <w:t xml:space="preserve">. </w:t>
      </w:r>
      <w:r w:rsidR="000548A5" w:rsidRPr="00D73AE5">
        <w:t>Fiskālo nosacījumu ievērošana vidēja termiņa fiskālās politikas plānošanā</w:t>
      </w:r>
      <w:bookmarkEnd w:id="47"/>
    </w:p>
    <w:p w14:paraId="18851389" w14:textId="77777777" w:rsidR="00A30414" w:rsidRPr="003E11E6" w:rsidRDefault="00A30414" w:rsidP="00401A5B">
      <w:pPr>
        <w:rPr>
          <w:highlight w:val="green"/>
        </w:rPr>
      </w:pPr>
    </w:p>
    <w:p w14:paraId="00D4FB1A" w14:textId="26EA6C30" w:rsidR="00D73AE5" w:rsidRPr="00D73AE5" w:rsidRDefault="00D73AE5" w:rsidP="00D73AE5">
      <w:pPr>
        <w:ind w:firstLine="709"/>
        <w:jc w:val="both"/>
        <w:rPr>
          <w:rFonts w:ascii="Times New Roman" w:eastAsia="Times New Roman" w:hAnsi="Times New Roman" w:cs="Times New Roman"/>
          <w:sz w:val="28"/>
        </w:rPr>
      </w:pPr>
      <w:r>
        <w:rPr>
          <w:rFonts w:ascii="Times New Roman" w:eastAsia="Times New Roman" w:hAnsi="Times New Roman" w:cs="Times New Roman"/>
          <w:sz w:val="28"/>
        </w:rPr>
        <w:t>Vispārējā gadījumā</w:t>
      </w:r>
      <w:r w:rsidRPr="00D73AE5">
        <w:rPr>
          <w:rFonts w:ascii="Times New Roman" w:eastAsia="Times New Roman" w:hAnsi="Times New Roman" w:cs="Times New Roman"/>
          <w:sz w:val="28"/>
        </w:rPr>
        <w:t xml:space="preserve"> FDL paredz, ka strukturālās bilances mērķu definēšanā tiek piemērota vairāku pakāpju metode un tai ir vienlaicīgi jānodrošina atbilstība nacionālā līmeņa fiskālajiem nosacījumiem (bilances nosacījums, izdevumu pieauguma nosacījums un izdevumu pārmantojamības nosacījums), gan arī SIP nosacījumiem. Savukārt, situācijā, kad gan SIP, gan atsevišķu FDL fiskālo nosacījumu piemērošana ir uz laiku apturēta</w:t>
      </w:r>
      <w:r>
        <w:rPr>
          <w:rFonts w:ascii="Times New Roman" w:eastAsia="Times New Roman" w:hAnsi="Times New Roman" w:cs="Times New Roman"/>
          <w:sz w:val="28"/>
        </w:rPr>
        <w:t>, VTBIL 2021., 2022. un 2023.gadam</w:t>
      </w:r>
      <w:r w:rsidRPr="00D73AE5">
        <w:rPr>
          <w:rFonts w:ascii="Times New Roman" w:eastAsia="Times New Roman" w:hAnsi="Times New Roman" w:cs="Times New Roman"/>
          <w:sz w:val="28"/>
        </w:rPr>
        <w:t xml:space="preserve"> vajadzībām maksimālais pieļaujamais strukturālais deficīts un koriģētie maksimāli pieļaujamie valsts budžeta izdevumi tiek noteikti pēc atšķirīgas pieejas un saskaņā ar tālāk minēto algoritmu.</w:t>
      </w:r>
    </w:p>
    <w:p w14:paraId="310FF100" w14:textId="2C1673C8" w:rsidR="003F3FCD" w:rsidRDefault="003F3FCD" w:rsidP="00D73AE5">
      <w:pPr>
        <w:widowControl w:val="0"/>
        <w:jc w:val="both"/>
        <w:rPr>
          <w:rFonts w:ascii="Times New Roman" w:eastAsia="Times New Roman" w:hAnsi="Times New Roman" w:cs="Times New Roman"/>
          <w:color w:val="000000"/>
          <w:sz w:val="28"/>
          <w:highlight w:val="green"/>
        </w:rPr>
      </w:pPr>
    </w:p>
    <w:p w14:paraId="746497EB" w14:textId="77777777" w:rsidR="00F75A1F" w:rsidRPr="003E11E6" w:rsidRDefault="00F75A1F" w:rsidP="00D73AE5">
      <w:pPr>
        <w:widowControl w:val="0"/>
        <w:jc w:val="both"/>
        <w:rPr>
          <w:rFonts w:ascii="Times New Roman" w:eastAsia="Times New Roman" w:hAnsi="Times New Roman" w:cs="Times New Roman"/>
          <w:color w:val="000000"/>
          <w:sz w:val="28"/>
          <w:highlight w:val="green"/>
        </w:rPr>
      </w:pPr>
    </w:p>
    <w:p w14:paraId="4B9D4A97" w14:textId="77A2A535" w:rsidR="003F3FCD" w:rsidRPr="00D73AE5" w:rsidRDefault="000548A5" w:rsidP="00401A5B">
      <w:pPr>
        <w:widowControl w:val="0"/>
        <w:ind w:firstLine="720"/>
        <w:jc w:val="center"/>
        <w:rPr>
          <w:rFonts w:ascii="Times New Roman" w:eastAsia="Times New Roman" w:hAnsi="Times New Roman" w:cs="Times New Roman"/>
          <w:b/>
          <w:color w:val="000000"/>
          <w:sz w:val="28"/>
        </w:rPr>
      </w:pPr>
      <w:r w:rsidRPr="00D73AE5">
        <w:rPr>
          <w:rFonts w:ascii="Times New Roman" w:eastAsia="Times New Roman" w:hAnsi="Times New Roman" w:cs="Times New Roman"/>
          <w:b/>
          <w:color w:val="000000"/>
          <w:sz w:val="28"/>
        </w:rPr>
        <w:t>202</w:t>
      </w:r>
      <w:r w:rsidR="002D0E5B" w:rsidRPr="00D73AE5">
        <w:rPr>
          <w:rFonts w:ascii="Times New Roman" w:eastAsia="Times New Roman" w:hAnsi="Times New Roman" w:cs="Times New Roman"/>
          <w:b/>
          <w:color w:val="000000"/>
          <w:sz w:val="28"/>
        </w:rPr>
        <w:t>1</w:t>
      </w:r>
      <w:r w:rsidRPr="00D73AE5">
        <w:rPr>
          <w:rFonts w:ascii="Times New Roman" w:eastAsia="Times New Roman" w:hAnsi="Times New Roman" w:cs="Times New Roman"/>
          <w:b/>
          <w:color w:val="000000"/>
          <w:sz w:val="28"/>
        </w:rPr>
        <w:t>., 202</w:t>
      </w:r>
      <w:r w:rsidR="002D0E5B" w:rsidRPr="00D73AE5">
        <w:rPr>
          <w:rFonts w:ascii="Times New Roman" w:eastAsia="Times New Roman" w:hAnsi="Times New Roman" w:cs="Times New Roman"/>
          <w:b/>
          <w:color w:val="000000"/>
          <w:sz w:val="28"/>
        </w:rPr>
        <w:t>2</w:t>
      </w:r>
      <w:r w:rsidRPr="00D73AE5">
        <w:rPr>
          <w:rFonts w:ascii="Times New Roman" w:eastAsia="Times New Roman" w:hAnsi="Times New Roman" w:cs="Times New Roman"/>
          <w:b/>
          <w:color w:val="000000"/>
          <w:sz w:val="28"/>
        </w:rPr>
        <w:t>. un 202</w:t>
      </w:r>
      <w:r w:rsidR="002D0E5B" w:rsidRPr="00D73AE5">
        <w:rPr>
          <w:rFonts w:ascii="Times New Roman" w:eastAsia="Times New Roman" w:hAnsi="Times New Roman" w:cs="Times New Roman"/>
          <w:b/>
          <w:color w:val="000000"/>
          <w:sz w:val="28"/>
        </w:rPr>
        <w:t>3</w:t>
      </w:r>
      <w:r w:rsidRPr="00D73AE5">
        <w:rPr>
          <w:rFonts w:ascii="Times New Roman" w:eastAsia="Times New Roman" w:hAnsi="Times New Roman" w:cs="Times New Roman"/>
          <w:b/>
          <w:color w:val="000000"/>
          <w:sz w:val="28"/>
        </w:rPr>
        <w:t>.gadu strukturālās bilances mērķi</w:t>
      </w:r>
    </w:p>
    <w:p w14:paraId="6C436888" w14:textId="77777777" w:rsidR="009A5C2F" w:rsidRPr="003E11E6" w:rsidRDefault="009A5C2F" w:rsidP="00401A5B">
      <w:pPr>
        <w:widowControl w:val="0"/>
        <w:ind w:firstLine="720"/>
        <w:jc w:val="both"/>
        <w:rPr>
          <w:rFonts w:ascii="Times New Roman" w:eastAsia="Times New Roman" w:hAnsi="Times New Roman" w:cs="Times New Roman"/>
          <w:b/>
          <w:color w:val="000000"/>
          <w:sz w:val="24"/>
          <w:highlight w:val="green"/>
        </w:rPr>
      </w:pPr>
    </w:p>
    <w:p w14:paraId="60280BE7" w14:textId="292FF84A" w:rsidR="00D73AE5" w:rsidRPr="00D73AE5" w:rsidRDefault="00D73AE5" w:rsidP="00D73AE5">
      <w:pPr>
        <w:widowControl w:val="0"/>
        <w:ind w:firstLine="720"/>
        <w:jc w:val="both"/>
        <w:rPr>
          <w:rFonts w:ascii="Times New Roman" w:eastAsia="Times New Roman" w:hAnsi="Times New Roman" w:cs="Times New Roman"/>
          <w:color w:val="000000"/>
          <w:sz w:val="28"/>
          <w:szCs w:val="28"/>
        </w:rPr>
      </w:pPr>
      <w:r w:rsidRPr="00D73AE5">
        <w:rPr>
          <w:rFonts w:ascii="Times New Roman" w:eastAsia="Times New Roman" w:hAnsi="Times New Roman" w:cs="Times New Roman"/>
          <w:color w:val="000000"/>
          <w:sz w:val="28"/>
          <w:szCs w:val="28"/>
        </w:rPr>
        <w:t>VTBIL</w:t>
      </w:r>
      <w:r>
        <w:rPr>
          <w:rFonts w:ascii="Times New Roman" w:eastAsia="Times New Roman" w:hAnsi="Times New Roman" w:cs="Times New Roman"/>
          <w:color w:val="000000"/>
          <w:sz w:val="28"/>
          <w:szCs w:val="28"/>
        </w:rPr>
        <w:t xml:space="preserve"> 2021.,2022. un 2023.gadam</w:t>
      </w:r>
      <w:r w:rsidRPr="00D73AE5">
        <w:rPr>
          <w:rFonts w:ascii="Times New Roman" w:eastAsia="Times New Roman" w:hAnsi="Times New Roman" w:cs="Times New Roman"/>
          <w:color w:val="000000"/>
          <w:sz w:val="28"/>
          <w:szCs w:val="28"/>
        </w:rPr>
        <w:t xml:space="preserve"> strukturālās bilances mērķu visiem VTBIL gadiem noteikšanā tiek izmantots tikai bilances nosacījums ar nacionālo VTM. Bilances nosacījuma pārbaude ar SIP VTM scenāriju un izdevumu nosacījuma pārbaude, ņemot vērā EK f</w:t>
      </w:r>
      <w:r>
        <w:rPr>
          <w:rFonts w:ascii="Times New Roman" w:eastAsia="Times New Roman" w:hAnsi="Times New Roman" w:cs="Times New Roman"/>
          <w:color w:val="000000"/>
          <w:sz w:val="28"/>
          <w:szCs w:val="28"/>
        </w:rPr>
        <w:t xml:space="preserve">iskālo prognožu neesamību uz </w:t>
      </w:r>
      <w:r w:rsidRPr="00D73AE5">
        <w:rPr>
          <w:rFonts w:ascii="Times New Roman" w:eastAsia="Times New Roman" w:hAnsi="Times New Roman" w:cs="Times New Roman"/>
          <w:color w:val="000000"/>
          <w:sz w:val="28"/>
          <w:szCs w:val="28"/>
        </w:rPr>
        <w:t>VTBIL</w:t>
      </w:r>
      <w:r>
        <w:rPr>
          <w:rFonts w:ascii="Times New Roman" w:eastAsia="Times New Roman" w:hAnsi="Times New Roman" w:cs="Times New Roman"/>
          <w:color w:val="000000"/>
          <w:sz w:val="28"/>
          <w:szCs w:val="28"/>
        </w:rPr>
        <w:t xml:space="preserve"> 2021.,2022. un 2023.gadam projekta</w:t>
      </w:r>
      <w:r w:rsidRPr="00D73AE5">
        <w:rPr>
          <w:rFonts w:ascii="Times New Roman" w:eastAsia="Times New Roman" w:hAnsi="Times New Roman" w:cs="Times New Roman"/>
          <w:color w:val="000000"/>
          <w:sz w:val="28"/>
          <w:szCs w:val="28"/>
        </w:rPr>
        <w:t xml:space="preserve"> sagatavošanas brīdi</w:t>
      </w:r>
      <w:r>
        <w:rPr>
          <w:rFonts w:ascii="Times New Roman" w:eastAsia="Times New Roman" w:hAnsi="Times New Roman" w:cs="Times New Roman"/>
          <w:color w:val="000000"/>
          <w:sz w:val="28"/>
          <w:szCs w:val="28"/>
        </w:rPr>
        <w:t>,</w:t>
      </w:r>
      <w:r w:rsidRPr="00D73AE5">
        <w:rPr>
          <w:rFonts w:ascii="Times New Roman" w:eastAsia="Times New Roman" w:hAnsi="Times New Roman" w:cs="Times New Roman"/>
          <w:color w:val="000000"/>
          <w:sz w:val="28"/>
          <w:szCs w:val="28"/>
        </w:rPr>
        <w:t xml:space="preserve"> kā arī SIP vispārējās izņēmuma klauzulas iedarbināšanu, netiek veikta. Vienlaikus arī FDL noteiktais izdevumu pārm</w:t>
      </w:r>
      <w:r w:rsidR="00DF1C97">
        <w:rPr>
          <w:rFonts w:ascii="Times New Roman" w:eastAsia="Times New Roman" w:hAnsi="Times New Roman" w:cs="Times New Roman"/>
          <w:color w:val="000000"/>
          <w:sz w:val="28"/>
          <w:szCs w:val="28"/>
        </w:rPr>
        <w:t>antojamības nosacījums, kas</w:t>
      </w:r>
      <w:r w:rsidRPr="00D73AE5">
        <w:rPr>
          <w:rFonts w:ascii="Times New Roman" w:eastAsia="Times New Roman" w:hAnsi="Times New Roman" w:cs="Times New Roman"/>
          <w:color w:val="000000"/>
          <w:sz w:val="28"/>
          <w:szCs w:val="28"/>
        </w:rPr>
        <w:t xml:space="preserve"> VTBIL</w:t>
      </w:r>
      <w:r w:rsidR="00DF1C97">
        <w:rPr>
          <w:rFonts w:ascii="Times New Roman" w:eastAsia="Times New Roman" w:hAnsi="Times New Roman" w:cs="Times New Roman"/>
          <w:color w:val="000000"/>
          <w:sz w:val="28"/>
          <w:szCs w:val="28"/>
        </w:rPr>
        <w:t xml:space="preserve"> 2021.,2022. un 2023.gadam 2021. un 2022.gadā</w:t>
      </w:r>
      <w:r w:rsidRPr="00D73AE5">
        <w:rPr>
          <w:rFonts w:ascii="Times New Roman" w:eastAsia="Times New Roman" w:hAnsi="Times New Roman" w:cs="Times New Roman"/>
          <w:color w:val="000000"/>
          <w:sz w:val="28"/>
          <w:szCs w:val="28"/>
        </w:rPr>
        <w:t xml:space="preserve"> paredzētu iepriekšējā VTBIL koriģēto maksimāli pieļaujamo valsts budžeta izdevumu pārmantošanu attiecīgajiem </w:t>
      </w:r>
      <w:r w:rsidR="00DF1C97">
        <w:rPr>
          <w:rFonts w:ascii="Times New Roman" w:eastAsia="Times New Roman" w:hAnsi="Times New Roman" w:cs="Times New Roman"/>
          <w:color w:val="000000"/>
          <w:sz w:val="28"/>
          <w:szCs w:val="28"/>
        </w:rPr>
        <w:t>gadiem, netiek piemērots. 2021.</w:t>
      </w:r>
      <w:r w:rsidRPr="00D73AE5">
        <w:rPr>
          <w:rFonts w:ascii="Times New Roman" w:eastAsia="Times New Roman" w:hAnsi="Times New Roman" w:cs="Times New Roman"/>
          <w:color w:val="000000"/>
          <w:sz w:val="28"/>
          <w:szCs w:val="28"/>
        </w:rPr>
        <w:t>gadā to nosaka Covid-19 infekcijas izplatības seku pārvarēšanas likuma 33.pantā ietvertā atkāpe no FDL paredzētā nosacījuma valsts budžeta izpildē ievērot VTBIL definētos koriģētos maksimāli pieļaujamos valsts budžeta izdevumus. Savukārt 2022.gadā, kā būs paskaidrots tālāk, strukturālās bilances mērķis tiek noteikts nevis no skaitliskajiem fiskālajiem nosacījumiem (tai skaitā pārmantojamības nosacījums), bet tiek aprēķināts no faktiskā vispārējās valdības nominālās bilances pie nemainīgas  politikas.</w:t>
      </w:r>
    </w:p>
    <w:p w14:paraId="7B5D81D8" w14:textId="7EC9A4C5" w:rsidR="00D73AE5" w:rsidRPr="00D73AE5" w:rsidRDefault="00DF1C97" w:rsidP="00D73AE5">
      <w:pPr>
        <w:widowControl w:val="0"/>
        <w:ind w:firstLine="720"/>
        <w:jc w:val="both"/>
        <w:rPr>
          <w:rFonts w:ascii="Times New Roman" w:eastAsia="Times New Roman" w:hAnsi="Times New Roman" w:cs="Times New Roman"/>
          <w:sz w:val="28"/>
          <w:szCs w:val="28"/>
        </w:rPr>
      </w:pPr>
      <w:r w:rsidRPr="00DF1C97">
        <w:rPr>
          <w:rFonts w:ascii="Times New Roman" w:eastAsia="Times New Roman" w:hAnsi="Times New Roman" w:cs="Times New Roman"/>
          <w:b/>
          <w:sz w:val="28"/>
          <w:szCs w:val="28"/>
        </w:rPr>
        <w:t>2021.</w:t>
      </w:r>
      <w:r w:rsidR="00D73AE5" w:rsidRPr="00DF1C97">
        <w:rPr>
          <w:rFonts w:ascii="Times New Roman" w:eastAsia="Times New Roman" w:hAnsi="Times New Roman" w:cs="Times New Roman"/>
          <w:b/>
          <w:sz w:val="28"/>
          <w:szCs w:val="28"/>
        </w:rPr>
        <w:t>gadā</w:t>
      </w:r>
      <w:r w:rsidR="00D73AE5" w:rsidRPr="00D73AE5">
        <w:rPr>
          <w:rFonts w:ascii="Times New Roman" w:eastAsia="Times New Roman" w:hAnsi="Times New Roman" w:cs="Times New Roman"/>
          <w:sz w:val="28"/>
          <w:szCs w:val="28"/>
        </w:rPr>
        <w:t>, pastāvot SIP vispārējā izņēmuma klauzulai un Covid-19 infekcijas izplatības seku pārvarēšanas likuma regulējumam par FDL nosacī</w:t>
      </w:r>
      <w:r>
        <w:rPr>
          <w:rFonts w:ascii="Times New Roman" w:eastAsia="Times New Roman" w:hAnsi="Times New Roman" w:cs="Times New Roman"/>
          <w:sz w:val="28"/>
          <w:szCs w:val="28"/>
        </w:rPr>
        <w:t>jumu piemērošanu 2020. un 2021.</w:t>
      </w:r>
      <w:r w:rsidR="00D73AE5" w:rsidRPr="00D73AE5">
        <w:rPr>
          <w:rFonts w:ascii="Times New Roman" w:eastAsia="Times New Roman" w:hAnsi="Times New Roman" w:cs="Times New Roman"/>
          <w:sz w:val="28"/>
          <w:szCs w:val="28"/>
        </w:rPr>
        <w:t xml:space="preserve">gadā, strukturālās bilances mērķis tiek noteikts, balstoties uz nominālās bilances apmēru, ņemot vērā fiskālās prognozes pie nemainīgas politikas, MK pieņemtos lēmumus ar fiskālo ietekmi aktuālajā budžeta ciklā kā arī </w:t>
      </w:r>
      <w:r>
        <w:rPr>
          <w:rFonts w:ascii="Times New Roman" w:eastAsia="Times New Roman" w:hAnsi="Times New Roman" w:cs="Times New Roman"/>
          <w:sz w:val="28"/>
          <w:szCs w:val="28"/>
        </w:rPr>
        <w:t>FM</w:t>
      </w:r>
      <w:r w:rsidR="00D73AE5" w:rsidRPr="00D73AE5">
        <w:rPr>
          <w:rFonts w:ascii="Times New Roman" w:eastAsia="Times New Roman" w:hAnsi="Times New Roman" w:cs="Times New Roman"/>
          <w:sz w:val="28"/>
          <w:szCs w:val="28"/>
        </w:rPr>
        <w:t xml:space="preserve"> prognozes par ekonomikas ciklisko attīstību. Veiktais aprēķinu alg</w:t>
      </w:r>
      <w:r>
        <w:rPr>
          <w:rFonts w:ascii="Times New Roman" w:eastAsia="Times New Roman" w:hAnsi="Times New Roman" w:cs="Times New Roman"/>
          <w:sz w:val="28"/>
          <w:szCs w:val="28"/>
        </w:rPr>
        <w:t>oritms ir atspoguļots 2.1.</w:t>
      </w:r>
      <w:r w:rsidR="00D73AE5" w:rsidRPr="00D73AE5">
        <w:rPr>
          <w:rFonts w:ascii="Times New Roman" w:eastAsia="Times New Roman" w:hAnsi="Times New Roman" w:cs="Times New Roman"/>
          <w:sz w:val="28"/>
          <w:szCs w:val="28"/>
        </w:rPr>
        <w:t>tabulā.</w:t>
      </w:r>
    </w:p>
    <w:p w14:paraId="4D4B2F02" w14:textId="77777777" w:rsidR="00D73AE5" w:rsidRPr="00D73AE5" w:rsidRDefault="00D73AE5" w:rsidP="00D73AE5">
      <w:pPr>
        <w:widowControl w:val="0"/>
        <w:ind w:firstLine="720"/>
        <w:jc w:val="both"/>
        <w:rPr>
          <w:rFonts w:ascii="Times New Roman" w:eastAsia="Times New Roman" w:hAnsi="Times New Roman" w:cs="Times New Roman"/>
          <w:sz w:val="28"/>
          <w:szCs w:val="28"/>
        </w:rPr>
      </w:pPr>
    </w:p>
    <w:p w14:paraId="25D23B24" w14:textId="1F82B54B" w:rsidR="00D73AE5" w:rsidRPr="00DF1C97" w:rsidRDefault="00DF1C97" w:rsidP="00DF1C97">
      <w:pPr>
        <w:widowControl w:val="0"/>
        <w:ind w:firstLine="720"/>
        <w:jc w:val="right"/>
        <w:rPr>
          <w:rFonts w:ascii="Times New Roman" w:eastAsia="Times New Roman" w:hAnsi="Times New Roman" w:cs="Times New Roman"/>
          <w:b/>
          <w:i/>
          <w:sz w:val="24"/>
          <w:szCs w:val="28"/>
        </w:rPr>
      </w:pPr>
      <w:r w:rsidRPr="00DF1C97">
        <w:rPr>
          <w:rFonts w:ascii="Times New Roman" w:eastAsia="Times New Roman" w:hAnsi="Times New Roman" w:cs="Times New Roman"/>
          <w:b/>
          <w:i/>
          <w:sz w:val="24"/>
          <w:szCs w:val="28"/>
        </w:rPr>
        <w:t>2.1</w:t>
      </w:r>
      <w:r w:rsidR="00D73AE5" w:rsidRPr="00DF1C97">
        <w:rPr>
          <w:rFonts w:ascii="Times New Roman" w:eastAsia="Times New Roman" w:hAnsi="Times New Roman" w:cs="Times New Roman"/>
          <w:b/>
          <w:i/>
          <w:sz w:val="24"/>
          <w:szCs w:val="28"/>
        </w:rPr>
        <w:t xml:space="preserve"> tabula</w:t>
      </w:r>
      <w:r w:rsidRPr="00DF1C97">
        <w:rPr>
          <w:rFonts w:ascii="Times New Roman" w:eastAsia="Times New Roman" w:hAnsi="Times New Roman" w:cs="Times New Roman"/>
          <w:b/>
          <w:i/>
          <w:sz w:val="24"/>
          <w:szCs w:val="28"/>
        </w:rPr>
        <w:t>.</w:t>
      </w:r>
      <w:r w:rsidR="00D73AE5" w:rsidRPr="00DF1C97">
        <w:rPr>
          <w:rFonts w:ascii="Times New Roman" w:eastAsia="Times New Roman" w:hAnsi="Times New Roman" w:cs="Times New Roman"/>
          <w:b/>
          <w:i/>
          <w:sz w:val="24"/>
          <w:szCs w:val="28"/>
        </w:rPr>
        <w:t xml:space="preserve"> Strukturālās bilan</w:t>
      </w:r>
      <w:r>
        <w:rPr>
          <w:rFonts w:ascii="Times New Roman" w:eastAsia="Times New Roman" w:hAnsi="Times New Roman" w:cs="Times New Roman"/>
          <w:b/>
          <w:i/>
          <w:sz w:val="24"/>
          <w:szCs w:val="28"/>
        </w:rPr>
        <w:t>ces mērķis 2021. un 2022. gadam</w:t>
      </w:r>
    </w:p>
    <w:tbl>
      <w:tblPr>
        <w:tblStyle w:val="TableGrid4"/>
        <w:tblW w:w="9067" w:type="dxa"/>
        <w:jc w:val="center"/>
        <w:tblLook w:val="04A0" w:firstRow="1" w:lastRow="0" w:firstColumn="1" w:lastColumn="0" w:noHBand="0" w:noVBand="1"/>
      </w:tblPr>
      <w:tblGrid>
        <w:gridCol w:w="1962"/>
        <w:gridCol w:w="4919"/>
        <w:gridCol w:w="1091"/>
        <w:gridCol w:w="1095"/>
      </w:tblGrid>
      <w:tr w:rsidR="00D73AE5" w:rsidRPr="00DF1C97" w14:paraId="33567ED2" w14:textId="77777777" w:rsidTr="00DF1C97">
        <w:trPr>
          <w:trHeight w:val="244"/>
          <w:jc w:val="center"/>
        </w:trPr>
        <w:tc>
          <w:tcPr>
            <w:tcW w:w="1962" w:type="dxa"/>
            <w:shd w:val="clear" w:color="auto" w:fill="DEEAF6" w:themeFill="accent1" w:themeFillTint="33"/>
          </w:tcPr>
          <w:p w14:paraId="0D33A77A" w14:textId="77777777" w:rsidR="00D73AE5" w:rsidRPr="00DF1C97" w:rsidRDefault="00D73AE5" w:rsidP="00D73AE5">
            <w:pPr>
              <w:widowControl w:val="0"/>
              <w:jc w:val="both"/>
              <w:rPr>
                <w:rFonts w:ascii="Times New Roman" w:eastAsia="Times New Roman" w:hAnsi="Times New Roman" w:cs="Times New Roman"/>
                <w:szCs w:val="28"/>
              </w:rPr>
            </w:pPr>
          </w:p>
        </w:tc>
        <w:tc>
          <w:tcPr>
            <w:tcW w:w="4919" w:type="dxa"/>
            <w:shd w:val="clear" w:color="auto" w:fill="DEEAF6" w:themeFill="accent1" w:themeFillTint="33"/>
          </w:tcPr>
          <w:p w14:paraId="11ACAD2B" w14:textId="77777777" w:rsidR="00D73AE5" w:rsidRPr="00DF1C97" w:rsidRDefault="00D73AE5" w:rsidP="00D73AE5">
            <w:pPr>
              <w:widowControl w:val="0"/>
              <w:jc w:val="both"/>
              <w:rPr>
                <w:rFonts w:ascii="Times New Roman" w:eastAsia="Times New Roman" w:hAnsi="Times New Roman" w:cs="Times New Roman"/>
                <w:szCs w:val="28"/>
              </w:rPr>
            </w:pPr>
          </w:p>
        </w:tc>
        <w:tc>
          <w:tcPr>
            <w:tcW w:w="1091" w:type="dxa"/>
            <w:shd w:val="clear" w:color="auto" w:fill="DEEAF6" w:themeFill="accent1" w:themeFillTint="33"/>
          </w:tcPr>
          <w:p w14:paraId="287C06CA" w14:textId="77777777" w:rsidR="00D73AE5" w:rsidRPr="00DF1C97" w:rsidRDefault="00D73AE5" w:rsidP="00DF1C97">
            <w:pPr>
              <w:widowControl w:val="0"/>
              <w:jc w:val="center"/>
              <w:rPr>
                <w:rFonts w:ascii="Times New Roman" w:eastAsia="Times New Roman" w:hAnsi="Times New Roman" w:cs="Times New Roman"/>
                <w:b/>
                <w:szCs w:val="28"/>
              </w:rPr>
            </w:pPr>
            <w:r w:rsidRPr="00DF1C97">
              <w:rPr>
                <w:rFonts w:ascii="Times New Roman" w:eastAsia="Times New Roman" w:hAnsi="Times New Roman" w:cs="Times New Roman"/>
                <w:b/>
                <w:szCs w:val="28"/>
              </w:rPr>
              <w:t>2021</w:t>
            </w:r>
          </w:p>
        </w:tc>
        <w:tc>
          <w:tcPr>
            <w:tcW w:w="1095" w:type="dxa"/>
            <w:shd w:val="clear" w:color="auto" w:fill="DEEAF6" w:themeFill="accent1" w:themeFillTint="33"/>
          </w:tcPr>
          <w:p w14:paraId="391D47C1" w14:textId="77777777" w:rsidR="00D73AE5" w:rsidRPr="00DF1C97" w:rsidRDefault="00D73AE5" w:rsidP="00DF1C97">
            <w:pPr>
              <w:widowControl w:val="0"/>
              <w:jc w:val="center"/>
              <w:rPr>
                <w:rFonts w:ascii="Times New Roman" w:eastAsia="Times New Roman" w:hAnsi="Times New Roman" w:cs="Times New Roman"/>
                <w:b/>
                <w:szCs w:val="28"/>
              </w:rPr>
            </w:pPr>
            <w:r w:rsidRPr="00DF1C97">
              <w:rPr>
                <w:rFonts w:ascii="Times New Roman" w:eastAsia="Times New Roman" w:hAnsi="Times New Roman" w:cs="Times New Roman"/>
                <w:b/>
                <w:szCs w:val="28"/>
              </w:rPr>
              <w:t>2022</w:t>
            </w:r>
          </w:p>
        </w:tc>
      </w:tr>
      <w:tr w:rsidR="00D73AE5" w:rsidRPr="00DF1C97" w14:paraId="0020178A" w14:textId="77777777" w:rsidTr="00DF1C97">
        <w:trPr>
          <w:trHeight w:val="228"/>
          <w:jc w:val="center"/>
        </w:trPr>
        <w:tc>
          <w:tcPr>
            <w:tcW w:w="1962" w:type="dxa"/>
            <w:vAlign w:val="bottom"/>
          </w:tcPr>
          <w:p w14:paraId="184C119D" w14:textId="77777777" w:rsidR="00D73AE5" w:rsidRPr="00DF1C97" w:rsidRDefault="00D73AE5" w:rsidP="00D73AE5">
            <w:pPr>
              <w:widowControl w:val="0"/>
              <w:jc w:val="both"/>
              <w:rPr>
                <w:rFonts w:ascii="Times New Roman" w:eastAsia="Times New Roman" w:hAnsi="Times New Roman" w:cs="Times New Roman"/>
                <w:b/>
                <w:szCs w:val="28"/>
              </w:rPr>
            </w:pPr>
            <w:r w:rsidRPr="00DF1C97">
              <w:rPr>
                <w:rFonts w:ascii="Times New Roman" w:hAnsi="Times New Roman" w:cs="Times New Roman"/>
                <w:b/>
                <w:color w:val="000000"/>
                <w:szCs w:val="28"/>
              </w:rPr>
              <w:t>(1)</w:t>
            </w:r>
          </w:p>
        </w:tc>
        <w:tc>
          <w:tcPr>
            <w:tcW w:w="4919" w:type="dxa"/>
            <w:vAlign w:val="center"/>
          </w:tcPr>
          <w:p w14:paraId="394C66EA" w14:textId="77777777" w:rsidR="00D73AE5" w:rsidRPr="00DF1C97" w:rsidRDefault="00D73AE5" w:rsidP="00D73AE5">
            <w:pPr>
              <w:widowControl w:val="0"/>
              <w:jc w:val="both"/>
              <w:rPr>
                <w:rFonts w:ascii="Times New Roman" w:eastAsia="Times New Roman" w:hAnsi="Times New Roman" w:cs="Times New Roman"/>
                <w:b/>
                <w:szCs w:val="28"/>
              </w:rPr>
            </w:pPr>
            <w:r w:rsidRPr="00DF1C97">
              <w:rPr>
                <w:rFonts w:ascii="Times New Roman" w:hAnsi="Times New Roman" w:cs="Times New Roman"/>
                <w:b/>
                <w:bCs/>
                <w:color w:val="000000"/>
                <w:szCs w:val="28"/>
              </w:rPr>
              <w:t>nominālā bilance</w:t>
            </w:r>
          </w:p>
        </w:tc>
        <w:tc>
          <w:tcPr>
            <w:tcW w:w="1091" w:type="dxa"/>
            <w:vAlign w:val="center"/>
          </w:tcPr>
          <w:p w14:paraId="4314DF4C" w14:textId="77777777" w:rsidR="00D73AE5" w:rsidRPr="00DF1C97" w:rsidRDefault="00D73AE5" w:rsidP="00DF1C97">
            <w:pPr>
              <w:widowControl w:val="0"/>
              <w:jc w:val="right"/>
              <w:rPr>
                <w:rFonts w:ascii="Times New Roman" w:eastAsia="Times New Roman" w:hAnsi="Times New Roman" w:cs="Times New Roman"/>
                <w:b/>
                <w:szCs w:val="28"/>
              </w:rPr>
            </w:pPr>
            <w:r w:rsidRPr="00DF1C97">
              <w:rPr>
                <w:rFonts w:ascii="Times New Roman" w:hAnsi="Times New Roman" w:cs="Times New Roman"/>
                <w:b/>
                <w:bCs/>
                <w:color w:val="000000"/>
                <w:szCs w:val="28"/>
              </w:rPr>
              <w:t>-3.95</w:t>
            </w:r>
          </w:p>
        </w:tc>
        <w:tc>
          <w:tcPr>
            <w:tcW w:w="1095" w:type="dxa"/>
            <w:vAlign w:val="center"/>
          </w:tcPr>
          <w:p w14:paraId="12C73A9B" w14:textId="77777777" w:rsidR="00D73AE5" w:rsidRPr="00DF1C97" w:rsidRDefault="00D73AE5" w:rsidP="00DF1C97">
            <w:pPr>
              <w:widowControl w:val="0"/>
              <w:jc w:val="right"/>
              <w:rPr>
                <w:rFonts w:ascii="Times New Roman" w:eastAsia="Times New Roman" w:hAnsi="Times New Roman" w:cs="Times New Roman"/>
                <w:b/>
                <w:szCs w:val="28"/>
              </w:rPr>
            </w:pPr>
            <w:r w:rsidRPr="00DF1C97">
              <w:rPr>
                <w:rFonts w:ascii="Times New Roman" w:hAnsi="Times New Roman" w:cs="Times New Roman"/>
                <w:b/>
                <w:bCs/>
                <w:color w:val="000000"/>
                <w:szCs w:val="28"/>
              </w:rPr>
              <w:t>-2.77</w:t>
            </w:r>
          </w:p>
        </w:tc>
      </w:tr>
      <w:tr w:rsidR="00D73AE5" w:rsidRPr="00DF1C97" w14:paraId="39E1A270" w14:textId="77777777" w:rsidTr="00DF1C97">
        <w:trPr>
          <w:trHeight w:val="244"/>
          <w:jc w:val="center"/>
        </w:trPr>
        <w:tc>
          <w:tcPr>
            <w:tcW w:w="1962" w:type="dxa"/>
            <w:vAlign w:val="bottom"/>
          </w:tcPr>
          <w:p w14:paraId="6A33CAB1" w14:textId="77777777" w:rsidR="00D73AE5" w:rsidRPr="00DF1C97" w:rsidRDefault="00D73AE5" w:rsidP="00D73AE5">
            <w:pPr>
              <w:widowControl w:val="0"/>
              <w:jc w:val="both"/>
              <w:rPr>
                <w:rFonts w:ascii="Times New Roman" w:eastAsia="Times New Roman" w:hAnsi="Times New Roman" w:cs="Times New Roman"/>
                <w:szCs w:val="28"/>
              </w:rPr>
            </w:pPr>
            <w:r w:rsidRPr="00DF1C97">
              <w:rPr>
                <w:rFonts w:ascii="Times New Roman" w:hAnsi="Times New Roman" w:cs="Times New Roman"/>
                <w:color w:val="000000"/>
                <w:szCs w:val="28"/>
              </w:rPr>
              <w:t>(2)</w:t>
            </w:r>
          </w:p>
        </w:tc>
        <w:tc>
          <w:tcPr>
            <w:tcW w:w="4919" w:type="dxa"/>
            <w:vAlign w:val="center"/>
          </w:tcPr>
          <w:p w14:paraId="5FF3E608" w14:textId="77777777" w:rsidR="00D73AE5" w:rsidRPr="00DF1C97" w:rsidRDefault="00D73AE5" w:rsidP="00D73AE5">
            <w:pPr>
              <w:widowControl w:val="0"/>
              <w:jc w:val="both"/>
              <w:rPr>
                <w:rFonts w:ascii="Times New Roman" w:eastAsia="Times New Roman" w:hAnsi="Times New Roman" w:cs="Times New Roman"/>
                <w:szCs w:val="28"/>
              </w:rPr>
            </w:pPr>
            <w:r w:rsidRPr="00DF1C97">
              <w:rPr>
                <w:rFonts w:ascii="Times New Roman" w:hAnsi="Times New Roman" w:cs="Times New Roman"/>
                <w:color w:val="000000"/>
                <w:szCs w:val="28"/>
              </w:rPr>
              <w:t>bilances cikliskā komponente</w:t>
            </w:r>
          </w:p>
        </w:tc>
        <w:tc>
          <w:tcPr>
            <w:tcW w:w="1091" w:type="dxa"/>
            <w:vAlign w:val="center"/>
          </w:tcPr>
          <w:p w14:paraId="2ACCA131" w14:textId="77777777" w:rsidR="00D73AE5" w:rsidRPr="00DF1C97" w:rsidRDefault="00D73AE5" w:rsidP="00DF1C97">
            <w:pPr>
              <w:widowControl w:val="0"/>
              <w:jc w:val="right"/>
              <w:rPr>
                <w:rFonts w:ascii="Times New Roman" w:eastAsia="Times New Roman" w:hAnsi="Times New Roman" w:cs="Times New Roman"/>
                <w:szCs w:val="28"/>
              </w:rPr>
            </w:pPr>
            <w:r w:rsidRPr="00DF1C97">
              <w:rPr>
                <w:rFonts w:ascii="Times New Roman" w:hAnsi="Times New Roman" w:cs="Times New Roman"/>
                <w:color w:val="000000"/>
                <w:szCs w:val="28"/>
              </w:rPr>
              <w:t>-2.03</w:t>
            </w:r>
          </w:p>
        </w:tc>
        <w:tc>
          <w:tcPr>
            <w:tcW w:w="1095" w:type="dxa"/>
            <w:vAlign w:val="center"/>
          </w:tcPr>
          <w:p w14:paraId="075097F1" w14:textId="77777777" w:rsidR="00D73AE5" w:rsidRPr="00DF1C97" w:rsidRDefault="00D73AE5" w:rsidP="00DF1C97">
            <w:pPr>
              <w:widowControl w:val="0"/>
              <w:jc w:val="right"/>
              <w:rPr>
                <w:rFonts w:ascii="Times New Roman" w:eastAsia="Times New Roman" w:hAnsi="Times New Roman" w:cs="Times New Roman"/>
                <w:szCs w:val="28"/>
              </w:rPr>
            </w:pPr>
            <w:r w:rsidRPr="00DF1C97">
              <w:rPr>
                <w:rFonts w:ascii="Times New Roman" w:hAnsi="Times New Roman" w:cs="Times New Roman"/>
                <w:color w:val="000000"/>
                <w:szCs w:val="28"/>
              </w:rPr>
              <w:t>-1.80</w:t>
            </w:r>
          </w:p>
        </w:tc>
      </w:tr>
      <w:tr w:rsidR="00D73AE5" w:rsidRPr="00DF1C97" w14:paraId="2E3DE776" w14:textId="77777777" w:rsidTr="00DF1C97">
        <w:trPr>
          <w:trHeight w:val="244"/>
          <w:jc w:val="center"/>
        </w:trPr>
        <w:tc>
          <w:tcPr>
            <w:tcW w:w="1962" w:type="dxa"/>
            <w:vAlign w:val="bottom"/>
          </w:tcPr>
          <w:p w14:paraId="20216AC5" w14:textId="77777777" w:rsidR="00D73AE5" w:rsidRPr="00DF1C97" w:rsidRDefault="00D73AE5" w:rsidP="00D73AE5">
            <w:pPr>
              <w:widowControl w:val="0"/>
              <w:jc w:val="both"/>
              <w:rPr>
                <w:rFonts w:ascii="Times New Roman" w:eastAsia="Times New Roman" w:hAnsi="Times New Roman" w:cs="Times New Roman"/>
                <w:szCs w:val="28"/>
              </w:rPr>
            </w:pPr>
            <w:r w:rsidRPr="00DF1C97">
              <w:rPr>
                <w:rFonts w:ascii="Times New Roman" w:hAnsi="Times New Roman" w:cs="Times New Roman"/>
                <w:color w:val="000000"/>
                <w:szCs w:val="28"/>
              </w:rPr>
              <w:t>(3)</w:t>
            </w:r>
          </w:p>
        </w:tc>
        <w:tc>
          <w:tcPr>
            <w:tcW w:w="4919" w:type="dxa"/>
            <w:vAlign w:val="center"/>
          </w:tcPr>
          <w:p w14:paraId="3D09D75E" w14:textId="77777777" w:rsidR="00D73AE5" w:rsidRPr="00DF1C97" w:rsidRDefault="00D73AE5" w:rsidP="00D73AE5">
            <w:pPr>
              <w:widowControl w:val="0"/>
              <w:jc w:val="both"/>
              <w:rPr>
                <w:rFonts w:ascii="Times New Roman" w:eastAsia="Times New Roman" w:hAnsi="Times New Roman" w:cs="Times New Roman"/>
                <w:szCs w:val="28"/>
              </w:rPr>
            </w:pPr>
            <w:r w:rsidRPr="00DF1C97">
              <w:rPr>
                <w:rFonts w:ascii="Times New Roman" w:hAnsi="Times New Roman" w:cs="Times New Roman"/>
                <w:color w:val="000000"/>
                <w:szCs w:val="28"/>
              </w:rPr>
              <w:t>vienreizējie pasākumi</w:t>
            </w:r>
          </w:p>
        </w:tc>
        <w:tc>
          <w:tcPr>
            <w:tcW w:w="1091" w:type="dxa"/>
            <w:vAlign w:val="center"/>
          </w:tcPr>
          <w:p w14:paraId="3D97F5C9" w14:textId="77777777" w:rsidR="00D73AE5" w:rsidRPr="00DF1C97" w:rsidRDefault="00D73AE5" w:rsidP="00DF1C97">
            <w:pPr>
              <w:widowControl w:val="0"/>
              <w:jc w:val="right"/>
              <w:rPr>
                <w:rFonts w:ascii="Times New Roman" w:eastAsia="Times New Roman" w:hAnsi="Times New Roman" w:cs="Times New Roman"/>
                <w:szCs w:val="28"/>
              </w:rPr>
            </w:pPr>
            <w:r w:rsidRPr="00DF1C97">
              <w:rPr>
                <w:rFonts w:ascii="Times New Roman" w:hAnsi="Times New Roman" w:cs="Times New Roman"/>
                <w:color w:val="000000"/>
                <w:szCs w:val="28"/>
              </w:rPr>
              <w:t>0.05</w:t>
            </w:r>
          </w:p>
        </w:tc>
        <w:tc>
          <w:tcPr>
            <w:tcW w:w="1095" w:type="dxa"/>
            <w:vAlign w:val="center"/>
          </w:tcPr>
          <w:p w14:paraId="09BCE22F" w14:textId="77777777" w:rsidR="00D73AE5" w:rsidRPr="00DF1C97" w:rsidRDefault="00D73AE5" w:rsidP="00DF1C97">
            <w:pPr>
              <w:widowControl w:val="0"/>
              <w:jc w:val="right"/>
              <w:rPr>
                <w:rFonts w:ascii="Times New Roman" w:eastAsia="Times New Roman" w:hAnsi="Times New Roman" w:cs="Times New Roman"/>
                <w:szCs w:val="28"/>
              </w:rPr>
            </w:pPr>
            <w:r w:rsidRPr="00DF1C97">
              <w:rPr>
                <w:rFonts w:ascii="Times New Roman" w:hAnsi="Times New Roman" w:cs="Times New Roman"/>
                <w:color w:val="000000"/>
                <w:szCs w:val="28"/>
              </w:rPr>
              <w:t> </w:t>
            </w:r>
          </w:p>
        </w:tc>
      </w:tr>
      <w:tr w:rsidR="00D73AE5" w:rsidRPr="00DF1C97" w14:paraId="5BF8FDEC" w14:textId="77777777" w:rsidTr="00DF1C97">
        <w:trPr>
          <w:trHeight w:val="489"/>
          <w:jc w:val="center"/>
        </w:trPr>
        <w:tc>
          <w:tcPr>
            <w:tcW w:w="1962" w:type="dxa"/>
            <w:vAlign w:val="bottom"/>
          </w:tcPr>
          <w:p w14:paraId="17E57129" w14:textId="77777777" w:rsidR="00D73AE5" w:rsidRPr="00DF1C97" w:rsidRDefault="00D73AE5" w:rsidP="00D73AE5">
            <w:pPr>
              <w:widowControl w:val="0"/>
              <w:jc w:val="both"/>
              <w:rPr>
                <w:rFonts w:ascii="Times New Roman" w:eastAsia="Times New Roman" w:hAnsi="Times New Roman" w:cs="Times New Roman"/>
                <w:szCs w:val="28"/>
              </w:rPr>
            </w:pPr>
            <w:r w:rsidRPr="00DF1C97">
              <w:rPr>
                <w:rFonts w:ascii="Times New Roman" w:hAnsi="Times New Roman" w:cs="Times New Roman"/>
                <w:color w:val="000000"/>
                <w:szCs w:val="28"/>
              </w:rPr>
              <w:t>(4)=(1)-(2)-(3)</w:t>
            </w:r>
          </w:p>
        </w:tc>
        <w:tc>
          <w:tcPr>
            <w:tcW w:w="4919" w:type="dxa"/>
            <w:vAlign w:val="center"/>
          </w:tcPr>
          <w:p w14:paraId="5832FCD2" w14:textId="77777777" w:rsidR="00D73AE5" w:rsidRPr="00DF1C97" w:rsidRDefault="00D73AE5" w:rsidP="00D73AE5">
            <w:pPr>
              <w:widowControl w:val="0"/>
              <w:jc w:val="both"/>
              <w:rPr>
                <w:rFonts w:ascii="Times New Roman" w:eastAsia="Times New Roman" w:hAnsi="Times New Roman" w:cs="Times New Roman"/>
                <w:szCs w:val="28"/>
              </w:rPr>
            </w:pPr>
            <w:r w:rsidRPr="00DF1C97">
              <w:rPr>
                <w:rFonts w:ascii="Times New Roman" w:hAnsi="Times New Roman" w:cs="Times New Roman"/>
                <w:color w:val="000000"/>
                <w:szCs w:val="28"/>
              </w:rPr>
              <w:t>strukturālā bilance</w:t>
            </w:r>
          </w:p>
        </w:tc>
        <w:tc>
          <w:tcPr>
            <w:tcW w:w="1091" w:type="dxa"/>
            <w:vAlign w:val="center"/>
          </w:tcPr>
          <w:p w14:paraId="3719F6B5" w14:textId="77777777" w:rsidR="00D73AE5" w:rsidRPr="00DF1C97" w:rsidRDefault="00D73AE5" w:rsidP="00DF1C97">
            <w:pPr>
              <w:widowControl w:val="0"/>
              <w:jc w:val="right"/>
              <w:rPr>
                <w:rFonts w:ascii="Times New Roman" w:eastAsia="Times New Roman" w:hAnsi="Times New Roman" w:cs="Times New Roman"/>
                <w:szCs w:val="28"/>
              </w:rPr>
            </w:pPr>
            <w:r w:rsidRPr="00DF1C97">
              <w:rPr>
                <w:rFonts w:ascii="Times New Roman" w:hAnsi="Times New Roman" w:cs="Times New Roman"/>
                <w:color w:val="000000"/>
                <w:szCs w:val="28"/>
              </w:rPr>
              <w:t>-1.96</w:t>
            </w:r>
          </w:p>
        </w:tc>
        <w:tc>
          <w:tcPr>
            <w:tcW w:w="1095" w:type="dxa"/>
            <w:vAlign w:val="center"/>
          </w:tcPr>
          <w:p w14:paraId="7A1A3F3D" w14:textId="77777777" w:rsidR="00D73AE5" w:rsidRPr="00DF1C97" w:rsidRDefault="00D73AE5" w:rsidP="00DF1C97">
            <w:pPr>
              <w:widowControl w:val="0"/>
              <w:jc w:val="right"/>
              <w:rPr>
                <w:rFonts w:ascii="Times New Roman" w:eastAsia="Times New Roman" w:hAnsi="Times New Roman" w:cs="Times New Roman"/>
                <w:szCs w:val="28"/>
              </w:rPr>
            </w:pPr>
            <w:r w:rsidRPr="00DF1C97">
              <w:rPr>
                <w:rFonts w:ascii="Times New Roman" w:hAnsi="Times New Roman" w:cs="Times New Roman"/>
                <w:color w:val="000000"/>
                <w:szCs w:val="28"/>
              </w:rPr>
              <w:t>-0.97</w:t>
            </w:r>
          </w:p>
        </w:tc>
      </w:tr>
      <w:tr w:rsidR="00D73AE5" w:rsidRPr="00DF1C97" w14:paraId="66D4DB34" w14:textId="77777777" w:rsidTr="00DF1C97">
        <w:trPr>
          <w:trHeight w:val="228"/>
          <w:jc w:val="center"/>
        </w:trPr>
        <w:tc>
          <w:tcPr>
            <w:tcW w:w="1962" w:type="dxa"/>
            <w:vAlign w:val="bottom"/>
          </w:tcPr>
          <w:p w14:paraId="7A321CD3" w14:textId="77777777" w:rsidR="00D73AE5" w:rsidRPr="00DF1C97" w:rsidRDefault="00D73AE5" w:rsidP="00D73AE5">
            <w:pPr>
              <w:widowControl w:val="0"/>
              <w:jc w:val="both"/>
              <w:rPr>
                <w:rFonts w:ascii="Times New Roman" w:eastAsia="Times New Roman" w:hAnsi="Times New Roman" w:cs="Times New Roman"/>
                <w:szCs w:val="28"/>
              </w:rPr>
            </w:pPr>
            <w:r w:rsidRPr="00DF1C97">
              <w:rPr>
                <w:rFonts w:ascii="Times New Roman" w:hAnsi="Times New Roman" w:cs="Times New Roman"/>
                <w:color w:val="000000"/>
                <w:szCs w:val="28"/>
              </w:rPr>
              <w:t>(5)</w:t>
            </w:r>
          </w:p>
        </w:tc>
        <w:tc>
          <w:tcPr>
            <w:tcW w:w="4919" w:type="dxa"/>
            <w:vAlign w:val="center"/>
          </w:tcPr>
          <w:p w14:paraId="6F88BF8A" w14:textId="77777777" w:rsidR="00D73AE5" w:rsidRPr="00DF1C97" w:rsidRDefault="00D73AE5" w:rsidP="00D73AE5">
            <w:pPr>
              <w:widowControl w:val="0"/>
              <w:jc w:val="both"/>
              <w:rPr>
                <w:rFonts w:ascii="Times New Roman" w:eastAsia="Times New Roman" w:hAnsi="Times New Roman" w:cs="Times New Roman"/>
                <w:szCs w:val="28"/>
              </w:rPr>
            </w:pPr>
            <w:r w:rsidRPr="00DF1C97">
              <w:rPr>
                <w:rFonts w:ascii="Times New Roman" w:hAnsi="Times New Roman" w:cs="Times New Roman"/>
                <w:color w:val="000000"/>
                <w:szCs w:val="28"/>
              </w:rPr>
              <w:t>fiskālā nodrošinājuma rezerve</w:t>
            </w:r>
          </w:p>
        </w:tc>
        <w:tc>
          <w:tcPr>
            <w:tcW w:w="1091" w:type="dxa"/>
            <w:vAlign w:val="center"/>
          </w:tcPr>
          <w:p w14:paraId="6C28F8C2" w14:textId="77777777" w:rsidR="00D73AE5" w:rsidRPr="00DF1C97" w:rsidRDefault="00D73AE5" w:rsidP="00DF1C97">
            <w:pPr>
              <w:widowControl w:val="0"/>
              <w:jc w:val="right"/>
              <w:rPr>
                <w:rFonts w:ascii="Times New Roman" w:eastAsia="Times New Roman" w:hAnsi="Times New Roman" w:cs="Times New Roman"/>
                <w:szCs w:val="28"/>
              </w:rPr>
            </w:pPr>
            <w:r w:rsidRPr="00DF1C97">
              <w:rPr>
                <w:rFonts w:ascii="Times New Roman" w:hAnsi="Times New Roman" w:cs="Times New Roman"/>
                <w:color w:val="000000"/>
                <w:szCs w:val="28"/>
              </w:rPr>
              <w:t>-0.10</w:t>
            </w:r>
          </w:p>
        </w:tc>
        <w:tc>
          <w:tcPr>
            <w:tcW w:w="1095" w:type="dxa"/>
            <w:vAlign w:val="center"/>
          </w:tcPr>
          <w:p w14:paraId="7ADC0C68" w14:textId="77777777" w:rsidR="00D73AE5" w:rsidRPr="00DF1C97" w:rsidRDefault="00D73AE5" w:rsidP="00DF1C97">
            <w:pPr>
              <w:widowControl w:val="0"/>
              <w:jc w:val="right"/>
              <w:rPr>
                <w:rFonts w:ascii="Times New Roman" w:eastAsia="Times New Roman" w:hAnsi="Times New Roman" w:cs="Times New Roman"/>
                <w:szCs w:val="28"/>
              </w:rPr>
            </w:pPr>
            <w:r w:rsidRPr="00DF1C97">
              <w:rPr>
                <w:rFonts w:ascii="Times New Roman" w:hAnsi="Times New Roman" w:cs="Times New Roman"/>
                <w:color w:val="000000"/>
                <w:szCs w:val="28"/>
              </w:rPr>
              <w:t>-0.10</w:t>
            </w:r>
          </w:p>
        </w:tc>
      </w:tr>
      <w:tr w:rsidR="00D73AE5" w:rsidRPr="00DF1C97" w14:paraId="74AE6F1C" w14:textId="77777777" w:rsidTr="00DF1C97">
        <w:trPr>
          <w:trHeight w:val="244"/>
          <w:jc w:val="center"/>
        </w:trPr>
        <w:tc>
          <w:tcPr>
            <w:tcW w:w="1962" w:type="dxa"/>
            <w:vAlign w:val="bottom"/>
          </w:tcPr>
          <w:p w14:paraId="0EEA499D" w14:textId="77777777" w:rsidR="00D73AE5" w:rsidRPr="00DF1C97" w:rsidRDefault="00D73AE5" w:rsidP="00D73AE5">
            <w:pPr>
              <w:widowControl w:val="0"/>
              <w:jc w:val="both"/>
              <w:rPr>
                <w:rFonts w:ascii="Times New Roman" w:eastAsia="Times New Roman" w:hAnsi="Times New Roman" w:cs="Times New Roman"/>
                <w:b/>
                <w:szCs w:val="28"/>
              </w:rPr>
            </w:pPr>
            <w:r w:rsidRPr="00DF1C97">
              <w:rPr>
                <w:rFonts w:ascii="Times New Roman" w:hAnsi="Times New Roman" w:cs="Times New Roman"/>
                <w:b/>
                <w:color w:val="000000"/>
                <w:szCs w:val="28"/>
              </w:rPr>
              <w:t>(6)=(4)+(5)</w:t>
            </w:r>
          </w:p>
        </w:tc>
        <w:tc>
          <w:tcPr>
            <w:tcW w:w="4919" w:type="dxa"/>
            <w:vAlign w:val="center"/>
          </w:tcPr>
          <w:p w14:paraId="4D16B8D8" w14:textId="77777777" w:rsidR="00D73AE5" w:rsidRPr="00DF1C97" w:rsidRDefault="00D73AE5" w:rsidP="00D73AE5">
            <w:pPr>
              <w:widowControl w:val="0"/>
              <w:jc w:val="both"/>
              <w:rPr>
                <w:rFonts w:ascii="Times New Roman" w:eastAsia="Times New Roman" w:hAnsi="Times New Roman" w:cs="Times New Roman"/>
                <w:b/>
                <w:szCs w:val="28"/>
              </w:rPr>
            </w:pPr>
            <w:r w:rsidRPr="00DF1C97">
              <w:rPr>
                <w:rFonts w:ascii="Times New Roman" w:hAnsi="Times New Roman" w:cs="Times New Roman"/>
                <w:b/>
                <w:color w:val="000000"/>
                <w:szCs w:val="28"/>
              </w:rPr>
              <w:t xml:space="preserve">strukturālās bilances mērķis </w:t>
            </w:r>
          </w:p>
        </w:tc>
        <w:tc>
          <w:tcPr>
            <w:tcW w:w="1091" w:type="dxa"/>
            <w:vAlign w:val="bottom"/>
          </w:tcPr>
          <w:p w14:paraId="7BBE01C5" w14:textId="77777777" w:rsidR="00D73AE5" w:rsidRPr="00DF1C97" w:rsidRDefault="00D73AE5" w:rsidP="00DF1C97">
            <w:pPr>
              <w:widowControl w:val="0"/>
              <w:jc w:val="right"/>
              <w:rPr>
                <w:rFonts w:ascii="Times New Roman" w:eastAsia="Times New Roman" w:hAnsi="Times New Roman" w:cs="Times New Roman"/>
                <w:b/>
                <w:szCs w:val="28"/>
              </w:rPr>
            </w:pPr>
            <w:r w:rsidRPr="00DF1C97">
              <w:rPr>
                <w:rFonts w:ascii="Times New Roman" w:hAnsi="Times New Roman" w:cs="Times New Roman"/>
                <w:color w:val="000000"/>
                <w:szCs w:val="28"/>
              </w:rPr>
              <w:t>-2.06</w:t>
            </w:r>
          </w:p>
        </w:tc>
        <w:tc>
          <w:tcPr>
            <w:tcW w:w="1095" w:type="dxa"/>
            <w:vAlign w:val="bottom"/>
          </w:tcPr>
          <w:p w14:paraId="4356D176" w14:textId="77777777" w:rsidR="00D73AE5" w:rsidRPr="00DF1C97" w:rsidRDefault="00D73AE5" w:rsidP="00DF1C97">
            <w:pPr>
              <w:widowControl w:val="0"/>
              <w:jc w:val="right"/>
              <w:rPr>
                <w:rFonts w:ascii="Times New Roman" w:eastAsia="Times New Roman" w:hAnsi="Times New Roman" w:cs="Times New Roman"/>
                <w:b/>
                <w:szCs w:val="28"/>
              </w:rPr>
            </w:pPr>
            <w:r w:rsidRPr="00DF1C97">
              <w:rPr>
                <w:rFonts w:ascii="Times New Roman" w:hAnsi="Times New Roman" w:cs="Times New Roman"/>
                <w:color w:val="000000"/>
                <w:szCs w:val="28"/>
              </w:rPr>
              <w:t>-1.07</w:t>
            </w:r>
          </w:p>
        </w:tc>
      </w:tr>
      <w:tr w:rsidR="00D73AE5" w:rsidRPr="00DF1C97" w14:paraId="1AC77A36" w14:textId="77777777" w:rsidTr="00DF1C97">
        <w:trPr>
          <w:trHeight w:val="244"/>
          <w:jc w:val="center"/>
        </w:trPr>
        <w:tc>
          <w:tcPr>
            <w:tcW w:w="1962" w:type="dxa"/>
            <w:vAlign w:val="bottom"/>
          </w:tcPr>
          <w:p w14:paraId="62E97DCE" w14:textId="77777777" w:rsidR="00D73AE5" w:rsidRPr="00DF1C97" w:rsidRDefault="00D73AE5" w:rsidP="00D73AE5">
            <w:pPr>
              <w:widowControl w:val="0"/>
              <w:jc w:val="both"/>
              <w:rPr>
                <w:rFonts w:ascii="Times New Roman" w:hAnsi="Times New Roman" w:cs="Times New Roman"/>
                <w:color w:val="000000"/>
                <w:szCs w:val="28"/>
              </w:rPr>
            </w:pPr>
            <w:r w:rsidRPr="00DF1C97">
              <w:rPr>
                <w:rFonts w:ascii="Times New Roman" w:hAnsi="Times New Roman" w:cs="Times New Roman"/>
                <w:color w:val="000000"/>
                <w:szCs w:val="28"/>
              </w:rPr>
              <w:t>(7)</w:t>
            </w:r>
          </w:p>
        </w:tc>
        <w:tc>
          <w:tcPr>
            <w:tcW w:w="4919" w:type="dxa"/>
            <w:vAlign w:val="bottom"/>
          </w:tcPr>
          <w:p w14:paraId="328C32C2" w14:textId="77777777" w:rsidR="00D73AE5" w:rsidRPr="00DF1C97" w:rsidRDefault="00D73AE5" w:rsidP="00D73AE5">
            <w:pPr>
              <w:widowControl w:val="0"/>
              <w:jc w:val="both"/>
              <w:rPr>
                <w:rFonts w:ascii="Times New Roman" w:hAnsi="Times New Roman" w:cs="Times New Roman"/>
                <w:color w:val="000000"/>
                <w:szCs w:val="28"/>
              </w:rPr>
            </w:pPr>
            <w:r w:rsidRPr="00DF1C97">
              <w:rPr>
                <w:rFonts w:ascii="Times New Roman" w:hAnsi="Times New Roman" w:cs="Times New Roman"/>
                <w:color w:val="000000"/>
                <w:szCs w:val="28"/>
              </w:rPr>
              <w:t>VTM</w:t>
            </w:r>
          </w:p>
        </w:tc>
        <w:tc>
          <w:tcPr>
            <w:tcW w:w="1091" w:type="dxa"/>
            <w:vAlign w:val="bottom"/>
          </w:tcPr>
          <w:p w14:paraId="47841E08" w14:textId="77777777" w:rsidR="00D73AE5" w:rsidRPr="00DF1C97" w:rsidRDefault="00D73AE5" w:rsidP="00DF1C97">
            <w:pPr>
              <w:widowControl w:val="0"/>
              <w:jc w:val="right"/>
              <w:rPr>
                <w:rFonts w:ascii="Times New Roman" w:hAnsi="Times New Roman" w:cs="Times New Roman"/>
                <w:color w:val="000000"/>
                <w:szCs w:val="28"/>
              </w:rPr>
            </w:pPr>
            <w:r w:rsidRPr="00DF1C97">
              <w:rPr>
                <w:rFonts w:ascii="Times New Roman" w:hAnsi="Times New Roman" w:cs="Times New Roman"/>
                <w:color w:val="000000"/>
                <w:szCs w:val="28"/>
              </w:rPr>
              <w:t>-0.5</w:t>
            </w:r>
          </w:p>
        </w:tc>
        <w:tc>
          <w:tcPr>
            <w:tcW w:w="1095" w:type="dxa"/>
            <w:vAlign w:val="bottom"/>
          </w:tcPr>
          <w:p w14:paraId="328105C7" w14:textId="77777777" w:rsidR="00D73AE5" w:rsidRPr="00DF1C97" w:rsidRDefault="00D73AE5" w:rsidP="00DF1C97">
            <w:pPr>
              <w:widowControl w:val="0"/>
              <w:jc w:val="right"/>
              <w:rPr>
                <w:rFonts w:ascii="Times New Roman" w:hAnsi="Times New Roman" w:cs="Times New Roman"/>
                <w:color w:val="000000"/>
                <w:szCs w:val="28"/>
              </w:rPr>
            </w:pPr>
            <w:r w:rsidRPr="00DF1C97">
              <w:rPr>
                <w:rFonts w:ascii="Times New Roman" w:hAnsi="Times New Roman" w:cs="Times New Roman"/>
                <w:color w:val="000000"/>
                <w:szCs w:val="28"/>
              </w:rPr>
              <w:t>-0.5</w:t>
            </w:r>
          </w:p>
        </w:tc>
      </w:tr>
      <w:tr w:rsidR="00D73AE5" w:rsidRPr="00DF1C97" w14:paraId="2C046810" w14:textId="77777777" w:rsidTr="00DF1C97">
        <w:trPr>
          <w:trHeight w:val="228"/>
          <w:jc w:val="center"/>
        </w:trPr>
        <w:tc>
          <w:tcPr>
            <w:tcW w:w="1962" w:type="dxa"/>
            <w:vAlign w:val="bottom"/>
          </w:tcPr>
          <w:p w14:paraId="71A83810" w14:textId="77777777" w:rsidR="00D73AE5" w:rsidRPr="00DF1C97" w:rsidRDefault="00D73AE5" w:rsidP="00D73AE5">
            <w:pPr>
              <w:widowControl w:val="0"/>
              <w:jc w:val="both"/>
              <w:rPr>
                <w:rFonts w:ascii="Times New Roman" w:hAnsi="Times New Roman" w:cs="Times New Roman"/>
                <w:color w:val="000000"/>
                <w:szCs w:val="28"/>
              </w:rPr>
            </w:pPr>
            <w:r w:rsidRPr="00DF1C97">
              <w:rPr>
                <w:rFonts w:ascii="Times New Roman" w:hAnsi="Times New Roman" w:cs="Times New Roman"/>
                <w:color w:val="000000"/>
                <w:szCs w:val="28"/>
              </w:rPr>
              <w:t>(8)=(6)-(7)</w:t>
            </w:r>
          </w:p>
        </w:tc>
        <w:tc>
          <w:tcPr>
            <w:tcW w:w="4919" w:type="dxa"/>
            <w:vAlign w:val="bottom"/>
          </w:tcPr>
          <w:p w14:paraId="5D7BC4D5" w14:textId="77777777" w:rsidR="00D73AE5" w:rsidRPr="00DF1C97" w:rsidRDefault="00D73AE5" w:rsidP="00D73AE5">
            <w:pPr>
              <w:widowControl w:val="0"/>
              <w:jc w:val="both"/>
              <w:rPr>
                <w:rFonts w:ascii="Times New Roman" w:hAnsi="Times New Roman" w:cs="Times New Roman"/>
                <w:color w:val="000000"/>
                <w:szCs w:val="28"/>
              </w:rPr>
            </w:pPr>
            <w:r w:rsidRPr="00DF1C97">
              <w:rPr>
                <w:rFonts w:ascii="Times New Roman" w:hAnsi="Times New Roman" w:cs="Times New Roman"/>
                <w:color w:val="000000"/>
                <w:szCs w:val="28"/>
              </w:rPr>
              <w:t>atkāpe no VTM</w:t>
            </w:r>
          </w:p>
        </w:tc>
        <w:tc>
          <w:tcPr>
            <w:tcW w:w="1091" w:type="dxa"/>
            <w:vAlign w:val="bottom"/>
          </w:tcPr>
          <w:p w14:paraId="703B0581" w14:textId="77777777" w:rsidR="00D73AE5" w:rsidRPr="00DF1C97" w:rsidRDefault="00D73AE5" w:rsidP="00DF1C97">
            <w:pPr>
              <w:widowControl w:val="0"/>
              <w:jc w:val="right"/>
              <w:rPr>
                <w:rFonts w:ascii="Times New Roman" w:hAnsi="Times New Roman" w:cs="Times New Roman"/>
                <w:color w:val="000000"/>
                <w:szCs w:val="28"/>
              </w:rPr>
            </w:pPr>
            <w:r w:rsidRPr="00DF1C97">
              <w:rPr>
                <w:rFonts w:ascii="Times New Roman" w:hAnsi="Times New Roman" w:cs="Times New Roman"/>
                <w:color w:val="000000"/>
                <w:szCs w:val="28"/>
              </w:rPr>
              <w:t>-1.56</w:t>
            </w:r>
          </w:p>
        </w:tc>
        <w:tc>
          <w:tcPr>
            <w:tcW w:w="1095" w:type="dxa"/>
            <w:vAlign w:val="bottom"/>
          </w:tcPr>
          <w:p w14:paraId="234F15CF" w14:textId="77777777" w:rsidR="00D73AE5" w:rsidRPr="00DF1C97" w:rsidRDefault="00D73AE5" w:rsidP="00DF1C97">
            <w:pPr>
              <w:widowControl w:val="0"/>
              <w:jc w:val="right"/>
              <w:rPr>
                <w:rFonts w:ascii="Times New Roman" w:hAnsi="Times New Roman" w:cs="Times New Roman"/>
                <w:color w:val="000000"/>
                <w:szCs w:val="28"/>
              </w:rPr>
            </w:pPr>
            <w:r w:rsidRPr="00DF1C97">
              <w:rPr>
                <w:rFonts w:ascii="Times New Roman" w:hAnsi="Times New Roman" w:cs="Times New Roman"/>
                <w:color w:val="000000"/>
                <w:szCs w:val="28"/>
              </w:rPr>
              <w:t>-0.57</w:t>
            </w:r>
          </w:p>
        </w:tc>
      </w:tr>
    </w:tbl>
    <w:p w14:paraId="4018FAB0" w14:textId="77777777" w:rsidR="00D73AE5" w:rsidRPr="00D73AE5" w:rsidRDefault="00D73AE5" w:rsidP="00D73AE5">
      <w:pPr>
        <w:widowControl w:val="0"/>
        <w:ind w:firstLine="720"/>
        <w:jc w:val="both"/>
        <w:rPr>
          <w:rFonts w:ascii="Times New Roman" w:eastAsia="Times New Roman" w:hAnsi="Times New Roman" w:cs="Times New Roman"/>
          <w:sz w:val="28"/>
          <w:szCs w:val="28"/>
        </w:rPr>
      </w:pPr>
    </w:p>
    <w:p w14:paraId="195619B7" w14:textId="59A9713D" w:rsidR="00D73AE5" w:rsidRPr="00D73AE5" w:rsidRDefault="00DF1C97" w:rsidP="00D73AE5">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Papildus jāatzīmē, ka ar 2.1.tabulā veikto 4.</w:t>
      </w:r>
      <w:r w:rsidR="00D73AE5" w:rsidRPr="00D73AE5">
        <w:rPr>
          <w:rFonts w:ascii="Times New Roman" w:eastAsia="Times New Roman" w:hAnsi="Times New Roman" w:cs="Times New Roman"/>
          <w:sz w:val="28"/>
          <w:szCs w:val="28"/>
        </w:rPr>
        <w:t xml:space="preserve">darbību tiek iegūts strukturālās bilances apmērs, kas izriet nominālās bilances līmeņa, kāds ir pieļaujams nosakot maksimālo bilanci valsts budžeta likumprojekta sagatavošanas vajadzībām. Vienlaikus ir nepieciešams ievērot FDL 7.panta otrās daļas nosacījumu, kas paredz fiskālā nodrošinājuma rezerves noteikšanu. Tādējādi, lai iegūtu strukturālās bilances mērķi VTBIL vajadzībām tiek veikta 6. darbība, pieskaitot 4.darbībā aprēķinātajam strukturālās bilances līmenim fiskālā nodrošinājuma rezervi. </w:t>
      </w:r>
    </w:p>
    <w:p w14:paraId="17254AEA" w14:textId="1688C381" w:rsidR="00D73AE5" w:rsidRPr="00D73AE5" w:rsidRDefault="00D73AE5" w:rsidP="00D73AE5">
      <w:pPr>
        <w:widowControl w:val="0"/>
        <w:ind w:firstLine="720"/>
        <w:jc w:val="both"/>
        <w:rPr>
          <w:rFonts w:ascii="Times New Roman" w:eastAsia="Times New Roman" w:hAnsi="Times New Roman" w:cs="Times New Roman"/>
          <w:sz w:val="28"/>
          <w:szCs w:val="28"/>
        </w:rPr>
      </w:pPr>
      <w:r w:rsidRPr="00D73AE5">
        <w:rPr>
          <w:rFonts w:ascii="Times New Roman" w:eastAsia="Times New Roman" w:hAnsi="Times New Roman" w:cs="Times New Roman"/>
          <w:b/>
          <w:sz w:val="28"/>
          <w:szCs w:val="28"/>
        </w:rPr>
        <w:t>2022. gadā</w:t>
      </w:r>
      <w:r w:rsidRPr="00D73AE5">
        <w:rPr>
          <w:rFonts w:ascii="Times New Roman" w:eastAsia="Times New Roman" w:hAnsi="Times New Roman" w:cs="Times New Roman"/>
          <w:sz w:val="28"/>
          <w:szCs w:val="28"/>
        </w:rPr>
        <w:t xml:space="preserve"> strukturālās bilances mērķa noteikšanai tiek izmantota tāda pati pieeja kā 2021. gadā. Veiktie aprēķini norāda, ka strukturālās bilances apmērs 2022.gadā par 0,6 procenta punktiem pārsniedz FDL noteikto VTM un atbilstoši FDL nosacījumiem par attiecīgās novirzes apmēru būtu veicama budžeta konsolidācija. Vienlaikus </w:t>
      </w:r>
      <w:r w:rsidRPr="00D73AE5">
        <w:rPr>
          <w:rFonts w:ascii="Times New Roman" w:eastAsia="Times New Roman" w:hAnsi="Times New Roman" w:cs="Times New Roman"/>
          <w:color w:val="000000"/>
          <w:sz w:val="28"/>
          <w:szCs w:val="28"/>
        </w:rPr>
        <w:t>jāa</w:t>
      </w:r>
      <w:r w:rsidR="00DF1C97">
        <w:rPr>
          <w:rFonts w:ascii="Times New Roman" w:eastAsia="Times New Roman" w:hAnsi="Times New Roman" w:cs="Times New Roman"/>
          <w:color w:val="000000"/>
          <w:sz w:val="28"/>
          <w:szCs w:val="28"/>
        </w:rPr>
        <w:t>tzīmē, ka VTM pārsniegums 2022.</w:t>
      </w:r>
      <w:r w:rsidRPr="00D73AE5">
        <w:rPr>
          <w:rFonts w:ascii="Times New Roman" w:eastAsia="Times New Roman" w:hAnsi="Times New Roman" w:cs="Times New Roman"/>
          <w:color w:val="000000"/>
          <w:sz w:val="28"/>
          <w:szCs w:val="28"/>
        </w:rPr>
        <w:t>gadā pamatā nav saistīts ar papildus pi</w:t>
      </w:r>
      <w:r w:rsidR="00DF1C97">
        <w:rPr>
          <w:rFonts w:ascii="Times New Roman" w:eastAsia="Times New Roman" w:hAnsi="Times New Roman" w:cs="Times New Roman"/>
          <w:color w:val="000000"/>
          <w:sz w:val="28"/>
          <w:szCs w:val="28"/>
        </w:rPr>
        <w:t>eņemtajiem pasākumiem pēc 2019.</w:t>
      </w:r>
      <w:r w:rsidRPr="00D73AE5">
        <w:rPr>
          <w:rFonts w:ascii="Times New Roman" w:eastAsia="Times New Roman" w:hAnsi="Times New Roman" w:cs="Times New Roman"/>
          <w:color w:val="000000"/>
          <w:sz w:val="28"/>
          <w:szCs w:val="28"/>
        </w:rPr>
        <w:t>gada, bet izriet no ekonomikas lejupslīdes  ietekmes uz ieņēmumiem un izdevumiem, jo būtiskas ekonomikas lejupslīdes apstākļos automātiskie stabilizatori nenodrošina strukturālās bilances stab</w:t>
      </w:r>
      <w:r w:rsidR="00DF1C97">
        <w:rPr>
          <w:rFonts w:ascii="Times New Roman" w:eastAsia="Times New Roman" w:hAnsi="Times New Roman" w:cs="Times New Roman"/>
          <w:color w:val="000000"/>
          <w:sz w:val="28"/>
          <w:szCs w:val="28"/>
        </w:rPr>
        <w:t>ilitāti. Izlaižu starpība 2022.</w:t>
      </w:r>
      <w:r w:rsidRPr="00D73AE5">
        <w:rPr>
          <w:rFonts w:ascii="Times New Roman" w:eastAsia="Times New Roman" w:hAnsi="Times New Roman" w:cs="Times New Roman"/>
          <w:color w:val="000000"/>
          <w:sz w:val="28"/>
          <w:szCs w:val="28"/>
        </w:rPr>
        <w:t>gadā ir -4,8% no IKP. Lai arī tās negat</w:t>
      </w:r>
      <w:r w:rsidR="00DF1C97">
        <w:rPr>
          <w:rFonts w:ascii="Times New Roman" w:eastAsia="Times New Roman" w:hAnsi="Times New Roman" w:cs="Times New Roman"/>
          <w:color w:val="000000"/>
          <w:sz w:val="28"/>
          <w:szCs w:val="28"/>
        </w:rPr>
        <w:t>īvā vērtība ir mazāka, kā 2020.</w:t>
      </w:r>
      <w:r w:rsidRPr="00D73AE5">
        <w:rPr>
          <w:rFonts w:ascii="Times New Roman" w:eastAsia="Times New Roman" w:hAnsi="Times New Roman" w:cs="Times New Roman"/>
          <w:color w:val="000000"/>
          <w:sz w:val="28"/>
          <w:szCs w:val="28"/>
        </w:rPr>
        <w:t xml:space="preserve">gada izlaižu starpība, kas ir -7,7% no IKP, tā joprojām ir uzskatāma par būtisku. Šādos ekonomikas politikas apstākļos veikt ierobežojošu fiskālo politiku </w:t>
      </w:r>
      <w:r w:rsidR="00DF1C97">
        <w:rPr>
          <w:rFonts w:ascii="Times New Roman" w:eastAsia="Times New Roman" w:hAnsi="Times New Roman" w:cs="Times New Roman"/>
          <w:color w:val="000000"/>
          <w:sz w:val="28"/>
          <w:szCs w:val="28"/>
        </w:rPr>
        <w:t>ar konsolidāciju nozīmētu 2022.</w:t>
      </w:r>
      <w:r w:rsidRPr="00D73AE5">
        <w:rPr>
          <w:rFonts w:ascii="Times New Roman" w:eastAsia="Times New Roman" w:hAnsi="Times New Roman" w:cs="Times New Roman"/>
          <w:color w:val="000000"/>
          <w:sz w:val="28"/>
          <w:szCs w:val="28"/>
        </w:rPr>
        <w:t>gadā īstenot prociklisku fiskālo pol</w:t>
      </w:r>
      <w:r w:rsidR="00DF1C97">
        <w:rPr>
          <w:rFonts w:ascii="Times New Roman" w:eastAsia="Times New Roman" w:hAnsi="Times New Roman" w:cs="Times New Roman"/>
          <w:color w:val="000000"/>
          <w:sz w:val="28"/>
          <w:szCs w:val="28"/>
        </w:rPr>
        <w:t>itiku, kas būtu pretrunā FDL 4.panta 3.</w:t>
      </w:r>
      <w:r w:rsidRPr="00D73AE5">
        <w:rPr>
          <w:rFonts w:ascii="Times New Roman" w:eastAsia="Times New Roman" w:hAnsi="Times New Roman" w:cs="Times New Roman"/>
          <w:color w:val="000000"/>
          <w:sz w:val="28"/>
          <w:szCs w:val="28"/>
        </w:rPr>
        <w:t>punktam, kas nosaka, ka valstī ir jāīsteno pretcikliska fiskālā politika.</w:t>
      </w:r>
    </w:p>
    <w:p w14:paraId="32003471" w14:textId="4680B69B" w:rsidR="00FD5F28" w:rsidRPr="00D73AE5" w:rsidRDefault="00D73AE5" w:rsidP="00F75A1F">
      <w:pPr>
        <w:widowControl w:val="0"/>
        <w:ind w:firstLine="720"/>
        <w:jc w:val="both"/>
        <w:rPr>
          <w:rFonts w:ascii="Times New Roman" w:eastAsia="Times New Roman" w:hAnsi="Times New Roman" w:cs="Times New Roman"/>
          <w:sz w:val="28"/>
          <w:szCs w:val="28"/>
        </w:rPr>
      </w:pPr>
      <w:r w:rsidRPr="00D73AE5">
        <w:rPr>
          <w:rFonts w:ascii="Times New Roman" w:eastAsia="Times New Roman" w:hAnsi="Times New Roman" w:cs="Times New Roman"/>
          <w:b/>
          <w:color w:val="000000"/>
          <w:sz w:val="28"/>
          <w:szCs w:val="28"/>
        </w:rPr>
        <w:t xml:space="preserve">2023. gadā </w:t>
      </w:r>
      <w:r w:rsidRPr="00D73AE5">
        <w:rPr>
          <w:rFonts w:ascii="Times New Roman" w:eastAsia="Times New Roman" w:hAnsi="Times New Roman" w:cs="Times New Roman"/>
          <w:color w:val="000000"/>
          <w:sz w:val="28"/>
          <w:szCs w:val="28"/>
        </w:rPr>
        <w:t xml:space="preserve">strukturālās bilances mērķa vērtības noteikšanai tiek izmantota līdzšinējā FDL definētā lejupvērstā bilances mērķu noteikšanas pieeja, veidojot scenāriju ar nacionālo VTM, kas tiek noteikts -0,5% no IKP apmērā un veicot tālākas nepieciešamās korekcijas. </w:t>
      </w:r>
      <w:r w:rsidRPr="00D73AE5">
        <w:rPr>
          <w:rFonts w:ascii="Times New Roman" w:eastAsia="Times New Roman" w:hAnsi="Times New Roman" w:cs="Times New Roman"/>
          <w:sz w:val="28"/>
          <w:szCs w:val="28"/>
        </w:rPr>
        <w:t>Veik</w:t>
      </w:r>
      <w:r w:rsidR="00FD5F28">
        <w:rPr>
          <w:rFonts w:ascii="Times New Roman" w:eastAsia="Times New Roman" w:hAnsi="Times New Roman" w:cs="Times New Roman"/>
          <w:sz w:val="28"/>
          <w:szCs w:val="28"/>
        </w:rPr>
        <w:t>to aprēķinu algoritmu skatīt 2.2.</w:t>
      </w:r>
      <w:r w:rsidRPr="00D73AE5">
        <w:rPr>
          <w:rFonts w:ascii="Times New Roman" w:eastAsia="Times New Roman" w:hAnsi="Times New Roman" w:cs="Times New Roman"/>
          <w:sz w:val="28"/>
          <w:szCs w:val="28"/>
        </w:rPr>
        <w:t>tabulā.</w:t>
      </w:r>
    </w:p>
    <w:p w14:paraId="7C863433" w14:textId="77777777" w:rsidR="00D73AE5" w:rsidRPr="00D73AE5" w:rsidRDefault="00D73AE5" w:rsidP="00D73AE5">
      <w:pPr>
        <w:widowControl w:val="0"/>
        <w:ind w:firstLine="720"/>
        <w:jc w:val="both"/>
        <w:rPr>
          <w:rFonts w:ascii="Times New Roman" w:eastAsia="Times New Roman" w:hAnsi="Times New Roman" w:cs="Times New Roman"/>
          <w:sz w:val="28"/>
          <w:szCs w:val="28"/>
        </w:rPr>
      </w:pPr>
    </w:p>
    <w:p w14:paraId="25399CE9" w14:textId="5415D3F2" w:rsidR="00D73AE5" w:rsidRPr="00DF1C97" w:rsidRDefault="00DF1C97" w:rsidP="00DF1C97">
      <w:pPr>
        <w:widowControl w:val="0"/>
        <w:ind w:firstLine="720"/>
        <w:jc w:val="right"/>
        <w:rPr>
          <w:rFonts w:ascii="Times New Roman" w:eastAsia="Times New Roman" w:hAnsi="Times New Roman" w:cs="Times New Roman"/>
          <w:b/>
          <w:i/>
          <w:sz w:val="24"/>
          <w:szCs w:val="28"/>
        </w:rPr>
      </w:pPr>
      <w:r w:rsidRPr="00DF1C97">
        <w:rPr>
          <w:rFonts w:ascii="Times New Roman" w:eastAsia="Times New Roman" w:hAnsi="Times New Roman" w:cs="Times New Roman"/>
          <w:b/>
          <w:i/>
          <w:sz w:val="24"/>
          <w:szCs w:val="28"/>
        </w:rPr>
        <w:t>2.2.</w:t>
      </w:r>
      <w:r w:rsidR="00D73AE5" w:rsidRPr="00DF1C97">
        <w:rPr>
          <w:rFonts w:ascii="Times New Roman" w:eastAsia="Times New Roman" w:hAnsi="Times New Roman" w:cs="Times New Roman"/>
          <w:b/>
          <w:i/>
          <w:sz w:val="24"/>
          <w:szCs w:val="28"/>
        </w:rPr>
        <w:t>tabula</w:t>
      </w:r>
      <w:r>
        <w:rPr>
          <w:rFonts w:ascii="Times New Roman" w:eastAsia="Times New Roman" w:hAnsi="Times New Roman" w:cs="Times New Roman"/>
          <w:b/>
          <w:i/>
          <w:sz w:val="24"/>
          <w:szCs w:val="28"/>
        </w:rPr>
        <w:t>.</w:t>
      </w:r>
      <w:r w:rsidR="00D73AE5" w:rsidRPr="00DF1C97">
        <w:rPr>
          <w:rFonts w:ascii="Times New Roman" w:eastAsia="Times New Roman" w:hAnsi="Times New Roman" w:cs="Times New Roman"/>
          <w:b/>
          <w:i/>
          <w:sz w:val="24"/>
          <w:szCs w:val="28"/>
        </w:rPr>
        <w:t xml:space="preserve"> Strukturā</w:t>
      </w:r>
      <w:r>
        <w:rPr>
          <w:rFonts w:ascii="Times New Roman" w:eastAsia="Times New Roman" w:hAnsi="Times New Roman" w:cs="Times New Roman"/>
          <w:b/>
          <w:i/>
          <w:sz w:val="24"/>
          <w:szCs w:val="28"/>
        </w:rPr>
        <w:t>lās bilances mērķis 2023. gadam</w:t>
      </w:r>
    </w:p>
    <w:tbl>
      <w:tblPr>
        <w:tblStyle w:val="TableGrid4"/>
        <w:tblW w:w="0" w:type="auto"/>
        <w:jc w:val="center"/>
        <w:tblLook w:val="04A0" w:firstRow="1" w:lastRow="0" w:firstColumn="1" w:lastColumn="0" w:noHBand="0" w:noVBand="1"/>
      </w:tblPr>
      <w:tblGrid>
        <w:gridCol w:w="1408"/>
        <w:gridCol w:w="6409"/>
        <w:gridCol w:w="1244"/>
      </w:tblGrid>
      <w:tr w:rsidR="00D73AE5" w:rsidRPr="00DF1C97" w14:paraId="5E40A4A3" w14:textId="77777777" w:rsidTr="00F75A1F">
        <w:trPr>
          <w:trHeight w:val="263"/>
          <w:jc w:val="center"/>
        </w:trPr>
        <w:tc>
          <w:tcPr>
            <w:tcW w:w="1413" w:type="dxa"/>
            <w:shd w:val="clear" w:color="auto" w:fill="DEEAF6" w:themeFill="accent1" w:themeFillTint="33"/>
          </w:tcPr>
          <w:p w14:paraId="2E455B48" w14:textId="77777777" w:rsidR="00D73AE5" w:rsidRPr="00DF1C97" w:rsidRDefault="00D73AE5" w:rsidP="00D73AE5">
            <w:pPr>
              <w:widowControl w:val="0"/>
              <w:jc w:val="both"/>
              <w:rPr>
                <w:rFonts w:ascii="Times New Roman" w:eastAsia="Times New Roman" w:hAnsi="Times New Roman" w:cs="Times New Roman"/>
                <w:sz w:val="20"/>
                <w:szCs w:val="20"/>
              </w:rPr>
            </w:pPr>
          </w:p>
        </w:tc>
        <w:tc>
          <w:tcPr>
            <w:tcW w:w="6507" w:type="dxa"/>
            <w:shd w:val="clear" w:color="auto" w:fill="DEEAF6" w:themeFill="accent1" w:themeFillTint="33"/>
          </w:tcPr>
          <w:p w14:paraId="35CB9B52" w14:textId="77777777" w:rsidR="00D73AE5" w:rsidRPr="00DF1C97" w:rsidRDefault="00D73AE5" w:rsidP="00D73AE5">
            <w:pPr>
              <w:widowControl w:val="0"/>
              <w:jc w:val="both"/>
              <w:rPr>
                <w:rFonts w:ascii="Times New Roman" w:eastAsia="Times New Roman" w:hAnsi="Times New Roman" w:cs="Times New Roman"/>
                <w:sz w:val="20"/>
                <w:szCs w:val="20"/>
              </w:rPr>
            </w:pPr>
          </w:p>
        </w:tc>
        <w:tc>
          <w:tcPr>
            <w:tcW w:w="1256" w:type="dxa"/>
            <w:shd w:val="clear" w:color="auto" w:fill="DEEAF6" w:themeFill="accent1" w:themeFillTint="33"/>
          </w:tcPr>
          <w:p w14:paraId="5F125B2D" w14:textId="77777777" w:rsidR="00D73AE5" w:rsidRPr="00DF1C97" w:rsidRDefault="00D73AE5" w:rsidP="00D73AE5">
            <w:pPr>
              <w:widowControl w:val="0"/>
              <w:jc w:val="center"/>
              <w:rPr>
                <w:rFonts w:ascii="Times New Roman" w:eastAsia="Times New Roman" w:hAnsi="Times New Roman" w:cs="Times New Roman"/>
                <w:b/>
                <w:sz w:val="20"/>
                <w:szCs w:val="20"/>
              </w:rPr>
            </w:pPr>
            <w:r w:rsidRPr="00DF1C97">
              <w:rPr>
                <w:rFonts w:ascii="Times New Roman" w:eastAsia="Times New Roman" w:hAnsi="Times New Roman" w:cs="Times New Roman"/>
                <w:b/>
                <w:sz w:val="20"/>
                <w:szCs w:val="20"/>
              </w:rPr>
              <w:t>2023</w:t>
            </w:r>
          </w:p>
        </w:tc>
      </w:tr>
      <w:tr w:rsidR="00D73AE5" w:rsidRPr="00DF1C97" w14:paraId="33076236" w14:textId="77777777" w:rsidTr="00F75A1F">
        <w:trPr>
          <w:trHeight w:val="283"/>
          <w:jc w:val="center"/>
        </w:trPr>
        <w:tc>
          <w:tcPr>
            <w:tcW w:w="1413" w:type="dxa"/>
            <w:vAlign w:val="bottom"/>
          </w:tcPr>
          <w:p w14:paraId="70F8F281" w14:textId="77777777" w:rsidR="00D73AE5" w:rsidRPr="00DF1C97" w:rsidRDefault="00D73AE5" w:rsidP="00D73AE5">
            <w:pPr>
              <w:widowControl w:val="0"/>
              <w:jc w:val="both"/>
              <w:rPr>
                <w:rFonts w:ascii="Times New Roman" w:eastAsia="Times New Roman" w:hAnsi="Times New Roman" w:cs="Times New Roman"/>
                <w:b/>
                <w:sz w:val="20"/>
                <w:szCs w:val="20"/>
              </w:rPr>
            </w:pPr>
            <w:r w:rsidRPr="00DF1C97">
              <w:rPr>
                <w:rFonts w:ascii="Times New Roman" w:hAnsi="Times New Roman" w:cs="Times New Roman"/>
                <w:b/>
                <w:color w:val="000000"/>
                <w:sz w:val="20"/>
                <w:szCs w:val="20"/>
              </w:rPr>
              <w:t>(1)</w:t>
            </w:r>
          </w:p>
        </w:tc>
        <w:tc>
          <w:tcPr>
            <w:tcW w:w="6507" w:type="dxa"/>
            <w:vAlign w:val="center"/>
          </w:tcPr>
          <w:p w14:paraId="197C3148" w14:textId="77777777" w:rsidR="00D73AE5" w:rsidRPr="00DF1C97" w:rsidRDefault="00D73AE5" w:rsidP="00D73AE5">
            <w:pPr>
              <w:widowControl w:val="0"/>
              <w:jc w:val="both"/>
              <w:rPr>
                <w:rFonts w:ascii="Times New Roman" w:eastAsia="Times New Roman" w:hAnsi="Times New Roman" w:cs="Times New Roman"/>
                <w:b/>
                <w:sz w:val="20"/>
                <w:szCs w:val="20"/>
              </w:rPr>
            </w:pPr>
            <w:r w:rsidRPr="00DF1C97">
              <w:rPr>
                <w:rFonts w:ascii="Times New Roman" w:hAnsi="Times New Roman" w:cs="Times New Roman"/>
                <w:b/>
                <w:bCs/>
                <w:color w:val="000000"/>
                <w:sz w:val="20"/>
                <w:szCs w:val="20"/>
              </w:rPr>
              <w:t>VTM</w:t>
            </w:r>
          </w:p>
        </w:tc>
        <w:tc>
          <w:tcPr>
            <w:tcW w:w="1256" w:type="dxa"/>
            <w:vAlign w:val="center"/>
          </w:tcPr>
          <w:p w14:paraId="4C7B58B8" w14:textId="3C0B5FD5" w:rsidR="00D73AE5" w:rsidRPr="00DF1C97" w:rsidRDefault="00F75A1F" w:rsidP="00BA778A">
            <w:pPr>
              <w:widowControl w:val="0"/>
              <w:jc w:val="center"/>
              <w:rPr>
                <w:rFonts w:ascii="Times New Roman" w:eastAsia="Times New Roman" w:hAnsi="Times New Roman" w:cs="Times New Roman"/>
                <w:b/>
                <w:sz w:val="20"/>
                <w:szCs w:val="20"/>
              </w:rPr>
            </w:pPr>
            <w:r>
              <w:rPr>
                <w:rFonts w:ascii="Times New Roman" w:hAnsi="Times New Roman" w:cs="Times New Roman"/>
                <w:b/>
                <w:bCs/>
                <w:color w:val="000000"/>
                <w:sz w:val="20"/>
                <w:szCs w:val="20"/>
              </w:rPr>
              <w:t>-0,</w:t>
            </w:r>
            <w:r w:rsidR="00D73AE5" w:rsidRPr="00DF1C97">
              <w:rPr>
                <w:rFonts w:ascii="Times New Roman" w:hAnsi="Times New Roman" w:cs="Times New Roman"/>
                <w:b/>
                <w:bCs/>
                <w:color w:val="000000"/>
                <w:sz w:val="20"/>
                <w:szCs w:val="20"/>
              </w:rPr>
              <w:t>50</w:t>
            </w:r>
          </w:p>
        </w:tc>
      </w:tr>
      <w:tr w:rsidR="00D73AE5" w:rsidRPr="00DF1C97" w14:paraId="3D842764" w14:textId="77777777" w:rsidTr="00F75A1F">
        <w:trPr>
          <w:trHeight w:val="263"/>
          <w:jc w:val="center"/>
        </w:trPr>
        <w:tc>
          <w:tcPr>
            <w:tcW w:w="1413" w:type="dxa"/>
            <w:vAlign w:val="bottom"/>
          </w:tcPr>
          <w:p w14:paraId="3D4F8384" w14:textId="77777777" w:rsidR="00D73AE5" w:rsidRPr="00DF1C97" w:rsidRDefault="00D73AE5" w:rsidP="00D73AE5">
            <w:pPr>
              <w:widowControl w:val="0"/>
              <w:jc w:val="both"/>
              <w:rPr>
                <w:rFonts w:ascii="Times New Roman" w:eastAsia="Times New Roman" w:hAnsi="Times New Roman" w:cs="Times New Roman"/>
                <w:b/>
                <w:sz w:val="20"/>
                <w:szCs w:val="20"/>
              </w:rPr>
            </w:pPr>
            <w:r w:rsidRPr="00DF1C97">
              <w:rPr>
                <w:rFonts w:ascii="Times New Roman" w:hAnsi="Times New Roman" w:cs="Times New Roman"/>
                <w:b/>
                <w:color w:val="000000"/>
                <w:sz w:val="20"/>
                <w:szCs w:val="20"/>
              </w:rPr>
              <w:t>(2)</w:t>
            </w:r>
          </w:p>
        </w:tc>
        <w:tc>
          <w:tcPr>
            <w:tcW w:w="6507" w:type="dxa"/>
            <w:vAlign w:val="center"/>
          </w:tcPr>
          <w:p w14:paraId="2E7526E3" w14:textId="77777777" w:rsidR="00D73AE5" w:rsidRPr="00DF1C97" w:rsidRDefault="00D73AE5" w:rsidP="00D73AE5">
            <w:pPr>
              <w:widowControl w:val="0"/>
              <w:jc w:val="both"/>
              <w:rPr>
                <w:rFonts w:ascii="Times New Roman" w:eastAsia="Times New Roman" w:hAnsi="Times New Roman" w:cs="Times New Roman"/>
                <w:b/>
                <w:sz w:val="20"/>
                <w:szCs w:val="20"/>
              </w:rPr>
            </w:pPr>
            <w:r w:rsidRPr="00DF1C97">
              <w:rPr>
                <w:rFonts w:ascii="Times New Roman" w:hAnsi="Times New Roman" w:cs="Times New Roman"/>
                <w:b/>
                <w:color w:val="000000"/>
                <w:sz w:val="20"/>
                <w:szCs w:val="20"/>
              </w:rPr>
              <w:t>strukturālās bilances mērķis</w:t>
            </w:r>
          </w:p>
        </w:tc>
        <w:tc>
          <w:tcPr>
            <w:tcW w:w="1256" w:type="dxa"/>
            <w:vAlign w:val="center"/>
          </w:tcPr>
          <w:p w14:paraId="5F619453" w14:textId="700FA23E" w:rsidR="00D73AE5" w:rsidRPr="00DF1C97" w:rsidRDefault="00F75A1F" w:rsidP="00BA778A">
            <w:pPr>
              <w:widowControl w:val="0"/>
              <w:jc w:val="center"/>
              <w:rPr>
                <w:rFonts w:ascii="Times New Roman" w:eastAsia="Times New Roman" w:hAnsi="Times New Roman" w:cs="Times New Roman"/>
                <w:b/>
                <w:sz w:val="20"/>
                <w:szCs w:val="20"/>
              </w:rPr>
            </w:pPr>
            <w:r>
              <w:rPr>
                <w:rFonts w:ascii="Times New Roman" w:hAnsi="Times New Roman" w:cs="Times New Roman"/>
                <w:b/>
                <w:color w:val="000000"/>
                <w:sz w:val="20"/>
                <w:szCs w:val="20"/>
              </w:rPr>
              <w:t>-0,</w:t>
            </w:r>
            <w:r w:rsidR="00D73AE5" w:rsidRPr="00DF1C97">
              <w:rPr>
                <w:rFonts w:ascii="Times New Roman" w:hAnsi="Times New Roman" w:cs="Times New Roman"/>
                <w:b/>
                <w:color w:val="000000"/>
                <w:sz w:val="20"/>
                <w:szCs w:val="20"/>
              </w:rPr>
              <w:t>50</w:t>
            </w:r>
          </w:p>
        </w:tc>
      </w:tr>
      <w:tr w:rsidR="00D73AE5" w:rsidRPr="00DF1C97" w14:paraId="2287516B" w14:textId="77777777" w:rsidTr="00F75A1F">
        <w:trPr>
          <w:trHeight w:val="298"/>
          <w:jc w:val="center"/>
        </w:trPr>
        <w:tc>
          <w:tcPr>
            <w:tcW w:w="1413" w:type="dxa"/>
            <w:vAlign w:val="bottom"/>
          </w:tcPr>
          <w:p w14:paraId="11E80F1B" w14:textId="6DE61A92" w:rsidR="00D73AE5" w:rsidRPr="00DF1C97" w:rsidRDefault="00BA778A" w:rsidP="00BA778A">
            <w:pPr>
              <w:widowControl w:val="0"/>
              <w:jc w:val="both"/>
              <w:rPr>
                <w:rFonts w:ascii="Times New Roman" w:eastAsia="Times New Roman" w:hAnsi="Times New Roman" w:cs="Times New Roman"/>
                <w:sz w:val="20"/>
                <w:szCs w:val="20"/>
              </w:rPr>
            </w:pPr>
            <w:r w:rsidRPr="00BA778A">
              <w:rPr>
                <w:rFonts w:ascii="Times New Roman" w:eastAsia="Times New Roman" w:hAnsi="Times New Roman" w:cs="Times New Roman"/>
                <w:sz w:val="20"/>
                <w:szCs w:val="20"/>
              </w:rPr>
              <w:t>(3)</w:t>
            </w:r>
            <w:r w:rsidRPr="00BA778A">
              <w:rPr>
                <w:rFonts w:ascii="Times New Roman" w:eastAsia="Times New Roman" w:hAnsi="Times New Roman" w:cs="Times New Roman"/>
                <w:sz w:val="20"/>
                <w:szCs w:val="20"/>
              </w:rPr>
              <w:tab/>
            </w:r>
          </w:p>
        </w:tc>
        <w:tc>
          <w:tcPr>
            <w:tcW w:w="6507" w:type="dxa"/>
            <w:vAlign w:val="center"/>
          </w:tcPr>
          <w:p w14:paraId="0E98483E" w14:textId="2E45B395" w:rsidR="00D73AE5" w:rsidRPr="00DF1C97" w:rsidRDefault="00BA778A" w:rsidP="00D73AE5">
            <w:pPr>
              <w:widowControl w:val="0"/>
              <w:jc w:val="both"/>
              <w:rPr>
                <w:rFonts w:ascii="Times New Roman" w:eastAsia="Times New Roman" w:hAnsi="Times New Roman" w:cs="Times New Roman"/>
                <w:sz w:val="20"/>
                <w:szCs w:val="20"/>
              </w:rPr>
            </w:pPr>
            <w:r w:rsidRPr="00BA778A">
              <w:rPr>
                <w:rFonts w:ascii="Times New Roman" w:eastAsia="Times New Roman" w:hAnsi="Times New Roman" w:cs="Times New Roman"/>
                <w:sz w:val="20"/>
                <w:szCs w:val="20"/>
              </w:rPr>
              <w:t>bilances cikliskā komponente</w:t>
            </w:r>
          </w:p>
        </w:tc>
        <w:tc>
          <w:tcPr>
            <w:tcW w:w="1256" w:type="dxa"/>
            <w:vAlign w:val="center"/>
          </w:tcPr>
          <w:p w14:paraId="2AF20A71" w14:textId="4E6A71D8" w:rsidR="00D73AE5" w:rsidRPr="00DF1C97" w:rsidRDefault="00F75A1F" w:rsidP="00BA778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BA778A">
              <w:rPr>
                <w:rFonts w:ascii="Times New Roman" w:eastAsia="Times New Roman" w:hAnsi="Times New Roman" w:cs="Times New Roman"/>
                <w:sz w:val="20"/>
                <w:szCs w:val="20"/>
              </w:rPr>
              <w:t>56</w:t>
            </w:r>
          </w:p>
        </w:tc>
      </w:tr>
      <w:tr w:rsidR="00D73AE5" w:rsidRPr="00DF1C97" w14:paraId="2A607DE5" w14:textId="77777777" w:rsidTr="00F75A1F">
        <w:trPr>
          <w:trHeight w:val="259"/>
          <w:jc w:val="center"/>
        </w:trPr>
        <w:tc>
          <w:tcPr>
            <w:tcW w:w="1413" w:type="dxa"/>
            <w:vAlign w:val="bottom"/>
          </w:tcPr>
          <w:p w14:paraId="3C4B2A79" w14:textId="77777777" w:rsidR="00D73AE5" w:rsidRPr="00DF1C97" w:rsidRDefault="00D73AE5" w:rsidP="00D73AE5">
            <w:pPr>
              <w:widowControl w:val="0"/>
              <w:jc w:val="both"/>
              <w:rPr>
                <w:rFonts w:ascii="Times New Roman" w:eastAsia="Times New Roman" w:hAnsi="Times New Roman" w:cs="Times New Roman"/>
                <w:b/>
                <w:sz w:val="20"/>
                <w:szCs w:val="20"/>
              </w:rPr>
            </w:pPr>
            <w:r w:rsidRPr="00DF1C97">
              <w:rPr>
                <w:rFonts w:ascii="Times New Roman" w:eastAsia="Times New Roman" w:hAnsi="Times New Roman" w:cs="Times New Roman"/>
                <w:b/>
                <w:sz w:val="20"/>
                <w:szCs w:val="20"/>
              </w:rPr>
              <w:t>(4)=(2)+(3)</w:t>
            </w:r>
          </w:p>
        </w:tc>
        <w:tc>
          <w:tcPr>
            <w:tcW w:w="6507" w:type="dxa"/>
            <w:vAlign w:val="center"/>
          </w:tcPr>
          <w:p w14:paraId="2AA92B11" w14:textId="77777777" w:rsidR="00D73AE5" w:rsidRPr="00DF1C97" w:rsidRDefault="00D73AE5" w:rsidP="00D73AE5">
            <w:pPr>
              <w:widowControl w:val="0"/>
              <w:jc w:val="both"/>
              <w:rPr>
                <w:rFonts w:ascii="Times New Roman" w:eastAsia="Times New Roman" w:hAnsi="Times New Roman" w:cs="Times New Roman"/>
                <w:b/>
                <w:sz w:val="20"/>
                <w:szCs w:val="20"/>
              </w:rPr>
            </w:pPr>
            <w:r w:rsidRPr="00DF1C97">
              <w:rPr>
                <w:rFonts w:ascii="Times New Roman" w:hAnsi="Times New Roman" w:cs="Times New Roman"/>
                <w:b/>
                <w:color w:val="000000"/>
                <w:sz w:val="20"/>
                <w:szCs w:val="20"/>
              </w:rPr>
              <w:t>nominālā bilance</w:t>
            </w:r>
          </w:p>
        </w:tc>
        <w:tc>
          <w:tcPr>
            <w:tcW w:w="1256" w:type="dxa"/>
            <w:vAlign w:val="bottom"/>
          </w:tcPr>
          <w:p w14:paraId="2DC64562" w14:textId="1AFA1329" w:rsidR="00D73AE5" w:rsidRPr="00BA778A" w:rsidRDefault="00F75A1F" w:rsidP="00BA778A">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r w:rsidR="00BA778A">
              <w:rPr>
                <w:rFonts w:ascii="Times New Roman" w:hAnsi="Times New Roman" w:cs="Times New Roman"/>
                <w:color w:val="000000"/>
                <w:sz w:val="20"/>
                <w:szCs w:val="20"/>
              </w:rPr>
              <w:t>06</w:t>
            </w:r>
          </w:p>
        </w:tc>
      </w:tr>
    </w:tbl>
    <w:p w14:paraId="46F2B676" w14:textId="5732A3ED" w:rsidR="003F3FCD" w:rsidRDefault="003F3FCD" w:rsidP="00401A5B">
      <w:pPr>
        <w:widowControl w:val="0"/>
        <w:ind w:firstLine="720"/>
        <w:jc w:val="both"/>
        <w:rPr>
          <w:rFonts w:ascii="Times New Roman" w:eastAsia="Times New Roman" w:hAnsi="Times New Roman" w:cs="Times New Roman"/>
          <w:b/>
          <w:sz w:val="28"/>
          <w:szCs w:val="28"/>
        </w:rPr>
      </w:pPr>
    </w:p>
    <w:p w14:paraId="15C5D8BC" w14:textId="77777777" w:rsidR="00DF1C97" w:rsidRPr="00DF1C97" w:rsidRDefault="00DF1C97" w:rsidP="00DF1C97">
      <w:pPr>
        <w:widowControl w:val="0"/>
        <w:ind w:firstLine="720"/>
        <w:jc w:val="center"/>
        <w:rPr>
          <w:rFonts w:ascii="Times New Roman" w:eastAsia="Times New Roman" w:hAnsi="Times New Roman" w:cs="Times New Roman"/>
          <w:b/>
          <w:color w:val="000000"/>
          <w:sz w:val="28"/>
        </w:rPr>
      </w:pPr>
      <w:r w:rsidRPr="00DF1C97">
        <w:rPr>
          <w:rFonts w:ascii="Times New Roman" w:eastAsia="Times New Roman" w:hAnsi="Times New Roman" w:cs="Times New Roman"/>
          <w:b/>
          <w:color w:val="000000"/>
          <w:sz w:val="28"/>
        </w:rPr>
        <w:t>Vispārējās valdības budžeta mērķi 2021., 2022. un 2023.gadam</w:t>
      </w:r>
    </w:p>
    <w:p w14:paraId="6218713F" w14:textId="77777777" w:rsidR="00DF1C97" w:rsidRPr="00DF1C97" w:rsidRDefault="00DF1C97" w:rsidP="00DF1C97">
      <w:pPr>
        <w:widowControl w:val="0"/>
        <w:ind w:firstLine="720"/>
        <w:jc w:val="both"/>
        <w:rPr>
          <w:rFonts w:ascii="Times New Roman" w:eastAsia="Times New Roman" w:hAnsi="Times New Roman" w:cs="Times New Roman"/>
          <w:sz w:val="28"/>
        </w:rPr>
      </w:pPr>
    </w:p>
    <w:p w14:paraId="4CC7AFD6" w14:textId="1AEFB6F6" w:rsidR="00DF1C97" w:rsidRPr="00BA778A" w:rsidRDefault="00DF1C97" w:rsidP="00BA778A">
      <w:pPr>
        <w:widowControl w:val="0"/>
        <w:ind w:firstLine="720"/>
        <w:jc w:val="both"/>
        <w:rPr>
          <w:rFonts w:ascii="Calibri" w:eastAsia="Calibri" w:hAnsi="Calibri" w:cs="Calibri"/>
          <w:sz w:val="24"/>
        </w:rPr>
      </w:pPr>
      <w:r w:rsidRPr="00DF1C97">
        <w:rPr>
          <w:rFonts w:ascii="Times New Roman" w:eastAsia="Times New Roman" w:hAnsi="Times New Roman" w:cs="Times New Roman"/>
          <w:sz w:val="28"/>
        </w:rPr>
        <w:t>Ņemot vērā augstāk veikto fiskālo nosacījumu pārbaudi, tiek noteikti kvantitatīvie fiskālie mērķi vidējam termiņam, t.i., nodrošināt vispārējās valdības budžeta strukturālo bilanci 2021.gadā -2,06% no IKP, 2022.gadā -1,07% no IKP un 2023.gadā -0,50% no IKP. Vispārējās valdības nominālā bilance tiek noteikta: -4,05% no IKP 2021.gadam, -2,87% no IKP 2022.gadam un -2,06% no IKP 2023.gadam.</w:t>
      </w:r>
    </w:p>
    <w:p w14:paraId="684EB4CA" w14:textId="66D2F6CA" w:rsidR="003F3FCD" w:rsidRPr="00DF1C97" w:rsidRDefault="00941601" w:rsidP="005D361F">
      <w:pPr>
        <w:pStyle w:val="Heading3"/>
        <w:rPr>
          <w:rFonts w:ascii="Calibri" w:hAnsi="Calibri" w:cs="Calibri"/>
        </w:rPr>
      </w:pPr>
      <w:bookmarkStart w:id="48" w:name="_Toc53154101"/>
      <w:r w:rsidRPr="00DF1C97">
        <w:t>2.1.2</w:t>
      </w:r>
      <w:r w:rsidR="00E8646E" w:rsidRPr="00DF1C97">
        <w:t xml:space="preserve">. </w:t>
      </w:r>
      <w:r w:rsidR="000548A5" w:rsidRPr="00DF1C97">
        <w:t>Koriģēto maksimāli pieļaujamo valsts budžeta izdevumu noteikšana</w:t>
      </w:r>
      <w:bookmarkEnd w:id="48"/>
    </w:p>
    <w:p w14:paraId="2E7AA71D" w14:textId="77777777" w:rsidR="003F3FCD" w:rsidRPr="00C51225" w:rsidRDefault="003F3FCD" w:rsidP="00401A5B">
      <w:pPr>
        <w:widowControl w:val="0"/>
        <w:ind w:firstLine="709"/>
        <w:jc w:val="both"/>
        <w:rPr>
          <w:rFonts w:ascii="Calibri" w:eastAsia="Calibri" w:hAnsi="Calibri" w:cs="Calibri"/>
          <w:highlight w:val="yellow"/>
        </w:rPr>
      </w:pPr>
    </w:p>
    <w:p w14:paraId="396646C1" w14:textId="77777777" w:rsidR="00DF1C97" w:rsidRPr="000D017B" w:rsidRDefault="00DF1C97" w:rsidP="00DF1C97">
      <w:pPr>
        <w:widowControl w:val="0"/>
        <w:ind w:firstLine="709"/>
        <w:jc w:val="both"/>
        <w:rPr>
          <w:rFonts w:ascii="Times New Roman" w:eastAsia="Times New Roman" w:hAnsi="Times New Roman" w:cs="Times New Roman"/>
          <w:sz w:val="28"/>
        </w:rPr>
      </w:pPr>
      <w:r w:rsidRPr="000D017B">
        <w:rPr>
          <w:rFonts w:ascii="Times New Roman" w:eastAsia="Times New Roman" w:hAnsi="Times New Roman" w:cs="Times New Roman"/>
          <w:sz w:val="28"/>
        </w:rPr>
        <w:t xml:space="preserve">Atbilstoši FDL nosacījumiem, līdztekus citiem fiskālajiem rādītājiem, VTBIL ietvaros ir nepieciešams aprēķināt koriģētos maksimāli pieļaujamos valsts budžeta izdevumus. Šī fiskālā rādītāja aprēķināšanas vispārējos principus nosaka FDL 15.pants, savukārt, detalizēts aprēķināšanas algoritms ir izklāstīts šajā sadaļā. </w:t>
      </w:r>
    </w:p>
    <w:p w14:paraId="23B53348" w14:textId="77777777" w:rsidR="00DF1C97" w:rsidRPr="000D017B" w:rsidRDefault="00DF1C97" w:rsidP="00DF1C97">
      <w:pPr>
        <w:widowControl w:val="0"/>
        <w:ind w:firstLine="709"/>
        <w:jc w:val="both"/>
        <w:rPr>
          <w:rFonts w:ascii="Calibri" w:eastAsia="Calibri" w:hAnsi="Calibri" w:cs="Calibri"/>
          <w:sz w:val="24"/>
        </w:rPr>
      </w:pPr>
      <w:r w:rsidRPr="000D017B">
        <w:rPr>
          <w:rFonts w:ascii="Times New Roman" w:eastAsia="Times New Roman" w:hAnsi="Times New Roman" w:cs="Times New Roman"/>
          <w:sz w:val="28"/>
        </w:rPr>
        <w:t xml:space="preserve">Aprēķinu algoritms tiek uzsākts ar minimāli plānojamās vispārējās valdības strukturālās bilances mērķa definēšanu, kas saskaņā ar iepriekšējās sadaļas aprakstu </w:t>
      </w:r>
      <w:r w:rsidRPr="000D017B">
        <w:rPr>
          <w:rFonts w:ascii="Times New Roman" w:eastAsia="Times New Roman" w:hAnsi="Times New Roman" w:cs="Times New Roman"/>
          <w:color w:val="000000"/>
          <w:sz w:val="28"/>
        </w:rPr>
        <w:t>2021.gadā ir -2,06% no IKP, 2022.gadā ir -1,07% no IKP un 2023.gadā ir -0,50% no IKP apmērā.</w:t>
      </w:r>
    </w:p>
    <w:p w14:paraId="797D0A79" w14:textId="77777777" w:rsidR="00DF1C97" w:rsidRPr="000D017B" w:rsidRDefault="00DF1C97" w:rsidP="00DF1C97">
      <w:pPr>
        <w:widowControl w:val="0"/>
        <w:ind w:firstLine="709"/>
        <w:jc w:val="both"/>
        <w:rPr>
          <w:rFonts w:ascii="Calibri" w:eastAsia="Calibri" w:hAnsi="Calibri" w:cs="Calibri"/>
          <w:sz w:val="24"/>
        </w:rPr>
      </w:pPr>
      <w:r w:rsidRPr="000D017B">
        <w:rPr>
          <w:rFonts w:ascii="Times New Roman" w:eastAsia="Times New Roman" w:hAnsi="Times New Roman" w:cs="Times New Roman"/>
          <w:sz w:val="28"/>
        </w:rPr>
        <w:t>Turpmākie algoritma soļi paredz aprēķināt vispārējās valdības budžeta bilances apmēru, kas atbilst minimāli plānojamam vispārējās valdības strukturālās bilances mērķim. To aprēķina pie minimāli plānojamā vispārējās valdības strukturālās bilances mērķa pieskaitot vispārējās valdības budžeta bilances ciklisko komponenti un, ja tādi ir, vienreizējos un citus pagaidu pasākumus (</w:t>
      </w:r>
      <w:r w:rsidRPr="000D017B">
        <w:rPr>
          <w:rFonts w:ascii="Times New Roman" w:eastAsia="Times New Roman" w:hAnsi="Times New Roman" w:cs="Times New Roman"/>
          <w:i/>
          <w:sz w:val="28"/>
        </w:rPr>
        <w:t>one-off and other temporary measures</w:t>
      </w:r>
      <w:r w:rsidRPr="000D017B">
        <w:rPr>
          <w:rFonts w:ascii="Times New Roman" w:eastAsia="Times New Roman" w:hAnsi="Times New Roman" w:cs="Times New Roman"/>
          <w:sz w:val="28"/>
        </w:rPr>
        <w:t xml:space="preserve">). Līdz ar to tiek iegūta vispārējās valdības budžeta bilance monetārajā izteiksmē, kas 2021.gadā ir -1215,0 milj.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 xml:space="preserve">, 2022.gadā ir -908,5 mil.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 xml:space="preserve"> un 2023.gadā ir -685,7 milj.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w:t>
      </w:r>
    </w:p>
    <w:p w14:paraId="4D07C26F" w14:textId="0539AD36" w:rsidR="00DF1C97" w:rsidRPr="000D017B" w:rsidRDefault="00DF1C97" w:rsidP="00DF1C97">
      <w:pPr>
        <w:widowControl w:val="0"/>
        <w:ind w:firstLine="709"/>
        <w:jc w:val="both"/>
        <w:rPr>
          <w:rFonts w:ascii="Calibri" w:eastAsia="Calibri" w:hAnsi="Calibri" w:cs="Calibri"/>
          <w:sz w:val="24"/>
        </w:rPr>
      </w:pPr>
      <w:r w:rsidRPr="000D017B">
        <w:rPr>
          <w:rFonts w:ascii="Times New Roman" w:eastAsia="Times New Roman" w:hAnsi="Times New Roman" w:cs="Times New Roman"/>
          <w:sz w:val="28"/>
        </w:rPr>
        <w:t xml:space="preserve">Tālāk ir nepieciešams veikt valsts budžeta bilances aprēķināšanu, ko iegūst no iepriekš aprēķinātās vispārējās valdības budžeta bilances atskaitot prognozēto pašvaldību budžeta bilanci, prognozēto atvasināto publisko personu un budžeta nefinansēto iestāžu budžeta bilanci, kā arī EKS korekciju apjomu. Veicot iepriekš minētās darbības, tiek iegūta valsts budžeta bilance katram gadam. Tās apmērs 2021.gadā ir -1209,6 milj.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 xml:space="preserve">, 2022.gadā ir -750,5 milj.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 xml:space="preserve"> un 2023.gadā ir -299,7 milj.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w:t>
      </w:r>
    </w:p>
    <w:p w14:paraId="3DBB0D8B" w14:textId="77777777" w:rsidR="00DF1C97" w:rsidRPr="000D017B" w:rsidRDefault="00DF1C97" w:rsidP="00DF1C97">
      <w:pPr>
        <w:widowControl w:val="0"/>
        <w:ind w:firstLine="709"/>
        <w:jc w:val="both"/>
        <w:rPr>
          <w:rFonts w:ascii="Calibri" w:eastAsia="Calibri" w:hAnsi="Calibri" w:cs="Calibri"/>
          <w:sz w:val="24"/>
        </w:rPr>
      </w:pPr>
      <w:r w:rsidRPr="000D017B">
        <w:rPr>
          <w:rFonts w:ascii="Times New Roman" w:eastAsia="Times New Roman" w:hAnsi="Times New Roman" w:cs="Times New Roman"/>
          <w:sz w:val="28"/>
        </w:rPr>
        <w:t xml:space="preserve">Pēdējais solis, lai aprēķinātu maksimāli pieļaujamos valsts budžeta izdevumus, ir atskaitīt no prognozētajiem valsts budžeta ieņēmumiem iepriekš aprēķināto valsts budžeta bilanci. Tādejādi, iegūstam maksimāli pieļaujamos valsts budžeta izdevumus saskaņā ar fiskālajiem nosacījumiem, kas 2021.gadā ir 10795 milj.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 xml:space="preserve">, 2022.gadā ir 11085,8 milj.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 xml:space="preserve"> un 2023.gadā attiecīgi 11095,6 milj.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w:t>
      </w:r>
    </w:p>
    <w:p w14:paraId="4C035294" w14:textId="77777777" w:rsidR="00DF1C97" w:rsidRPr="000D017B" w:rsidRDefault="00DF1C97" w:rsidP="00DF1C97">
      <w:pPr>
        <w:widowControl w:val="0"/>
        <w:ind w:firstLine="709"/>
        <w:jc w:val="both"/>
        <w:rPr>
          <w:rFonts w:ascii="Calibri" w:eastAsia="Calibri" w:hAnsi="Calibri" w:cs="Calibri"/>
          <w:sz w:val="24"/>
        </w:rPr>
      </w:pPr>
      <w:r w:rsidRPr="000D017B">
        <w:rPr>
          <w:rFonts w:ascii="Times New Roman" w:eastAsia="Times New Roman" w:hAnsi="Times New Roman" w:cs="Times New Roman"/>
          <w:sz w:val="28"/>
        </w:rPr>
        <w:t xml:space="preserve">Kad ir iegūti maksimāli pieļaujamie valsts budžeta izdevumi, FDL nosaka, ka no tiem ir nepieciešams izslēgt izlīdzinātos izdevumus, kuru aprēķināšanu nosaka FDL 18.pants. Atbilstoši FDL 18.panta otrajā daļā noteiktajam, izdevumu izlīdzināšana tiek piemērota: </w:t>
      </w:r>
    </w:p>
    <w:p w14:paraId="3683E3BD" w14:textId="77777777" w:rsidR="00DF1C97" w:rsidRPr="000D017B" w:rsidRDefault="00DF1C97" w:rsidP="00DF1C97">
      <w:pPr>
        <w:widowControl w:val="0"/>
        <w:numPr>
          <w:ilvl w:val="0"/>
          <w:numId w:val="2"/>
        </w:numPr>
        <w:ind w:left="1429" w:hanging="360"/>
        <w:jc w:val="both"/>
        <w:rPr>
          <w:rFonts w:ascii="Times New Roman" w:eastAsia="Times New Roman" w:hAnsi="Times New Roman" w:cs="Times New Roman"/>
          <w:sz w:val="28"/>
        </w:rPr>
      </w:pPr>
      <w:r w:rsidRPr="000D017B">
        <w:rPr>
          <w:rFonts w:ascii="Times New Roman" w:eastAsia="Times New Roman" w:hAnsi="Times New Roman" w:cs="Times New Roman"/>
          <w:sz w:val="28"/>
        </w:rPr>
        <w:t xml:space="preserve">ES struktūrfondu, Kohēzijas fonda, kopējās lauksaimniecības politikas un kopējās zivsaimniecības politikas izdevumiem; </w:t>
      </w:r>
    </w:p>
    <w:p w14:paraId="7CC499AE" w14:textId="44F91533" w:rsidR="00DF1C97" w:rsidRPr="000D017B" w:rsidRDefault="00DF1C97" w:rsidP="00DF1C97">
      <w:pPr>
        <w:widowControl w:val="0"/>
        <w:numPr>
          <w:ilvl w:val="0"/>
          <w:numId w:val="2"/>
        </w:numPr>
        <w:ind w:left="1429" w:hanging="360"/>
        <w:jc w:val="both"/>
        <w:rPr>
          <w:rFonts w:ascii="Times New Roman" w:eastAsia="Times New Roman" w:hAnsi="Times New Roman" w:cs="Times New Roman"/>
          <w:sz w:val="28"/>
        </w:rPr>
      </w:pPr>
      <w:r w:rsidRPr="000D017B">
        <w:rPr>
          <w:rFonts w:ascii="Times New Roman" w:eastAsia="Times New Roman" w:hAnsi="Times New Roman" w:cs="Times New Roman"/>
          <w:sz w:val="28"/>
        </w:rPr>
        <w:t>valsts budžeta izdevumiem, kas saistīti ar tās valsts parāda daļas apkalpošanu, kura ietilpst</w:t>
      </w:r>
      <w:r w:rsidR="000D017B">
        <w:rPr>
          <w:rFonts w:ascii="Times New Roman" w:eastAsia="Times New Roman" w:hAnsi="Times New Roman" w:cs="Times New Roman"/>
          <w:sz w:val="28"/>
        </w:rPr>
        <w:t xml:space="preserve"> Valsts k</w:t>
      </w:r>
      <w:r w:rsidRPr="000D017B">
        <w:rPr>
          <w:rFonts w:ascii="Times New Roman" w:eastAsia="Times New Roman" w:hAnsi="Times New Roman" w:cs="Times New Roman"/>
          <w:sz w:val="28"/>
        </w:rPr>
        <w:t xml:space="preserve">ases kompetencē. </w:t>
      </w:r>
    </w:p>
    <w:p w14:paraId="1D48A81E" w14:textId="77777777" w:rsidR="00DF1C97" w:rsidRPr="000D017B" w:rsidRDefault="00DF1C97" w:rsidP="00DF1C97">
      <w:pPr>
        <w:widowControl w:val="0"/>
        <w:ind w:firstLine="709"/>
        <w:jc w:val="both"/>
        <w:rPr>
          <w:rFonts w:ascii="Times New Roman" w:eastAsia="Times New Roman" w:hAnsi="Times New Roman" w:cs="Times New Roman"/>
          <w:sz w:val="28"/>
        </w:rPr>
      </w:pPr>
      <w:r w:rsidRPr="000D017B">
        <w:rPr>
          <w:rFonts w:ascii="Times New Roman" w:eastAsia="Times New Roman" w:hAnsi="Times New Roman" w:cs="Times New Roman"/>
          <w:sz w:val="28"/>
        </w:rPr>
        <w:t>Izdevumu izlīdzināšanas mērķis ir vidējā termiņā novērst augsti svārstīgu valsts budžeta izdevumu kategoriju ietekmi uz kopējo valsts budžeta izdevumu apmēru, tādejādi plānošanas fāzē nodrošinot izdevumu stabilitāti vidējā termiņā.</w:t>
      </w:r>
    </w:p>
    <w:p w14:paraId="07663CC7" w14:textId="4E18E425" w:rsidR="00DF1C97" w:rsidRPr="000D017B" w:rsidRDefault="00DF1C97" w:rsidP="00DF1C97">
      <w:pPr>
        <w:widowControl w:val="0"/>
        <w:ind w:firstLine="709"/>
        <w:jc w:val="both"/>
        <w:rPr>
          <w:rFonts w:ascii="Times New Roman" w:eastAsia="Times New Roman" w:hAnsi="Times New Roman" w:cs="Times New Roman"/>
          <w:sz w:val="28"/>
        </w:rPr>
      </w:pPr>
      <w:r w:rsidRPr="000D017B">
        <w:rPr>
          <w:rFonts w:ascii="Times New Roman" w:eastAsia="Times New Roman" w:hAnsi="Times New Roman" w:cs="Times New Roman"/>
          <w:sz w:val="28"/>
        </w:rPr>
        <w:t>Izdevumu izlīdzināšana ES struktūrfondu, Kohēzijas fonda, kopējās lauksaimniecības politikas un kopējās zivsaimniecības politikas</w:t>
      </w:r>
      <w:r w:rsidR="000D017B">
        <w:rPr>
          <w:rFonts w:ascii="Times New Roman" w:eastAsia="Times New Roman" w:hAnsi="Times New Roman" w:cs="Times New Roman"/>
          <w:sz w:val="28"/>
        </w:rPr>
        <w:t xml:space="preserve"> izdevumiem tiek veikta 2014.-</w:t>
      </w:r>
      <w:r w:rsidRPr="000D017B">
        <w:rPr>
          <w:rFonts w:ascii="Times New Roman" w:eastAsia="Times New Roman" w:hAnsi="Times New Roman" w:cs="Times New Roman"/>
          <w:sz w:val="28"/>
        </w:rPr>
        <w:t>2020.gada un 2021.-2027.gada ES plānošana</w:t>
      </w:r>
      <w:r w:rsidR="000D017B">
        <w:rPr>
          <w:rFonts w:ascii="Times New Roman" w:eastAsia="Times New Roman" w:hAnsi="Times New Roman" w:cs="Times New Roman"/>
          <w:sz w:val="28"/>
        </w:rPr>
        <w:t>s periodam, pielietojot FDL 18.</w:t>
      </w:r>
      <w:r w:rsidRPr="000D017B">
        <w:rPr>
          <w:rFonts w:ascii="Times New Roman" w:eastAsia="Times New Roman" w:hAnsi="Times New Roman" w:cs="Times New Roman"/>
          <w:sz w:val="28"/>
        </w:rPr>
        <w:t>panta nosacījumus.</w:t>
      </w:r>
    </w:p>
    <w:p w14:paraId="78364268" w14:textId="6F3733BB" w:rsidR="00DF1C97" w:rsidRPr="000D017B" w:rsidRDefault="00DF1C97" w:rsidP="00DF1C97">
      <w:pPr>
        <w:widowControl w:val="0"/>
        <w:ind w:firstLine="709"/>
        <w:jc w:val="both"/>
        <w:rPr>
          <w:rFonts w:ascii="Calibri" w:eastAsia="Calibri" w:hAnsi="Calibri" w:cs="Calibri"/>
          <w:sz w:val="24"/>
        </w:rPr>
      </w:pPr>
      <w:r w:rsidRPr="000D017B">
        <w:rPr>
          <w:rFonts w:ascii="Times New Roman" w:eastAsia="Times New Roman" w:hAnsi="Times New Roman" w:cs="Times New Roman"/>
          <w:sz w:val="28"/>
        </w:rPr>
        <w:t xml:space="preserve">Valsts parāda apkalpošanas izdevumu izlīdzināšana tiek veikta saskaņā ar 2014.gada 29.aprīļa </w:t>
      </w:r>
      <w:r w:rsidRPr="000D017B">
        <w:rPr>
          <w:rFonts w:ascii="Times New Roman" w:eastAsia="Times New Roman" w:hAnsi="Times New Roman" w:cs="Times New Roman"/>
          <w:color w:val="000000"/>
          <w:sz w:val="28"/>
        </w:rPr>
        <w:t xml:space="preserve">MK </w:t>
      </w:r>
      <w:r w:rsidR="000D017B">
        <w:rPr>
          <w:rFonts w:ascii="Times New Roman" w:eastAsia="Times New Roman" w:hAnsi="Times New Roman" w:cs="Times New Roman"/>
          <w:sz w:val="28"/>
        </w:rPr>
        <w:t>noteikumiem Nr.</w:t>
      </w:r>
      <w:r w:rsidRPr="000D017B">
        <w:rPr>
          <w:rFonts w:ascii="Times New Roman" w:eastAsia="Times New Roman" w:hAnsi="Times New Roman" w:cs="Times New Roman"/>
          <w:sz w:val="28"/>
        </w:rPr>
        <w:t>228 “Noteikumi par valsts parāda apkalpošanas izlīdzināto izdevumu aprēķināšanas metodoloģiju”, kas izdoti saskaņā ar FDL 18.panta septīto daļu. Šie noteikumi paredz, ka izlīdzināti tiek VK kompetencē esošās valsts parāda daļas apkalpošanas izdevumi, kas noteikti FM valsts pamatbudžeta apakšprogrammā 31.02.00 "Valsts parāda vadība".</w:t>
      </w:r>
    </w:p>
    <w:p w14:paraId="549E7EC0" w14:textId="2983FCF8" w:rsidR="00DF1C97" w:rsidRPr="000D017B" w:rsidRDefault="00DF1C97" w:rsidP="00DF1C97">
      <w:pPr>
        <w:widowControl w:val="0"/>
        <w:ind w:firstLine="709"/>
        <w:jc w:val="both"/>
        <w:rPr>
          <w:rFonts w:ascii="Calibri" w:eastAsia="Calibri" w:hAnsi="Calibri" w:cs="Calibri"/>
          <w:sz w:val="24"/>
        </w:rPr>
      </w:pPr>
      <w:r w:rsidRPr="000D017B">
        <w:rPr>
          <w:rFonts w:ascii="Times New Roman" w:eastAsia="Times New Roman" w:hAnsi="Times New Roman" w:cs="Times New Roman"/>
          <w:sz w:val="28"/>
        </w:rPr>
        <w:t xml:space="preserve">Pēc izlīdzināto izdevumu noteikšanas ir iespējams noteikt koriģētos maksimāli pieļaujamos valsts budžeta izdevumus, no maksimāli pieļaujamiem valsts budžeta izdevumiem atskaitot izlīdzināto izdevumu apmēru. Izstrādājot VTBIL </w:t>
      </w:r>
      <w:r w:rsidR="000D017B">
        <w:rPr>
          <w:rFonts w:ascii="Times New Roman" w:eastAsia="Times New Roman" w:hAnsi="Times New Roman" w:cs="Times New Roman"/>
          <w:sz w:val="28"/>
        </w:rPr>
        <w:t>2021., 2022. un 2023.gadam</w:t>
      </w:r>
      <w:r w:rsidRPr="000D017B">
        <w:rPr>
          <w:rFonts w:ascii="Times New Roman" w:eastAsia="Times New Roman" w:hAnsi="Times New Roman" w:cs="Times New Roman"/>
          <w:sz w:val="28"/>
        </w:rPr>
        <w:t xml:space="preserve"> tiek noteikti koriģētie maksimāli pieļaujamie valsts budžeta izdevumi turpmākajiem trim gadiem un tas ir maksimālais izdevumu slieksnis, kuru var atļauties sasniegt valsts budžetā, neskaitot ES fondu izdevumus un valsts parāda apkalpošanas izdevumus.</w:t>
      </w:r>
    </w:p>
    <w:p w14:paraId="5F716609" w14:textId="007F99BA" w:rsidR="00DF1C97" w:rsidRPr="000D017B" w:rsidRDefault="00DF1C97" w:rsidP="00DF1C97">
      <w:pPr>
        <w:widowControl w:val="0"/>
        <w:ind w:firstLine="709"/>
        <w:jc w:val="both"/>
        <w:rPr>
          <w:rFonts w:ascii="Times New Roman" w:eastAsia="Times New Roman" w:hAnsi="Times New Roman" w:cs="Times New Roman"/>
          <w:sz w:val="28"/>
        </w:rPr>
      </w:pPr>
      <w:r w:rsidRPr="000D017B">
        <w:rPr>
          <w:rFonts w:ascii="Times New Roman" w:eastAsia="Times New Roman" w:hAnsi="Times New Roman" w:cs="Times New Roman"/>
          <w:sz w:val="28"/>
        </w:rPr>
        <w:t>Maksimāli pieļaujamie valsts budžeta izdevumi atbilstoši FDL (maksimālais izdevumu slieksnis, kuru var atļauties sasniegt valsts budžetā) tiek noteikti pie koriģētajiem maksimāli pieļaujamajiem valsts budžeta izdevumiem pieskaitot faktiskos ES fondu un faktiskos valsts parāda apkalpošanas izdevumus. Līdz ar to šādi iegūtie maksimāli pieļaujamie valsts budžeta izdevumi, ja tādi tiktu veikti, vispārējā gadījumā neatbilstu FDL un SIP fiskālajiem nosacījumiem – atsevišķos gados izdevumi būtu zemāki, bet citos gados lielāki. Tāpēc, lai nodrošinātu atbilstību fiskālajiem nosacījumiem, kas ir galvenais kritērijs, vērtējot ES dalībvalstu budžetus, 2021.-2023</w:t>
      </w:r>
      <w:r w:rsidR="000D017B">
        <w:rPr>
          <w:rFonts w:ascii="Times New Roman" w:eastAsia="Times New Roman" w:hAnsi="Times New Roman" w:cs="Times New Roman"/>
          <w:sz w:val="28"/>
        </w:rPr>
        <w:t>.</w:t>
      </w:r>
      <w:r w:rsidRPr="000D017B">
        <w:rPr>
          <w:rFonts w:ascii="Times New Roman" w:eastAsia="Times New Roman" w:hAnsi="Times New Roman" w:cs="Times New Roman"/>
          <w:sz w:val="28"/>
        </w:rPr>
        <w:t>gadā izlīdzināšana netiek veikta un izlīdzinātie izdevumi sakrīt ar faktiskajiem izdevumiem. Ņemot vērā minēto, koriģētie maksimāli pieļaujamie valsts budž</w:t>
      </w:r>
      <w:r w:rsidR="000C25D0">
        <w:rPr>
          <w:rFonts w:ascii="Times New Roman" w:eastAsia="Times New Roman" w:hAnsi="Times New Roman" w:cs="Times New Roman"/>
          <w:sz w:val="28"/>
        </w:rPr>
        <w:t>eta izdevumi 2021.gadā ir 9082,9</w:t>
      </w:r>
      <w:r w:rsidRPr="000D017B">
        <w:rPr>
          <w:rFonts w:ascii="Times New Roman" w:eastAsia="Times New Roman" w:hAnsi="Times New Roman" w:cs="Times New Roman"/>
          <w:sz w:val="28"/>
        </w:rPr>
        <w:t xml:space="preserve"> milj. </w:t>
      </w:r>
      <w:r w:rsidRPr="000D017B">
        <w:rPr>
          <w:rFonts w:ascii="Times New Roman" w:eastAsia="Times New Roman" w:hAnsi="Times New Roman" w:cs="Times New Roman"/>
          <w:i/>
          <w:sz w:val="28"/>
        </w:rPr>
        <w:t>euro</w:t>
      </w:r>
      <w:r w:rsidR="000C25D0">
        <w:rPr>
          <w:rFonts w:ascii="Times New Roman" w:eastAsia="Times New Roman" w:hAnsi="Times New Roman" w:cs="Times New Roman"/>
          <w:sz w:val="28"/>
        </w:rPr>
        <w:t>, 2022.gadā ir 9269</w:t>
      </w:r>
      <w:r w:rsidRPr="000D017B">
        <w:rPr>
          <w:rFonts w:ascii="Times New Roman" w:eastAsia="Times New Roman" w:hAnsi="Times New Roman" w:cs="Times New Roman"/>
          <w:sz w:val="28"/>
        </w:rPr>
        <w:t xml:space="preserve">,0 milj. </w:t>
      </w:r>
      <w:r w:rsidRPr="000D017B">
        <w:rPr>
          <w:rFonts w:ascii="Times New Roman" w:eastAsia="Times New Roman" w:hAnsi="Times New Roman" w:cs="Times New Roman"/>
          <w:i/>
          <w:sz w:val="28"/>
        </w:rPr>
        <w:t>euro</w:t>
      </w:r>
      <w:r w:rsidR="000C25D0">
        <w:rPr>
          <w:rFonts w:ascii="Times New Roman" w:eastAsia="Times New Roman" w:hAnsi="Times New Roman" w:cs="Times New Roman"/>
          <w:sz w:val="28"/>
        </w:rPr>
        <w:t xml:space="preserve"> un 2023.gadā attiecīgi 9167</w:t>
      </w:r>
      <w:r w:rsidRPr="000D017B">
        <w:rPr>
          <w:rFonts w:ascii="Times New Roman" w:eastAsia="Times New Roman" w:hAnsi="Times New Roman" w:cs="Times New Roman"/>
          <w:sz w:val="28"/>
        </w:rPr>
        <w:t xml:space="preserve">,4 milj. </w:t>
      </w:r>
      <w:r w:rsidRPr="000D017B">
        <w:rPr>
          <w:rFonts w:ascii="Times New Roman" w:eastAsia="Times New Roman" w:hAnsi="Times New Roman" w:cs="Times New Roman"/>
          <w:i/>
          <w:sz w:val="28"/>
        </w:rPr>
        <w:t>euro</w:t>
      </w:r>
      <w:r w:rsidRPr="000D017B">
        <w:rPr>
          <w:rFonts w:ascii="Times New Roman" w:eastAsia="Times New Roman" w:hAnsi="Times New Roman" w:cs="Times New Roman"/>
          <w:sz w:val="28"/>
        </w:rPr>
        <w:t>.</w:t>
      </w:r>
    </w:p>
    <w:p w14:paraId="6C85D589" w14:textId="51821C28" w:rsidR="007550A7" w:rsidRDefault="000D017B" w:rsidP="007550A7">
      <w:pPr>
        <w:widowControl w:val="0"/>
        <w:ind w:firstLine="709"/>
        <w:jc w:val="both"/>
        <w:rPr>
          <w:rFonts w:ascii="Times New Roman" w:eastAsia="Times New Roman" w:hAnsi="Times New Roman" w:cs="Times New Roman"/>
          <w:sz w:val="28"/>
        </w:rPr>
      </w:pPr>
      <w:r>
        <w:rPr>
          <w:rFonts w:ascii="Times New Roman" w:eastAsia="Times New Roman" w:hAnsi="Times New Roman" w:cs="Times New Roman"/>
          <w:sz w:val="28"/>
        </w:rPr>
        <w:t>2.3</w:t>
      </w:r>
      <w:r w:rsidR="00DF1C97" w:rsidRPr="000D017B">
        <w:rPr>
          <w:rFonts w:ascii="Times New Roman" w:eastAsia="Times New Roman" w:hAnsi="Times New Roman" w:cs="Times New Roman"/>
          <w:sz w:val="28"/>
        </w:rPr>
        <w:t>.tabulā ir sniegts kopsavilkums par koriģēto maksimāli pieļaujamo valsts budžeta izdevumu aprēķināšanas galarezultātu un starprezultātiem. Maksimāli pieļaujamie valsts budžeta izdevumi atbilstoši FDL tiek noteikti pie koriģētajiem maksimāli pieļaujamajiem valsts budžeta izdevumiem pieskaitot faktiskos ES fondu un faktiskos valsts parāda apkalpo</w:t>
      </w:r>
      <w:r>
        <w:rPr>
          <w:rFonts w:ascii="Times New Roman" w:eastAsia="Times New Roman" w:hAnsi="Times New Roman" w:cs="Times New Roman"/>
          <w:sz w:val="28"/>
        </w:rPr>
        <w:t>šanas izdevumus. Kā parādīts 2.3.</w:t>
      </w:r>
      <w:r w:rsidR="00DF1C97" w:rsidRPr="000D017B">
        <w:rPr>
          <w:rFonts w:ascii="Times New Roman" w:eastAsia="Times New Roman" w:hAnsi="Times New Roman" w:cs="Times New Roman"/>
          <w:sz w:val="28"/>
        </w:rPr>
        <w:t>tabulā, maksimāli pieļaujamie valsts budžeta izdevumi atbilstoši FDL 2</w:t>
      </w:r>
      <w:r w:rsidR="000C25D0">
        <w:rPr>
          <w:rFonts w:ascii="Times New Roman" w:eastAsia="Times New Roman" w:hAnsi="Times New Roman" w:cs="Times New Roman"/>
          <w:sz w:val="28"/>
        </w:rPr>
        <w:t>021.gadā ir 10788,9</w:t>
      </w:r>
      <w:r w:rsidR="00DF1C97" w:rsidRPr="000D017B">
        <w:rPr>
          <w:rFonts w:ascii="Times New Roman" w:eastAsia="Times New Roman" w:hAnsi="Times New Roman" w:cs="Times New Roman"/>
          <w:sz w:val="28"/>
        </w:rPr>
        <w:t xml:space="preserve"> milj. </w:t>
      </w:r>
      <w:r w:rsidR="00DF1C97" w:rsidRPr="000D017B">
        <w:rPr>
          <w:rFonts w:ascii="Times New Roman" w:eastAsia="Times New Roman" w:hAnsi="Times New Roman" w:cs="Times New Roman"/>
          <w:i/>
          <w:sz w:val="28"/>
        </w:rPr>
        <w:t>euro</w:t>
      </w:r>
      <w:r w:rsidR="000C25D0">
        <w:rPr>
          <w:rFonts w:ascii="Times New Roman" w:eastAsia="Times New Roman" w:hAnsi="Times New Roman" w:cs="Times New Roman"/>
          <w:sz w:val="28"/>
        </w:rPr>
        <w:t>, 2022.gadā ir 11079,7</w:t>
      </w:r>
      <w:r w:rsidR="00DF1C97" w:rsidRPr="000D017B">
        <w:rPr>
          <w:rFonts w:ascii="Times New Roman" w:eastAsia="Times New Roman" w:hAnsi="Times New Roman" w:cs="Times New Roman"/>
          <w:sz w:val="28"/>
        </w:rPr>
        <w:t xml:space="preserve"> milj. </w:t>
      </w:r>
      <w:r w:rsidR="00DF1C97" w:rsidRPr="000D017B">
        <w:rPr>
          <w:rFonts w:ascii="Times New Roman" w:eastAsia="Times New Roman" w:hAnsi="Times New Roman" w:cs="Times New Roman"/>
          <w:i/>
          <w:sz w:val="28"/>
        </w:rPr>
        <w:t>euro</w:t>
      </w:r>
      <w:r w:rsidR="000C25D0">
        <w:rPr>
          <w:rFonts w:ascii="Times New Roman" w:eastAsia="Times New Roman" w:hAnsi="Times New Roman" w:cs="Times New Roman"/>
          <w:sz w:val="28"/>
        </w:rPr>
        <w:t xml:space="preserve"> un 2023.gadā attiecīgi 11089,5</w:t>
      </w:r>
      <w:r w:rsidR="00DF1C97" w:rsidRPr="000D017B">
        <w:rPr>
          <w:rFonts w:ascii="Times New Roman" w:eastAsia="Times New Roman" w:hAnsi="Times New Roman" w:cs="Times New Roman"/>
          <w:sz w:val="28"/>
        </w:rPr>
        <w:t xml:space="preserve"> milj. </w:t>
      </w:r>
      <w:r w:rsidR="00DF1C97" w:rsidRPr="000D017B">
        <w:rPr>
          <w:rFonts w:ascii="Times New Roman" w:eastAsia="Times New Roman" w:hAnsi="Times New Roman" w:cs="Times New Roman"/>
          <w:i/>
          <w:sz w:val="28"/>
        </w:rPr>
        <w:t>euro</w:t>
      </w:r>
      <w:r w:rsidR="00DF1C97" w:rsidRPr="000D017B">
        <w:rPr>
          <w:rFonts w:ascii="Times New Roman" w:eastAsia="Times New Roman" w:hAnsi="Times New Roman" w:cs="Times New Roman"/>
          <w:sz w:val="28"/>
        </w:rPr>
        <w:t>. Savukārt, faktiskie valsts budže</w:t>
      </w:r>
      <w:r w:rsidR="00972667">
        <w:rPr>
          <w:rFonts w:ascii="Times New Roman" w:eastAsia="Times New Roman" w:hAnsi="Times New Roman" w:cs="Times New Roman"/>
          <w:sz w:val="28"/>
        </w:rPr>
        <w:t xml:space="preserve">ta </w:t>
      </w:r>
      <w:r w:rsidR="000C25D0">
        <w:rPr>
          <w:rFonts w:ascii="Times New Roman" w:eastAsia="Times New Roman" w:hAnsi="Times New Roman" w:cs="Times New Roman"/>
          <w:sz w:val="28"/>
        </w:rPr>
        <w:t>izdevumi 2021.gadā ir 107</w:t>
      </w:r>
      <w:r w:rsidR="00972667">
        <w:rPr>
          <w:rFonts w:ascii="Times New Roman" w:eastAsia="Times New Roman" w:hAnsi="Times New Roman" w:cs="Times New Roman"/>
          <w:sz w:val="28"/>
        </w:rPr>
        <w:t>58,9</w:t>
      </w:r>
      <w:r w:rsidR="00DF1C97" w:rsidRPr="000D017B">
        <w:rPr>
          <w:rFonts w:ascii="Times New Roman" w:eastAsia="Times New Roman" w:hAnsi="Times New Roman" w:cs="Times New Roman"/>
          <w:sz w:val="28"/>
        </w:rPr>
        <w:t xml:space="preserve"> milj. </w:t>
      </w:r>
      <w:r w:rsidR="00DF1C97" w:rsidRPr="000D017B">
        <w:rPr>
          <w:rFonts w:ascii="Times New Roman" w:eastAsia="Times New Roman" w:hAnsi="Times New Roman" w:cs="Times New Roman"/>
          <w:i/>
          <w:sz w:val="28"/>
        </w:rPr>
        <w:t>euro</w:t>
      </w:r>
      <w:r w:rsidR="00972667">
        <w:rPr>
          <w:rFonts w:ascii="Times New Roman" w:eastAsia="Times New Roman" w:hAnsi="Times New Roman" w:cs="Times New Roman"/>
          <w:sz w:val="28"/>
        </w:rPr>
        <w:t>, 2022.gadā ir 11048,1</w:t>
      </w:r>
      <w:r w:rsidR="00DF1C97" w:rsidRPr="000D017B">
        <w:rPr>
          <w:rFonts w:ascii="Times New Roman" w:eastAsia="Times New Roman" w:hAnsi="Times New Roman" w:cs="Times New Roman"/>
          <w:sz w:val="28"/>
        </w:rPr>
        <w:t xml:space="preserve"> milj. </w:t>
      </w:r>
      <w:r w:rsidR="00DF1C97" w:rsidRPr="000D017B">
        <w:rPr>
          <w:rFonts w:ascii="Times New Roman" w:eastAsia="Times New Roman" w:hAnsi="Times New Roman" w:cs="Times New Roman"/>
          <w:i/>
          <w:sz w:val="28"/>
        </w:rPr>
        <w:t>euro</w:t>
      </w:r>
      <w:r w:rsidR="007550A7">
        <w:rPr>
          <w:rFonts w:ascii="Times New Roman" w:eastAsia="Times New Roman" w:hAnsi="Times New Roman" w:cs="Times New Roman"/>
          <w:sz w:val="28"/>
        </w:rPr>
        <w:t xml:space="preserve"> un 2023.gadā attiecīgi 1096</w:t>
      </w:r>
      <w:r w:rsidR="00972667">
        <w:rPr>
          <w:rFonts w:ascii="Times New Roman" w:eastAsia="Times New Roman" w:hAnsi="Times New Roman" w:cs="Times New Roman"/>
          <w:sz w:val="28"/>
        </w:rPr>
        <w:t>7,6</w:t>
      </w:r>
      <w:r w:rsidR="00DF1C97" w:rsidRPr="000D017B">
        <w:rPr>
          <w:rFonts w:ascii="Times New Roman" w:eastAsia="Times New Roman" w:hAnsi="Times New Roman" w:cs="Times New Roman"/>
          <w:sz w:val="28"/>
        </w:rPr>
        <w:t xml:space="preserve">milj. </w:t>
      </w:r>
      <w:r w:rsidR="00DF1C97" w:rsidRPr="000D017B">
        <w:rPr>
          <w:rFonts w:ascii="Times New Roman" w:eastAsia="Times New Roman" w:hAnsi="Times New Roman" w:cs="Times New Roman"/>
          <w:i/>
          <w:sz w:val="28"/>
        </w:rPr>
        <w:t>euro</w:t>
      </w:r>
      <w:r w:rsidR="00DF1C97" w:rsidRPr="000D017B">
        <w:rPr>
          <w:rFonts w:ascii="Times New Roman" w:eastAsia="Times New Roman" w:hAnsi="Times New Roman" w:cs="Times New Roman"/>
          <w:sz w:val="28"/>
        </w:rPr>
        <w:t>. Starpību starp šiem diviem lielumiem, ja MK budžeta izstrādē ir ievērojusi FDL nosacījumus, veido fiskālā nodrošinājuma rezerve un fiskālās telpas atlikums, ja t</w:t>
      </w:r>
      <w:r w:rsidR="007550A7">
        <w:rPr>
          <w:rFonts w:ascii="Times New Roman" w:eastAsia="Times New Roman" w:hAnsi="Times New Roman" w:cs="Times New Roman"/>
          <w:sz w:val="28"/>
        </w:rPr>
        <w:t>āds ir atlicis pēc MK lēmumiem, kā tas ir vērojams 2023. gadā.</w:t>
      </w:r>
    </w:p>
    <w:p w14:paraId="14CF6FDB" w14:textId="0ECE6E5E" w:rsidR="00DF1C97" w:rsidRDefault="00DF1C97" w:rsidP="000D017B">
      <w:pPr>
        <w:widowControl w:val="0"/>
        <w:ind w:firstLine="709"/>
        <w:jc w:val="both"/>
        <w:rPr>
          <w:rFonts w:ascii="Times New Roman" w:eastAsia="Times New Roman" w:hAnsi="Times New Roman" w:cs="Times New Roman"/>
          <w:sz w:val="28"/>
        </w:rPr>
      </w:pPr>
    </w:p>
    <w:p w14:paraId="70C71BD5" w14:textId="41C6EFD4" w:rsidR="009E5822" w:rsidRDefault="009E5822" w:rsidP="007550A7">
      <w:pPr>
        <w:widowControl w:val="0"/>
        <w:rPr>
          <w:rFonts w:ascii="Times New Roman" w:eastAsia="Times New Roman" w:hAnsi="Times New Roman" w:cs="Times New Roman"/>
          <w:sz w:val="28"/>
        </w:rPr>
      </w:pPr>
    </w:p>
    <w:p w14:paraId="07EB69C4" w14:textId="77777777" w:rsidR="007550A7" w:rsidRPr="000D017B" w:rsidRDefault="007550A7" w:rsidP="007550A7">
      <w:pPr>
        <w:widowControl w:val="0"/>
        <w:rPr>
          <w:rFonts w:ascii="Times New Roman" w:eastAsia="Times New Roman" w:hAnsi="Times New Roman" w:cs="Times New Roman"/>
          <w:sz w:val="28"/>
        </w:rPr>
      </w:pPr>
    </w:p>
    <w:p w14:paraId="7502D303" w14:textId="77777777" w:rsidR="00DF1C97" w:rsidRPr="007E07AE" w:rsidRDefault="00DF1C97" w:rsidP="00DF1C97">
      <w:pPr>
        <w:widowControl w:val="0"/>
        <w:ind w:right="140" w:firstLine="709"/>
        <w:jc w:val="right"/>
        <w:rPr>
          <w:rFonts w:ascii="Calibri" w:eastAsia="Calibri" w:hAnsi="Calibri" w:cs="Calibri"/>
        </w:rPr>
      </w:pPr>
      <w:r w:rsidRPr="007E07AE">
        <w:rPr>
          <w:rFonts w:ascii="Times New Roman" w:eastAsia="Times New Roman" w:hAnsi="Times New Roman" w:cs="Times New Roman"/>
          <w:b/>
          <w:i/>
          <w:color w:val="000000"/>
          <w:sz w:val="24"/>
        </w:rPr>
        <w:t xml:space="preserve">2.4.tabula. </w:t>
      </w:r>
      <w:r w:rsidRPr="007E07AE">
        <w:rPr>
          <w:rFonts w:ascii="Times New Roman" w:eastAsia="Times New Roman" w:hAnsi="Times New Roman" w:cs="Times New Roman"/>
          <w:b/>
          <w:i/>
          <w:sz w:val="24"/>
        </w:rPr>
        <w:t>Fiskālie rādītāji, kas tiek izmantoti koriģēto</w:t>
      </w:r>
    </w:p>
    <w:p w14:paraId="2DB53CBF" w14:textId="57CAD6FA" w:rsidR="000D017B" w:rsidRPr="000D017B" w:rsidRDefault="00DF1C97" w:rsidP="000D017B">
      <w:pPr>
        <w:widowControl w:val="0"/>
        <w:ind w:right="140" w:firstLine="709"/>
        <w:jc w:val="right"/>
        <w:rPr>
          <w:rFonts w:ascii="Times New Roman" w:eastAsia="Times New Roman" w:hAnsi="Times New Roman" w:cs="Times New Roman"/>
          <w:b/>
          <w:i/>
          <w:sz w:val="24"/>
        </w:rPr>
      </w:pPr>
      <w:r w:rsidRPr="007E07AE">
        <w:rPr>
          <w:rFonts w:ascii="Times New Roman" w:eastAsia="Times New Roman" w:hAnsi="Times New Roman" w:cs="Times New Roman"/>
          <w:b/>
          <w:i/>
          <w:sz w:val="24"/>
        </w:rPr>
        <w:t>maksimāli pieļaujamo valsts budžeta izdevumu aprēķināšanai</w:t>
      </w:r>
    </w:p>
    <w:tbl>
      <w:tblPr>
        <w:tblW w:w="9103" w:type="dxa"/>
        <w:tblLook w:val="04A0" w:firstRow="1" w:lastRow="0" w:firstColumn="1" w:lastColumn="0" w:noHBand="0" w:noVBand="1"/>
      </w:tblPr>
      <w:tblGrid>
        <w:gridCol w:w="1117"/>
        <w:gridCol w:w="5262"/>
        <w:gridCol w:w="992"/>
        <w:gridCol w:w="866"/>
        <w:gridCol w:w="866"/>
      </w:tblGrid>
      <w:tr w:rsidR="007550A7" w:rsidRPr="001740ED" w14:paraId="711FB877" w14:textId="77777777" w:rsidTr="007550A7">
        <w:trPr>
          <w:trHeight w:val="300"/>
        </w:trPr>
        <w:tc>
          <w:tcPr>
            <w:tcW w:w="1117" w:type="dxa"/>
            <w:tcBorders>
              <w:top w:val="nil"/>
              <w:left w:val="nil"/>
              <w:bottom w:val="nil"/>
              <w:right w:val="nil"/>
            </w:tcBorders>
            <w:shd w:val="clear" w:color="auto" w:fill="auto"/>
            <w:noWrap/>
            <w:vAlign w:val="bottom"/>
            <w:hideMark/>
          </w:tcPr>
          <w:p w14:paraId="0F6969D4" w14:textId="77777777" w:rsidR="007550A7" w:rsidRPr="001740ED" w:rsidRDefault="007550A7" w:rsidP="00C25AA0">
            <w:pPr>
              <w:rPr>
                <w:rFonts w:ascii="Times New Roman" w:eastAsia="Times New Roman" w:hAnsi="Times New Roman" w:cs="Times New Roman"/>
                <w:sz w:val="24"/>
                <w:szCs w:val="24"/>
              </w:rPr>
            </w:pPr>
          </w:p>
        </w:tc>
        <w:tc>
          <w:tcPr>
            <w:tcW w:w="5262"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5A0D90AD"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000000" w:fill="B8CCE4"/>
            <w:noWrap/>
            <w:vAlign w:val="bottom"/>
            <w:hideMark/>
          </w:tcPr>
          <w:p w14:paraId="5574328F" w14:textId="77777777" w:rsidR="007550A7" w:rsidRPr="001740ED" w:rsidRDefault="007550A7" w:rsidP="00C25AA0">
            <w:pPr>
              <w:jc w:val="center"/>
              <w:rPr>
                <w:rFonts w:ascii="Times New Roman" w:eastAsia="Times New Roman" w:hAnsi="Times New Roman" w:cs="Times New Roman"/>
                <w:b/>
                <w:bCs/>
                <w:color w:val="000000"/>
                <w:sz w:val="20"/>
                <w:szCs w:val="20"/>
              </w:rPr>
            </w:pPr>
            <w:r w:rsidRPr="001740ED">
              <w:rPr>
                <w:rFonts w:ascii="Times New Roman" w:eastAsia="Times New Roman" w:hAnsi="Times New Roman" w:cs="Times New Roman"/>
                <w:b/>
                <w:bCs/>
                <w:color w:val="000000"/>
                <w:sz w:val="20"/>
                <w:szCs w:val="20"/>
              </w:rPr>
              <w:t>2021</w:t>
            </w:r>
          </w:p>
        </w:tc>
        <w:tc>
          <w:tcPr>
            <w:tcW w:w="866" w:type="dxa"/>
            <w:tcBorders>
              <w:top w:val="single" w:sz="4" w:space="0" w:color="auto"/>
              <w:left w:val="nil"/>
              <w:bottom w:val="single" w:sz="4" w:space="0" w:color="auto"/>
              <w:right w:val="single" w:sz="4" w:space="0" w:color="auto"/>
            </w:tcBorders>
            <w:shd w:val="clear" w:color="000000" w:fill="B8CCE4"/>
            <w:noWrap/>
            <w:vAlign w:val="bottom"/>
            <w:hideMark/>
          </w:tcPr>
          <w:p w14:paraId="65C47F80" w14:textId="77777777" w:rsidR="007550A7" w:rsidRPr="001740ED" w:rsidRDefault="007550A7" w:rsidP="00C25AA0">
            <w:pPr>
              <w:jc w:val="center"/>
              <w:rPr>
                <w:rFonts w:ascii="Times New Roman" w:eastAsia="Times New Roman" w:hAnsi="Times New Roman" w:cs="Times New Roman"/>
                <w:b/>
                <w:bCs/>
                <w:color w:val="000000"/>
                <w:sz w:val="20"/>
                <w:szCs w:val="20"/>
              </w:rPr>
            </w:pPr>
            <w:r w:rsidRPr="001740ED">
              <w:rPr>
                <w:rFonts w:ascii="Times New Roman" w:eastAsia="Times New Roman" w:hAnsi="Times New Roman" w:cs="Times New Roman"/>
                <w:b/>
                <w:bCs/>
                <w:color w:val="000000"/>
                <w:sz w:val="20"/>
                <w:szCs w:val="20"/>
              </w:rPr>
              <w:t>2022</w:t>
            </w:r>
          </w:p>
        </w:tc>
        <w:tc>
          <w:tcPr>
            <w:tcW w:w="866" w:type="dxa"/>
            <w:tcBorders>
              <w:top w:val="single" w:sz="4" w:space="0" w:color="auto"/>
              <w:left w:val="nil"/>
              <w:bottom w:val="single" w:sz="4" w:space="0" w:color="auto"/>
              <w:right w:val="single" w:sz="4" w:space="0" w:color="auto"/>
            </w:tcBorders>
            <w:shd w:val="clear" w:color="000000" w:fill="B8CCE4"/>
            <w:noWrap/>
            <w:vAlign w:val="bottom"/>
            <w:hideMark/>
          </w:tcPr>
          <w:p w14:paraId="3E5C2C63" w14:textId="77777777" w:rsidR="007550A7" w:rsidRPr="001740ED" w:rsidRDefault="007550A7" w:rsidP="00C25AA0">
            <w:pPr>
              <w:jc w:val="center"/>
              <w:rPr>
                <w:rFonts w:ascii="Times New Roman" w:eastAsia="Times New Roman" w:hAnsi="Times New Roman" w:cs="Times New Roman"/>
                <w:b/>
                <w:bCs/>
                <w:color w:val="000000"/>
                <w:sz w:val="20"/>
                <w:szCs w:val="20"/>
              </w:rPr>
            </w:pPr>
            <w:r w:rsidRPr="001740ED">
              <w:rPr>
                <w:rFonts w:ascii="Times New Roman" w:eastAsia="Times New Roman" w:hAnsi="Times New Roman" w:cs="Times New Roman"/>
                <w:b/>
                <w:bCs/>
                <w:color w:val="000000"/>
                <w:sz w:val="20"/>
                <w:szCs w:val="20"/>
              </w:rPr>
              <w:t>2023</w:t>
            </w:r>
          </w:p>
        </w:tc>
      </w:tr>
      <w:tr w:rsidR="007550A7" w:rsidRPr="001740ED" w14:paraId="24DBE0D6" w14:textId="77777777" w:rsidTr="007550A7">
        <w:trPr>
          <w:trHeight w:val="300"/>
        </w:trPr>
        <w:tc>
          <w:tcPr>
            <w:tcW w:w="1117" w:type="dxa"/>
            <w:tcBorders>
              <w:top w:val="nil"/>
              <w:left w:val="nil"/>
              <w:bottom w:val="nil"/>
              <w:right w:val="nil"/>
            </w:tcBorders>
            <w:shd w:val="clear" w:color="auto" w:fill="auto"/>
            <w:noWrap/>
            <w:vAlign w:val="center"/>
            <w:hideMark/>
          </w:tcPr>
          <w:p w14:paraId="68F499A6"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0</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0AB76F37"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IKP, faktiskajās cenas, milj. </w:t>
            </w:r>
            <w:r w:rsidRPr="001740ED">
              <w:rPr>
                <w:rFonts w:ascii="Times New Roman" w:eastAsia="Times New Roman" w:hAnsi="Times New Roman" w:cs="Times New Roman"/>
                <w:i/>
                <w:iCs/>
                <w:color w:val="000000"/>
                <w:sz w:val="20"/>
                <w:szCs w:val="20"/>
              </w:rPr>
              <w:t>euro</w:t>
            </w:r>
          </w:p>
        </w:tc>
        <w:tc>
          <w:tcPr>
            <w:tcW w:w="992" w:type="dxa"/>
            <w:tcBorders>
              <w:top w:val="nil"/>
              <w:left w:val="nil"/>
              <w:bottom w:val="single" w:sz="4" w:space="0" w:color="auto"/>
              <w:right w:val="single" w:sz="4" w:space="0" w:color="auto"/>
            </w:tcBorders>
            <w:shd w:val="clear" w:color="000000" w:fill="FFFFFF"/>
            <w:noWrap/>
            <w:vAlign w:val="bottom"/>
            <w:hideMark/>
          </w:tcPr>
          <w:p w14:paraId="3A3258C3" w14:textId="6B1DD3C1"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30022,</w:t>
            </w:r>
            <w:r w:rsidRPr="001740ED">
              <w:rPr>
                <w:rFonts w:ascii="Times New Roman" w:eastAsia="Times New Roman" w:hAnsi="Times New Roman" w:cs="Times New Roman"/>
                <w:sz w:val="20"/>
                <w:szCs w:val="20"/>
              </w:rPr>
              <w:t>3</w:t>
            </w:r>
          </w:p>
        </w:tc>
        <w:tc>
          <w:tcPr>
            <w:tcW w:w="866" w:type="dxa"/>
            <w:tcBorders>
              <w:top w:val="nil"/>
              <w:left w:val="nil"/>
              <w:bottom w:val="single" w:sz="4" w:space="0" w:color="auto"/>
              <w:right w:val="single" w:sz="4" w:space="0" w:color="auto"/>
            </w:tcBorders>
            <w:shd w:val="clear" w:color="000000" w:fill="FFFFFF"/>
            <w:noWrap/>
            <w:vAlign w:val="bottom"/>
            <w:hideMark/>
          </w:tcPr>
          <w:p w14:paraId="38840B21" w14:textId="18E4AC4A"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31600,</w:t>
            </w:r>
            <w:r w:rsidRPr="001740ED">
              <w:rPr>
                <w:rFonts w:ascii="Times New Roman" w:eastAsia="Times New Roman" w:hAnsi="Times New Roman" w:cs="Times New Roman"/>
                <w:sz w:val="20"/>
                <w:szCs w:val="20"/>
              </w:rPr>
              <w:t>8</w:t>
            </w:r>
          </w:p>
        </w:tc>
        <w:tc>
          <w:tcPr>
            <w:tcW w:w="866" w:type="dxa"/>
            <w:tcBorders>
              <w:top w:val="nil"/>
              <w:left w:val="nil"/>
              <w:bottom w:val="single" w:sz="4" w:space="0" w:color="auto"/>
              <w:right w:val="single" w:sz="4" w:space="0" w:color="auto"/>
            </w:tcBorders>
            <w:shd w:val="clear" w:color="000000" w:fill="FFFFFF"/>
            <w:noWrap/>
            <w:vAlign w:val="bottom"/>
            <w:hideMark/>
          </w:tcPr>
          <w:p w14:paraId="3CABC61B" w14:textId="7BD01D9E"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33247,</w:t>
            </w:r>
            <w:r w:rsidR="007550A7" w:rsidRPr="001740ED">
              <w:rPr>
                <w:rFonts w:ascii="Times New Roman" w:eastAsia="Times New Roman" w:hAnsi="Times New Roman" w:cs="Times New Roman"/>
                <w:sz w:val="20"/>
                <w:szCs w:val="20"/>
              </w:rPr>
              <w:t>2</w:t>
            </w:r>
          </w:p>
        </w:tc>
      </w:tr>
      <w:tr w:rsidR="007550A7" w:rsidRPr="001740ED" w14:paraId="3CC3AEA4" w14:textId="77777777" w:rsidTr="007550A7">
        <w:trPr>
          <w:trHeight w:val="300"/>
        </w:trPr>
        <w:tc>
          <w:tcPr>
            <w:tcW w:w="1117" w:type="dxa"/>
            <w:tcBorders>
              <w:top w:val="nil"/>
              <w:left w:val="nil"/>
              <w:bottom w:val="nil"/>
              <w:right w:val="nil"/>
            </w:tcBorders>
            <w:shd w:val="clear" w:color="auto" w:fill="auto"/>
            <w:noWrap/>
            <w:vAlign w:val="center"/>
            <w:hideMark/>
          </w:tcPr>
          <w:p w14:paraId="224D4238"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w:t>
            </w:r>
          </w:p>
        </w:tc>
        <w:tc>
          <w:tcPr>
            <w:tcW w:w="5262" w:type="dxa"/>
            <w:tcBorders>
              <w:top w:val="nil"/>
              <w:left w:val="single" w:sz="4" w:space="0" w:color="auto"/>
              <w:bottom w:val="single" w:sz="4" w:space="0" w:color="auto"/>
              <w:right w:val="single" w:sz="4" w:space="0" w:color="auto"/>
            </w:tcBorders>
            <w:shd w:val="clear" w:color="000000" w:fill="DCE6F1"/>
            <w:noWrap/>
            <w:vAlign w:val="bottom"/>
            <w:hideMark/>
          </w:tcPr>
          <w:p w14:paraId="08F214F8"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Strukturālās bilances mērķis,  % no IKP</w:t>
            </w:r>
          </w:p>
        </w:tc>
        <w:tc>
          <w:tcPr>
            <w:tcW w:w="992" w:type="dxa"/>
            <w:tcBorders>
              <w:top w:val="nil"/>
              <w:left w:val="nil"/>
              <w:bottom w:val="single" w:sz="4" w:space="0" w:color="auto"/>
              <w:right w:val="single" w:sz="4" w:space="0" w:color="auto"/>
            </w:tcBorders>
            <w:shd w:val="clear" w:color="000000" w:fill="DCE6F1"/>
            <w:noWrap/>
            <w:vAlign w:val="bottom"/>
            <w:hideMark/>
          </w:tcPr>
          <w:p w14:paraId="4A1B3187" w14:textId="232A8557"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1740ED">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000000" w:fill="DCE6F1"/>
            <w:noWrap/>
            <w:vAlign w:val="bottom"/>
            <w:hideMark/>
          </w:tcPr>
          <w:p w14:paraId="1047F42B" w14:textId="2EB1545E"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1740ED">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000000" w:fill="DCE6F1"/>
            <w:noWrap/>
            <w:vAlign w:val="bottom"/>
            <w:hideMark/>
          </w:tcPr>
          <w:p w14:paraId="336ECD38" w14:textId="05289B8C"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7550A7" w:rsidRPr="001740ED">
              <w:rPr>
                <w:rFonts w:ascii="Times New Roman" w:eastAsia="Times New Roman" w:hAnsi="Times New Roman" w:cs="Times New Roman"/>
                <w:sz w:val="20"/>
                <w:szCs w:val="20"/>
              </w:rPr>
              <w:t>5</w:t>
            </w:r>
          </w:p>
        </w:tc>
      </w:tr>
      <w:tr w:rsidR="007550A7" w:rsidRPr="001740ED" w14:paraId="6FF38A3A" w14:textId="77777777" w:rsidTr="007550A7">
        <w:trPr>
          <w:trHeight w:val="300"/>
        </w:trPr>
        <w:tc>
          <w:tcPr>
            <w:tcW w:w="1117" w:type="dxa"/>
            <w:tcBorders>
              <w:top w:val="nil"/>
              <w:left w:val="nil"/>
              <w:bottom w:val="nil"/>
              <w:right w:val="nil"/>
            </w:tcBorders>
            <w:shd w:val="clear" w:color="auto" w:fill="auto"/>
            <w:noWrap/>
            <w:vAlign w:val="center"/>
            <w:hideMark/>
          </w:tcPr>
          <w:p w14:paraId="3A0FA67D"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2</w:t>
            </w:r>
          </w:p>
        </w:tc>
        <w:tc>
          <w:tcPr>
            <w:tcW w:w="5262" w:type="dxa"/>
            <w:tcBorders>
              <w:top w:val="nil"/>
              <w:left w:val="single" w:sz="4" w:space="0" w:color="auto"/>
              <w:bottom w:val="single" w:sz="4" w:space="0" w:color="auto"/>
              <w:right w:val="single" w:sz="4" w:space="0" w:color="auto"/>
            </w:tcBorders>
            <w:shd w:val="clear" w:color="auto" w:fill="auto"/>
            <w:noWrap/>
            <w:vAlign w:val="bottom"/>
            <w:hideMark/>
          </w:tcPr>
          <w:p w14:paraId="0572EC3F"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Cikliskā komponente, % no IKP</w:t>
            </w:r>
          </w:p>
        </w:tc>
        <w:tc>
          <w:tcPr>
            <w:tcW w:w="992" w:type="dxa"/>
            <w:tcBorders>
              <w:top w:val="nil"/>
              <w:left w:val="nil"/>
              <w:bottom w:val="single" w:sz="4" w:space="0" w:color="auto"/>
              <w:right w:val="single" w:sz="4" w:space="0" w:color="auto"/>
            </w:tcBorders>
            <w:shd w:val="clear" w:color="auto" w:fill="auto"/>
            <w:noWrap/>
            <w:vAlign w:val="bottom"/>
            <w:hideMark/>
          </w:tcPr>
          <w:p w14:paraId="24DDD068" w14:textId="4B46E9D5"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1740ED">
              <w:rPr>
                <w:rFonts w:ascii="Times New Roman" w:eastAsia="Times New Roman" w:hAnsi="Times New Roman" w:cs="Times New Roman"/>
                <w:sz w:val="20"/>
                <w:szCs w:val="20"/>
              </w:rPr>
              <w:t>0</w:t>
            </w:r>
          </w:p>
        </w:tc>
        <w:tc>
          <w:tcPr>
            <w:tcW w:w="866" w:type="dxa"/>
            <w:tcBorders>
              <w:top w:val="nil"/>
              <w:left w:val="nil"/>
              <w:bottom w:val="single" w:sz="4" w:space="0" w:color="auto"/>
              <w:right w:val="single" w:sz="4" w:space="0" w:color="auto"/>
            </w:tcBorders>
            <w:shd w:val="clear" w:color="auto" w:fill="auto"/>
            <w:noWrap/>
            <w:vAlign w:val="bottom"/>
            <w:hideMark/>
          </w:tcPr>
          <w:p w14:paraId="6C90DD00" w14:textId="2538A8BD"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1740ED">
              <w:rPr>
                <w:rFonts w:ascii="Times New Roman" w:eastAsia="Times New Roman" w:hAnsi="Times New Roman" w:cs="Times New Roman"/>
                <w:sz w:val="20"/>
                <w:szCs w:val="20"/>
              </w:rPr>
              <w:t>8</w:t>
            </w:r>
          </w:p>
        </w:tc>
        <w:tc>
          <w:tcPr>
            <w:tcW w:w="866" w:type="dxa"/>
            <w:tcBorders>
              <w:top w:val="nil"/>
              <w:left w:val="nil"/>
              <w:bottom w:val="single" w:sz="4" w:space="0" w:color="auto"/>
              <w:right w:val="single" w:sz="4" w:space="0" w:color="auto"/>
            </w:tcBorders>
            <w:shd w:val="clear" w:color="auto" w:fill="auto"/>
            <w:noWrap/>
            <w:vAlign w:val="bottom"/>
            <w:hideMark/>
          </w:tcPr>
          <w:p w14:paraId="0C7B4430" w14:textId="79F20D03"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7550A7" w:rsidRPr="001740ED">
              <w:rPr>
                <w:rFonts w:ascii="Times New Roman" w:eastAsia="Times New Roman" w:hAnsi="Times New Roman" w:cs="Times New Roman"/>
                <w:sz w:val="20"/>
                <w:szCs w:val="20"/>
              </w:rPr>
              <w:t>6</w:t>
            </w:r>
          </w:p>
        </w:tc>
      </w:tr>
      <w:tr w:rsidR="007550A7" w:rsidRPr="001740ED" w14:paraId="4517F7C4" w14:textId="77777777" w:rsidTr="007550A7">
        <w:trPr>
          <w:trHeight w:val="300"/>
        </w:trPr>
        <w:tc>
          <w:tcPr>
            <w:tcW w:w="1117" w:type="dxa"/>
            <w:tcBorders>
              <w:top w:val="nil"/>
              <w:left w:val="nil"/>
              <w:bottom w:val="nil"/>
              <w:right w:val="nil"/>
            </w:tcBorders>
            <w:shd w:val="clear" w:color="auto" w:fill="auto"/>
            <w:noWrap/>
            <w:vAlign w:val="center"/>
            <w:hideMark/>
          </w:tcPr>
          <w:p w14:paraId="6D0AB406"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3</w:t>
            </w:r>
          </w:p>
        </w:tc>
        <w:tc>
          <w:tcPr>
            <w:tcW w:w="5262" w:type="dxa"/>
            <w:tcBorders>
              <w:top w:val="nil"/>
              <w:left w:val="single" w:sz="4" w:space="0" w:color="auto"/>
              <w:bottom w:val="single" w:sz="4" w:space="0" w:color="auto"/>
              <w:right w:val="single" w:sz="4" w:space="0" w:color="auto"/>
            </w:tcBorders>
            <w:shd w:val="clear" w:color="auto" w:fill="auto"/>
            <w:noWrap/>
            <w:vAlign w:val="bottom"/>
            <w:hideMark/>
          </w:tcPr>
          <w:p w14:paraId="4EA94C2E"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Vienreizējie un pagaidu pasākumi, % no IKP</w:t>
            </w:r>
          </w:p>
        </w:tc>
        <w:tc>
          <w:tcPr>
            <w:tcW w:w="992" w:type="dxa"/>
            <w:tcBorders>
              <w:top w:val="nil"/>
              <w:left w:val="nil"/>
              <w:bottom w:val="single" w:sz="4" w:space="0" w:color="auto"/>
              <w:right w:val="single" w:sz="4" w:space="0" w:color="auto"/>
            </w:tcBorders>
            <w:shd w:val="clear" w:color="auto" w:fill="auto"/>
            <w:noWrap/>
            <w:vAlign w:val="bottom"/>
            <w:hideMark/>
          </w:tcPr>
          <w:p w14:paraId="4FDC603E" w14:textId="119157A8"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Pr="001740ED">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auto" w:fill="auto"/>
            <w:noWrap/>
            <w:vAlign w:val="bottom"/>
            <w:hideMark/>
          </w:tcPr>
          <w:p w14:paraId="54651B11" w14:textId="77777777" w:rsidR="007550A7" w:rsidRPr="001740ED" w:rsidRDefault="007550A7" w:rsidP="00C25AA0">
            <w:pPr>
              <w:rPr>
                <w:rFonts w:ascii="Times New Roman" w:eastAsia="Times New Roman" w:hAnsi="Times New Roman" w:cs="Times New Roman"/>
                <w:sz w:val="20"/>
                <w:szCs w:val="20"/>
              </w:rPr>
            </w:pPr>
            <w:r w:rsidRPr="001740ED">
              <w:rPr>
                <w:rFonts w:ascii="Times New Roman" w:eastAsia="Times New Roman" w:hAnsi="Times New Roman" w:cs="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45CC2E45" w14:textId="77777777" w:rsidR="007550A7" w:rsidRPr="001740ED" w:rsidRDefault="007550A7" w:rsidP="00C25AA0">
            <w:pPr>
              <w:rPr>
                <w:rFonts w:ascii="Times New Roman" w:eastAsia="Times New Roman" w:hAnsi="Times New Roman" w:cs="Times New Roman"/>
                <w:sz w:val="20"/>
                <w:szCs w:val="20"/>
              </w:rPr>
            </w:pPr>
            <w:r w:rsidRPr="001740ED">
              <w:rPr>
                <w:rFonts w:ascii="Times New Roman" w:eastAsia="Times New Roman" w:hAnsi="Times New Roman" w:cs="Times New Roman"/>
                <w:sz w:val="20"/>
                <w:szCs w:val="20"/>
              </w:rPr>
              <w:t> </w:t>
            </w:r>
          </w:p>
        </w:tc>
      </w:tr>
      <w:tr w:rsidR="007550A7" w:rsidRPr="001740ED" w14:paraId="48D3416A" w14:textId="77777777" w:rsidTr="007550A7">
        <w:trPr>
          <w:trHeight w:val="300"/>
        </w:trPr>
        <w:tc>
          <w:tcPr>
            <w:tcW w:w="1117" w:type="dxa"/>
            <w:tcBorders>
              <w:top w:val="nil"/>
              <w:left w:val="nil"/>
              <w:bottom w:val="nil"/>
              <w:right w:val="nil"/>
            </w:tcBorders>
            <w:shd w:val="clear" w:color="auto" w:fill="auto"/>
            <w:noWrap/>
            <w:vAlign w:val="center"/>
            <w:hideMark/>
          </w:tcPr>
          <w:p w14:paraId="4388E6DB"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4=1+2+3</w:t>
            </w:r>
          </w:p>
        </w:tc>
        <w:tc>
          <w:tcPr>
            <w:tcW w:w="5262" w:type="dxa"/>
            <w:tcBorders>
              <w:top w:val="nil"/>
              <w:left w:val="single" w:sz="4" w:space="0" w:color="auto"/>
              <w:bottom w:val="single" w:sz="4" w:space="0" w:color="auto"/>
              <w:right w:val="single" w:sz="4" w:space="0" w:color="auto"/>
            </w:tcBorders>
            <w:shd w:val="clear" w:color="000000" w:fill="DCE6F1"/>
            <w:noWrap/>
            <w:vAlign w:val="bottom"/>
            <w:hideMark/>
          </w:tcPr>
          <w:p w14:paraId="760D326D"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Vispārējās valdības budžeta nominālā bilance, % no IKP</w:t>
            </w:r>
          </w:p>
        </w:tc>
        <w:tc>
          <w:tcPr>
            <w:tcW w:w="992" w:type="dxa"/>
            <w:tcBorders>
              <w:top w:val="nil"/>
              <w:left w:val="nil"/>
              <w:bottom w:val="single" w:sz="4" w:space="0" w:color="auto"/>
              <w:right w:val="single" w:sz="4" w:space="0" w:color="auto"/>
            </w:tcBorders>
            <w:shd w:val="clear" w:color="000000" w:fill="DCE6F1"/>
            <w:noWrap/>
            <w:vAlign w:val="bottom"/>
            <w:hideMark/>
          </w:tcPr>
          <w:p w14:paraId="73547BC0" w14:textId="49E4B59C"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1740ED">
              <w:rPr>
                <w:rFonts w:ascii="Times New Roman" w:eastAsia="Times New Roman" w:hAnsi="Times New Roman" w:cs="Times New Roman"/>
                <w:sz w:val="20"/>
                <w:szCs w:val="20"/>
              </w:rPr>
              <w:t>0</w:t>
            </w:r>
          </w:p>
        </w:tc>
        <w:tc>
          <w:tcPr>
            <w:tcW w:w="866" w:type="dxa"/>
            <w:tcBorders>
              <w:top w:val="nil"/>
              <w:left w:val="nil"/>
              <w:bottom w:val="single" w:sz="4" w:space="0" w:color="auto"/>
              <w:right w:val="single" w:sz="4" w:space="0" w:color="auto"/>
            </w:tcBorders>
            <w:shd w:val="clear" w:color="000000" w:fill="DCE6F1"/>
            <w:noWrap/>
            <w:vAlign w:val="bottom"/>
            <w:hideMark/>
          </w:tcPr>
          <w:p w14:paraId="0B1C7435" w14:textId="3C990F54"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000000" w:fill="DCE6F1"/>
            <w:noWrap/>
            <w:vAlign w:val="bottom"/>
            <w:hideMark/>
          </w:tcPr>
          <w:p w14:paraId="5DA2C7AE" w14:textId="1D023C0D"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7550A7" w:rsidRPr="001740ED">
              <w:rPr>
                <w:rFonts w:ascii="Times New Roman" w:eastAsia="Times New Roman" w:hAnsi="Times New Roman" w:cs="Times New Roman"/>
                <w:sz w:val="20"/>
                <w:szCs w:val="20"/>
              </w:rPr>
              <w:t>1</w:t>
            </w:r>
          </w:p>
        </w:tc>
      </w:tr>
      <w:tr w:rsidR="007550A7" w:rsidRPr="001740ED" w14:paraId="0079853B" w14:textId="77777777" w:rsidTr="007550A7">
        <w:trPr>
          <w:trHeight w:val="300"/>
        </w:trPr>
        <w:tc>
          <w:tcPr>
            <w:tcW w:w="1117" w:type="dxa"/>
            <w:tcBorders>
              <w:top w:val="nil"/>
              <w:left w:val="nil"/>
              <w:bottom w:val="nil"/>
              <w:right w:val="nil"/>
            </w:tcBorders>
            <w:shd w:val="clear" w:color="auto" w:fill="auto"/>
            <w:noWrap/>
            <w:vAlign w:val="center"/>
            <w:hideMark/>
          </w:tcPr>
          <w:p w14:paraId="6B816C3A"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5=4*0</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5F21DC6A"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Vispārējās valdības nominālā bilance, milj. </w:t>
            </w:r>
            <w:r w:rsidRPr="001740ED">
              <w:rPr>
                <w:rFonts w:ascii="Times New Roman" w:eastAsia="Times New Roman" w:hAnsi="Times New Roman" w:cs="Times New Roman"/>
                <w:i/>
                <w:iCs/>
                <w:color w:val="000000"/>
                <w:sz w:val="20"/>
                <w:szCs w:val="20"/>
              </w:rPr>
              <w:t>euro</w:t>
            </w:r>
          </w:p>
        </w:tc>
        <w:tc>
          <w:tcPr>
            <w:tcW w:w="992" w:type="dxa"/>
            <w:tcBorders>
              <w:top w:val="nil"/>
              <w:left w:val="nil"/>
              <w:bottom w:val="single" w:sz="4" w:space="0" w:color="auto"/>
              <w:right w:val="single" w:sz="4" w:space="0" w:color="auto"/>
            </w:tcBorders>
            <w:shd w:val="clear" w:color="000000" w:fill="FFFFFF"/>
            <w:noWrap/>
            <w:vAlign w:val="bottom"/>
            <w:hideMark/>
          </w:tcPr>
          <w:p w14:paraId="3111A55A" w14:textId="55C8F46C" w:rsidR="007550A7" w:rsidRPr="001740ED" w:rsidRDefault="007550A7"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-1215,</w:t>
            </w:r>
            <w:r w:rsidRPr="001740ED">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000000" w:fill="FFFFFF"/>
            <w:noWrap/>
            <w:vAlign w:val="bottom"/>
            <w:hideMark/>
          </w:tcPr>
          <w:p w14:paraId="0D01352E" w14:textId="665C4E50" w:rsidR="007550A7" w:rsidRPr="001740ED" w:rsidRDefault="007550A7"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-908,</w:t>
            </w:r>
            <w:r w:rsidRPr="001740ED">
              <w:rPr>
                <w:rFonts w:ascii="Times New Roman" w:eastAsia="Times New Roman" w:hAnsi="Times New Roman" w:cs="Times New Roman"/>
                <w:color w:val="000000"/>
                <w:sz w:val="20"/>
                <w:szCs w:val="20"/>
              </w:rPr>
              <w:t>5</w:t>
            </w:r>
          </w:p>
        </w:tc>
        <w:tc>
          <w:tcPr>
            <w:tcW w:w="866" w:type="dxa"/>
            <w:tcBorders>
              <w:top w:val="nil"/>
              <w:left w:val="nil"/>
              <w:bottom w:val="single" w:sz="4" w:space="0" w:color="auto"/>
              <w:right w:val="single" w:sz="4" w:space="0" w:color="auto"/>
            </w:tcBorders>
            <w:shd w:val="clear" w:color="000000" w:fill="FFFFFF"/>
            <w:noWrap/>
            <w:vAlign w:val="bottom"/>
            <w:hideMark/>
          </w:tcPr>
          <w:p w14:paraId="0261E421" w14:textId="252E1F5E" w:rsidR="007550A7" w:rsidRPr="001740ED" w:rsidRDefault="00116FC6"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-685,</w:t>
            </w:r>
            <w:r w:rsidR="007550A7" w:rsidRPr="001740ED">
              <w:rPr>
                <w:rFonts w:ascii="Times New Roman" w:eastAsia="Times New Roman" w:hAnsi="Times New Roman" w:cs="Times New Roman"/>
                <w:color w:val="000000"/>
                <w:sz w:val="20"/>
                <w:szCs w:val="20"/>
              </w:rPr>
              <w:t>7</w:t>
            </w:r>
          </w:p>
        </w:tc>
      </w:tr>
      <w:tr w:rsidR="007550A7" w:rsidRPr="001740ED" w14:paraId="5474B1A3" w14:textId="77777777" w:rsidTr="007550A7">
        <w:trPr>
          <w:trHeight w:val="300"/>
        </w:trPr>
        <w:tc>
          <w:tcPr>
            <w:tcW w:w="1117" w:type="dxa"/>
            <w:tcBorders>
              <w:top w:val="nil"/>
              <w:left w:val="nil"/>
              <w:bottom w:val="nil"/>
              <w:right w:val="nil"/>
            </w:tcBorders>
            <w:shd w:val="clear" w:color="auto" w:fill="auto"/>
            <w:noWrap/>
            <w:vAlign w:val="center"/>
            <w:hideMark/>
          </w:tcPr>
          <w:p w14:paraId="50F8E79A"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6</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77D9CE23"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Pašvaldību budžeta bilance, milj. </w:t>
            </w:r>
            <w:r w:rsidRPr="001740ED">
              <w:rPr>
                <w:rFonts w:ascii="Times New Roman" w:eastAsia="Times New Roman" w:hAnsi="Times New Roman" w:cs="Times New Roman"/>
                <w:i/>
                <w:iCs/>
                <w:color w:val="000000"/>
                <w:sz w:val="20"/>
                <w:szCs w:val="20"/>
              </w:rPr>
              <w:t>euro</w:t>
            </w:r>
          </w:p>
        </w:tc>
        <w:tc>
          <w:tcPr>
            <w:tcW w:w="992" w:type="dxa"/>
            <w:tcBorders>
              <w:top w:val="nil"/>
              <w:left w:val="nil"/>
              <w:bottom w:val="single" w:sz="4" w:space="0" w:color="auto"/>
              <w:right w:val="single" w:sz="4" w:space="0" w:color="auto"/>
            </w:tcBorders>
            <w:shd w:val="clear" w:color="auto" w:fill="auto"/>
            <w:noWrap/>
            <w:vAlign w:val="bottom"/>
            <w:hideMark/>
          </w:tcPr>
          <w:p w14:paraId="79C60195" w14:textId="7333D87A" w:rsidR="007550A7" w:rsidRPr="001740ED" w:rsidRDefault="007550A7"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r w:rsidRPr="001740ED">
              <w:rPr>
                <w:rFonts w:ascii="Times New Roman" w:eastAsia="Times New Roman" w:hAnsi="Times New Roman" w:cs="Times New Roman"/>
                <w:color w:val="000000"/>
                <w:sz w:val="20"/>
                <w:szCs w:val="20"/>
              </w:rPr>
              <w:t>8</w:t>
            </w:r>
          </w:p>
        </w:tc>
        <w:tc>
          <w:tcPr>
            <w:tcW w:w="866" w:type="dxa"/>
            <w:tcBorders>
              <w:top w:val="nil"/>
              <w:left w:val="nil"/>
              <w:bottom w:val="single" w:sz="4" w:space="0" w:color="auto"/>
              <w:right w:val="single" w:sz="4" w:space="0" w:color="auto"/>
            </w:tcBorders>
            <w:shd w:val="clear" w:color="auto" w:fill="auto"/>
            <w:noWrap/>
            <w:vAlign w:val="bottom"/>
            <w:hideMark/>
          </w:tcPr>
          <w:p w14:paraId="3C37AE7C" w14:textId="7D177D20" w:rsidR="007550A7" w:rsidRPr="001740ED" w:rsidRDefault="007550A7"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r w:rsidRPr="001740ED">
              <w:rPr>
                <w:rFonts w:ascii="Times New Roman" w:eastAsia="Times New Roman" w:hAnsi="Times New Roman" w:cs="Times New Roman"/>
                <w:color w:val="000000"/>
                <w:sz w:val="20"/>
                <w:szCs w:val="20"/>
              </w:rPr>
              <w:t>9</w:t>
            </w:r>
          </w:p>
        </w:tc>
        <w:tc>
          <w:tcPr>
            <w:tcW w:w="866" w:type="dxa"/>
            <w:tcBorders>
              <w:top w:val="nil"/>
              <w:left w:val="nil"/>
              <w:bottom w:val="single" w:sz="4" w:space="0" w:color="auto"/>
              <w:right w:val="single" w:sz="4" w:space="0" w:color="auto"/>
            </w:tcBorders>
            <w:shd w:val="clear" w:color="auto" w:fill="auto"/>
            <w:noWrap/>
            <w:vAlign w:val="bottom"/>
            <w:hideMark/>
          </w:tcPr>
          <w:p w14:paraId="3F2DA08A" w14:textId="3A3D1399" w:rsidR="007550A7" w:rsidRPr="001740ED" w:rsidRDefault="00116FC6"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w:t>
            </w:r>
            <w:r w:rsidR="007550A7" w:rsidRPr="001740ED">
              <w:rPr>
                <w:rFonts w:ascii="Times New Roman" w:eastAsia="Times New Roman" w:hAnsi="Times New Roman" w:cs="Times New Roman"/>
                <w:color w:val="000000"/>
                <w:sz w:val="20"/>
                <w:szCs w:val="20"/>
              </w:rPr>
              <w:t>2</w:t>
            </w:r>
          </w:p>
        </w:tc>
      </w:tr>
      <w:tr w:rsidR="007550A7" w:rsidRPr="001740ED" w14:paraId="6983937C" w14:textId="77777777" w:rsidTr="007550A7">
        <w:trPr>
          <w:trHeight w:val="300"/>
        </w:trPr>
        <w:tc>
          <w:tcPr>
            <w:tcW w:w="1117" w:type="dxa"/>
            <w:tcBorders>
              <w:top w:val="nil"/>
              <w:left w:val="nil"/>
              <w:bottom w:val="nil"/>
              <w:right w:val="nil"/>
            </w:tcBorders>
            <w:shd w:val="clear" w:color="auto" w:fill="auto"/>
            <w:noWrap/>
            <w:vAlign w:val="center"/>
            <w:hideMark/>
          </w:tcPr>
          <w:p w14:paraId="1BCF9C73"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7</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06B1A047"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Atvasināto personu un budžeta nefinansētu iestāžu budžeta bilance, milj. </w:t>
            </w:r>
            <w:r w:rsidRPr="001740ED">
              <w:rPr>
                <w:rFonts w:ascii="Times New Roman" w:eastAsia="Times New Roman" w:hAnsi="Times New Roman" w:cs="Times New Roman"/>
                <w:i/>
                <w:iCs/>
                <w:color w:val="000000"/>
                <w:sz w:val="20"/>
                <w:szCs w:val="20"/>
              </w:rPr>
              <w:t>euro</w:t>
            </w:r>
          </w:p>
        </w:tc>
        <w:tc>
          <w:tcPr>
            <w:tcW w:w="992" w:type="dxa"/>
            <w:tcBorders>
              <w:top w:val="nil"/>
              <w:left w:val="nil"/>
              <w:bottom w:val="single" w:sz="4" w:space="0" w:color="auto"/>
              <w:right w:val="single" w:sz="4" w:space="0" w:color="auto"/>
            </w:tcBorders>
            <w:shd w:val="clear" w:color="auto" w:fill="auto"/>
            <w:noWrap/>
            <w:vAlign w:val="bottom"/>
            <w:hideMark/>
          </w:tcPr>
          <w:p w14:paraId="675E759E" w14:textId="057782C2" w:rsidR="007550A7" w:rsidRPr="001740ED" w:rsidRDefault="007550A7"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Pr="001740ED">
              <w:rPr>
                <w:rFonts w:ascii="Times New Roman" w:eastAsia="Times New Roman" w:hAnsi="Times New Roman" w:cs="Times New Roman"/>
                <w:color w:val="000000"/>
                <w:sz w:val="20"/>
                <w:szCs w:val="20"/>
              </w:rPr>
              <w:t>7</w:t>
            </w:r>
          </w:p>
        </w:tc>
        <w:tc>
          <w:tcPr>
            <w:tcW w:w="866" w:type="dxa"/>
            <w:tcBorders>
              <w:top w:val="nil"/>
              <w:left w:val="nil"/>
              <w:bottom w:val="single" w:sz="4" w:space="0" w:color="auto"/>
              <w:right w:val="single" w:sz="4" w:space="0" w:color="auto"/>
            </w:tcBorders>
            <w:shd w:val="clear" w:color="auto" w:fill="auto"/>
            <w:noWrap/>
            <w:vAlign w:val="bottom"/>
            <w:hideMark/>
          </w:tcPr>
          <w:p w14:paraId="2DD32696" w14:textId="52CE5726" w:rsidR="007550A7" w:rsidRPr="001740ED" w:rsidRDefault="007550A7"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r w:rsidRPr="001740ED">
              <w:rPr>
                <w:rFonts w:ascii="Times New Roman" w:eastAsia="Times New Roman" w:hAnsi="Times New Roman" w:cs="Times New Roman"/>
                <w:color w:val="000000"/>
                <w:sz w:val="20"/>
                <w:szCs w:val="20"/>
              </w:rPr>
              <w:t>1</w:t>
            </w:r>
          </w:p>
        </w:tc>
        <w:tc>
          <w:tcPr>
            <w:tcW w:w="866" w:type="dxa"/>
            <w:tcBorders>
              <w:top w:val="nil"/>
              <w:left w:val="nil"/>
              <w:bottom w:val="single" w:sz="4" w:space="0" w:color="auto"/>
              <w:right w:val="single" w:sz="4" w:space="0" w:color="auto"/>
            </w:tcBorders>
            <w:shd w:val="clear" w:color="auto" w:fill="auto"/>
            <w:noWrap/>
            <w:vAlign w:val="bottom"/>
            <w:hideMark/>
          </w:tcPr>
          <w:p w14:paraId="187C0975" w14:textId="260DB10E" w:rsidR="007550A7" w:rsidRPr="001740ED" w:rsidRDefault="00116FC6"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r w:rsidR="007550A7" w:rsidRPr="001740ED">
              <w:rPr>
                <w:rFonts w:ascii="Times New Roman" w:eastAsia="Times New Roman" w:hAnsi="Times New Roman" w:cs="Times New Roman"/>
                <w:color w:val="000000"/>
                <w:sz w:val="20"/>
                <w:szCs w:val="20"/>
              </w:rPr>
              <w:t>6</w:t>
            </w:r>
          </w:p>
        </w:tc>
      </w:tr>
      <w:tr w:rsidR="007550A7" w:rsidRPr="001740ED" w14:paraId="19E2F6E9" w14:textId="77777777" w:rsidTr="007550A7">
        <w:trPr>
          <w:trHeight w:val="300"/>
        </w:trPr>
        <w:tc>
          <w:tcPr>
            <w:tcW w:w="1117" w:type="dxa"/>
            <w:tcBorders>
              <w:top w:val="nil"/>
              <w:left w:val="nil"/>
              <w:bottom w:val="nil"/>
              <w:right w:val="nil"/>
            </w:tcBorders>
            <w:shd w:val="clear" w:color="auto" w:fill="auto"/>
            <w:noWrap/>
            <w:vAlign w:val="center"/>
            <w:hideMark/>
          </w:tcPr>
          <w:p w14:paraId="77BDEEE9"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8</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4C834BF1"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EKS korekcijas, milj. </w:t>
            </w:r>
            <w:r w:rsidRPr="001740ED">
              <w:rPr>
                <w:rFonts w:ascii="Times New Roman" w:eastAsia="Times New Roman" w:hAnsi="Times New Roman" w:cs="Times New Roman"/>
                <w:i/>
                <w:iCs/>
                <w:color w:val="000000"/>
                <w:sz w:val="20"/>
                <w:szCs w:val="20"/>
              </w:rPr>
              <w:t>euro</w:t>
            </w:r>
          </w:p>
        </w:tc>
        <w:tc>
          <w:tcPr>
            <w:tcW w:w="992" w:type="dxa"/>
            <w:tcBorders>
              <w:top w:val="nil"/>
              <w:left w:val="nil"/>
              <w:bottom w:val="single" w:sz="4" w:space="0" w:color="auto"/>
              <w:right w:val="single" w:sz="4" w:space="0" w:color="auto"/>
            </w:tcBorders>
            <w:shd w:val="clear" w:color="auto" w:fill="auto"/>
            <w:noWrap/>
            <w:vAlign w:val="bottom"/>
            <w:hideMark/>
          </w:tcPr>
          <w:p w14:paraId="64053A95" w14:textId="35F2CC57"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r w:rsidRPr="001740ED">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auto" w:fill="auto"/>
            <w:noWrap/>
            <w:vAlign w:val="bottom"/>
            <w:hideMark/>
          </w:tcPr>
          <w:p w14:paraId="37A564C2" w14:textId="2317A683"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r w:rsidRPr="001740ED">
              <w:rPr>
                <w:rFonts w:ascii="Times New Roman" w:eastAsia="Times New Roman" w:hAnsi="Times New Roman" w:cs="Times New Roman"/>
                <w:sz w:val="20"/>
                <w:szCs w:val="20"/>
              </w:rPr>
              <w:t>0</w:t>
            </w:r>
          </w:p>
        </w:tc>
        <w:tc>
          <w:tcPr>
            <w:tcW w:w="866" w:type="dxa"/>
            <w:tcBorders>
              <w:top w:val="nil"/>
              <w:left w:val="nil"/>
              <w:bottom w:val="single" w:sz="4" w:space="0" w:color="auto"/>
              <w:right w:val="single" w:sz="4" w:space="0" w:color="auto"/>
            </w:tcBorders>
            <w:shd w:val="clear" w:color="auto" w:fill="auto"/>
            <w:noWrap/>
            <w:vAlign w:val="bottom"/>
            <w:hideMark/>
          </w:tcPr>
          <w:p w14:paraId="5F173F44" w14:textId="3BC3BC4E"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r w:rsidR="007550A7" w:rsidRPr="001740ED">
              <w:rPr>
                <w:rFonts w:ascii="Times New Roman" w:eastAsia="Times New Roman" w:hAnsi="Times New Roman" w:cs="Times New Roman"/>
                <w:sz w:val="20"/>
                <w:szCs w:val="20"/>
              </w:rPr>
              <w:t>2</w:t>
            </w:r>
          </w:p>
        </w:tc>
      </w:tr>
      <w:tr w:rsidR="007550A7" w:rsidRPr="001740ED" w14:paraId="489C6804" w14:textId="77777777" w:rsidTr="007550A7">
        <w:trPr>
          <w:trHeight w:val="300"/>
        </w:trPr>
        <w:tc>
          <w:tcPr>
            <w:tcW w:w="1117" w:type="dxa"/>
            <w:tcBorders>
              <w:top w:val="nil"/>
              <w:left w:val="nil"/>
              <w:bottom w:val="nil"/>
              <w:right w:val="nil"/>
            </w:tcBorders>
            <w:shd w:val="clear" w:color="auto" w:fill="auto"/>
            <w:noWrap/>
            <w:vAlign w:val="center"/>
            <w:hideMark/>
          </w:tcPr>
          <w:p w14:paraId="33270F01"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9=5-6-7-8</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7C776257"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Valsts budžeta bilance, milj. </w:t>
            </w:r>
            <w:r w:rsidRPr="001740ED">
              <w:rPr>
                <w:rFonts w:ascii="Times New Roman" w:eastAsia="Times New Roman" w:hAnsi="Times New Roman" w:cs="Times New Roman"/>
                <w:i/>
                <w:iCs/>
                <w:color w:val="000000"/>
                <w:sz w:val="20"/>
                <w:szCs w:val="20"/>
              </w:rPr>
              <w:t>euro</w:t>
            </w:r>
          </w:p>
        </w:tc>
        <w:tc>
          <w:tcPr>
            <w:tcW w:w="992" w:type="dxa"/>
            <w:tcBorders>
              <w:top w:val="nil"/>
              <w:left w:val="nil"/>
              <w:bottom w:val="single" w:sz="4" w:space="0" w:color="auto"/>
              <w:right w:val="single" w:sz="4" w:space="0" w:color="auto"/>
            </w:tcBorders>
            <w:shd w:val="clear" w:color="auto" w:fill="auto"/>
            <w:noWrap/>
            <w:vAlign w:val="bottom"/>
            <w:hideMark/>
          </w:tcPr>
          <w:p w14:paraId="0B04A0AA" w14:textId="10104A5B" w:rsidR="007550A7" w:rsidRPr="001740ED" w:rsidRDefault="007550A7"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-1209,</w:t>
            </w:r>
            <w:r w:rsidRPr="001740ED">
              <w:rPr>
                <w:rFonts w:ascii="Times New Roman" w:eastAsia="Times New Roman" w:hAnsi="Times New Roman" w:cs="Times New Roman"/>
                <w:color w:val="000000"/>
                <w:sz w:val="20"/>
                <w:szCs w:val="20"/>
              </w:rPr>
              <w:t>6</w:t>
            </w:r>
          </w:p>
        </w:tc>
        <w:tc>
          <w:tcPr>
            <w:tcW w:w="866" w:type="dxa"/>
            <w:tcBorders>
              <w:top w:val="nil"/>
              <w:left w:val="nil"/>
              <w:bottom w:val="single" w:sz="4" w:space="0" w:color="auto"/>
              <w:right w:val="single" w:sz="4" w:space="0" w:color="auto"/>
            </w:tcBorders>
            <w:shd w:val="clear" w:color="auto" w:fill="auto"/>
            <w:noWrap/>
            <w:vAlign w:val="bottom"/>
            <w:hideMark/>
          </w:tcPr>
          <w:p w14:paraId="4B945361" w14:textId="76551741" w:rsidR="007550A7" w:rsidRPr="001740ED" w:rsidRDefault="007550A7"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w:t>
            </w:r>
            <w:r w:rsidRPr="001740ED">
              <w:rPr>
                <w:rFonts w:ascii="Times New Roman" w:eastAsia="Times New Roman" w:hAnsi="Times New Roman" w:cs="Times New Roman"/>
                <w:color w:val="000000"/>
                <w:sz w:val="20"/>
                <w:szCs w:val="20"/>
              </w:rPr>
              <w:t>5</w:t>
            </w:r>
          </w:p>
        </w:tc>
        <w:tc>
          <w:tcPr>
            <w:tcW w:w="866" w:type="dxa"/>
            <w:tcBorders>
              <w:top w:val="nil"/>
              <w:left w:val="nil"/>
              <w:bottom w:val="single" w:sz="4" w:space="0" w:color="auto"/>
              <w:right w:val="single" w:sz="4" w:space="0" w:color="auto"/>
            </w:tcBorders>
            <w:shd w:val="clear" w:color="auto" w:fill="auto"/>
            <w:noWrap/>
            <w:vAlign w:val="bottom"/>
            <w:hideMark/>
          </w:tcPr>
          <w:p w14:paraId="144F7DDE" w14:textId="39BC9CE8" w:rsidR="007550A7" w:rsidRPr="001740ED" w:rsidRDefault="00116FC6" w:rsidP="00C25AA0">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w:t>
            </w:r>
            <w:r w:rsidR="007550A7" w:rsidRPr="001740ED">
              <w:rPr>
                <w:rFonts w:ascii="Times New Roman" w:eastAsia="Times New Roman" w:hAnsi="Times New Roman" w:cs="Times New Roman"/>
                <w:color w:val="000000"/>
                <w:sz w:val="20"/>
                <w:szCs w:val="20"/>
              </w:rPr>
              <w:t>7</w:t>
            </w:r>
          </w:p>
        </w:tc>
      </w:tr>
      <w:tr w:rsidR="007550A7" w:rsidRPr="001740ED" w14:paraId="03179296" w14:textId="77777777" w:rsidTr="007550A7">
        <w:trPr>
          <w:trHeight w:val="300"/>
        </w:trPr>
        <w:tc>
          <w:tcPr>
            <w:tcW w:w="1117" w:type="dxa"/>
            <w:tcBorders>
              <w:top w:val="nil"/>
              <w:left w:val="nil"/>
              <w:bottom w:val="nil"/>
              <w:right w:val="nil"/>
            </w:tcBorders>
            <w:shd w:val="clear" w:color="auto" w:fill="auto"/>
            <w:noWrap/>
            <w:vAlign w:val="center"/>
            <w:hideMark/>
          </w:tcPr>
          <w:p w14:paraId="334F4E66"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10</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047F7CF2"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Valsts budžeta ieņēmumi, milj. </w:t>
            </w:r>
            <w:r w:rsidRPr="001740ED">
              <w:rPr>
                <w:rFonts w:ascii="Times New Roman" w:eastAsia="Times New Roman" w:hAnsi="Times New Roman" w:cs="Times New Roman"/>
                <w:i/>
                <w:iCs/>
                <w:color w:val="000000"/>
                <w:sz w:val="20"/>
                <w:szCs w:val="20"/>
              </w:rPr>
              <w:t>euro</w:t>
            </w:r>
          </w:p>
        </w:tc>
        <w:tc>
          <w:tcPr>
            <w:tcW w:w="992" w:type="dxa"/>
            <w:tcBorders>
              <w:top w:val="nil"/>
              <w:left w:val="nil"/>
              <w:bottom w:val="single" w:sz="4" w:space="0" w:color="auto"/>
              <w:right w:val="single" w:sz="4" w:space="0" w:color="auto"/>
            </w:tcBorders>
            <w:shd w:val="clear" w:color="auto" w:fill="auto"/>
            <w:noWrap/>
            <w:vAlign w:val="bottom"/>
            <w:hideMark/>
          </w:tcPr>
          <w:p w14:paraId="29E8F3E2" w14:textId="50B695A8"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9579,</w:t>
            </w:r>
            <w:r w:rsidRPr="001740ED">
              <w:rPr>
                <w:rFonts w:ascii="Times New Roman" w:eastAsia="Times New Roman" w:hAnsi="Times New Roman" w:cs="Times New Roman"/>
                <w:sz w:val="20"/>
                <w:szCs w:val="20"/>
              </w:rPr>
              <w:t>4</w:t>
            </w:r>
          </w:p>
        </w:tc>
        <w:tc>
          <w:tcPr>
            <w:tcW w:w="866" w:type="dxa"/>
            <w:tcBorders>
              <w:top w:val="nil"/>
              <w:left w:val="nil"/>
              <w:bottom w:val="single" w:sz="4" w:space="0" w:color="auto"/>
              <w:right w:val="single" w:sz="4" w:space="0" w:color="auto"/>
            </w:tcBorders>
            <w:shd w:val="clear" w:color="auto" w:fill="auto"/>
            <w:noWrap/>
            <w:vAlign w:val="bottom"/>
            <w:hideMark/>
          </w:tcPr>
          <w:p w14:paraId="68E0DFC5" w14:textId="41A44B85"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10329,</w:t>
            </w:r>
            <w:r w:rsidRPr="001740ED">
              <w:rPr>
                <w:rFonts w:ascii="Times New Roman" w:eastAsia="Times New Roman" w:hAnsi="Times New Roman" w:cs="Times New Roman"/>
                <w:sz w:val="20"/>
                <w:szCs w:val="20"/>
              </w:rPr>
              <w:t>3</w:t>
            </w:r>
          </w:p>
        </w:tc>
        <w:tc>
          <w:tcPr>
            <w:tcW w:w="866" w:type="dxa"/>
            <w:tcBorders>
              <w:top w:val="nil"/>
              <w:left w:val="nil"/>
              <w:bottom w:val="single" w:sz="4" w:space="0" w:color="auto"/>
              <w:right w:val="single" w:sz="4" w:space="0" w:color="auto"/>
            </w:tcBorders>
            <w:shd w:val="clear" w:color="auto" w:fill="auto"/>
            <w:noWrap/>
            <w:vAlign w:val="bottom"/>
            <w:hideMark/>
          </w:tcPr>
          <w:p w14:paraId="15F56B06" w14:textId="31D3927B"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10789,</w:t>
            </w:r>
            <w:r w:rsidR="007550A7" w:rsidRPr="001740ED">
              <w:rPr>
                <w:rFonts w:ascii="Times New Roman" w:eastAsia="Times New Roman" w:hAnsi="Times New Roman" w:cs="Times New Roman"/>
                <w:sz w:val="20"/>
                <w:szCs w:val="20"/>
              </w:rPr>
              <w:t>8</w:t>
            </w:r>
          </w:p>
        </w:tc>
      </w:tr>
      <w:tr w:rsidR="007550A7" w:rsidRPr="001740ED" w14:paraId="57449E3C" w14:textId="77777777" w:rsidTr="007550A7">
        <w:trPr>
          <w:trHeight w:val="315"/>
        </w:trPr>
        <w:tc>
          <w:tcPr>
            <w:tcW w:w="1117" w:type="dxa"/>
            <w:tcBorders>
              <w:top w:val="nil"/>
              <w:left w:val="nil"/>
              <w:bottom w:val="nil"/>
              <w:right w:val="nil"/>
            </w:tcBorders>
            <w:shd w:val="clear" w:color="auto" w:fill="auto"/>
            <w:noWrap/>
            <w:vAlign w:val="center"/>
            <w:hideMark/>
          </w:tcPr>
          <w:p w14:paraId="3A5F29F5"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11=10-9</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6FD96EF3"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Maksimāli pieļaujamie valsts budžeta izdevumi, milj. </w:t>
            </w:r>
            <w:r w:rsidRPr="001740ED">
              <w:rPr>
                <w:rFonts w:ascii="Times New Roman" w:eastAsia="Times New Roman" w:hAnsi="Times New Roman" w:cs="Times New Roman"/>
                <w:i/>
                <w:iCs/>
                <w:color w:val="000000"/>
                <w:sz w:val="20"/>
                <w:szCs w:val="20"/>
              </w:rPr>
              <w:t>euro</w:t>
            </w:r>
            <w:r w:rsidRPr="001740ED">
              <w:rPr>
                <w:rFonts w:ascii="Times New Roman" w:eastAsia="Times New Roman" w:hAnsi="Times New Roman" w:cs="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0382540C" w14:textId="4648C62E"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10788,</w:t>
            </w:r>
            <w:r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auto" w:fill="auto"/>
            <w:noWrap/>
            <w:vAlign w:val="bottom"/>
            <w:hideMark/>
          </w:tcPr>
          <w:p w14:paraId="39DEF5E6" w14:textId="7B2CB8DD"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11079,</w:t>
            </w:r>
            <w:r w:rsidRPr="001740ED">
              <w:rPr>
                <w:rFonts w:ascii="Times New Roman" w:eastAsia="Times New Roman" w:hAnsi="Times New Roman" w:cs="Times New Roman"/>
                <w:sz w:val="20"/>
                <w:szCs w:val="20"/>
              </w:rPr>
              <w:t>7</w:t>
            </w:r>
          </w:p>
        </w:tc>
        <w:tc>
          <w:tcPr>
            <w:tcW w:w="866" w:type="dxa"/>
            <w:tcBorders>
              <w:top w:val="nil"/>
              <w:left w:val="nil"/>
              <w:bottom w:val="single" w:sz="4" w:space="0" w:color="auto"/>
              <w:right w:val="single" w:sz="4" w:space="0" w:color="auto"/>
            </w:tcBorders>
            <w:shd w:val="clear" w:color="auto" w:fill="auto"/>
            <w:noWrap/>
            <w:vAlign w:val="bottom"/>
            <w:hideMark/>
          </w:tcPr>
          <w:p w14:paraId="398C5278" w14:textId="273BA12C"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11089,</w:t>
            </w:r>
            <w:r w:rsidR="007550A7" w:rsidRPr="001740ED">
              <w:rPr>
                <w:rFonts w:ascii="Times New Roman" w:eastAsia="Times New Roman" w:hAnsi="Times New Roman" w:cs="Times New Roman"/>
                <w:sz w:val="20"/>
                <w:szCs w:val="20"/>
              </w:rPr>
              <w:t>5</w:t>
            </w:r>
          </w:p>
        </w:tc>
      </w:tr>
      <w:tr w:rsidR="007550A7" w:rsidRPr="001740ED" w14:paraId="0DBC17D2" w14:textId="77777777" w:rsidTr="007550A7">
        <w:trPr>
          <w:trHeight w:val="300"/>
        </w:trPr>
        <w:tc>
          <w:tcPr>
            <w:tcW w:w="1117" w:type="dxa"/>
            <w:tcBorders>
              <w:top w:val="nil"/>
              <w:left w:val="nil"/>
              <w:bottom w:val="nil"/>
              <w:right w:val="nil"/>
            </w:tcBorders>
            <w:shd w:val="clear" w:color="auto" w:fill="auto"/>
            <w:noWrap/>
            <w:vAlign w:val="center"/>
            <w:hideMark/>
          </w:tcPr>
          <w:p w14:paraId="7E773910"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12=12.1+12.2</w:t>
            </w:r>
          </w:p>
        </w:tc>
        <w:tc>
          <w:tcPr>
            <w:tcW w:w="5262" w:type="dxa"/>
            <w:tcBorders>
              <w:top w:val="nil"/>
              <w:left w:val="single" w:sz="4" w:space="0" w:color="auto"/>
              <w:bottom w:val="single" w:sz="4" w:space="0" w:color="auto"/>
              <w:right w:val="single" w:sz="4" w:space="0" w:color="auto"/>
            </w:tcBorders>
            <w:shd w:val="clear" w:color="000000" w:fill="DCE6F1"/>
            <w:noWrap/>
            <w:vAlign w:val="bottom"/>
            <w:hideMark/>
          </w:tcPr>
          <w:p w14:paraId="3ED50FC7"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Izlīdzinātie izdevumi, milj. </w:t>
            </w:r>
            <w:r w:rsidRPr="001740ED">
              <w:rPr>
                <w:rFonts w:ascii="Times New Roman" w:eastAsia="Times New Roman" w:hAnsi="Times New Roman" w:cs="Times New Roman"/>
                <w:i/>
                <w:iCs/>
                <w:color w:val="000000"/>
                <w:sz w:val="20"/>
                <w:szCs w:val="20"/>
              </w:rPr>
              <w:t>euro</w:t>
            </w:r>
          </w:p>
        </w:tc>
        <w:tc>
          <w:tcPr>
            <w:tcW w:w="992" w:type="dxa"/>
            <w:tcBorders>
              <w:top w:val="nil"/>
              <w:left w:val="nil"/>
              <w:bottom w:val="single" w:sz="4" w:space="0" w:color="auto"/>
              <w:right w:val="single" w:sz="4" w:space="0" w:color="auto"/>
            </w:tcBorders>
            <w:shd w:val="clear" w:color="000000" w:fill="DCE6F1"/>
            <w:noWrap/>
            <w:vAlign w:val="bottom"/>
            <w:hideMark/>
          </w:tcPr>
          <w:p w14:paraId="0ECB0D9A" w14:textId="141E10E8"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r w:rsidR="0012299E">
              <w:rPr>
                <w:rFonts w:ascii="Times New Roman" w:eastAsia="Times New Roman" w:hAnsi="Times New Roman" w:cs="Times New Roman"/>
                <w:sz w:val="20"/>
                <w:szCs w:val="20"/>
              </w:rPr>
              <w:t>6</w:t>
            </w:r>
            <w:r>
              <w:rPr>
                <w:rFonts w:ascii="Times New Roman" w:eastAsia="Times New Roman" w:hAnsi="Times New Roman" w:cs="Times New Roman"/>
                <w:sz w:val="20"/>
                <w:szCs w:val="20"/>
              </w:rPr>
              <w:t>,</w:t>
            </w:r>
            <w:bookmarkStart w:id="49" w:name="_GoBack"/>
            <w:bookmarkEnd w:id="49"/>
            <w:r w:rsidRPr="001740ED">
              <w:rPr>
                <w:rFonts w:ascii="Times New Roman" w:eastAsia="Times New Roman" w:hAnsi="Times New Roman" w:cs="Times New Roman"/>
                <w:sz w:val="20"/>
                <w:szCs w:val="20"/>
              </w:rPr>
              <w:t>0</w:t>
            </w:r>
          </w:p>
        </w:tc>
        <w:tc>
          <w:tcPr>
            <w:tcW w:w="866" w:type="dxa"/>
            <w:tcBorders>
              <w:top w:val="nil"/>
              <w:left w:val="nil"/>
              <w:bottom w:val="single" w:sz="4" w:space="0" w:color="auto"/>
              <w:right w:val="single" w:sz="4" w:space="0" w:color="auto"/>
            </w:tcBorders>
            <w:shd w:val="clear" w:color="000000" w:fill="DCE6F1"/>
            <w:noWrap/>
            <w:vAlign w:val="bottom"/>
            <w:hideMark/>
          </w:tcPr>
          <w:p w14:paraId="1ED58B4A" w14:textId="645144EE"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1809,</w:t>
            </w:r>
            <w:r w:rsidRPr="001740ED">
              <w:rPr>
                <w:rFonts w:ascii="Times New Roman" w:eastAsia="Times New Roman" w:hAnsi="Times New Roman" w:cs="Times New Roman"/>
                <w:sz w:val="20"/>
                <w:szCs w:val="20"/>
              </w:rPr>
              <w:t>8</w:t>
            </w:r>
          </w:p>
        </w:tc>
        <w:tc>
          <w:tcPr>
            <w:tcW w:w="866" w:type="dxa"/>
            <w:tcBorders>
              <w:top w:val="nil"/>
              <w:left w:val="nil"/>
              <w:bottom w:val="single" w:sz="4" w:space="0" w:color="auto"/>
              <w:right w:val="single" w:sz="4" w:space="0" w:color="auto"/>
            </w:tcBorders>
            <w:shd w:val="clear" w:color="000000" w:fill="DCE6F1"/>
            <w:noWrap/>
            <w:vAlign w:val="bottom"/>
            <w:hideMark/>
          </w:tcPr>
          <w:p w14:paraId="014D4E28" w14:textId="7260ABF3"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1922,</w:t>
            </w:r>
            <w:r w:rsidR="007550A7" w:rsidRPr="001740ED">
              <w:rPr>
                <w:rFonts w:ascii="Times New Roman" w:eastAsia="Times New Roman" w:hAnsi="Times New Roman" w:cs="Times New Roman"/>
                <w:sz w:val="20"/>
                <w:szCs w:val="20"/>
              </w:rPr>
              <w:t>2</w:t>
            </w:r>
          </w:p>
        </w:tc>
      </w:tr>
      <w:tr w:rsidR="007550A7" w:rsidRPr="001740ED" w14:paraId="2D6A291E" w14:textId="77777777" w:rsidTr="007550A7">
        <w:trPr>
          <w:trHeight w:val="300"/>
        </w:trPr>
        <w:tc>
          <w:tcPr>
            <w:tcW w:w="1117" w:type="dxa"/>
            <w:tcBorders>
              <w:top w:val="nil"/>
              <w:left w:val="nil"/>
              <w:bottom w:val="nil"/>
              <w:right w:val="nil"/>
            </w:tcBorders>
            <w:shd w:val="clear" w:color="auto" w:fill="auto"/>
            <w:noWrap/>
            <w:vAlign w:val="center"/>
            <w:hideMark/>
          </w:tcPr>
          <w:p w14:paraId="03EA8B1E"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12.1</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57E7A2E0" w14:textId="77777777" w:rsidR="007550A7" w:rsidRPr="001740ED" w:rsidRDefault="007550A7" w:rsidP="00C25AA0">
            <w:pPr>
              <w:ind w:firstLineChars="100" w:firstLine="200"/>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t.sk. izlīdzinātie ES fondu izdevumi, milj. </w:t>
            </w:r>
            <w:r w:rsidRPr="001740ED">
              <w:rPr>
                <w:rFonts w:ascii="Times New Roman" w:eastAsia="Times New Roman" w:hAnsi="Times New Roman" w:cs="Times New Roman"/>
                <w:i/>
                <w:iCs/>
                <w:color w:val="000000"/>
                <w:sz w:val="20"/>
                <w:szCs w:val="20"/>
              </w:rPr>
              <w:t>euro</w:t>
            </w:r>
          </w:p>
        </w:tc>
        <w:tc>
          <w:tcPr>
            <w:tcW w:w="992" w:type="dxa"/>
            <w:tcBorders>
              <w:top w:val="nil"/>
              <w:left w:val="nil"/>
              <w:bottom w:val="single" w:sz="4" w:space="0" w:color="auto"/>
              <w:right w:val="single" w:sz="4" w:space="0" w:color="auto"/>
            </w:tcBorders>
            <w:shd w:val="clear" w:color="000000" w:fill="FFFFFF"/>
            <w:noWrap/>
            <w:vAlign w:val="bottom"/>
            <w:hideMark/>
          </w:tcPr>
          <w:p w14:paraId="6C604A92" w14:textId="4BD83FF0"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1473,</w:t>
            </w:r>
            <w:r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000000" w:fill="FFFFFF"/>
            <w:noWrap/>
            <w:vAlign w:val="bottom"/>
            <w:hideMark/>
          </w:tcPr>
          <w:p w14:paraId="4519A771" w14:textId="473E60F2"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1601,</w:t>
            </w:r>
            <w:r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000000" w:fill="FFFFFF"/>
            <w:noWrap/>
            <w:vAlign w:val="bottom"/>
            <w:hideMark/>
          </w:tcPr>
          <w:p w14:paraId="0439832E" w14:textId="59E3FFEE"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1714,</w:t>
            </w:r>
            <w:r w:rsidR="007550A7" w:rsidRPr="001740ED">
              <w:rPr>
                <w:rFonts w:ascii="Times New Roman" w:eastAsia="Times New Roman" w:hAnsi="Times New Roman" w:cs="Times New Roman"/>
                <w:sz w:val="20"/>
                <w:szCs w:val="20"/>
              </w:rPr>
              <w:t>3</w:t>
            </w:r>
          </w:p>
        </w:tc>
      </w:tr>
      <w:tr w:rsidR="007550A7" w:rsidRPr="001740ED" w14:paraId="33E7D76C" w14:textId="77777777" w:rsidTr="007550A7">
        <w:trPr>
          <w:trHeight w:val="300"/>
        </w:trPr>
        <w:tc>
          <w:tcPr>
            <w:tcW w:w="1117" w:type="dxa"/>
            <w:tcBorders>
              <w:top w:val="nil"/>
              <w:left w:val="nil"/>
              <w:bottom w:val="nil"/>
              <w:right w:val="nil"/>
            </w:tcBorders>
            <w:shd w:val="clear" w:color="auto" w:fill="auto"/>
            <w:noWrap/>
            <w:vAlign w:val="center"/>
            <w:hideMark/>
          </w:tcPr>
          <w:p w14:paraId="5CB84095"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12.1.1</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2392886B" w14:textId="77777777" w:rsidR="007550A7" w:rsidRPr="001740ED" w:rsidRDefault="007550A7" w:rsidP="00C25AA0">
            <w:pPr>
              <w:ind w:firstLineChars="200" w:firstLine="400"/>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t.sk. neatmaksājamā daļa</w:t>
            </w:r>
          </w:p>
        </w:tc>
        <w:tc>
          <w:tcPr>
            <w:tcW w:w="992" w:type="dxa"/>
            <w:tcBorders>
              <w:top w:val="nil"/>
              <w:left w:val="nil"/>
              <w:bottom w:val="single" w:sz="4" w:space="0" w:color="auto"/>
              <w:right w:val="single" w:sz="4" w:space="0" w:color="auto"/>
            </w:tcBorders>
            <w:shd w:val="clear" w:color="000000" w:fill="FFFFFF"/>
            <w:noWrap/>
            <w:vAlign w:val="bottom"/>
            <w:hideMark/>
          </w:tcPr>
          <w:p w14:paraId="4788471D" w14:textId="3E7FA909"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r w:rsidRPr="001740ED">
              <w:rPr>
                <w:rFonts w:ascii="Times New Roman" w:eastAsia="Times New Roman" w:hAnsi="Times New Roman" w:cs="Times New Roman"/>
                <w:sz w:val="20"/>
                <w:szCs w:val="20"/>
              </w:rPr>
              <w:t>3</w:t>
            </w:r>
          </w:p>
        </w:tc>
        <w:tc>
          <w:tcPr>
            <w:tcW w:w="866" w:type="dxa"/>
            <w:tcBorders>
              <w:top w:val="nil"/>
              <w:left w:val="nil"/>
              <w:bottom w:val="single" w:sz="4" w:space="0" w:color="auto"/>
              <w:right w:val="single" w:sz="4" w:space="0" w:color="auto"/>
            </w:tcBorders>
            <w:shd w:val="clear" w:color="000000" w:fill="FFFFFF"/>
            <w:noWrap/>
            <w:vAlign w:val="bottom"/>
            <w:hideMark/>
          </w:tcPr>
          <w:p w14:paraId="521CFFFF" w14:textId="294762CF"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r w:rsidRPr="001740ED">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000000" w:fill="FFFFFF"/>
            <w:noWrap/>
            <w:vAlign w:val="bottom"/>
            <w:hideMark/>
          </w:tcPr>
          <w:p w14:paraId="3D95B905" w14:textId="0C665992"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243,</w:t>
            </w:r>
            <w:r w:rsidR="007550A7" w:rsidRPr="001740ED">
              <w:rPr>
                <w:rFonts w:ascii="Times New Roman" w:eastAsia="Times New Roman" w:hAnsi="Times New Roman" w:cs="Times New Roman"/>
                <w:sz w:val="20"/>
                <w:szCs w:val="20"/>
              </w:rPr>
              <w:t>6</w:t>
            </w:r>
          </w:p>
        </w:tc>
      </w:tr>
      <w:tr w:rsidR="007550A7" w:rsidRPr="001740ED" w14:paraId="132288BA" w14:textId="77777777" w:rsidTr="007550A7">
        <w:trPr>
          <w:trHeight w:val="300"/>
        </w:trPr>
        <w:tc>
          <w:tcPr>
            <w:tcW w:w="1117" w:type="dxa"/>
            <w:tcBorders>
              <w:top w:val="nil"/>
              <w:left w:val="nil"/>
              <w:bottom w:val="nil"/>
              <w:right w:val="nil"/>
            </w:tcBorders>
            <w:shd w:val="clear" w:color="auto" w:fill="auto"/>
            <w:noWrap/>
            <w:vAlign w:val="center"/>
            <w:hideMark/>
          </w:tcPr>
          <w:p w14:paraId="60402592"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12.1.2</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17EE3BFE" w14:textId="77777777" w:rsidR="007550A7" w:rsidRPr="001740ED" w:rsidRDefault="007550A7" w:rsidP="00C25AA0">
            <w:pPr>
              <w:ind w:firstLineChars="200" w:firstLine="400"/>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atmaksājamā daļa</w:t>
            </w:r>
          </w:p>
        </w:tc>
        <w:tc>
          <w:tcPr>
            <w:tcW w:w="992" w:type="dxa"/>
            <w:tcBorders>
              <w:top w:val="nil"/>
              <w:left w:val="nil"/>
              <w:bottom w:val="single" w:sz="4" w:space="0" w:color="auto"/>
              <w:right w:val="single" w:sz="4" w:space="0" w:color="auto"/>
            </w:tcBorders>
            <w:shd w:val="clear" w:color="000000" w:fill="FFFFFF"/>
            <w:noWrap/>
            <w:vAlign w:val="bottom"/>
            <w:hideMark/>
          </w:tcPr>
          <w:p w14:paraId="29802C9B" w14:textId="0744F14D"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1253,</w:t>
            </w:r>
            <w:r w:rsidRPr="001740ED">
              <w:rPr>
                <w:rFonts w:ascii="Times New Roman" w:eastAsia="Times New Roman" w:hAnsi="Times New Roman" w:cs="Times New Roman"/>
                <w:sz w:val="20"/>
                <w:szCs w:val="20"/>
              </w:rPr>
              <w:t>6</w:t>
            </w:r>
          </w:p>
        </w:tc>
        <w:tc>
          <w:tcPr>
            <w:tcW w:w="866" w:type="dxa"/>
            <w:tcBorders>
              <w:top w:val="nil"/>
              <w:left w:val="nil"/>
              <w:bottom w:val="single" w:sz="4" w:space="0" w:color="auto"/>
              <w:right w:val="single" w:sz="4" w:space="0" w:color="auto"/>
            </w:tcBorders>
            <w:shd w:val="clear" w:color="000000" w:fill="FFFFFF"/>
            <w:noWrap/>
            <w:vAlign w:val="bottom"/>
            <w:hideMark/>
          </w:tcPr>
          <w:p w14:paraId="353C0C07" w14:textId="35F3972E"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1355,</w:t>
            </w:r>
            <w:r w:rsidRPr="001740ED">
              <w:rPr>
                <w:rFonts w:ascii="Times New Roman" w:eastAsia="Times New Roman" w:hAnsi="Times New Roman" w:cs="Times New Roman"/>
                <w:sz w:val="20"/>
                <w:szCs w:val="20"/>
              </w:rPr>
              <w:t>8</w:t>
            </w:r>
          </w:p>
        </w:tc>
        <w:tc>
          <w:tcPr>
            <w:tcW w:w="866" w:type="dxa"/>
            <w:tcBorders>
              <w:top w:val="nil"/>
              <w:left w:val="nil"/>
              <w:bottom w:val="single" w:sz="4" w:space="0" w:color="auto"/>
              <w:right w:val="single" w:sz="4" w:space="0" w:color="auto"/>
            </w:tcBorders>
            <w:shd w:val="clear" w:color="000000" w:fill="FFFFFF"/>
            <w:noWrap/>
            <w:vAlign w:val="bottom"/>
            <w:hideMark/>
          </w:tcPr>
          <w:p w14:paraId="5BA63A97" w14:textId="3F3FC20A"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1470,</w:t>
            </w:r>
            <w:r w:rsidR="007550A7" w:rsidRPr="001740ED">
              <w:rPr>
                <w:rFonts w:ascii="Times New Roman" w:eastAsia="Times New Roman" w:hAnsi="Times New Roman" w:cs="Times New Roman"/>
                <w:sz w:val="20"/>
                <w:szCs w:val="20"/>
              </w:rPr>
              <w:t>7</w:t>
            </w:r>
          </w:p>
        </w:tc>
      </w:tr>
      <w:tr w:rsidR="007550A7" w:rsidRPr="001740ED" w14:paraId="7FF80754" w14:textId="77777777" w:rsidTr="007550A7">
        <w:trPr>
          <w:trHeight w:val="300"/>
        </w:trPr>
        <w:tc>
          <w:tcPr>
            <w:tcW w:w="1117" w:type="dxa"/>
            <w:tcBorders>
              <w:top w:val="nil"/>
              <w:left w:val="nil"/>
              <w:bottom w:val="nil"/>
              <w:right w:val="nil"/>
            </w:tcBorders>
            <w:shd w:val="clear" w:color="auto" w:fill="auto"/>
            <w:noWrap/>
            <w:vAlign w:val="center"/>
            <w:hideMark/>
          </w:tcPr>
          <w:p w14:paraId="2EE40131"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12.2</w:t>
            </w:r>
          </w:p>
        </w:tc>
        <w:tc>
          <w:tcPr>
            <w:tcW w:w="5262" w:type="dxa"/>
            <w:tcBorders>
              <w:top w:val="nil"/>
              <w:left w:val="single" w:sz="4" w:space="0" w:color="auto"/>
              <w:bottom w:val="single" w:sz="4" w:space="0" w:color="auto"/>
              <w:right w:val="single" w:sz="4" w:space="0" w:color="auto"/>
            </w:tcBorders>
            <w:shd w:val="clear" w:color="000000" w:fill="FFFFFF"/>
            <w:noWrap/>
            <w:vAlign w:val="bottom"/>
            <w:hideMark/>
          </w:tcPr>
          <w:p w14:paraId="7C0E826C" w14:textId="77777777" w:rsidR="007550A7" w:rsidRPr="001740ED" w:rsidRDefault="007550A7" w:rsidP="00C25AA0">
            <w:pPr>
              <w:ind w:firstLineChars="100" w:firstLine="200"/>
              <w:rPr>
                <w:rFonts w:ascii="Times New Roman" w:eastAsia="Times New Roman" w:hAnsi="Times New Roman" w:cs="Times New Roman"/>
                <w:sz w:val="20"/>
                <w:szCs w:val="20"/>
              </w:rPr>
            </w:pPr>
            <w:r w:rsidRPr="001740ED">
              <w:rPr>
                <w:rFonts w:ascii="Times New Roman" w:eastAsia="Times New Roman" w:hAnsi="Times New Roman" w:cs="Times New Roman"/>
                <w:sz w:val="20"/>
                <w:szCs w:val="20"/>
              </w:rPr>
              <w:t>Izlīdzinātie valsts parāda apkalpošanas izdevumi</w:t>
            </w:r>
          </w:p>
        </w:tc>
        <w:tc>
          <w:tcPr>
            <w:tcW w:w="992" w:type="dxa"/>
            <w:tcBorders>
              <w:top w:val="nil"/>
              <w:left w:val="nil"/>
              <w:bottom w:val="single" w:sz="4" w:space="0" w:color="auto"/>
              <w:right w:val="single" w:sz="4" w:space="0" w:color="auto"/>
            </w:tcBorders>
            <w:shd w:val="clear" w:color="000000" w:fill="FFFFFF"/>
            <w:noWrap/>
            <w:vAlign w:val="bottom"/>
            <w:hideMark/>
          </w:tcPr>
          <w:p w14:paraId="53AE7054" w14:textId="577B4ECB"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232,</w:t>
            </w:r>
            <w:r w:rsidRPr="001740ED">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000000" w:fill="FFFFFF"/>
            <w:noWrap/>
            <w:vAlign w:val="bottom"/>
            <w:hideMark/>
          </w:tcPr>
          <w:p w14:paraId="66183389" w14:textId="1CD4500A"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r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000000" w:fill="FFFFFF"/>
            <w:noWrap/>
            <w:vAlign w:val="bottom"/>
            <w:hideMark/>
          </w:tcPr>
          <w:p w14:paraId="497DF39F" w14:textId="6B76B0FA"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r w:rsidR="007550A7" w:rsidRPr="001740ED">
              <w:rPr>
                <w:rFonts w:ascii="Times New Roman" w:eastAsia="Times New Roman" w:hAnsi="Times New Roman" w:cs="Times New Roman"/>
                <w:sz w:val="20"/>
                <w:szCs w:val="20"/>
              </w:rPr>
              <w:t>9</w:t>
            </w:r>
          </w:p>
        </w:tc>
      </w:tr>
      <w:tr w:rsidR="007550A7" w:rsidRPr="001740ED" w14:paraId="200CB1E7" w14:textId="77777777" w:rsidTr="007550A7">
        <w:trPr>
          <w:trHeight w:val="300"/>
        </w:trPr>
        <w:tc>
          <w:tcPr>
            <w:tcW w:w="1117" w:type="dxa"/>
            <w:tcBorders>
              <w:top w:val="nil"/>
              <w:left w:val="nil"/>
              <w:bottom w:val="nil"/>
              <w:right w:val="nil"/>
            </w:tcBorders>
            <w:shd w:val="clear" w:color="auto" w:fill="auto"/>
            <w:noWrap/>
            <w:vAlign w:val="center"/>
            <w:hideMark/>
          </w:tcPr>
          <w:p w14:paraId="693E2949"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13=11-12</w:t>
            </w:r>
          </w:p>
        </w:tc>
        <w:tc>
          <w:tcPr>
            <w:tcW w:w="5262" w:type="dxa"/>
            <w:tcBorders>
              <w:top w:val="nil"/>
              <w:left w:val="single" w:sz="4" w:space="0" w:color="auto"/>
              <w:bottom w:val="single" w:sz="4" w:space="0" w:color="auto"/>
              <w:right w:val="single" w:sz="4" w:space="0" w:color="auto"/>
            </w:tcBorders>
            <w:shd w:val="clear" w:color="000000" w:fill="FFC000"/>
            <w:noWrap/>
            <w:vAlign w:val="bottom"/>
            <w:hideMark/>
          </w:tcPr>
          <w:p w14:paraId="10C2B475"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b/>
                <w:bCs/>
                <w:color w:val="000000"/>
                <w:sz w:val="20"/>
                <w:szCs w:val="20"/>
              </w:rPr>
              <w:t>Koriģētie maksimāli pieļaujamie valsts budžeta izdevumi,</w:t>
            </w:r>
            <w:r w:rsidRPr="001740ED">
              <w:rPr>
                <w:rFonts w:ascii="Times New Roman" w:eastAsia="Times New Roman" w:hAnsi="Times New Roman" w:cs="Times New Roman"/>
                <w:color w:val="000000"/>
                <w:sz w:val="20"/>
                <w:szCs w:val="20"/>
              </w:rPr>
              <w:t xml:space="preserve"> milj. </w:t>
            </w:r>
            <w:r w:rsidRPr="001740ED">
              <w:rPr>
                <w:rFonts w:ascii="Times New Roman" w:eastAsia="Times New Roman" w:hAnsi="Times New Roman" w:cs="Times New Roman"/>
                <w:i/>
                <w:iCs/>
                <w:color w:val="000000"/>
                <w:sz w:val="20"/>
                <w:szCs w:val="20"/>
              </w:rPr>
              <w:t>euro</w:t>
            </w:r>
            <w:r w:rsidRPr="001740ED">
              <w:rPr>
                <w:rFonts w:ascii="Times New Roman" w:eastAsia="Times New Roman" w:hAnsi="Times New Roman" w:cs="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000000" w:fill="FFC000"/>
            <w:noWrap/>
            <w:vAlign w:val="bottom"/>
            <w:hideMark/>
          </w:tcPr>
          <w:p w14:paraId="1891A54D" w14:textId="6A54C86C" w:rsidR="007550A7" w:rsidRPr="001740ED" w:rsidRDefault="007550A7" w:rsidP="00C25AA0">
            <w:pPr>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9082,</w:t>
            </w:r>
            <w:r w:rsidRPr="001740ED">
              <w:rPr>
                <w:rFonts w:ascii="Times New Roman" w:eastAsia="Times New Roman" w:hAnsi="Times New Roman" w:cs="Times New Roman"/>
                <w:b/>
                <w:bCs/>
                <w:sz w:val="20"/>
                <w:szCs w:val="20"/>
              </w:rPr>
              <w:t>9</w:t>
            </w:r>
          </w:p>
        </w:tc>
        <w:tc>
          <w:tcPr>
            <w:tcW w:w="866" w:type="dxa"/>
            <w:tcBorders>
              <w:top w:val="nil"/>
              <w:left w:val="nil"/>
              <w:bottom w:val="single" w:sz="4" w:space="0" w:color="auto"/>
              <w:right w:val="single" w:sz="4" w:space="0" w:color="auto"/>
            </w:tcBorders>
            <w:shd w:val="clear" w:color="000000" w:fill="FFC000"/>
            <w:noWrap/>
            <w:vAlign w:val="bottom"/>
            <w:hideMark/>
          </w:tcPr>
          <w:p w14:paraId="267F48AD" w14:textId="0A5A8D68" w:rsidR="007550A7" w:rsidRPr="001740ED" w:rsidRDefault="007550A7" w:rsidP="00C25AA0">
            <w:pPr>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9269,</w:t>
            </w:r>
            <w:r w:rsidRPr="001740ED">
              <w:rPr>
                <w:rFonts w:ascii="Times New Roman" w:eastAsia="Times New Roman" w:hAnsi="Times New Roman" w:cs="Times New Roman"/>
                <w:b/>
                <w:bCs/>
                <w:sz w:val="20"/>
                <w:szCs w:val="20"/>
              </w:rPr>
              <w:t>9</w:t>
            </w:r>
          </w:p>
        </w:tc>
        <w:tc>
          <w:tcPr>
            <w:tcW w:w="866" w:type="dxa"/>
            <w:tcBorders>
              <w:top w:val="nil"/>
              <w:left w:val="nil"/>
              <w:bottom w:val="single" w:sz="4" w:space="0" w:color="auto"/>
              <w:right w:val="single" w:sz="4" w:space="0" w:color="auto"/>
            </w:tcBorders>
            <w:shd w:val="clear" w:color="000000" w:fill="FFC000"/>
            <w:noWrap/>
            <w:vAlign w:val="bottom"/>
            <w:hideMark/>
          </w:tcPr>
          <w:p w14:paraId="7C13D62F" w14:textId="0EEC1152" w:rsidR="007550A7" w:rsidRPr="001740ED" w:rsidRDefault="00116FC6" w:rsidP="00C25AA0">
            <w:pPr>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9167,</w:t>
            </w:r>
            <w:r w:rsidR="007550A7" w:rsidRPr="001740ED">
              <w:rPr>
                <w:rFonts w:ascii="Times New Roman" w:eastAsia="Times New Roman" w:hAnsi="Times New Roman" w:cs="Times New Roman"/>
                <w:b/>
                <w:bCs/>
                <w:sz w:val="20"/>
                <w:szCs w:val="20"/>
              </w:rPr>
              <w:t>4</w:t>
            </w:r>
          </w:p>
        </w:tc>
      </w:tr>
      <w:tr w:rsidR="007550A7" w:rsidRPr="001740ED" w14:paraId="1D9B72E6" w14:textId="77777777" w:rsidTr="007550A7">
        <w:trPr>
          <w:trHeight w:val="300"/>
        </w:trPr>
        <w:tc>
          <w:tcPr>
            <w:tcW w:w="1117" w:type="dxa"/>
            <w:tcBorders>
              <w:top w:val="nil"/>
              <w:left w:val="nil"/>
              <w:bottom w:val="nil"/>
              <w:right w:val="nil"/>
            </w:tcBorders>
            <w:shd w:val="clear" w:color="auto" w:fill="auto"/>
            <w:noWrap/>
            <w:vAlign w:val="center"/>
            <w:hideMark/>
          </w:tcPr>
          <w:p w14:paraId="2211A2E4"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14=15+16</w:t>
            </w:r>
          </w:p>
        </w:tc>
        <w:tc>
          <w:tcPr>
            <w:tcW w:w="5262" w:type="dxa"/>
            <w:tcBorders>
              <w:top w:val="nil"/>
              <w:left w:val="single" w:sz="4" w:space="0" w:color="auto"/>
              <w:bottom w:val="single" w:sz="4" w:space="0" w:color="auto"/>
              <w:right w:val="single" w:sz="4" w:space="0" w:color="auto"/>
            </w:tcBorders>
            <w:shd w:val="clear" w:color="auto" w:fill="auto"/>
            <w:noWrap/>
            <w:vAlign w:val="bottom"/>
            <w:hideMark/>
          </w:tcPr>
          <w:p w14:paraId="19A2D29B"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Faktiskie izdevumi</w:t>
            </w:r>
          </w:p>
        </w:tc>
        <w:tc>
          <w:tcPr>
            <w:tcW w:w="992" w:type="dxa"/>
            <w:tcBorders>
              <w:top w:val="nil"/>
              <w:left w:val="nil"/>
              <w:bottom w:val="single" w:sz="4" w:space="0" w:color="auto"/>
              <w:right w:val="single" w:sz="4" w:space="0" w:color="auto"/>
            </w:tcBorders>
            <w:shd w:val="clear" w:color="auto" w:fill="auto"/>
            <w:noWrap/>
            <w:vAlign w:val="bottom"/>
            <w:hideMark/>
          </w:tcPr>
          <w:p w14:paraId="16764C9E" w14:textId="2C2A8DA2"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1706,</w:t>
            </w:r>
            <w:r w:rsidRPr="001740ED">
              <w:rPr>
                <w:rFonts w:ascii="Times New Roman" w:eastAsia="Times New Roman" w:hAnsi="Times New Roman" w:cs="Times New Roman"/>
                <w:sz w:val="20"/>
                <w:szCs w:val="20"/>
              </w:rPr>
              <w:t>0</w:t>
            </w:r>
          </w:p>
        </w:tc>
        <w:tc>
          <w:tcPr>
            <w:tcW w:w="866" w:type="dxa"/>
            <w:tcBorders>
              <w:top w:val="nil"/>
              <w:left w:val="nil"/>
              <w:bottom w:val="single" w:sz="4" w:space="0" w:color="auto"/>
              <w:right w:val="single" w:sz="4" w:space="0" w:color="auto"/>
            </w:tcBorders>
            <w:shd w:val="clear" w:color="auto" w:fill="auto"/>
            <w:noWrap/>
            <w:vAlign w:val="bottom"/>
            <w:hideMark/>
          </w:tcPr>
          <w:p w14:paraId="536607BD" w14:textId="47B9E58F"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1809,</w:t>
            </w:r>
            <w:r w:rsidRPr="001740ED">
              <w:rPr>
                <w:rFonts w:ascii="Times New Roman" w:eastAsia="Times New Roman" w:hAnsi="Times New Roman" w:cs="Times New Roman"/>
                <w:sz w:val="20"/>
                <w:szCs w:val="20"/>
              </w:rPr>
              <w:t>8</w:t>
            </w:r>
          </w:p>
        </w:tc>
        <w:tc>
          <w:tcPr>
            <w:tcW w:w="866" w:type="dxa"/>
            <w:tcBorders>
              <w:top w:val="nil"/>
              <w:left w:val="nil"/>
              <w:bottom w:val="single" w:sz="4" w:space="0" w:color="auto"/>
              <w:right w:val="single" w:sz="4" w:space="0" w:color="auto"/>
            </w:tcBorders>
            <w:shd w:val="clear" w:color="auto" w:fill="auto"/>
            <w:noWrap/>
            <w:vAlign w:val="bottom"/>
            <w:hideMark/>
          </w:tcPr>
          <w:p w14:paraId="0C43BC4C" w14:textId="198C1638"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1922,</w:t>
            </w:r>
            <w:r w:rsidR="007550A7" w:rsidRPr="001740ED">
              <w:rPr>
                <w:rFonts w:ascii="Times New Roman" w:eastAsia="Times New Roman" w:hAnsi="Times New Roman" w:cs="Times New Roman"/>
                <w:sz w:val="20"/>
                <w:szCs w:val="20"/>
              </w:rPr>
              <w:t>2</w:t>
            </w:r>
          </w:p>
        </w:tc>
      </w:tr>
      <w:tr w:rsidR="007550A7" w:rsidRPr="001740ED" w14:paraId="4509F5FC" w14:textId="77777777" w:rsidTr="007550A7">
        <w:trPr>
          <w:trHeight w:val="300"/>
        </w:trPr>
        <w:tc>
          <w:tcPr>
            <w:tcW w:w="1117" w:type="dxa"/>
            <w:tcBorders>
              <w:top w:val="nil"/>
              <w:left w:val="nil"/>
              <w:bottom w:val="nil"/>
              <w:right w:val="nil"/>
            </w:tcBorders>
            <w:shd w:val="clear" w:color="auto" w:fill="auto"/>
            <w:noWrap/>
            <w:vAlign w:val="center"/>
            <w:hideMark/>
          </w:tcPr>
          <w:p w14:paraId="6F939960"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15</w:t>
            </w:r>
          </w:p>
        </w:tc>
        <w:tc>
          <w:tcPr>
            <w:tcW w:w="5262" w:type="dxa"/>
            <w:tcBorders>
              <w:top w:val="nil"/>
              <w:left w:val="single" w:sz="4" w:space="0" w:color="auto"/>
              <w:bottom w:val="single" w:sz="4" w:space="0" w:color="auto"/>
              <w:right w:val="single" w:sz="4" w:space="0" w:color="auto"/>
            </w:tcBorders>
            <w:shd w:val="clear" w:color="auto" w:fill="auto"/>
            <w:noWrap/>
            <w:vAlign w:val="bottom"/>
            <w:hideMark/>
          </w:tcPr>
          <w:p w14:paraId="0C6FDE15" w14:textId="77777777" w:rsidR="007550A7" w:rsidRPr="001740ED" w:rsidRDefault="007550A7" w:rsidP="00C25AA0">
            <w:pPr>
              <w:ind w:firstLineChars="100" w:firstLine="200"/>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t.sk. ES fondu izdevumi - bottom-up</w:t>
            </w:r>
          </w:p>
        </w:tc>
        <w:tc>
          <w:tcPr>
            <w:tcW w:w="992" w:type="dxa"/>
            <w:tcBorders>
              <w:top w:val="nil"/>
              <w:left w:val="nil"/>
              <w:bottom w:val="single" w:sz="4" w:space="0" w:color="auto"/>
              <w:right w:val="single" w:sz="4" w:space="0" w:color="auto"/>
            </w:tcBorders>
            <w:shd w:val="clear" w:color="auto" w:fill="auto"/>
            <w:noWrap/>
            <w:vAlign w:val="bottom"/>
            <w:hideMark/>
          </w:tcPr>
          <w:p w14:paraId="3AA775D0" w14:textId="1CFF3FA2"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1473,</w:t>
            </w:r>
            <w:r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auto" w:fill="auto"/>
            <w:noWrap/>
            <w:vAlign w:val="bottom"/>
            <w:hideMark/>
          </w:tcPr>
          <w:p w14:paraId="455F9084" w14:textId="0446A13B"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1601,</w:t>
            </w:r>
            <w:r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auto" w:fill="auto"/>
            <w:noWrap/>
            <w:vAlign w:val="bottom"/>
            <w:hideMark/>
          </w:tcPr>
          <w:p w14:paraId="7E37FDA1" w14:textId="6EC029F8"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1714,</w:t>
            </w:r>
            <w:r w:rsidR="007550A7" w:rsidRPr="001740ED">
              <w:rPr>
                <w:rFonts w:ascii="Times New Roman" w:eastAsia="Times New Roman" w:hAnsi="Times New Roman" w:cs="Times New Roman"/>
                <w:sz w:val="20"/>
                <w:szCs w:val="20"/>
              </w:rPr>
              <w:t>3</w:t>
            </w:r>
          </w:p>
        </w:tc>
      </w:tr>
      <w:tr w:rsidR="007550A7" w:rsidRPr="001740ED" w14:paraId="345161E9" w14:textId="77777777" w:rsidTr="007550A7">
        <w:trPr>
          <w:trHeight w:val="300"/>
        </w:trPr>
        <w:tc>
          <w:tcPr>
            <w:tcW w:w="1117" w:type="dxa"/>
            <w:tcBorders>
              <w:top w:val="nil"/>
              <w:left w:val="nil"/>
              <w:bottom w:val="nil"/>
              <w:right w:val="nil"/>
            </w:tcBorders>
            <w:shd w:val="clear" w:color="auto" w:fill="auto"/>
            <w:noWrap/>
            <w:vAlign w:val="center"/>
            <w:hideMark/>
          </w:tcPr>
          <w:p w14:paraId="2A2E9EFD"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15.1</w:t>
            </w:r>
          </w:p>
        </w:tc>
        <w:tc>
          <w:tcPr>
            <w:tcW w:w="5262" w:type="dxa"/>
            <w:tcBorders>
              <w:top w:val="nil"/>
              <w:left w:val="single" w:sz="4" w:space="0" w:color="auto"/>
              <w:bottom w:val="single" w:sz="4" w:space="0" w:color="auto"/>
              <w:right w:val="single" w:sz="4" w:space="0" w:color="auto"/>
            </w:tcBorders>
            <w:shd w:val="clear" w:color="auto" w:fill="auto"/>
            <w:noWrap/>
            <w:vAlign w:val="bottom"/>
            <w:hideMark/>
          </w:tcPr>
          <w:p w14:paraId="59960C9A" w14:textId="77777777" w:rsidR="007550A7" w:rsidRPr="001740ED" w:rsidRDefault="007550A7" w:rsidP="00C25AA0">
            <w:pPr>
              <w:ind w:firstLineChars="200" w:firstLine="400"/>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t.sk. neatmaksājamā daļa</w:t>
            </w:r>
          </w:p>
        </w:tc>
        <w:tc>
          <w:tcPr>
            <w:tcW w:w="992" w:type="dxa"/>
            <w:tcBorders>
              <w:top w:val="nil"/>
              <w:left w:val="nil"/>
              <w:bottom w:val="single" w:sz="4" w:space="0" w:color="auto"/>
              <w:right w:val="single" w:sz="4" w:space="0" w:color="auto"/>
            </w:tcBorders>
            <w:shd w:val="clear" w:color="auto" w:fill="auto"/>
            <w:noWrap/>
            <w:vAlign w:val="bottom"/>
            <w:hideMark/>
          </w:tcPr>
          <w:p w14:paraId="6C6E4EBA" w14:textId="2188A293"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r w:rsidRPr="001740ED">
              <w:rPr>
                <w:rFonts w:ascii="Times New Roman" w:eastAsia="Times New Roman" w:hAnsi="Times New Roman" w:cs="Times New Roman"/>
                <w:sz w:val="20"/>
                <w:szCs w:val="20"/>
              </w:rPr>
              <w:t>3</w:t>
            </w:r>
          </w:p>
        </w:tc>
        <w:tc>
          <w:tcPr>
            <w:tcW w:w="866" w:type="dxa"/>
            <w:tcBorders>
              <w:top w:val="nil"/>
              <w:left w:val="nil"/>
              <w:bottom w:val="single" w:sz="4" w:space="0" w:color="auto"/>
              <w:right w:val="single" w:sz="4" w:space="0" w:color="auto"/>
            </w:tcBorders>
            <w:shd w:val="clear" w:color="auto" w:fill="auto"/>
            <w:noWrap/>
            <w:vAlign w:val="bottom"/>
            <w:hideMark/>
          </w:tcPr>
          <w:p w14:paraId="5ECF2D28" w14:textId="36444BC2"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r w:rsidRPr="001740ED">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auto" w:fill="auto"/>
            <w:noWrap/>
            <w:vAlign w:val="bottom"/>
            <w:hideMark/>
          </w:tcPr>
          <w:p w14:paraId="4D042D79" w14:textId="3A39557C"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243,</w:t>
            </w:r>
            <w:r w:rsidR="007550A7" w:rsidRPr="001740ED">
              <w:rPr>
                <w:rFonts w:ascii="Times New Roman" w:eastAsia="Times New Roman" w:hAnsi="Times New Roman" w:cs="Times New Roman"/>
                <w:sz w:val="20"/>
                <w:szCs w:val="20"/>
              </w:rPr>
              <w:t>6</w:t>
            </w:r>
          </w:p>
        </w:tc>
      </w:tr>
      <w:tr w:rsidR="007550A7" w:rsidRPr="001740ED" w14:paraId="1DD56B33" w14:textId="77777777" w:rsidTr="007550A7">
        <w:trPr>
          <w:trHeight w:val="300"/>
        </w:trPr>
        <w:tc>
          <w:tcPr>
            <w:tcW w:w="1117" w:type="dxa"/>
            <w:tcBorders>
              <w:top w:val="nil"/>
              <w:left w:val="nil"/>
              <w:bottom w:val="nil"/>
              <w:right w:val="nil"/>
            </w:tcBorders>
            <w:shd w:val="clear" w:color="auto" w:fill="auto"/>
            <w:noWrap/>
            <w:vAlign w:val="center"/>
            <w:hideMark/>
          </w:tcPr>
          <w:p w14:paraId="3125F127"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15.2</w:t>
            </w:r>
          </w:p>
        </w:tc>
        <w:tc>
          <w:tcPr>
            <w:tcW w:w="5262" w:type="dxa"/>
            <w:tcBorders>
              <w:top w:val="nil"/>
              <w:left w:val="single" w:sz="4" w:space="0" w:color="auto"/>
              <w:bottom w:val="single" w:sz="4" w:space="0" w:color="auto"/>
              <w:right w:val="single" w:sz="4" w:space="0" w:color="auto"/>
            </w:tcBorders>
            <w:shd w:val="clear" w:color="auto" w:fill="auto"/>
            <w:noWrap/>
            <w:vAlign w:val="bottom"/>
            <w:hideMark/>
          </w:tcPr>
          <w:p w14:paraId="17A11FEA" w14:textId="77777777" w:rsidR="007550A7" w:rsidRPr="001740ED" w:rsidRDefault="007550A7" w:rsidP="00C25AA0">
            <w:pPr>
              <w:ind w:firstLineChars="200" w:firstLine="400"/>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atmaksājamā daļa</w:t>
            </w:r>
          </w:p>
        </w:tc>
        <w:tc>
          <w:tcPr>
            <w:tcW w:w="992" w:type="dxa"/>
            <w:tcBorders>
              <w:top w:val="nil"/>
              <w:left w:val="nil"/>
              <w:bottom w:val="single" w:sz="4" w:space="0" w:color="auto"/>
              <w:right w:val="single" w:sz="4" w:space="0" w:color="auto"/>
            </w:tcBorders>
            <w:shd w:val="clear" w:color="auto" w:fill="auto"/>
            <w:noWrap/>
            <w:vAlign w:val="bottom"/>
            <w:hideMark/>
          </w:tcPr>
          <w:p w14:paraId="1B521712" w14:textId="61490758"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1253,</w:t>
            </w:r>
            <w:r w:rsidRPr="001740ED">
              <w:rPr>
                <w:rFonts w:ascii="Times New Roman" w:eastAsia="Times New Roman" w:hAnsi="Times New Roman" w:cs="Times New Roman"/>
                <w:sz w:val="20"/>
                <w:szCs w:val="20"/>
              </w:rPr>
              <w:t>6</w:t>
            </w:r>
          </w:p>
        </w:tc>
        <w:tc>
          <w:tcPr>
            <w:tcW w:w="866" w:type="dxa"/>
            <w:tcBorders>
              <w:top w:val="nil"/>
              <w:left w:val="nil"/>
              <w:bottom w:val="single" w:sz="4" w:space="0" w:color="auto"/>
              <w:right w:val="single" w:sz="4" w:space="0" w:color="auto"/>
            </w:tcBorders>
            <w:shd w:val="clear" w:color="auto" w:fill="auto"/>
            <w:noWrap/>
            <w:vAlign w:val="bottom"/>
            <w:hideMark/>
          </w:tcPr>
          <w:p w14:paraId="374BD6D2" w14:textId="59D66A06"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1355,</w:t>
            </w:r>
            <w:r w:rsidRPr="001740ED">
              <w:rPr>
                <w:rFonts w:ascii="Times New Roman" w:eastAsia="Times New Roman" w:hAnsi="Times New Roman" w:cs="Times New Roman"/>
                <w:sz w:val="20"/>
                <w:szCs w:val="20"/>
              </w:rPr>
              <w:t>8</w:t>
            </w:r>
          </w:p>
        </w:tc>
        <w:tc>
          <w:tcPr>
            <w:tcW w:w="866" w:type="dxa"/>
            <w:tcBorders>
              <w:top w:val="nil"/>
              <w:left w:val="nil"/>
              <w:bottom w:val="single" w:sz="4" w:space="0" w:color="auto"/>
              <w:right w:val="single" w:sz="4" w:space="0" w:color="auto"/>
            </w:tcBorders>
            <w:shd w:val="clear" w:color="auto" w:fill="auto"/>
            <w:noWrap/>
            <w:vAlign w:val="bottom"/>
            <w:hideMark/>
          </w:tcPr>
          <w:p w14:paraId="737D027D" w14:textId="70DFCF19"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1470,</w:t>
            </w:r>
            <w:r w:rsidR="007550A7" w:rsidRPr="001740ED">
              <w:rPr>
                <w:rFonts w:ascii="Times New Roman" w:eastAsia="Times New Roman" w:hAnsi="Times New Roman" w:cs="Times New Roman"/>
                <w:sz w:val="20"/>
                <w:szCs w:val="20"/>
              </w:rPr>
              <w:t>7</w:t>
            </w:r>
          </w:p>
        </w:tc>
      </w:tr>
      <w:tr w:rsidR="007550A7" w:rsidRPr="001740ED" w14:paraId="6787BF2E" w14:textId="77777777" w:rsidTr="007550A7">
        <w:trPr>
          <w:trHeight w:val="300"/>
        </w:trPr>
        <w:tc>
          <w:tcPr>
            <w:tcW w:w="1117" w:type="dxa"/>
            <w:tcBorders>
              <w:top w:val="nil"/>
              <w:left w:val="nil"/>
              <w:bottom w:val="nil"/>
              <w:right w:val="nil"/>
            </w:tcBorders>
            <w:shd w:val="clear" w:color="auto" w:fill="auto"/>
            <w:noWrap/>
            <w:vAlign w:val="center"/>
            <w:hideMark/>
          </w:tcPr>
          <w:p w14:paraId="1F7E4BB0"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16</w:t>
            </w:r>
          </w:p>
        </w:tc>
        <w:tc>
          <w:tcPr>
            <w:tcW w:w="5262" w:type="dxa"/>
            <w:tcBorders>
              <w:top w:val="nil"/>
              <w:left w:val="single" w:sz="4" w:space="0" w:color="auto"/>
              <w:bottom w:val="single" w:sz="4" w:space="0" w:color="auto"/>
              <w:right w:val="single" w:sz="4" w:space="0" w:color="auto"/>
            </w:tcBorders>
            <w:shd w:val="clear" w:color="auto" w:fill="auto"/>
            <w:noWrap/>
            <w:vAlign w:val="bottom"/>
            <w:hideMark/>
          </w:tcPr>
          <w:p w14:paraId="4B2A4F57" w14:textId="77777777" w:rsidR="007550A7" w:rsidRPr="001740ED" w:rsidRDefault="007550A7" w:rsidP="00C25AA0">
            <w:pPr>
              <w:ind w:firstLineChars="100" w:firstLine="200"/>
              <w:rPr>
                <w:rFonts w:ascii="Times New Roman" w:eastAsia="Times New Roman" w:hAnsi="Times New Roman" w:cs="Times New Roman"/>
                <w:sz w:val="20"/>
                <w:szCs w:val="20"/>
              </w:rPr>
            </w:pPr>
            <w:r w:rsidRPr="001740ED">
              <w:rPr>
                <w:rFonts w:ascii="Times New Roman" w:eastAsia="Times New Roman" w:hAnsi="Times New Roman" w:cs="Times New Roman"/>
                <w:sz w:val="20"/>
                <w:szCs w:val="20"/>
              </w:rPr>
              <w:t>Valsts parāda apkalpošanas izdevumi</w:t>
            </w:r>
          </w:p>
        </w:tc>
        <w:tc>
          <w:tcPr>
            <w:tcW w:w="992" w:type="dxa"/>
            <w:tcBorders>
              <w:top w:val="nil"/>
              <w:left w:val="nil"/>
              <w:bottom w:val="single" w:sz="4" w:space="0" w:color="auto"/>
              <w:right w:val="single" w:sz="4" w:space="0" w:color="auto"/>
            </w:tcBorders>
            <w:shd w:val="clear" w:color="auto" w:fill="auto"/>
            <w:noWrap/>
            <w:vAlign w:val="bottom"/>
            <w:hideMark/>
          </w:tcPr>
          <w:p w14:paraId="3132A37C" w14:textId="2E798A7A"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232,</w:t>
            </w:r>
            <w:r w:rsidRPr="001740ED">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auto" w:fill="auto"/>
            <w:noWrap/>
            <w:vAlign w:val="bottom"/>
            <w:hideMark/>
          </w:tcPr>
          <w:p w14:paraId="7EB68E94" w14:textId="627EFA10"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r w:rsidR="007550A7"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auto" w:fill="auto"/>
            <w:noWrap/>
            <w:vAlign w:val="bottom"/>
            <w:hideMark/>
          </w:tcPr>
          <w:p w14:paraId="3C88CF5C" w14:textId="59B10A56"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r w:rsidR="007550A7" w:rsidRPr="001740ED">
              <w:rPr>
                <w:rFonts w:ascii="Times New Roman" w:eastAsia="Times New Roman" w:hAnsi="Times New Roman" w:cs="Times New Roman"/>
                <w:sz w:val="20"/>
                <w:szCs w:val="20"/>
              </w:rPr>
              <w:t>9</w:t>
            </w:r>
          </w:p>
        </w:tc>
      </w:tr>
      <w:tr w:rsidR="007550A7" w:rsidRPr="001740ED" w14:paraId="46053537" w14:textId="77777777" w:rsidTr="007550A7">
        <w:trPr>
          <w:trHeight w:val="300"/>
        </w:trPr>
        <w:tc>
          <w:tcPr>
            <w:tcW w:w="1117" w:type="dxa"/>
            <w:tcBorders>
              <w:top w:val="nil"/>
              <w:left w:val="nil"/>
              <w:bottom w:val="nil"/>
              <w:right w:val="nil"/>
            </w:tcBorders>
            <w:shd w:val="clear" w:color="auto" w:fill="auto"/>
            <w:noWrap/>
            <w:vAlign w:val="center"/>
            <w:hideMark/>
          </w:tcPr>
          <w:p w14:paraId="5DBE41D8"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17=13+14</w:t>
            </w:r>
          </w:p>
        </w:tc>
        <w:tc>
          <w:tcPr>
            <w:tcW w:w="5262" w:type="dxa"/>
            <w:tcBorders>
              <w:top w:val="nil"/>
              <w:left w:val="single" w:sz="4" w:space="0" w:color="auto"/>
              <w:bottom w:val="single" w:sz="4" w:space="0" w:color="auto"/>
              <w:right w:val="single" w:sz="4" w:space="0" w:color="auto"/>
            </w:tcBorders>
            <w:shd w:val="clear" w:color="000000" w:fill="DCE6F1"/>
            <w:noWrap/>
            <w:vAlign w:val="bottom"/>
            <w:hideMark/>
          </w:tcPr>
          <w:p w14:paraId="66F0D827"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Valsts budžeta izdevumi, milj. </w:t>
            </w:r>
            <w:r w:rsidRPr="001740ED">
              <w:rPr>
                <w:rFonts w:ascii="Times New Roman" w:eastAsia="Times New Roman" w:hAnsi="Times New Roman" w:cs="Times New Roman"/>
                <w:i/>
                <w:iCs/>
                <w:color w:val="000000"/>
                <w:sz w:val="20"/>
                <w:szCs w:val="20"/>
              </w:rPr>
              <w:t>euro</w:t>
            </w:r>
            <w:r w:rsidRPr="001740ED">
              <w:rPr>
                <w:rFonts w:ascii="Times New Roman" w:eastAsia="Times New Roman" w:hAnsi="Times New Roman" w:cs="Times New Roman"/>
                <w:color w:val="000000"/>
                <w:sz w:val="20"/>
                <w:szCs w:val="20"/>
              </w:rPr>
              <w:t xml:space="preserve"> - top-down</w:t>
            </w:r>
          </w:p>
        </w:tc>
        <w:tc>
          <w:tcPr>
            <w:tcW w:w="992" w:type="dxa"/>
            <w:tcBorders>
              <w:top w:val="nil"/>
              <w:left w:val="nil"/>
              <w:bottom w:val="single" w:sz="4" w:space="0" w:color="auto"/>
              <w:right w:val="single" w:sz="4" w:space="0" w:color="auto"/>
            </w:tcBorders>
            <w:shd w:val="clear" w:color="000000" w:fill="DCE6F1"/>
            <w:noWrap/>
            <w:vAlign w:val="bottom"/>
            <w:hideMark/>
          </w:tcPr>
          <w:p w14:paraId="40A14475" w14:textId="34FC0636"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10788,</w:t>
            </w:r>
            <w:r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000000" w:fill="DCE6F1"/>
            <w:noWrap/>
            <w:vAlign w:val="bottom"/>
            <w:hideMark/>
          </w:tcPr>
          <w:p w14:paraId="05CC12C0" w14:textId="18A6CD9C"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11079,</w:t>
            </w:r>
            <w:r w:rsidR="007550A7" w:rsidRPr="001740ED">
              <w:rPr>
                <w:rFonts w:ascii="Times New Roman" w:eastAsia="Times New Roman" w:hAnsi="Times New Roman" w:cs="Times New Roman"/>
                <w:sz w:val="20"/>
                <w:szCs w:val="20"/>
              </w:rPr>
              <w:t>7</w:t>
            </w:r>
          </w:p>
        </w:tc>
        <w:tc>
          <w:tcPr>
            <w:tcW w:w="866" w:type="dxa"/>
            <w:tcBorders>
              <w:top w:val="nil"/>
              <w:left w:val="nil"/>
              <w:bottom w:val="single" w:sz="4" w:space="0" w:color="auto"/>
              <w:right w:val="single" w:sz="4" w:space="0" w:color="auto"/>
            </w:tcBorders>
            <w:shd w:val="clear" w:color="000000" w:fill="DCE6F1"/>
            <w:noWrap/>
            <w:vAlign w:val="bottom"/>
            <w:hideMark/>
          </w:tcPr>
          <w:p w14:paraId="00F805DA" w14:textId="2F435E75"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11089,</w:t>
            </w:r>
            <w:r w:rsidR="007550A7" w:rsidRPr="001740ED">
              <w:rPr>
                <w:rFonts w:ascii="Times New Roman" w:eastAsia="Times New Roman" w:hAnsi="Times New Roman" w:cs="Times New Roman"/>
                <w:sz w:val="20"/>
                <w:szCs w:val="20"/>
              </w:rPr>
              <w:t>5</w:t>
            </w:r>
          </w:p>
        </w:tc>
      </w:tr>
      <w:tr w:rsidR="007550A7" w:rsidRPr="001740ED" w14:paraId="05D31CD3" w14:textId="77777777" w:rsidTr="007550A7">
        <w:trPr>
          <w:trHeight w:val="450"/>
        </w:trPr>
        <w:tc>
          <w:tcPr>
            <w:tcW w:w="1117" w:type="dxa"/>
            <w:tcBorders>
              <w:top w:val="nil"/>
              <w:left w:val="nil"/>
              <w:bottom w:val="nil"/>
              <w:right w:val="nil"/>
            </w:tcBorders>
            <w:shd w:val="clear" w:color="auto" w:fill="auto"/>
            <w:noWrap/>
            <w:vAlign w:val="center"/>
            <w:hideMark/>
          </w:tcPr>
          <w:p w14:paraId="50D76196"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18</w:t>
            </w:r>
          </w:p>
        </w:tc>
        <w:tc>
          <w:tcPr>
            <w:tcW w:w="5262" w:type="dxa"/>
            <w:tcBorders>
              <w:top w:val="nil"/>
              <w:left w:val="single" w:sz="4" w:space="0" w:color="auto"/>
              <w:bottom w:val="single" w:sz="4" w:space="0" w:color="auto"/>
              <w:right w:val="single" w:sz="4" w:space="0" w:color="auto"/>
            </w:tcBorders>
            <w:shd w:val="clear" w:color="000000" w:fill="DCE6F1"/>
            <w:noWrap/>
            <w:vAlign w:val="bottom"/>
            <w:hideMark/>
          </w:tcPr>
          <w:p w14:paraId="71C79E4B" w14:textId="77777777" w:rsidR="007550A7" w:rsidRPr="001740ED" w:rsidRDefault="007550A7" w:rsidP="00C25AA0">
            <w:pPr>
              <w:rPr>
                <w:rFonts w:ascii="Times New Roman" w:eastAsia="Times New Roman" w:hAnsi="Times New Roman" w:cs="Times New Roman"/>
                <w:color w:val="000000"/>
                <w:sz w:val="20"/>
                <w:szCs w:val="20"/>
              </w:rPr>
            </w:pPr>
            <w:r w:rsidRPr="001740ED">
              <w:rPr>
                <w:rFonts w:ascii="Times New Roman" w:eastAsia="Times New Roman" w:hAnsi="Times New Roman" w:cs="Times New Roman"/>
                <w:color w:val="000000"/>
                <w:sz w:val="20"/>
                <w:szCs w:val="20"/>
              </w:rPr>
              <w:t xml:space="preserve">Valsts budžeta izdevumi, milj. </w:t>
            </w:r>
            <w:r w:rsidRPr="001740ED">
              <w:rPr>
                <w:rFonts w:ascii="Times New Roman" w:eastAsia="Times New Roman" w:hAnsi="Times New Roman" w:cs="Times New Roman"/>
                <w:i/>
                <w:iCs/>
                <w:color w:val="000000"/>
                <w:sz w:val="20"/>
                <w:szCs w:val="20"/>
              </w:rPr>
              <w:t>euro</w:t>
            </w:r>
            <w:r w:rsidRPr="001740ED">
              <w:rPr>
                <w:rFonts w:ascii="Times New Roman" w:eastAsia="Times New Roman" w:hAnsi="Times New Roman" w:cs="Times New Roman"/>
                <w:color w:val="000000"/>
                <w:sz w:val="20"/>
                <w:szCs w:val="20"/>
              </w:rPr>
              <w:t xml:space="preserve"> - bottom-up</w:t>
            </w:r>
          </w:p>
        </w:tc>
        <w:tc>
          <w:tcPr>
            <w:tcW w:w="992" w:type="dxa"/>
            <w:tcBorders>
              <w:top w:val="nil"/>
              <w:left w:val="nil"/>
              <w:bottom w:val="single" w:sz="4" w:space="0" w:color="auto"/>
              <w:right w:val="single" w:sz="4" w:space="0" w:color="auto"/>
            </w:tcBorders>
            <w:shd w:val="clear" w:color="000000" w:fill="DCE6F1"/>
            <w:noWrap/>
            <w:vAlign w:val="bottom"/>
            <w:hideMark/>
          </w:tcPr>
          <w:p w14:paraId="1210852E" w14:textId="7E1AF07D" w:rsidR="007550A7" w:rsidRPr="001740ED" w:rsidRDefault="007550A7"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10758,</w:t>
            </w:r>
            <w:r w:rsidRPr="001740ED">
              <w:rPr>
                <w:rFonts w:ascii="Times New Roman" w:eastAsia="Times New Roman" w:hAnsi="Times New Roman" w:cs="Times New Roman"/>
                <w:sz w:val="20"/>
                <w:szCs w:val="20"/>
              </w:rPr>
              <w:t>9</w:t>
            </w:r>
          </w:p>
        </w:tc>
        <w:tc>
          <w:tcPr>
            <w:tcW w:w="866" w:type="dxa"/>
            <w:tcBorders>
              <w:top w:val="nil"/>
              <w:left w:val="nil"/>
              <w:bottom w:val="single" w:sz="4" w:space="0" w:color="auto"/>
              <w:right w:val="single" w:sz="4" w:space="0" w:color="auto"/>
            </w:tcBorders>
            <w:shd w:val="clear" w:color="000000" w:fill="DCE6F1"/>
            <w:noWrap/>
            <w:vAlign w:val="bottom"/>
            <w:hideMark/>
          </w:tcPr>
          <w:p w14:paraId="1ED1F8C6" w14:textId="75AD9353"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11048,</w:t>
            </w:r>
            <w:r w:rsidR="007550A7" w:rsidRPr="001740ED">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000000" w:fill="DCE6F1"/>
            <w:noWrap/>
            <w:vAlign w:val="bottom"/>
            <w:hideMark/>
          </w:tcPr>
          <w:p w14:paraId="78418D35" w14:textId="6112AA35" w:rsidR="007550A7" w:rsidRPr="001740ED" w:rsidRDefault="00116FC6" w:rsidP="00C25AA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10967,</w:t>
            </w:r>
            <w:r w:rsidR="007550A7" w:rsidRPr="001740ED">
              <w:rPr>
                <w:rFonts w:ascii="Times New Roman" w:eastAsia="Times New Roman" w:hAnsi="Times New Roman" w:cs="Times New Roman"/>
                <w:sz w:val="20"/>
                <w:szCs w:val="20"/>
              </w:rPr>
              <w:t>6</w:t>
            </w:r>
          </w:p>
        </w:tc>
      </w:tr>
      <w:tr w:rsidR="007550A7" w:rsidRPr="001740ED" w14:paraId="6265A435" w14:textId="77777777" w:rsidTr="007550A7">
        <w:trPr>
          <w:trHeight w:val="300"/>
        </w:trPr>
        <w:tc>
          <w:tcPr>
            <w:tcW w:w="1117" w:type="dxa"/>
            <w:tcBorders>
              <w:top w:val="nil"/>
              <w:left w:val="nil"/>
              <w:bottom w:val="nil"/>
              <w:right w:val="nil"/>
            </w:tcBorders>
            <w:shd w:val="clear" w:color="auto" w:fill="auto"/>
            <w:noWrap/>
            <w:vAlign w:val="center"/>
            <w:hideMark/>
          </w:tcPr>
          <w:p w14:paraId="0F0573CB" w14:textId="77777777" w:rsidR="007550A7" w:rsidRPr="001740ED" w:rsidRDefault="007550A7" w:rsidP="00C25AA0">
            <w:pPr>
              <w:jc w:val="right"/>
              <w:rPr>
                <w:rFonts w:ascii="Times New Roman" w:eastAsia="Times New Roman" w:hAnsi="Times New Roman" w:cs="Times New Roman"/>
                <w:color w:val="000000"/>
                <w:sz w:val="16"/>
                <w:szCs w:val="16"/>
              </w:rPr>
            </w:pPr>
            <w:r w:rsidRPr="001740ED">
              <w:rPr>
                <w:rFonts w:ascii="Times New Roman" w:eastAsia="Times New Roman" w:hAnsi="Times New Roman" w:cs="Times New Roman"/>
                <w:color w:val="000000"/>
                <w:sz w:val="16"/>
                <w:szCs w:val="16"/>
              </w:rPr>
              <w:t>19=17-18</w:t>
            </w:r>
          </w:p>
        </w:tc>
        <w:tc>
          <w:tcPr>
            <w:tcW w:w="5262" w:type="dxa"/>
            <w:tcBorders>
              <w:top w:val="nil"/>
              <w:left w:val="single" w:sz="4" w:space="0" w:color="auto"/>
              <w:bottom w:val="single" w:sz="4" w:space="0" w:color="auto"/>
              <w:right w:val="single" w:sz="4" w:space="0" w:color="auto"/>
            </w:tcBorders>
            <w:shd w:val="clear" w:color="auto" w:fill="auto"/>
            <w:noWrap/>
            <w:vAlign w:val="bottom"/>
            <w:hideMark/>
          </w:tcPr>
          <w:p w14:paraId="5F37DB81" w14:textId="77777777" w:rsidR="007550A7" w:rsidRPr="001740ED" w:rsidRDefault="007550A7" w:rsidP="00C25AA0">
            <w:pPr>
              <w:rPr>
                <w:rFonts w:ascii="Times New Roman" w:eastAsia="Times New Roman" w:hAnsi="Times New Roman" w:cs="Times New Roman"/>
                <w:b/>
                <w:bCs/>
                <w:i/>
                <w:iCs/>
                <w:color w:val="000000"/>
                <w:sz w:val="20"/>
                <w:szCs w:val="20"/>
              </w:rPr>
            </w:pPr>
            <w:r w:rsidRPr="001740ED">
              <w:rPr>
                <w:rFonts w:ascii="Times New Roman" w:eastAsia="Times New Roman" w:hAnsi="Times New Roman" w:cs="Times New Roman"/>
                <w:b/>
                <w:bCs/>
                <w:i/>
                <w:iCs/>
                <w:color w:val="000000"/>
                <w:sz w:val="20"/>
                <w:szCs w:val="20"/>
              </w:rPr>
              <w:t>Starpība</w:t>
            </w:r>
          </w:p>
        </w:tc>
        <w:tc>
          <w:tcPr>
            <w:tcW w:w="992" w:type="dxa"/>
            <w:tcBorders>
              <w:top w:val="nil"/>
              <w:left w:val="nil"/>
              <w:bottom w:val="single" w:sz="4" w:space="0" w:color="auto"/>
              <w:right w:val="single" w:sz="4" w:space="0" w:color="auto"/>
            </w:tcBorders>
            <w:shd w:val="clear" w:color="auto" w:fill="auto"/>
            <w:noWrap/>
            <w:vAlign w:val="bottom"/>
            <w:hideMark/>
          </w:tcPr>
          <w:p w14:paraId="7CECDCDE" w14:textId="03603450" w:rsidR="007550A7" w:rsidRPr="001740ED" w:rsidRDefault="007550A7" w:rsidP="00C25AA0">
            <w:pPr>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30,</w:t>
            </w:r>
            <w:r w:rsidRPr="001740ED">
              <w:rPr>
                <w:rFonts w:ascii="Times New Roman" w:eastAsia="Times New Roman" w:hAnsi="Times New Roman" w:cs="Times New Roman"/>
                <w:b/>
                <w:bCs/>
                <w:i/>
                <w:iCs/>
                <w:color w:val="000000"/>
                <w:sz w:val="20"/>
                <w:szCs w:val="20"/>
              </w:rPr>
              <w:t>0</w:t>
            </w:r>
          </w:p>
        </w:tc>
        <w:tc>
          <w:tcPr>
            <w:tcW w:w="866" w:type="dxa"/>
            <w:tcBorders>
              <w:top w:val="nil"/>
              <w:left w:val="nil"/>
              <w:bottom w:val="single" w:sz="4" w:space="0" w:color="auto"/>
              <w:right w:val="single" w:sz="4" w:space="0" w:color="auto"/>
            </w:tcBorders>
            <w:shd w:val="clear" w:color="auto" w:fill="auto"/>
            <w:noWrap/>
            <w:vAlign w:val="bottom"/>
            <w:hideMark/>
          </w:tcPr>
          <w:p w14:paraId="25E23E44" w14:textId="2224DA75" w:rsidR="007550A7" w:rsidRPr="001740ED" w:rsidRDefault="00116FC6" w:rsidP="00C25AA0">
            <w:pPr>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31,</w:t>
            </w:r>
            <w:r w:rsidR="007550A7" w:rsidRPr="001740ED">
              <w:rPr>
                <w:rFonts w:ascii="Times New Roman" w:eastAsia="Times New Roman" w:hAnsi="Times New Roman" w:cs="Times New Roman"/>
                <w:b/>
                <w:bCs/>
                <w:i/>
                <w:iCs/>
                <w:color w:val="000000"/>
                <w:sz w:val="20"/>
                <w:szCs w:val="20"/>
              </w:rPr>
              <w:t>6</w:t>
            </w:r>
          </w:p>
        </w:tc>
        <w:tc>
          <w:tcPr>
            <w:tcW w:w="866" w:type="dxa"/>
            <w:tcBorders>
              <w:top w:val="nil"/>
              <w:left w:val="nil"/>
              <w:bottom w:val="single" w:sz="4" w:space="0" w:color="auto"/>
              <w:right w:val="single" w:sz="4" w:space="0" w:color="auto"/>
            </w:tcBorders>
            <w:shd w:val="clear" w:color="auto" w:fill="auto"/>
            <w:noWrap/>
            <w:vAlign w:val="bottom"/>
            <w:hideMark/>
          </w:tcPr>
          <w:p w14:paraId="737B75DD" w14:textId="50435AB5" w:rsidR="007550A7" w:rsidRPr="001740ED" w:rsidRDefault="00116FC6" w:rsidP="00C25AA0">
            <w:pPr>
              <w:jc w:val="right"/>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121,</w:t>
            </w:r>
            <w:r w:rsidR="007550A7" w:rsidRPr="001740ED">
              <w:rPr>
                <w:rFonts w:ascii="Times New Roman" w:eastAsia="Times New Roman" w:hAnsi="Times New Roman" w:cs="Times New Roman"/>
                <w:b/>
                <w:bCs/>
                <w:i/>
                <w:iCs/>
                <w:color w:val="000000"/>
                <w:sz w:val="20"/>
                <w:szCs w:val="20"/>
              </w:rPr>
              <w:t>9</w:t>
            </w:r>
          </w:p>
        </w:tc>
      </w:tr>
    </w:tbl>
    <w:p w14:paraId="144FCE66" w14:textId="77777777" w:rsidR="00302FF6" w:rsidRPr="00C51225" w:rsidRDefault="00302FF6" w:rsidP="00401A5B">
      <w:pPr>
        <w:widowControl w:val="0"/>
        <w:jc w:val="center"/>
        <w:rPr>
          <w:rFonts w:ascii="Times New Roman" w:eastAsia="Times New Roman" w:hAnsi="Times New Roman" w:cs="Times New Roman"/>
          <w:b/>
          <w:sz w:val="24"/>
          <w:highlight w:val="yellow"/>
        </w:rPr>
      </w:pPr>
    </w:p>
    <w:p w14:paraId="54ADEB68" w14:textId="77777777" w:rsidR="003F3FCD" w:rsidRPr="00CA3224" w:rsidRDefault="000548A5" w:rsidP="00401A5B">
      <w:pPr>
        <w:widowControl w:val="0"/>
        <w:jc w:val="center"/>
        <w:rPr>
          <w:rFonts w:ascii="Times New Roman" w:eastAsia="Times New Roman" w:hAnsi="Times New Roman" w:cs="Times New Roman"/>
          <w:b/>
          <w:sz w:val="28"/>
        </w:rPr>
      </w:pPr>
      <w:r w:rsidRPr="00CA3224">
        <w:rPr>
          <w:rFonts w:ascii="Times New Roman" w:eastAsia="Times New Roman" w:hAnsi="Times New Roman" w:cs="Times New Roman"/>
          <w:b/>
          <w:sz w:val="28"/>
        </w:rPr>
        <w:t>Nepieciešamā informācija koriģēto maksimāli pieļaujamo valsts budžeta izdevumu precizēšanai budžeta izpildes laikā</w:t>
      </w:r>
    </w:p>
    <w:p w14:paraId="2F2CD225" w14:textId="77777777" w:rsidR="003F3FCD" w:rsidRPr="001F2FAC" w:rsidRDefault="003F3FCD" w:rsidP="00401A5B">
      <w:pPr>
        <w:widowControl w:val="0"/>
        <w:ind w:firstLine="709"/>
        <w:jc w:val="both"/>
        <w:rPr>
          <w:rFonts w:ascii="Times New Roman" w:eastAsia="Times New Roman" w:hAnsi="Times New Roman" w:cs="Times New Roman"/>
          <w:sz w:val="28"/>
          <w:highlight w:val="green"/>
        </w:rPr>
      </w:pPr>
    </w:p>
    <w:p w14:paraId="16EA76D1" w14:textId="0F9886CE" w:rsidR="00CA3224" w:rsidRPr="00CA3224" w:rsidRDefault="00CA3224" w:rsidP="00CA3224">
      <w:pPr>
        <w:widowControl w:val="0"/>
        <w:ind w:firstLine="709"/>
        <w:jc w:val="both"/>
        <w:rPr>
          <w:rFonts w:ascii="Calibri" w:eastAsia="Calibri" w:hAnsi="Calibri" w:cs="Calibri"/>
          <w:sz w:val="24"/>
        </w:rPr>
      </w:pPr>
      <w:r w:rsidRPr="00CA3224">
        <w:rPr>
          <w:rFonts w:ascii="Times New Roman" w:eastAsia="Times New Roman" w:hAnsi="Times New Roman" w:cs="Times New Roman"/>
          <w:sz w:val="28"/>
        </w:rPr>
        <w:t>FDL 5.panta pirmās daļas 1.punkts nosaka, ka koriģētos maksimāli pieļaujamos valsts budžeta izdevumus precizē, ja rodas izmaiņas valsts pamatbudžeta izdevumos sakarā ar aktuālākām valsts sociālo pabalstu un pensiju saņēmēju kontingenta prognozēm. Lai šo likuma normu varētu pielietot, ir nepieciešams fiksēt valsts sociālo pabalstu un pensiju saņēmēju kontingenta prognozes koriģēto maksimāli pieļaujamo valsts budžeta izdevumu aprēķināšanas brīdī, tātad prognozes, saskaņā ar kurām, ir izs</w:t>
      </w:r>
      <w:r>
        <w:rPr>
          <w:rFonts w:ascii="Times New Roman" w:eastAsia="Times New Roman" w:hAnsi="Times New Roman" w:cs="Times New Roman"/>
          <w:sz w:val="28"/>
        </w:rPr>
        <w:t>trādāts</w:t>
      </w:r>
      <w:r w:rsidRPr="00CA3224">
        <w:rPr>
          <w:rFonts w:ascii="Times New Roman" w:eastAsia="Times New Roman" w:hAnsi="Times New Roman" w:cs="Times New Roman"/>
          <w:sz w:val="28"/>
        </w:rPr>
        <w:t xml:space="preserve"> VTBIL 2021</w:t>
      </w:r>
      <w:r>
        <w:rPr>
          <w:rFonts w:ascii="Times New Roman" w:eastAsia="Times New Roman" w:hAnsi="Times New Roman" w:cs="Times New Roman"/>
          <w:sz w:val="28"/>
        </w:rPr>
        <w:t>., 2022. un 2023.gadam.</w:t>
      </w:r>
      <w:r w:rsidRPr="00CA3224">
        <w:rPr>
          <w:rFonts w:ascii="Times New Roman" w:eastAsia="Times New Roman" w:hAnsi="Times New Roman" w:cs="Times New Roman"/>
          <w:sz w:val="28"/>
        </w:rPr>
        <w:t xml:space="preserve"> Līdz ar to šo paskaidrojumu:</w:t>
      </w:r>
    </w:p>
    <w:p w14:paraId="3BDCFB14" w14:textId="204CEA9E" w:rsidR="00CA3224" w:rsidRPr="00CA3224" w:rsidRDefault="00B807E4" w:rsidP="00FB2B77">
      <w:pPr>
        <w:pStyle w:val="ListParagraph"/>
        <w:widowControl w:val="0"/>
        <w:numPr>
          <w:ilvl w:val="0"/>
          <w:numId w:val="15"/>
        </w:numPr>
        <w:tabs>
          <w:tab w:val="left" w:pos="720"/>
          <w:tab w:val="left" w:pos="851"/>
        </w:tabs>
        <w:jc w:val="both"/>
        <w:rPr>
          <w:rFonts w:ascii="Times New Roman" w:eastAsia="Times New Roman" w:hAnsi="Times New Roman" w:cs="Times New Roman"/>
          <w:sz w:val="28"/>
        </w:rPr>
      </w:pPr>
      <w:r>
        <w:rPr>
          <w:rFonts w:ascii="Times New Roman" w:eastAsia="Times New Roman" w:hAnsi="Times New Roman" w:cs="Times New Roman"/>
          <w:sz w:val="28"/>
        </w:rPr>
        <w:t>5</w:t>
      </w:r>
      <w:r w:rsidR="00CA3224" w:rsidRPr="00CA3224">
        <w:rPr>
          <w:rFonts w:ascii="Times New Roman" w:eastAsia="Times New Roman" w:hAnsi="Times New Roman" w:cs="Times New Roman"/>
          <w:sz w:val="28"/>
        </w:rPr>
        <w:t>.pielikumā ir sniegta informācija par no Aizsardzības ministrijas pamatbudžeta programmas “Militārpersonu pensiju fonds” izmaksājamo izdienas pensiju saņēmēju prognozēm;</w:t>
      </w:r>
    </w:p>
    <w:p w14:paraId="27990F3A" w14:textId="561584CF" w:rsidR="00CA3224" w:rsidRPr="00CA3224" w:rsidRDefault="00B807E4" w:rsidP="00FB2B77">
      <w:pPr>
        <w:pStyle w:val="ListParagraph"/>
        <w:widowControl w:val="0"/>
        <w:numPr>
          <w:ilvl w:val="0"/>
          <w:numId w:val="15"/>
        </w:numPr>
        <w:tabs>
          <w:tab w:val="left" w:pos="720"/>
          <w:tab w:val="left" w:pos="851"/>
        </w:tabs>
        <w:jc w:val="both"/>
        <w:rPr>
          <w:rFonts w:ascii="Times New Roman" w:eastAsia="Times New Roman" w:hAnsi="Times New Roman" w:cs="Times New Roman"/>
          <w:sz w:val="28"/>
        </w:rPr>
      </w:pPr>
      <w:r>
        <w:rPr>
          <w:rFonts w:ascii="Times New Roman" w:eastAsia="Times New Roman" w:hAnsi="Times New Roman" w:cs="Times New Roman"/>
          <w:sz w:val="28"/>
        </w:rPr>
        <w:t>6</w:t>
      </w:r>
      <w:r w:rsidR="00CA3224" w:rsidRPr="00CA3224">
        <w:rPr>
          <w:rFonts w:ascii="Times New Roman" w:eastAsia="Times New Roman" w:hAnsi="Times New Roman" w:cs="Times New Roman"/>
          <w:sz w:val="28"/>
        </w:rPr>
        <w:t xml:space="preserve">.pielikumā ir sniegta informācija par no </w:t>
      </w:r>
      <w:r>
        <w:rPr>
          <w:rFonts w:ascii="Times New Roman" w:eastAsia="Times New Roman" w:hAnsi="Times New Roman" w:cs="Times New Roman"/>
          <w:sz w:val="28"/>
        </w:rPr>
        <w:t>LM</w:t>
      </w:r>
      <w:r w:rsidR="00CA3224" w:rsidRPr="00CA3224">
        <w:rPr>
          <w:rFonts w:ascii="Times New Roman" w:eastAsia="Times New Roman" w:hAnsi="Times New Roman" w:cs="Times New Roman"/>
          <w:sz w:val="28"/>
        </w:rPr>
        <w:t xml:space="preserve"> pamatbudžeta izmaksājamo valsts sociālo pabalstu saņēmēju prognozēm; </w:t>
      </w:r>
    </w:p>
    <w:p w14:paraId="4E0FC3D5" w14:textId="77777777" w:rsidR="00B807E4" w:rsidRDefault="00B807E4" w:rsidP="00FB2B77">
      <w:pPr>
        <w:pStyle w:val="ListParagraph"/>
        <w:widowControl w:val="0"/>
        <w:numPr>
          <w:ilvl w:val="0"/>
          <w:numId w:val="15"/>
        </w:numPr>
        <w:tabs>
          <w:tab w:val="left" w:pos="720"/>
          <w:tab w:val="left" w:pos="851"/>
        </w:tabs>
        <w:jc w:val="both"/>
        <w:rPr>
          <w:rFonts w:ascii="Times New Roman" w:eastAsia="Times New Roman" w:hAnsi="Times New Roman" w:cs="Times New Roman"/>
          <w:sz w:val="28"/>
        </w:rPr>
      </w:pPr>
      <w:r>
        <w:rPr>
          <w:rFonts w:ascii="Times New Roman" w:eastAsia="Times New Roman" w:hAnsi="Times New Roman" w:cs="Times New Roman"/>
          <w:sz w:val="28"/>
        </w:rPr>
        <w:t>7</w:t>
      </w:r>
      <w:r w:rsidR="00CA3224" w:rsidRPr="00CA3224">
        <w:rPr>
          <w:rFonts w:ascii="Times New Roman" w:eastAsia="Times New Roman" w:hAnsi="Times New Roman" w:cs="Times New Roman"/>
          <w:sz w:val="28"/>
        </w:rPr>
        <w:t xml:space="preserve">.pielikumā ir sniegta informācija par no </w:t>
      </w:r>
      <w:r>
        <w:rPr>
          <w:rFonts w:ascii="Times New Roman" w:eastAsia="Times New Roman" w:hAnsi="Times New Roman" w:cs="Times New Roman"/>
          <w:sz w:val="28"/>
        </w:rPr>
        <w:t>LM</w:t>
      </w:r>
      <w:r w:rsidR="00CA3224" w:rsidRPr="00CA3224">
        <w:rPr>
          <w:rFonts w:ascii="Times New Roman" w:eastAsia="Times New Roman" w:hAnsi="Times New Roman" w:cs="Times New Roman"/>
          <w:sz w:val="28"/>
        </w:rPr>
        <w:t xml:space="preserve"> pamatbudžeta izmaksājamo izdi</w:t>
      </w:r>
      <w:r>
        <w:rPr>
          <w:rFonts w:ascii="Times New Roman" w:eastAsia="Times New Roman" w:hAnsi="Times New Roman" w:cs="Times New Roman"/>
          <w:sz w:val="28"/>
        </w:rPr>
        <w:t>enas pensiju saņēmēju prognozēm;</w:t>
      </w:r>
    </w:p>
    <w:p w14:paraId="03DB6D32" w14:textId="128E0E3B" w:rsidR="00B807E4" w:rsidRDefault="00CA3224" w:rsidP="00FB2B77">
      <w:pPr>
        <w:pStyle w:val="ListParagraph"/>
        <w:widowControl w:val="0"/>
        <w:numPr>
          <w:ilvl w:val="0"/>
          <w:numId w:val="15"/>
        </w:numPr>
        <w:tabs>
          <w:tab w:val="left" w:pos="720"/>
          <w:tab w:val="left" w:pos="851"/>
        </w:tabs>
        <w:jc w:val="both"/>
        <w:rPr>
          <w:rFonts w:ascii="Times New Roman" w:eastAsia="Times New Roman" w:hAnsi="Times New Roman" w:cs="Times New Roman"/>
          <w:sz w:val="28"/>
        </w:rPr>
      </w:pPr>
      <w:r w:rsidRPr="00CA3224">
        <w:rPr>
          <w:rFonts w:ascii="Times New Roman" w:eastAsia="Times New Roman" w:hAnsi="Times New Roman" w:cs="Times New Roman"/>
          <w:sz w:val="28"/>
        </w:rPr>
        <w:t xml:space="preserve"> </w:t>
      </w:r>
      <w:r w:rsidR="009E5822">
        <w:rPr>
          <w:rFonts w:ascii="Times New Roman" w:eastAsia="Times New Roman" w:hAnsi="Times New Roman" w:cs="Times New Roman"/>
          <w:sz w:val="28"/>
        </w:rPr>
        <w:t>8.pielikumā ir sniegta informācija</w:t>
      </w:r>
      <w:r w:rsidR="009E5822" w:rsidRPr="00CA3224">
        <w:rPr>
          <w:rFonts w:ascii="Times New Roman" w:eastAsia="Times New Roman" w:hAnsi="Times New Roman" w:cs="Times New Roman"/>
          <w:sz w:val="28"/>
        </w:rPr>
        <w:t xml:space="preserve"> </w:t>
      </w:r>
      <w:r w:rsidR="009E5822">
        <w:rPr>
          <w:rFonts w:ascii="Times New Roman" w:eastAsia="Times New Roman" w:hAnsi="Times New Roman" w:cs="Times New Roman"/>
          <w:sz w:val="28"/>
        </w:rPr>
        <w:t xml:space="preserve">par </w:t>
      </w:r>
      <w:r w:rsidR="009E5822" w:rsidRPr="00CA3224">
        <w:rPr>
          <w:rFonts w:ascii="Times New Roman" w:eastAsia="Times New Roman" w:hAnsi="Times New Roman" w:cs="Times New Roman"/>
          <w:sz w:val="28"/>
        </w:rPr>
        <w:t xml:space="preserve">no </w:t>
      </w:r>
      <w:r w:rsidR="009E5822">
        <w:rPr>
          <w:rFonts w:ascii="Times New Roman" w:eastAsia="Times New Roman" w:hAnsi="Times New Roman" w:cs="Times New Roman"/>
          <w:sz w:val="28"/>
        </w:rPr>
        <w:t>LM pamatbudžeta</w:t>
      </w:r>
      <w:r w:rsidRPr="00CA3224">
        <w:rPr>
          <w:rFonts w:ascii="Times New Roman" w:eastAsia="Times New Roman" w:hAnsi="Times New Roman" w:cs="Times New Roman"/>
          <w:sz w:val="28"/>
        </w:rPr>
        <w:t xml:space="preserve"> izmaksājamo piemaksu pie</w:t>
      </w:r>
      <w:r w:rsidR="009E5822">
        <w:rPr>
          <w:rFonts w:ascii="Times New Roman" w:eastAsia="Times New Roman" w:hAnsi="Times New Roman" w:cs="Times New Roman"/>
          <w:sz w:val="28"/>
        </w:rPr>
        <w:t xml:space="preserve"> vecuma un invaliditātes pensijas saņēmēju prognozēm;</w:t>
      </w:r>
      <w:r w:rsidRPr="00CA3224">
        <w:rPr>
          <w:rFonts w:ascii="Times New Roman" w:eastAsia="Times New Roman" w:hAnsi="Times New Roman" w:cs="Times New Roman"/>
          <w:sz w:val="28"/>
        </w:rPr>
        <w:t xml:space="preserve"> </w:t>
      </w:r>
    </w:p>
    <w:p w14:paraId="35E9D932" w14:textId="493261C2" w:rsidR="00CA3224" w:rsidRPr="00CA3224" w:rsidRDefault="009E5822" w:rsidP="00FB2B77">
      <w:pPr>
        <w:pStyle w:val="ListParagraph"/>
        <w:widowControl w:val="0"/>
        <w:numPr>
          <w:ilvl w:val="0"/>
          <w:numId w:val="15"/>
        </w:numPr>
        <w:tabs>
          <w:tab w:val="left" w:pos="720"/>
          <w:tab w:val="left" w:pos="851"/>
        </w:tabs>
        <w:jc w:val="both"/>
        <w:rPr>
          <w:rFonts w:ascii="Times New Roman" w:eastAsia="Times New Roman" w:hAnsi="Times New Roman" w:cs="Times New Roman"/>
          <w:sz w:val="28"/>
        </w:rPr>
      </w:pPr>
      <w:r>
        <w:rPr>
          <w:rFonts w:ascii="Times New Roman" w:eastAsia="Times New Roman" w:hAnsi="Times New Roman" w:cs="Times New Roman"/>
          <w:sz w:val="28"/>
        </w:rPr>
        <w:t>9.pielikumā ir sniegta informācija</w:t>
      </w:r>
      <w:r w:rsidRPr="00CA3224">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par </w:t>
      </w:r>
      <w:r w:rsidRPr="00CA3224">
        <w:rPr>
          <w:rFonts w:ascii="Times New Roman" w:eastAsia="Times New Roman" w:hAnsi="Times New Roman" w:cs="Times New Roman"/>
          <w:sz w:val="28"/>
        </w:rPr>
        <w:t xml:space="preserve">no </w:t>
      </w:r>
      <w:r>
        <w:rPr>
          <w:rFonts w:ascii="Times New Roman" w:eastAsia="Times New Roman" w:hAnsi="Times New Roman" w:cs="Times New Roman"/>
          <w:sz w:val="28"/>
        </w:rPr>
        <w:t>LM pamatbudžeta</w:t>
      </w:r>
      <w:r w:rsidRPr="00CA3224">
        <w:rPr>
          <w:rFonts w:ascii="Times New Roman" w:eastAsia="Times New Roman" w:hAnsi="Times New Roman" w:cs="Times New Roman"/>
          <w:sz w:val="28"/>
        </w:rPr>
        <w:t xml:space="preserve"> izmaksājamo</w:t>
      </w:r>
      <w:r w:rsidR="00CA3224" w:rsidRPr="00CA3224">
        <w:rPr>
          <w:rFonts w:ascii="Times New Roman" w:eastAsia="Times New Roman" w:hAnsi="Times New Roman" w:cs="Times New Roman"/>
          <w:sz w:val="28"/>
        </w:rPr>
        <w:t xml:space="preserve"> bēgļa un alternatīvo statusu ieguvušo personu pabalstu saņēmēju prognozēm.</w:t>
      </w:r>
    </w:p>
    <w:p w14:paraId="42C51713" w14:textId="6E0E8147" w:rsidR="00BA3601" w:rsidRPr="00BA778A" w:rsidRDefault="00CA3224" w:rsidP="00BA778A">
      <w:pPr>
        <w:widowControl w:val="0"/>
        <w:ind w:firstLine="709"/>
        <w:jc w:val="both"/>
        <w:rPr>
          <w:rFonts w:ascii="Times New Roman" w:eastAsia="Times New Roman" w:hAnsi="Times New Roman" w:cs="Times New Roman"/>
          <w:sz w:val="28"/>
        </w:rPr>
      </w:pPr>
      <w:r w:rsidRPr="00CA3224">
        <w:rPr>
          <w:rFonts w:ascii="Times New Roman" w:eastAsia="Times New Roman" w:hAnsi="Times New Roman" w:cs="Times New Roman"/>
          <w:sz w:val="28"/>
        </w:rPr>
        <w:t>FDL 5.panta pirmās daļas 2.punkts nosaka, ka koriģētos maksimāli pieļaujamos valsts budžeta izdevumus precizē, ja rodas izmaiņas valsts speciālā budžeta izdevumos sakarā ar aktuālākām sociālās apdrošināšanas pakalpojumu saņēmēju kontingenta, kā arī pensiju un pabalstu vidējā apmēra prognozēm. Lai šo likuma normu varētu pielietot, ir nepieciešams fiksēt sociālās apdrošināšanas pakalpojumu saņēmēju kontingenta, kā arī pensiju un pabalstu vidējā apmēra prognozes koriģēto maksimāli pieļaujamo valsts budžeta izdevumu aprēķināšanas brīdī, tātad prognozes, saskaņā ar kur</w:t>
      </w:r>
      <w:r w:rsidR="009E5822">
        <w:rPr>
          <w:rFonts w:ascii="Times New Roman" w:eastAsia="Times New Roman" w:hAnsi="Times New Roman" w:cs="Times New Roman"/>
          <w:sz w:val="28"/>
        </w:rPr>
        <w:t>ām ir izstrādāts VTBIL 2021., 2022. un 2023.gadam projekts. Šī informācija ir sniegta 10</w:t>
      </w:r>
      <w:r w:rsidRPr="00CA3224">
        <w:rPr>
          <w:rFonts w:ascii="Times New Roman" w:eastAsia="Times New Roman" w:hAnsi="Times New Roman" w:cs="Times New Roman"/>
          <w:sz w:val="28"/>
        </w:rPr>
        <w:t xml:space="preserve">.pielikumā. </w:t>
      </w:r>
    </w:p>
    <w:p w14:paraId="1E1300C8" w14:textId="2704E298" w:rsidR="003F3FCD" w:rsidRPr="009E5822" w:rsidRDefault="00D57DD6" w:rsidP="005D361F">
      <w:pPr>
        <w:pStyle w:val="Heading3"/>
      </w:pPr>
      <w:bookmarkStart w:id="50" w:name="_Toc53154102"/>
      <w:r w:rsidRPr="009E5822">
        <w:t>2.1.3</w:t>
      </w:r>
      <w:r w:rsidR="00E8646E" w:rsidRPr="009E5822">
        <w:t xml:space="preserve">. </w:t>
      </w:r>
      <w:r w:rsidR="000548A5" w:rsidRPr="009E5822">
        <w:t>Uzkrāto bilanču starpības</w:t>
      </w:r>
      <w:bookmarkEnd w:id="50"/>
    </w:p>
    <w:p w14:paraId="5A11BA11" w14:textId="77777777" w:rsidR="003F3FCD" w:rsidRPr="003075A7" w:rsidRDefault="003F3FCD" w:rsidP="00401A5B">
      <w:pPr>
        <w:widowControl w:val="0"/>
        <w:jc w:val="both"/>
        <w:rPr>
          <w:rFonts w:ascii="Times New Roman" w:eastAsia="Times New Roman" w:hAnsi="Times New Roman" w:cs="Times New Roman"/>
          <w:color w:val="000000"/>
          <w:sz w:val="28"/>
          <w:highlight w:val="green"/>
        </w:rPr>
      </w:pPr>
    </w:p>
    <w:p w14:paraId="7C885FDB" w14:textId="77777777" w:rsidR="009E5822" w:rsidRPr="009E5822" w:rsidRDefault="009E5822" w:rsidP="009E5822">
      <w:pPr>
        <w:widowControl w:val="0"/>
        <w:ind w:firstLine="720"/>
        <w:jc w:val="both"/>
        <w:rPr>
          <w:rFonts w:ascii="Times New Roman" w:eastAsia="Times New Roman" w:hAnsi="Times New Roman" w:cs="Times New Roman"/>
          <w:color w:val="000000"/>
          <w:sz w:val="28"/>
          <w:szCs w:val="20"/>
        </w:rPr>
      </w:pPr>
      <w:r w:rsidRPr="009E5822">
        <w:rPr>
          <w:rFonts w:ascii="Times New Roman" w:eastAsia="Times New Roman" w:hAnsi="Times New Roman" w:cs="Times New Roman"/>
          <w:color w:val="000000"/>
          <w:sz w:val="28"/>
          <w:szCs w:val="20"/>
        </w:rPr>
        <w:t xml:space="preserve">FDL 11. pants nosaka automātisko </w:t>
      </w:r>
      <w:r w:rsidRPr="009E5822">
        <w:rPr>
          <w:rFonts w:ascii="Times New Roman" w:eastAsia="Times New Roman" w:hAnsi="Times New Roman" w:cs="Times New Roman"/>
          <w:i/>
          <w:color w:val="000000"/>
          <w:sz w:val="28"/>
          <w:szCs w:val="20"/>
        </w:rPr>
        <w:t>ex-post</w:t>
      </w:r>
      <w:r w:rsidRPr="009E5822">
        <w:rPr>
          <w:rFonts w:ascii="Times New Roman" w:eastAsia="Times New Roman" w:hAnsi="Times New Roman" w:cs="Times New Roman"/>
          <w:color w:val="000000"/>
          <w:sz w:val="28"/>
          <w:szCs w:val="20"/>
        </w:rPr>
        <w:t xml:space="preserve"> korekcijas mehānismu, t.i. minimālās plānojamās vispārējās valdības budžeta strukturālās bilances koriģēšanu, lai nodrošinātu to, ka iepriekšējo gadu faktiskās novirzes no bilances nosacījuma (FDL 10. pants) neietekmē budžeta sabalansētību. Ja budžeta izpildes gaitā tiek konstatēts, ka uzkrātā faktisko strukturālo bilanču novirze no plānoto bilanču apmēra ir pasliktinājusies par vismaz 0,5% no IKP, nākamā VTBIL trešajā gadā vispārējās valdības budžeta strukturālās bilances mērķi nosaka par 0,5% no IKP lielāku. Lai novērtētu uzkrāto bilanču starpību, tika veikti aprēķini, kas attēloti 2.5. tabulā.</w:t>
      </w:r>
    </w:p>
    <w:p w14:paraId="1F85FD85" w14:textId="24E7D9B1" w:rsidR="009E5822" w:rsidRPr="009E5822" w:rsidRDefault="009E5822" w:rsidP="009E5822">
      <w:pPr>
        <w:widowControl w:val="0"/>
        <w:jc w:val="right"/>
        <w:rPr>
          <w:rFonts w:ascii="Times New Roman" w:eastAsia="Times New Roman" w:hAnsi="Times New Roman" w:cs="Times New Roman"/>
          <w:b/>
          <w:i/>
          <w:color w:val="000000"/>
          <w:sz w:val="24"/>
          <w:szCs w:val="20"/>
        </w:rPr>
      </w:pPr>
      <w:r w:rsidRPr="009E5822">
        <w:rPr>
          <w:rFonts w:ascii="Times New Roman" w:eastAsia="Times New Roman" w:hAnsi="Times New Roman" w:cs="Times New Roman"/>
          <w:b/>
          <w:i/>
          <w:color w:val="000000"/>
          <w:sz w:val="24"/>
          <w:szCs w:val="20"/>
        </w:rPr>
        <w:t>2.5.tabula. Uzkrāto bilanču starpības aprēķins</w:t>
      </w:r>
    </w:p>
    <w:tbl>
      <w:tblPr>
        <w:tblStyle w:val="TableGrid"/>
        <w:tblW w:w="9067" w:type="dxa"/>
        <w:tblLayout w:type="fixed"/>
        <w:tblLook w:val="04A0" w:firstRow="1" w:lastRow="0" w:firstColumn="1" w:lastColumn="0" w:noHBand="0" w:noVBand="1"/>
      </w:tblPr>
      <w:tblGrid>
        <w:gridCol w:w="1401"/>
        <w:gridCol w:w="1855"/>
        <w:gridCol w:w="850"/>
        <w:gridCol w:w="992"/>
        <w:gridCol w:w="993"/>
        <w:gridCol w:w="992"/>
        <w:gridCol w:w="992"/>
        <w:gridCol w:w="992"/>
      </w:tblGrid>
      <w:tr w:rsidR="009E5822" w:rsidRPr="009E5822" w14:paraId="70E1A933" w14:textId="77777777" w:rsidTr="00BA778A">
        <w:trPr>
          <w:trHeight w:val="315"/>
        </w:trPr>
        <w:tc>
          <w:tcPr>
            <w:tcW w:w="1401" w:type="dxa"/>
            <w:shd w:val="clear" w:color="auto" w:fill="DEEAF6" w:themeFill="accent1" w:themeFillTint="33"/>
            <w:hideMark/>
          </w:tcPr>
          <w:p w14:paraId="725B8A6A" w14:textId="77777777" w:rsidR="009E5822" w:rsidRPr="009E5822" w:rsidRDefault="009E5822" w:rsidP="00A575F0">
            <w:pPr>
              <w:widowControl w:val="0"/>
              <w:jc w:val="right"/>
              <w:rPr>
                <w:rFonts w:ascii="Times New Roman" w:eastAsia="Times New Roman" w:hAnsi="Times New Roman" w:cs="Times New Roman"/>
                <w:b/>
                <w:bCs/>
                <w:iCs/>
                <w:color w:val="000000"/>
                <w:sz w:val="20"/>
                <w:szCs w:val="20"/>
              </w:rPr>
            </w:pPr>
            <w:r w:rsidRPr="009E5822">
              <w:rPr>
                <w:rFonts w:ascii="Times New Roman" w:eastAsia="Times New Roman" w:hAnsi="Times New Roman" w:cs="Times New Roman"/>
                <w:b/>
                <w:bCs/>
                <w:iCs/>
                <w:color w:val="000000"/>
                <w:sz w:val="20"/>
                <w:szCs w:val="20"/>
              </w:rPr>
              <w:t> </w:t>
            </w:r>
          </w:p>
        </w:tc>
        <w:tc>
          <w:tcPr>
            <w:tcW w:w="1855" w:type="dxa"/>
            <w:shd w:val="clear" w:color="auto" w:fill="DEEAF6" w:themeFill="accent1" w:themeFillTint="33"/>
            <w:hideMark/>
          </w:tcPr>
          <w:p w14:paraId="3CDA0011" w14:textId="77777777" w:rsidR="009E5822" w:rsidRPr="009E5822" w:rsidRDefault="009E5822" w:rsidP="00A575F0">
            <w:pPr>
              <w:widowControl w:val="0"/>
              <w:jc w:val="right"/>
              <w:rPr>
                <w:rFonts w:ascii="Times New Roman" w:eastAsia="Times New Roman" w:hAnsi="Times New Roman" w:cs="Times New Roman"/>
                <w:b/>
                <w:color w:val="000000"/>
                <w:sz w:val="20"/>
                <w:szCs w:val="20"/>
              </w:rPr>
            </w:pPr>
            <w:r w:rsidRPr="009E5822">
              <w:rPr>
                <w:rFonts w:ascii="Times New Roman" w:eastAsia="Times New Roman" w:hAnsi="Times New Roman" w:cs="Times New Roman"/>
                <w:b/>
                <w:color w:val="000000"/>
                <w:sz w:val="20"/>
                <w:szCs w:val="20"/>
              </w:rPr>
              <w:t> </w:t>
            </w:r>
          </w:p>
        </w:tc>
        <w:tc>
          <w:tcPr>
            <w:tcW w:w="850" w:type="dxa"/>
            <w:shd w:val="clear" w:color="auto" w:fill="DEEAF6" w:themeFill="accent1" w:themeFillTint="33"/>
            <w:hideMark/>
          </w:tcPr>
          <w:p w14:paraId="124153E3" w14:textId="77777777" w:rsidR="009E5822" w:rsidRPr="009E5822" w:rsidRDefault="009E5822" w:rsidP="00A575F0">
            <w:pPr>
              <w:widowControl w:val="0"/>
              <w:jc w:val="right"/>
              <w:rPr>
                <w:rFonts w:ascii="Times New Roman" w:eastAsia="Times New Roman" w:hAnsi="Times New Roman" w:cs="Times New Roman"/>
                <w:b/>
                <w:bCs/>
                <w:color w:val="000000"/>
                <w:sz w:val="20"/>
                <w:szCs w:val="20"/>
              </w:rPr>
            </w:pPr>
            <w:r w:rsidRPr="009E5822">
              <w:rPr>
                <w:rFonts w:ascii="Times New Roman" w:eastAsia="Times New Roman" w:hAnsi="Times New Roman" w:cs="Times New Roman"/>
                <w:b/>
                <w:bCs/>
                <w:color w:val="000000"/>
                <w:sz w:val="20"/>
                <w:szCs w:val="20"/>
              </w:rPr>
              <w:t>2013</w:t>
            </w:r>
          </w:p>
        </w:tc>
        <w:tc>
          <w:tcPr>
            <w:tcW w:w="992" w:type="dxa"/>
            <w:shd w:val="clear" w:color="auto" w:fill="DEEAF6" w:themeFill="accent1" w:themeFillTint="33"/>
            <w:hideMark/>
          </w:tcPr>
          <w:p w14:paraId="6F3BD86B" w14:textId="77777777" w:rsidR="009E5822" w:rsidRPr="009E5822" w:rsidRDefault="009E5822" w:rsidP="00A575F0">
            <w:pPr>
              <w:widowControl w:val="0"/>
              <w:jc w:val="right"/>
              <w:rPr>
                <w:rFonts w:ascii="Times New Roman" w:eastAsia="Times New Roman" w:hAnsi="Times New Roman" w:cs="Times New Roman"/>
                <w:b/>
                <w:bCs/>
                <w:color w:val="000000"/>
                <w:sz w:val="20"/>
                <w:szCs w:val="20"/>
              </w:rPr>
            </w:pPr>
            <w:r w:rsidRPr="009E5822">
              <w:rPr>
                <w:rFonts w:ascii="Times New Roman" w:eastAsia="Times New Roman" w:hAnsi="Times New Roman" w:cs="Times New Roman"/>
                <w:b/>
                <w:bCs/>
                <w:color w:val="000000"/>
                <w:sz w:val="20"/>
                <w:szCs w:val="20"/>
              </w:rPr>
              <w:t>2014</w:t>
            </w:r>
          </w:p>
        </w:tc>
        <w:tc>
          <w:tcPr>
            <w:tcW w:w="993" w:type="dxa"/>
            <w:shd w:val="clear" w:color="auto" w:fill="DEEAF6" w:themeFill="accent1" w:themeFillTint="33"/>
            <w:hideMark/>
          </w:tcPr>
          <w:p w14:paraId="65EA8079" w14:textId="77777777" w:rsidR="009E5822" w:rsidRPr="009E5822" w:rsidRDefault="009E5822" w:rsidP="00A575F0">
            <w:pPr>
              <w:widowControl w:val="0"/>
              <w:jc w:val="right"/>
              <w:rPr>
                <w:rFonts w:ascii="Times New Roman" w:eastAsia="Times New Roman" w:hAnsi="Times New Roman" w:cs="Times New Roman"/>
                <w:b/>
                <w:bCs/>
                <w:color w:val="000000"/>
                <w:sz w:val="20"/>
                <w:szCs w:val="20"/>
              </w:rPr>
            </w:pPr>
            <w:r w:rsidRPr="009E5822">
              <w:rPr>
                <w:rFonts w:ascii="Times New Roman" w:eastAsia="Times New Roman" w:hAnsi="Times New Roman" w:cs="Times New Roman"/>
                <w:b/>
                <w:bCs/>
                <w:color w:val="000000"/>
                <w:sz w:val="20"/>
                <w:szCs w:val="20"/>
              </w:rPr>
              <w:t>2015</w:t>
            </w:r>
          </w:p>
        </w:tc>
        <w:tc>
          <w:tcPr>
            <w:tcW w:w="992" w:type="dxa"/>
            <w:shd w:val="clear" w:color="auto" w:fill="DEEAF6" w:themeFill="accent1" w:themeFillTint="33"/>
            <w:hideMark/>
          </w:tcPr>
          <w:p w14:paraId="704F88AE" w14:textId="77777777" w:rsidR="009E5822" w:rsidRPr="009E5822" w:rsidRDefault="009E5822" w:rsidP="00A575F0">
            <w:pPr>
              <w:widowControl w:val="0"/>
              <w:jc w:val="right"/>
              <w:rPr>
                <w:rFonts w:ascii="Times New Roman" w:eastAsia="Times New Roman" w:hAnsi="Times New Roman" w:cs="Times New Roman"/>
                <w:b/>
                <w:bCs/>
                <w:color w:val="000000"/>
                <w:sz w:val="20"/>
                <w:szCs w:val="20"/>
              </w:rPr>
            </w:pPr>
            <w:r w:rsidRPr="009E5822">
              <w:rPr>
                <w:rFonts w:ascii="Times New Roman" w:eastAsia="Times New Roman" w:hAnsi="Times New Roman" w:cs="Times New Roman"/>
                <w:b/>
                <w:bCs/>
                <w:color w:val="000000"/>
                <w:sz w:val="20"/>
                <w:szCs w:val="20"/>
              </w:rPr>
              <w:t>2016</w:t>
            </w:r>
          </w:p>
        </w:tc>
        <w:tc>
          <w:tcPr>
            <w:tcW w:w="992" w:type="dxa"/>
            <w:shd w:val="clear" w:color="auto" w:fill="DEEAF6" w:themeFill="accent1" w:themeFillTint="33"/>
            <w:hideMark/>
          </w:tcPr>
          <w:p w14:paraId="363B7C8A" w14:textId="77777777" w:rsidR="009E5822" w:rsidRPr="009E5822" w:rsidRDefault="009E5822" w:rsidP="00A575F0">
            <w:pPr>
              <w:widowControl w:val="0"/>
              <w:jc w:val="right"/>
              <w:rPr>
                <w:rFonts w:ascii="Times New Roman" w:eastAsia="Times New Roman" w:hAnsi="Times New Roman" w:cs="Times New Roman"/>
                <w:b/>
                <w:bCs/>
                <w:color w:val="000000"/>
                <w:sz w:val="20"/>
                <w:szCs w:val="20"/>
              </w:rPr>
            </w:pPr>
            <w:r w:rsidRPr="009E5822">
              <w:rPr>
                <w:rFonts w:ascii="Times New Roman" w:eastAsia="Times New Roman" w:hAnsi="Times New Roman" w:cs="Times New Roman"/>
                <w:b/>
                <w:bCs/>
                <w:color w:val="000000"/>
                <w:sz w:val="20"/>
                <w:szCs w:val="20"/>
              </w:rPr>
              <w:t>2017</w:t>
            </w:r>
          </w:p>
        </w:tc>
        <w:tc>
          <w:tcPr>
            <w:tcW w:w="992" w:type="dxa"/>
            <w:shd w:val="clear" w:color="auto" w:fill="DEEAF6" w:themeFill="accent1" w:themeFillTint="33"/>
            <w:hideMark/>
          </w:tcPr>
          <w:p w14:paraId="23258164" w14:textId="77777777" w:rsidR="009E5822" w:rsidRPr="009E5822" w:rsidRDefault="009E5822" w:rsidP="00A575F0">
            <w:pPr>
              <w:widowControl w:val="0"/>
              <w:jc w:val="right"/>
              <w:rPr>
                <w:rFonts w:ascii="Times New Roman" w:eastAsia="Times New Roman" w:hAnsi="Times New Roman" w:cs="Times New Roman"/>
                <w:b/>
                <w:bCs/>
                <w:color w:val="000000"/>
                <w:sz w:val="20"/>
                <w:szCs w:val="20"/>
              </w:rPr>
            </w:pPr>
            <w:r w:rsidRPr="009E5822">
              <w:rPr>
                <w:rFonts w:ascii="Times New Roman" w:eastAsia="Times New Roman" w:hAnsi="Times New Roman" w:cs="Times New Roman"/>
                <w:b/>
                <w:bCs/>
                <w:color w:val="000000"/>
                <w:sz w:val="20"/>
                <w:szCs w:val="20"/>
              </w:rPr>
              <w:t>2018</w:t>
            </w:r>
          </w:p>
        </w:tc>
      </w:tr>
      <w:tr w:rsidR="009E5822" w:rsidRPr="009E5822" w14:paraId="1EABD5DD" w14:textId="77777777" w:rsidTr="00BA778A">
        <w:trPr>
          <w:trHeight w:val="315"/>
        </w:trPr>
        <w:tc>
          <w:tcPr>
            <w:tcW w:w="1401" w:type="dxa"/>
            <w:hideMark/>
          </w:tcPr>
          <w:p w14:paraId="1C24FB7F"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1</w:t>
            </w:r>
          </w:p>
        </w:tc>
        <w:tc>
          <w:tcPr>
            <w:tcW w:w="1855" w:type="dxa"/>
            <w:hideMark/>
          </w:tcPr>
          <w:p w14:paraId="51D0F540"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xml:space="preserve">IKP (faktiskajās cenās), milj. </w:t>
            </w:r>
            <w:r w:rsidRPr="009E5822">
              <w:rPr>
                <w:rFonts w:ascii="Times New Roman" w:eastAsia="Times New Roman" w:hAnsi="Times New Roman" w:cs="Times New Roman"/>
                <w:i/>
                <w:iCs/>
                <w:color w:val="000000"/>
                <w:sz w:val="20"/>
                <w:szCs w:val="20"/>
              </w:rPr>
              <w:t>euro</w:t>
            </w:r>
          </w:p>
        </w:tc>
        <w:tc>
          <w:tcPr>
            <w:tcW w:w="850" w:type="dxa"/>
            <w:hideMark/>
          </w:tcPr>
          <w:p w14:paraId="585D8857" w14:textId="0E52D3A9"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22923,</w:t>
            </w:r>
            <w:r w:rsidR="009E5822" w:rsidRPr="009E5822">
              <w:rPr>
                <w:rFonts w:ascii="Times New Roman" w:eastAsia="Times New Roman" w:hAnsi="Times New Roman" w:cs="Times New Roman"/>
                <w:color w:val="000000"/>
                <w:sz w:val="20"/>
                <w:szCs w:val="20"/>
              </w:rPr>
              <w:t>7</w:t>
            </w:r>
          </w:p>
        </w:tc>
        <w:tc>
          <w:tcPr>
            <w:tcW w:w="992" w:type="dxa"/>
            <w:hideMark/>
          </w:tcPr>
          <w:p w14:paraId="1744679F" w14:textId="7274E933"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23613,</w:t>
            </w:r>
            <w:r w:rsidR="009E5822" w:rsidRPr="009E5822">
              <w:rPr>
                <w:rFonts w:ascii="Times New Roman" w:eastAsia="Times New Roman" w:hAnsi="Times New Roman" w:cs="Times New Roman"/>
                <w:color w:val="000000"/>
                <w:sz w:val="20"/>
                <w:szCs w:val="20"/>
              </w:rPr>
              <w:t>9</w:t>
            </w:r>
          </w:p>
        </w:tc>
        <w:tc>
          <w:tcPr>
            <w:tcW w:w="993" w:type="dxa"/>
            <w:hideMark/>
          </w:tcPr>
          <w:p w14:paraId="3647F576" w14:textId="4BF8A3C2"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24560,</w:t>
            </w:r>
            <w:r w:rsidR="009E5822" w:rsidRPr="009E5822">
              <w:rPr>
                <w:rFonts w:ascii="Times New Roman" w:eastAsia="Times New Roman" w:hAnsi="Times New Roman" w:cs="Times New Roman"/>
                <w:color w:val="000000"/>
                <w:sz w:val="20"/>
                <w:szCs w:val="20"/>
              </w:rPr>
              <w:t>9</w:t>
            </w:r>
          </w:p>
        </w:tc>
        <w:tc>
          <w:tcPr>
            <w:tcW w:w="992" w:type="dxa"/>
            <w:hideMark/>
          </w:tcPr>
          <w:p w14:paraId="01A07A46" w14:textId="2F7B6019"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25360,</w:t>
            </w:r>
            <w:r w:rsidR="009E5822" w:rsidRPr="009E5822">
              <w:rPr>
                <w:rFonts w:ascii="Times New Roman" w:eastAsia="Times New Roman" w:hAnsi="Times New Roman" w:cs="Times New Roman"/>
                <w:color w:val="000000"/>
                <w:sz w:val="20"/>
                <w:szCs w:val="20"/>
              </w:rPr>
              <w:t>3</w:t>
            </w:r>
          </w:p>
        </w:tc>
        <w:tc>
          <w:tcPr>
            <w:tcW w:w="992" w:type="dxa"/>
            <w:hideMark/>
          </w:tcPr>
          <w:p w14:paraId="047F9112" w14:textId="2F715EF2"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26962,</w:t>
            </w:r>
            <w:r w:rsidR="009E5822" w:rsidRPr="009E5822">
              <w:rPr>
                <w:rFonts w:ascii="Times New Roman" w:eastAsia="Times New Roman" w:hAnsi="Times New Roman" w:cs="Times New Roman"/>
                <w:color w:val="000000"/>
                <w:sz w:val="20"/>
                <w:szCs w:val="20"/>
              </w:rPr>
              <w:t>3</w:t>
            </w:r>
          </w:p>
        </w:tc>
        <w:tc>
          <w:tcPr>
            <w:tcW w:w="992" w:type="dxa"/>
            <w:hideMark/>
          </w:tcPr>
          <w:p w14:paraId="2CED1783" w14:textId="7D397B67"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29142,</w:t>
            </w:r>
            <w:r w:rsidR="009E5822" w:rsidRPr="009E5822">
              <w:rPr>
                <w:rFonts w:ascii="Times New Roman" w:eastAsia="Times New Roman" w:hAnsi="Times New Roman" w:cs="Times New Roman"/>
                <w:color w:val="000000"/>
                <w:sz w:val="20"/>
                <w:szCs w:val="20"/>
              </w:rPr>
              <w:t>5</w:t>
            </w:r>
          </w:p>
        </w:tc>
      </w:tr>
      <w:tr w:rsidR="009E5822" w:rsidRPr="009E5822" w14:paraId="3D4752E1" w14:textId="77777777" w:rsidTr="00BA778A">
        <w:trPr>
          <w:trHeight w:val="735"/>
        </w:trPr>
        <w:tc>
          <w:tcPr>
            <w:tcW w:w="1401" w:type="dxa"/>
            <w:hideMark/>
          </w:tcPr>
          <w:p w14:paraId="41384E99"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2</w:t>
            </w:r>
          </w:p>
        </w:tc>
        <w:tc>
          <w:tcPr>
            <w:tcW w:w="1855" w:type="dxa"/>
            <w:hideMark/>
          </w:tcPr>
          <w:p w14:paraId="282C1478"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Faktiskā vispārējās valdības budžeta strukturālā bilance, % no IKP</w:t>
            </w:r>
          </w:p>
        </w:tc>
        <w:tc>
          <w:tcPr>
            <w:tcW w:w="850" w:type="dxa"/>
            <w:hideMark/>
          </w:tcPr>
          <w:p w14:paraId="3E1A0953" w14:textId="65A8C3CD"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4</w:t>
            </w:r>
          </w:p>
        </w:tc>
        <w:tc>
          <w:tcPr>
            <w:tcW w:w="992" w:type="dxa"/>
            <w:hideMark/>
          </w:tcPr>
          <w:p w14:paraId="07E484CE" w14:textId="07BB84F6"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5</w:t>
            </w:r>
          </w:p>
        </w:tc>
        <w:tc>
          <w:tcPr>
            <w:tcW w:w="993" w:type="dxa"/>
            <w:hideMark/>
          </w:tcPr>
          <w:p w14:paraId="64C78988" w14:textId="4C401388"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8</w:t>
            </w:r>
          </w:p>
        </w:tc>
        <w:tc>
          <w:tcPr>
            <w:tcW w:w="992" w:type="dxa"/>
            <w:hideMark/>
          </w:tcPr>
          <w:p w14:paraId="55F4172C" w14:textId="035704A9"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3</w:t>
            </w:r>
          </w:p>
        </w:tc>
        <w:tc>
          <w:tcPr>
            <w:tcW w:w="992" w:type="dxa"/>
            <w:hideMark/>
          </w:tcPr>
          <w:p w14:paraId="1029DAFD" w14:textId="0E7CEAF0"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3</w:t>
            </w:r>
          </w:p>
        </w:tc>
        <w:tc>
          <w:tcPr>
            <w:tcW w:w="992" w:type="dxa"/>
            <w:hideMark/>
          </w:tcPr>
          <w:p w14:paraId="30C2D3E2" w14:textId="64C37916"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7</w:t>
            </w:r>
          </w:p>
        </w:tc>
      </w:tr>
      <w:tr w:rsidR="009E5822" w:rsidRPr="009E5822" w14:paraId="5F362FCF" w14:textId="77777777" w:rsidTr="00BA778A">
        <w:trPr>
          <w:trHeight w:val="735"/>
        </w:trPr>
        <w:tc>
          <w:tcPr>
            <w:tcW w:w="1401" w:type="dxa"/>
            <w:hideMark/>
          </w:tcPr>
          <w:p w14:paraId="74434A0B"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3.(1.×2.)</w:t>
            </w:r>
          </w:p>
        </w:tc>
        <w:tc>
          <w:tcPr>
            <w:tcW w:w="1855" w:type="dxa"/>
            <w:hideMark/>
          </w:tcPr>
          <w:p w14:paraId="547C6CB3"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xml:space="preserve">Faktiskā vispārējās valdības budžeta strukturālā bilance, milj. </w:t>
            </w:r>
            <w:r w:rsidRPr="009E5822">
              <w:rPr>
                <w:rFonts w:ascii="Times New Roman" w:eastAsia="Times New Roman" w:hAnsi="Times New Roman" w:cs="Times New Roman"/>
                <w:i/>
                <w:iCs/>
                <w:color w:val="000000"/>
                <w:sz w:val="20"/>
                <w:szCs w:val="20"/>
              </w:rPr>
              <w:t>euro</w:t>
            </w:r>
          </w:p>
        </w:tc>
        <w:tc>
          <w:tcPr>
            <w:tcW w:w="850" w:type="dxa"/>
            <w:hideMark/>
          </w:tcPr>
          <w:p w14:paraId="4462EDA9" w14:textId="3E2A2C97"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-323,</w:t>
            </w:r>
            <w:r w:rsidR="009E5822" w:rsidRPr="009E5822">
              <w:rPr>
                <w:rFonts w:ascii="Times New Roman" w:eastAsia="Times New Roman" w:hAnsi="Times New Roman" w:cs="Times New Roman"/>
                <w:color w:val="000000"/>
                <w:sz w:val="20"/>
                <w:szCs w:val="20"/>
              </w:rPr>
              <w:t>0</w:t>
            </w:r>
          </w:p>
        </w:tc>
        <w:tc>
          <w:tcPr>
            <w:tcW w:w="992" w:type="dxa"/>
            <w:hideMark/>
          </w:tcPr>
          <w:p w14:paraId="2244560C" w14:textId="051B35AC"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-364,</w:t>
            </w:r>
            <w:r w:rsidR="009E5822" w:rsidRPr="009E5822">
              <w:rPr>
                <w:rFonts w:ascii="Times New Roman" w:eastAsia="Times New Roman" w:hAnsi="Times New Roman" w:cs="Times New Roman"/>
                <w:color w:val="000000"/>
                <w:sz w:val="20"/>
                <w:szCs w:val="20"/>
              </w:rPr>
              <w:t>0</w:t>
            </w:r>
          </w:p>
        </w:tc>
        <w:tc>
          <w:tcPr>
            <w:tcW w:w="993" w:type="dxa"/>
            <w:hideMark/>
          </w:tcPr>
          <w:p w14:paraId="32A5C22F" w14:textId="1D904FEC"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-453,</w:t>
            </w:r>
            <w:r w:rsidR="009E5822" w:rsidRPr="009E5822">
              <w:rPr>
                <w:rFonts w:ascii="Times New Roman" w:eastAsia="Times New Roman" w:hAnsi="Times New Roman" w:cs="Times New Roman"/>
                <w:color w:val="000000"/>
                <w:sz w:val="20"/>
                <w:szCs w:val="20"/>
              </w:rPr>
              <w:t>1</w:t>
            </w:r>
          </w:p>
        </w:tc>
        <w:tc>
          <w:tcPr>
            <w:tcW w:w="992" w:type="dxa"/>
            <w:hideMark/>
          </w:tcPr>
          <w:p w14:paraId="1C1744EA" w14:textId="0BDE83D1"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r w:rsidR="009E5822" w:rsidRPr="009E5822">
              <w:rPr>
                <w:rFonts w:ascii="Times New Roman" w:eastAsia="Times New Roman" w:hAnsi="Times New Roman" w:cs="Times New Roman"/>
                <w:color w:val="000000"/>
                <w:sz w:val="20"/>
                <w:szCs w:val="20"/>
              </w:rPr>
              <w:t>2</w:t>
            </w:r>
          </w:p>
        </w:tc>
        <w:tc>
          <w:tcPr>
            <w:tcW w:w="992" w:type="dxa"/>
            <w:hideMark/>
          </w:tcPr>
          <w:p w14:paraId="43BB958E" w14:textId="130FD7AD"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-346,</w:t>
            </w:r>
            <w:r w:rsidR="009E5822" w:rsidRPr="009E5822">
              <w:rPr>
                <w:rFonts w:ascii="Times New Roman" w:eastAsia="Times New Roman" w:hAnsi="Times New Roman" w:cs="Times New Roman"/>
                <w:color w:val="000000"/>
                <w:sz w:val="20"/>
                <w:szCs w:val="20"/>
              </w:rPr>
              <w:t>9</w:t>
            </w:r>
          </w:p>
        </w:tc>
        <w:tc>
          <w:tcPr>
            <w:tcW w:w="992" w:type="dxa"/>
            <w:hideMark/>
          </w:tcPr>
          <w:p w14:paraId="0E654C8B" w14:textId="32897EA7"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r w:rsidR="009E5822" w:rsidRPr="009E5822">
              <w:rPr>
                <w:rFonts w:ascii="Times New Roman" w:eastAsia="Times New Roman" w:hAnsi="Times New Roman" w:cs="Times New Roman"/>
                <w:color w:val="000000"/>
                <w:sz w:val="20"/>
                <w:szCs w:val="20"/>
              </w:rPr>
              <w:t>8</w:t>
            </w:r>
          </w:p>
        </w:tc>
      </w:tr>
      <w:tr w:rsidR="009E5822" w:rsidRPr="009E5822" w14:paraId="6A04F05F" w14:textId="77777777" w:rsidTr="00BA778A">
        <w:trPr>
          <w:trHeight w:val="735"/>
        </w:trPr>
        <w:tc>
          <w:tcPr>
            <w:tcW w:w="1401" w:type="dxa"/>
            <w:hideMark/>
          </w:tcPr>
          <w:p w14:paraId="3CD504B2"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4</w:t>
            </w:r>
          </w:p>
        </w:tc>
        <w:tc>
          <w:tcPr>
            <w:tcW w:w="1855" w:type="dxa"/>
            <w:hideMark/>
          </w:tcPr>
          <w:p w14:paraId="5321FB1A"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Minimālā plānojamā vispārējās valdības budžeta strukturālā bilance, % no IKP</w:t>
            </w:r>
          </w:p>
        </w:tc>
        <w:tc>
          <w:tcPr>
            <w:tcW w:w="850" w:type="dxa"/>
            <w:hideMark/>
          </w:tcPr>
          <w:p w14:paraId="59AAF780" w14:textId="76DC680F"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3</w:t>
            </w:r>
          </w:p>
        </w:tc>
        <w:tc>
          <w:tcPr>
            <w:tcW w:w="992" w:type="dxa"/>
            <w:hideMark/>
          </w:tcPr>
          <w:p w14:paraId="0EE5C84A" w14:textId="5BC1B9C5"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0</w:t>
            </w:r>
          </w:p>
        </w:tc>
        <w:tc>
          <w:tcPr>
            <w:tcW w:w="993" w:type="dxa"/>
            <w:hideMark/>
          </w:tcPr>
          <w:p w14:paraId="204169BE" w14:textId="2FD82E57"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0</w:t>
            </w:r>
          </w:p>
        </w:tc>
        <w:tc>
          <w:tcPr>
            <w:tcW w:w="992" w:type="dxa"/>
            <w:hideMark/>
          </w:tcPr>
          <w:p w14:paraId="088273F8" w14:textId="195801FC"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9</w:t>
            </w:r>
          </w:p>
        </w:tc>
        <w:tc>
          <w:tcPr>
            <w:tcW w:w="992" w:type="dxa"/>
            <w:hideMark/>
          </w:tcPr>
          <w:p w14:paraId="0FA7B1AF" w14:textId="2B39A902"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0</w:t>
            </w:r>
          </w:p>
        </w:tc>
        <w:tc>
          <w:tcPr>
            <w:tcW w:w="992" w:type="dxa"/>
            <w:hideMark/>
          </w:tcPr>
          <w:p w14:paraId="2F585015" w14:textId="2D530AD1"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2</w:t>
            </w:r>
          </w:p>
        </w:tc>
      </w:tr>
      <w:tr w:rsidR="009E5822" w:rsidRPr="009E5822" w14:paraId="1703EBE2" w14:textId="77777777" w:rsidTr="00BA778A">
        <w:trPr>
          <w:trHeight w:val="735"/>
        </w:trPr>
        <w:tc>
          <w:tcPr>
            <w:tcW w:w="1401" w:type="dxa"/>
            <w:hideMark/>
          </w:tcPr>
          <w:p w14:paraId="5A8655EF"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5.(1.×4.)</w:t>
            </w:r>
          </w:p>
        </w:tc>
        <w:tc>
          <w:tcPr>
            <w:tcW w:w="1855" w:type="dxa"/>
            <w:hideMark/>
          </w:tcPr>
          <w:p w14:paraId="6E9BA177"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xml:space="preserve">Minimālā plānojamā vispārējās valdības budžeta strukturālā bilance, milj. </w:t>
            </w:r>
            <w:r w:rsidRPr="009E5822">
              <w:rPr>
                <w:rFonts w:ascii="Times New Roman" w:eastAsia="Times New Roman" w:hAnsi="Times New Roman" w:cs="Times New Roman"/>
                <w:i/>
                <w:iCs/>
                <w:color w:val="000000"/>
                <w:sz w:val="20"/>
                <w:szCs w:val="20"/>
              </w:rPr>
              <w:t>euro</w:t>
            </w:r>
          </w:p>
        </w:tc>
        <w:tc>
          <w:tcPr>
            <w:tcW w:w="850" w:type="dxa"/>
            <w:hideMark/>
          </w:tcPr>
          <w:p w14:paraId="638E44CB" w14:textId="48FC6408"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-296,</w:t>
            </w:r>
            <w:r w:rsidR="009E5822" w:rsidRPr="009E5822">
              <w:rPr>
                <w:rFonts w:ascii="Times New Roman" w:eastAsia="Times New Roman" w:hAnsi="Times New Roman" w:cs="Times New Roman"/>
                <w:color w:val="000000"/>
                <w:sz w:val="20"/>
                <w:szCs w:val="20"/>
              </w:rPr>
              <w:t>2</w:t>
            </w:r>
          </w:p>
        </w:tc>
        <w:tc>
          <w:tcPr>
            <w:tcW w:w="992" w:type="dxa"/>
            <w:hideMark/>
          </w:tcPr>
          <w:p w14:paraId="63F2159B" w14:textId="22A5FFF5"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-236,</w:t>
            </w:r>
            <w:r w:rsidR="009E5822" w:rsidRPr="009E5822">
              <w:rPr>
                <w:rFonts w:ascii="Times New Roman" w:eastAsia="Times New Roman" w:hAnsi="Times New Roman" w:cs="Times New Roman"/>
                <w:color w:val="000000"/>
                <w:sz w:val="20"/>
                <w:szCs w:val="20"/>
              </w:rPr>
              <w:t>2</w:t>
            </w:r>
          </w:p>
        </w:tc>
        <w:tc>
          <w:tcPr>
            <w:tcW w:w="993" w:type="dxa"/>
            <w:hideMark/>
          </w:tcPr>
          <w:p w14:paraId="5933D0CC" w14:textId="2B2E9F0D"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-243,</w:t>
            </w:r>
            <w:r w:rsidR="009E5822" w:rsidRPr="009E5822">
              <w:rPr>
                <w:rFonts w:ascii="Times New Roman" w:eastAsia="Times New Roman" w:hAnsi="Times New Roman" w:cs="Times New Roman"/>
                <w:color w:val="000000"/>
                <w:sz w:val="20"/>
                <w:szCs w:val="20"/>
              </w:rPr>
              <w:t>2</w:t>
            </w:r>
          </w:p>
        </w:tc>
        <w:tc>
          <w:tcPr>
            <w:tcW w:w="992" w:type="dxa"/>
            <w:hideMark/>
          </w:tcPr>
          <w:p w14:paraId="33DDF4C2" w14:textId="2A04E9B9"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-225,</w:t>
            </w:r>
            <w:r w:rsidR="009E5822" w:rsidRPr="009E5822">
              <w:rPr>
                <w:rFonts w:ascii="Times New Roman" w:eastAsia="Times New Roman" w:hAnsi="Times New Roman" w:cs="Times New Roman"/>
                <w:color w:val="000000"/>
                <w:sz w:val="20"/>
                <w:szCs w:val="20"/>
              </w:rPr>
              <w:t>3</w:t>
            </w:r>
          </w:p>
        </w:tc>
        <w:tc>
          <w:tcPr>
            <w:tcW w:w="992" w:type="dxa"/>
            <w:hideMark/>
          </w:tcPr>
          <w:p w14:paraId="6503775D" w14:textId="50BC5041"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w:t>
            </w:r>
            <w:r w:rsidR="009E5822" w:rsidRPr="009E5822">
              <w:rPr>
                <w:rFonts w:ascii="Times New Roman" w:eastAsia="Times New Roman" w:hAnsi="Times New Roman" w:cs="Times New Roman"/>
                <w:color w:val="000000"/>
                <w:sz w:val="20"/>
                <w:szCs w:val="20"/>
              </w:rPr>
              <w:t>3</w:t>
            </w:r>
          </w:p>
        </w:tc>
        <w:tc>
          <w:tcPr>
            <w:tcW w:w="992" w:type="dxa"/>
            <w:hideMark/>
          </w:tcPr>
          <w:p w14:paraId="5107102A" w14:textId="6E810226"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-354,</w:t>
            </w:r>
            <w:r w:rsidR="009E5822" w:rsidRPr="009E5822">
              <w:rPr>
                <w:rFonts w:ascii="Times New Roman" w:eastAsia="Times New Roman" w:hAnsi="Times New Roman" w:cs="Times New Roman"/>
                <w:color w:val="000000"/>
                <w:sz w:val="20"/>
                <w:szCs w:val="20"/>
              </w:rPr>
              <w:t>3</w:t>
            </w:r>
          </w:p>
        </w:tc>
      </w:tr>
      <w:tr w:rsidR="009E5822" w:rsidRPr="009E5822" w14:paraId="75CB9B68" w14:textId="77777777" w:rsidTr="00BA778A">
        <w:trPr>
          <w:trHeight w:val="495"/>
        </w:trPr>
        <w:tc>
          <w:tcPr>
            <w:tcW w:w="1401" w:type="dxa"/>
            <w:hideMark/>
          </w:tcPr>
          <w:p w14:paraId="0C7D01AA"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6.(3.-5.)</w:t>
            </w:r>
          </w:p>
        </w:tc>
        <w:tc>
          <w:tcPr>
            <w:tcW w:w="1855" w:type="dxa"/>
            <w:hideMark/>
          </w:tcPr>
          <w:p w14:paraId="32B591F4"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xml:space="preserve">Saimnieciskā gada bilanču starpība, milj. </w:t>
            </w:r>
            <w:r w:rsidRPr="009E5822">
              <w:rPr>
                <w:rFonts w:ascii="Times New Roman" w:eastAsia="Times New Roman" w:hAnsi="Times New Roman" w:cs="Times New Roman"/>
                <w:i/>
                <w:iCs/>
                <w:color w:val="000000"/>
                <w:sz w:val="20"/>
                <w:szCs w:val="20"/>
              </w:rPr>
              <w:t>euro</w:t>
            </w:r>
            <w:r w:rsidRPr="009E5822">
              <w:rPr>
                <w:rFonts w:ascii="Times New Roman" w:eastAsia="Times New Roman" w:hAnsi="Times New Roman" w:cs="Times New Roman"/>
                <w:i/>
                <w:color w:val="000000"/>
                <w:sz w:val="20"/>
                <w:szCs w:val="20"/>
              </w:rPr>
              <w:t xml:space="preserve"> </w:t>
            </w:r>
          </w:p>
        </w:tc>
        <w:tc>
          <w:tcPr>
            <w:tcW w:w="850" w:type="dxa"/>
            <w:hideMark/>
          </w:tcPr>
          <w:p w14:paraId="7AAD0425" w14:textId="10B3B2FC"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r w:rsidR="009E5822" w:rsidRPr="009E5822">
              <w:rPr>
                <w:rFonts w:ascii="Times New Roman" w:eastAsia="Times New Roman" w:hAnsi="Times New Roman" w:cs="Times New Roman"/>
                <w:color w:val="000000"/>
                <w:sz w:val="20"/>
                <w:szCs w:val="20"/>
              </w:rPr>
              <w:t>8</w:t>
            </w:r>
          </w:p>
        </w:tc>
        <w:tc>
          <w:tcPr>
            <w:tcW w:w="992" w:type="dxa"/>
            <w:hideMark/>
          </w:tcPr>
          <w:p w14:paraId="5A84FCB8" w14:textId="2161EABF"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w:t>
            </w:r>
            <w:r w:rsidR="009E5822" w:rsidRPr="009E5822">
              <w:rPr>
                <w:rFonts w:ascii="Times New Roman" w:eastAsia="Times New Roman" w:hAnsi="Times New Roman" w:cs="Times New Roman"/>
                <w:color w:val="000000"/>
                <w:sz w:val="20"/>
                <w:szCs w:val="20"/>
              </w:rPr>
              <w:t>8</w:t>
            </w:r>
          </w:p>
        </w:tc>
        <w:tc>
          <w:tcPr>
            <w:tcW w:w="993" w:type="dxa"/>
            <w:hideMark/>
          </w:tcPr>
          <w:p w14:paraId="3AE013A8" w14:textId="5B2DAD92"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-209,</w:t>
            </w:r>
            <w:r w:rsidR="009E5822" w:rsidRPr="009E5822">
              <w:rPr>
                <w:rFonts w:ascii="Times New Roman" w:eastAsia="Times New Roman" w:hAnsi="Times New Roman" w:cs="Times New Roman"/>
                <w:color w:val="000000"/>
                <w:sz w:val="20"/>
                <w:szCs w:val="20"/>
              </w:rPr>
              <w:t>9</w:t>
            </w:r>
          </w:p>
        </w:tc>
        <w:tc>
          <w:tcPr>
            <w:tcW w:w="992" w:type="dxa"/>
            <w:hideMark/>
          </w:tcPr>
          <w:p w14:paraId="415EF4B0" w14:textId="755D4C89"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w:t>
            </w:r>
            <w:r w:rsidR="009E5822" w:rsidRPr="009E5822">
              <w:rPr>
                <w:rFonts w:ascii="Times New Roman" w:eastAsia="Times New Roman" w:hAnsi="Times New Roman" w:cs="Times New Roman"/>
                <w:color w:val="000000"/>
                <w:sz w:val="20"/>
                <w:szCs w:val="20"/>
              </w:rPr>
              <w:t>1</w:t>
            </w:r>
          </w:p>
        </w:tc>
        <w:tc>
          <w:tcPr>
            <w:tcW w:w="992" w:type="dxa"/>
            <w:hideMark/>
          </w:tcPr>
          <w:p w14:paraId="72DDE9EA" w14:textId="3FD97557"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w:t>
            </w:r>
            <w:r w:rsidR="009E5822" w:rsidRPr="009E5822">
              <w:rPr>
                <w:rFonts w:ascii="Times New Roman" w:eastAsia="Times New Roman" w:hAnsi="Times New Roman" w:cs="Times New Roman"/>
                <w:color w:val="000000"/>
                <w:sz w:val="20"/>
                <w:szCs w:val="20"/>
              </w:rPr>
              <w:t>6</w:t>
            </w:r>
          </w:p>
        </w:tc>
        <w:tc>
          <w:tcPr>
            <w:tcW w:w="992" w:type="dxa"/>
            <w:hideMark/>
          </w:tcPr>
          <w:p w14:paraId="46639804" w14:textId="129F0EA2"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w:t>
            </w:r>
            <w:r w:rsidR="009E5822" w:rsidRPr="009E5822">
              <w:rPr>
                <w:rFonts w:ascii="Times New Roman" w:eastAsia="Times New Roman" w:hAnsi="Times New Roman" w:cs="Times New Roman"/>
                <w:color w:val="000000"/>
                <w:sz w:val="20"/>
                <w:szCs w:val="20"/>
              </w:rPr>
              <w:t>5</w:t>
            </w:r>
          </w:p>
        </w:tc>
      </w:tr>
      <w:tr w:rsidR="009E5822" w:rsidRPr="009E5822" w14:paraId="0BD8856F" w14:textId="77777777" w:rsidTr="00BA778A">
        <w:trPr>
          <w:trHeight w:val="495"/>
        </w:trPr>
        <w:tc>
          <w:tcPr>
            <w:tcW w:w="1401" w:type="dxa"/>
            <w:hideMark/>
          </w:tcPr>
          <w:p w14:paraId="1F15C956"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7.((6.:1.)×100)</w:t>
            </w:r>
          </w:p>
        </w:tc>
        <w:tc>
          <w:tcPr>
            <w:tcW w:w="1855" w:type="dxa"/>
            <w:hideMark/>
          </w:tcPr>
          <w:p w14:paraId="21D9B918"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Saimnieciskā gada bilanču starpība, % no IKP</w:t>
            </w:r>
          </w:p>
        </w:tc>
        <w:tc>
          <w:tcPr>
            <w:tcW w:w="850" w:type="dxa"/>
            <w:hideMark/>
          </w:tcPr>
          <w:p w14:paraId="389E80D2" w14:textId="6C725D6B"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1</w:t>
            </w:r>
          </w:p>
        </w:tc>
        <w:tc>
          <w:tcPr>
            <w:tcW w:w="992" w:type="dxa"/>
            <w:hideMark/>
          </w:tcPr>
          <w:p w14:paraId="33C0CD7C" w14:textId="243E7E0B"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5</w:t>
            </w:r>
          </w:p>
        </w:tc>
        <w:tc>
          <w:tcPr>
            <w:tcW w:w="993" w:type="dxa"/>
            <w:hideMark/>
          </w:tcPr>
          <w:p w14:paraId="0697D5AF" w14:textId="5B5E7D0F"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9</w:t>
            </w:r>
          </w:p>
        </w:tc>
        <w:tc>
          <w:tcPr>
            <w:tcW w:w="992" w:type="dxa"/>
            <w:hideMark/>
          </w:tcPr>
          <w:p w14:paraId="09ED4091" w14:textId="599250B2"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6</w:t>
            </w:r>
          </w:p>
        </w:tc>
        <w:tc>
          <w:tcPr>
            <w:tcW w:w="992" w:type="dxa"/>
            <w:hideMark/>
          </w:tcPr>
          <w:p w14:paraId="6DD2B1AC" w14:textId="6FAA42B8"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3</w:t>
            </w:r>
          </w:p>
        </w:tc>
        <w:tc>
          <w:tcPr>
            <w:tcW w:w="992" w:type="dxa"/>
            <w:hideMark/>
          </w:tcPr>
          <w:p w14:paraId="46F6F9C3" w14:textId="45ED003E"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5</w:t>
            </w:r>
          </w:p>
        </w:tc>
      </w:tr>
      <w:tr w:rsidR="009E5822" w:rsidRPr="009E5822" w14:paraId="28A5AE1E" w14:textId="77777777" w:rsidTr="00BA778A">
        <w:trPr>
          <w:trHeight w:val="495"/>
        </w:trPr>
        <w:tc>
          <w:tcPr>
            <w:tcW w:w="1401" w:type="dxa"/>
            <w:hideMark/>
          </w:tcPr>
          <w:p w14:paraId="0C83B3C4"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8.(Σ(6.))</w:t>
            </w:r>
          </w:p>
        </w:tc>
        <w:tc>
          <w:tcPr>
            <w:tcW w:w="1855" w:type="dxa"/>
            <w:hideMark/>
          </w:tcPr>
          <w:p w14:paraId="339421C6"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xml:space="preserve">Uzkrāto bilanču starpības summa (kumulatīvi), milj. </w:t>
            </w:r>
            <w:r w:rsidRPr="009E5822">
              <w:rPr>
                <w:rFonts w:ascii="Times New Roman" w:eastAsia="Times New Roman" w:hAnsi="Times New Roman" w:cs="Times New Roman"/>
                <w:i/>
                <w:iCs/>
                <w:color w:val="000000"/>
                <w:sz w:val="20"/>
                <w:szCs w:val="20"/>
              </w:rPr>
              <w:t>euro</w:t>
            </w:r>
            <w:r w:rsidRPr="009E5822">
              <w:rPr>
                <w:rFonts w:ascii="Times New Roman" w:eastAsia="Times New Roman" w:hAnsi="Times New Roman" w:cs="Times New Roman"/>
                <w:iCs/>
                <w:color w:val="000000"/>
                <w:sz w:val="20"/>
                <w:szCs w:val="20"/>
              </w:rPr>
              <w:t xml:space="preserve"> </w:t>
            </w:r>
          </w:p>
        </w:tc>
        <w:tc>
          <w:tcPr>
            <w:tcW w:w="850" w:type="dxa"/>
            <w:hideMark/>
          </w:tcPr>
          <w:p w14:paraId="54E06BEA" w14:textId="0DEA54EA"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r w:rsidR="009E5822" w:rsidRPr="009E5822">
              <w:rPr>
                <w:rFonts w:ascii="Times New Roman" w:eastAsia="Times New Roman" w:hAnsi="Times New Roman" w:cs="Times New Roman"/>
                <w:color w:val="000000"/>
                <w:sz w:val="20"/>
                <w:szCs w:val="20"/>
              </w:rPr>
              <w:t>8</w:t>
            </w:r>
          </w:p>
        </w:tc>
        <w:tc>
          <w:tcPr>
            <w:tcW w:w="992" w:type="dxa"/>
            <w:hideMark/>
          </w:tcPr>
          <w:p w14:paraId="4098D8AF" w14:textId="14E30825"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w:t>
            </w:r>
            <w:r w:rsidR="009E5822" w:rsidRPr="009E5822">
              <w:rPr>
                <w:rFonts w:ascii="Times New Roman" w:eastAsia="Times New Roman" w:hAnsi="Times New Roman" w:cs="Times New Roman"/>
                <w:color w:val="000000"/>
                <w:sz w:val="20"/>
                <w:szCs w:val="20"/>
              </w:rPr>
              <w:t>6</w:t>
            </w:r>
          </w:p>
        </w:tc>
        <w:tc>
          <w:tcPr>
            <w:tcW w:w="993" w:type="dxa"/>
            <w:hideMark/>
          </w:tcPr>
          <w:p w14:paraId="42BD81E6" w14:textId="496D903A"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-364,</w:t>
            </w:r>
            <w:r w:rsidR="009E5822" w:rsidRPr="009E5822">
              <w:rPr>
                <w:rFonts w:ascii="Times New Roman" w:eastAsia="Times New Roman" w:hAnsi="Times New Roman" w:cs="Times New Roman"/>
                <w:color w:val="000000"/>
                <w:sz w:val="20"/>
                <w:szCs w:val="20"/>
              </w:rPr>
              <w:t>5</w:t>
            </w:r>
          </w:p>
        </w:tc>
        <w:tc>
          <w:tcPr>
            <w:tcW w:w="992" w:type="dxa"/>
            <w:hideMark/>
          </w:tcPr>
          <w:p w14:paraId="7B2D239A" w14:textId="27F29936"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w:t>
            </w:r>
            <w:r w:rsidR="009E5822" w:rsidRPr="009E5822">
              <w:rPr>
                <w:rFonts w:ascii="Times New Roman" w:eastAsia="Times New Roman" w:hAnsi="Times New Roman" w:cs="Times New Roman"/>
                <w:color w:val="000000"/>
                <w:sz w:val="20"/>
                <w:szCs w:val="20"/>
              </w:rPr>
              <w:t>5</w:t>
            </w:r>
          </w:p>
        </w:tc>
        <w:tc>
          <w:tcPr>
            <w:tcW w:w="992" w:type="dxa"/>
            <w:hideMark/>
          </w:tcPr>
          <w:p w14:paraId="0DBBBCFD" w14:textId="57BA9B9B"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-285,</w:t>
            </w:r>
            <w:r w:rsidR="009E5822" w:rsidRPr="009E5822">
              <w:rPr>
                <w:rFonts w:ascii="Times New Roman" w:eastAsia="Times New Roman" w:hAnsi="Times New Roman" w:cs="Times New Roman"/>
                <w:color w:val="000000"/>
                <w:sz w:val="20"/>
                <w:szCs w:val="20"/>
              </w:rPr>
              <w:t>0</w:t>
            </w:r>
          </w:p>
        </w:tc>
        <w:tc>
          <w:tcPr>
            <w:tcW w:w="992" w:type="dxa"/>
            <w:hideMark/>
          </w:tcPr>
          <w:p w14:paraId="764DFB11" w14:textId="5FFE1A94" w:rsidR="009E5822" w:rsidRPr="009E5822" w:rsidRDefault="00BA778A" w:rsidP="00A575F0">
            <w:pPr>
              <w:widowControl w:val="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w:t>
            </w:r>
            <w:r w:rsidR="009E5822" w:rsidRPr="009E5822">
              <w:rPr>
                <w:rFonts w:ascii="Times New Roman" w:eastAsia="Times New Roman" w:hAnsi="Times New Roman" w:cs="Times New Roman"/>
                <w:color w:val="000000"/>
                <w:sz w:val="20"/>
                <w:szCs w:val="20"/>
              </w:rPr>
              <w:t>6</w:t>
            </w:r>
          </w:p>
        </w:tc>
      </w:tr>
      <w:tr w:rsidR="009E5822" w:rsidRPr="009E5822" w14:paraId="792536AA" w14:textId="77777777" w:rsidTr="00BA778A">
        <w:trPr>
          <w:trHeight w:val="495"/>
        </w:trPr>
        <w:tc>
          <w:tcPr>
            <w:tcW w:w="1401" w:type="dxa"/>
            <w:hideMark/>
          </w:tcPr>
          <w:p w14:paraId="771580F3"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9.((8./1.)×100)</w:t>
            </w:r>
          </w:p>
        </w:tc>
        <w:tc>
          <w:tcPr>
            <w:tcW w:w="1855" w:type="dxa"/>
            <w:hideMark/>
          </w:tcPr>
          <w:p w14:paraId="0F00D222"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Uzkrāto bilanču starpības summa, % no IKP</w:t>
            </w:r>
          </w:p>
        </w:tc>
        <w:tc>
          <w:tcPr>
            <w:tcW w:w="850" w:type="dxa"/>
            <w:hideMark/>
          </w:tcPr>
          <w:p w14:paraId="2D8A0C8A" w14:textId="331BCFE2"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1</w:t>
            </w:r>
          </w:p>
        </w:tc>
        <w:tc>
          <w:tcPr>
            <w:tcW w:w="992" w:type="dxa"/>
            <w:hideMark/>
          </w:tcPr>
          <w:p w14:paraId="240FC7BA" w14:textId="6A3A2864"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7</w:t>
            </w:r>
          </w:p>
        </w:tc>
        <w:tc>
          <w:tcPr>
            <w:tcW w:w="993" w:type="dxa"/>
            <w:hideMark/>
          </w:tcPr>
          <w:p w14:paraId="0C6DE9E3" w14:textId="265B5ADF"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5</w:t>
            </w:r>
          </w:p>
        </w:tc>
        <w:tc>
          <w:tcPr>
            <w:tcW w:w="992" w:type="dxa"/>
            <w:hideMark/>
          </w:tcPr>
          <w:p w14:paraId="6FB26F98" w14:textId="651C2801"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8</w:t>
            </w:r>
          </w:p>
        </w:tc>
        <w:tc>
          <w:tcPr>
            <w:tcW w:w="992" w:type="dxa"/>
            <w:hideMark/>
          </w:tcPr>
          <w:p w14:paraId="2B701B06" w14:textId="42B0835C"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1</w:t>
            </w:r>
          </w:p>
        </w:tc>
        <w:tc>
          <w:tcPr>
            <w:tcW w:w="992" w:type="dxa"/>
            <w:hideMark/>
          </w:tcPr>
          <w:p w14:paraId="06C971F3" w14:textId="5B90269F"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sidR="009E5822" w:rsidRPr="009E5822">
              <w:rPr>
                <w:rFonts w:ascii="Times New Roman" w:eastAsia="Times New Roman" w:hAnsi="Times New Roman" w:cs="Times New Roman"/>
                <w:bCs/>
                <w:color w:val="000000"/>
                <w:sz w:val="20"/>
                <w:szCs w:val="20"/>
              </w:rPr>
              <w:t>5</w:t>
            </w:r>
          </w:p>
        </w:tc>
      </w:tr>
      <w:tr w:rsidR="009E5822" w:rsidRPr="009E5822" w14:paraId="57457980" w14:textId="77777777" w:rsidTr="00BA778A">
        <w:trPr>
          <w:trHeight w:val="495"/>
        </w:trPr>
        <w:tc>
          <w:tcPr>
            <w:tcW w:w="1401" w:type="dxa"/>
            <w:hideMark/>
          </w:tcPr>
          <w:p w14:paraId="23AF0B39"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10</w:t>
            </w:r>
          </w:p>
        </w:tc>
        <w:tc>
          <w:tcPr>
            <w:tcW w:w="1855" w:type="dxa"/>
            <w:hideMark/>
          </w:tcPr>
          <w:p w14:paraId="0D4E601A"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xml:space="preserve">FDL 11. panta nosacījums, % no IKP </w:t>
            </w:r>
          </w:p>
        </w:tc>
        <w:tc>
          <w:tcPr>
            <w:tcW w:w="850" w:type="dxa"/>
            <w:hideMark/>
          </w:tcPr>
          <w:p w14:paraId="12C9897C" w14:textId="76CB6821"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5</w:t>
            </w:r>
          </w:p>
        </w:tc>
        <w:tc>
          <w:tcPr>
            <w:tcW w:w="992" w:type="dxa"/>
            <w:hideMark/>
          </w:tcPr>
          <w:p w14:paraId="58AC0AD3" w14:textId="05114774"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5</w:t>
            </w:r>
          </w:p>
        </w:tc>
        <w:tc>
          <w:tcPr>
            <w:tcW w:w="993" w:type="dxa"/>
            <w:hideMark/>
          </w:tcPr>
          <w:p w14:paraId="5B282402" w14:textId="00B9064F"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5</w:t>
            </w:r>
          </w:p>
        </w:tc>
        <w:tc>
          <w:tcPr>
            <w:tcW w:w="992" w:type="dxa"/>
            <w:hideMark/>
          </w:tcPr>
          <w:p w14:paraId="2DFA3506" w14:textId="45D51CC9"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5</w:t>
            </w:r>
          </w:p>
        </w:tc>
        <w:tc>
          <w:tcPr>
            <w:tcW w:w="992" w:type="dxa"/>
            <w:hideMark/>
          </w:tcPr>
          <w:p w14:paraId="72D0E7EA" w14:textId="01E2F1B5"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5</w:t>
            </w:r>
          </w:p>
        </w:tc>
        <w:tc>
          <w:tcPr>
            <w:tcW w:w="992" w:type="dxa"/>
            <w:hideMark/>
          </w:tcPr>
          <w:p w14:paraId="535DF9D0" w14:textId="31F1ACBF" w:rsidR="009E5822" w:rsidRPr="009E5822" w:rsidRDefault="00BA778A" w:rsidP="00A575F0">
            <w:pPr>
              <w:widowControl w:val="0"/>
              <w:jc w:val="right"/>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-0,</w:t>
            </w:r>
            <w:r w:rsidR="009E5822" w:rsidRPr="009E5822">
              <w:rPr>
                <w:rFonts w:ascii="Times New Roman" w:eastAsia="Times New Roman" w:hAnsi="Times New Roman" w:cs="Times New Roman"/>
                <w:bCs/>
                <w:color w:val="000000"/>
                <w:sz w:val="20"/>
                <w:szCs w:val="20"/>
              </w:rPr>
              <w:t>5</w:t>
            </w:r>
          </w:p>
        </w:tc>
      </w:tr>
      <w:tr w:rsidR="009E5822" w:rsidRPr="009E5822" w14:paraId="5C17AB43" w14:textId="77777777" w:rsidTr="00BA778A">
        <w:trPr>
          <w:trHeight w:val="495"/>
        </w:trPr>
        <w:tc>
          <w:tcPr>
            <w:tcW w:w="1401" w:type="dxa"/>
            <w:hideMark/>
          </w:tcPr>
          <w:p w14:paraId="1F5314A5" w14:textId="77777777" w:rsidR="009E5822" w:rsidRPr="009E5822" w:rsidRDefault="009E5822" w:rsidP="00A575F0">
            <w:pPr>
              <w:widowControl w:val="0"/>
              <w:jc w:val="right"/>
              <w:rPr>
                <w:rFonts w:ascii="Times New Roman" w:eastAsia="Times New Roman" w:hAnsi="Times New Roman" w:cs="Times New Roman"/>
                <w:iCs/>
                <w:color w:val="000000"/>
                <w:sz w:val="20"/>
                <w:szCs w:val="20"/>
              </w:rPr>
            </w:pPr>
            <w:r w:rsidRPr="009E5822">
              <w:rPr>
                <w:rFonts w:ascii="Times New Roman" w:eastAsia="Times New Roman" w:hAnsi="Times New Roman" w:cs="Times New Roman"/>
                <w:iCs/>
                <w:color w:val="000000"/>
                <w:sz w:val="20"/>
                <w:szCs w:val="20"/>
              </w:rPr>
              <w:t>11</w:t>
            </w:r>
          </w:p>
        </w:tc>
        <w:tc>
          <w:tcPr>
            <w:tcW w:w="1855" w:type="dxa"/>
            <w:hideMark/>
          </w:tcPr>
          <w:p w14:paraId="514BBC0E"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Ir jākoriģē, ja 9.&lt;10.</w:t>
            </w:r>
          </w:p>
        </w:tc>
        <w:tc>
          <w:tcPr>
            <w:tcW w:w="850" w:type="dxa"/>
            <w:hideMark/>
          </w:tcPr>
          <w:p w14:paraId="617A552D"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w:t>
            </w:r>
          </w:p>
        </w:tc>
        <w:tc>
          <w:tcPr>
            <w:tcW w:w="992" w:type="dxa"/>
            <w:hideMark/>
          </w:tcPr>
          <w:p w14:paraId="2D22955C"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w:t>
            </w:r>
          </w:p>
        </w:tc>
        <w:tc>
          <w:tcPr>
            <w:tcW w:w="993" w:type="dxa"/>
            <w:hideMark/>
          </w:tcPr>
          <w:p w14:paraId="22C8C77C"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w:t>
            </w:r>
          </w:p>
        </w:tc>
        <w:tc>
          <w:tcPr>
            <w:tcW w:w="992" w:type="dxa"/>
            <w:hideMark/>
          </w:tcPr>
          <w:p w14:paraId="0B99AA74"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w:t>
            </w:r>
          </w:p>
        </w:tc>
        <w:tc>
          <w:tcPr>
            <w:tcW w:w="992" w:type="dxa"/>
            <w:hideMark/>
          </w:tcPr>
          <w:p w14:paraId="212CE5C8" w14:textId="77777777" w:rsidR="009E5822" w:rsidRPr="009E5822" w:rsidRDefault="009E5822" w:rsidP="00A575F0">
            <w:pPr>
              <w:widowControl w:val="0"/>
              <w:jc w:val="right"/>
              <w:rPr>
                <w:rFonts w:ascii="Times New Roman" w:eastAsia="Times New Roman" w:hAnsi="Times New Roman" w:cs="Times New Roman"/>
                <w:color w:val="000000"/>
                <w:sz w:val="20"/>
                <w:szCs w:val="20"/>
              </w:rPr>
            </w:pPr>
            <w:r w:rsidRPr="009E5822">
              <w:rPr>
                <w:rFonts w:ascii="Times New Roman" w:eastAsia="Times New Roman" w:hAnsi="Times New Roman" w:cs="Times New Roman"/>
                <w:color w:val="000000"/>
                <w:sz w:val="20"/>
                <w:szCs w:val="20"/>
              </w:rPr>
              <w:t> </w:t>
            </w:r>
          </w:p>
        </w:tc>
        <w:tc>
          <w:tcPr>
            <w:tcW w:w="992" w:type="dxa"/>
            <w:hideMark/>
          </w:tcPr>
          <w:p w14:paraId="5277E1A0" w14:textId="77777777" w:rsidR="009E5822" w:rsidRPr="009E5822" w:rsidRDefault="009E5822" w:rsidP="00A575F0">
            <w:pPr>
              <w:widowControl w:val="0"/>
              <w:jc w:val="right"/>
              <w:rPr>
                <w:rFonts w:ascii="Times New Roman" w:eastAsia="Times New Roman" w:hAnsi="Times New Roman" w:cs="Times New Roman"/>
                <w:b/>
                <w:color w:val="000000"/>
                <w:sz w:val="20"/>
                <w:szCs w:val="20"/>
              </w:rPr>
            </w:pPr>
            <w:r w:rsidRPr="009E5822">
              <w:rPr>
                <w:rFonts w:ascii="Times New Roman" w:eastAsia="Times New Roman" w:hAnsi="Times New Roman" w:cs="Times New Roman"/>
                <w:b/>
                <w:color w:val="000000"/>
                <w:sz w:val="20"/>
                <w:szCs w:val="20"/>
              </w:rPr>
              <w:t>Nav jākoriģē</w:t>
            </w:r>
          </w:p>
        </w:tc>
      </w:tr>
    </w:tbl>
    <w:p w14:paraId="446B4062" w14:textId="1930F3AA" w:rsidR="00BA778A" w:rsidRDefault="00BA778A" w:rsidP="00F75A1F">
      <w:pPr>
        <w:widowControl w:val="0"/>
        <w:jc w:val="both"/>
        <w:rPr>
          <w:rFonts w:ascii="Times New Roman" w:eastAsia="Times New Roman" w:hAnsi="Times New Roman" w:cs="Times New Roman"/>
          <w:sz w:val="28"/>
          <w:szCs w:val="24"/>
        </w:rPr>
      </w:pPr>
    </w:p>
    <w:p w14:paraId="75525929" w14:textId="77098CCB" w:rsidR="009E5822" w:rsidRPr="009E5822" w:rsidRDefault="009E5822" w:rsidP="009E5822">
      <w:pPr>
        <w:widowControl w:val="0"/>
        <w:ind w:firstLine="720"/>
        <w:jc w:val="both"/>
        <w:rPr>
          <w:rFonts w:ascii="Times New Roman" w:eastAsia="Times New Roman" w:hAnsi="Times New Roman" w:cs="Times New Roman"/>
          <w:sz w:val="28"/>
          <w:szCs w:val="24"/>
        </w:rPr>
      </w:pPr>
      <w:r w:rsidRPr="009E5822">
        <w:rPr>
          <w:rFonts w:ascii="Times New Roman" w:eastAsia="Times New Roman" w:hAnsi="Times New Roman" w:cs="Times New Roman"/>
          <w:sz w:val="28"/>
          <w:szCs w:val="24"/>
        </w:rPr>
        <w:t>Jāvērš uzmanīb</w:t>
      </w:r>
      <w:r w:rsidR="002B3B96">
        <w:rPr>
          <w:rFonts w:ascii="Times New Roman" w:eastAsia="Times New Roman" w:hAnsi="Times New Roman" w:cs="Times New Roman"/>
          <w:sz w:val="28"/>
          <w:szCs w:val="24"/>
        </w:rPr>
        <w:t xml:space="preserve">u, ka, salīdzinot ar VTBIL 2020., 2021. un </w:t>
      </w:r>
      <w:r w:rsidRPr="009E5822">
        <w:rPr>
          <w:rFonts w:ascii="Times New Roman" w:eastAsia="Times New Roman" w:hAnsi="Times New Roman" w:cs="Times New Roman"/>
          <w:sz w:val="28"/>
          <w:szCs w:val="24"/>
        </w:rPr>
        <w:t>2022</w:t>
      </w:r>
      <w:r w:rsidR="002B3B96">
        <w:rPr>
          <w:rFonts w:ascii="Times New Roman" w:eastAsia="Times New Roman" w:hAnsi="Times New Roman" w:cs="Times New Roman"/>
          <w:sz w:val="28"/>
          <w:szCs w:val="24"/>
        </w:rPr>
        <w:t>.gadam</w:t>
      </w:r>
      <w:r w:rsidRPr="009E5822">
        <w:rPr>
          <w:rFonts w:ascii="Times New Roman" w:eastAsia="Times New Roman" w:hAnsi="Times New Roman" w:cs="Times New Roman"/>
          <w:sz w:val="28"/>
          <w:szCs w:val="24"/>
        </w:rPr>
        <w:t xml:space="preserve"> tika precizēti vispārējās valdības strukturālās bilances faktiskie rādītāji visā apskatāmajā laika periodā. Izmaiņas skaidrojamas gan ar potenciāla IKP pārskatīšanu no FM puses, gan ar faktisko IKP datu korekciju, ko veic CSP,  kas būtiski ietekmēja cikliskās komponentes rādītājus un līdz ar to arī vispārējās valdības strukturālo bilanci. Rezultātā, gatavojot VTBIL 2021</w:t>
      </w:r>
      <w:r w:rsidR="002B3B96">
        <w:rPr>
          <w:rFonts w:ascii="Times New Roman" w:eastAsia="Times New Roman" w:hAnsi="Times New Roman" w:cs="Times New Roman"/>
          <w:sz w:val="28"/>
          <w:szCs w:val="24"/>
        </w:rPr>
        <w:t xml:space="preserve">. 2022. un </w:t>
      </w:r>
      <w:r w:rsidRPr="009E5822">
        <w:rPr>
          <w:rFonts w:ascii="Times New Roman" w:eastAsia="Times New Roman" w:hAnsi="Times New Roman" w:cs="Times New Roman"/>
          <w:sz w:val="28"/>
          <w:szCs w:val="24"/>
        </w:rPr>
        <w:t>2023</w:t>
      </w:r>
      <w:r w:rsidR="002B3B96">
        <w:rPr>
          <w:rFonts w:ascii="Times New Roman" w:eastAsia="Times New Roman" w:hAnsi="Times New Roman" w:cs="Times New Roman"/>
          <w:sz w:val="28"/>
          <w:szCs w:val="24"/>
        </w:rPr>
        <w:t>.gadam projektu</w:t>
      </w:r>
      <w:r w:rsidRPr="009E5822">
        <w:rPr>
          <w:rFonts w:ascii="Times New Roman" w:eastAsia="Times New Roman" w:hAnsi="Times New Roman" w:cs="Times New Roman"/>
          <w:sz w:val="28"/>
          <w:szCs w:val="24"/>
        </w:rPr>
        <w:t xml:space="preserve"> tiek secināts, ka kopš 2014</w:t>
      </w:r>
      <w:r w:rsidR="002B3B96">
        <w:rPr>
          <w:rFonts w:ascii="Times New Roman" w:eastAsia="Times New Roman" w:hAnsi="Times New Roman" w:cs="Times New Roman"/>
          <w:sz w:val="28"/>
          <w:szCs w:val="24"/>
        </w:rPr>
        <w:t>.</w:t>
      </w:r>
      <w:r w:rsidRPr="009E5822">
        <w:rPr>
          <w:rFonts w:ascii="Times New Roman" w:eastAsia="Times New Roman" w:hAnsi="Times New Roman" w:cs="Times New Roman"/>
          <w:sz w:val="28"/>
          <w:szCs w:val="24"/>
        </w:rPr>
        <w:t xml:space="preserve">gada uzkrāto bilanču starpības summa pārsniedz pieļaujamo kritēriju. </w:t>
      </w:r>
    </w:p>
    <w:p w14:paraId="3DA4B6FC" w14:textId="1A82E33F" w:rsidR="00122F78" w:rsidRPr="009E5822" w:rsidRDefault="009E5822" w:rsidP="009E5822">
      <w:pPr>
        <w:widowControl w:val="0"/>
        <w:ind w:firstLine="720"/>
        <w:jc w:val="both"/>
        <w:rPr>
          <w:rFonts w:ascii="Calibri" w:eastAsia="Calibri" w:hAnsi="Calibri" w:cs="Calibri"/>
          <w:sz w:val="28"/>
          <w:szCs w:val="24"/>
        </w:rPr>
      </w:pPr>
      <w:r w:rsidRPr="009E5822">
        <w:rPr>
          <w:rFonts w:ascii="Times New Roman" w:eastAsia="Times New Roman" w:hAnsi="Times New Roman" w:cs="Times New Roman"/>
          <w:sz w:val="28"/>
          <w:szCs w:val="24"/>
        </w:rPr>
        <w:t xml:space="preserve"> Atbilstoši</w:t>
      </w:r>
      <w:r w:rsidR="002B3B96">
        <w:rPr>
          <w:rFonts w:ascii="Times New Roman" w:eastAsia="Times New Roman" w:hAnsi="Times New Roman" w:cs="Times New Roman"/>
          <w:sz w:val="28"/>
          <w:szCs w:val="24"/>
        </w:rPr>
        <w:t xml:space="preserve"> FDL 11.</w:t>
      </w:r>
      <w:r w:rsidRPr="009E5822">
        <w:rPr>
          <w:rFonts w:ascii="Times New Roman" w:eastAsia="Times New Roman" w:hAnsi="Times New Roman" w:cs="Times New Roman"/>
          <w:sz w:val="28"/>
          <w:szCs w:val="24"/>
        </w:rPr>
        <w:t>panta ceturtajam punktam, minimālo plānojamo vispārējās valdības budžeta strukturālo bilanci koriģē, ja uzkrāto bilanču starpību summa pārsniedz robežvērtību ietvara likuma projekta sagatavošanas gadā</w:t>
      </w:r>
      <w:r w:rsidR="00972667" w:rsidRPr="00972667">
        <w:rPr>
          <w:rFonts w:ascii="Times New Roman" w:eastAsia="Times New Roman" w:hAnsi="Times New Roman" w:cs="Times New Roman"/>
          <w:sz w:val="28"/>
          <w:szCs w:val="24"/>
        </w:rPr>
        <w:t xml:space="preserve">. </w:t>
      </w:r>
      <w:r w:rsidRPr="009E5822">
        <w:rPr>
          <w:rFonts w:ascii="Times New Roman" w:eastAsia="Times New Roman" w:hAnsi="Times New Roman" w:cs="Times New Roman"/>
          <w:sz w:val="28"/>
          <w:szCs w:val="24"/>
        </w:rPr>
        <w:t>Uz pašreizējo brīdi pēdējais gads, par kuru ir pieejami faktiskie statistikas dati par nominālo budžeta bilanci</w:t>
      </w:r>
      <w:r w:rsidR="002B3B96">
        <w:rPr>
          <w:rFonts w:ascii="Times New Roman" w:eastAsia="Times New Roman" w:hAnsi="Times New Roman" w:cs="Times New Roman"/>
          <w:sz w:val="28"/>
          <w:szCs w:val="24"/>
        </w:rPr>
        <w:t xml:space="preserve"> ir 2018.</w:t>
      </w:r>
      <w:r w:rsidRPr="009E5822">
        <w:rPr>
          <w:rFonts w:ascii="Times New Roman" w:eastAsia="Times New Roman" w:hAnsi="Times New Roman" w:cs="Times New Roman"/>
          <w:sz w:val="28"/>
          <w:szCs w:val="24"/>
        </w:rPr>
        <w:t xml:space="preserve">gads, kas attiecīgi tālāk tiek izmantots kā references gads nosacījuma pārbaudei. Attiecīgi </w:t>
      </w:r>
      <w:r w:rsidR="002B3B96">
        <w:rPr>
          <w:rFonts w:ascii="Times New Roman" w:eastAsia="Times New Roman" w:hAnsi="Times New Roman" w:cs="Times New Roman"/>
          <w:sz w:val="28"/>
          <w:szCs w:val="24"/>
        </w:rPr>
        <w:t>uz 2018.</w:t>
      </w:r>
      <w:r w:rsidRPr="009E5822">
        <w:rPr>
          <w:rFonts w:ascii="Times New Roman" w:eastAsia="Times New Roman" w:hAnsi="Times New Roman" w:cs="Times New Roman"/>
          <w:sz w:val="28"/>
          <w:szCs w:val="24"/>
        </w:rPr>
        <w:t>gadu, ņemot vērā statistisko informāciju par vispārējās valdības budžeta nominālo bilanci un FM izlaižu starpības novērtējumu, uzkrāto bilanču starpību summa pārsniedz FDL noteikto robežvērtību un ir -1,5% no IKP, tādējādi</w:t>
      </w:r>
      <w:r w:rsidR="00972667">
        <w:rPr>
          <w:rFonts w:ascii="Times New Roman" w:eastAsia="Times New Roman" w:hAnsi="Times New Roman" w:cs="Times New Roman"/>
          <w:sz w:val="28"/>
          <w:szCs w:val="24"/>
        </w:rPr>
        <w:t>,</w:t>
      </w:r>
      <w:r w:rsidRPr="009E5822">
        <w:rPr>
          <w:rFonts w:ascii="Times New Roman" w:eastAsia="Times New Roman" w:hAnsi="Times New Roman" w:cs="Times New Roman"/>
          <w:sz w:val="28"/>
          <w:szCs w:val="24"/>
        </w:rPr>
        <w:t xml:space="preserve"> pirmsšķietami</w:t>
      </w:r>
      <w:r w:rsidR="00972667">
        <w:rPr>
          <w:rFonts w:ascii="Times New Roman" w:eastAsia="Times New Roman" w:hAnsi="Times New Roman" w:cs="Times New Roman"/>
          <w:sz w:val="28"/>
          <w:szCs w:val="24"/>
        </w:rPr>
        <w:t>, 2023.gadā</w:t>
      </w:r>
      <w:r w:rsidRPr="009E5822">
        <w:rPr>
          <w:rFonts w:ascii="Times New Roman" w:eastAsia="Times New Roman" w:hAnsi="Times New Roman" w:cs="Times New Roman"/>
          <w:sz w:val="28"/>
          <w:szCs w:val="24"/>
        </w:rPr>
        <w:t xml:space="preserve"> būtu jāveic strukturālās bilances mērķa korekcijas VTBIL </w:t>
      </w:r>
      <w:r w:rsidR="002B3B96" w:rsidRPr="009E5822">
        <w:rPr>
          <w:rFonts w:ascii="Times New Roman" w:eastAsia="Times New Roman" w:hAnsi="Times New Roman" w:cs="Times New Roman"/>
          <w:sz w:val="28"/>
          <w:szCs w:val="24"/>
        </w:rPr>
        <w:t>2021</w:t>
      </w:r>
      <w:r w:rsidR="002B3B96">
        <w:rPr>
          <w:rFonts w:ascii="Times New Roman" w:eastAsia="Times New Roman" w:hAnsi="Times New Roman" w:cs="Times New Roman"/>
          <w:sz w:val="28"/>
          <w:szCs w:val="24"/>
        </w:rPr>
        <w:t xml:space="preserve">. 2022. un </w:t>
      </w:r>
      <w:r w:rsidR="002B3B96" w:rsidRPr="009E5822">
        <w:rPr>
          <w:rFonts w:ascii="Times New Roman" w:eastAsia="Times New Roman" w:hAnsi="Times New Roman" w:cs="Times New Roman"/>
          <w:sz w:val="28"/>
          <w:szCs w:val="24"/>
        </w:rPr>
        <w:t>2023</w:t>
      </w:r>
      <w:r w:rsidR="002B3B96">
        <w:rPr>
          <w:rFonts w:ascii="Times New Roman" w:eastAsia="Times New Roman" w:hAnsi="Times New Roman" w:cs="Times New Roman"/>
          <w:sz w:val="28"/>
          <w:szCs w:val="24"/>
        </w:rPr>
        <w:t>.gadam</w:t>
      </w:r>
      <w:r w:rsidRPr="009E5822">
        <w:rPr>
          <w:rFonts w:ascii="Times New Roman" w:eastAsia="Times New Roman" w:hAnsi="Times New Roman" w:cs="Times New Roman"/>
          <w:sz w:val="28"/>
          <w:szCs w:val="24"/>
        </w:rPr>
        <w:t xml:space="preserve">. Taču vienlaikus </w:t>
      </w:r>
      <w:r w:rsidR="002B3B96">
        <w:rPr>
          <w:rFonts w:ascii="Times New Roman" w:eastAsia="Times New Roman" w:hAnsi="Times New Roman" w:cs="Times New Roman"/>
          <w:sz w:val="28"/>
          <w:szCs w:val="24"/>
        </w:rPr>
        <w:t>FDL 11.panta 6.</w:t>
      </w:r>
      <w:r w:rsidRPr="009E5822">
        <w:rPr>
          <w:rFonts w:ascii="Times New Roman" w:eastAsia="Times New Roman" w:hAnsi="Times New Roman" w:cs="Times New Roman"/>
          <w:sz w:val="28"/>
          <w:szCs w:val="24"/>
        </w:rPr>
        <w:t xml:space="preserve">punkts paredz, ka koriģēšanu neveic, ja prognozētā </w:t>
      </w:r>
      <w:r w:rsidR="002B3B96">
        <w:rPr>
          <w:rFonts w:ascii="Times New Roman" w:eastAsia="Times New Roman" w:hAnsi="Times New Roman" w:cs="Times New Roman"/>
          <w:sz w:val="28"/>
          <w:szCs w:val="24"/>
        </w:rPr>
        <w:t>IKP</w:t>
      </w:r>
      <w:r w:rsidRPr="009E5822">
        <w:rPr>
          <w:rFonts w:ascii="Times New Roman" w:eastAsia="Times New Roman" w:hAnsi="Times New Roman" w:cs="Times New Roman"/>
          <w:sz w:val="28"/>
          <w:szCs w:val="24"/>
        </w:rPr>
        <w:t xml:space="preserve"> un potenciālā </w:t>
      </w:r>
      <w:r w:rsidR="002B3B96">
        <w:rPr>
          <w:rFonts w:ascii="Times New Roman" w:eastAsia="Times New Roman" w:hAnsi="Times New Roman" w:cs="Times New Roman"/>
          <w:sz w:val="28"/>
          <w:szCs w:val="24"/>
        </w:rPr>
        <w:t>IKP</w:t>
      </w:r>
      <w:r w:rsidRPr="009E5822">
        <w:rPr>
          <w:rFonts w:ascii="Times New Roman" w:eastAsia="Times New Roman" w:hAnsi="Times New Roman" w:cs="Times New Roman"/>
          <w:sz w:val="28"/>
          <w:szCs w:val="24"/>
        </w:rPr>
        <w:t xml:space="preserve"> starpība salīdzināmajās cenās ir negatīva. Koriģēšanu veic tajā gadā, kad minētā starpība ir pozitīva. Atbilstoši </w:t>
      </w:r>
      <w:r w:rsidR="002B3B96">
        <w:rPr>
          <w:rFonts w:ascii="Times New Roman" w:eastAsia="Times New Roman" w:hAnsi="Times New Roman" w:cs="Times New Roman"/>
          <w:sz w:val="28"/>
          <w:szCs w:val="24"/>
        </w:rPr>
        <w:t>FM</w:t>
      </w:r>
      <w:r w:rsidRPr="009E5822">
        <w:rPr>
          <w:rFonts w:ascii="Times New Roman" w:eastAsia="Times New Roman" w:hAnsi="Times New Roman" w:cs="Times New Roman"/>
          <w:sz w:val="28"/>
          <w:szCs w:val="24"/>
        </w:rPr>
        <w:t xml:space="preserve"> prognozēm, izlaižu starpība kopš šī gada ir būtiski negatīva t.sk. saglabājās negatīv</w:t>
      </w:r>
      <w:r w:rsidR="002B3B96">
        <w:rPr>
          <w:rFonts w:ascii="Times New Roman" w:eastAsia="Times New Roman" w:hAnsi="Times New Roman" w:cs="Times New Roman"/>
          <w:sz w:val="28"/>
          <w:szCs w:val="24"/>
        </w:rPr>
        <w:t>a arī 2023.gadā, sasniedzot  4,</w:t>
      </w:r>
      <w:r w:rsidRPr="009E5822">
        <w:rPr>
          <w:rFonts w:ascii="Times New Roman" w:eastAsia="Times New Roman" w:hAnsi="Times New Roman" w:cs="Times New Roman"/>
          <w:sz w:val="28"/>
          <w:szCs w:val="24"/>
        </w:rPr>
        <w:t>1% no potenciālā IKP. Līdz ar to strukturālās bilances mērķa koriģēšana netiek veikta</w:t>
      </w:r>
    </w:p>
    <w:p w14:paraId="730CB756" w14:textId="3A01BA33" w:rsidR="003F3FCD" w:rsidRPr="002B3B96" w:rsidRDefault="00D57DD6" w:rsidP="005D361F">
      <w:pPr>
        <w:pStyle w:val="Heading3"/>
      </w:pPr>
      <w:bookmarkStart w:id="51" w:name="_Toc53154103"/>
      <w:r w:rsidRPr="002B3B96">
        <w:rPr>
          <w:szCs w:val="24"/>
        </w:rPr>
        <w:t>2.1.4</w:t>
      </w:r>
      <w:r w:rsidR="00E8646E" w:rsidRPr="002B3B96">
        <w:rPr>
          <w:szCs w:val="24"/>
        </w:rPr>
        <w:t xml:space="preserve">. </w:t>
      </w:r>
      <w:r w:rsidR="000548A5" w:rsidRPr="002B3B96">
        <w:rPr>
          <w:szCs w:val="24"/>
        </w:rPr>
        <w:t>Vidēja termiņa strukturālās</w:t>
      </w:r>
      <w:r w:rsidR="000548A5" w:rsidRPr="002B3B96">
        <w:rPr>
          <w:sz w:val="32"/>
        </w:rPr>
        <w:t xml:space="preserve"> </w:t>
      </w:r>
      <w:r w:rsidR="000548A5" w:rsidRPr="002B3B96">
        <w:t>budžeta mēr</w:t>
      </w:r>
      <w:r w:rsidR="002B3B96">
        <w:t>ķu salīdzinājums ar</w:t>
      </w:r>
      <w:r w:rsidR="006732AD" w:rsidRPr="002B3B96">
        <w:t xml:space="preserve"> </w:t>
      </w:r>
      <w:r w:rsidR="002B3B96">
        <w:rPr>
          <w:rFonts w:eastAsia="Times New Roman"/>
          <w:szCs w:val="24"/>
        </w:rPr>
        <w:t xml:space="preserve">2020., 2021. un </w:t>
      </w:r>
      <w:r w:rsidR="002B3B96" w:rsidRPr="009E5822">
        <w:rPr>
          <w:rFonts w:eastAsia="Times New Roman"/>
          <w:szCs w:val="24"/>
        </w:rPr>
        <w:t>2022</w:t>
      </w:r>
      <w:r w:rsidR="002B3B96">
        <w:rPr>
          <w:rFonts w:eastAsia="Times New Roman"/>
          <w:szCs w:val="24"/>
        </w:rPr>
        <w:t>.gadam</w:t>
      </w:r>
      <w:bookmarkEnd w:id="51"/>
    </w:p>
    <w:p w14:paraId="49E25D9F" w14:textId="77777777" w:rsidR="003F3FCD" w:rsidRPr="006732AD" w:rsidRDefault="003F3FCD" w:rsidP="00401A5B">
      <w:pPr>
        <w:widowControl w:val="0"/>
        <w:jc w:val="both"/>
        <w:rPr>
          <w:rFonts w:ascii="Times New Roman" w:eastAsia="Times New Roman" w:hAnsi="Times New Roman" w:cs="Times New Roman"/>
          <w:b/>
          <w:color w:val="000000"/>
          <w:sz w:val="24"/>
          <w:highlight w:val="green"/>
        </w:rPr>
      </w:pPr>
    </w:p>
    <w:p w14:paraId="6C525195" w14:textId="301D6C33" w:rsidR="00BA3601" w:rsidRPr="00BA778A" w:rsidRDefault="002B3B96" w:rsidP="00BA778A">
      <w:pPr>
        <w:widowControl w:val="0"/>
        <w:ind w:firstLine="709"/>
        <w:jc w:val="both"/>
        <w:rPr>
          <w:rFonts w:ascii="Times New Roman" w:eastAsia="Times New Roman" w:hAnsi="Times New Roman" w:cs="Times New Roman"/>
          <w:color w:val="000000"/>
          <w:sz w:val="28"/>
        </w:rPr>
      </w:pPr>
      <w:r w:rsidRPr="002B3B96">
        <w:rPr>
          <w:rFonts w:ascii="Times New Roman" w:eastAsia="Times New Roman" w:hAnsi="Times New Roman" w:cs="Times New Roman"/>
          <w:color w:val="000000"/>
          <w:sz w:val="28"/>
        </w:rPr>
        <w:t xml:space="preserve">2.6.tabulā ir atspoguļots salīdzinājums starp </w:t>
      </w:r>
      <w:r w:rsidR="00F671F7">
        <w:rPr>
          <w:rFonts w:ascii="Times New Roman" w:eastAsia="Times New Roman" w:hAnsi="Times New Roman" w:cs="Times New Roman"/>
          <w:color w:val="000000"/>
          <w:sz w:val="28"/>
        </w:rPr>
        <w:t xml:space="preserve">VTBIL </w:t>
      </w:r>
      <w:r>
        <w:rPr>
          <w:rFonts w:ascii="Times New Roman" w:eastAsia="Times New Roman" w:hAnsi="Times New Roman" w:cs="Times New Roman"/>
          <w:sz w:val="28"/>
          <w:szCs w:val="24"/>
        </w:rPr>
        <w:t xml:space="preserve">2020., 2021. un </w:t>
      </w:r>
      <w:r w:rsidRPr="009E5822">
        <w:rPr>
          <w:rFonts w:ascii="Times New Roman" w:eastAsia="Times New Roman" w:hAnsi="Times New Roman" w:cs="Times New Roman"/>
          <w:sz w:val="28"/>
          <w:szCs w:val="24"/>
        </w:rPr>
        <w:t>2022</w:t>
      </w:r>
      <w:r>
        <w:rPr>
          <w:rFonts w:ascii="Times New Roman" w:eastAsia="Times New Roman" w:hAnsi="Times New Roman" w:cs="Times New Roman"/>
          <w:sz w:val="28"/>
          <w:szCs w:val="24"/>
        </w:rPr>
        <w:t>.gadam</w:t>
      </w:r>
      <w:r w:rsidRPr="009E5822">
        <w:rPr>
          <w:rFonts w:ascii="Times New Roman" w:eastAsia="Times New Roman" w:hAnsi="Times New Roman" w:cs="Times New Roman"/>
          <w:sz w:val="28"/>
          <w:szCs w:val="24"/>
        </w:rPr>
        <w:t xml:space="preserve"> </w:t>
      </w:r>
      <w:r w:rsidRPr="002B3B96">
        <w:rPr>
          <w:rFonts w:ascii="Times New Roman" w:eastAsia="Times New Roman" w:hAnsi="Times New Roman" w:cs="Times New Roman"/>
          <w:color w:val="000000"/>
          <w:sz w:val="28"/>
        </w:rPr>
        <w:t xml:space="preserve">un VTBIL </w:t>
      </w:r>
      <w:r>
        <w:rPr>
          <w:rFonts w:ascii="Times New Roman" w:eastAsia="Times New Roman" w:hAnsi="Times New Roman" w:cs="Times New Roman"/>
          <w:sz w:val="28"/>
          <w:szCs w:val="24"/>
        </w:rPr>
        <w:t>2021., 2022. un 2023.gadam</w:t>
      </w:r>
      <w:r w:rsidRPr="009E5822">
        <w:rPr>
          <w:rFonts w:ascii="Times New Roman" w:eastAsia="Times New Roman" w:hAnsi="Times New Roman" w:cs="Times New Roman"/>
          <w:sz w:val="28"/>
          <w:szCs w:val="24"/>
        </w:rPr>
        <w:t xml:space="preserve"> </w:t>
      </w:r>
      <w:r w:rsidRPr="002B3B96">
        <w:rPr>
          <w:rFonts w:ascii="Times New Roman" w:eastAsia="Times New Roman" w:hAnsi="Times New Roman" w:cs="Times New Roman"/>
          <w:color w:val="000000"/>
          <w:sz w:val="28"/>
        </w:rPr>
        <w:t>noteiktajiem vispārējās valdības strukturālās bilances mērķiem.</w:t>
      </w:r>
    </w:p>
    <w:p w14:paraId="2D10B199" w14:textId="77777777" w:rsidR="003F3FCD" w:rsidRPr="00F671F7" w:rsidRDefault="003F3FCD" w:rsidP="00401A5B">
      <w:pPr>
        <w:widowControl w:val="0"/>
        <w:jc w:val="both"/>
        <w:rPr>
          <w:rFonts w:ascii="Times New Roman" w:eastAsia="Times New Roman" w:hAnsi="Times New Roman" w:cs="Times New Roman"/>
          <w:color w:val="000000"/>
          <w:sz w:val="24"/>
        </w:rPr>
      </w:pPr>
    </w:p>
    <w:p w14:paraId="3FB27D4B" w14:textId="7D944CEC" w:rsidR="00F671F7" w:rsidRPr="00F671F7" w:rsidRDefault="00F671F7" w:rsidP="00F671F7">
      <w:pPr>
        <w:widowControl w:val="0"/>
        <w:jc w:val="right"/>
        <w:rPr>
          <w:rFonts w:ascii="Times New Roman" w:eastAsia="Times New Roman" w:hAnsi="Times New Roman" w:cs="Times New Roman"/>
          <w:b/>
          <w:i/>
          <w:color w:val="000000"/>
          <w:sz w:val="24"/>
        </w:rPr>
      </w:pPr>
      <w:r w:rsidRPr="00F671F7">
        <w:rPr>
          <w:rFonts w:ascii="Times New Roman" w:eastAsia="Times New Roman" w:hAnsi="Times New Roman" w:cs="Times New Roman"/>
          <w:b/>
          <w:i/>
          <w:color w:val="000000"/>
          <w:sz w:val="24"/>
        </w:rPr>
        <w:t xml:space="preserve">2.6.tabula. Vispārējās valdības budžeta mērķu salīdzinājums starp </w:t>
      </w:r>
      <w:r w:rsidR="007A565C">
        <w:rPr>
          <w:rFonts w:ascii="Times New Roman" w:eastAsia="Times New Roman" w:hAnsi="Times New Roman" w:cs="Times New Roman"/>
          <w:b/>
          <w:i/>
          <w:color w:val="000000"/>
          <w:sz w:val="24"/>
        </w:rPr>
        <w:t>VTBIL</w:t>
      </w:r>
      <w:r w:rsidRPr="00F671F7">
        <w:rPr>
          <w:rFonts w:ascii="Times New Roman" w:eastAsia="Times New Roman" w:hAnsi="Times New Roman" w:cs="Times New Roman"/>
          <w:b/>
          <w:i/>
          <w:color w:val="000000"/>
          <w:sz w:val="24"/>
        </w:rPr>
        <w:t xml:space="preserve"> </w:t>
      </w:r>
      <w:r w:rsidR="007A565C" w:rsidRPr="007A565C">
        <w:rPr>
          <w:rFonts w:ascii="Times New Roman" w:eastAsia="Times New Roman" w:hAnsi="Times New Roman" w:cs="Times New Roman"/>
          <w:b/>
          <w:i/>
          <w:color w:val="000000"/>
          <w:sz w:val="24"/>
        </w:rPr>
        <w:t>2020., 2021. un 2022.gadam un VTBIL 2021., 2022. un 2023.gadam</w:t>
      </w:r>
    </w:p>
    <w:tbl>
      <w:tblPr>
        <w:tblW w:w="0" w:type="auto"/>
        <w:jc w:val="center"/>
        <w:tblCellMar>
          <w:left w:w="10" w:type="dxa"/>
          <w:right w:w="10" w:type="dxa"/>
        </w:tblCellMar>
        <w:tblLook w:val="0000" w:firstRow="0" w:lastRow="0" w:firstColumn="0" w:lastColumn="0" w:noHBand="0" w:noVBand="0"/>
      </w:tblPr>
      <w:tblGrid>
        <w:gridCol w:w="703"/>
        <w:gridCol w:w="1698"/>
        <w:gridCol w:w="1989"/>
        <w:gridCol w:w="1750"/>
        <w:gridCol w:w="1675"/>
        <w:gridCol w:w="962"/>
      </w:tblGrid>
      <w:tr w:rsidR="00F671F7" w:rsidRPr="00F671F7" w14:paraId="613A11B1" w14:textId="77777777" w:rsidTr="00A575F0">
        <w:trPr>
          <w:jc w:val="center"/>
        </w:trPr>
        <w:tc>
          <w:tcPr>
            <w:tcW w:w="703" w:type="dxa"/>
            <w:vMerge w:val="restart"/>
            <w:tcBorders>
              <w:top w:val="single" w:sz="4" w:space="0" w:color="000000"/>
              <w:left w:val="single" w:sz="4" w:space="0" w:color="000000"/>
              <w:bottom w:val="single" w:sz="12" w:space="0" w:color="9CC2E5"/>
              <w:right w:val="single" w:sz="4" w:space="0" w:color="000000"/>
            </w:tcBorders>
            <w:shd w:val="clear" w:color="000000" w:fill="BDD6EE"/>
            <w:tcMar>
              <w:left w:w="108" w:type="dxa"/>
              <w:right w:w="108" w:type="dxa"/>
            </w:tcMar>
            <w:vAlign w:val="center"/>
          </w:tcPr>
          <w:p w14:paraId="3D7D7705" w14:textId="77777777" w:rsidR="00F671F7" w:rsidRPr="00F671F7" w:rsidRDefault="00F671F7" w:rsidP="00F671F7">
            <w:pPr>
              <w:widowControl w:val="0"/>
              <w:jc w:val="center"/>
              <w:rPr>
                <w:rFonts w:ascii="Calibri" w:eastAsia="Calibri" w:hAnsi="Calibri" w:cs="Calibri"/>
              </w:rPr>
            </w:pPr>
          </w:p>
        </w:tc>
        <w:tc>
          <w:tcPr>
            <w:tcW w:w="3687" w:type="dxa"/>
            <w:gridSpan w:val="2"/>
            <w:tcBorders>
              <w:top w:val="single" w:sz="4" w:space="0" w:color="000000"/>
              <w:left w:val="single" w:sz="4" w:space="0" w:color="000000"/>
              <w:bottom w:val="single" w:sz="4" w:space="0" w:color="000000"/>
              <w:right w:val="single" w:sz="4" w:space="0" w:color="000000"/>
            </w:tcBorders>
            <w:shd w:val="clear" w:color="000000" w:fill="BDD6EE"/>
            <w:tcMar>
              <w:left w:w="108" w:type="dxa"/>
              <w:right w:w="108" w:type="dxa"/>
            </w:tcMar>
            <w:vAlign w:val="center"/>
          </w:tcPr>
          <w:p w14:paraId="114BCD51" w14:textId="77777777" w:rsidR="00F671F7" w:rsidRPr="00F671F7" w:rsidRDefault="00F671F7" w:rsidP="00F671F7">
            <w:pPr>
              <w:widowControl w:val="0"/>
              <w:jc w:val="center"/>
            </w:pPr>
            <w:r w:rsidRPr="00F671F7">
              <w:rPr>
                <w:rFonts w:ascii="Times New Roman" w:eastAsia="Times New Roman" w:hAnsi="Times New Roman" w:cs="Times New Roman"/>
                <w:b/>
                <w:color w:val="000000"/>
                <w:sz w:val="20"/>
              </w:rPr>
              <w:t>Ietvara likums 2020-2022</w:t>
            </w:r>
          </w:p>
        </w:tc>
        <w:tc>
          <w:tcPr>
            <w:tcW w:w="3425" w:type="dxa"/>
            <w:gridSpan w:val="2"/>
            <w:tcBorders>
              <w:top w:val="single" w:sz="4" w:space="0" w:color="000000"/>
              <w:left w:val="single" w:sz="4" w:space="0" w:color="000000"/>
              <w:bottom w:val="single" w:sz="4" w:space="0" w:color="000000"/>
              <w:right w:val="single" w:sz="4" w:space="0" w:color="000000"/>
            </w:tcBorders>
            <w:shd w:val="clear" w:color="000000" w:fill="BDD6EE"/>
            <w:tcMar>
              <w:left w:w="108" w:type="dxa"/>
              <w:right w:w="108" w:type="dxa"/>
            </w:tcMar>
            <w:vAlign w:val="center"/>
          </w:tcPr>
          <w:p w14:paraId="24104F61" w14:textId="77777777" w:rsidR="00F671F7" w:rsidRPr="00F671F7" w:rsidRDefault="00F671F7" w:rsidP="00F671F7">
            <w:pPr>
              <w:widowControl w:val="0"/>
              <w:jc w:val="center"/>
            </w:pPr>
            <w:r w:rsidRPr="00F671F7">
              <w:rPr>
                <w:rFonts w:ascii="Times New Roman" w:eastAsia="Times New Roman" w:hAnsi="Times New Roman" w:cs="Times New Roman"/>
                <w:b/>
                <w:color w:val="000000"/>
                <w:sz w:val="20"/>
              </w:rPr>
              <w:t>Ietvara likums 2021-2023</w:t>
            </w:r>
          </w:p>
        </w:tc>
        <w:tc>
          <w:tcPr>
            <w:tcW w:w="962" w:type="dxa"/>
            <w:vMerge w:val="restart"/>
            <w:tcBorders>
              <w:top w:val="single" w:sz="4" w:space="0" w:color="000000"/>
              <w:left w:val="single" w:sz="4" w:space="0" w:color="000000"/>
              <w:bottom w:val="single" w:sz="12" w:space="0" w:color="9CC2E5"/>
              <w:right w:val="single" w:sz="4" w:space="0" w:color="000000"/>
            </w:tcBorders>
            <w:shd w:val="clear" w:color="000000" w:fill="BDD6EE"/>
            <w:tcMar>
              <w:left w:w="108" w:type="dxa"/>
              <w:right w:w="108" w:type="dxa"/>
            </w:tcMar>
            <w:vAlign w:val="center"/>
          </w:tcPr>
          <w:p w14:paraId="20C2037F" w14:textId="77777777" w:rsidR="00F671F7" w:rsidRPr="00F671F7" w:rsidRDefault="00F671F7" w:rsidP="00F671F7">
            <w:pPr>
              <w:widowControl w:val="0"/>
              <w:jc w:val="center"/>
              <w:rPr>
                <w:rFonts w:ascii="Times New Roman" w:eastAsia="Times New Roman" w:hAnsi="Times New Roman" w:cs="Times New Roman"/>
                <w:b/>
                <w:color w:val="000000"/>
                <w:sz w:val="20"/>
              </w:rPr>
            </w:pPr>
            <w:r w:rsidRPr="00F671F7">
              <w:rPr>
                <w:rFonts w:ascii="Times New Roman" w:eastAsia="Times New Roman" w:hAnsi="Times New Roman" w:cs="Times New Roman"/>
                <w:b/>
                <w:color w:val="000000"/>
                <w:sz w:val="20"/>
              </w:rPr>
              <w:t>Starpība</w:t>
            </w:r>
          </w:p>
          <w:p w14:paraId="4E0CEF02" w14:textId="77777777" w:rsidR="00F671F7" w:rsidRPr="00F671F7" w:rsidRDefault="00F671F7" w:rsidP="00F671F7">
            <w:pPr>
              <w:widowControl w:val="0"/>
              <w:jc w:val="center"/>
            </w:pPr>
            <w:r w:rsidRPr="00F671F7">
              <w:rPr>
                <w:rFonts w:ascii="Times New Roman" w:eastAsia="Times New Roman" w:hAnsi="Times New Roman" w:cs="Times New Roman"/>
                <w:b/>
                <w:color w:val="000000"/>
                <w:sz w:val="20"/>
              </w:rPr>
              <w:t>(3)=(2)-(1)</w:t>
            </w:r>
          </w:p>
        </w:tc>
      </w:tr>
      <w:tr w:rsidR="00F671F7" w:rsidRPr="00F671F7" w14:paraId="4B53E373" w14:textId="77777777" w:rsidTr="00A575F0">
        <w:trPr>
          <w:jc w:val="center"/>
        </w:trPr>
        <w:tc>
          <w:tcPr>
            <w:tcW w:w="703" w:type="dxa"/>
            <w:vMerge/>
            <w:tcBorders>
              <w:top w:val="single" w:sz="4" w:space="0" w:color="000000"/>
              <w:left w:val="single" w:sz="4" w:space="0" w:color="000000"/>
              <w:bottom w:val="single" w:sz="12" w:space="0" w:color="9CC2E5"/>
              <w:right w:val="single" w:sz="4" w:space="0" w:color="000000"/>
            </w:tcBorders>
            <w:shd w:val="clear" w:color="000000" w:fill="BDD6EE"/>
            <w:tcMar>
              <w:left w:w="108" w:type="dxa"/>
              <w:right w:w="108" w:type="dxa"/>
            </w:tcMar>
            <w:vAlign w:val="center"/>
          </w:tcPr>
          <w:p w14:paraId="0BC597B5" w14:textId="77777777" w:rsidR="00F671F7" w:rsidRPr="00F671F7" w:rsidRDefault="00F671F7" w:rsidP="00F671F7">
            <w:pPr>
              <w:rPr>
                <w:rFonts w:ascii="Calibri" w:eastAsia="Calibri" w:hAnsi="Calibri" w:cs="Calibri"/>
              </w:rPr>
            </w:pPr>
          </w:p>
        </w:tc>
        <w:tc>
          <w:tcPr>
            <w:tcW w:w="1698" w:type="dxa"/>
            <w:tcBorders>
              <w:top w:val="single" w:sz="4" w:space="0" w:color="000000"/>
              <w:left w:val="single" w:sz="4" w:space="0" w:color="000000"/>
              <w:bottom w:val="single" w:sz="4" w:space="0" w:color="000000"/>
              <w:right w:val="single" w:sz="4" w:space="0" w:color="000000"/>
            </w:tcBorders>
            <w:shd w:val="clear" w:color="000000" w:fill="BDD6EE"/>
            <w:tcMar>
              <w:left w:w="108" w:type="dxa"/>
              <w:right w:w="108" w:type="dxa"/>
            </w:tcMar>
            <w:vAlign w:val="center"/>
          </w:tcPr>
          <w:p w14:paraId="3659BD84"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Strukturālās bilances mērķis</w:t>
            </w:r>
          </w:p>
          <w:p w14:paraId="2BC844B9"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(2)</w:t>
            </w:r>
          </w:p>
        </w:tc>
        <w:tc>
          <w:tcPr>
            <w:tcW w:w="1989" w:type="dxa"/>
            <w:tcBorders>
              <w:top w:val="single" w:sz="4" w:space="0" w:color="000000"/>
              <w:left w:val="single" w:sz="4" w:space="0" w:color="000000"/>
              <w:bottom w:val="single" w:sz="4" w:space="0" w:color="000000"/>
              <w:right w:val="single" w:sz="4" w:space="0" w:color="000000"/>
            </w:tcBorders>
            <w:shd w:val="clear" w:color="000000" w:fill="BDD6EE"/>
            <w:tcMar>
              <w:left w:w="108" w:type="dxa"/>
              <w:right w:w="108" w:type="dxa"/>
            </w:tcMar>
            <w:vAlign w:val="center"/>
          </w:tcPr>
          <w:p w14:paraId="3D0149E5"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Noteicošais fiskālais nosacījums</w:t>
            </w:r>
          </w:p>
        </w:tc>
        <w:tc>
          <w:tcPr>
            <w:tcW w:w="1750" w:type="dxa"/>
            <w:tcBorders>
              <w:top w:val="single" w:sz="4" w:space="0" w:color="000000"/>
              <w:left w:val="single" w:sz="4" w:space="0" w:color="000000"/>
              <w:bottom w:val="single" w:sz="4" w:space="0" w:color="000000"/>
              <w:right w:val="single" w:sz="4" w:space="0" w:color="000000"/>
            </w:tcBorders>
            <w:shd w:val="clear" w:color="000000" w:fill="BDD6EE"/>
            <w:tcMar>
              <w:left w:w="108" w:type="dxa"/>
              <w:right w:w="108" w:type="dxa"/>
            </w:tcMar>
            <w:vAlign w:val="center"/>
          </w:tcPr>
          <w:p w14:paraId="757CA41D"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Strukturālās bilances mērķis</w:t>
            </w:r>
          </w:p>
          <w:p w14:paraId="49B0E924"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(2)</w:t>
            </w:r>
          </w:p>
        </w:tc>
        <w:tc>
          <w:tcPr>
            <w:tcW w:w="1675" w:type="dxa"/>
            <w:tcBorders>
              <w:top w:val="single" w:sz="4" w:space="0" w:color="000000"/>
              <w:left w:val="single" w:sz="4" w:space="0" w:color="000000"/>
              <w:bottom w:val="single" w:sz="4" w:space="0" w:color="000000"/>
              <w:right w:val="single" w:sz="4" w:space="0" w:color="000000"/>
            </w:tcBorders>
            <w:shd w:val="clear" w:color="000000" w:fill="BDD6EE"/>
            <w:tcMar>
              <w:left w:w="108" w:type="dxa"/>
              <w:right w:w="108" w:type="dxa"/>
            </w:tcMar>
            <w:vAlign w:val="center"/>
          </w:tcPr>
          <w:p w14:paraId="22ECE69E"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Noteicošais fiskālais nosacījums</w:t>
            </w:r>
          </w:p>
        </w:tc>
        <w:tc>
          <w:tcPr>
            <w:tcW w:w="962" w:type="dxa"/>
            <w:vMerge/>
            <w:tcBorders>
              <w:top w:val="single" w:sz="4" w:space="0" w:color="000000"/>
              <w:left w:val="single" w:sz="4" w:space="0" w:color="000000"/>
              <w:bottom w:val="single" w:sz="12" w:space="0" w:color="9CC2E5"/>
              <w:right w:val="single" w:sz="4" w:space="0" w:color="000000"/>
            </w:tcBorders>
            <w:shd w:val="clear" w:color="000000" w:fill="BDD6EE"/>
            <w:tcMar>
              <w:left w:w="108" w:type="dxa"/>
              <w:right w:w="108" w:type="dxa"/>
            </w:tcMar>
            <w:vAlign w:val="center"/>
          </w:tcPr>
          <w:p w14:paraId="7557FB62" w14:textId="77777777" w:rsidR="00F671F7" w:rsidRPr="00F671F7" w:rsidRDefault="00F671F7" w:rsidP="00F671F7"/>
        </w:tc>
      </w:tr>
      <w:tr w:rsidR="00F671F7" w:rsidRPr="00F671F7" w14:paraId="7773A7B0" w14:textId="77777777" w:rsidTr="00A575F0">
        <w:trPr>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6C498E90" w14:textId="77777777" w:rsidR="00F671F7" w:rsidRPr="00F671F7" w:rsidRDefault="00F671F7" w:rsidP="00F671F7">
            <w:pPr>
              <w:widowControl w:val="0"/>
              <w:jc w:val="center"/>
            </w:pPr>
            <w:r w:rsidRPr="00F671F7">
              <w:rPr>
                <w:rFonts w:ascii="Times New Roman" w:eastAsia="Times New Roman" w:hAnsi="Times New Roman" w:cs="Times New Roman"/>
                <w:b/>
                <w:color w:val="000000"/>
                <w:sz w:val="20"/>
              </w:rPr>
              <w:t>2020</w:t>
            </w:r>
          </w:p>
        </w:tc>
        <w:tc>
          <w:tcPr>
            <w:tcW w:w="1698"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5CEF17B5"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-0,5</w:t>
            </w:r>
          </w:p>
        </w:tc>
        <w:tc>
          <w:tcPr>
            <w:tcW w:w="1989"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5B6D5C16"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Izdevumu pieauguma nosacījums</w:t>
            </w:r>
          </w:p>
        </w:tc>
        <w:tc>
          <w:tcPr>
            <w:tcW w:w="1750"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0D728FF6"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x</w:t>
            </w:r>
          </w:p>
        </w:tc>
        <w:tc>
          <w:tcPr>
            <w:tcW w:w="1675"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7F098D48"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x</w:t>
            </w:r>
          </w:p>
        </w:tc>
        <w:tc>
          <w:tcPr>
            <w:tcW w:w="962"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2C7DF6D9" w14:textId="77777777" w:rsidR="00F671F7" w:rsidRPr="00F671F7" w:rsidRDefault="00F671F7" w:rsidP="00F671F7">
            <w:pPr>
              <w:widowControl w:val="0"/>
              <w:jc w:val="center"/>
              <w:rPr>
                <w:rFonts w:ascii="Times New Roman" w:eastAsia="Times New Roman" w:hAnsi="Times New Roman" w:cs="Times New Roman"/>
                <w:color w:val="000000"/>
                <w:sz w:val="20"/>
              </w:rPr>
            </w:pPr>
          </w:p>
        </w:tc>
      </w:tr>
      <w:tr w:rsidR="00F671F7" w:rsidRPr="00F671F7" w14:paraId="374F1EDC" w14:textId="77777777" w:rsidTr="007A565C">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2AF5085E" w14:textId="77777777" w:rsidR="00F671F7" w:rsidRPr="00F671F7" w:rsidRDefault="00F671F7" w:rsidP="00F671F7">
            <w:pPr>
              <w:widowControl w:val="0"/>
              <w:jc w:val="center"/>
            </w:pPr>
            <w:r w:rsidRPr="00F671F7">
              <w:rPr>
                <w:rFonts w:ascii="Times New Roman" w:eastAsia="Times New Roman" w:hAnsi="Times New Roman" w:cs="Times New Roman"/>
                <w:b/>
                <w:color w:val="000000"/>
                <w:sz w:val="20"/>
              </w:rPr>
              <w:t>2021</w:t>
            </w:r>
          </w:p>
        </w:tc>
        <w:tc>
          <w:tcPr>
            <w:tcW w:w="169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154EDAB0"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-0,5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0D2851EE"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Bilances nosacījums</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5EDBCF95"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-2,1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31B762D8"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Bilances nosacījums</w:t>
            </w:r>
          </w:p>
        </w:tc>
        <w:tc>
          <w:tcPr>
            <w:tcW w:w="9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6357B888"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-1,6</w:t>
            </w:r>
          </w:p>
        </w:tc>
      </w:tr>
      <w:tr w:rsidR="00F671F7" w:rsidRPr="00F671F7" w14:paraId="7A19522D" w14:textId="77777777" w:rsidTr="00A575F0">
        <w:trPr>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715FB583" w14:textId="77777777" w:rsidR="00F671F7" w:rsidRPr="00F671F7" w:rsidRDefault="00F671F7" w:rsidP="00F671F7">
            <w:pPr>
              <w:widowControl w:val="0"/>
              <w:jc w:val="center"/>
            </w:pPr>
            <w:r w:rsidRPr="00F671F7">
              <w:rPr>
                <w:rFonts w:ascii="Times New Roman" w:eastAsia="Times New Roman" w:hAnsi="Times New Roman" w:cs="Times New Roman"/>
                <w:b/>
                <w:color w:val="000000"/>
                <w:sz w:val="20"/>
              </w:rPr>
              <w:t>2022</w:t>
            </w:r>
          </w:p>
        </w:tc>
        <w:tc>
          <w:tcPr>
            <w:tcW w:w="1698"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7FC34963"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-0,5</w:t>
            </w:r>
          </w:p>
        </w:tc>
        <w:tc>
          <w:tcPr>
            <w:tcW w:w="1989"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01E36343" w14:textId="77777777" w:rsidR="00F671F7" w:rsidRPr="00F671F7" w:rsidRDefault="00F671F7" w:rsidP="00F671F7">
            <w:pPr>
              <w:widowControl w:val="0"/>
              <w:jc w:val="center"/>
            </w:pPr>
            <w:r w:rsidRPr="00F671F7">
              <w:rPr>
                <w:rFonts w:ascii="Times New Roman" w:eastAsia="Times New Roman" w:hAnsi="Times New Roman" w:cs="Times New Roman"/>
                <w:color w:val="000000"/>
                <w:sz w:val="20"/>
              </w:rPr>
              <w:t>Bilances nosacījums</w:t>
            </w:r>
          </w:p>
        </w:tc>
        <w:tc>
          <w:tcPr>
            <w:tcW w:w="1750"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0B63C467"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-1,1</w:t>
            </w:r>
          </w:p>
        </w:tc>
        <w:tc>
          <w:tcPr>
            <w:tcW w:w="1675"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0D726CB4"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Bilances nosacījums</w:t>
            </w:r>
          </w:p>
        </w:tc>
        <w:tc>
          <w:tcPr>
            <w:tcW w:w="962"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79C0F238"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-0,6</w:t>
            </w:r>
          </w:p>
        </w:tc>
      </w:tr>
      <w:tr w:rsidR="00F671F7" w:rsidRPr="00F671F7" w14:paraId="5DA9B8A5" w14:textId="77777777" w:rsidTr="007A565C">
        <w:trPr>
          <w:trHeight w:val="429"/>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38728C4C" w14:textId="77777777" w:rsidR="00F671F7" w:rsidRPr="00F671F7" w:rsidRDefault="00F671F7" w:rsidP="00F671F7">
            <w:pPr>
              <w:widowControl w:val="0"/>
              <w:jc w:val="center"/>
              <w:rPr>
                <w:rFonts w:ascii="Times New Roman" w:eastAsia="Times New Roman" w:hAnsi="Times New Roman" w:cs="Times New Roman"/>
                <w:b/>
                <w:color w:val="000000"/>
                <w:sz w:val="20"/>
              </w:rPr>
            </w:pPr>
            <w:r w:rsidRPr="00F671F7">
              <w:rPr>
                <w:rFonts w:ascii="Times New Roman" w:eastAsia="Times New Roman" w:hAnsi="Times New Roman" w:cs="Times New Roman"/>
                <w:b/>
                <w:color w:val="000000"/>
                <w:sz w:val="20"/>
              </w:rPr>
              <w:t>2023</w:t>
            </w:r>
          </w:p>
        </w:tc>
        <w:tc>
          <w:tcPr>
            <w:tcW w:w="1698"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1D7D1481"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x</w:t>
            </w:r>
          </w:p>
        </w:tc>
        <w:tc>
          <w:tcPr>
            <w:tcW w:w="1989"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62886AFC"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x</w:t>
            </w:r>
          </w:p>
        </w:tc>
        <w:tc>
          <w:tcPr>
            <w:tcW w:w="1750"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267D2263" w14:textId="77777777" w:rsidR="00F671F7" w:rsidRPr="00F671F7" w:rsidRDefault="00F671F7" w:rsidP="00F671F7">
            <w:pPr>
              <w:widowControl w:val="0"/>
              <w:jc w:val="center"/>
              <w:rPr>
                <w:rFonts w:ascii="Times New Roman" w:eastAsia="Times New Roman" w:hAnsi="Times New Roman" w:cs="Times New Roman"/>
                <w:color w:val="000000"/>
                <w:sz w:val="20"/>
              </w:rPr>
            </w:pPr>
            <w:r w:rsidRPr="00F671F7">
              <w:rPr>
                <w:rFonts w:ascii="Times New Roman" w:eastAsia="Times New Roman" w:hAnsi="Times New Roman" w:cs="Times New Roman"/>
                <w:color w:val="000000"/>
                <w:sz w:val="20"/>
              </w:rPr>
              <w:t>-0,5</w:t>
            </w:r>
          </w:p>
        </w:tc>
        <w:tc>
          <w:tcPr>
            <w:tcW w:w="1675"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299CE577" w14:textId="77777777" w:rsidR="00F671F7" w:rsidRPr="00F671F7" w:rsidRDefault="00F671F7" w:rsidP="00F671F7">
            <w:pPr>
              <w:widowControl w:val="0"/>
              <w:jc w:val="center"/>
              <w:rPr>
                <w:rFonts w:ascii="Times New Roman" w:eastAsia="Times New Roman" w:hAnsi="Times New Roman" w:cs="Times New Roman"/>
                <w:color w:val="000000"/>
                <w:sz w:val="20"/>
              </w:rPr>
            </w:pPr>
          </w:p>
        </w:tc>
        <w:tc>
          <w:tcPr>
            <w:tcW w:w="962"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vAlign w:val="center"/>
          </w:tcPr>
          <w:p w14:paraId="031BD43C" w14:textId="77777777" w:rsidR="00F671F7" w:rsidRPr="00F671F7" w:rsidRDefault="00F671F7" w:rsidP="00F671F7">
            <w:pPr>
              <w:widowControl w:val="0"/>
              <w:jc w:val="center"/>
              <w:rPr>
                <w:rFonts w:ascii="Times New Roman" w:eastAsia="Times New Roman" w:hAnsi="Times New Roman" w:cs="Times New Roman"/>
                <w:color w:val="000000"/>
                <w:sz w:val="20"/>
              </w:rPr>
            </w:pPr>
          </w:p>
        </w:tc>
      </w:tr>
    </w:tbl>
    <w:p w14:paraId="531D6A49" w14:textId="77777777" w:rsidR="00F671F7" w:rsidRPr="00F671F7" w:rsidRDefault="00F671F7" w:rsidP="00F671F7">
      <w:pPr>
        <w:widowControl w:val="0"/>
        <w:jc w:val="both"/>
        <w:rPr>
          <w:rFonts w:ascii="Times New Roman" w:eastAsia="Times New Roman" w:hAnsi="Times New Roman" w:cs="Times New Roman"/>
          <w:b/>
          <w:color w:val="000000"/>
          <w:sz w:val="24"/>
        </w:rPr>
      </w:pPr>
    </w:p>
    <w:p w14:paraId="0691C3CD" w14:textId="0336B2AE" w:rsidR="007F305B" w:rsidRPr="00F75A1F" w:rsidRDefault="00F671F7" w:rsidP="00F75A1F">
      <w:pPr>
        <w:widowControl w:val="0"/>
        <w:ind w:firstLine="720"/>
        <w:jc w:val="both"/>
        <w:rPr>
          <w:rFonts w:ascii="Times New Roman" w:eastAsia="Times New Roman" w:hAnsi="Times New Roman" w:cs="Times New Roman"/>
          <w:color w:val="000000"/>
          <w:sz w:val="28"/>
        </w:rPr>
      </w:pPr>
      <w:r w:rsidRPr="00F671F7">
        <w:rPr>
          <w:rFonts w:ascii="Times New Roman" w:eastAsia="Times New Roman" w:hAnsi="Times New Roman" w:cs="Times New Roman"/>
          <w:color w:val="000000"/>
          <w:sz w:val="28"/>
        </w:rPr>
        <w:t xml:space="preserve">Salīdzinot strukturālās bilances mērķi 2021. gadam un 2022.gadam starp abiem VTBIL, jāņem </w:t>
      </w:r>
      <w:r w:rsidR="007A565C">
        <w:rPr>
          <w:rFonts w:ascii="Times New Roman" w:eastAsia="Times New Roman" w:hAnsi="Times New Roman" w:cs="Times New Roman"/>
          <w:color w:val="000000"/>
          <w:sz w:val="28"/>
        </w:rPr>
        <w:t>vērā specifiskie apstākļi 2020.</w:t>
      </w:r>
      <w:r w:rsidRPr="00F671F7">
        <w:rPr>
          <w:rFonts w:ascii="Times New Roman" w:eastAsia="Times New Roman" w:hAnsi="Times New Roman" w:cs="Times New Roman"/>
          <w:color w:val="000000"/>
          <w:sz w:val="28"/>
        </w:rPr>
        <w:t>gadā, kas attiecīgi izskaidro būtisko starpību attiecīgajos gados un ir detaliz</w:t>
      </w:r>
      <w:r w:rsidR="00F75A1F">
        <w:rPr>
          <w:rFonts w:ascii="Times New Roman" w:eastAsia="Times New Roman" w:hAnsi="Times New Roman" w:cs="Times New Roman"/>
          <w:color w:val="000000"/>
          <w:sz w:val="28"/>
        </w:rPr>
        <w:t>ēti aprakstīti 2.1.1.nodaļā.</w:t>
      </w:r>
    </w:p>
    <w:p w14:paraId="2111554F" w14:textId="37C97822" w:rsidR="007F305B" w:rsidRDefault="00D57DD6" w:rsidP="005D361F">
      <w:pPr>
        <w:pStyle w:val="Heading3"/>
      </w:pPr>
      <w:bookmarkStart w:id="52" w:name="_Toc53154104"/>
      <w:r>
        <w:t>2.1.5</w:t>
      </w:r>
      <w:r w:rsidR="00E8646E">
        <w:t xml:space="preserve">. </w:t>
      </w:r>
      <w:r w:rsidR="007F305B">
        <w:t>V</w:t>
      </w:r>
      <w:r w:rsidR="007F305B" w:rsidRPr="007F305B">
        <w:t>ispārējās valdības sektorā klasif</w:t>
      </w:r>
      <w:r w:rsidR="005715BC">
        <w:t>icēto kapitālsabiedrību faktiskā ietekme</w:t>
      </w:r>
      <w:r w:rsidR="007F305B" w:rsidRPr="007F305B">
        <w:t xml:space="preserve"> uz vispārējās valdības budžeta bilanci un </w:t>
      </w:r>
      <w:r w:rsidR="007F305B" w:rsidRPr="00703D95">
        <w:t>parādu</w:t>
      </w:r>
      <w:bookmarkEnd w:id="52"/>
    </w:p>
    <w:p w14:paraId="31027644" w14:textId="77777777" w:rsidR="007F305B" w:rsidRDefault="007F305B" w:rsidP="00401A5B"/>
    <w:p w14:paraId="467FDBE1" w14:textId="69622275" w:rsidR="00122F78" w:rsidRPr="00D57DD6" w:rsidRDefault="00D57DD6" w:rsidP="00401A5B">
      <w:pPr>
        <w:ind w:firstLine="709"/>
        <w:jc w:val="both"/>
        <w:rPr>
          <w:rFonts w:ascii="Times New Roman" w:hAnsi="Times New Roman"/>
          <w:sz w:val="28"/>
          <w:szCs w:val="24"/>
        </w:rPr>
      </w:pPr>
      <w:r w:rsidRPr="00D57DD6">
        <w:rPr>
          <w:rFonts w:ascii="Times New Roman" w:hAnsi="Times New Roman" w:cs="Times New Roman"/>
          <w:sz w:val="28"/>
          <w:szCs w:val="24"/>
        </w:rPr>
        <w:t>VTBIL 2021</w:t>
      </w:r>
      <w:r>
        <w:rPr>
          <w:rFonts w:ascii="Times New Roman" w:hAnsi="Times New Roman" w:cs="Times New Roman"/>
          <w:sz w:val="28"/>
          <w:szCs w:val="24"/>
        </w:rPr>
        <w:t xml:space="preserve">., 2022. un </w:t>
      </w:r>
      <w:r w:rsidRPr="00D57DD6">
        <w:rPr>
          <w:rFonts w:ascii="Times New Roman" w:hAnsi="Times New Roman" w:cs="Times New Roman"/>
          <w:sz w:val="28"/>
          <w:szCs w:val="24"/>
        </w:rPr>
        <w:t>2023</w:t>
      </w:r>
      <w:r>
        <w:rPr>
          <w:rFonts w:ascii="Times New Roman" w:hAnsi="Times New Roman" w:cs="Times New Roman"/>
          <w:sz w:val="28"/>
          <w:szCs w:val="24"/>
        </w:rPr>
        <w:t xml:space="preserve">.gadam </w:t>
      </w:r>
      <w:r w:rsidRPr="00D57DD6">
        <w:rPr>
          <w:rFonts w:ascii="Times New Roman" w:hAnsi="Times New Roman" w:cs="Times New Roman"/>
          <w:sz w:val="28"/>
          <w:szCs w:val="24"/>
        </w:rPr>
        <w:t>projekta 18</w:t>
      </w:r>
      <w:r>
        <w:rPr>
          <w:rFonts w:ascii="Times New Roman" w:hAnsi="Times New Roman" w:cs="Times New Roman"/>
          <w:sz w:val="28"/>
          <w:szCs w:val="24"/>
        </w:rPr>
        <w:t>.</w:t>
      </w:r>
      <w:r w:rsidR="00703D95" w:rsidRPr="00D57DD6">
        <w:rPr>
          <w:rFonts w:ascii="Times New Roman" w:hAnsi="Times New Roman" w:cs="Times New Roman"/>
          <w:sz w:val="28"/>
          <w:szCs w:val="24"/>
        </w:rPr>
        <w:t>pantā ir noteikts,</w:t>
      </w:r>
      <w:r w:rsidR="007F305B" w:rsidRPr="00D57DD6">
        <w:rPr>
          <w:rFonts w:ascii="Times New Roman" w:hAnsi="Times New Roman" w:cs="Times New Roman"/>
          <w:sz w:val="28"/>
          <w:szCs w:val="24"/>
        </w:rPr>
        <w:t xml:space="preserve"> ka </w:t>
      </w:r>
      <w:r w:rsidR="00703D95" w:rsidRPr="00D57DD6">
        <w:rPr>
          <w:rFonts w:ascii="Times New Roman" w:hAnsi="Times New Roman" w:cs="Times New Roman"/>
          <w:sz w:val="28"/>
          <w:szCs w:val="24"/>
        </w:rPr>
        <w:t xml:space="preserve">informācija par vispārējās valdības sektorā iekļauto kapitālsabiedrību faktisko un prognozēto ietekmi uz vispārējās valdības izdevumiem, ieņēmumiem, budžeta bilanci un parādu ir publiski pieejama un </w:t>
      </w:r>
      <w:r w:rsidR="003374E1" w:rsidRPr="00D57DD6">
        <w:rPr>
          <w:rFonts w:ascii="Times New Roman" w:hAnsi="Times New Roman" w:cs="Times New Roman"/>
          <w:sz w:val="28"/>
          <w:szCs w:val="24"/>
        </w:rPr>
        <w:t>FM</w:t>
      </w:r>
      <w:r>
        <w:rPr>
          <w:rFonts w:ascii="Times New Roman" w:hAnsi="Times New Roman" w:cs="Times New Roman"/>
          <w:sz w:val="28"/>
          <w:szCs w:val="24"/>
        </w:rPr>
        <w:t xml:space="preserve"> to iekļauj likuma</w:t>
      </w:r>
      <w:r w:rsidR="00703D95" w:rsidRPr="00D57DD6">
        <w:rPr>
          <w:rFonts w:ascii="Times New Roman" w:hAnsi="Times New Roman" w:cs="Times New Roman"/>
          <w:sz w:val="28"/>
          <w:szCs w:val="24"/>
        </w:rPr>
        <w:t xml:space="preserve"> paskaidrojumos.</w:t>
      </w:r>
      <w:r w:rsidR="001D4063" w:rsidRPr="00D57DD6">
        <w:rPr>
          <w:rFonts w:ascii="Times New Roman" w:hAnsi="Times New Roman"/>
          <w:sz w:val="28"/>
          <w:szCs w:val="24"/>
        </w:rPr>
        <w:t xml:space="preserve"> I</w:t>
      </w:r>
      <w:r w:rsidR="00890173" w:rsidRPr="00D57DD6">
        <w:rPr>
          <w:rFonts w:ascii="Times New Roman" w:hAnsi="Times New Roman"/>
          <w:sz w:val="28"/>
          <w:szCs w:val="24"/>
        </w:rPr>
        <w:t>nformācija</w:t>
      </w:r>
      <w:r w:rsidR="001D4063" w:rsidRPr="00D57DD6">
        <w:rPr>
          <w:rFonts w:ascii="Times New Roman" w:hAnsi="Times New Roman"/>
          <w:sz w:val="28"/>
          <w:szCs w:val="24"/>
        </w:rPr>
        <w:t xml:space="preserve"> par</w:t>
      </w:r>
      <w:r w:rsidR="00890173" w:rsidRPr="00D57DD6">
        <w:rPr>
          <w:rFonts w:ascii="Times New Roman" w:hAnsi="Times New Roman"/>
          <w:sz w:val="28"/>
          <w:szCs w:val="24"/>
        </w:rPr>
        <w:t xml:space="preserve"> vispārējā valdības sektorā iekļauto kapitālsabiedrību faktisko ietekmi uz vispārējās valdības neto aizdevumiem vai  aizņēmumiem  (B.9) un </w:t>
      </w:r>
      <w:r>
        <w:rPr>
          <w:rFonts w:ascii="Times New Roman" w:hAnsi="Times New Roman"/>
          <w:sz w:val="28"/>
          <w:szCs w:val="24"/>
        </w:rPr>
        <w:t>parādu 2017., 2018. un 2019</w:t>
      </w:r>
      <w:r w:rsidR="009D05C2">
        <w:rPr>
          <w:rFonts w:ascii="Times New Roman" w:hAnsi="Times New Roman"/>
          <w:sz w:val="28"/>
          <w:szCs w:val="24"/>
        </w:rPr>
        <w:t>.</w:t>
      </w:r>
      <w:r w:rsidR="00890173" w:rsidRPr="00D57DD6">
        <w:rPr>
          <w:rFonts w:ascii="Times New Roman" w:hAnsi="Times New Roman"/>
          <w:sz w:val="28"/>
          <w:szCs w:val="24"/>
        </w:rPr>
        <w:t>g</w:t>
      </w:r>
      <w:r w:rsidR="0052019B" w:rsidRPr="00D57DD6">
        <w:rPr>
          <w:rFonts w:ascii="Times New Roman" w:hAnsi="Times New Roman"/>
          <w:sz w:val="28"/>
          <w:szCs w:val="24"/>
        </w:rPr>
        <w:t>adā tiek atspoguļota</w:t>
      </w:r>
      <w:r>
        <w:rPr>
          <w:rFonts w:ascii="Times New Roman" w:hAnsi="Times New Roman"/>
          <w:sz w:val="28"/>
          <w:szCs w:val="24"/>
        </w:rPr>
        <w:t xml:space="preserve"> 2.pielikumā</w:t>
      </w:r>
      <w:r w:rsidR="00890173" w:rsidRPr="00D57DD6">
        <w:rPr>
          <w:rFonts w:ascii="Times New Roman" w:hAnsi="Times New Roman"/>
          <w:sz w:val="28"/>
          <w:szCs w:val="24"/>
        </w:rPr>
        <w:t xml:space="preserve">. </w:t>
      </w:r>
      <w:r w:rsidR="00466B29" w:rsidRPr="00D57DD6">
        <w:rPr>
          <w:rFonts w:ascii="Times New Roman" w:hAnsi="Times New Roman"/>
          <w:sz w:val="28"/>
          <w:szCs w:val="24"/>
        </w:rPr>
        <w:t>Informācija par vispārējās valdības sektorā iekļauto kapitālsabiedrību prognozēto ietekmi vispārējās valdības neto aizdevumiem vai  aizņēmumiem  (B.9)</w:t>
      </w:r>
      <w:r>
        <w:rPr>
          <w:rFonts w:ascii="Times New Roman" w:hAnsi="Times New Roman"/>
          <w:sz w:val="28"/>
          <w:szCs w:val="24"/>
        </w:rPr>
        <w:t xml:space="preserve"> 2021., 2022</w:t>
      </w:r>
      <w:r w:rsidR="00466B29" w:rsidRPr="00D57DD6">
        <w:rPr>
          <w:rFonts w:ascii="Times New Roman" w:hAnsi="Times New Roman"/>
          <w:sz w:val="28"/>
          <w:szCs w:val="24"/>
        </w:rPr>
        <w:t>. un 20</w:t>
      </w:r>
      <w:r>
        <w:rPr>
          <w:rFonts w:ascii="Times New Roman" w:hAnsi="Times New Roman"/>
          <w:sz w:val="28"/>
          <w:szCs w:val="24"/>
        </w:rPr>
        <w:t>23</w:t>
      </w:r>
      <w:r w:rsidR="009D05C2">
        <w:rPr>
          <w:rFonts w:ascii="Times New Roman" w:hAnsi="Times New Roman"/>
          <w:sz w:val="28"/>
          <w:szCs w:val="24"/>
        </w:rPr>
        <w:t>.</w:t>
      </w:r>
      <w:r>
        <w:rPr>
          <w:rFonts w:ascii="Times New Roman" w:hAnsi="Times New Roman"/>
          <w:sz w:val="28"/>
          <w:szCs w:val="24"/>
        </w:rPr>
        <w:t>gadā atrodama 3.pielikumā, un</w:t>
      </w:r>
      <w:r w:rsidR="0052019B" w:rsidRPr="00D57DD6">
        <w:rPr>
          <w:rFonts w:ascii="Times New Roman" w:hAnsi="Times New Roman"/>
          <w:sz w:val="28"/>
          <w:szCs w:val="24"/>
        </w:rPr>
        <w:t xml:space="preserve"> i</w:t>
      </w:r>
      <w:r w:rsidR="00890173" w:rsidRPr="00D57DD6">
        <w:rPr>
          <w:rFonts w:ascii="Times New Roman" w:hAnsi="Times New Roman"/>
          <w:sz w:val="28"/>
          <w:szCs w:val="24"/>
        </w:rPr>
        <w:t>nformācija par vispārējās valdības sektorā iekļauto kapitālsabiedrību prognozēto ietekmi uz</w:t>
      </w:r>
      <w:r>
        <w:rPr>
          <w:rFonts w:ascii="Times New Roman" w:hAnsi="Times New Roman"/>
          <w:sz w:val="28"/>
          <w:szCs w:val="24"/>
        </w:rPr>
        <w:t xml:space="preserve"> vispārējās valdības parādu 2021</w:t>
      </w:r>
      <w:r w:rsidR="00890173" w:rsidRPr="00D57DD6">
        <w:rPr>
          <w:rFonts w:ascii="Times New Roman" w:hAnsi="Times New Roman"/>
          <w:sz w:val="28"/>
          <w:szCs w:val="24"/>
        </w:rPr>
        <w:t>.</w:t>
      </w:r>
      <w:r>
        <w:rPr>
          <w:rFonts w:ascii="Times New Roman" w:hAnsi="Times New Roman"/>
          <w:sz w:val="28"/>
          <w:szCs w:val="24"/>
        </w:rPr>
        <w:t>, 2022. un 2023</w:t>
      </w:r>
      <w:r w:rsidR="00890173" w:rsidRPr="00D57DD6">
        <w:rPr>
          <w:rFonts w:ascii="Times New Roman" w:hAnsi="Times New Roman"/>
          <w:sz w:val="28"/>
          <w:szCs w:val="24"/>
        </w:rPr>
        <w:t>.gadā</w:t>
      </w:r>
      <w:r>
        <w:rPr>
          <w:rFonts w:ascii="Times New Roman" w:hAnsi="Times New Roman"/>
          <w:sz w:val="28"/>
          <w:szCs w:val="24"/>
        </w:rPr>
        <w:t xml:space="preserve"> atrodama 4.</w:t>
      </w:r>
      <w:r w:rsidR="00890173" w:rsidRPr="00D57DD6">
        <w:rPr>
          <w:rFonts w:ascii="Times New Roman" w:hAnsi="Times New Roman"/>
          <w:sz w:val="28"/>
          <w:szCs w:val="24"/>
        </w:rPr>
        <w:t>pielikumā</w:t>
      </w:r>
      <w:r w:rsidR="00466B29" w:rsidRPr="00D57DD6">
        <w:rPr>
          <w:rFonts w:ascii="Times New Roman" w:hAnsi="Times New Roman"/>
          <w:sz w:val="28"/>
          <w:szCs w:val="24"/>
        </w:rPr>
        <w:t>.</w:t>
      </w:r>
    </w:p>
    <w:p w14:paraId="58C21657" w14:textId="7F431F14" w:rsidR="0052019B" w:rsidRPr="00322C7C" w:rsidRDefault="0052019B" w:rsidP="00401A5B">
      <w:pPr>
        <w:rPr>
          <w:rFonts w:ascii="Times New Roman" w:hAnsi="Times New Roman" w:cs="Times New Roman"/>
          <w:i/>
          <w:sz w:val="28"/>
          <w:szCs w:val="20"/>
        </w:rPr>
      </w:pPr>
    </w:p>
    <w:p w14:paraId="10D09C2C" w14:textId="19D95728" w:rsidR="00322C7C" w:rsidRPr="00FD5F28" w:rsidRDefault="000548A5" w:rsidP="00FB2B77">
      <w:pPr>
        <w:pStyle w:val="Heading2"/>
        <w:numPr>
          <w:ilvl w:val="1"/>
          <w:numId w:val="6"/>
        </w:numPr>
        <w:spacing w:before="0"/>
        <w:jc w:val="center"/>
        <w:rPr>
          <w:rFonts w:ascii="Times New Roman" w:eastAsia="Times New Roman" w:hAnsi="Times New Roman" w:cs="Times New Roman"/>
          <w:sz w:val="32"/>
        </w:rPr>
      </w:pPr>
      <w:bookmarkStart w:id="53" w:name="_Toc53154105"/>
      <w:r w:rsidRPr="00E17E3F">
        <w:rPr>
          <w:rFonts w:ascii="Times New Roman" w:eastAsia="Times New Roman" w:hAnsi="Times New Roman" w:cs="Times New Roman"/>
          <w:sz w:val="32"/>
        </w:rPr>
        <w:t>Vispārējās valdības budžeta bilance</w:t>
      </w:r>
      <w:bookmarkEnd w:id="53"/>
    </w:p>
    <w:p w14:paraId="09389F70" w14:textId="4EE0B330" w:rsidR="003F3FCD" w:rsidRPr="00E17E3F" w:rsidRDefault="005D361F" w:rsidP="005D361F">
      <w:pPr>
        <w:pStyle w:val="Heading3"/>
      </w:pPr>
      <w:bookmarkStart w:id="54" w:name="_Toc53154106"/>
      <w:r>
        <w:t xml:space="preserve">2.2.1. </w:t>
      </w:r>
      <w:r w:rsidR="000548A5" w:rsidRPr="00E17E3F">
        <w:t>Vispārējās valdības budžeta struktūra</w:t>
      </w:r>
      <w:bookmarkEnd w:id="54"/>
    </w:p>
    <w:p w14:paraId="5C494FF2" w14:textId="77777777" w:rsidR="003F3FCD" w:rsidRDefault="003F3FCD" w:rsidP="00401A5B">
      <w:pPr>
        <w:keepNext/>
        <w:keepLines/>
        <w:widowControl w:val="0"/>
        <w:ind w:left="2126"/>
        <w:jc w:val="both"/>
        <w:rPr>
          <w:rFonts w:ascii="Times New Roman" w:eastAsia="Times New Roman" w:hAnsi="Times New Roman" w:cs="Times New Roman"/>
          <w:b/>
          <w:sz w:val="28"/>
        </w:rPr>
      </w:pPr>
    </w:p>
    <w:p w14:paraId="6E6CD4E1" w14:textId="5E366D13" w:rsidR="00322C7C" w:rsidRPr="00322C7C" w:rsidRDefault="00322C7C" w:rsidP="00322C7C">
      <w:pPr>
        <w:ind w:firstLine="709"/>
        <w:jc w:val="both"/>
        <w:rPr>
          <w:rFonts w:ascii="Times New Roman" w:eastAsia="Times New Roman" w:hAnsi="Times New Roman" w:cs="Times New Roman"/>
          <w:sz w:val="28"/>
          <w:szCs w:val="28"/>
          <w:lang w:eastAsia="en-US"/>
        </w:rPr>
      </w:pPr>
      <w:r w:rsidRPr="00322C7C">
        <w:rPr>
          <w:rFonts w:ascii="Times New Roman" w:eastAsia="Times New Roman" w:hAnsi="Times New Roman" w:cs="Times New Roman"/>
          <w:sz w:val="28"/>
          <w:szCs w:val="28"/>
          <w:lang w:eastAsia="en-US"/>
        </w:rPr>
        <w:t>ES dalībvalstīs makroekonomisko rādītāju un publisko finanšu statistiku uzskaita atbilstoši vienotai un harmonizētai metodoloģijai –</w:t>
      </w:r>
      <w:r w:rsidR="00BA778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EKS</w:t>
      </w:r>
      <w:r w:rsidRPr="00322C7C">
        <w:rPr>
          <w:rFonts w:ascii="Times New Roman" w:eastAsia="Times New Roman" w:hAnsi="Times New Roman" w:cs="Times New Roman"/>
          <w:sz w:val="28"/>
          <w:szCs w:val="28"/>
          <w:lang w:eastAsia="en-US"/>
        </w:rPr>
        <w:t>. 2014.gada septembrī ES tika ieviesta pārskatītā un atjaunotā EKS 2010, savukārt līdz tam nacionālo kontu sistēmas aprēķinos liet</w:t>
      </w:r>
      <w:r>
        <w:rPr>
          <w:rFonts w:ascii="Times New Roman" w:eastAsia="Times New Roman" w:hAnsi="Times New Roman" w:cs="Times New Roman"/>
          <w:sz w:val="28"/>
          <w:szCs w:val="28"/>
          <w:lang w:eastAsia="en-US"/>
        </w:rPr>
        <w:t>oja EKS 95, kas balstījās uz Apvienoto Nāciju Organizācijas</w:t>
      </w:r>
      <w:r w:rsidRPr="00322C7C">
        <w:rPr>
          <w:rFonts w:ascii="Times New Roman" w:eastAsia="Times New Roman" w:hAnsi="Times New Roman" w:cs="Times New Roman"/>
          <w:sz w:val="28"/>
          <w:szCs w:val="28"/>
          <w:lang w:eastAsia="en-US"/>
        </w:rPr>
        <w:t xml:space="preserve"> 1993.gadā pieņemtajām nacionālo kontu sistēmas metodoloģijas rekomendācijām.</w:t>
      </w:r>
    </w:p>
    <w:p w14:paraId="602FA709" w14:textId="77777777" w:rsidR="00322C7C" w:rsidRPr="00322C7C" w:rsidRDefault="00322C7C" w:rsidP="00322C7C">
      <w:pPr>
        <w:ind w:firstLine="709"/>
        <w:jc w:val="both"/>
        <w:rPr>
          <w:rFonts w:ascii="Times New Roman" w:eastAsia="Times New Roman" w:hAnsi="Times New Roman" w:cs="Times New Roman"/>
          <w:sz w:val="28"/>
          <w:szCs w:val="28"/>
          <w:lang w:eastAsia="en-US"/>
        </w:rPr>
      </w:pPr>
      <w:r w:rsidRPr="00322C7C">
        <w:rPr>
          <w:rFonts w:ascii="Times New Roman" w:eastAsia="Times New Roman" w:hAnsi="Times New Roman" w:cs="Times New Roman"/>
          <w:sz w:val="28"/>
          <w:szCs w:val="28"/>
          <w:lang w:eastAsia="en-US"/>
        </w:rPr>
        <w:t>EKS ir starptautiski atzīts gan vispārēju ekonomikas procesu, gan atsevišķu ekonomikas sektoru, piemēram, valdības finanšu uzskaites standarts. EKS piemēro Māstrihtas kritēriju uzraudzībai un tā ir ES fiskālās pārvaldības pamatā.</w:t>
      </w:r>
    </w:p>
    <w:p w14:paraId="1F27F963" w14:textId="7856B804" w:rsidR="00322C7C" w:rsidRPr="00322C7C" w:rsidRDefault="00322C7C" w:rsidP="00322C7C">
      <w:pPr>
        <w:ind w:firstLine="709"/>
        <w:jc w:val="both"/>
        <w:rPr>
          <w:rFonts w:ascii="Times New Roman" w:eastAsia="Times New Roman" w:hAnsi="Times New Roman" w:cs="Times New Roman"/>
          <w:sz w:val="28"/>
          <w:szCs w:val="28"/>
          <w:lang w:eastAsia="en-US"/>
        </w:rPr>
      </w:pPr>
      <w:r w:rsidRPr="00322C7C">
        <w:rPr>
          <w:rFonts w:ascii="Times New Roman" w:eastAsia="Times New Roman" w:hAnsi="Times New Roman" w:cs="Times New Roman"/>
          <w:sz w:val="28"/>
          <w:szCs w:val="28"/>
          <w:lang w:eastAsia="en-US"/>
        </w:rPr>
        <w:t>Ja Latvijā valsts finanšu vadībai izmanto naudas plūsmā balstītu nacionālo metodoloģiju, tad EKS mērķis ir, ievērojot detalizētus metodiskus nosacījumus, transformēt naudas plūsmas ieņēmumus un izdevumus uz EKS ieņēmumie</w:t>
      </w:r>
      <w:r w:rsidR="008643AC">
        <w:rPr>
          <w:rFonts w:ascii="Times New Roman" w:eastAsia="Times New Roman" w:hAnsi="Times New Roman" w:cs="Times New Roman"/>
          <w:sz w:val="28"/>
          <w:szCs w:val="28"/>
          <w:lang w:eastAsia="en-US"/>
        </w:rPr>
        <w:t>m un izdevumiem (skat. 2.1.att.).</w:t>
      </w:r>
      <w:r w:rsidRPr="00322C7C">
        <w:rPr>
          <w:rFonts w:ascii="Times New Roman" w:eastAsia="Times New Roman" w:hAnsi="Times New Roman" w:cs="Times New Roman"/>
          <w:sz w:val="28"/>
          <w:szCs w:val="28"/>
          <w:lang w:eastAsia="en-US"/>
        </w:rPr>
        <w:t>Tādējādi arī budžeta deficītu vai pārpalikumu var izteikt kā:</w:t>
      </w:r>
    </w:p>
    <w:p w14:paraId="5B96FAC5" w14:textId="4637356C" w:rsidR="00322C7C" w:rsidRPr="00322C7C" w:rsidRDefault="00322C7C" w:rsidP="00FB2B77">
      <w:pPr>
        <w:numPr>
          <w:ilvl w:val="0"/>
          <w:numId w:val="52"/>
        </w:numPr>
        <w:spacing w:after="120"/>
        <w:contextualSpacing/>
        <w:jc w:val="both"/>
        <w:rPr>
          <w:rFonts w:ascii="Times New Roman" w:eastAsia="Times New Roman" w:hAnsi="Times New Roman" w:cs="Times New Roman"/>
          <w:sz w:val="28"/>
          <w:szCs w:val="28"/>
          <w:lang w:eastAsia="en-US"/>
        </w:rPr>
      </w:pPr>
      <w:r w:rsidRPr="00322C7C">
        <w:rPr>
          <w:rFonts w:ascii="Times New Roman" w:eastAsia="Times New Roman" w:hAnsi="Times New Roman" w:cs="Times New Roman"/>
          <w:sz w:val="28"/>
          <w:szCs w:val="28"/>
          <w:lang w:eastAsia="en-US"/>
        </w:rPr>
        <w:t>vispārējās valdības budžeta bilanci</w:t>
      </w:r>
      <w:r w:rsidRPr="00322C7C">
        <w:rPr>
          <w:rFonts w:ascii="Times New Roman" w:eastAsia="Times New Roman" w:hAnsi="Times New Roman" w:cs="Times New Roman"/>
          <w:color w:val="FFFFFF"/>
          <w:sz w:val="28"/>
          <w:szCs w:val="28"/>
          <w:vertAlign w:val="superscript"/>
          <w:lang w:eastAsia="en-US"/>
        </w:rPr>
        <w:footnoteReference w:id="9"/>
      </w:r>
      <w:r w:rsidRPr="00322C7C">
        <w:rPr>
          <w:rFonts w:ascii="Times New Roman" w:eastAsia="Times New Roman" w:hAnsi="Times New Roman" w:cs="Times New Roman"/>
          <w:sz w:val="28"/>
          <w:szCs w:val="28"/>
          <w:lang w:eastAsia="en-US"/>
        </w:rPr>
        <w:t>(EKS metodoloģija) vai</w:t>
      </w:r>
      <w:r w:rsidR="008643AC">
        <w:rPr>
          <w:rFonts w:ascii="Times New Roman" w:eastAsia="Times New Roman" w:hAnsi="Times New Roman" w:cs="Times New Roman"/>
          <w:sz w:val="28"/>
          <w:szCs w:val="28"/>
          <w:lang w:eastAsia="en-US"/>
        </w:rPr>
        <w:t>;</w:t>
      </w:r>
    </w:p>
    <w:p w14:paraId="4A1F2D0F" w14:textId="77777777" w:rsidR="00322C7C" w:rsidRPr="00322C7C" w:rsidRDefault="00322C7C" w:rsidP="00FB2B77">
      <w:pPr>
        <w:numPr>
          <w:ilvl w:val="0"/>
          <w:numId w:val="52"/>
        </w:numPr>
        <w:spacing w:after="120"/>
        <w:contextualSpacing/>
        <w:jc w:val="both"/>
        <w:rPr>
          <w:rFonts w:ascii="Times New Roman" w:eastAsia="Times New Roman" w:hAnsi="Times New Roman" w:cs="Times New Roman"/>
          <w:sz w:val="28"/>
          <w:szCs w:val="28"/>
          <w:lang w:eastAsia="en-US"/>
        </w:rPr>
      </w:pPr>
      <w:r w:rsidRPr="00322C7C">
        <w:rPr>
          <w:rFonts w:ascii="Times New Roman" w:eastAsia="Times New Roman" w:hAnsi="Times New Roman" w:cs="Times New Roman"/>
          <w:sz w:val="28"/>
          <w:szCs w:val="28"/>
          <w:lang w:eastAsia="en-US"/>
        </w:rPr>
        <w:t>konsolidētā kopbudžeta bilanci</w:t>
      </w:r>
      <w:r w:rsidRPr="00322C7C">
        <w:rPr>
          <w:rFonts w:ascii="Times New Roman" w:eastAsia="Times New Roman" w:hAnsi="Times New Roman" w:cs="Times New Roman"/>
          <w:color w:val="FFFFFF"/>
          <w:sz w:val="28"/>
          <w:szCs w:val="28"/>
          <w:vertAlign w:val="superscript"/>
          <w:lang w:eastAsia="en-US"/>
        </w:rPr>
        <w:footnoteReference w:id="10"/>
      </w:r>
      <w:r w:rsidRPr="00322C7C">
        <w:rPr>
          <w:rFonts w:ascii="Times New Roman" w:eastAsia="Times New Roman" w:hAnsi="Times New Roman" w:cs="Times New Roman"/>
          <w:sz w:val="28"/>
          <w:szCs w:val="28"/>
          <w:lang w:eastAsia="en-US"/>
        </w:rPr>
        <w:t>(nacionālā metodoloģija).</w:t>
      </w:r>
    </w:p>
    <w:p w14:paraId="29107BF5" w14:textId="77777777" w:rsidR="00322C7C" w:rsidRPr="00322C7C" w:rsidRDefault="00322C7C" w:rsidP="00322C7C">
      <w:pPr>
        <w:spacing w:after="120"/>
        <w:ind w:left="1429"/>
        <w:contextualSpacing/>
        <w:jc w:val="both"/>
        <w:rPr>
          <w:rFonts w:ascii="Times New Roman" w:eastAsia="Times New Roman" w:hAnsi="Times New Roman" w:cs="Times New Roman"/>
          <w:sz w:val="24"/>
          <w:szCs w:val="20"/>
          <w:lang w:eastAsia="en-US"/>
        </w:rPr>
      </w:pPr>
    </w:p>
    <w:p w14:paraId="787021DE" w14:textId="77777777" w:rsidR="00322C7C" w:rsidRPr="00322C7C" w:rsidRDefault="00322C7C" w:rsidP="00322C7C">
      <w:pPr>
        <w:spacing w:after="120"/>
        <w:contextualSpacing/>
        <w:rPr>
          <w:rFonts w:ascii="Times New Roman" w:eastAsia="Times New Roman" w:hAnsi="Times New Roman" w:cs="Times New Roman"/>
          <w:sz w:val="24"/>
          <w:szCs w:val="20"/>
          <w:lang w:eastAsia="en-US"/>
        </w:rPr>
      </w:pPr>
      <w:r w:rsidRPr="00322C7C">
        <w:rPr>
          <w:rFonts w:ascii="Times New Roman" w:eastAsia="Times New Roman" w:hAnsi="Times New Roman" w:cs="Times New Roman"/>
          <w:noProof/>
          <w:sz w:val="24"/>
          <w:szCs w:val="20"/>
        </w:rPr>
        <w:drawing>
          <wp:inline distT="0" distB="0" distL="0" distR="0" wp14:anchorId="18BA1C09" wp14:editId="77864E89">
            <wp:extent cx="5688419" cy="3067452"/>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1261" cy="3079770"/>
                    </a:xfrm>
                    <a:prstGeom prst="rect">
                      <a:avLst/>
                    </a:prstGeom>
                    <a:noFill/>
                    <a:ln>
                      <a:noFill/>
                    </a:ln>
                  </pic:spPr>
                </pic:pic>
              </a:graphicData>
            </a:graphic>
          </wp:inline>
        </w:drawing>
      </w:r>
    </w:p>
    <w:p w14:paraId="00D046E0" w14:textId="58A161C8" w:rsidR="00322C7C" w:rsidRPr="00322C7C" w:rsidRDefault="008643AC" w:rsidP="00322C7C">
      <w:pPr>
        <w:spacing w:after="120"/>
        <w:jc w:val="center"/>
        <w:rPr>
          <w:rFonts w:ascii="Times New Roman" w:eastAsia="Times New Roman" w:hAnsi="Times New Roman" w:cs="Times New Roman"/>
          <w:b/>
          <w:i/>
          <w:sz w:val="24"/>
          <w:szCs w:val="24"/>
          <w:lang w:eastAsia="en-US"/>
        </w:rPr>
      </w:pPr>
      <w:r>
        <w:rPr>
          <w:rFonts w:ascii="Times New Roman" w:eastAsia="Times New Roman" w:hAnsi="Times New Roman" w:cs="Times New Roman"/>
          <w:b/>
          <w:i/>
          <w:sz w:val="24"/>
          <w:szCs w:val="24"/>
          <w:lang w:eastAsia="en-US"/>
        </w:rPr>
        <w:t>2.1.</w:t>
      </w:r>
      <w:r w:rsidR="00322C7C" w:rsidRPr="00322C7C">
        <w:rPr>
          <w:rFonts w:ascii="Times New Roman" w:eastAsia="Times New Roman" w:hAnsi="Times New Roman" w:cs="Times New Roman"/>
          <w:b/>
          <w:i/>
          <w:sz w:val="24"/>
          <w:szCs w:val="24"/>
          <w:lang w:eastAsia="en-US"/>
        </w:rPr>
        <w:t>att. Vispārējās valdības budžeta struktūra (S130000)</w:t>
      </w:r>
    </w:p>
    <w:p w14:paraId="513BB15A" w14:textId="77777777" w:rsidR="00322C7C" w:rsidRPr="00322C7C" w:rsidRDefault="00322C7C" w:rsidP="00322C7C">
      <w:pPr>
        <w:spacing w:before="120" w:after="120"/>
        <w:ind w:firstLine="709"/>
        <w:jc w:val="both"/>
        <w:rPr>
          <w:rFonts w:ascii="Times New Roman" w:eastAsia="Times New Roman" w:hAnsi="Times New Roman" w:cs="Times New Roman"/>
          <w:sz w:val="24"/>
          <w:szCs w:val="20"/>
          <w:lang w:eastAsia="en-US"/>
        </w:rPr>
      </w:pPr>
    </w:p>
    <w:p w14:paraId="7A0FA974" w14:textId="77777777" w:rsidR="00322C7C" w:rsidRPr="00322C7C" w:rsidRDefault="00322C7C" w:rsidP="00322C7C">
      <w:pPr>
        <w:ind w:firstLine="709"/>
        <w:jc w:val="both"/>
        <w:rPr>
          <w:rFonts w:ascii="Times New Roman" w:eastAsia="Times New Roman" w:hAnsi="Times New Roman" w:cs="Times New Roman"/>
          <w:sz w:val="28"/>
          <w:szCs w:val="28"/>
          <w:lang w:eastAsia="en-US"/>
        </w:rPr>
      </w:pPr>
      <w:r w:rsidRPr="00322C7C">
        <w:rPr>
          <w:rFonts w:ascii="Times New Roman" w:eastAsia="Times New Roman" w:hAnsi="Times New Roman" w:cs="Times New Roman"/>
          <w:sz w:val="28"/>
          <w:szCs w:val="28"/>
          <w:lang w:eastAsia="en-US"/>
        </w:rPr>
        <w:t>Lai nodrošinātu pāreju no nacionālās uzskaites kopbudžeta uz vienoto EKS standartu, konsolidētā kopbudžeta bilancei piemēro EKS korekcijas, kas sevī ietver uzskaites metodoloģijas atšķirības. Būtiskākās EKS publisko finanšu statistikas metodoloģijas atšķirības salīdzinājumā ar nacionālo metodoloģiju ir šādas:</w:t>
      </w:r>
    </w:p>
    <w:p w14:paraId="45E4B1B0" w14:textId="77777777" w:rsidR="00322C7C" w:rsidRPr="00322C7C" w:rsidRDefault="00322C7C" w:rsidP="00FB2B77">
      <w:pPr>
        <w:numPr>
          <w:ilvl w:val="0"/>
          <w:numId w:val="53"/>
        </w:numPr>
        <w:jc w:val="both"/>
        <w:rPr>
          <w:rFonts w:ascii="Times New Roman" w:eastAsia="Times New Roman" w:hAnsi="Times New Roman" w:cs="Times New Roman"/>
          <w:sz w:val="28"/>
          <w:szCs w:val="28"/>
          <w:lang w:eastAsia="en-US"/>
        </w:rPr>
      </w:pPr>
      <w:r w:rsidRPr="00322C7C">
        <w:rPr>
          <w:rFonts w:ascii="Times New Roman" w:eastAsia="Times New Roman" w:hAnsi="Times New Roman" w:cs="Times New Roman"/>
          <w:sz w:val="28"/>
          <w:szCs w:val="28"/>
          <w:lang w:eastAsia="en-US"/>
        </w:rPr>
        <w:t>EKS uzskaites pamatā ir uzkrājuma princips, savukārt nacionālajā budžeta vadībā ievēro naudas plūsmas principu;</w:t>
      </w:r>
    </w:p>
    <w:p w14:paraId="7181922A" w14:textId="77777777" w:rsidR="00322C7C" w:rsidRPr="00322C7C" w:rsidRDefault="00322C7C" w:rsidP="00FB2B77">
      <w:pPr>
        <w:numPr>
          <w:ilvl w:val="0"/>
          <w:numId w:val="53"/>
        </w:numPr>
        <w:jc w:val="both"/>
        <w:rPr>
          <w:rFonts w:ascii="Times New Roman" w:eastAsia="Times New Roman" w:hAnsi="Times New Roman" w:cs="Times New Roman"/>
          <w:noProof/>
          <w:sz w:val="28"/>
          <w:szCs w:val="28"/>
          <w:lang w:eastAsia="en-US"/>
        </w:rPr>
      </w:pPr>
      <w:r w:rsidRPr="00322C7C">
        <w:rPr>
          <w:rFonts w:ascii="Times New Roman" w:eastAsia="Times New Roman" w:hAnsi="Times New Roman" w:cs="Times New Roman"/>
          <w:noProof/>
          <w:sz w:val="28"/>
          <w:szCs w:val="28"/>
          <w:lang w:eastAsia="en-US"/>
        </w:rPr>
        <w:t xml:space="preserve">Nacionālajā uzskaitē </w:t>
      </w:r>
      <w:r w:rsidRPr="00322C7C">
        <w:rPr>
          <w:rFonts w:ascii="Times New Roman" w:eastAsia="Times New Roman" w:hAnsi="Times New Roman" w:cs="Times New Roman"/>
          <w:sz w:val="28"/>
          <w:szCs w:val="28"/>
          <w:lang w:eastAsia="en-US"/>
        </w:rPr>
        <w:t xml:space="preserve">atsevišķu veidu finanšu darījumi (aizdevumi u.tml.) EKS izpratnē var būt </w:t>
      </w:r>
      <w:r w:rsidRPr="00322C7C">
        <w:rPr>
          <w:rFonts w:ascii="Times New Roman" w:eastAsia="Times New Roman" w:hAnsi="Times New Roman" w:cs="Times New Roman"/>
          <w:noProof/>
          <w:sz w:val="28"/>
          <w:szCs w:val="28"/>
          <w:lang w:eastAsia="en-US"/>
        </w:rPr>
        <w:t>nefinanšu darījumi, attiecīgi ietekmējot budžeta izdevumus;</w:t>
      </w:r>
    </w:p>
    <w:p w14:paraId="12D13E4F" w14:textId="77777777" w:rsidR="00322C7C" w:rsidRPr="00322C7C" w:rsidRDefault="00322C7C" w:rsidP="00FB2B77">
      <w:pPr>
        <w:numPr>
          <w:ilvl w:val="0"/>
          <w:numId w:val="53"/>
        </w:numPr>
        <w:jc w:val="both"/>
        <w:rPr>
          <w:rFonts w:ascii="Times New Roman" w:eastAsia="Times New Roman" w:hAnsi="Times New Roman" w:cs="Times New Roman"/>
          <w:sz w:val="28"/>
          <w:szCs w:val="28"/>
          <w:lang w:eastAsia="en-US"/>
        </w:rPr>
      </w:pPr>
      <w:r w:rsidRPr="00322C7C">
        <w:rPr>
          <w:rFonts w:ascii="Times New Roman" w:eastAsia="Times New Roman" w:hAnsi="Times New Roman" w:cs="Times New Roman"/>
          <w:noProof/>
          <w:sz w:val="28"/>
          <w:szCs w:val="28"/>
          <w:lang w:eastAsia="en-US"/>
        </w:rPr>
        <w:t>EKS ir plašāks sektorālais</w:t>
      </w:r>
      <w:r w:rsidRPr="00322C7C">
        <w:rPr>
          <w:rFonts w:ascii="Times New Roman" w:eastAsia="Times New Roman" w:hAnsi="Times New Roman" w:cs="Times New Roman"/>
          <w:sz w:val="28"/>
          <w:szCs w:val="28"/>
          <w:lang w:eastAsia="en-US"/>
        </w:rPr>
        <w:t xml:space="preserve"> tvērums – tas ir attiecināms uz visu vispārējās valdības institucionālo sektoru, tajā skaitā uz valsts vai pašvaldību kontrolētām un finansētām komercsabiedrībām, taču nacionālā budžeta uzskaite aptver vien tipiskās budžeta iestādes.</w:t>
      </w:r>
    </w:p>
    <w:p w14:paraId="005029A8" w14:textId="1FCAC6EA" w:rsidR="00322C7C" w:rsidRPr="00322C7C" w:rsidRDefault="00322C7C" w:rsidP="00322C7C">
      <w:pPr>
        <w:ind w:firstLine="709"/>
        <w:jc w:val="both"/>
        <w:rPr>
          <w:rFonts w:ascii="Times New Roman" w:eastAsia="Times New Roman" w:hAnsi="Times New Roman" w:cs="Times New Roman"/>
          <w:sz w:val="28"/>
          <w:szCs w:val="28"/>
          <w:lang w:eastAsia="en-US"/>
        </w:rPr>
      </w:pPr>
      <w:r w:rsidRPr="00322C7C">
        <w:rPr>
          <w:rFonts w:ascii="Times New Roman" w:eastAsia="Times New Roman" w:hAnsi="Times New Roman" w:cs="Times New Roman"/>
          <w:sz w:val="28"/>
          <w:szCs w:val="28"/>
          <w:lang w:eastAsia="en-US"/>
        </w:rPr>
        <w:t xml:space="preserve">Valsts finanšu uzskaiti atbilstoši EKS metodoloģijai Latvijā veic </w:t>
      </w:r>
      <w:r w:rsidR="008643AC">
        <w:rPr>
          <w:rFonts w:ascii="Times New Roman" w:eastAsia="Times New Roman" w:hAnsi="Times New Roman" w:cs="Times New Roman"/>
          <w:sz w:val="28"/>
          <w:szCs w:val="28"/>
          <w:lang w:eastAsia="en-US"/>
        </w:rPr>
        <w:t>CSP. Savukārt FM</w:t>
      </w:r>
      <w:r w:rsidRPr="00322C7C">
        <w:rPr>
          <w:rFonts w:ascii="Times New Roman" w:eastAsia="Times New Roman" w:hAnsi="Times New Roman" w:cs="Times New Roman"/>
          <w:sz w:val="28"/>
          <w:szCs w:val="28"/>
          <w:lang w:eastAsia="en-US"/>
        </w:rPr>
        <w:t xml:space="preserve"> izstrādā vispārējās valdības budžeta prognozes, ievērojot CSP izmantoto EKS metodiku, tādējādi nodrošinot prognozēto rādītāju metodoloģisku atbilstību vienotajiem EKS pamatprincipiem.</w:t>
      </w:r>
    </w:p>
    <w:p w14:paraId="351DD838" w14:textId="0B1F9CA7" w:rsidR="00E17E3F" w:rsidRPr="00F75A1F" w:rsidRDefault="008643AC" w:rsidP="00F75A1F">
      <w:pPr>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FM</w:t>
      </w:r>
      <w:r w:rsidR="00322C7C" w:rsidRPr="00322C7C">
        <w:rPr>
          <w:rFonts w:ascii="Times New Roman" w:eastAsia="Times New Roman" w:hAnsi="Times New Roman" w:cs="Times New Roman"/>
          <w:sz w:val="28"/>
          <w:szCs w:val="28"/>
          <w:lang w:eastAsia="en-US"/>
        </w:rPr>
        <w:t xml:space="preserve">, veidojot vispārējās valdības budžeta bilances prognozes, veic pieklasificēto valsts un pašvaldību komersantu aptauju. Aptaujās tiek apkopota informācija par visu vispārējās valdības sektorā ietilpstošo valsts un pēc apgrozījuma lielāko pašvaldību komersantu plānoto saimniecisko darbību. Apkopotā informācija ļauj </w:t>
      </w:r>
      <w:r>
        <w:rPr>
          <w:rFonts w:ascii="Times New Roman" w:eastAsia="Times New Roman" w:hAnsi="Times New Roman" w:cs="Times New Roman"/>
          <w:sz w:val="28"/>
          <w:szCs w:val="28"/>
          <w:lang w:eastAsia="en-US"/>
        </w:rPr>
        <w:t>FM</w:t>
      </w:r>
      <w:r w:rsidR="00322C7C" w:rsidRPr="00322C7C">
        <w:rPr>
          <w:rFonts w:ascii="Times New Roman" w:eastAsia="Times New Roman" w:hAnsi="Times New Roman" w:cs="Times New Roman"/>
          <w:sz w:val="28"/>
          <w:szCs w:val="28"/>
          <w:lang w:eastAsia="en-US"/>
        </w:rPr>
        <w:t xml:space="preserve"> aprēķināt šo komersantu saimnieciskās darbības rezultāta ietekmi uz vispā</w:t>
      </w:r>
      <w:r w:rsidR="00F75A1F">
        <w:rPr>
          <w:rFonts w:ascii="Times New Roman" w:eastAsia="Times New Roman" w:hAnsi="Times New Roman" w:cs="Times New Roman"/>
          <w:sz w:val="28"/>
          <w:szCs w:val="28"/>
          <w:lang w:eastAsia="en-US"/>
        </w:rPr>
        <w:t>rējās valdības budžeta bilanci.</w:t>
      </w:r>
    </w:p>
    <w:p w14:paraId="54FCAB8B" w14:textId="25998ADF" w:rsidR="003F3FCD" w:rsidRPr="00E17E3F" w:rsidRDefault="006C030A" w:rsidP="005D361F">
      <w:pPr>
        <w:pStyle w:val="Heading3"/>
      </w:pPr>
      <w:bookmarkStart w:id="55" w:name="_Toc53154107"/>
      <w:r>
        <w:t xml:space="preserve">2.2.2. </w:t>
      </w:r>
      <w:r w:rsidR="000548A5" w:rsidRPr="00E17E3F">
        <w:t>Vispārējās valdības budžeta bilance</w:t>
      </w:r>
      <w:bookmarkEnd w:id="55"/>
    </w:p>
    <w:p w14:paraId="7C4DCD1B" w14:textId="77777777" w:rsidR="003F3FCD" w:rsidRDefault="003F3FCD" w:rsidP="00401A5B">
      <w:pPr>
        <w:widowControl w:val="0"/>
        <w:jc w:val="both"/>
        <w:rPr>
          <w:rFonts w:ascii="Times New Roman" w:eastAsia="Times New Roman" w:hAnsi="Times New Roman" w:cs="Times New Roman"/>
          <w:sz w:val="28"/>
          <w:u w:val="single"/>
        </w:rPr>
      </w:pPr>
    </w:p>
    <w:p w14:paraId="1FF77B39" w14:textId="6C6AB651" w:rsidR="008643AC" w:rsidRPr="008643AC" w:rsidRDefault="008643AC" w:rsidP="008643AC">
      <w:pPr>
        <w:ind w:firstLine="709"/>
        <w:jc w:val="both"/>
        <w:rPr>
          <w:rFonts w:ascii="Times New Roman" w:eastAsia="Times New Roman" w:hAnsi="Times New Roman" w:cs="Times New Roman"/>
          <w:sz w:val="28"/>
          <w:szCs w:val="28"/>
          <w:lang w:eastAsia="en-US"/>
        </w:rPr>
      </w:pPr>
      <w:r w:rsidRPr="008643AC">
        <w:rPr>
          <w:rFonts w:ascii="Times New Roman" w:eastAsia="Times New Roman" w:hAnsi="Times New Roman" w:cs="Times New Roman"/>
          <w:sz w:val="28"/>
          <w:szCs w:val="28"/>
          <w:lang w:eastAsia="en-US"/>
        </w:rPr>
        <w:t xml:space="preserve">Covid-19 pandēmija ir ieviesusi būtiskas izmaiņas valsts fiskālajā politikā. </w:t>
      </w:r>
      <w:r>
        <w:rPr>
          <w:rFonts w:ascii="Times New Roman" w:eastAsia="Times New Roman" w:hAnsi="Times New Roman" w:cs="Times New Roman"/>
          <w:sz w:val="28"/>
          <w:szCs w:val="28"/>
          <w:lang w:eastAsia="en-US"/>
        </w:rPr>
        <w:t>2020.</w:t>
      </w:r>
      <w:r w:rsidRPr="008643AC">
        <w:rPr>
          <w:rFonts w:ascii="Times New Roman" w:eastAsia="Times New Roman" w:hAnsi="Times New Roman" w:cs="Times New Roman"/>
          <w:sz w:val="28"/>
          <w:szCs w:val="28"/>
          <w:lang w:eastAsia="en-US"/>
        </w:rPr>
        <w:t xml:space="preserve">gadā tika aktivizēta </w:t>
      </w:r>
      <w:r>
        <w:rPr>
          <w:rFonts w:ascii="Times New Roman" w:eastAsia="Times New Roman" w:hAnsi="Times New Roman" w:cs="Times New Roman"/>
          <w:sz w:val="28"/>
          <w:szCs w:val="28"/>
          <w:lang w:eastAsia="en-US"/>
        </w:rPr>
        <w:t>SIP</w:t>
      </w:r>
      <w:r w:rsidRPr="008643AC">
        <w:rPr>
          <w:rFonts w:ascii="Times New Roman" w:eastAsia="Times New Roman" w:hAnsi="Times New Roman" w:cs="Times New Roman"/>
          <w:noProof/>
          <w:sz w:val="28"/>
          <w:szCs w:val="28"/>
          <w:lang w:eastAsia="en-US"/>
        </w:rPr>
        <w:t xml:space="preserve"> vispārējā</w:t>
      </w:r>
      <w:r w:rsidRPr="008643AC">
        <w:rPr>
          <w:rFonts w:ascii="Times New Roman" w:eastAsia="Times New Roman" w:hAnsi="Times New Roman" w:cs="Times New Roman"/>
          <w:sz w:val="28"/>
          <w:szCs w:val="28"/>
          <w:lang w:eastAsia="en-US"/>
        </w:rPr>
        <w:t xml:space="preserve"> izņēmuma klauzula, kas ļauj palielināt vispārējās </w:t>
      </w:r>
      <w:r>
        <w:rPr>
          <w:rFonts w:ascii="Times New Roman" w:eastAsia="Times New Roman" w:hAnsi="Times New Roman" w:cs="Times New Roman"/>
          <w:sz w:val="28"/>
          <w:szCs w:val="28"/>
          <w:lang w:eastAsia="en-US"/>
        </w:rPr>
        <w:t>valdības budžeta deficītu 2020.</w:t>
      </w:r>
      <w:r w:rsidRPr="008643AC">
        <w:rPr>
          <w:rFonts w:ascii="Times New Roman" w:eastAsia="Times New Roman" w:hAnsi="Times New Roman" w:cs="Times New Roman"/>
          <w:sz w:val="28"/>
          <w:szCs w:val="28"/>
          <w:lang w:eastAsia="en-US"/>
        </w:rPr>
        <w:t xml:space="preserve">gadā tik, cik ir nepieciešams pandēmijas izsauktā ekonomikas kaitējuma mazināšanai. Tiek pieņemts, ka vispārējā izņēmuma </w:t>
      </w:r>
      <w:r>
        <w:rPr>
          <w:rFonts w:ascii="Times New Roman" w:eastAsia="Times New Roman" w:hAnsi="Times New Roman" w:cs="Times New Roman"/>
          <w:sz w:val="28"/>
          <w:szCs w:val="28"/>
          <w:lang w:eastAsia="en-US"/>
        </w:rPr>
        <w:t>klauzula paliek spēkā arī 2021.</w:t>
      </w:r>
      <w:r w:rsidRPr="008643AC">
        <w:rPr>
          <w:rFonts w:ascii="Times New Roman" w:eastAsia="Times New Roman" w:hAnsi="Times New Roman" w:cs="Times New Roman"/>
          <w:sz w:val="28"/>
          <w:szCs w:val="28"/>
          <w:lang w:eastAsia="en-US"/>
        </w:rPr>
        <w:t>gadā, tādēļ likuma “Covid-19 infekcijas izplatības seku pārvarēšanas likums” 33.pants paredz atkāpes no fiskālās disciplīnas nos</w:t>
      </w:r>
      <w:r>
        <w:rPr>
          <w:rFonts w:ascii="Times New Roman" w:eastAsia="Times New Roman" w:hAnsi="Times New Roman" w:cs="Times New Roman"/>
          <w:sz w:val="28"/>
          <w:szCs w:val="28"/>
          <w:lang w:eastAsia="en-US"/>
        </w:rPr>
        <w:t>acījumiem tikai 2020. un  2021.</w:t>
      </w:r>
      <w:r w:rsidRPr="008643AC">
        <w:rPr>
          <w:rFonts w:ascii="Times New Roman" w:eastAsia="Times New Roman" w:hAnsi="Times New Roman" w:cs="Times New Roman"/>
          <w:sz w:val="28"/>
          <w:szCs w:val="28"/>
          <w:lang w:eastAsia="en-US"/>
        </w:rPr>
        <w:t xml:space="preserve">gadā. </w:t>
      </w:r>
      <w:r>
        <w:rPr>
          <w:rFonts w:ascii="Times New Roman" w:eastAsia="Times New Roman" w:hAnsi="Times New Roman" w:cs="Times New Roman"/>
          <w:sz w:val="28"/>
          <w:szCs w:val="28"/>
          <w:lang w:eastAsia="en-US"/>
        </w:rPr>
        <w:t>Savukārt, 2022. un 2023.</w:t>
      </w:r>
      <w:r w:rsidRPr="008643AC">
        <w:rPr>
          <w:rFonts w:ascii="Times New Roman" w:eastAsia="Times New Roman" w:hAnsi="Times New Roman" w:cs="Times New Roman"/>
          <w:sz w:val="28"/>
          <w:szCs w:val="28"/>
          <w:lang w:eastAsia="en-US"/>
        </w:rPr>
        <w:t xml:space="preserve">gadā </w:t>
      </w:r>
      <w:r>
        <w:rPr>
          <w:rFonts w:ascii="Times New Roman" w:eastAsia="Times New Roman" w:hAnsi="Times New Roman" w:cs="Times New Roman"/>
          <w:sz w:val="28"/>
          <w:szCs w:val="28"/>
          <w:lang w:eastAsia="en-US"/>
        </w:rPr>
        <w:t>FDL</w:t>
      </w:r>
      <w:r w:rsidRPr="008643AC">
        <w:rPr>
          <w:rFonts w:ascii="Times New Roman" w:eastAsia="Times New Roman" w:hAnsi="Times New Roman" w:cs="Times New Roman"/>
          <w:sz w:val="28"/>
          <w:szCs w:val="28"/>
          <w:lang w:eastAsia="en-US"/>
        </w:rPr>
        <w:t xml:space="preserve"> līdz ar vispārējās izņēmuma klauzulas atcelšanu liek ievērot FDL noteikto 0,5% no IKP strukturālā deficīta mērķi.</w:t>
      </w:r>
    </w:p>
    <w:p w14:paraId="743EF9EB" w14:textId="4880B046" w:rsidR="008643AC" w:rsidRDefault="008643AC" w:rsidP="008643AC">
      <w:pPr>
        <w:ind w:firstLine="709"/>
        <w:jc w:val="both"/>
        <w:rPr>
          <w:rFonts w:ascii="Times New Roman" w:eastAsia="Times New Roman" w:hAnsi="Times New Roman" w:cs="Times New Roman"/>
          <w:sz w:val="28"/>
          <w:szCs w:val="28"/>
          <w:lang w:eastAsia="en-US"/>
        </w:rPr>
      </w:pPr>
      <w:r w:rsidRPr="008643AC">
        <w:rPr>
          <w:rFonts w:ascii="Times New Roman" w:eastAsia="Times New Roman" w:hAnsi="Times New Roman" w:cs="Times New Roman"/>
          <w:sz w:val="28"/>
          <w:szCs w:val="28"/>
          <w:lang w:eastAsia="en-US"/>
        </w:rPr>
        <w:t xml:space="preserve">Ņemot vērā valdības pieņemtos lēmumus attiecībā uz nodokļu izmaiņām un papildus izdevumiem valdības prioritātēm, vispārējās valdības budžeta bilance 2021. gadā tiek prognozēta -3,9% no IKP, 2022. gadā -2,8% no </w:t>
      </w:r>
      <w:r w:rsidR="00AB2199">
        <w:rPr>
          <w:rFonts w:ascii="Times New Roman" w:eastAsia="Times New Roman" w:hAnsi="Times New Roman" w:cs="Times New Roman"/>
          <w:sz w:val="28"/>
          <w:szCs w:val="28"/>
          <w:lang w:eastAsia="en-US"/>
        </w:rPr>
        <w:t>IKP un 2023. gadā -1,7% no IKP (skat. 2.2.att.).</w:t>
      </w:r>
    </w:p>
    <w:p w14:paraId="0BF74579" w14:textId="713DCFA1" w:rsidR="00BA778A" w:rsidRDefault="00BA778A" w:rsidP="008643AC">
      <w:pPr>
        <w:ind w:firstLine="709"/>
        <w:jc w:val="both"/>
        <w:rPr>
          <w:rFonts w:ascii="Times New Roman" w:eastAsia="Times New Roman" w:hAnsi="Times New Roman" w:cs="Times New Roman"/>
          <w:sz w:val="28"/>
          <w:szCs w:val="28"/>
          <w:lang w:eastAsia="en-US"/>
        </w:rPr>
      </w:pPr>
    </w:p>
    <w:p w14:paraId="6B535A95" w14:textId="77777777" w:rsidR="00BA778A" w:rsidRPr="008643AC" w:rsidRDefault="00BA778A" w:rsidP="008643AC">
      <w:pPr>
        <w:ind w:firstLine="709"/>
        <w:jc w:val="both"/>
        <w:rPr>
          <w:rFonts w:ascii="Times New Roman" w:eastAsia="Times New Roman" w:hAnsi="Times New Roman" w:cs="Times New Roman"/>
          <w:sz w:val="24"/>
          <w:szCs w:val="20"/>
          <w:highlight w:val="yellow"/>
          <w:lang w:eastAsia="en-US"/>
        </w:rPr>
      </w:pPr>
    </w:p>
    <w:p w14:paraId="2F069FC3" w14:textId="77777777" w:rsidR="008643AC" w:rsidRPr="008643AC" w:rsidRDefault="008643AC" w:rsidP="008643AC">
      <w:pPr>
        <w:spacing w:after="120"/>
        <w:jc w:val="center"/>
        <w:rPr>
          <w:rFonts w:ascii="Times New Roman" w:eastAsia="Times New Roman" w:hAnsi="Times New Roman" w:cs="Times New Roman"/>
          <w:sz w:val="24"/>
          <w:szCs w:val="20"/>
          <w:lang w:eastAsia="en-US"/>
        </w:rPr>
      </w:pPr>
      <w:r w:rsidRPr="008643AC">
        <w:rPr>
          <w:rFonts w:ascii="Times New Roman" w:eastAsia="Times New Roman" w:hAnsi="Times New Roman" w:cs="Times New Roman"/>
          <w:noProof/>
          <w:sz w:val="24"/>
          <w:szCs w:val="20"/>
        </w:rPr>
        <w:drawing>
          <wp:inline distT="0" distB="0" distL="0" distR="0" wp14:anchorId="5218748D" wp14:editId="3543AB7C">
            <wp:extent cx="5372100" cy="33909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134" t="7356" r="2591" b="2344"/>
                    <a:stretch/>
                  </pic:blipFill>
                  <pic:spPr bwMode="auto">
                    <a:xfrm>
                      <a:off x="0" y="0"/>
                      <a:ext cx="537210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2C2BCB31" w14:textId="77777777" w:rsidR="008643AC" w:rsidRPr="008643AC" w:rsidRDefault="008643AC" w:rsidP="008643AC">
      <w:pPr>
        <w:jc w:val="center"/>
        <w:rPr>
          <w:rFonts w:ascii="Times New Roman" w:eastAsia="Times New Roman" w:hAnsi="Times New Roman" w:cs="Times New Roman"/>
          <w:b/>
          <w:i/>
          <w:sz w:val="24"/>
          <w:szCs w:val="24"/>
          <w:lang w:eastAsia="en-US"/>
        </w:rPr>
      </w:pPr>
      <w:r w:rsidRPr="008643AC">
        <w:rPr>
          <w:rFonts w:ascii="Times New Roman" w:eastAsia="Times New Roman" w:hAnsi="Times New Roman" w:cs="Times New Roman"/>
          <w:b/>
          <w:i/>
          <w:sz w:val="24"/>
          <w:szCs w:val="24"/>
          <w:lang w:eastAsia="en-US"/>
        </w:rPr>
        <w:t>2.2. att. Vispārējās valdības budžeta bilance, % no IKP</w:t>
      </w:r>
      <w:r w:rsidRPr="008643AC">
        <w:rPr>
          <w:rFonts w:ascii="Times New Roman" w:eastAsia="Times New Roman" w:hAnsi="Times New Roman" w:cs="Times New Roman"/>
          <w:b/>
          <w:i/>
          <w:sz w:val="24"/>
          <w:szCs w:val="24"/>
          <w:lang w:eastAsia="en-US"/>
        </w:rPr>
        <w:br/>
        <w:t>(Datu avots: 2020.gada aprīļa notifikācija, FM prognozes)</w:t>
      </w:r>
    </w:p>
    <w:p w14:paraId="271ED7FE" w14:textId="77777777" w:rsidR="008643AC" w:rsidRPr="008643AC" w:rsidRDefault="008643AC" w:rsidP="008643AC">
      <w:pPr>
        <w:ind w:firstLine="720"/>
        <w:jc w:val="both"/>
        <w:rPr>
          <w:rFonts w:ascii="Times New Roman" w:eastAsia="Times New Roman" w:hAnsi="Times New Roman" w:cs="Times New Roman"/>
          <w:color w:val="000000"/>
          <w:sz w:val="24"/>
          <w:szCs w:val="24"/>
          <w:lang w:eastAsia="en-US"/>
        </w:rPr>
      </w:pPr>
    </w:p>
    <w:p w14:paraId="6550DFCC" w14:textId="14251B06" w:rsidR="008643AC" w:rsidRPr="008643AC" w:rsidRDefault="008643AC" w:rsidP="008643AC">
      <w:pPr>
        <w:ind w:firstLine="709"/>
        <w:jc w:val="both"/>
        <w:rPr>
          <w:rFonts w:ascii="Times New Roman" w:eastAsia="Times New Roman" w:hAnsi="Times New Roman" w:cs="Times New Roman"/>
          <w:color w:val="000000"/>
          <w:sz w:val="28"/>
          <w:szCs w:val="28"/>
          <w:lang w:eastAsia="en-US"/>
        </w:rPr>
      </w:pPr>
      <w:r w:rsidRPr="008643AC">
        <w:rPr>
          <w:rFonts w:ascii="Times New Roman" w:eastAsia="Times New Roman" w:hAnsi="Times New Roman" w:cs="Times New Roman"/>
          <w:color w:val="000000"/>
          <w:sz w:val="28"/>
          <w:szCs w:val="28"/>
          <w:lang w:eastAsia="en-US"/>
        </w:rPr>
        <w:t xml:space="preserve">Vispārējās valdības budžeta deficīts </w:t>
      </w:r>
      <w:r w:rsidRPr="00AB2199">
        <w:rPr>
          <w:rFonts w:ascii="Times New Roman" w:eastAsia="Times New Roman" w:hAnsi="Times New Roman" w:cs="Times New Roman"/>
          <w:color w:val="000000"/>
          <w:sz w:val="28"/>
          <w:szCs w:val="28"/>
          <w:lang w:eastAsia="en-US"/>
        </w:rPr>
        <w:t>202</w:t>
      </w:r>
      <w:r w:rsidR="00AB2199">
        <w:rPr>
          <w:rFonts w:ascii="Times New Roman" w:eastAsia="Times New Roman" w:hAnsi="Times New Roman" w:cs="Times New Roman"/>
          <w:color w:val="000000"/>
          <w:sz w:val="28"/>
          <w:szCs w:val="28"/>
          <w:lang w:eastAsia="en-US"/>
        </w:rPr>
        <w:t>0.</w:t>
      </w:r>
      <w:r w:rsidRPr="00AB2199">
        <w:rPr>
          <w:rFonts w:ascii="Times New Roman" w:eastAsia="Times New Roman" w:hAnsi="Times New Roman" w:cs="Times New Roman"/>
          <w:color w:val="000000"/>
          <w:sz w:val="28"/>
          <w:szCs w:val="28"/>
          <w:lang w:eastAsia="en-US"/>
        </w:rPr>
        <w:t>gadam</w:t>
      </w:r>
      <w:r w:rsidRPr="008643AC">
        <w:rPr>
          <w:rFonts w:ascii="Times New Roman" w:eastAsia="Times New Roman" w:hAnsi="Times New Roman" w:cs="Times New Roman"/>
          <w:color w:val="000000"/>
          <w:sz w:val="28"/>
          <w:szCs w:val="28"/>
          <w:lang w:eastAsia="en-US"/>
        </w:rPr>
        <w:t xml:space="preserve"> tiek prognozēts 7,6% no IKP, kas ir būtiski augstāks nekā plānots. </w:t>
      </w:r>
      <w:r w:rsidR="00AB2199">
        <w:rPr>
          <w:rFonts w:ascii="Times New Roman" w:eastAsia="Times New Roman" w:hAnsi="Times New Roman" w:cs="Times New Roman"/>
          <w:color w:val="000000"/>
          <w:sz w:val="28"/>
          <w:szCs w:val="28"/>
          <w:lang w:eastAsia="en-US"/>
        </w:rPr>
        <w:t xml:space="preserve">VTBIL 2020., 2021. un 2022. gadam </w:t>
      </w:r>
      <w:r w:rsidRPr="008643AC">
        <w:rPr>
          <w:rFonts w:ascii="Times New Roman" w:eastAsia="Times New Roman" w:hAnsi="Times New Roman" w:cs="Times New Roman"/>
          <w:color w:val="000000"/>
          <w:sz w:val="28"/>
          <w:szCs w:val="28"/>
          <w:lang w:eastAsia="en-US"/>
        </w:rPr>
        <w:t>izstrādes brīdī Covid-19 infekcijas izplatība vēl nebija prognozējama un deficīts šim gadam tika plānots 0,3% no IKP apmērā.</w:t>
      </w:r>
    </w:p>
    <w:p w14:paraId="6AA67B9C" w14:textId="4D42F91F" w:rsidR="008643AC" w:rsidRPr="008643AC" w:rsidRDefault="008643AC" w:rsidP="008643AC">
      <w:pPr>
        <w:ind w:firstLine="709"/>
        <w:jc w:val="both"/>
        <w:rPr>
          <w:rFonts w:ascii="Times New Roman" w:eastAsia="Times New Roman" w:hAnsi="Times New Roman" w:cs="Times New Roman"/>
          <w:color w:val="000000"/>
          <w:sz w:val="28"/>
          <w:szCs w:val="28"/>
          <w:highlight w:val="yellow"/>
          <w:lang w:eastAsia="en-US"/>
        </w:rPr>
      </w:pPr>
      <w:r w:rsidRPr="008643AC">
        <w:rPr>
          <w:rFonts w:ascii="Times New Roman" w:eastAsia="Times New Roman" w:hAnsi="Times New Roman" w:cs="Times New Roman"/>
          <w:color w:val="000000"/>
          <w:sz w:val="28"/>
          <w:szCs w:val="28"/>
          <w:lang w:eastAsia="en-US"/>
        </w:rPr>
        <w:t xml:space="preserve">Salīdzinot ar pērn plānoto, būtisks samazinājums vērojams nodokļu ieņēmumu prognozēs. Zemāki ieņēmumi prognozēti visās lielākajās nodokļu grupās, kas saistīts ar Covid-19 izraisīto plašo ietekmi uz tautsaimniecību un vispārējo ekonomiskās aktivitātes sarukumu valstī. Savukārt, </w:t>
      </w:r>
      <w:r w:rsidRPr="008643AC">
        <w:rPr>
          <w:rFonts w:ascii="Times New Roman" w:eastAsia="Times New Roman" w:hAnsi="Times New Roman" w:cs="Times New Roman"/>
          <w:noProof/>
          <w:color w:val="000000"/>
          <w:sz w:val="28"/>
          <w:szCs w:val="28"/>
          <w:lang w:eastAsia="en-US"/>
        </w:rPr>
        <w:t>nenodokļu</w:t>
      </w:r>
      <w:r w:rsidRPr="008643AC">
        <w:rPr>
          <w:rFonts w:ascii="Times New Roman" w:eastAsia="Times New Roman" w:hAnsi="Times New Roman" w:cs="Times New Roman"/>
          <w:color w:val="000000"/>
          <w:sz w:val="28"/>
          <w:szCs w:val="28"/>
          <w:lang w:eastAsia="en-US"/>
        </w:rPr>
        <w:t xml:space="preserve"> ieņēmumi, ņemot vērā pieaugumu sagaidāmajos ieņēmumos no dividendēm, tiek sagaidīti lielākā apmērā nekā plānots ietvarā. Nodokļu ieņēmumu neplānotais samazinājums negatīvi ietekmē bilanci visos budžeta līmeņos gan salīdzinājumā ar p</w:t>
      </w:r>
      <w:r w:rsidR="00AB2199">
        <w:rPr>
          <w:rFonts w:ascii="Times New Roman" w:eastAsia="Times New Roman" w:hAnsi="Times New Roman" w:cs="Times New Roman"/>
          <w:color w:val="000000"/>
          <w:sz w:val="28"/>
          <w:szCs w:val="28"/>
          <w:lang w:eastAsia="en-US"/>
        </w:rPr>
        <w:t>lānoto, gan salīdzinot ar 2019.</w:t>
      </w:r>
      <w:r w:rsidRPr="008643AC">
        <w:rPr>
          <w:rFonts w:ascii="Times New Roman" w:eastAsia="Times New Roman" w:hAnsi="Times New Roman" w:cs="Times New Roman"/>
          <w:color w:val="000000"/>
          <w:sz w:val="28"/>
          <w:szCs w:val="28"/>
          <w:lang w:eastAsia="en-US"/>
        </w:rPr>
        <w:t>gadu.</w:t>
      </w:r>
    </w:p>
    <w:p w14:paraId="0FE0FC19" w14:textId="31F28CD7" w:rsidR="008643AC" w:rsidRPr="008643AC" w:rsidRDefault="008643AC" w:rsidP="008643AC">
      <w:pPr>
        <w:ind w:firstLine="709"/>
        <w:jc w:val="both"/>
        <w:rPr>
          <w:rFonts w:ascii="Times New Roman" w:eastAsia="Times New Roman" w:hAnsi="Times New Roman" w:cs="Times New Roman"/>
          <w:color w:val="000000"/>
          <w:sz w:val="28"/>
          <w:szCs w:val="28"/>
          <w:lang w:eastAsia="en-US"/>
        </w:rPr>
      </w:pPr>
      <w:r w:rsidRPr="008643AC">
        <w:rPr>
          <w:rFonts w:ascii="Times New Roman" w:eastAsia="Times New Roman" w:hAnsi="Times New Roman" w:cs="Times New Roman"/>
          <w:color w:val="000000"/>
          <w:sz w:val="28"/>
          <w:szCs w:val="28"/>
          <w:lang w:eastAsia="en-US"/>
        </w:rPr>
        <w:t>Būtiski augs</w:t>
      </w:r>
      <w:r w:rsidR="00AB2199">
        <w:rPr>
          <w:rFonts w:ascii="Times New Roman" w:eastAsia="Times New Roman" w:hAnsi="Times New Roman" w:cs="Times New Roman"/>
          <w:color w:val="000000"/>
          <w:sz w:val="28"/>
          <w:szCs w:val="28"/>
          <w:lang w:eastAsia="en-US"/>
        </w:rPr>
        <w:t>tāki nekā plānots ietvarā 2020.</w:t>
      </w:r>
      <w:r w:rsidRPr="008643AC">
        <w:rPr>
          <w:rFonts w:ascii="Times New Roman" w:eastAsia="Times New Roman" w:hAnsi="Times New Roman" w:cs="Times New Roman"/>
          <w:color w:val="000000"/>
          <w:sz w:val="28"/>
          <w:szCs w:val="28"/>
          <w:lang w:eastAsia="en-US"/>
        </w:rPr>
        <w:t>gadam ir vispārējās valdības budžeta izdevumi, kas skaidrojams ar apjomīgiem papildus izdevumiem atbalsta pasākumu finansēšanai, lai mazinātu Covid-19 ietekmi gan uz iedzīvotājiem, gan uzņēmumiem un nozarēm kopumā. Atbalsta pas</w:t>
      </w:r>
      <w:r w:rsidR="00AB2199">
        <w:rPr>
          <w:rFonts w:ascii="Times New Roman" w:eastAsia="Times New Roman" w:hAnsi="Times New Roman" w:cs="Times New Roman"/>
          <w:color w:val="000000"/>
          <w:sz w:val="28"/>
          <w:szCs w:val="28"/>
          <w:lang w:eastAsia="en-US"/>
        </w:rPr>
        <w:t>ākumi galvenokārt ietekmē 2020.</w:t>
      </w:r>
      <w:r w:rsidRPr="008643AC">
        <w:rPr>
          <w:rFonts w:ascii="Times New Roman" w:eastAsia="Times New Roman" w:hAnsi="Times New Roman" w:cs="Times New Roman"/>
          <w:color w:val="000000"/>
          <w:sz w:val="28"/>
          <w:szCs w:val="28"/>
          <w:lang w:eastAsia="en-US"/>
        </w:rPr>
        <w:t>gada budžeta i</w:t>
      </w:r>
      <w:r w:rsidR="00AB2199">
        <w:rPr>
          <w:rFonts w:ascii="Times New Roman" w:eastAsia="Times New Roman" w:hAnsi="Times New Roman" w:cs="Times New Roman"/>
          <w:color w:val="000000"/>
          <w:sz w:val="28"/>
          <w:szCs w:val="28"/>
          <w:lang w:eastAsia="en-US"/>
        </w:rPr>
        <w:t>zdevumus, taču daļēji arī 2021.</w:t>
      </w:r>
      <w:r w:rsidRPr="008643AC">
        <w:rPr>
          <w:rFonts w:ascii="Times New Roman" w:eastAsia="Times New Roman" w:hAnsi="Times New Roman" w:cs="Times New Roman"/>
          <w:color w:val="000000"/>
          <w:sz w:val="28"/>
          <w:szCs w:val="28"/>
          <w:lang w:eastAsia="en-US"/>
        </w:rPr>
        <w:t>gada izdevumu apmēru, īpaši valsts pamatbudžetā. Arī valsts speciālā budžeta izd</w:t>
      </w:r>
      <w:r w:rsidR="00AB2199">
        <w:rPr>
          <w:rFonts w:ascii="Times New Roman" w:eastAsia="Times New Roman" w:hAnsi="Times New Roman" w:cs="Times New Roman"/>
          <w:color w:val="000000"/>
          <w:sz w:val="28"/>
          <w:szCs w:val="28"/>
          <w:lang w:eastAsia="en-US"/>
        </w:rPr>
        <w:t>evumi 2020.</w:t>
      </w:r>
      <w:r w:rsidRPr="008643AC">
        <w:rPr>
          <w:rFonts w:ascii="Times New Roman" w:eastAsia="Times New Roman" w:hAnsi="Times New Roman" w:cs="Times New Roman"/>
          <w:color w:val="000000"/>
          <w:sz w:val="28"/>
          <w:szCs w:val="28"/>
          <w:lang w:eastAsia="en-US"/>
        </w:rPr>
        <w:t>gadā palielinās pret plānoto ietvarā, kas saistīts ar augstākiem izdevumiem bezdarbnieku pabalstiem.</w:t>
      </w:r>
    </w:p>
    <w:p w14:paraId="4533F830" w14:textId="7E578883" w:rsidR="008643AC" w:rsidRPr="008643AC" w:rsidRDefault="008643AC" w:rsidP="008643AC">
      <w:pPr>
        <w:ind w:firstLine="709"/>
        <w:jc w:val="both"/>
        <w:rPr>
          <w:rFonts w:ascii="Times New Roman" w:eastAsia="Times New Roman" w:hAnsi="Times New Roman" w:cs="Times New Roman"/>
          <w:color w:val="000000"/>
          <w:sz w:val="28"/>
          <w:szCs w:val="28"/>
          <w:lang w:eastAsia="en-US"/>
        </w:rPr>
      </w:pPr>
      <w:r w:rsidRPr="008643AC">
        <w:rPr>
          <w:rFonts w:ascii="Times New Roman" w:eastAsia="Times New Roman" w:hAnsi="Times New Roman" w:cs="Times New Roman"/>
          <w:color w:val="000000"/>
          <w:sz w:val="28"/>
          <w:szCs w:val="28"/>
          <w:lang w:eastAsia="en-US"/>
        </w:rPr>
        <w:t>Sav</w:t>
      </w:r>
      <w:r w:rsidR="00AB2199">
        <w:rPr>
          <w:rFonts w:ascii="Times New Roman" w:eastAsia="Times New Roman" w:hAnsi="Times New Roman" w:cs="Times New Roman"/>
          <w:color w:val="000000"/>
          <w:sz w:val="28"/>
          <w:szCs w:val="28"/>
          <w:lang w:eastAsia="en-US"/>
        </w:rPr>
        <w:t>ukārt, pašvaldību budžetā 2020.</w:t>
      </w:r>
      <w:r w:rsidRPr="008643AC">
        <w:rPr>
          <w:rFonts w:ascii="Times New Roman" w:eastAsia="Times New Roman" w:hAnsi="Times New Roman" w:cs="Times New Roman"/>
          <w:color w:val="000000"/>
          <w:sz w:val="28"/>
          <w:szCs w:val="28"/>
          <w:lang w:eastAsia="en-US"/>
        </w:rPr>
        <w:t>gadā ir sagaidāms zemāks izdevumu apmērs nekā plānots ietvarā, piemēram, izdevumi precēm un pakalpojumiem tiek prognozēti mazāki, ņemot vērā faktisko izpildi šā gada pirmajā pusē, tāpat izdevumi atlīdzībai šogad pieaugs lēnākā tempā nekā plānots pirms gada, savukārt kapitālie izdevumi tiek progno</w:t>
      </w:r>
      <w:r w:rsidR="00AB2199">
        <w:rPr>
          <w:rFonts w:ascii="Times New Roman" w:eastAsia="Times New Roman" w:hAnsi="Times New Roman" w:cs="Times New Roman"/>
          <w:color w:val="000000"/>
          <w:sz w:val="28"/>
          <w:szCs w:val="28"/>
          <w:lang w:eastAsia="en-US"/>
        </w:rPr>
        <w:t>zēti ar samazinājumu pret 2019.</w:t>
      </w:r>
      <w:r w:rsidRPr="008643AC">
        <w:rPr>
          <w:rFonts w:ascii="Times New Roman" w:eastAsia="Times New Roman" w:hAnsi="Times New Roman" w:cs="Times New Roman"/>
          <w:color w:val="000000"/>
          <w:sz w:val="28"/>
          <w:szCs w:val="28"/>
          <w:lang w:eastAsia="en-US"/>
        </w:rPr>
        <w:t>gadu, taču ne tik strauju kā tika plānots iepriekš, ņemot vērā papildus aizņēmumu limita palielināšanu, atbalstot pašvaldī</w:t>
      </w:r>
      <w:r w:rsidR="00AB2199">
        <w:rPr>
          <w:rFonts w:ascii="Times New Roman" w:eastAsia="Times New Roman" w:hAnsi="Times New Roman" w:cs="Times New Roman"/>
          <w:color w:val="000000"/>
          <w:sz w:val="28"/>
          <w:szCs w:val="28"/>
          <w:lang w:eastAsia="en-US"/>
        </w:rPr>
        <w:t>bu investīcijas Covid-19 krīzē (skat. 2.1.tabulu).</w:t>
      </w:r>
    </w:p>
    <w:p w14:paraId="75C5309C" w14:textId="77777777" w:rsidR="008643AC" w:rsidRPr="008643AC" w:rsidRDefault="008643AC" w:rsidP="008643AC">
      <w:pPr>
        <w:keepNext/>
        <w:spacing w:before="240" w:after="120"/>
        <w:jc w:val="right"/>
        <w:rPr>
          <w:rFonts w:ascii="Times New Roman" w:eastAsia="Times New Roman" w:hAnsi="Times New Roman" w:cs="Times New Roman"/>
          <w:b/>
          <w:i/>
          <w:sz w:val="24"/>
          <w:szCs w:val="24"/>
          <w:lang w:eastAsia="en-US"/>
        </w:rPr>
      </w:pPr>
      <w:r w:rsidRPr="008643AC">
        <w:rPr>
          <w:rFonts w:ascii="Times New Roman" w:eastAsia="Times New Roman" w:hAnsi="Times New Roman" w:cs="Times New Roman"/>
          <w:b/>
          <w:i/>
          <w:sz w:val="24"/>
          <w:szCs w:val="24"/>
          <w:lang w:eastAsia="en-US"/>
        </w:rPr>
        <w:t>2.1. tabula. Vispārējās valdības budžeta un konsolidētā kopbudžeta</w:t>
      </w:r>
      <w:r w:rsidRPr="008643AC">
        <w:rPr>
          <w:rFonts w:ascii="Times New Roman" w:eastAsia="Times New Roman" w:hAnsi="Times New Roman" w:cs="Times New Roman"/>
          <w:b/>
          <w:i/>
          <w:sz w:val="24"/>
          <w:szCs w:val="24"/>
          <w:lang w:eastAsia="en-US"/>
        </w:rPr>
        <w:br/>
        <w:t>bilance 2019.</w:t>
      </w:r>
      <w:r w:rsidRPr="008643AC">
        <w:rPr>
          <w:rFonts w:ascii="Times New Roman" w:eastAsia="Times New Roman" w:hAnsi="Times New Roman" w:cs="Times New Roman"/>
          <w:b/>
          <w:i/>
          <w:sz w:val="24"/>
          <w:szCs w:val="24"/>
          <w:lang w:eastAsia="en-US"/>
        </w:rPr>
        <w:noBreakHyphen/>
        <w:t xml:space="preserve">2023.gadā, milj. </w:t>
      </w:r>
      <w:r w:rsidRPr="008643AC">
        <w:rPr>
          <w:rFonts w:ascii="Times New Roman" w:eastAsia="Times New Roman" w:hAnsi="Times New Roman" w:cs="Times New Roman"/>
          <w:b/>
          <w:i/>
          <w:noProof/>
          <w:sz w:val="24"/>
          <w:szCs w:val="24"/>
          <w:lang w:eastAsia="en-US"/>
        </w:rPr>
        <w:t>euro</w:t>
      </w:r>
      <w:r w:rsidRPr="008643AC">
        <w:rPr>
          <w:rFonts w:ascii="Times New Roman" w:eastAsia="Times New Roman" w:hAnsi="Times New Roman" w:cs="Times New Roman"/>
          <w:b/>
          <w:i/>
          <w:sz w:val="24"/>
          <w:szCs w:val="24"/>
          <w:lang w:eastAsia="en-US"/>
        </w:rPr>
        <w:t xml:space="preserve"> un % no IKP</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1"/>
        <w:gridCol w:w="850"/>
        <w:gridCol w:w="851"/>
        <w:gridCol w:w="850"/>
        <w:gridCol w:w="851"/>
        <w:gridCol w:w="850"/>
        <w:gridCol w:w="864"/>
        <w:gridCol w:w="863"/>
      </w:tblGrid>
      <w:tr w:rsidR="008643AC" w:rsidRPr="008643AC" w14:paraId="7E48077B" w14:textId="77777777" w:rsidTr="008643AC">
        <w:trPr>
          <w:trHeight w:val="20"/>
          <w:jc w:val="center"/>
        </w:trPr>
        <w:tc>
          <w:tcPr>
            <w:tcW w:w="2405" w:type="dxa"/>
            <w:shd w:val="clear" w:color="auto" w:fill="95B3D7"/>
            <w:noWrap/>
            <w:vAlign w:val="center"/>
            <w:hideMark/>
          </w:tcPr>
          <w:p w14:paraId="28E6D572" w14:textId="77777777" w:rsidR="008643AC" w:rsidRPr="008643AC" w:rsidRDefault="008643AC" w:rsidP="008643AC">
            <w:pPr>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 </w:t>
            </w:r>
          </w:p>
        </w:tc>
        <w:tc>
          <w:tcPr>
            <w:tcW w:w="851" w:type="dxa"/>
            <w:shd w:val="clear" w:color="auto" w:fill="95B3D7"/>
            <w:noWrap/>
            <w:vAlign w:val="center"/>
            <w:hideMark/>
          </w:tcPr>
          <w:p w14:paraId="3A974B29" w14:textId="77777777" w:rsidR="008643AC" w:rsidRPr="008643AC" w:rsidRDefault="008643AC" w:rsidP="008643AC">
            <w:pPr>
              <w:contextualSpacing/>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2019</w:t>
            </w:r>
          </w:p>
        </w:tc>
        <w:tc>
          <w:tcPr>
            <w:tcW w:w="850" w:type="dxa"/>
            <w:shd w:val="clear" w:color="auto" w:fill="95B3D7"/>
            <w:noWrap/>
            <w:vAlign w:val="center"/>
            <w:hideMark/>
          </w:tcPr>
          <w:p w14:paraId="592B2814" w14:textId="77777777" w:rsidR="008643AC" w:rsidRPr="008643AC" w:rsidRDefault="008643AC" w:rsidP="008643AC">
            <w:pPr>
              <w:contextualSpacing/>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2020</w:t>
            </w:r>
          </w:p>
        </w:tc>
        <w:tc>
          <w:tcPr>
            <w:tcW w:w="851" w:type="dxa"/>
            <w:shd w:val="clear" w:color="auto" w:fill="95B3D7"/>
            <w:noWrap/>
            <w:vAlign w:val="center"/>
            <w:hideMark/>
          </w:tcPr>
          <w:p w14:paraId="67AD6C57" w14:textId="77777777" w:rsidR="008643AC" w:rsidRPr="008643AC" w:rsidRDefault="008643AC" w:rsidP="008643AC">
            <w:pPr>
              <w:contextualSpacing/>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2021</w:t>
            </w:r>
          </w:p>
        </w:tc>
        <w:tc>
          <w:tcPr>
            <w:tcW w:w="850" w:type="dxa"/>
            <w:shd w:val="clear" w:color="auto" w:fill="95B3D7"/>
            <w:noWrap/>
            <w:vAlign w:val="center"/>
            <w:hideMark/>
          </w:tcPr>
          <w:p w14:paraId="03224716" w14:textId="77777777" w:rsidR="008643AC" w:rsidRPr="008643AC" w:rsidRDefault="008643AC" w:rsidP="008643AC">
            <w:pPr>
              <w:contextualSpacing/>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2022</w:t>
            </w:r>
          </w:p>
        </w:tc>
        <w:tc>
          <w:tcPr>
            <w:tcW w:w="851" w:type="dxa"/>
            <w:shd w:val="clear" w:color="auto" w:fill="95B3D7"/>
          </w:tcPr>
          <w:p w14:paraId="550DC5AC" w14:textId="77777777" w:rsidR="008643AC" w:rsidRPr="008643AC" w:rsidRDefault="008643AC" w:rsidP="008643AC">
            <w:pPr>
              <w:contextualSpacing/>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2023</w:t>
            </w:r>
          </w:p>
        </w:tc>
        <w:tc>
          <w:tcPr>
            <w:tcW w:w="850" w:type="dxa"/>
            <w:shd w:val="clear" w:color="auto" w:fill="95B3D7"/>
            <w:noWrap/>
            <w:vAlign w:val="center"/>
            <w:hideMark/>
          </w:tcPr>
          <w:p w14:paraId="0C65378C" w14:textId="77777777" w:rsidR="008643AC" w:rsidRPr="008643AC" w:rsidRDefault="008643AC" w:rsidP="008643AC">
            <w:pPr>
              <w:contextualSpacing/>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2021</w:t>
            </w:r>
          </w:p>
        </w:tc>
        <w:tc>
          <w:tcPr>
            <w:tcW w:w="864" w:type="dxa"/>
            <w:shd w:val="clear" w:color="auto" w:fill="95B3D7"/>
            <w:noWrap/>
            <w:vAlign w:val="center"/>
            <w:hideMark/>
          </w:tcPr>
          <w:p w14:paraId="2210BB18" w14:textId="77777777" w:rsidR="008643AC" w:rsidRPr="008643AC" w:rsidRDefault="008643AC" w:rsidP="008643AC">
            <w:pPr>
              <w:contextualSpacing/>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2022</w:t>
            </w:r>
          </w:p>
        </w:tc>
        <w:tc>
          <w:tcPr>
            <w:tcW w:w="863" w:type="dxa"/>
            <w:shd w:val="clear" w:color="auto" w:fill="95B3D7"/>
            <w:noWrap/>
            <w:hideMark/>
          </w:tcPr>
          <w:p w14:paraId="76E65B43" w14:textId="77777777" w:rsidR="008643AC" w:rsidRPr="008643AC" w:rsidRDefault="008643AC" w:rsidP="008643AC">
            <w:pPr>
              <w:contextualSpacing/>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2023</w:t>
            </w:r>
          </w:p>
        </w:tc>
      </w:tr>
      <w:tr w:rsidR="008643AC" w:rsidRPr="008643AC" w14:paraId="57BCCEB9" w14:textId="77777777" w:rsidTr="008643AC">
        <w:trPr>
          <w:trHeight w:val="20"/>
          <w:jc w:val="center"/>
        </w:trPr>
        <w:tc>
          <w:tcPr>
            <w:tcW w:w="2405" w:type="dxa"/>
            <w:shd w:val="clear" w:color="auto" w:fill="95B3D7"/>
            <w:noWrap/>
            <w:vAlign w:val="center"/>
            <w:hideMark/>
          </w:tcPr>
          <w:p w14:paraId="2C53FA7D" w14:textId="77777777" w:rsidR="008643AC" w:rsidRPr="008643AC" w:rsidRDefault="008643AC" w:rsidP="008643AC">
            <w:pPr>
              <w:contextualSpacing/>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 </w:t>
            </w:r>
          </w:p>
        </w:tc>
        <w:tc>
          <w:tcPr>
            <w:tcW w:w="851" w:type="dxa"/>
            <w:shd w:val="clear" w:color="auto" w:fill="95B3D7"/>
            <w:noWrap/>
            <w:vAlign w:val="center"/>
            <w:hideMark/>
          </w:tcPr>
          <w:p w14:paraId="2CBD4A2E" w14:textId="77777777" w:rsidR="008643AC" w:rsidRPr="008643AC" w:rsidRDefault="008643AC" w:rsidP="008643AC">
            <w:pPr>
              <w:contextualSpacing/>
              <w:jc w:val="center"/>
              <w:rPr>
                <w:rFonts w:ascii="Times New Roman" w:eastAsia="Times New Roman" w:hAnsi="Times New Roman" w:cs="Times New Roman"/>
                <w:b/>
                <w:color w:val="000000"/>
                <w:sz w:val="18"/>
                <w:szCs w:val="18"/>
              </w:rPr>
            </w:pPr>
            <w:r w:rsidRPr="008643AC">
              <w:rPr>
                <w:rFonts w:ascii="Times New Roman" w:eastAsia="Times New Roman" w:hAnsi="Times New Roman" w:cs="Times New Roman"/>
                <w:b/>
                <w:color w:val="000000"/>
                <w:sz w:val="18"/>
                <w:szCs w:val="18"/>
              </w:rPr>
              <w:t>Fakts*</w:t>
            </w:r>
          </w:p>
        </w:tc>
        <w:tc>
          <w:tcPr>
            <w:tcW w:w="850" w:type="dxa"/>
            <w:shd w:val="clear" w:color="auto" w:fill="95B3D7"/>
            <w:vAlign w:val="center"/>
          </w:tcPr>
          <w:p w14:paraId="74D38619" w14:textId="77777777" w:rsidR="008643AC" w:rsidRPr="008643AC" w:rsidRDefault="008643AC" w:rsidP="008643AC">
            <w:pPr>
              <w:contextualSpacing/>
              <w:jc w:val="center"/>
              <w:rPr>
                <w:rFonts w:ascii="Times New Roman" w:eastAsia="Times New Roman" w:hAnsi="Times New Roman" w:cs="Times New Roman"/>
                <w:b/>
                <w:color w:val="000000"/>
                <w:sz w:val="18"/>
                <w:szCs w:val="18"/>
              </w:rPr>
            </w:pPr>
            <w:r w:rsidRPr="008643AC">
              <w:rPr>
                <w:rFonts w:ascii="Times New Roman" w:eastAsia="Times New Roman" w:hAnsi="Times New Roman" w:cs="Times New Roman"/>
                <w:b/>
                <w:color w:val="000000"/>
                <w:sz w:val="18"/>
                <w:szCs w:val="18"/>
              </w:rPr>
              <w:t>Novērt.</w:t>
            </w:r>
          </w:p>
        </w:tc>
        <w:tc>
          <w:tcPr>
            <w:tcW w:w="2552" w:type="dxa"/>
            <w:gridSpan w:val="3"/>
            <w:shd w:val="clear" w:color="auto" w:fill="95B3D7"/>
            <w:vAlign w:val="center"/>
          </w:tcPr>
          <w:p w14:paraId="71CC608B" w14:textId="77777777" w:rsidR="008643AC" w:rsidRPr="008643AC" w:rsidRDefault="008643AC" w:rsidP="008643AC">
            <w:pPr>
              <w:contextualSpacing/>
              <w:jc w:val="center"/>
              <w:rPr>
                <w:rFonts w:ascii="Times New Roman" w:eastAsia="Times New Roman" w:hAnsi="Times New Roman" w:cs="Times New Roman"/>
                <w:b/>
                <w:color w:val="000000"/>
                <w:sz w:val="18"/>
                <w:szCs w:val="18"/>
              </w:rPr>
            </w:pPr>
            <w:r w:rsidRPr="008643AC">
              <w:rPr>
                <w:rFonts w:ascii="Times New Roman" w:eastAsia="Times New Roman" w:hAnsi="Times New Roman" w:cs="Times New Roman"/>
                <w:b/>
                <w:color w:val="000000"/>
                <w:sz w:val="18"/>
                <w:szCs w:val="18"/>
              </w:rPr>
              <w:t>Prognoze (nemainīga politika)</w:t>
            </w:r>
          </w:p>
        </w:tc>
        <w:tc>
          <w:tcPr>
            <w:tcW w:w="2577" w:type="dxa"/>
            <w:gridSpan w:val="3"/>
            <w:shd w:val="clear" w:color="auto" w:fill="95B3D7"/>
            <w:vAlign w:val="center"/>
            <w:hideMark/>
          </w:tcPr>
          <w:p w14:paraId="48A0B140" w14:textId="77777777" w:rsidR="008643AC" w:rsidRPr="008643AC" w:rsidRDefault="008643AC" w:rsidP="008643AC">
            <w:pPr>
              <w:contextualSpacing/>
              <w:jc w:val="center"/>
              <w:rPr>
                <w:rFonts w:ascii="Times New Roman" w:eastAsia="Times New Roman" w:hAnsi="Times New Roman" w:cs="Times New Roman"/>
                <w:b/>
                <w:color w:val="000000"/>
                <w:sz w:val="18"/>
                <w:szCs w:val="18"/>
              </w:rPr>
            </w:pPr>
            <w:r w:rsidRPr="008643AC">
              <w:rPr>
                <w:rFonts w:ascii="Times New Roman" w:eastAsia="Times New Roman" w:hAnsi="Times New Roman" w:cs="Times New Roman"/>
                <w:b/>
                <w:color w:val="000000"/>
                <w:sz w:val="18"/>
                <w:szCs w:val="18"/>
              </w:rPr>
              <w:t xml:space="preserve">Prognoze </w:t>
            </w:r>
          </w:p>
        </w:tc>
      </w:tr>
      <w:tr w:rsidR="008643AC" w:rsidRPr="008643AC" w14:paraId="5927DE6B" w14:textId="77777777" w:rsidTr="008643AC">
        <w:trPr>
          <w:trHeight w:val="20"/>
          <w:jc w:val="center"/>
        </w:trPr>
        <w:tc>
          <w:tcPr>
            <w:tcW w:w="2405" w:type="dxa"/>
            <w:shd w:val="clear" w:color="auto" w:fill="auto"/>
            <w:vAlign w:val="center"/>
            <w:hideMark/>
          </w:tcPr>
          <w:p w14:paraId="01536D52" w14:textId="77777777" w:rsidR="008643AC" w:rsidRPr="008643AC" w:rsidRDefault="008643AC" w:rsidP="008643AC">
            <w:pPr>
              <w:contextualSpacing/>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Vispārējās valdības budžeta bilance, % no IKP</w:t>
            </w:r>
          </w:p>
        </w:tc>
        <w:tc>
          <w:tcPr>
            <w:tcW w:w="851" w:type="dxa"/>
            <w:shd w:val="clear" w:color="auto" w:fill="auto"/>
            <w:noWrap/>
            <w:vAlign w:val="center"/>
            <w:hideMark/>
          </w:tcPr>
          <w:p w14:paraId="78959BA8"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-0,2 </w:t>
            </w:r>
          </w:p>
        </w:tc>
        <w:tc>
          <w:tcPr>
            <w:tcW w:w="850" w:type="dxa"/>
            <w:shd w:val="clear" w:color="auto" w:fill="auto"/>
            <w:noWrap/>
            <w:vAlign w:val="center"/>
            <w:hideMark/>
          </w:tcPr>
          <w:p w14:paraId="1E817711"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-7,6 </w:t>
            </w:r>
          </w:p>
        </w:tc>
        <w:tc>
          <w:tcPr>
            <w:tcW w:w="851" w:type="dxa"/>
            <w:shd w:val="clear" w:color="auto" w:fill="auto"/>
            <w:noWrap/>
            <w:vAlign w:val="center"/>
            <w:hideMark/>
          </w:tcPr>
          <w:p w14:paraId="67C18FEE" w14:textId="77777777" w:rsidR="008643AC" w:rsidRPr="008643AC" w:rsidRDefault="008643AC" w:rsidP="008643AC">
            <w:pPr>
              <w:jc w:val="right"/>
              <w:rPr>
                <w:rFonts w:ascii="Times New Roman" w:eastAsia="Times New Roman" w:hAnsi="Times New Roman" w:cs="Times New Roman"/>
                <w:b/>
                <w:bCs/>
                <w:sz w:val="18"/>
                <w:szCs w:val="44"/>
              </w:rPr>
            </w:pPr>
            <w:r w:rsidRPr="008643AC">
              <w:rPr>
                <w:rFonts w:ascii="Times New Roman" w:eastAsia="Times New Roman" w:hAnsi="Times New Roman" w:cs="Times New Roman"/>
                <w:b/>
                <w:bCs/>
                <w:sz w:val="18"/>
                <w:szCs w:val="44"/>
                <w:lang w:eastAsia="en-US"/>
              </w:rPr>
              <w:t xml:space="preserve">-3,9 </w:t>
            </w:r>
          </w:p>
        </w:tc>
        <w:tc>
          <w:tcPr>
            <w:tcW w:w="850" w:type="dxa"/>
            <w:shd w:val="clear" w:color="auto" w:fill="auto"/>
            <w:noWrap/>
            <w:vAlign w:val="center"/>
            <w:hideMark/>
          </w:tcPr>
          <w:p w14:paraId="07BB859D"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-2,8 </w:t>
            </w:r>
          </w:p>
        </w:tc>
        <w:tc>
          <w:tcPr>
            <w:tcW w:w="851" w:type="dxa"/>
            <w:shd w:val="clear" w:color="auto" w:fill="auto"/>
            <w:vAlign w:val="center"/>
          </w:tcPr>
          <w:p w14:paraId="40019DF2"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-1,7 </w:t>
            </w:r>
          </w:p>
        </w:tc>
        <w:tc>
          <w:tcPr>
            <w:tcW w:w="850" w:type="dxa"/>
            <w:shd w:val="clear" w:color="auto" w:fill="auto"/>
            <w:noWrap/>
            <w:vAlign w:val="center"/>
            <w:hideMark/>
          </w:tcPr>
          <w:p w14:paraId="19151273"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-3,9 </w:t>
            </w:r>
          </w:p>
        </w:tc>
        <w:tc>
          <w:tcPr>
            <w:tcW w:w="864" w:type="dxa"/>
            <w:shd w:val="clear" w:color="auto" w:fill="auto"/>
            <w:noWrap/>
            <w:vAlign w:val="center"/>
            <w:hideMark/>
          </w:tcPr>
          <w:p w14:paraId="58718ED5"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-2,8 </w:t>
            </w:r>
          </w:p>
        </w:tc>
        <w:tc>
          <w:tcPr>
            <w:tcW w:w="863" w:type="dxa"/>
            <w:shd w:val="clear" w:color="auto" w:fill="auto"/>
            <w:noWrap/>
            <w:vAlign w:val="center"/>
            <w:hideMark/>
          </w:tcPr>
          <w:p w14:paraId="17815F0B"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-1,7 </w:t>
            </w:r>
          </w:p>
        </w:tc>
      </w:tr>
      <w:tr w:rsidR="008643AC" w:rsidRPr="008643AC" w14:paraId="6EB8E09B" w14:textId="77777777" w:rsidTr="008643AC">
        <w:trPr>
          <w:trHeight w:val="20"/>
          <w:jc w:val="center"/>
        </w:trPr>
        <w:tc>
          <w:tcPr>
            <w:tcW w:w="2405" w:type="dxa"/>
            <w:shd w:val="clear" w:color="auto" w:fill="auto"/>
            <w:vAlign w:val="center"/>
            <w:hideMark/>
          </w:tcPr>
          <w:p w14:paraId="698C9C44" w14:textId="77777777" w:rsidR="008643AC" w:rsidRPr="008643AC" w:rsidRDefault="008643AC" w:rsidP="008643AC">
            <w:pPr>
              <w:contextualSpacing/>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Vispārējās valdības budžeta bilance</w:t>
            </w:r>
          </w:p>
        </w:tc>
        <w:tc>
          <w:tcPr>
            <w:tcW w:w="851" w:type="dxa"/>
            <w:shd w:val="clear" w:color="auto" w:fill="auto"/>
            <w:noWrap/>
            <w:vAlign w:val="center"/>
            <w:hideMark/>
          </w:tcPr>
          <w:p w14:paraId="5253BE09"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-63,2 </w:t>
            </w:r>
          </w:p>
        </w:tc>
        <w:tc>
          <w:tcPr>
            <w:tcW w:w="850" w:type="dxa"/>
            <w:shd w:val="clear" w:color="auto" w:fill="auto"/>
            <w:noWrap/>
            <w:vAlign w:val="center"/>
            <w:hideMark/>
          </w:tcPr>
          <w:p w14:paraId="71AE373C"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-2 143,8 </w:t>
            </w:r>
          </w:p>
        </w:tc>
        <w:tc>
          <w:tcPr>
            <w:tcW w:w="851" w:type="dxa"/>
            <w:shd w:val="clear" w:color="auto" w:fill="auto"/>
            <w:noWrap/>
            <w:vAlign w:val="center"/>
            <w:hideMark/>
          </w:tcPr>
          <w:p w14:paraId="4389DC14"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-1 184,9 </w:t>
            </w:r>
          </w:p>
        </w:tc>
        <w:tc>
          <w:tcPr>
            <w:tcW w:w="850" w:type="dxa"/>
            <w:shd w:val="clear" w:color="auto" w:fill="auto"/>
            <w:noWrap/>
            <w:vAlign w:val="center"/>
            <w:hideMark/>
          </w:tcPr>
          <w:p w14:paraId="1ACCB8AB"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-876,9 </w:t>
            </w:r>
          </w:p>
        </w:tc>
        <w:tc>
          <w:tcPr>
            <w:tcW w:w="851" w:type="dxa"/>
            <w:shd w:val="clear" w:color="auto" w:fill="auto"/>
            <w:vAlign w:val="center"/>
          </w:tcPr>
          <w:p w14:paraId="3AD543F3"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-563,8 </w:t>
            </w:r>
          </w:p>
        </w:tc>
        <w:tc>
          <w:tcPr>
            <w:tcW w:w="850" w:type="dxa"/>
            <w:shd w:val="clear" w:color="auto" w:fill="auto"/>
            <w:noWrap/>
            <w:vAlign w:val="center"/>
            <w:hideMark/>
          </w:tcPr>
          <w:p w14:paraId="229C943A"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-1 184,9 </w:t>
            </w:r>
          </w:p>
        </w:tc>
        <w:tc>
          <w:tcPr>
            <w:tcW w:w="864" w:type="dxa"/>
            <w:shd w:val="clear" w:color="auto" w:fill="auto"/>
            <w:noWrap/>
            <w:vAlign w:val="center"/>
            <w:hideMark/>
          </w:tcPr>
          <w:p w14:paraId="6BEF2B77"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-876,9 </w:t>
            </w:r>
          </w:p>
        </w:tc>
        <w:tc>
          <w:tcPr>
            <w:tcW w:w="863" w:type="dxa"/>
            <w:shd w:val="clear" w:color="auto" w:fill="auto"/>
            <w:noWrap/>
            <w:vAlign w:val="center"/>
            <w:hideMark/>
          </w:tcPr>
          <w:p w14:paraId="51636F7D"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 xml:space="preserve">-563,8 </w:t>
            </w:r>
          </w:p>
        </w:tc>
      </w:tr>
      <w:tr w:rsidR="008643AC" w:rsidRPr="008643AC" w14:paraId="55CBE667" w14:textId="77777777" w:rsidTr="008643AC">
        <w:trPr>
          <w:trHeight w:val="20"/>
          <w:jc w:val="center"/>
        </w:trPr>
        <w:tc>
          <w:tcPr>
            <w:tcW w:w="2405" w:type="dxa"/>
            <w:shd w:val="clear" w:color="auto" w:fill="auto"/>
            <w:vAlign w:val="center"/>
          </w:tcPr>
          <w:p w14:paraId="458D7E1D" w14:textId="77777777" w:rsidR="008643AC" w:rsidRPr="008643AC" w:rsidRDefault="008643AC" w:rsidP="008643AC">
            <w:pPr>
              <w:contextualSpacing/>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 xml:space="preserve">     Centrālā valdība</w:t>
            </w:r>
          </w:p>
        </w:tc>
        <w:tc>
          <w:tcPr>
            <w:tcW w:w="851" w:type="dxa"/>
            <w:shd w:val="clear" w:color="auto" w:fill="auto"/>
            <w:noWrap/>
            <w:vAlign w:val="center"/>
          </w:tcPr>
          <w:p w14:paraId="602BF646"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-526,5</w:t>
            </w:r>
          </w:p>
        </w:tc>
        <w:tc>
          <w:tcPr>
            <w:tcW w:w="850" w:type="dxa"/>
            <w:shd w:val="clear" w:color="auto" w:fill="auto"/>
            <w:noWrap/>
            <w:vAlign w:val="center"/>
          </w:tcPr>
          <w:p w14:paraId="1193D02C"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-1 907,7</w:t>
            </w:r>
          </w:p>
        </w:tc>
        <w:tc>
          <w:tcPr>
            <w:tcW w:w="851" w:type="dxa"/>
            <w:shd w:val="clear" w:color="auto" w:fill="auto"/>
            <w:noWrap/>
            <w:vAlign w:val="center"/>
          </w:tcPr>
          <w:p w14:paraId="6EA5DB4F"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-983,4</w:t>
            </w:r>
          </w:p>
        </w:tc>
        <w:tc>
          <w:tcPr>
            <w:tcW w:w="850" w:type="dxa"/>
            <w:shd w:val="clear" w:color="auto" w:fill="auto"/>
            <w:noWrap/>
            <w:vAlign w:val="center"/>
          </w:tcPr>
          <w:p w14:paraId="6BDB4FCC"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-762,1</w:t>
            </w:r>
          </w:p>
        </w:tc>
        <w:tc>
          <w:tcPr>
            <w:tcW w:w="851" w:type="dxa"/>
            <w:shd w:val="clear" w:color="auto" w:fill="auto"/>
            <w:vAlign w:val="center"/>
          </w:tcPr>
          <w:p w14:paraId="579126BD"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-449,7</w:t>
            </w:r>
          </w:p>
        </w:tc>
        <w:tc>
          <w:tcPr>
            <w:tcW w:w="850" w:type="dxa"/>
            <w:shd w:val="clear" w:color="auto" w:fill="auto"/>
            <w:noWrap/>
            <w:vAlign w:val="center"/>
          </w:tcPr>
          <w:p w14:paraId="76881492"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-1 067,6</w:t>
            </w:r>
          </w:p>
        </w:tc>
        <w:tc>
          <w:tcPr>
            <w:tcW w:w="864" w:type="dxa"/>
            <w:shd w:val="clear" w:color="auto" w:fill="auto"/>
            <w:noWrap/>
            <w:vAlign w:val="center"/>
          </w:tcPr>
          <w:p w14:paraId="5D8A252A"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-937,0</w:t>
            </w:r>
          </w:p>
        </w:tc>
        <w:tc>
          <w:tcPr>
            <w:tcW w:w="863" w:type="dxa"/>
            <w:shd w:val="clear" w:color="auto" w:fill="auto"/>
            <w:noWrap/>
            <w:vAlign w:val="center"/>
          </w:tcPr>
          <w:p w14:paraId="17C0AD7A"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-626,9</w:t>
            </w:r>
          </w:p>
        </w:tc>
      </w:tr>
      <w:tr w:rsidR="008643AC" w:rsidRPr="008643AC" w14:paraId="317DEB07" w14:textId="77777777" w:rsidTr="008643AC">
        <w:trPr>
          <w:trHeight w:val="20"/>
          <w:jc w:val="center"/>
        </w:trPr>
        <w:tc>
          <w:tcPr>
            <w:tcW w:w="2405" w:type="dxa"/>
            <w:shd w:val="clear" w:color="auto" w:fill="auto"/>
            <w:vAlign w:val="center"/>
          </w:tcPr>
          <w:p w14:paraId="0A52E965" w14:textId="77777777" w:rsidR="008643AC" w:rsidRPr="008643AC" w:rsidRDefault="008643AC" w:rsidP="008643AC">
            <w:pPr>
              <w:contextualSpacing/>
              <w:jc w:val="right"/>
              <w:rPr>
                <w:rFonts w:ascii="Times New Roman" w:eastAsia="Times New Roman" w:hAnsi="Times New Roman" w:cs="Times New Roman"/>
                <w:bCs/>
                <w:i/>
                <w:color w:val="000000"/>
                <w:sz w:val="18"/>
                <w:szCs w:val="18"/>
              </w:rPr>
            </w:pPr>
            <w:r w:rsidRPr="008643AC">
              <w:rPr>
                <w:rFonts w:ascii="Times New Roman" w:eastAsia="Times New Roman" w:hAnsi="Times New Roman" w:cs="Times New Roman"/>
                <w:bCs/>
                <w:i/>
                <w:color w:val="000000"/>
                <w:sz w:val="18"/>
                <w:szCs w:val="18"/>
              </w:rPr>
              <w:t>t.sk. komersanti</w:t>
            </w:r>
          </w:p>
        </w:tc>
        <w:tc>
          <w:tcPr>
            <w:tcW w:w="851" w:type="dxa"/>
            <w:shd w:val="clear" w:color="auto" w:fill="auto"/>
            <w:noWrap/>
            <w:vAlign w:val="center"/>
          </w:tcPr>
          <w:p w14:paraId="29D0715A"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-49,4</w:t>
            </w:r>
          </w:p>
        </w:tc>
        <w:tc>
          <w:tcPr>
            <w:tcW w:w="850" w:type="dxa"/>
            <w:shd w:val="clear" w:color="auto" w:fill="auto"/>
            <w:noWrap/>
            <w:vAlign w:val="center"/>
          </w:tcPr>
          <w:p w14:paraId="3C99633C"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-39,6</w:t>
            </w:r>
          </w:p>
        </w:tc>
        <w:tc>
          <w:tcPr>
            <w:tcW w:w="851" w:type="dxa"/>
            <w:shd w:val="clear" w:color="auto" w:fill="auto"/>
            <w:noWrap/>
            <w:vAlign w:val="center"/>
          </w:tcPr>
          <w:p w14:paraId="6380D0F5"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-18,6</w:t>
            </w:r>
          </w:p>
        </w:tc>
        <w:tc>
          <w:tcPr>
            <w:tcW w:w="850" w:type="dxa"/>
            <w:shd w:val="clear" w:color="auto" w:fill="auto"/>
            <w:noWrap/>
            <w:vAlign w:val="center"/>
          </w:tcPr>
          <w:p w14:paraId="5FDD30E0"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-40,7</w:t>
            </w:r>
          </w:p>
        </w:tc>
        <w:tc>
          <w:tcPr>
            <w:tcW w:w="851" w:type="dxa"/>
            <w:shd w:val="clear" w:color="auto" w:fill="auto"/>
            <w:vAlign w:val="center"/>
          </w:tcPr>
          <w:p w14:paraId="43A8F477"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-41,7</w:t>
            </w:r>
          </w:p>
        </w:tc>
        <w:tc>
          <w:tcPr>
            <w:tcW w:w="850" w:type="dxa"/>
            <w:shd w:val="clear" w:color="auto" w:fill="auto"/>
            <w:noWrap/>
            <w:vAlign w:val="center"/>
          </w:tcPr>
          <w:p w14:paraId="43B75312"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-58,0</w:t>
            </w:r>
          </w:p>
        </w:tc>
        <w:tc>
          <w:tcPr>
            <w:tcW w:w="864" w:type="dxa"/>
            <w:shd w:val="clear" w:color="auto" w:fill="auto"/>
            <w:noWrap/>
            <w:vAlign w:val="center"/>
          </w:tcPr>
          <w:p w14:paraId="6AFAAB35"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-79,7</w:t>
            </w:r>
          </w:p>
        </w:tc>
        <w:tc>
          <w:tcPr>
            <w:tcW w:w="863" w:type="dxa"/>
            <w:shd w:val="clear" w:color="auto" w:fill="auto"/>
            <w:noWrap/>
            <w:vAlign w:val="center"/>
          </w:tcPr>
          <w:p w14:paraId="2D871002"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-61,4</w:t>
            </w:r>
          </w:p>
        </w:tc>
      </w:tr>
      <w:tr w:rsidR="008643AC" w:rsidRPr="008643AC" w14:paraId="0F1A584C" w14:textId="77777777" w:rsidTr="008643AC">
        <w:trPr>
          <w:trHeight w:val="20"/>
          <w:jc w:val="center"/>
        </w:trPr>
        <w:tc>
          <w:tcPr>
            <w:tcW w:w="2405" w:type="dxa"/>
            <w:shd w:val="clear" w:color="auto" w:fill="auto"/>
            <w:vAlign w:val="center"/>
          </w:tcPr>
          <w:p w14:paraId="46AE3E44" w14:textId="77777777" w:rsidR="008643AC" w:rsidRPr="008643AC" w:rsidRDefault="008643AC" w:rsidP="008643AC">
            <w:pPr>
              <w:contextualSpacing/>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 xml:space="preserve">     Vietējā valdība</w:t>
            </w:r>
          </w:p>
        </w:tc>
        <w:tc>
          <w:tcPr>
            <w:tcW w:w="851" w:type="dxa"/>
            <w:shd w:val="clear" w:color="auto" w:fill="auto"/>
            <w:noWrap/>
            <w:vAlign w:val="center"/>
          </w:tcPr>
          <w:p w14:paraId="25977E90"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179,9</w:t>
            </w:r>
          </w:p>
        </w:tc>
        <w:tc>
          <w:tcPr>
            <w:tcW w:w="850" w:type="dxa"/>
            <w:shd w:val="clear" w:color="auto" w:fill="auto"/>
            <w:noWrap/>
            <w:vAlign w:val="center"/>
          </w:tcPr>
          <w:p w14:paraId="3FDF1535"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-79,7</w:t>
            </w:r>
          </w:p>
        </w:tc>
        <w:tc>
          <w:tcPr>
            <w:tcW w:w="851" w:type="dxa"/>
            <w:shd w:val="clear" w:color="auto" w:fill="auto"/>
            <w:noWrap/>
            <w:vAlign w:val="center"/>
          </w:tcPr>
          <w:p w14:paraId="6C3D6340"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-63,5</w:t>
            </w:r>
          </w:p>
        </w:tc>
        <w:tc>
          <w:tcPr>
            <w:tcW w:w="850" w:type="dxa"/>
            <w:shd w:val="clear" w:color="auto" w:fill="auto"/>
            <w:noWrap/>
            <w:vAlign w:val="center"/>
          </w:tcPr>
          <w:p w14:paraId="0A1575A8"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-80,4</w:t>
            </w:r>
          </w:p>
        </w:tc>
        <w:tc>
          <w:tcPr>
            <w:tcW w:w="851" w:type="dxa"/>
            <w:shd w:val="clear" w:color="auto" w:fill="auto"/>
            <w:vAlign w:val="center"/>
          </w:tcPr>
          <w:p w14:paraId="744F549E"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-73,1</w:t>
            </w:r>
          </w:p>
        </w:tc>
        <w:tc>
          <w:tcPr>
            <w:tcW w:w="850" w:type="dxa"/>
            <w:shd w:val="clear" w:color="auto" w:fill="auto"/>
            <w:noWrap/>
            <w:vAlign w:val="center"/>
          </w:tcPr>
          <w:p w14:paraId="226E2025"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-68,2</w:t>
            </w:r>
          </w:p>
        </w:tc>
        <w:tc>
          <w:tcPr>
            <w:tcW w:w="864" w:type="dxa"/>
            <w:shd w:val="clear" w:color="auto" w:fill="auto"/>
            <w:noWrap/>
            <w:vAlign w:val="center"/>
          </w:tcPr>
          <w:p w14:paraId="75D3F0E6"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-75,8</w:t>
            </w:r>
          </w:p>
        </w:tc>
        <w:tc>
          <w:tcPr>
            <w:tcW w:w="863" w:type="dxa"/>
            <w:shd w:val="clear" w:color="auto" w:fill="auto"/>
            <w:noWrap/>
            <w:vAlign w:val="center"/>
          </w:tcPr>
          <w:p w14:paraId="5ECD9001"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-77,6</w:t>
            </w:r>
          </w:p>
        </w:tc>
      </w:tr>
      <w:tr w:rsidR="008643AC" w:rsidRPr="008643AC" w14:paraId="6AE100D1" w14:textId="77777777" w:rsidTr="008643AC">
        <w:trPr>
          <w:trHeight w:val="20"/>
          <w:jc w:val="center"/>
        </w:trPr>
        <w:tc>
          <w:tcPr>
            <w:tcW w:w="2405" w:type="dxa"/>
            <w:shd w:val="clear" w:color="auto" w:fill="auto"/>
            <w:vAlign w:val="center"/>
          </w:tcPr>
          <w:p w14:paraId="00BA1E99" w14:textId="77777777" w:rsidR="008643AC" w:rsidRPr="008643AC" w:rsidRDefault="008643AC" w:rsidP="008643AC">
            <w:pPr>
              <w:contextualSpacing/>
              <w:jc w:val="right"/>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Cs/>
                <w:i/>
                <w:color w:val="000000"/>
                <w:sz w:val="18"/>
                <w:szCs w:val="18"/>
              </w:rPr>
              <w:t>t.sk. komersanti</w:t>
            </w:r>
          </w:p>
        </w:tc>
        <w:tc>
          <w:tcPr>
            <w:tcW w:w="851" w:type="dxa"/>
            <w:shd w:val="clear" w:color="auto" w:fill="auto"/>
            <w:noWrap/>
            <w:vAlign w:val="center"/>
          </w:tcPr>
          <w:p w14:paraId="7F3495E4"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33,2</w:t>
            </w:r>
          </w:p>
        </w:tc>
        <w:tc>
          <w:tcPr>
            <w:tcW w:w="850" w:type="dxa"/>
            <w:shd w:val="clear" w:color="auto" w:fill="auto"/>
            <w:noWrap/>
            <w:vAlign w:val="center"/>
          </w:tcPr>
          <w:p w14:paraId="1F674285"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-18,8</w:t>
            </w:r>
          </w:p>
        </w:tc>
        <w:tc>
          <w:tcPr>
            <w:tcW w:w="851" w:type="dxa"/>
            <w:shd w:val="clear" w:color="auto" w:fill="auto"/>
            <w:noWrap/>
            <w:vAlign w:val="center"/>
          </w:tcPr>
          <w:p w14:paraId="576F9C8A"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-12,6</w:t>
            </w:r>
          </w:p>
        </w:tc>
        <w:tc>
          <w:tcPr>
            <w:tcW w:w="850" w:type="dxa"/>
            <w:shd w:val="clear" w:color="auto" w:fill="auto"/>
            <w:noWrap/>
            <w:vAlign w:val="center"/>
          </w:tcPr>
          <w:p w14:paraId="6FD54B1F"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-7,9</w:t>
            </w:r>
          </w:p>
        </w:tc>
        <w:tc>
          <w:tcPr>
            <w:tcW w:w="851" w:type="dxa"/>
            <w:shd w:val="clear" w:color="auto" w:fill="auto"/>
            <w:vAlign w:val="center"/>
          </w:tcPr>
          <w:p w14:paraId="64AFE12A"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17,0</w:t>
            </w:r>
          </w:p>
        </w:tc>
        <w:tc>
          <w:tcPr>
            <w:tcW w:w="850" w:type="dxa"/>
            <w:shd w:val="clear" w:color="auto" w:fill="auto"/>
            <w:noWrap/>
            <w:vAlign w:val="center"/>
          </w:tcPr>
          <w:p w14:paraId="4A5E00AB"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-12,6</w:t>
            </w:r>
          </w:p>
        </w:tc>
        <w:tc>
          <w:tcPr>
            <w:tcW w:w="864" w:type="dxa"/>
            <w:shd w:val="clear" w:color="auto" w:fill="auto"/>
            <w:noWrap/>
            <w:vAlign w:val="center"/>
          </w:tcPr>
          <w:p w14:paraId="134C75FE"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-7,9</w:t>
            </w:r>
          </w:p>
        </w:tc>
        <w:tc>
          <w:tcPr>
            <w:tcW w:w="863" w:type="dxa"/>
            <w:shd w:val="clear" w:color="auto" w:fill="auto"/>
            <w:noWrap/>
            <w:vAlign w:val="center"/>
          </w:tcPr>
          <w:p w14:paraId="77574AE4" w14:textId="77777777" w:rsidR="008643AC" w:rsidRPr="008643AC" w:rsidRDefault="008643AC" w:rsidP="008643AC">
            <w:pPr>
              <w:contextualSpacing/>
              <w:jc w:val="right"/>
              <w:rPr>
                <w:rFonts w:ascii="Times New Roman" w:eastAsia="Times New Roman" w:hAnsi="Times New Roman" w:cs="Times New Roman"/>
                <w:bCs/>
                <w:sz w:val="18"/>
                <w:szCs w:val="18"/>
              </w:rPr>
            </w:pPr>
            <w:r w:rsidRPr="008643AC">
              <w:rPr>
                <w:rFonts w:ascii="Times New Roman" w:eastAsia="Times New Roman" w:hAnsi="Times New Roman" w:cs="Times New Roman"/>
                <w:bCs/>
                <w:sz w:val="18"/>
                <w:szCs w:val="18"/>
              </w:rPr>
              <w:t>17,0</w:t>
            </w:r>
          </w:p>
        </w:tc>
      </w:tr>
      <w:tr w:rsidR="008643AC" w:rsidRPr="008643AC" w14:paraId="69BB74EA" w14:textId="77777777" w:rsidTr="008643AC">
        <w:trPr>
          <w:trHeight w:val="20"/>
          <w:jc w:val="center"/>
        </w:trPr>
        <w:tc>
          <w:tcPr>
            <w:tcW w:w="2405" w:type="dxa"/>
            <w:shd w:val="clear" w:color="auto" w:fill="auto"/>
            <w:vAlign w:val="center"/>
          </w:tcPr>
          <w:p w14:paraId="54E932A8" w14:textId="77777777" w:rsidR="008643AC" w:rsidRPr="008643AC" w:rsidRDefault="008643AC" w:rsidP="008643AC">
            <w:pPr>
              <w:contextualSpacing/>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 xml:space="preserve">     Sociālās nodrošināšanas fondi</w:t>
            </w:r>
          </w:p>
        </w:tc>
        <w:tc>
          <w:tcPr>
            <w:tcW w:w="851" w:type="dxa"/>
            <w:shd w:val="clear" w:color="auto" w:fill="auto"/>
            <w:noWrap/>
            <w:vAlign w:val="center"/>
          </w:tcPr>
          <w:p w14:paraId="1149440E"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283,4</w:t>
            </w:r>
          </w:p>
        </w:tc>
        <w:tc>
          <w:tcPr>
            <w:tcW w:w="850" w:type="dxa"/>
            <w:shd w:val="clear" w:color="auto" w:fill="auto"/>
            <w:noWrap/>
            <w:vAlign w:val="center"/>
          </w:tcPr>
          <w:p w14:paraId="42C48B94"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-156,4</w:t>
            </w:r>
          </w:p>
        </w:tc>
        <w:tc>
          <w:tcPr>
            <w:tcW w:w="851" w:type="dxa"/>
            <w:shd w:val="clear" w:color="auto" w:fill="auto"/>
            <w:noWrap/>
            <w:vAlign w:val="center"/>
          </w:tcPr>
          <w:p w14:paraId="092B72FA"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-138,0</w:t>
            </w:r>
          </w:p>
        </w:tc>
        <w:tc>
          <w:tcPr>
            <w:tcW w:w="850" w:type="dxa"/>
            <w:shd w:val="clear" w:color="auto" w:fill="auto"/>
            <w:noWrap/>
            <w:vAlign w:val="center"/>
          </w:tcPr>
          <w:p w14:paraId="62E69BDD"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-34,4</w:t>
            </w:r>
          </w:p>
        </w:tc>
        <w:tc>
          <w:tcPr>
            <w:tcW w:w="851" w:type="dxa"/>
            <w:shd w:val="clear" w:color="auto" w:fill="auto"/>
            <w:vAlign w:val="center"/>
          </w:tcPr>
          <w:p w14:paraId="43F64C38"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-40,9</w:t>
            </w:r>
          </w:p>
        </w:tc>
        <w:tc>
          <w:tcPr>
            <w:tcW w:w="850" w:type="dxa"/>
            <w:shd w:val="clear" w:color="auto" w:fill="auto"/>
            <w:noWrap/>
            <w:vAlign w:val="center"/>
          </w:tcPr>
          <w:p w14:paraId="5AD6DF80"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-49,1</w:t>
            </w:r>
          </w:p>
        </w:tc>
        <w:tc>
          <w:tcPr>
            <w:tcW w:w="864" w:type="dxa"/>
            <w:shd w:val="clear" w:color="auto" w:fill="auto"/>
            <w:noWrap/>
            <w:vAlign w:val="center"/>
          </w:tcPr>
          <w:p w14:paraId="00492591"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135,9</w:t>
            </w:r>
          </w:p>
        </w:tc>
        <w:tc>
          <w:tcPr>
            <w:tcW w:w="863" w:type="dxa"/>
            <w:shd w:val="clear" w:color="auto" w:fill="auto"/>
            <w:noWrap/>
            <w:vAlign w:val="center"/>
          </w:tcPr>
          <w:p w14:paraId="1132ED04" w14:textId="77777777" w:rsidR="008643AC" w:rsidRPr="008643AC" w:rsidRDefault="008643AC" w:rsidP="008643AC">
            <w:pPr>
              <w:contextualSpacing/>
              <w:jc w:val="right"/>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140,8</w:t>
            </w:r>
          </w:p>
        </w:tc>
      </w:tr>
      <w:tr w:rsidR="008643AC" w:rsidRPr="008643AC" w14:paraId="2F9555DD" w14:textId="77777777" w:rsidTr="008643AC">
        <w:trPr>
          <w:trHeight w:val="20"/>
          <w:jc w:val="center"/>
        </w:trPr>
        <w:tc>
          <w:tcPr>
            <w:tcW w:w="2405" w:type="dxa"/>
            <w:shd w:val="clear" w:color="auto" w:fill="auto"/>
            <w:noWrap/>
            <w:vAlign w:val="center"/>
            <w:hideMark/>
          </w:tcPr>
          <w:p w14:paraId="578121A2" w14:textId="77777777" w:rsidR="008643AC" w:rsidRPr="008643AC" w:rsidRDefault="008643AC" w:rsidP="008643AC">
            <w:pPr>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EKS korekcijas</w:t>
            </w:r>
          </w:p>
        </w:tc>
        <w:tc>
          <w:tcPr>
            <w:tcW w:w="851" w:type="dxa"/>
            <w:shd w:val="clear" w:color="auto" w:fill="auto"/>
            <w:noWrap/>
            <w:vAlign w:val="center"/>
            <w:hideMark/>
          </w:tcPr>
          <w:p w14:paraId="0FF43419"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54,4</w:t>
            </w:r>
          </w:p>
        </w:tc>
        <w:tc>
          <w:tcPr>
            <w:tcW w:w="850" w:type="dxa"/>
            <w:shd w:val="clear" w:color="auto" w:fill="auto"/>
            <w:noWrap/>
            <w:vAlign w:val="center"/>
            <w:hideMark/>
          </w:tcPr>
          <w:p w14:paraId="267F5A4E" w14:textId="77777777" w:rsidR="008643AC" w:rsidRPr="008643AC" w:rsidRDefault="008643AC" w:rsidP="008643AC">
            <w:pPr>
              <w:jc w:val="right"/>
              <w:rPr>
                <w:rFonts w:ascii="Times New Roman" w:eastAsia="Times New Roman" w:hAnsi="Times New Roman" w:cs="Times New Roman"/>
                <w:sz w:val="18"/>
                <w:szCs w:val="44"/>
              </w:rPr>
            </w:pPr>
            <w:r w:rsidRPr="008643AC">
              <w:rPr>
                <w:rFonts w:ascii="Times New Roman" w:eastAsia="Times New Roman" w:hAnsi="Times New Roman" w:cs="Times New Roman"/>
                <w:sz w:val="18"/>
                <w:szCs w:val="44"/>
                <w:lang w:eastAsia="en-US"/>
              </w:rPr>
              <w:t>-361,0</w:t>
            </w:r>
          </w:p>
        </w:tc>
        <w:tc>
          <w:tcPr>
            <w:tcW w:w="851" w:type="dxa"/>
            <w:shd w:val="clear" w:color="auto" w:fill="auto"/>
            <w:noWrap/>
            <w:vAlign w:val="center"/>
            <w:hideMark/>
          </w:tcPr>
          <w:p w14:paraId="7EB83727" w14:textId="77777777" w:rsidR="008643AC" w:rsidRPr="008643AC" w:rsidRDefault="008643AC" w:rsidP="008643AC">
            <w:pPr>
              <w:jc w:val="right"/>
              <w:rPr>
                <w:rFonts w:ascii="Times New Roman" w:eastAsia="Times New Roman" w:hAnsi="Times New Roman" w:cs="Times New Roman"/>
                <w:sz w:val="18"/>
                <w:szCs w:val="44"/>
              </w:rPr>
            </w:pPr>
            <w:r w:rsidRPr="008643AC">
              <w:rPr>
                <w:rFonts w:ascii="Times New Roman" w:eastAsia="Times New Roman" w:hAnsi="Times New Roman" w:cs="Times New Roman"/>
                <w:sz w:val="18"/>
                <w:szCs w:val="44"/>
                <w:lang w:eastAsia="en-US"/>
              </w:rPr>
              <w:t>115,5</w:t>
            </w:r>
          </w:p>
        </w:tc>
        <w:tc>
          <w:tcPr>
            <w:tcW w:w="850" w:type="dxa"/>
            <w:shd w:val="clear" w:color="auto" w:fill="auto"/>
            <w:noWrap/>
            <w:vAlign w:val="center"/>
            <w:hideMark/>
          </w:tcPr>
          <w:p w14:paraId="7C28C4AE" w14:textId="77777777" w:rsidR="008643AC" w:rsidRPr="008643AC" w:rsidRDefault="008643AC" w:rsidP="008643AC">
            <w:pPr>
              <w:jc w:val="right"/>
              <w:rPr>
                <w:rFonts w:ascii="Times New Roman" w:eastAsia="Times New Roman" w:hAnsi="Times New Roman" w:cs="Times New Roman"/>
                <w:sz w:val="18"/>
                <w:szCs w:val="44"/>
              </w:rPr>
            </w:pPr>
            <w:r w:rsidRPr="008643AC">
              <w:rPr>
                <w:rFonts w:ascii="Times New Roman" w:eastAsia="Times New Roman" w:hAnsi="Times New Roman" w:cs="Times New Roman"/>
                <w:sz w:val="18"/>
                <w:szCs w:val="44"/>
                <w:lang w:eastAsia="en-US"/>
              </w:rPr>
              <w:t>-10,3</w:t>
            </w:r>
          </w:p>
        </w:tc>
        <w:tc>
          <w:tcPr>
            <w:tcW w:w="851" w:type="dxa"/>
            <w:shd w:val="clear" w:color="auto" w:fill="auto"/>
            <w:vAlign w:val="center"/>
          </w:tcPr>
          <w:p w14:paraId="430E4E9B" w14:textId="77777777" w:rsidR="008643AC" w:rsidRPr="008643AC" w:rsidRDefault="008643AC" w:rsidP="008643AC">
            <w:pPr>
              <w:jc w:val="right"/>
              <w:rPr>
                <w:rFonts w:ascii="Times New Roman" w:eastAsia="Times New Roman" w:hAnsi="Times New Roman" w:cs="Times New Roman"/>
                <w:sz w:val="18"/>
                <w:szCs w:val="44"/>
              </w:rPr>
            </w:pPr>
            <w:r w:rsidRPr="008643AC">
              <w:rPr>
                <w:rFonts w:ascii="Times New Roman" w:eastAsia="Times New Roman" w:hAnsi="Times New Roman" w:cs="Times New Roman"/>
                <w:sz w:val="18"/>
                <w:szCs w:val="44"/>
                <w:lang w:eastAsia="en-US"/>
              </w:rPr>
              <w:t>-232,0</w:t>
            </w:r>
          </w:p>
        </w:tc>
        <w:tc>
          <w:tcPr>
            <w:tcW w:w="850" w:type="dxa"/>
            <w:shd w:val="clear" w:color="auto" w:fill="auto"/>
            <w:noWrap/>
            <w:vAlign w:val="center"/>
            <w:hideMark/>
          </w:tcPr>
          <w:p w14:paraId="16EA72D8"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81,1</w:t>
            </w:r>
          </w:p>
        </w:tc>
        <w:tc>
          <w:tcPr>
            <w:tcW w:w="864" w:type="dxa"/>
            <w:shd w:val="clear" w:color="auto" w:fill="auto"/>
            <w:noWrap/>
            <w:vAlign w:val="center"/>
            <w:hideMark/>
          </w:tcPr>
          <w:p w14:paraId="3B44767A" w14:textId="77777777" w:rsidR="008643AC" w:rsidRPr="008643AC" w:rsidRDefault="008643AC" w:rsidP="008643AC">
            <w:pPr>
              <w:jc w:val="right"/>
              <w:rPr>
                <w:rFonts w:ascii="Times New Roman" w:eastAsia="Times New Roman" w:hAnsi="Times New Roman" w:cs="Times New Roman"/>
                <w:sz w:val="18"/>
                <w:szCs w:val="44"/>
              </w:rPr>
            </w:pPr>
            <w:r w:rsidRPr="008643AC">
              <w:rPr>
                <w:rFonts w:ascii="Times New Roman" w:eastAsia="Times New Roman" w:hAnsi="Times New Roman" w:cs="Times New Roman"/>
                <w:sz w:val="18"/>
                <w:szCs w:val="44"/>
                <w:lang w:eastAsia="en-US"/>
              </w:rPr>
              <w:t>-47,0</w:t>
            </w:r>
          </w:p>
        </w:tc>
        <w:tc>
          <w:tcPr>
            <w:tcW w:w="863" w:type="dxa"/>
            <w:shd w:val="clear" w:color="auto" w:fill="auto"/>
            <w:noWrap/>
            <w:vAlign w:val="center"/>
            <w:hideMark/>
          </w:tcPr>
          <w:p w14:paraId="4C81EE07" w14:textId="77777777" w:rsidR="008643AC" w:rsidRPr="008643AC" w:rsidRDefault="008643AC" w:rsidP="008643AC">
            <w:pPr>
              <w:jc w:val="right"/>
              <w:rPr>
                <w:rFonts w:ascii="Times New Roman" w:eastAsia="Times New Roman" w:hAnsi="Times New Roman" w:cs="Times New Roman"/>
                <w:sz w:val="18"/>
                <w:szCs w:val="44"/>
              </w:rPr>
            </w:pPr>
            <w:r w:rsidRPr="008643AC">
              <w:rPr>
                <w:rFonts w:ascii="Times New Roman" w:eastAsia="Times New Roman" w:hAnsi="Times New Roman" w:cs="Times New Roman"/>
                <w:sz w:val="18"/>
                <w:szCs w:val="44"/>
                <w:lang w:eastAsia="en-US"/>
              </w:rPr>
              <w:t>-250,2</w:t>
            </w:r>
          </w:p>
        </w:tc>
      </w:tr>
      <w:tr w:rsidR="008643AC" w:rsidRPr="008643AC" w14:paraId="2B9A5F64" w14:textId="77777777" w:rsidTr="008643AC">
        <w:trPr>
          <w:trHeight w:val="20"/>
          <w:jc w:val="center"/>
        </w:trPr>
        <w:tc>
          <w:tcPr>
            <w:tcW w:w="2405" w:type="dxa"/>
            <w:shd w:val="clear" w:color="auto" w:fill="auto"/>
            <w:vAlign w:val="center"/>
            <w:hideMark/>
          </w:tcPr>
          <w:p w14:paraId="0F0BD887" w14:textId="77777777" w:rsidR="008643AC" w:rsidRPr="008643AC" w:rsidRDefault="008643AC" w:rsidP="008643AC">
            <w:pPr>
              <w:contextualSpacing/>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KOPBUDŽETA BILANCE</w:t>
            </w:r>
          </w:p>
        </w:tc>
        <w:tc>
          <w:tcPr>
            <w:tcW w:w="851" w:type="dxa"/>
            <w:shd w:val="clear" w:color="auto" w:fill="auto"/>
            <w:noWrap/>
            <w:vAlign w:val="center"/>
            <w:hideMark/>
          </w:tcPr>
          <w:p w14:paraId="547E7355"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-117,6</w:t>
            </w:r>
          </w:p>
        </w:tc>
        <w:tc>
          <w:tcPr>
            <w:tcW w:w="850" w:type="dxa"/>
            <w:shd w:val="clear" w:color="auto" w:fill="auto"/>
            <w:noWrap/>
            <w:vAlign w:val="center"/>
            <w:hideMark/>
          </w:tcPr>
          <w:p w14:paraId="121B57E0"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-1 782,8</w:t>
            </w:r>
          </w:p>
        </w:tc>
        <w:tc>
          <w:tcPr>
            <w:tcW w:w="851" w:type="dxa"/>
            <w:shd w:val="clear" w:color="auto" w:fill="auto"/>
            <w:noWrap/>
            <w:vAlign w:val="center"/>
            <w:hideMark/>
          </w:tcPr>
          <w:p w14:paraId="3E06F79A"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-1 300,5</w:t>
            </w:r>
          </w:p>
        </w:tc>
        <w:tc>
          <w:tcPr>
            <w:tcW w:w="850" w:type="dxa"/>
            <w:shd w:val="clear" w:color="auto" w:fill="auto"/>
            <w:noWrap/>
            <w:vAlign w:val="center"/>
            <w:hideMark/>
          </w:tcPr>
          <w:p w14:paraId="2C55B6DF"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-866,6</w:t>
            </w:r>
          </w:p>
        </w:tc>
        <w:tc>
          <w:tcPr>
            <w:tcW w:w="851" w:type="dxa"/>
            <w:shd w:val="clear" w:color="auto" w:fill="auto"/>
            <w:vAlign w:val="center"/>
          </w:tcPr>
          <w:p w14:paraId="6F556060"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-331,7</w:t>
            </w:r>
          </w:p>
        </w:tc>
        <w:tc>
          <w:tcPr>
            <w:tcW w:w="850" w:type="dxa"/>
            <w:shd w:val="clear" w:color="auto" w:fill="auto"/>
            <w:noWrap/>
            <w:vAlign w:val="center"/>
            <w:hideMark/>
          </w:tcPr>
          <w:p w14:paraId="395F3B23"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-1 266,0</w:t>
            </w:r>
          </w:p>
        </w:tc>
        <w:tc>
          <w:tcPr>
            <w:tcW w:w="864" w:type="dxa"/>
            <w:shd w:val="clear" w:color="auto" w:fill="auto"/>
            <w:noWrap/>
            <w:vAlign w:val="center"/>
            <w:hideMark/>
          </w:tcPr>
          <w:p w14:paraId="156C75B9"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-829,8</w:t>
            </w:r>
          </w:p>
        </w:tc>
        <w:tc>
          <w:tcPr>
            <w:tcW w:w="863" w:type="dxa"/>
            <w:shd w:val="clear" w:color="auto" w:fill="auto"/>
            <w:noWrap/>
            <w:vAlign w:val="center"/>
            <w:hideMark/>
          </w:tcPr>
          <w:p w14:paraId="7CED0309" w14:textId="77777777" w:rsidR="008643AC" w:rsidRPr="008643AC" w:rsidRDefault="008643AC" w:rsidP="008643AC">
            <w:pPr>
              <w:contextualSpacing/>
              <w:jc w:val="right"/>
              <w:rPr>
                <w:rFonts w:ascii="Times New Roman" w:eastAsia="Times New Roman" w:hAnsi="Times New Roman" w:cs="Times New Roman"/>
                <w:b/>
                <w:bCs/>
                <w:color w:val="FF0000"/>
                <w:sz w:val="18"/>
                <w:szCs w:val="18"/>
              </w:rPr>
            </w:pPr>
            <w:r w:rsidRPr="008643AC">
              <w:rPr>
                <w:rFonts w:ascii="Times New Roman" w:eastAsia="Times New Roman" w:hAnsi="Times New Roman" w:cs="Times New Roman"/>
                <w:b/>
                <w:bCs/>
                <w:sz w:val="18"/>
                <w:szCs w:val="44"/>
                <w:lang w:eastAsia="en-US"/>
              </w:rPr>
              <w:t>-313,6</w:t>
            </w:r>
          </w:p>
        </w:tc>
      </w:tr>
      <w:tr w:rsidR="008643AC" w:rsidRPr="008643AC" w14:paraId="46FD386F" w14:textId="77777777" w:rsidTr="008643AC">
        <w:trPr>
          <w:trHeight w:val="20"/>
          <w:jc w:val="center"/>
        </w:trPr>
        <w:tc>
          <w:tcPr>
            <w:tcW w:w="2405" w:type="dxa"/>
            <w:shd w:val="clear" w:color="auto" w:fill="auto"/>
            <w:noWrap/>
            <w:vAlign w:val="center"/>
            <w:hideMark/>
          </w:tcPr>
          <w:p w14:paraId="5C4A4130" w14:textId="77777777" w:rsidR="008643AC" w:rsidRPr="008643AC" w:rsidRDefault="008643AC" w:rsidP="008643AC">
            <w:pPr>
              <w:ind w:firstLineChars="100" w:firstLine="18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Ieņēmumi</w:t>
            </w:r>
          </w:p>
        </w:tc>
        <w:tc>
          <w:tcPr>
            <w:tcW w:w="851" w:type="dxa"/>
            <w:shd w:val="clear" w:color="auto" w:fill="auto"/>
            <w:noWrap/>
            <w:vAlign w:val="center"/>
            <w:hideMark/>
          </w:tcPr>
          <w:p w14:paraId="27B3C1AE"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11 414,4</w:t>
            </w:r>
          </w:p>
        </w:tc>
        <w:tc>
          <w:tcPr>
            <w:tcW w:w="850" w:type="dxa"/>
            <w:shd w:val="clear" w:color="auto" w:fill="auto"/>
            <w:noWrap/>
            <w:vAlign w:val="center"/>
            <w:hideMark/>
          </w:tcPr>
          <w:p w14:paraId="3619F1A0"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10 988,1</w:t>
            </w:r>
          </w:p>
        </w:tc>
        <w:tc>
          <w:tcPr>
            <w:tcW w:w="851" w:type="dxa"/>
            <w:shd w:val="clear" w:color="auto" w:fill="auto"/>
            <w:noWrap/>
            <w:vAlign w:val="center"/>
            <w:hideMark/>
          </w:tcPr>
          <w:p w14:paraId="1C57508F" w14:textId="77777777" w:rsidR="008643AC" w:rsidRPr="008643AC" w:rsidRDefault="008643AC" w:rsidP="008643AC">
            <w:pPr>
              <w:contextualSpacing/>
              <w:jc w:val="both"/>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11 270,8</w:t>
            </w:r>
          </w:p>
        </w:tc>
        <w:tc>
          <w:tcPr>
            <w:tcW w:w="850" w:type="dxa"/>
            <w:shd w:val="clear" w:color="auto" w:fill="auto"/>
            <w:noWrap/>
            <w:vAlign w:val="center"/>
            <w:hideMark/>
          </w:tcPr>
          <w:p w14:paraId="5CBA31B9"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12 047,6</w:t>
            </w:r>
          </w:p>
        </w:tc>
        <w:tc>
          <w:tcPr>
            <w:tcW w:w="851" w:type="dxa"/>
            <w:vAlign w:val="center"/>
          </w:tcPr>
          <w:p w14:paraId="6E1273C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12 597,4</w:t>
            </w:r>
          </w:p>
        </w:tc>
        <w:tc>
          <w:tcPr>
            <w:tcW w:w="850" w:type="dxa"/>
            <w:shd w:val="clear" w:color="auto" w:fill="auto"/>
            <w:noWrap/>
            <w:vAlign w:val="center"/>
            <w:hideMark/>
          </w:tcPr>
          <w:p w14:paraId="54EF7C04"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11 505,3</w:t>
            </w:r>
          </w:p>
        </w:tc>
        <w:tc>
          <w:tcPr>
            <w:tcW w:w="864" w:type="dxa"/>
            <w:shd w:val="clear" w:color="auto" w:fill="auto"/>
            <w:noWrap/>
            <w:vAlign w:val="center"/>
            <w:hideMark/>
          </w:tcPr>
          <w:p w14:paraId="02759B9E"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12 348,4</w:t>
            </w:r>
          </w:p>
        </w:tc>
        <w:tc>
          <w:tcPr>
            <w:tcW w:w="863" w:type="dxa"/>
            <w:shd w:val="clear" w:color="auto" w:fill="auto"/>
            <w:noWrap/>
            <w:vAlign w:val="center"/>
            <w:hideMark/>
          </w:tcPr>
          <w:p w14:paraId="74DFC108"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12 896,7</w:t>
            </w:r>
          </w:p>
        </w:tc>
      </w:tr>
      <w:tr w:rsidR="008643AC" w:rsidRPr="008643AC" w14:paraId="2608E9DA" w14:textId="77777777" w:rsidTr="008643AC">
        <w:trPr>
          <w:trHeight w:val="20"/>
          <w:jc w:val="center"/>
        </w:trPr>
        <w:tc>
          <w:tcPr>
            <w:tcW w:w="2405" w:type="dxa"/>
            <w:shd w:val="clear" w:color="auto" w:fill="auto"/>
            <w:vAlign w:val="center"/>
            <w:hideMark/>
          </w:tcPr>
          <w:p w14:paraId="7B6AD3B6"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Nodokļu ieņēmumi</w:t>
            </w:r>
          </w:p>
        </w:tc>
        <w:tc>
          <w:tcPr>
            <w:tcW w:w="851" w:type="dxa"/>
            <w:shd w:val="clear" w:color="auto" w:fill="auto"/>
            <w:noWrap/>
            <w:vAlign w:val="center"/>
            <w:hideMark/>
          </w:tcPr>
          <w:p w14:paraId="4C48E1B5"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9 057,3</w:t>
            </w:r>
          </w:p>
        </w:tc>
        <w:tc>
          <w:tcPr>
            <w:tcW w:w="850" w:type="dxa"/>
            <w:shd w:val="clear" w:color="auto" w:fill="auto"/>
            <w:noWrap/>
            <w:vAlign w:val="center"/>
            <w:hideMark/>
          </w:tcPr>
          <w:p w14:paraId="2307A882"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8 665,7</w:t>
            </w:r>
          </w:p>
        </w:tc>
        <w:tc>
          <w:tcPr>
            <w:tcW w:w="851" w:type="dxa"/>
            <w:shd w:val="clear" w:color="auto" w:fill="auto"/>
            <w:noWrap/>
            <w:vAlign w:val="center"/>
            <w:hideMark/>
          </w:tcPr>
          <w:p w14:paraId="77D84F33"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9 205,9</w:t>
            </w:r>
          </w:p>
        </w:tc>
        <w:tc>
          <w:tcPr>
            <w:tcW w:w="850" w:type="dxa"/>
            <w:shd w:val="clear" w:color="auto" w:fill="auto"/>
            <w:noWrap/>
            <w:vAlign w:val="center"/>
            <w:hideMark/>
          </w:tcPr>
          <w:p w14:paraId="40635EC6"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9 764,9</w:t>
            </w:r>
          </w:p>
        </w:tc>
        <w:tc>
          <w:tcPr>
            <w:tcW w:w="851" w:type="dxa"/>
            <w:vAlign w:val="center"/>
          </w:tcPr>
          <w:p w14:paraId="3F37A686"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10 277,2</w:t>
            </w:r>
          </w:p>
        </w:tc>
        <w:tc>
          <w:tcPr>
            <w:tcW w:w="850" w:type="dxa"/>
            <w:shd w:val="clear" w:color="auto" w:fill="auto"/>
            <w:noWrap/>
            <w:vAlign w:val="center"/>
            <w:hideMark/>
          </w:tcPr>
          <w:p w14:paraId="54FC3F4A"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9 346,5</w:t>
            </w:r>
          </w:p>
        </w:tc>
        <w:tc>
          <w:tcPr>
            <w:tcW w:w="864" w:type="dxa"/>
            <w:shd w:val="clear" w:color="auto" w:fill="auto"/>
            <w:noWrap/>
            <w:vAlign w:val="center"/>
            <w:hideMark/>
          </w:tcPr>
          <w:p w14:paraId="6C14E733"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9 992,9</w:t>
            </w:r>
          </w:p>
        </w:tc>
        <w:tc>
          <w:tcPr>
            <w:tcW w:w="863" w:type="dxa"/>
            <w:shd w:val="clear" w:color="auto" w:fill="auto"/>
            <w:noWrap/>
            <w:vAlign w:val="center"/>
            <w:hideMark/>
          </w:tcPr>
          <w:p w14:paraId="78F6904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10 516,4</w:t>
            </w:r>
          </w:p>
        </w:tc>
      </w:tr>
      <w:tr w:rsidR="008643AC" w:rsidRPr="008643AC" w14:paraId="11593876" w14:textId="77777777" w:rsidTr="008643AC">
        <w:trPr>
          <w:trHeight w:val="20"/>
          <w:jc w:val="center"/>
        </w:trPr>
        <w:tc>
          <w:tcPr>
            <w:tcW w:w="2405" w:type="dxa"/>
            <w:shd w:val="clear" w:color="auto" w:fill="auto"/>
            <w:noWrap/>
            <w:vAlign w:val="center"/>
            <w:hideMark/>
          </w:tcPr>
          <w:p w14:paraId="3F001AC0"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Ne-nodokļu ieņēmumi</w:t>
            </w:r>
          </w:p>
        </w:tc>
        <w:tc>
          <w:tcPr>
            <w:tcW w:w="851" w:type="dxa"/>
            <w:shd w:val="clear" w:color="auto" w:fill="auto"/>
            <w:noWrap/>
            <w:vAlign w:val="center"/>
            <w:hideMark/>
          </w:tcPr>
          <w:p w14:paraId="020F0754"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641,3</w:t>
            </w:r>
          </w:p>
        </w:tc>
        <w:tc>
          <w:tcPr>
            <w:tcW w:w="850" w:type="dxa"/>
            <w:shd w:val="clear" w:color="auto" w:fill="auto"/>
            <w:noWrap/>
            <w:vAlign w:val="center"/>
            <w:hideMark/>
          </w:tcPr>
          <w:p w14:paraId="1598D13F"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648,9</w:t>
            </w:r>
          </w:p>
        </w:tc>
        <w:tc>
          <w:tcPr>
            <w:tcW w:w="851" w:type="dxa"/>
            <w:shd w:val="clear" w:color="auto" w:fill="auto"/>
            <w:noWrap/>
            <w:vAlign w:val="center"/>
            <w:hideMark/>
          </w:tcPr>
          <w:p w14:paraId="22A02C6B"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471,0</w:t>
            </w:r>
          </w:p>
        </w:tc>
        <w:tc>
          <w:tcPr>
            <w:tcW w:w="850" w:type="dxa"/>
            <w:shd w:val="clear" w:color="auto" w:fill="auto"/>
            <w:noWrap/>
            <w:vAlign w:val="center"/>
            <w:hideMark/>
          </w:tcPr>
          <w:p w14:paraId="75D4B6C5"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462,5</w:t>
            </w:r>
          </w:p>
        </w:tc>
        <w:tc>
          <w:tcPr>
            <w:tcW w:w="851" w:type="dxa"/>
            <w:vAlign w:val="center"/>
          </w:tcPr>
          <w:p w14:paraId="7C74A2B7"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468,5</w:t>
            </w:r>
          </w:p>
        </w:tc>
        <w:tc>
          <w:tcPr>
            <w:tcW w:w="850" w:type="dxa"/>
            <w:shd w:val="clear" w:color="auto" w:fill="auto"/>
            <w:noWrap/>
            <w:vAlign w:val="center"/>
            <w:hideMark/>
          </w:tcPr>
          <w:p w14:paraId="2193502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564,9</w:t>
            </w:r>
          </w:p>
        </w:tc>
        <w:tc>
          <w:tcPr>
            <w:tcW w:w="864" w:type="dxa"/>
            <w:shd w:val="clear" w:color="auto" w:fill="auto"/>
            <w:noWrap/>
            <w:vAlign w:val="center"/>
            <w:hideMark/>
          </w:tcPr>
          <w:p w14:paraId="2B75A907"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536,0</w:t>
            </w:r>
          </w:p>
        </w:tc>
        <w:tc>
          <w:tcPr>
            <w:tcW w:w="863" w:type="dxa"/>
            <w:shd w:val="clear" w:color="auto" w:fill="auto"/>
            <w:noWrap/>
            <w:vAlign w:val="center"/>
            <w:hideMark/>
          </w:tcPr>
          <w:p w14:paraId="5BE23D5E"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529,7</w:t>
            </w:r>
          </w:p>
        </w:tc>
      </w:tr>
      <w:tr w:rsidR="008643AC" w:rsidRPr="008643AC" w14:paraId="0E5F980F" w14:textId="77777777" w:rsidTr="008643AC">
        <w:trPr>
          <w:trHeight w:val="20"/>
          <w:jc w:val="center"/>
        </w:trPr>
        <w:tc>
          <w:tcPr>
            <w:tcW w:w="2405" w:type="dxa"/>
            <w:shd w:val="clear" w:color="auto" w:fill="auto"/>
            <w:noWrap/>
            <w:vAlign w:val="center"/>
            <w:hideMark/>
          </w:tcPr>
          <w:p w14:paraId="26D7BD44"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Pašu ieņēmumi</w:t>
            </w:r>
          </w:p>
        </w:tc>
        <w:tc>
          <w:tcPr>
            <w:tcW w:w="851" w:type="dxa"/>
            <w:shd w:val="clear" w:color="auto" w:fill="auto"/>
            <w:noWrap/>
            <w:vAlign w:val="center"/>
            <w:hideMark/>
          </w:tcPr>
          <w:p w14:paraId="3D84AE99"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390,0</w:t>
            </w:r>
          </w:p>
        </w:tc>
        <w:tc>
          <w:tcPr>
            <w:tcW w:w="850" w:type="dxa"/>
            <w:shd w:val="clear" w:color="auto" w:fill="auto"/>
            <w:noWrap/>
            <w:vAlign w:val="center"/>
            <w:hideMark/>
          </w:tcPr>
          <w:p w14:paraId="262AF5B5"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362,0</w:t>
            </w:r>
          </w:p>
        </w:tc>
        <w:tc>
          <w:tcPr>
            <w:tcW w:w="851" w:type="dxa"/>
            <w:shd w:val="clear" w:color="auto" w:fill="auto"/>
            <w:noWrap/>
            <w:vAlign w:val="center"/>
            <w:hideMark/>
          </w:tcPr>
          <w:p w14:paraId="5920D73A"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370,2</w:t>
            </w:r>
          </w:p>
        </w:tc>
        <w:tc>
          <w:tcPr>
            <w:tcW w:w="850" w:type="dxa"/>
            <w:shd w:val="clear" w:color="auto" w:fill="auto"/>
            <w:noWrap/>
            <w:vAlign w:val="center"/>
            <w:hideMark/>
          </w:tcPr>
          <w:p w14:paraId="5BEDA7EE"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368,0</w:t>
            </w:r>
          </w:p>
        </w:tc>
        <w:tc>
          <w:tcPr>
            <w:tcW w:w="851" w:type="dxa"/>
            <w:vAlign w:val="center"/>
          </w:tcPr>
          <w:p w14:paraId="475049D3"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371,9</w:t>
            </w:r>
          </w:p>
        </w:tc>
        <w:tc>
          <w:tcPr>
            <w:tcW w:w="850" w:type="dxa"/>
            <w:shd w:val="clear" w:color="auto" w:fill="auto"/>
            <w:noWrap/>
            <w:vAlign w:val="center"/>
            <w:hideMark/>
          </w:tcPr>
          <w:p w14:paraId="6E2D00DC"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369,1</w:t>
            </w:r>
          </w:p>
        </w:tc>
        <w:tc>
          <w:tcPr>
            <w:tcW w:w="864" w:type="dxa"/>
            <w:shd w:val="clear" w:color="auto" w:fill="auto"/>
            <w:noWrap/>
            <w:vAlign w:val="center"/>
            <w:hideMark/>
          </w:tcPr>
          <w:p w14:paraId="4F86F6A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367,0</w:t>
            </w:r>
          </w:p>
        </w:tc>
        <w:tc>
          <w:tcPr>
            <w:tcW w:w="863" w:type="dxa"/>
            <w:shd w:val="clear" w:color="auto" w:fill="auto"/>
            <w:noWrap/>
            <w:vAlign w:val="center"/>
            <w:hideMark/>
          </w:tcPr>
          <w:p w14:paraId="07B037F6"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370,9</w:t>
            </w:r>
          </w:p>
        </w:tc>
      </w:tr>
      <w:tr w:rsidR="008643AC" w:rsidRPr="008643AC" w14:paraId="54981A96" w14:textId="77777777" w:rsidTr="008643AC">
        <w:trPr>
          <w:trHeight w:val="20"/>
          <w:jc w:val="center"/>
        </w:trPr>
        <w:tc>
          <w:tcPr>
            <w:tcW w:w="2405" w:type="dxa"/>
            <w:shd w:val="clear" w:color="auto" w:fill="auto"/>
            <w:vAlign w:val="center"/>
            <w:hideMark/>
          </w:tcPr>
          <w:p w14:paraId="04593A10" w14:textId="77777777" w:rsidR="008643AC" w:rsidRPr="008643AC" w:rsidRDefault="008643AC" w:rsidP="008643AC">
            <w:pPr>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 xml:space="preserve">      Ārvalstu finanšu palīdzība</w:t>
            </w:r>
          </w:p>
        </w:tc>
        <w:tc>
          <w:tcPr>
            <w:tcW w:w="851" w:type="dxa"/>
            <w:shd w:val="clear" w:color="auto" w:fill="auto"/>
            <w:noWrap/>
            <w:vAlign w:val="center"/>
            <w:hideMark/>
          </w:tcPr>
          <w:p w14:paraId="6E153DA5"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1 320,5</w:t>
            </w:r>
          </w:p>
        </w:tc>
        <w:tc>
          <w:tcPr>
            <w:tcW w:w="850" w:type="dxa"/>
            <w:shd w:val="clear" w:color="auto" w:fill="auto"/>
            <w:noWrap/>
            <w:vAlign w:val="center"/>
            <w:hideMark/>
          </w:tcPr>
          <w:p w14:paraId="3FEAC7DF"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1 310,3</w:t>
            </w:r>
          </w:p>
        </w:tc>
        <w:tc>
          <w:tcPr>
            <w:tcW w:w="851" w:type="dxa"/>
            <w:shd w:val="clear" w:color="auto" w:fill="auto"/>
            <w:noWrap/>
            <w:vAlign w:val="center"/>
            <w:hideMark/>
          </w:tcPr>
          <w:p w14:paraId="2D028344"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1 221,3</w:t>
            </w:r>
          </w:p>
        </w:tc>
        <w:tc>
          <w:tcPr>
            <w:tcW w:w="850" w:type="dxa"/>
            <w:shd w:val="clear" w:color="auto" w:fill="auto"/>
            <w:noWrap/>
            <w:vAlign w:val="center"/>
            <w:hideMark/>
          </w:tcPr>
          <w:p w14:paraId="54728598"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1 449,6</w:t>
            </w:r>
          </w:p>
        </w:tc>
        <w:tc>
          <w:tcPr>
            <w:tcW w:w="851" w:type="dxa"/>
            <w:vAlign w:val="center"/>
          </w:tcPr>
          <w:p w14:paraId="487BF368"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1 477,2</w:t>
            </w:r>
          </w:p>
        </w:tc>
        <w:tc>
          <w:tcPr>
            <w:tcW w:w="850" w:type="dxa"/>
            <w:shd w:val="clear" w:color="auto" w:fill="auto"/>
            <w:noWrap/>
            <w:vAlign w:val="center"/>
            <w:hideMark/>
          </w:tcPr>
          <w:p w14:paraId="5635B8CB"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1 222,3</w:t>
            </w:r>
          </w:p>
        </w:tc>
        <w:tc>
          <w:tcPr>
            <w:tcW w:w="864" w:type="dxa"/>
            <w:shd w:val="clear" w:color="auto" w:fill="auto"/>
            <w:noWrap/>
            <w:vAlign w:val="center"/>
            <w:hideMark/>
          </w:tcPr>
          <w:p w14:paraId="65FF1FAE"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1 450,0</w:t>
            </w:r>
          </w:p>
        </w:tc>
        <w:tc>
          <w:tcPr>
            <w:tcW w:w="863" w:type="dxa"/>
            <w:shd w:val="clear" w:color="auto" w:fill="auto"/>
            <w:noWrap/>
            <w:vAlign w:val="center"/>
            <w:hideMark/>
          </w:tcPr>
          <w:p w14:paraId="076F518C"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1 477,2</w:t>
            </w:r>
          </w:p>
        </w:tc>
      </w:tr>
      <w:tr w:rsidR="008643AC" w:rsidRPr="008643AC" w14:paraId="0F9A634C" w14:textId="77777777" w:rsidTr="008643AC">
        <w:trPr>
          <w:trHeight w:val="20"/>
          <w:jc w:val="center"/>
        </w:trPr>
        <w:tc>
          <w:tcPr>
            <w:tcW w:w="2405" w:type="dxa"/>
            <w:shd w:val="clear" w:color="auto" w:fill="auto"/>
            <w:noWrap/>
            <w:vAlign w:val="center"/>
            <w:hideMark/>
          </w:tcPr>
          <w:p w14:paraId="6A40C534"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Pārējie ieņēmumi</w:t>
            </w:r>
          </w:p>
        </w:tc>
        <w:tc>
          <w:tcPr>
            <w:tcW w:w="851" w:type="dxa"/>
            <w:shd w:val="clear" w:color="auto" w:fill="auto"/>
            <w:noWrap/>
            <w:vAlign w:val="center"/>
            <w:hideMark/>
          </w:tcPr>
          <w:p w14:paraId="51DA5E7D"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5,2</w:t>
            </w:r>
          </w:p>
        </w:tc>
        <w:tc>
          <w:tcPr>
            <w:tcW w:w="850" w:type="dxa"/>
            <w:shd w:val="clear" w:color="auto" w:fill="auto"/>
            <w:noWrap/>
            <w:vAlign w:val="center"/>
            <w:hideMark/>
          </w:tcPr>
          <w:p w14:paraId="4167D241"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1,2</w:t>
            </w:r>
          </w:p>
        </w:tc>
        <w:tc>
          <w:tcPr>
            <w:tcW w:w="851" w:type="dxa"/>
            <w:shd w:val="clear" w:color="auto" w:fill="auto"/>
            <w:noWrap/>
            <w:vAlign w:val="center"/>
            <w:hideMark/>
          </w:tcPr>
          <w:p w14:paraId="46F9D038"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2,5</w:t>
            </w:r>
          </w:p>
        </w:tc>
        <w:tc>
          <w:tcPr>
            <w:tcW w:w="850" w:type="dxa"/>
            <w:shd w:val="clear" w:color="auto" w:fill="auto"/>
            <w:noWrap/>
            <w:vAlign w:val="center"/>
            <w:hideMark/>
          </w:tcPr>
          <w:p w14:paraId="78B5CE8E"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2,5</w:t>
            </w:r>
          </w:p>
        </w:tc>
        <w:tc>
          <w:tcPr>
            <w:tcW w:w="851" w:type="dxa"/>
            <w:vAlign w:val="center"/>
          </w:tcPr>
          <w:p w14:paraId="71C21219"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2,5</w:t>
            </w:r>
          </w:p>
        </w:tc>
        <w:tc>
          <w:tcPr>
            <w:tcW w:w="850" w:type="dxa"/>
            <w:shd w:val="clear" w:color="auto" w:fill="auto"/>
            <w:noWrap/>
            <w:vAlign w:val="center"/>
            <w:hideMark/>
          </w:tcPr>
          <w:p w14:paraId="3D3D344E"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2,5</w:t>
            </w:r>
          </w:p>
        </w:tc>
        <w:tc>
          <w:tcPr>
            <w:tcW w:w="864" w:type="dxa"/>
            <w:shd w:val="clear" w:color="auto" w:fill="auto"/>
            <w:noWrap/>
            <w:vAlign w:val="center"/>
            <w:hideMark/>
          </w:tcPr>
          <w:p w14:paraId="700C6B7A"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2,5</w:t>
            </w:r>
          </w:p>
        </w:tc>
        <w:tc>
          <w:tcPr>
            <w:tcW w:w="863" w:type="dxa"/>
            <w:shd w:val="clear" w:color="auto" w:fill="auto"/>
            <w:noWrap/>
            <w:vAlign w:val="center"/>
            <w:hideMark/>
          </w:tcPr>
          <w:p w14:paraId="27840AAD"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2,5</w:t>
            </w:r>
          </w:p>
        </w:tc>
      </w:tr>
      <w:tr w:rsidR="008643AC" w:rsidRPr="008643AC" w14:paraId="46664295" w14:textId="77777777" w:rsidTr="008643AC">
        <w:trPr>
          <w:trHeight w:val="20"/>
          <w:jc w:val="center"/>
        </w:trPr>
        <w:tc>
          <w:tcPr>
            <w:tcW w:w="2405" w:type="dxa"/>
            <w:shd w:val="clear" w:color="auto" w:fill="auto"/>
            <w:noWrap/>
            <w:vAlign w:val="center"/>
            <w:hideMark/>
          </w:tcPr>
          <w:p w14:paraId="30E002EC" w14:textId="77777777" w:rsidR="008643AC" w:rsidRPr="008643AC" w:rsidRDefault="008643AC" w:rsidP="008643AC">
            <w:pPr>
              <w:ind w:firstLineChars="100" w:firstLine="18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Izdevumi</w:t>
            </w:r>
          </w:p>
        </w:tc>
        <w:tc>
          <w:tcPr>
            <w:tcW w:w="851" w:type="dxa"/>
            <w:shd w:val="clear" w:color="auto" w:fill="auto"/>
            <w:noWrap/>
            <w:vAlign w:val="center"/>
            <w:hideMark/>
          </w:tcPr>
          <w:p w14:paraId="1CDCE6F0"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11 532,0</w:t>
            </w:r>
          </w:p>
        </w:tc>
        <w:tc>
          <w:tcPr>
            <w:tcW w:w="850" w:type="dxa"/>
            <w:shd w:val="clear" w:color="auto" w:fill="auto"/>
            <w:noWrap/>
            <w:vAlign w:val="center"/>
            <w:hideMark/>
          </w:tcPr>
          <w:p w14:paraId="61943870"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12 770,9</w:t>
            </w:r>
          </w:p>
        </w:tc>
        <w:tc>
          <w:tcPr>
            <w:tcW w:w="851" w:type="dxa"/>
            <w:shd w:val="clear" w:color="auto" w:fill="auto"/>
            <w:noWrap/>
            <w:vAlign w:val="center"/>
            <w:hideMark/>
          </w:tcPr>
          <w:p w14:paraId="0E4603D2" w14:textId="77777777" w:rsidR="008643AC" w:rsidRPr="008643AC" w:rsidRDefault="008643AC" w:rsidP="008643AC">
            <w:pPr>
              <w:contextualSpacing/>
              <w:jc w:val="both"/>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12 571,3</w:t>
            </w:r>
          </w:p>
        </w:tc>
        <w:tc>
          <w:tcPr>
            <w:tcW w:w="850" w:type="dxa"/>
            <w:shd w:val="clear" w:color="auto" w:fill="auto"/>
            <w:noWrap/>
            <w:vAlign w:val="center"/>
            <w:hideMark/>
          </w:tcPr>
          <w:p w14:paraId="2F0D4EAE"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12 914,1</w:t>
            </w:r>
          </w:p>
        </w:tc>
        <w:tc>
          <w:tcPr>
            <w:tcW w:w="851" w:type="dxa"/>
            <w:vAlign w:val="center"/>
          </w:tcPr>
          <w:p w14:paraId="2C90365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12 929,1</w:t>
            </w:r>
          </w:p>
        </w:tc>
        <w:tc>
          <w:tcPr>
            <w:tcW w:w="850" w:type="dxa"/>
            <w:shd w:val="clear" w:color="auto" w:fill="auto"/>
            <w:noWrap/>
            <w:vAlign w:val="center"/>
            <w:hideMark/>
          </w:tcPr>
          <w:p w14:paraId="33807162"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12 771,4</w:t>
            </w:r>
          </w:p>
        </w:tc>
        <w:tc>
          <w:tcPr>
            <w:tcW w:w="864" w:type="dxa"/>
            <w:shd w:val="clear" w:color="auto" w:fill="auto"/>
            <w:noWrap/>
            <w:vAlign w:val="center"/>
            <w:hideMark/>
          </w:tcPr>
          <w:p w14:paraId="618A79AB"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13 178,3</w:t>
            </w:r>
          </w:p>
        </w:tc>
        <w:tc>
          <w:tcPr>
            <w:tcW w:w="863" w:type="dxa"/>
            <w:shd w:val="clear" w:color="auto" w:fill="auto"/>
            <w:noWrap/>
            <w:vAlign w:val="center"/>
            <w:hideMark/>
          </w:tcPr>
          <w:p w14:paraId="186A7063"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13 210,3</w:t>
            </w:r>
          </w:p>
        </w:tc>
      </w:tr>
      <w:tr w:rsidR="008643AC" w:rsidRPr="008643AC" w14:paraId="55A787EF" w14:textId="77777777" w:rsidTr="008643AC">
        <w:trPr>
          <w:trHeight w:val="20"/>
          <w:jc w:val="center"/>
        </w:trPr>
        <w:tc>
          <w:tcPr>
            <w:tcW w:w="2405" w:type="dxa"/>
            <w:shd w:val="clear" w:color="auto" w:fill="auto"/>
            <w:noWrap/>
            <w:vAlign w:val="center"/>
            <w:hideMark/>
          </w:tcPr>
          <w:p w14:paraId="5C1525F2"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Atlīdzība</w:t>
            </w:r>
          </w:p>
        </w:tc>
        <w:tc>
          <w:tcPr>
            <w:tcW w:w="851" w:type="dxa"/>
            <w:shd w:val="clear" w:color="auto" w:fill="auto"/>
            <w:noWrap/>
            <w:vAlign w:val="center"/>
            <w:hideMark/>
          </w:tcPr>
          <w:p w14:paraId="325D8A42"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2 611,9</w:t>
            </w:r>
          </w:p>
        </w:tc>
        <w:tc>
          <w:tcPr>
            <w:tcW w:w="850" w:type="dxa"/>
            <w:shd w:val="clear" w:color="auto" w:fill="auto"/>
            <w:noWrap/>
            <w:vAlign w:val="center"/>
            <w:hideMark/>
          </w:tcPr>
          <w:p w14:paraId="498DDB8B"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2 694,9</w:t>
            </w:r>
          </w:p>
        </w:tc>
        <w:tc>
          <w:tcPr>
            <w:tcW w:w="851" w:type="dxa"/>
            <w:shd w:val="clear" w:color="auto" w:fill="auto"/>
            <w:noWrap/>
            <w:vAlign w:val="center"/>
            <w:hideMark/>
          </w:tcPr>
          <w:p w14:paraId="622C4DF8"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2 729,3</w:t>
            </w:r>
          </w:p>
        </w:tc>
        <w:tc>
          <w:tcPr>
            <w:tcW w:w="850" w:type="dxa"/>
            <w:shd w:val="clear" w:color="auto" w:fill="auto"/>
            <w:noWrap/>
            <w:vAlign w:val="center"/>
            <w:hideMark/>
          </w:tcPr>
          <w:p w14:paraId="58B80134"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2 771,8</w:t>
            </w:r>
          </w:p>
        </w:tc>
        <w:tc>
          <w:tcPr>
            <w:tcW w:w="851" w:type="dxa"/>
            <w:vAlign w:val="center"/>
          </w:tcPr>
          <w:p w14:paraId="2613072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2 820,0</w:t>
            </w:r>
          </w:p>
        </w:tc>
        <w:tc>
          <w:tcPr>
            <w:tcW w:w="850" w:type="dxa"/>
            <w:shd w:val="clear" w:color="auto" w:fill="auto"/>
            <w:noWrap/>
            <w:vAlign w:val="center"/>
            <w:hideMark/>
          </w:tcPr>
          <w:p w14:paraId="43052B4B"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2 811,8</w:t>
            </w:r>
          </w:p>
        </w:tc>
        <w:tc>
          <w:tcPr>
            <w:tcW w:w="864" w:type="dxa"/>
            <w:shd w:val="clear" w:color="auto" w:fill="auto"/>
            <w:noWrap/>
            <w:vAlign w:val="center"/>
            <w:hideMark/>
          </w:tcPr>
          <w:p w14:paraId="385ABFD4"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2 864,9</w:t>
            </w:r>
          </w:p>
        </w:tc>
        <w:tc>
          <w:tcPr>
            <w:tcW w:w="863" w:type="dxa"/>
            <w:shd w:val="clear" w:color="auto" w:fill="auto"/>
            <w:noWrap/>
            <w:vAlign w:val="center"/>
            <w:hideMark/>
          </w:tcPr>
          <w:p w14:paraId="0C7DEADB"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2 913,5</w:t>
            </w:r>
          </w:p>
        </w:tc>
      </w:tr>
      <w:tr w:rsidR="008643AC" w:rsidRPr="008643AC" w14:paraId="6ACB92D9" w14:textId="77777777" w:rsidTr="008643AC">
        <w:trPr>
          <w:trHeight w:val="20"/>
          <w:jc w:val="center"/>
        </w:trPr>
        <w:tc>
          <w:tcPr>
            <w:tcW w:w="2405" w:type="dxa"/>
            <w:shd w:val="clear" w:color="auto" w:fill="auto"/>
            <w:vAlign w:val="center"/>
            <w:hideMark/>
          </w:tcPr>
          <w:p w14:paraId="1716B464"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Preces un pakalpojumi</w:t>
            </w:r>
          </w:p>
        </w:tc>
        <w:tc>
          <w:tcPr>
            <w:tcW w:w="851" w:type="dxa"/>
            <w:shd w:val="clear" w:color="auto" w:fill="auto"/>
            <w:noWrap/>
            <w:vAlign w:val="center"/>
            <w:hideMark/>
          </w:tcPr>
          <w:p w14:paraId="5D132EA0"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1 509,7</w:t>
            </w:r>
          </w:p>
        </w:tc>
        <w:tc>
          <w:tcPr>
            <w:tcW w:w="850" w:type="dxa"/>
            <w:shd w:val="clear" w:color="auto" w:fill="auto"/>
            <w:noWrap/>
            <w:vAlign w:val="center"/>
            <w:hideMark/>
          </w:tcPr>
          <w:p w14:paraId="43F0A936"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1 549,7</w:t>
            </w:r>
          </w:p>
        </w:tc>
        <w:tc>
          <w:tcPr>
            <w:tcW w:w="851" w:type="dxa"/>
            <w:shd w:val="clear" w:color="auto" w:fill="auto"/>
            <w:noWrap/>
            <w:vAlign w:val="center"/>
            <w:hideMark/>
          </w:tcPr>
          <w:p w14:paraId="0298447A"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1 590,6</w:t>
            </w:r>
          </w:p>
        </w:tc>
        <w:tc>
          <w:tcPr>
            <w:tcW w:w="850" w:type="dxa"/>
            <w:shd w:val="clear" w:color="auto" w:fill="auto"/>
            <w:noWrap/>
            <w:vAlign w:val="center"/>
            <w:hideMark/>
          </w:tcPr>
          <w:p w14:paraId="2687B737"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1 565,1</w:t>
            </w:r>
          </w:p>
        </w:tc>
        <w:tc>
          <w:tcPr>
            <w:tcW w:w="851" w:type="dxa"/>
            <w:vAlign w:val="center"/>
          </w:tcPr>
          <w:p w14:paraId="3F8C89FB"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1 519,9</w:t>
            </w:r>
          </w:p>
        </w:tc>
        <w:tc>
          <w:tcPr>
            <w:tcW w:w="850" w:type="dxa"/>
            <w:shd w:val="clear" w:color="auto" w:fill="auto"/>
            <w:noWrap/>
            <w:vAlign w:val="center"/>
            <w:hideMark/>
          </w:tcPr>
          <w:p w14:paraId="0D963A3A"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1 597,5</w:t>
            </w:r>
          </w:p>
        </w:tc>
        <w:tc>
          <w:tcPr>
            <w:tcW w:w="864" w:type="dxa"/>
            <w:shd w:val="clear" w:color="auto" w:fill="auto"/>
            <w:noWrap/>
            <w:vAlign w:val="center"/>
            <w:hideMark/>
          </w:tcPr>
          <w:p w14:paraId="574486F4"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1 550,5</w:t>
            </w:r>
          </w:p>
        </w:tc>
        <w:tc>
          <w:tcPr>
            <w:tcW w:w="863" w:type="dxa"/>
            <w:shd w:val="clear" w:color="auto" w:fill="auto"/>
            <w:noWrap/>
            <w:vAlign w:val="center"/>
            <w:hideMark/>
          </w:tcPr>
          <w:p w14:paraId="7AFA2E35"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1 566,9</w:t>
            </w:r>
          </w:p>
        </w:tc>
      </w:tr>
      <w:tr w:rsidR="008643AC" w:rsidRPr="008643AC" w14:paraId="4F31A057" w14:textId="77777777" w:rsidTr="008643AC">
        <w:trPr>
          <w:trHeight w:val="20"/>
          <w:jc w:val="center"/>
        </w:trPr>
        <w:tc>
          <w:tcPr>
            <w:tcW w:w="2405" w:type="dxa"/>
            <w:shd w:val="clear" w:color="auto" w:fill="auto"/>
            <w:noWrap/>
            <w:vAlign w:val="center"/>
            <w:hideMark/>
          </w:tcPr>
          <w:p w14:paraId="1ECD88BE"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Procentu izdevumi</w:t>
            </w:r>
          </w:p>
        </w:tc>
        <w:tc>
          <w:tcPr>
            <w:tcW w:w="851" w:type="dxa"/>
            <w:shd w:val="clear" w:color="auto" w:fill="auto"/>
            <w:noWrap/>
            <w:vAlign w:val="center"/>
            <w:hideMark/>
          </w:tcPr>
          <w:p w14:paraId="4E03A8E1"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263,1</w:t>
            </w:r>
          </w:p>
        </w:tc>
        <w:tc>
          <w:tcPr>
            <w:tcW w:w="850" w:type="dxa"/>
            <w:shd w:val="clear" w:color="auto" w:fill="auto"/>
            <w:noWrap/>
            <w:vAlign w:val="center"/>
            <w:hideMark/>
          </w:tcPr>
          <w:p w14:paraId="7D72A0FE"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263,2</w:t>
            </w:r>
          </w:p>
        </w:tc>
        <w:tc>
          <w:tcPr>
            <w:tcW w:w="851" w:type="dxa"/>
            <w:shd w:val="clear" w:color="auto" w:fill="auto"/>
            <w:noWrap/>
            <w:vAlign w:val="center"/>
            <w:hideMark/>
          </w:tcPr>
          <w:p w14:paraId="319727A3"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291,3</w:t>
            </w:r>
          </w:p>
        </w:tc>
        <w:tc>
          <w:tcPr>
            <w:tcW w:w="850" w:type="dxa"/>
            <w:shd w:val="clear" w:color="auto" w:fill="auto"/>
            <w:noWrap/>
            <w:vAlign w:val="center"/>
            <w:hideMark/>
          </w:tcPr>
          <w:p w14:paraId="0ED85955"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264,2</w:t>
            </w:r>
          </w:p>
        </w:tc>
        <w:tc>
          <w:tcPr>
            <w:tcW w:w="851" w:type="dxa"/>
            <w:vAlign w:val="center"/>
          </w:tcPr>
          <w:p w14:paraId="1CE7BF7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261,9</w:t>
            </w:r>
          </w:p>
        </w:tc>
        <w:tc>
          <w:tcPr>
            <w:tcW w:w="850" w:type="dxa"/>
            <w:shd w:val="clear" w:color="auto" w:fill="auto"/>
            <w:noWrap/>
            <w:vAlign w:val="center"/>
            <w:hideMark/>
          </w:tcPr>
          <w:p w14:paraId="01A7EFF4"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268,5</w:t>
            </w:r>
          </w:p>
        </w:tc>
        <w:tc>
          <w:tcPr>
            <w:tcW w:w="864" w:type="dxa"/>
            <w:shd w:val="clear" w:color="auto" w:fill="auto"/>
            <w:noWrap/>
            <w:vAlign w:val="center"/>
            <w:hideMark/>
          </w:tcPr>
          <w:p w14:paraId="22AD02F6"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242,2</w:t>
            </w:r>
          </w:p>
        </w:tc>
        <w:tc>
          <w:tcPr>
            <w:tcW w:w="863" w:type="dxa"/>
            <w:shd w:val="clear" w:color="auto" w:fill="auto"/>
            <w:noWrap/>
            <w:vAlign w:val="center"/>
            <w:hideMark/>
          </w:tcPr>
          <w:p w14:paraId="62576E5C"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239,9</w:t>
            </w:r>
          </w:p>
        </w:tc>
      </w:tr>
      <w:tr w:rsidR="008643AC" w:rsidRPr="008643AC" w14:paraId="0BC4AC67" w14:textId="77777777" w:rsidTr="008643AC">
        <w:trPr>
          <w:trHeight w:val="20"/>
          <w:jc w:val="center"/>
        </w:trPr>
        <w:tc>
          <w:tcPr>
            <w:tcW w:w="2405" w:type="dxa"/>
            <w:shd w:val="clear" w:color="auto" w:fill="auto"/>
            <w:vAlign w:val="center"/>
            <w:hideMark/>
          </w:tcPr>
          <w:p w14:paraId="3DE114C1"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Subsīdijas un dotācijas</w:t>
            </w:r>
          </w:p>
        </w:tc>
        <w:tc>
          <w:tcPr>
            <w:tcW w:w="851" w:type="dxa"/>
            <w:shd w:val="clear" w:color="auto" w:fill="auto"/>
            <w:noWrap/>
            <w:vAlign w:val="center"/>
            <w:hideMark/>
          </w:tcPr>
          <w:p w14:paraId="7EE60035"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2 329,4</w:t>
            </w:r>
          </w:p>
        </w:tc>
        <w:tc>
          <w:tcPr>
            <w:tcW w:w="850" w:type="dxa"/>
            <w:shd w:val="clear" w:color="auto" w:fill="auto"/>
            <w:noWrap/>
            <w:vAlign w:val="center"/>
            <w:hideMark/>
          </w:tcPr>
          <w:p w14:paraId="58A2F820"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2 898,2</w:t>
            </w:r>
          </w:p>
        </w:tc>
        <w:tc>
          <w:tcPr>
            <w:tcW w:w="851" w:type="dxa"/>
            <w:shd w:val="clear" w:color="auto" w:fill="auto"/>
            <w:noWrap/>
            <w:vAlign w:val="center"/>
            <w:hideMark/>
          </w:tcPr>
          <w:p w14:paraId="7F15BBAA"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2 764,4</w:t>
            </w:r>
          </w:p>
        </w:tc>
        <w:tc>
          <w:tcPr>
            <w:tcW w:w="850" w:type="dxa"/>
            <w:shd w:val="clear" w:color="auto" w:fill="auto"/>
            <w:noWrap/>
            <w:vAlign w:val="center"/>
            <w:hideMark/>
          </w:tcPr>
          <w:p w14:paraId="7FCD5301"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2 897,7</w:t>
            </w:r>
          </w:p>
        </w:tc>
        <w:tc>
          <w:tcPr>
            <w:tcW w:w="851" w:type="dxa"/>
            <w:vAlign w:val="center"/>
          </w:tcPr>
          <w:p w14:paraId="02F63D16"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2 913,1</w:t>
            </w:r>
          </w:p>
        </w:tc>
        <w:tc>
          <w:tcPr>
            <w:tcW w:w="850" w:type="dxa"/>
            <w:shd w:val="clear" w:color="auto" w:fill="auto"/>
            <w:noWrap/>
            <w:vAlign w:val="center"/>
            <w:hideMark/>
          </w:tcPr>
          <w:p w14:paraId="3B9221E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2 911,1</w:t>
            </w:r>
          </w:p>
        </w:tc>
        <w:tc>
          <w:tcPr>
            <w:tcW w:w="864" w:type="dxa"/>
            <w:shd w:val="clear" w:color="auto" w:fill="auto"/>
            <w:noWrap/>
            <w:vAlign w:val="center"/>
            <w:hideMark/>
          </w:tcPr>
          <w:p w14:paraId="702A60A5"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3 102,0</w:t>
            </w:r>
          </w:p>
        </w:tc>
        <w:tc>
          <w:tcPr>
            <w:tcW w:w="863" w:type="dxa"/>
            <w:shd w:val="clear" w:color="auto" w:fill="auto"/>
            <w:noWrap/>
            <w:vAlign w:val="center"/>
            <w:hideMark/>
          </w:tcPr>
          <w:p w14:paraId="24CA9BB8"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3 117,6</w:t>
            </w:r>
          </w:p>
        </w:tc>
      </w:tr>
      <w:tr w:rsidR="008643AC" w:rsidRPr="008643AC" w14:paraId="3A78755D" w14:textId="77777777" w:rsidTr="008643AC">
        <w:trPr>
          <w:trHeight w:val="20"/>
          <w:jc w:val="center"/>
        </w:trPr>
        <w:tc>
          <w:tcPr>
            <w:tcW w:w="2405" w:type="dxa"/>
            <w:shd w:val="clear" w:color="auto" w:fill="auto"/>
            <w:noWrap/>
            <w:vAlign w:val="center"/>
            <w:hideMark/>
          </w:tcPr>
          <w:p w14:paraId="131694A2"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Sociālie pabalsti</w:t>
            </w:r>
          </w:p>
        </w:tc>
        <w:tc>
          <w:tcPr>
            <w:tcW w:w="851" w:type="dxa"/>
            <w:shd w:val="clear" w:color="auto" w:fill="auto"/>
            <w:noWrap/>
            <w:vAlign w:val="center"/>
            <w:hideMark/>
          </w:tcPr>
          <w:p w14:paraId="6450BA94"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3 259,9</w:t>
            </w:r>
          </w:p>
        </w:tc>
        <w:tc>
          <w:tcPr>
            <w:tcW w:w="850" w:type="dxa"/>
            <w:shd w:val="clear" w:color="auto" w:fill="auto"/>
            <w:noWrap/>
            <w:vAlign w:val="center"/>
            <w:hideMark/>
          </w:tcPr>
          <w:p w14:paraId="0812B4A8"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3 749,4</w:t>
            </w:r>
          </w:p>
        </w:tc>
        <w:tc>
          <w:tcPr>
            <w:tcW w:w="851" w:type="dxa"/>
            <w:shd w:val="clear" w:color="auto" w:fill="auto"/>
            <w:noWrap/>
            <w:vAlign w:val="center"/>
            <w:hideMark/>
          </w:tcPr>
          <w:p w14:paraId="50A9524B"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3 710,6</w:t>
            </w:r>
          </w:p>
        </w:tc>
        <w:tc>
          <w:tcPr>
            <w:tcW w:w="850" w:type="dxa"/>
            <w:shd w:val="clear" w:color="auto" w:fill="auto"/>
            <w:noWrap/>
            <w:vAlign w:val="center"/>
            <w:hideMark/>
          </w:tcPr>
          <w:p w14:paraId="0AC6E91B"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3 786,0</w:t>
            </w:r>
          </w:p>
        </w:tc>
        <w:tc>
          <w:tcPr>
            <w:tcW w:w="851" w:type="dxa"/>
            <w:vAlign w:val="center"/>
          </w:tcPr>
          <w:p w14:paraId="0BE96CD4"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3 953,9</w:t>
            </w:r>
          </w:p>
        </w:tc>
        <w:tc>
          <w:tcPr>
            <w:tcW w:w="850" w:type="dxa"/>
            <w:shd w:val="clear" w:color="auto" w:fill="auto"/>
            <w:noWrap/>
            <w:vAlign w:val="center"/>
            <w:hideMark/>
          </w:tcPr>
          <w:p w14:paraId="1500C773"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3 764,4</w:t>
            </w:r>
          </w:p>
        </w:tc>
        <w:tc>
          <w:tcPr>
            <w:tcW w:w="864" w:type="dxa"/>
            <w:shd w:val="clear" w:color="auto" w:fill="auto"/>
            <w:noWrap/>
            <w:vAlign w:val="center"/>
            <w:hideMark/>
          </w:tcPr>
          <w:p w14:paraId="59F056B9"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3 827,6</w:t>
            </w:r>
          </w:p>
        </w:tc>
        <w:tc>
          <w:tcPr>
            <w:tcW w:w="863" w:type="dxa"/>
            <w:shd w:val="clear" w:color="auto" w:fill="auto"/>
            <w:noWrap/>
            <w:vAlign w:val="center"/>
            <w:hideMark/>
          </w:tcPr>
          <w:p w14:paraId="743BF023"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3 994,4</w:t>
            </w:r>
          </w:p>
        </w:tc>
      </w:tr>
      <w:tr w:rsidR="008643AC" w:rsidRPr="008643AC" w14:paraId="50F58D3A" w14:textId="77777777" w:rsidTr="008643AC">
        <w:trPr>
          <w:trHeight w:val="20"/>
          <w:jc w:val="center"/>
        </w:trPr>
        <w:tc>
          <w:tcPr>
            <w:tcW w:w="2405" w:type="dxa"/>
            <w:shd w:val="clear" w:color="auto" w:fill="auto"/>
            <w:noWrap/>
            <w:vAlign w:val="center"/>
            <w:hideMark/>
          </w:tcPr>
          <w:p w14:paraId="3A3B33FF"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Kapitālie izdevumi</w:t>
            </w:r>
          </w:p>
        </w:tc>
        <w:tc>
          <w:tcPr>
            <w:tcW w:w="851" w:type="dxa"/>
            <w:shd w:val="clear" w:color="auto" w:fill="auto"/>
            <w:noWrap/>
            <w:vAlign w:val="center"/>
            <w:hideMark/>
          </w:tcPr>
          <w:p w14:paraId="0C4694DB"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1 209,4</w:t>
            </w:r>
          </w:p>
        </w:tc>
        <w:tc>
          <w:tcPr>
            <w:tcW w:w="850" w:type="dxa"/>
            <w:shd w:val="clear" w:color="auto" w:fill="auto"/>
            <w:noWrap/>
            <w:vAlign w:val="center"/>
            <w:hideMark/>
          </w:tcPr>
          <w:p w14:paraId="0AC95986"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1 253,4</w:t>
            </w:r>
          </w:p>
        </w:tc>
        <w:tc>
          <w:tcPr>
            <w:tcW w:w="851" w:type="dxa"/>
            <w:shd w:val="clear" w:color="auto" w:fill="auto"/>
            <w:noWrap/>
            <w:vAlign w:val="center"/>
            <w:hideMark/>
          </w:tcPr>
          <w:p w14:paraId="697C137D"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1 083,9</w:t>
            </w:r>
          </w:p>
        </w:tc>
        <w:tc>
          <w:tcPr>
            <w:tcW w:w="850" w:type="dxa"/>
            <w:shd w:val="clear" w:color="auto" w:fill="auto"/>
            <w:noWrap/>
            <w:vAlign w:val="center"/>
            <w:hideMark/>
          </w:tcPr>
          <w:p w14:paraId="580489E3"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1 224,9</w:t>
            </w:r>
          </w:p>
        </w:tc>
        <w:tc>
          <w:tcPr>
            <w:tcW w:w="851" w:type="dxa"/>
            <w:vAlign w:val="center"/>
          </w:tcPr>
          <w:p w14:paraId="412A9D63"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1 051,8</w:t>
            </w:r>
          </w:p>
        </w:tc>
        <w:tc>
          <w:tcPr>
            <w:tcW w:w="850" w:type="dxa"/>
            <w:shd w:val="clear" w:color="auto" w:fill="auto"/>
            <w:noWrap/>
            <w:vAlign w:val="center"/>
            <w:hideMark/>
          </w:tcPr>
          <w:p w14:paraId="1AE4A33A"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1 017,5</w:t>
            </w:r>
          </w:p>
        </w:tc>
        <w:tc>
          <w:tcPr>
            <w:tcW w:w="864" w:type="dxa"/>
            <w:shd w:val="clear" w:color="auto" w:fill="auto"/>
            <w:noWrap/>
            <w:vAlign w:val="center"/>
            <w:hideMark/>
          </w:tcPr>
          <w:p w14:paraId="5056ADC1"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1 187,5</w:t>
            </w:r>
          </w:p>
        </w:tc>
        <w:tc>
          <w:tcPr>
            <w:tcW w:w="863" w:type="dxa"/>
            <w:shd w:val="clear" w:color="auto" w:fill="auto"/>
            <w:noWrap/>
            <w:vAlign w:val="center"/>
            <w:hideMark/>
          </w:tcPr>
          <w:p w14:paraId="28549C1B"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970,5</w:t>
            </w:r>
          </w:p>
        </w:tc>
      </w:tr>
      <w:tr w:rsidR="008643AC" w:rsidRPr="008643AC" w14:paraId="5C7C3025" w14:textId="77777777" w:rsidTr="008643AC">
        <w:trPr>
          <w:trHeight w:val="20"/>
          <w:jc w:val="center"/>
        </w:trPr>
        <w:tc>
          <w:tcPr>
            <w:tcW w:w="2405" w:type="dxa"/>
            <w:shd w:val="clear" w:color="auto" w:fill="auto"/>
            <w:noWrap/>
            <w:vAlign w:val="center"/>
            <w:hideMark/>
          </w:tcPr>
          <w:p w14:paraId="7737C69B" w14:textId="77777777" w:rsidR="008643AC" w:rsidRPr="008643AC" w:rsidRDefault="008643AC" w:rsidP="008643AC">
            <w:pPr>
              <w:ind w:firstLineChars="200" w:firstLine="360"/>
              <w:contextualSpacing/>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Pārējie izdevumi</w:t>
            </w:r>
          </w:p>
        </w:tc>
        <w:tc>
          <w:tcPr>
            <w:tcW w:w="851" w:type="dxa"/>
            <w:shd w:val="clear" w:color="auto" w:fill="auto"/>
            <w:noWrap/>
            <w:vAlign w:val="center"/>
            <w:hideMark/>
          </w:tcPr>
          <w:p w14:paraId="31CB0EA9"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348,6</w:t>
            </w:r>
          </w:p>
        </w:tc>
        <w:tc>
          <w:tcPr>
            <w:tcW w:w="850" w:type="dxa"/>
            <w:shd w:val="clear" w:color="auto" w:fill="auto"/>
            <w:noWrap/>
            <w:vAlign w:val="center"/>
            <w:hideMark/>
          </w:tcPr>
          <w:p w14:paraId="55FE4807" w14:textId="77777777" w:rsidR="008643AC" w:rsidRPr="008643AC" w:rsidRDefault="008643AC" w:rsidP="008643AC">
            <w:pPr>
              <w:contextualSpacing/>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44"/>
                <w:lang w:eastAsia="en-US"/>
              </w:rPr>
              <w:t>362,1</w:t>
            </w:r>
          </w:p>
        </w:tc>
        <w:tc>
          <w:tcPr>
            <w:tcW w:w="851" w:type="dxa"/>
            <w:shd w:val="clear" w:color="auto" w:fill="auto"/>
            <w:noWrap/>
            <w:vAlign w:val="center"/>
            <w:hideMark/>
          </w:tcPr>
          <w:p w14:paraId="171E1E32"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401,1</w:t>
            </w:r>
          </w:p>
        </w:tc>
        <w:tc>
          <w:tcPr>
            <w:tcW w:w="850" w:type="dxa"/>
            <w:shd w:val="clear" w:color="auto" w:fill="auto"/>
            <w:noWrap/>
            <w:vAlign w:val="center"/>
            <w:hideMark/>
          </w:tcPr>
          <w:p w14:paraId="79791BFC"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404,4</w:t>
            </w:r>
          </w:p>
        </w:tc>
        <w:tc>
          <w:tcPr>
            <w:tcW w:w="851" w:type="dxa"/>
            <w:vAlign w:val="center"/>
          </w:tcPr>
          <w:p w14:paraId="363378C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408,5</w:t>
            </w:r>
          </w:p>
        </w:tc>
        <w:tc>
          <w:tcPr>
            <w:tcW w:w="850" w:type="dxa"/>
            <w:shd w:val="clear" w:color="auto" w:fill="auto"/>
            <w:noWrap/>
            <w:vAlign w:val="center"/>
            <w:hideMark/>
          </w:tcPr>
          <w:p w14:paraId="6FAC2E4C"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400,5</w:t>
            </w:r>
          </w:p>
        </w:tc>
        <w:tc>
          <w:tcPr>
            <w:tcW w:w="864" w:type="dxa"/>
            <w:shd w:val="clear" w:color="auto" w:fill="auto"/>
            <w:noWrap/>
            <w:vAlign w:val="center"/>
            <w:hideMark/>
          </w:tcPr>
          <w:p w14:paraId="3B78FD90"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403,5</w:t>
            </w:r>
          </w:p>
        </w:tc>
        <w:tc>
          <w:tcPr>
            <w:tcW w:w="863" w:type="dxa"/>
            <w:shd w:val="clear" w:color="auto" w:fill="auto"/>
            <w:noWrap/>
            <w:vAlign w:val="center"/>
            <w:hideMark/>
          </w:tcPr>
          <w:p w14:paraId="2BA46324" w14:textId="77777777" w:rsidR="008643AC" w:rsidRPr="008643AC" w:rsidRDefault="008643AC" w:rsidP="008643AC">
            <w:pPr>
              <w:contextualSpacing/>
              <w:jc w:val="right"/>
              <w:rPr>
                <w:rFonts w:ascii="Times New Roman" w:eastAsia="Times New Roman" w:hAnsi="Times New Roman" w:cs="Times New Roman"/>
                <w:color w:val="FF0000"/>
                <w:sz w:val="18"/>
                <w:szCs w:val="18"/>
                <w:highlight w:val="yellow"/>
              </w:rPr>
            </w:pPr>
            <w:r w:rsidRPr="008643AC">
              <w:rPr>
                <w:rFonts w:ascii="Times New Roman" w:eastAsia="Times New Roman" w:hAnsi="Times New Roman" w:cs="Times New Roman"/>
                <w:sz w:val="18"/>
                <w:szCs w:val="44"/>
                <w:lang w:eastAsia="en-US"/>
              </w:rPr>
              <w:t>407,5</w:t>
            </w:r>
          </w:p>
        </w:tc>
      </w:tr>
    </w:tbl>
    <w:p w14:paraId="2576C194" w14:textId="30985181" w:rsidR="008643AC" w:rsidRDefault="008643AC" w:rsidP="00AB2199">
      <w:pPr>
        <w:spacing w:before="120"/>
        <w:jc w:val="both"/>
        <w:rPr>
          <w:rFonts w:ascii="Times New Roman" w:eastAsia="Times New Roman" w:hAnsi="Times New Roman" w:cs="Times New Roman"/>
          <w:color w:val="000000"/>
          <w:sz w:val="17"/>
          <w:szCs w:val="17"/>
          <w:lang w:eastAsia="en-US"/>
        </w:rPr>
      </w:pPr>
      <w:r w:rsidRPr="008643AC">
        <w:rPr>
          <w:rFonts w:ascii="Times New Roman" w:eastAsia="Times New Roman" w:hAnsi="Times New Roman" w:cs="Times New Roman"/>
          <w:color w:val="000000"/>
          <w:sz w:val="17"/>
          <w:szCs w:val="17"/>
          <w:lang w:eastAsia="en-US"/>
        </w:rPr>
        <w:t>* Atbilstoši 2020.gada aprīļa notifikācijas datiem, tai skaitā kopbudžeta izpilde atbilstoši Valsts kases oficiālajam mēneša pārskatam par 2019.gada janvāri-decembri.</w:t>
      </w:r>
    </w:p>
    <w:p w14:paraId="5E7BA1B2" w14:textId="77777777" w:rsidR="00F75A1F" w:rsidRPr="00AB2199" w:rsidRDefault="00F75A1F" w:rsidP="00AB2199">
      <w:pPr>
        <w:spacing w:before="120"/>
        <w:jc w:val="both"/>
        <w:rPr>
          <w:rFonts w:ascii="Times New Roman" w:eastAsia="Times New Roman" w:hAnsi="Times New Roman" w:cs="Times New Roman"/>
          <w:color w:val="000000"/>
          <w:sz w:val="17"/>
          <w:szCs w:val="17"/>
          <w:lang w:eastAsia="en-US"/>
        </w:rPr>
      </w:pPr>
    </w:p>
    <w:p w14:paraId="57ED1924" w14:textId="283C11B3" w:rsidR="008643AC" w:rsidRPr="008643AC" w:rsidRDefault="008643AC" w:rsidP="008643AC">
      <w:pPr>
        <w:ind w:firstLine="720"/>
        <w:jc w:val="both"/>
        <w:rPr>
          <w:rFonts w:ascii="Times New Roman" w:eastAsia="Times New Roman" w:hAnsi="Times New Roman" w:cs="Times New Roman"/>
          <w:color w:val="000000"/>
          <w:sz w:val="28"/>
          <w:szCs w:val="28"/>
          <w:lang w:eastAsia="en-US"/>
        </w:rPr>
      </w:pPr>
      <w:r w:rsidRPr="008643AC">
        <w:rPr>
          <w:rFonts w:ascii="Times New Roman" w:eastAsia="Times New Roman" w:hAnsi="Times New Roman" w:cs="Times New Roman"/>
          <w:color w:val="000000"/>
          <w:sz w:val="28"/>
          <w:szCs w:val="28"/>
          <w:lang w:eastAsia="en-US"/>
        </w:rPr>
        <w:t xml:space="preserve">Pilnos faktiskos datus CSP par vispārējās </w:t>
      </w:r>
      <w:r w:rsidR="00AB2199">
        <w:rPr>
          <w:rFonts w:ascii="Times New Roman" w:eastAsia="Times New Roman" w:hAnsi="Times New Roman" w:cs="Times New Roman"/>
          <w:color w:val="000000"/>
          <w:sz w:val="28"/>
          <w:szCs w:val="28"/>
          <w:lang w:eastAsia="en-US"/>
        </w:rPr>
        <w:t>valdības budžeta deficītu 2020.gadā publicēs 2021.</w:t>
      </w:r>
      <w:r w:rsidRPr="008643AC">
        <w:rPr>
          <w:rFonts w:ascii="Times New Roman" w:eastAsia="Times New Roman" w:hAnsi="Times New Roman" w:cs="Times New Roman"/>
          <w:color w:val="000000"/>
          <w:sz w:val="28"/>
          <w:szCs w:val="28"/>
          <w:lang w:eastAsia="en-US"/>
        </w:rPr>
        <w:t xml:space="preserve">gada aprīlī, sagatavojot un iesniedzot </w:t>
      </w:r>
      <w:r w:rsidRPr="008643AC">
        <w:rPr>
          <w:rFonts w:ascii="Times New Roman" w:eastAsia="Times New Roman" w:hAnsi="Times New Roman" w:cs="Times New Roman"/>
          <w:i/>
          <w:noProof/>
          <w:color w:val="000000"/>
          <w:sz w:val="28"/>
          <w:szCs w:val="28"/>
          <w:lang w:eastAsia="en-US"/>
        </w:rPr>
        <w:t>Eurostat</w:t>
      </w:r>
      <w:r w:rsidRPr="008643AC">
        <w:rPr>
          <w:rFonts w:ascii="Times New Roman" w:eastAsia="Times New Roman" w:hAnsi="Times New Roman" w:cs="Times New Roman"/>
          <w:color w:val="000000"/>
          <w:sz w:val="28"/>
          <w:szCs w:val="28"/>
          <w:lang w:eastAsia="en-US"/>
        </w:rPr>
        <w:t xml:space="preserve"> vispārējās valdības budžeta deficīta un parāda notifikāciju. Tad būs apkopoti visi vispārējās valdības sektora darījumi, tai skaitā vispārējās valdības komersantu darbības rezultāti, kā arī dati par kopbudžetā uzkrātajām saistībām un prasībām.</w:t>
      </w:r>
    </w:p>
    <w:p w14:paraId="3DEA53C5" w14:textId="44C4B1B4" w:rsidR="008643AC" w:rsidRPr="008643AC" w:rsidRDefault="008643AC" w:rsidP="008643AC">
      <w:pPr>
        <w:ind w:firstLine="709"/>
        <w:jc w:val="both"/>
        <w:rPr>
          <w:rFonts w:ascii="Times New Roman" w:eastAsia="Times New Roman" w:hAnsi="Times New Roman" w:cs="Times New Roman"/>
          <w:color w:val="000000"/>
          <w:sz w:val="28"/>
          <w:szCs w:val="28"/>
          <w:lang w:eastAsia="en-US"/>
        </w:rPr>
      </w:pPr>
      <w:r w:rsidRPr="00AB2199">
        <w:rPr>
          <w:rFonts w:ascii="Times New Roman" w:eastAsia="Times New Roman" w:hAnsi="Times New Roman" w:cs="Times New Roman"/>
          <w:color w:val="000000"/>
          <w:sz w:val="28"/>
          <w:szCs w:val="28"/>
          <w:lang w:eastAsia="en-US"/>
        </w:rPr>
        <w:t>Vidēja termiņa</w:t>
      </w:r>
      <w:r w:rsidRPr="008643AC">
        <w:rPr>
          <w:rFonts w:ascii="Times New Roman" w:eastAsia="Times New Roman" w:hAnsi="Times New Roman" w:cs="Times New Roman"/>
          <w:color w:val="000000"/>
          <w:sz w:val="28"/>
          <w:szCs w:val="28"/>
          <w:lang w:eastAsia="en-US"/>
        </w:rPr>
        <w:t xml:space="preserve"> vispārējās valdības b</w:t>
      </w:r>
      <w:r w:rsidR="00AB2199">
        <w:rPr>
          <w:rFonts w:ascii="Times New Roman" w:eastAsia="Times New Roman" w:hAnsi="Times New Roman" w:cs="Times New Roman"/>
          <w:color w:val="000000"/>
          <w:sz w:val="28"/>
          <w:szCs w:val="28"/>
          <w:lang w:eastAsia="en-US"/>
        </w:rPr>
        <w:t>udžeta prognožu pamatā ir 2020.</w:t>
      </w:r>
      <w:r w:rsidRPr="008643AC">
        <w:rPr>
          <w:rFonts w:ascii="Times New Roman" w:eastAsia="Times New Roman" w:hAnsi="Times New Roman" w:cs="Times New Roman"/>
          <w:color w:val="000000"/>
          <w:sz w:val="28"/>
          <w:szCs w:val="28"/>
          <w:lang w:eastAsia="en-US"/>
        </w:rPr>
        <w:t>gada jūnijā sagatavotais makroekonomiskās attīstības scenārijs, aktualizētie nodokļu ieņēmumi un izdevumi, kā arī valdības pieņemtie lēmumi, tostarp turpinot atbalsta pasākumu finansēšanu Cov</w:t>
      </w:r>
      <w:r w:rsidR="00AB2199">
        <w:rPr>
          <w:rFonts w:ascii="Times New Roman" w:eastAsia="Times New Roman" w:hAnsi="Times New Roman" w:cs="Times New Roman"/>
          <w:color w:val="000000"/>
          <w:sz w:val="28"/>
          <w:szCs w:val="28"/>
          <w:lang w:eastAsia="en-US"/>
        </w:rPr>
        <w:t>id-19 krīzes pārvarēšanai 2021.</w:t>
      </w:r>
      <w:r w:rsidRPr="008643AC">
        <w:rPr>
          <w:rFonts w:ascii="Times New Roman" w:eastAsia="Times New Roman" w:hAnsi="Times New Roman" w:cs="Times New Roman"/>
          <w:color w:val="000000"/>
          <w:sz w:val="28"/>
          <w:szCs w:val="28"/>
          <w:lang w:eastAsia="en-US"/>
        </w:rPr>
        <w:t>gadā. Tāpat tika ņemta vērā pašvaldību un citu atvasināto publisko personu budžetu iespējamā attīstība turpmākajos gados.</w:t>
      </w:r>
    </w:p>
    <w:p w14:paraId="619C704D" w14:textId="7F1CCC6A" w:rsidR="008643AC" w:rsidRPr="008643AC" w:rsidRDefault="00AB2199" w:rsidP="008643AC">
      <w:pPr>
        <w:ind w:firstLine="709"/>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Tiek prognozēts, ka 2021.</w:t>
      </w:r>
      <w:r w:rsidR="008643AC" w:rsidRPr="008643AC">
        <w:rPr>
          <w:rFonts w:ascii="Times New Roman" w:eastAsia="Times New Roman" w:hAnsi="Times New Roman" w:cs="Times New Roman"/>
          <w:color w:val="000000"/>
          <w:sz w:val="28"/>
          <w:szCs w:val="28"/>
          <w:lang w:eastAsia="en-US"/>
        </w:rPr>
        <w:t>gadā nodokļu ieņēmumu pieaugums atjaunosies un pieaugums būs vērojams visā vidējā termiņā.  Ieņēmumu pieaugumu sekmēs gan sagaidāmais ekonomiskās aktivitātes pieaugums, gan arī tādi valdības apstiprinātie pasākumi k</w:t>
      </w:r>
      <w:r>
        <w:rPr>
          <w:rFonts w:ascii="Times New Roman" w:eastAsia="Times New Roman" w:hAnsi="Times New Roman" w:cs="Times New Roman"/>
          <w:color w:val="000000"/>
          <w:sz w:val="28"/>
          <w:szCs w:val="28"/>
          <w:lang w:eastAsia="en-US"/>
        </w:rPr>
        <w:t>ā minimālās algas celšana 2021.</w:t>
      </w:r>
      <w:r w:rsidR="008643AC" w:rsidRPr="008643AC">
        <w:rPr>
          <w:rFonts w:ascii="Times New Roman" w:eastAsia="Times New Roman" w:hAnsi="Times New Roman" w:cs="Times New Roman"/>
          <w:color w:val="000000"/>
          <w:sz w:val="28"/>
          <w:szCs w:val="28"/>
          <w:lang w:eastAsia="en-US"/>
        </w:rPr>
        <w:t>gadā līdz 500 </w:t>
      </w:r>
      <w:r w:rsidR="008643AC" w:rsidRPr="008643AC">
        <w:rPr>
          <w:rFonts w:ascii="Times New Roman" w:eastAsia="Times New Roman" w:hAnsi="Times New Roman" w:cs="Times New Roman"/>
          <w:i/>
          <w:color w:val="000000"/>
          <w:sz w:val="28"/>
          <w:szCs w:val="28"/>
          <w:lang w:eastAsia="en-US"/>
        </w:rPr>
        <w:t>euro</w:t>
      </w:r>
      <w:r w:rsidR="008643AC" w:rsidRPr="008643AC">
        <w:rPr>
          <w:rFonts w:ascii="Times New Roman" w:eastAsia="Times New Roman" w:hAnsi="Times New Roman" w:cs="Times New Roman"/>
          <w:color w:val="000000"/>
          <w:sz w:val="28"/>
          <w:szCs w:val="28"/>
          <w:lang w:eastAsia="en-US"/>
        </w:rPr>
        <w:t>, minimālā V</w:t>
      </w:r>
      <w:r>
        <w:rPr>
          <w:rFonts w:ascii="Times New Roman" w:eastAsia="Times New Roman" w:hAnsi="Times New Roman" w:cs="Times New Roman"/>
          <w:color w:val="000000"/>
          <w:sz w:val="28"/>
          <w:szCs w:val="28"/>
          <w:lang w:eastAsia="en-US"/>
        </w:rPr>
        <w:t>SAOI objekta ieviešana ar 2021.</w:t>
      </w:r>
      <w:r w:rsidR="008643AC" w:rsidRPr="008643AC">
        <w:rPr>
          <w:rFonts w:ascii="Times New Roman" w:eastAsia="Times New Roman" w:hAnsi="Times New Roman" w:cs="Times New Roman"/>
          <w:color w:val="000000"/>
          <w:sz w:val="28"/>
          <w:szCs w:val="28"/>
          <w:lang w:eastAsia="en-US"/>
        </w:rPr>
        <w:t>gada 1.jūliju, atgriezeniskais efekts no atlīdzības palielināšanas ārstni</w:t>
      </w:r>
      <w:r>
        <w:rPr>
          <w:rFonts w:ascii="Times New Roman" w:eastAsia="Times New Roman" w:hAnsi="Times New Roman" w:cs="Times New Roman"/>
          <w:color w:val="000000"/>
          <w:sz w:val="28"/>
          <w:szCs w:val="28"/>
          <w:lang w:eastAsia="en-US"/>
        </w:rPr>
        <w:t>ecības personām, pedagogiem piecgadīgo un seš</w:t>
      </w:r>
      <w:r w:rsidR="008643AC" w:rsidRPr="008643AC">
        <w:rPr>
          <w:rFonts w:ascii="Times New Roman" w:eastAsia="Times New Roman" w:hAnsi="Times New Roman" w:cs="Times New Roman"/>
          <w:color w:val="000000"/>
          <w:sz w:val="28"/>
          <w:szCs w:val="28"/>
          <w:lang w:eastAsia="en-US"/>
        </w:rPr>
        <w:t>gadīgo izglītībā un vispārējā izglītībā, kā arī akadēmiskajam</w:t>
      </w:r>
      <w:r>
        <w:rPr>
          <w:rFonts w:ascii="Times New Roman" w:eastAsia="Times New Roman" w:hAnsi="Times New Roman" w:cs="Times New Roman"/>
          <w:color w:val="000000"/>
          <w:sz w:val="28"/>
          <w:szCs w:val="28"/>
          <w:lang w:eastAsia="en-US"/>
        </w:rPr>
        <w:t xml:space="preserve"> personālam augstskolās.  2021.</w:t>
      </w:r>
      <w:r w:rsidR="008643AC" w:rsidRPr="008643AC">
        <w:rPr>
          <w:rFonts w:ascii="Times New Roman" w:eastAsia="Times New Roman" w:hAnsi="Times New Roman" w:cs="Times New Roman"/>
          <w:color w:val="000000"/>
          <w:sz w:val="28"/>
          <w:szCs w:val="28"/>
          <w:lang w:eastAsia="en-US"/>
        </w:rPr>
        <w:t>gada vispārējās valdības budžetā ir nozīmīgā apjomā ieplānots finansējuma pieaugums Satversmes tiesas spriedumu izpildei labklājības jomā minimālo pensiju un valsts sociālā nodrošinājuma pabalsta paaugstināšanai, garantētā minimālā ienākuma (GMI) un mājokļa pabalsta finansēšanai, kā arī sociālo garantiju palielināšanai bāreņiem un bez vecāku gādības palikušiem bērniem.</w:t>
      </w:r>
    </w:p>
    <w:p w14:paraId="498D1B9B" w14:textId="3FEA0814" w:rsidR="008643AC" w:rsidRDefault="008643AC" w:rsidP="005D361F">
      <w:pPr>
        <w:ind w:firstLine="709"/>
        <w:jc w:val="center"/>
        <w:rPr>
          <w:rFonts w:ascii="Times New Roman" w:eastAsia="Times New Roman" w:hAnsi="Times New Roman" w:cs="Times New Roman"/>
          <w:b/>
          <w:sz w:val="28"/>
          <w:szCs w:val="28"/>
          <w:lang w:eastAsia="en-US"/>
        </w:rPr>
      </w:pPr>
      <w:r w:rsidRPr="008643AC">
        <w:rPr>
          <w:rFonts w:ascii="Times New Roman" w:eastAsia="Times New Roman" w:hAnsi="Times New Roman" w:cs="Times New Roman"/>
          <w:b/>
          <w:sz w:val="28"/>
          <w:szCs w:val="28"/>
          <w:lang w:eastAsia="en-US"/>
        </w:rPr>
        <w:t>Valsts budžets</w:t>
      </w:r>
    </w:p>
    <w:p w14:paraId="1044BA11" w14:textId="77777777" w:rsidR="005D361F" w:rsidRPr="008643AC" w:rsidRDefault="005D361F" w:rsidP="005D361F">
      <w:pPr>
        <w:ind w:firstLine="709"/>
        <w:jc w:val="center"/>
        <w:rPr>
          <w:rFonts w:ascii="Times New Roman" w:eastAsia="Times New Roman" w:hAnsi="Times New Roman" w:cs="Times New Roman"/>
          <w:sz w:val="28"/>
          <w:szCs w:val="28"/>
          <w:lang w:eastAsia="en-US"/>
        </w:rPr>
      </w:pPr>
    </w:p>
    <w:p w14:paraId="4568D6C9" w14:textId="54206446" w:rsidR="008643AC" w:rsidRPr="008643AC" w:rsidRDefault="00AB2199" w:rsidP="008643AC">
      <w:pPr>
        <w:ind w:firstLine="709"/>
        <w:jc w:val="both"/>
        <w:rPr>
          <w:rFonts w:ascii="Times New Roman" w:eastAsia="Times New Roman" w:hAnsi="Times New Roman" w:cs="Times New Roman"/>
          <w:noProof/>
          <w:sz w:val="28"/>
          <w:szCs w:val="28"/>
          <w:lang w:eastAsia="en-US"/>
        </w:rPr>
      </w:pPr>
      <w:r>
        <w:rPr>
          <w:rFonts w:ascii="Times New Roman" w:eastAsia="Times New Roman" w:hAnsi="Times New Roman" w:cs="Times New Roman"/>
          <w:sz w:val="28"/>
          <w:szCs w:val="28"/>
          <w:lang w:eastAsia="en-US"/>
        </w:rPr>
        <w:t>2020.</w:t>
      </w:r>
      <w:r w:rsidR="008643AC" w:rsidRPr="008643AC">
        <w:rPr>
          <w:rFonts w:ascii="Times New Roman" w:eastAsia="Times New Roman" w:hAnsi="Times New Roman" w:cs="Times New Roman"/>
          <w:sz w:val="28"/>
          <w:szCs w:val="28"/>
          <w:lang w:eastAsia="en-US"/>
        </w:rPr>
        <w:t xml:space="preserve">gadā </w:t>
      </w:r>
      <w:r w:rsidR="008643AC" w:rsidRPr="00AB2199">
        <w:rPr>
          <w:rFonts w:ascii="Times New Roman" w:eastAsia="Times New Roman" w:hAnsi="Times New Roman" w:cs="Times New Roman"/>
          <w:sz w:val="28"/>
          <w:szCs w:val="28"/>
          <w:lang w:eastAsia="en-US"/>
        </w:rPr>
        <w:t>valsts pamatbudžetā</w:t>
      </w:r>
      <w:r w:rsidR="008643AC" w:rsidRPr="008643AC">
        <w:rPr>
          <w:rFonts w:ascii="Times New Roman" w:eastAsia="Times New Roman" w:hAnsi="Times New Roman" w:cs="Times New Roman"/>
          <w:sz w:val="28"/>
          <w:szCs w:val="28"/>
          <w:lang w:eastAsia="en-US"/>
        </w:rPr>
        <w:t xml:space="preserve"> būtiski palielinājās izdevumu apmērs, kas saistīts gan ar budžetā plānotiem izdevumiem, gan arī Covid-19 seku mazināšanai uz tautsaimniecību apstiprinātajiem atbalsta pasākumiem. Tikmēr valsts pamatbudžeta nodokļu ieņēmumu ievērojami atpalika no plānotā un kopumā ieņēmumi prognozēti zemāki nekā 2019. gadā. Valsts pamatbudžetā jau pēdējos gados bija veidoji</w:t>
      </w:r>
      <w:r>
        <w:rPr>
          <w:rFonts w:ascii="Times New Roman" w:eastAsia="Times New Roman" w:hAnsi="Times New Roman" w:cs="Times New Roman"/>
          <w:sz w:val="28"/>
          <w:szCs w:val="28"/>
          <w:lang w:eastAsia="en-US"/>
        </w:rPr>
        <w:t>es nozīmīgs deficīts, bet 2020.</w:t>
      </w:r>
      <w:r w:rsidR="008643AC" w:rsidRPr="008643AC">
        <w:rPr>
          <w:rFonts w:ascii="Times New Roman" w:eastAsia="Times New Roman" w:hAnsi="Times New Roman" w:cs="Times New Roman"/>
          <w:sz w:val="28"/>
          <w:szCs w:val="28"/>
          <w:lang w:eastAsia="en-US"/>
        </w:rPr>
        <w:t xml:space="preserve">gadā Covid-19 pandēmijas ietekmē deficīts prognozēts 1 607,3 milj. </w:t>
      </w:r>
      <w:r w:rsidR="008643AC" w:rsidRPr="008643AC">
        <w:rPr>
          <w:rFonts w:ascii="Times New Roman" w:eastAsia="Times New Roman" w:hAnsi="Times New Roman" w:cs="Times New Roman"/>
          <w:i/>
          <w:sz w:val="28"/>
          <w:szCs w:val="28"/>
          <w:lang w:eastAsia="en-US"/>
        </w:rPr>
        <w:t>euro</w:t>
      </w:r>
      <w:r w:rsidR="008643AC" w:rsidRPr="008643AC">
        <w:rPr>
          <w:rFonts w:ascii="Times New Roman" w:eastAsia="Times New Roman" w:hAnsi="Times New Roman" w:cs="Times New Roman"/>
          <w:sz w:val="28"/>
          <w:szCs w:val="28"/>
          <w:lang w:eastAsia="en-US"/>
        </w:rPr>
        <w:t xml:space="preserve"> apmērā. Vidējā termiņā ik gadu prognozēta bilances pakāpeniska uzlabošanās</w:t>
      </w:r>
      <w:r w:rsidR="008643AC" w:rsidRPr="008643AC">
        <w:rPr>
          <w:rFonts w:ascii="Times New Roman" w:eastAsia="Times New Roman" w:hAnsi="Times New Roman" w:cs="Times New Roman"/>
          <w:noProof/>
          <w:sz w:val="28"/>
          <w:szCs w:val="28"/>
          <w:lang w:eastAsia="en-US"/>
        </w:rPr>
        <w:t>.</w:t>
      </w:r>
    </w:p>
    <w:p w14:paraId="6204AFD0" w14:textId="1F796D09" w:rsidR="008643AC" w:rsidRPr="008643AC" w:rsidRDefault="00AB2199" w:rsidP="008643AC">
      <w:pPr>
        <w:ind w:firstLine="709"/>
        <w:jc w:val="both"/>
        <w:rPr>
          <w:rFonts w:ascii="Times New Roman" w:eastAsia="Times New Roman" w:hAnsi="Times New Roman" w:cs="Times New Roman"/>
          <w:noProof/>
          <w:sz w:val="28"/>
          <w:szCs w:val="28"/>
          <w:lang w:eastAsia="en-US"/>
        </w:rPr>
      </w:pPr>
      <w:r>
        <w:rPr>
          <w:rFonts w:ascii="Times New Roman" w:eastAsia="Times New Roman" w:hAnsi="Times New Roman" w:cs="Times New Roman"/>
          <w:noProof/>
          <w:sz w:val="28"/>
          <w:szCs w:val="28"/>
          <w:lang w:eastAsia="en-US"/>
        </w:rPr>
        <w:t>2021.</w:t>
      </w:r>
      <w:r w:rsidR="008643AC" w:rsidRPr="008643AC">
        <w:rPr>
          <w:rFonts w:ascii="Times New Roman" w:eastAsia="Times New Roman" w:hAnsi="Times New Roman" w:cs="Times New Roman"/>
          <w:noProof/>
          <w:sz w:val="28"/>
          <w:szCs w:val="28"/>
          <w:lang w:eastAsia="en-US"/>
        </w:rPr>
        <w:t xml:space="preserve">gadā sagaidāms straujšs nodokļu ieņēmumu pieaugums, jo tiek mainīts sadalījums IIN ieņēmumiem starp valsts pamatbudžetu un pašvaldību budžetu 20/80 vietā piemērojot 25/75 sadalījuma proporciju. Šis lēmums būtiski uzlabo valsts budžeta iespējas finansēt augstāku veselības un izglītības nozares darbinieku atalgojumu. Tāpat no 2021.gada paredzēta minimālās algas palielināšana līdz 500 </w:t>
      </w:r>
      <w:r w:rsidR="008643AC" w:rsidRPr="008643AC">
        <w:rPr>
          <w:rFonts w:ascii="Times New Roman" w:eastAsia="Times New Roman" w:hAnsi="Times New Roman" w:cs="Times New Roman"/>
          <w:i/>
          <w:noProof/>
          <w:sz w:val="28"/>
          <w:szCs w:val="28"/>
          <w:lang w:eastAsia="en-US"/>
        </w:rPr>
        <w:t>euro</w:t>
      </w:r>
      <w:r w:rsidR="008643AC" w:rsidRPr="008643AC">
        <w:rPr>
          <w:rFonts w:ascii="Times New Roman" w:eastAsia="Times New Roman" w:hAnsi="Times New Roman" w:cs="Times New Roman"/>
          <w:noProof/>
          <w:sz w:val="28"/>
          <w:szCs w:val="28"/>
          <w:lang w:eastAsia="en-US"/>
        </w:rPr>
        <w:t>, kas pozitīvi ietekmēs nodokļu ieņēmumus, vienlaikus palielinot arī pamatbudžeta izdevumus atalgojuma nodrošināšanai attiecīgajā līmenī. Ienākuma sliekša, kuram piemēro diferencēto neapliekamo minimumu, celšana no 1200 </w:t>
      </w:r>
      <w:r w:rsidR="008643AC" w:rsidRPr="008643AC">
        <w:rPr>
          <w:rFonts w:ascii="Times New Roman" w:eastAsia="Times New Roman" w:hAnsi="Times New Roman" w:cs="Times New Roman"/>
          <w:i/>
          <w:noProof/>
          <w:sz w:val="28"/>
          <w:szCs w:val="28"/>
          <w:lang w:eastAsia="en-US"/>
        </w:rPr>
        <w:t>euro</w:t>
      </w:r>
      <w:r w:rsidR="008643AC" w:rsidRPr="008643AC">
        <w:rPr>
          <w:rFonts w:ascii="Times New Roman" w:eastAsia="Times New Roman" w:hAnsi="Times New Roman" w:cs="Times New Roman"/>
          <w:noProof/>
          <w:sz w:val="28"/>
          <w:szCs w:val="28"/>
          <w:lang w:eastAsia="en-US"/>
        </w:rPr>
        <w:t xml:space="preserve"> līdz 1800 </w:t>
      </w:r>
      <w:r w:rsidR="008643AC" w:rsidRPr="008643AC">
        <w:rPr>
          <w:rFonts w:ascii="Times New Roman" w:eastAsia="Times New Roman" w:hAnsi="Times New Roman" w:cs="Times New Roman"/>
          <w:i/>
          <w:noProof/>
          <w:sz w:val="28"/>
          <w:szCs w:val="28"/>
          <w:lang w:eastAsia="en-US"/>
        </w:rPr>
        <w:t>euro</w:t>
      </w:r>
      <w:r w:rsidR="008643AC" w:rsidRPr="008643AC">
        <w:rPr>
          <w:rFonts w:ascii="Times New Roman" w:eastAsia="Times New Roman" w:hAnsi="Times New Roman" w:cs="Times New Roman"/>
          <w:sz w:val="28"/>
          <w:szCs w:val="28"/>
          <w:lang w:eastAsia="en-US"/>
        </w:rPr>
        <w:t xml:space="preserve"> samazina IIN ieņēmumus, taču šo efektu kompensēs kopējā algu fonda palielinājums.</w:t>
      </w:r>
      <w:r w:rsidR="008643AC" w:rsidRPr="008643AC">
        <w:rPr>
          <w:rFonts w:ascii="Times New Roman" w:eastAsia="Times New Roman" w:hAnsi="Times New Roman" w:cs="Times New Roman"/>
          <w:noProof/>
          <w:sz w:val="28"/>
          <w:szCs w:val="28"/>
          <w:lang w:eastAsia="en-US"/>
        </w:rPr>
        <w:t xml:space="preserve"> </w:t>
      </w:r>
    </w:p>
    <w:p w14:paraId="1C2BD036" w14:textId="2054FB6D" w:rsidR="00F75A1F" w:rsidRDefault="008643AC" w:rsidP="00F75A1F">
      <w:pPr>
        <w:ind w:firstLine="709"/>
        <w:jc w:val="both"/>
        <w:rPr>
          <w:rFonts w:ascii="Times New Roman" w:eastAsia="Times New Roman" w:hAnsi="Times New Roman" w:cs="Times New Roman"/>
          <w:noProof/>
          <w:sz w:val="28"/>
          <w:szCs w:val="28"/>
          <w:lang w:eastAsia="en-US"/>
        </w:rPr>
      </w:pPr>
      <w:r w:rsidRPr="008643AC">
        <w:rPr>
          <w:rFonts w:ascii="Times New Roman" w:eastAsia="Times New Roman" w:hAnsi="Times New Roman" w:cs="Times New Roman"/>
          <w:noProof/>
          <w:sz w:val="28"/>
          <w:szCs w:val="28"/>
          <w:lang w:eastAsia="en-US"/>
        </w:rPr>
        <w:t>Bez jau minētajiem papildus izdevumiem valdības prioritātēm valsts pamatbudžetā tiek nodrošināti izdevumi aizsardzībai, vidējā termiņā paredzot ne mazāk kā 2% no IKP katru gadu, tāpat budžetā ir ieplānoti Eiropas infrastruktūras savienošanas instrumenta (CEF) līdzekļi tautsaimniecībai nozīmīga dzelzceļa projekta “</w:t>
      </w:r>
      <w:r w:rsidRPr="00AB2199">
        <w:rPr>
          <w:rFonts w:ascii="Times New Roman" w:eastAsia="Times New Roman" w:hAnsi="Times New Roman" w:cs="Times New Roman"/>
          <w:i/>
          <w:noProof/>
          <w:sz w:val="28"/>
          <w:szCs w:val="28"/>
          <w:lang w:eastAsia="en-US"/>
        </w:rPr>
        <w:t>Rail Baltica</w:t>
      </w:r>
      <w:r w:rsidRPr="008643AC">
        <w:rPr>
          <w:rFonts w:ascii="Times New Roman" w:eastAsia="Times New Roman" w:hAnsi="Times New Roman" w:cs="Times New Roman"/>
          <w:noProof/>
          <w:sz w:val="28"/>
          <w:szCs w:val="28"/>
          <w:lang w:eastAsia="en-US"/>
        </w:rPr>
        <w:t>” finansēšanai, kas, ņemot vērā projekta kavēšanos, paredz lielākus izdevumus 2023. gadā  un turpmāk.</w:t>
      </w:r>
    </w:p>
    <w:p w14:paraId="2B6C6A20" w14:textId="77777777" w:rsidR="00AB2199" w:rsidRDefault="00AB2199" w:rsidP="008643AC">
      <w:pPr>
        <w:ind w:firstLine="709"/>
        <w:jc w:val="both"/>
        <w:rPr>
          <w:rFonts w:ascii="Times New Roman" w:eastAsia="Times New Roman" w:hAnsi="Times New Roman" w:cs="Times New Roman"/>
          <w:noProof/>
          <w:sz w:val="28"/>
          <w:szCs w:val="28"/>
          <w:lang w:eastAsia="en-US"/>
        </w:rPr>
      </w:pPr>
    </w:p>
    <w:p w14:paraId="75739B0B" w14:textId="23B73BD4" w:rsidR="00AB2199" w:rsidRDefault="00AB2199" w:rsidP="00AB2199">
      <w:pPr>
        <w:ind w:firstLine="709"/>
        <w:jc w:val="center"/>
        <w:rPr>
          <w:rFonts w:ascii="Times New Roman" w:eastAsia="Times New Roman" w:hAnsi="Times New Roman" w:cs="Times New Roman"/>
          <w:noProof/>
          <w:sz w:val="28"/>
          <w:szCs w:val="28"/>
          <w:lang w:eastAsia="en-US"/>
        </w:rPr>
      </w:pPr>
      <w:r>
        <w:rPr>
          <w:rFonts w:ascii="Times New Roman" w:eastAsia="Times New Roman" w:hAnsi="Times New Roman" w:cs="Times New Roman"/>
          <w:b/>
          <w:color w:val="000000"/>
          <w:sz w:val="28"/>
          <w:szCs w:val="28"/>
          <w:lang w:eastAsia="en-US"/>
        </w:rPr>
        <w:t>Valsts speciālais budžets</w:t>
      </w:r>
    </w:p>
    <w:p w14:paraId="585E5F13" w14:textId="77777777" w:rsidR="00AB2199" w:rsidRPr="008643AC" w:rsidRDefault="00AB2199" w:rsidP="008643AC">
      <w:pPr>
        <w:ind w:firstLine="709"/>
        <w:jc w:val="both"/>
        <w:rPr>
          <w:rFonts w:ascii="Times New Roman" w:eastAsia="Times New Roman" w:hAnsi="Times New Roman" w:cs="Times New Roman"/>
          <w:noProof/>
          <w:sz w:val="28"/>
          <w:szCs w:val="28"/>
          <w:highlight w:val="yellow"/>
          <w:lang w:eastAsia="en-US"/>
        </w:rPr>
      </w:pPr>
    </w:p>
    <w:p w14:paraId="02D1A9E4" w14:textId="50A54955" w:rsidR="008643AC" w:rsidRPr="008643AC" w:rsidRDefault="008643AC" w:rsidP="008643AC">
      <w:pPr>
        <w:ind w:firstLine="709"/>
        <w:jc w:val="both"/>
        <w:rPr>
          <w:rFonts w:ascii="Times New Roman" w:eastAsia="Times New Roman" w:hAnsi="Times New Roman" w:cs="Times New Roman"/>
          <w:color w:val="000000"/>
          <w:sz w:val="28"/>
          <w:szCs w:val="28"/>
          <w:lang w:eastAsia="en-US"/>
        </w:rPr>
      </w:pPr>
      <w:r w:rsidRPr="00AB2199">
        <w:rPr>
          <w:rFonts w:ascii="Times New Roman" w:eastAsia="Times New Roman" w:hAnsi="Times New Roman" w:cs="Times New Roman"/>
          <w:color w:val="000000"/>
          <w:sz w:val="28"/>
          <w:szCs w:val="28"/>
          <w:lang w:eastAsia="en-US"/>
        </w:rPr>
        <w:t>Valsts speciālajā budžetā</w:t>
      </w:r>
      <w:r w:rsidR="00AB2199">
        <w:rPr>
          <w:rFonts w:ascii="Times New Roman" w:eastAsia="Times New Roman" w:hAnsi="Times New Roman" w:cs="Times New Roman"/>
          <w:color w:val="000000"/>
          <w:sz w:val="28"/>
          <w:szCs w:val="28"/>
          <w:lang w:eastAsia="en-US"/>
        </w:rPr>
        <w:t xml:space="preserve"> kopš 2014.</w:t>
      </w:r>
      <w:r w:rsidRPr="008643AC">
        <w:rPr>
          <w:rFonts w:ascii="Times New Roman" w:eastAsia="Times New Roman" w:hAnsi="Times New Roman" w:cs="Times New Roman"/>
          <w:color w:val="000000"/>
          <w:sz w:val="28"/>
          <w:szCs w:val="28"/>
          <w:lang w:eastAsia="en-US"/>
        </w:rPr>
        <w:t>gada ik gadu bija vērojams pārpalikums, tomēr Covid-19 pandēmijas ietekmē satricinot darba tirgu un palielinoties bezdar</w:t>
      </w:r>
      <w:r w:rsidR="00AB2199">
        <w:rPr>
          <w:rFonts w:ascii="Times New Roman" w:eastAsia="Times New Roman" w:hAnsi="Times New Roman" w:cs="Times New Roman"/>
          <w:color w:val="000000"/>
          <w:sz w:val="28"/>
          <w:szCs w:val="28"/>
          <w:lang w:eastAsia="en-US"/>
        </w:rPr>
        <w:t>bnieku skaitam, 2020.</w:t>
      </w:r>
      <w:r w:rsidRPr="008643AC">
        <w:rPr>
          <w:rFonts w:ascii="Times New Roman" w:eastAsia="Times New Roman" w:hAnsi="Times New Roman" w:cs="Times New Roman"/>
          <w:color w:val="000000"/>
          <w:sz w:val="28"/>
          <w:szCs w:val="28"/>
          <w:lang w:eastAsia="en-US"/>
        </w:rPr>
        <w:t xml:space="preserve">gadā valsts speciālajā budžetā </w:t>
      </w:r>
      <w:r w:rsidR="00AB2199">
        <w:rPr>
          <w:rFonts w:ascii="Times New Roman" w:eastAsia="Times New Roman" w:hAnsi="Times New Roman" w:cs="Times New Roman"/>
          <w:color w:val="000000"/>
          <w:sz w:val="28"/>
          <w:szCs w:val="28"/>
          <w:lang w:eastAsia="en-US"/>
        </w:rPr>
        <w:t>tiek prognozēts deficīts. 2021.</w:t>
      </w:r>
      <w:r w:rsidRPr="008643AC">
        <w:rPr>
          <w:rFonts w:ascii="Times New Roman" w:eastAsia="Times New Roman" w:hAnsi="Times New Roman" w:cs="Times New Roman"/>
          <w:color w:val="000000"/>
          <w:sz w:val="28"/>
          <w:szCs w:val="28"/>
          <w:lang w:eastAsia="en-US"/>
        </w:rPr>
        <w:t xml:space="preserve">gadā un turpmākajos gados tiek prognozēta valsts speciālā budžeta bilances uzlabošanās un to pamatā nosaka sociālās apdrošināšanas iemaksu ieņēmumu pieaugums, valdībai ieviešot minimālo valsts sociālās apdrošināšanas </w:t>
      </w:r>
      <w:r w:rsidR="00AB2199">
        <w:rPr>
          <w:rFonts w:ascii="Times New Roman" w:eastAsia="Times New Roman" w:hAnsi="Times New Roman" w:cs="Times New Roman"/>
          <w:color w:val="000000"/>
          <w:sz w:val="28"/>
          <w:szCs w:val="28"/>
          <w:lang w:eastAsia="en-US"/>
        </w:rPr>
        <w:t>iemaksu (VSAOI) apmēru ar 2021.gada 1.jūliju. Tādējādi jau 2022.</w:t>
      </w:r>
      <w:r w:rsidRPr="008643AC">
        <w:rPr>
          <w:rFonts w:ascii="Times New Roman" w:eastAsia="Times New Roman" w:hAnsi="Times New Roman" w:cs="Times New Roman"/>
          <w:color w:val="000000"/>
          <w:sz w:val="28"/>
          <w:szCs w:val="28"/>
          <w:lang w:eastAsia="en-US"/>
        </w:rPr>
        <w:t xml:space="preserve">gadā valsts speciālajā budžetā veidosies pārpalikums. Vienlaikus ietekmi uz valsts speciālā budžeta ieņēmumiem </w:t>
      </w:r>
      <w:r w:rsidR="00AB2199">
        <w:rPr>
          <w:rFonts w:ascii="Times New Roman" w:eastAsia="Times New Roman" w:hAnsi="Times New Roman" w:cs="Times New Roman"/>
          <w:color w:val="000000"/>
          <w:sz w:val="28"/>
          <w:szCs w:val="28"/>
          <w:lang w:eastAsia="en-US"/>
        </w:rPr>
        <w:t>atstās valdības lēmums no 2021.</w:t>
      </w:r>
      <w:r w:rsidR="00BA778A">
        <w:rPr>
          <w:rFonts w:ascii="Times New Roman" w:eastAsia="Times New Roman" w:hAnsi="Times New Roman" w:cs="Times New Roman"/>
          <w:color w:val="000000"/>
          <w:sz w:val="28"/>
          <w:szCs w:val="28"/>
          <w:lang w:eastAsia="en-US"/>
        </w:rPr>
        <w:t>gada samazināt VSAOI likmi par vienu</w:t>
      </w:r>
      <w:r w:rsidRPr="008643AC">
        <w:rPr>
          <w:rFonts w:ascii="Times New Roman" w:eastAsia="Times New Roman" w:hAnsi="Times New Roman" w:cs="Times New Roman"/>
          <w:color w:val="000000"/>
          <w:sz w:val="28"/>
          <w:szCs w:val="28"/>
          <w:lang w:eastAsia="en-US"/>
        </w:rPr>
        <w:t xml:space="preserve"> procentpunktu  (0,5% darba devējam un 0,5% darba ņēmējam). Šis lēmums samazina nodokļu slogu atalgojumam Latvijā, to pietuvinot pārējo Baltijas valstu nodokļu sloga līmenim.</w:t>
      </w:r>
    </w:p>
    <w:p w14:paraId="406F3AD6" w14:textId="60899754" w:rsidR="008643AC" w:rsidRPr="008643AC" w:rsidRDefault="00AB2199" w:rsidP="008643AC">
      <w:pPr>
        <w:ind w:firstLine="709"/>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2020.</w:t>
      </w:r>
      <w:r w:rsidR="008643AC" w:rsidRPr="008643AC">
        <w:rPr>
          <w:rFonts w:ascii="Times New Roman" w:eastAsia="Times New Roman" w:hAnsi="Times New Roman" w:cs="Times New Roman"/>
          <w:color w:val="000000"/>
          <w:sz w:val="28"/>
          <w:szCs w:val="28"/>
          <w:lang w:eastAsia="en-US"/>
        </w:rPr>
        <w:t>gadā valsts speciālā budžeta izdevumiem vērojams būtisks pieaugums, jo nozīmīgs pieaugums jau bija sagaidāms pensiju izdevumos, ņemot vērā indeksāciju, taču Covid-19 krīzes ietekmē virs plānotā pieauguši izdevumi bezdarbnieku un slimības pabalstiem. Savukārt, valsts speciālā budžeta ieņēmumi būtiski atpalika no plānotā un situācija šajā budžetā k</w:t>
      </w:r>
      <w:r>
        <w:rPr>
          <w:rFonts w:ascii="Times New Roman" w:eastAsia="Times New Roman" w:hAnsi="Times New Roman" w:cs="Times New Roman"/>
          <w:color w:val="000000"/>
          <w:sz w:val="28"/>
          <w:szCs w:val="28"/>
          <w:lang w:eastAsia="en-US"/>
        </w:rPr>
        <w:t>opumā būtiski atšķīrās no 2019.gada. 2021.</w:t>
      </w:r>
      <w:r w:rsidR="008643AC" w:rsidRPr="008643AC">
        <w:rPr>
          <w:rFonts w:ascii="Times New Roman" w:eastAsia="Times New Roman" w:hAnsi="Times New Roman" w:cs="Times New Roman"/>
          <w:color w:val="000000"/>
          <w:sz w:val="28"/>
          <w:szCs w:val="28"/>
          <w:lang w:eastAsia="en-US"/>
        </w:rPr>
        <w:t>gadā izdevumu pieaugums sagaidāms daudz mērenāks, jo neskatoties uz pieaugumu pensiju izdevumos būs zemāki izdevumi bezdarbnieku pabalstiem. Pabalstu izdevumus tradicionāli ietekmē arī vidējās darba samaksas izmaiņas un izmaiņas pabalstu saņēmēju skaitā, tādējādi līdz ar vidējās darba samaksas palielināšanos tie ik gadu palielinās.</w:t>
      </w:r>
    </w:p>
    <w:p w14:paraId="063107A1" w14:textId="72B1725E" w:rsidR="008643AC" w:rsidRPr="008643AC" w:rsidRDefault="008643AC" w:rsidP="008643AC">
      <w:pPr>
        <w:ind w:firstLine="709"/>
        <w:jc w:val="both"/>
        <w:rPr>
          <w:rFonts w:ascii="Times New Roman" w:eastAsia="Times New Roman" w:hAnsi="Times New Roman" w:cs="Times New Roman"/>
          <w:noProof/>
          <w:color w:val="000000"/>
          <w:sz w:val="28"/>
          <w:szCs w:val="28"/>
          <w:lang w:eastAsia="en-US"/>
        </w:rPr>
      </w:pPr>
      <w:r w:rsidRPr="008643AC">
        <w:rPr>
          <w:rFonts w:ascii="Times New Roman" w:eastAsia="Times New Roman" w:hAnsi="Times New Roman" w:cs="Times New Roman"/>
          <w:noProof/>
          <w:color w:val="000000"/>
          <w:sz w:val="28"/>
          <w:szCs w:val="28"/>
          <w:lang w:eastAsia="en-US"/>
        </w:rPr>
        <w:t>Prognozējot izdevumus pensijām un sociālajiem pabalstiem vidējā termiņā, ir ņemtas vērā spēkā esošās izmaiņas likumdošanā, kas tika apstiprinā</w:t>
      </w:r>
      <w:r w:rsidR="00AB2199">
        <w:rPr>
          <w:rFonts w:ascii="Times New Roman" w:eastAsia="Times New Roman" w:hAnsi="Times New Roman" w:cs="Times New Roman"/>
          <w:noProof/>
          <w:color w:val="000000"/>
          <w:sz w:val="28"/>
          <w:szCs w:val="28"/>
          <w:lang w:eastAsia="en-US"/>
        </w:rPr>
        <w:t>tas iepriekšējos gados un 2020.</w:t>
      </w:r>
      <w:r w:rsidRPr="008643AC">
        <w:rPr>
          <w:rFonts w:ascii="Times New Roman" w:eastAsia="Times New Roman" w:hAnsi="Times New Roman" w:cs="Times New Roman"/>
          <w:noProof/>
          <w:color w:val="000000"/>
          <w:sz w:val="28"/>
          <w:szCs w:val="28"/>
          <w:lang w:eastAsia="en-US"/>
        </w:rPr>
        <w:t>gadā, kā arī izmaiņas, kas ir iekļautas likumprojekta “Par valsts budžetu 2021. gadam” pavadošo likumprojektu paketē:</w:t>
      </w:r>
    </w:p>
    <w:p w14:paraId="21FE547A" w14:textId="6962A1DE" w:rsidR="008643AC" w:rsidRPr="008643AC" w:rsidRDefault="00AB2199" w:rsidP="00FB2B77">
      <w:pPr>
        <w:numPr>
          <w:ilvl w:val="0"/>
          <w:numId w:val="54"/>
        </w:numPr>
        <w:spacing w:after="120"/>
        <w:ind w:left="1134" w:hanging="425"/>
        <w:contextualSpacing/>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sz w:val="28"/>
          <w:szCs w:val="28"/>
          <w:lang w:eastAsia="en-US"/>
        </w:rPr>
        <w:t>no 2014.</w:t>
      </w:r>
      <w:r w:rsidR="008643AC" w:rsidRPr="008643AC">
        <w:rPr>
          <w:rFonts w:ascii="Times New Roman" w:eastAsia="Times New Roman" w:hAnsi="Times New Roman" w:cs="Times New Roman"/>
          <w:sz w:val="28"/>
          <w:szCs w:val="28"/>
          <w:lang w:eastAsia="en-US"/>
        </w:rPr>
        <w:t>gada pakāpeniski palielinās pensionēšanās vecums – ik gadu par trim mēnešiem, līdz 2025. gadā tiks sasniegts 65 gadu vecums. Tiesības</w:t>
      </w:r>
      <w:r>
        <w:rPr>
          <w:rFonts w:ascii="Times New Roman" w:eastAsia="Times New Roman" w:hAnsi="Times New Roman" w:cs="Times New Roman"/>
          <w:sz w:val="28"/>
          <w:szCs w:val="28"/>
          <w:lang w:eastAsia="en-US"/>
        </w:rPr>
        <w:t xml:space="preserve"> uz valsts vecuma pensiju 2021.</w:t>
      </w:r>
      <w:r w:rsidR="008643AC" w:rsidRPr="008643AC">
        <w:rPr>
          <w:rFonts w:ascii="Times New Roman" w:eastAsia="Times New Roman" w:hAnsi="Times New Roman" w:cs="Times New Roman"/>
          <w:sz w:val="28"/>
          <w:szCs w:val="28"/>
          <w:lang w:eastAsia="en-US"/>
        </w:rPr>
        <w:t xml:space="preserve">gadā būs personām, kuras sasniegs 64 gadu vecumu. Personām, kuru apdrošināšanas stāžs nav mazāks par 30 gadiem, ir tiesības pensionēties priekšlaicīgi – divus gadus pirms vispārējā pensionēšanās vecuma sasniegšanas, tātad 2021. gadā </w:t>
      </w:r>
      <w:r w:rsidR="008643AC" w:rsidRPr="008643AC">
        <w:rPr>
          <w:rFonts w:ascii="Times New Roman" w:eastAsia="Times New Roman" w:hAnsi="Times New Roman" w:cs="Times New Roman"/>
          <w:color w:val="000000"/>
          <w:sz w:val="28"/>
          <w:szCs w:val="28"/>
          <w:lang w:eastAsia="en-US"/>
        </w:rPr>
        <w:t>pensionēties priekšlaicīgi var personas, kuras sasniegušas 62 gadu vecumu</w:t>
      </w:r>
      <w:r w:rsidR="008643AC" w:rsidRPr="008643AC">
        <w:rPr>
          <w:rFonts w:ascii="Times New Roman" w:eastAsia="Times New Roman" w:hAnsi="Times New Roman" w:cs="Times New Roman"/>
          <w:sz w:val="28"/>
          <w:szCs w:val="28"/>
          <w:lang w:eastAsia="en-US"/>
        </w:rPr>
        <w:t>;</w:t>
      </w:r>
    </w:p>
    <w:p w14:paraId="34FB8D82" w14:textId="7923F72B" w:rsidR="008643AC" w:rsidRPr="008643AC" w:rsidRDefault="00AB2199" w:rsidP="00FB2B77">
      <w:pPr>
        <w:numPr>
          <w:ilvl w:val="0"/>
          <w:numId w:val="54"/>
        </w:numPr>
        <w:spacing w:after="120"/>
        <w:ind w:left="1134" w:hanging="425"/>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no 2018.</w:t>
      </w:r>
      <w:r w:rsidR="008643AC" w:rsidRPr="008643AC">
        <w:rPr>
          <w:rFonts w:ascii="Times New Roman" w:eastAsia="Times New Roman" w:hAnsi="Times New Roman" w:cs="Times New Roman"/>
          <w:sz w:val="28"/>
          <w:szCs w:val="28"/>
          <w:lang w:eastAsia="en-US"/>
        </w:rPr>
        <w:t>gada personām, kuru apdrošināšanas stāžs ir mazāks par 15  gadiem un kurām nav tiesību uz valsts vecuma pensiju, saskaņā ar Valsts sociālo pabalstu likumu, sasniedzot noteikto pensionēšanās vecumu, tiek piešķirts un no valsts pamatbudžeta līdzekļiem izmaksāts valsts sociālā n</w:t>
      </w:r>
      <w:r>
        <w:rPr>
          <w:rFonts w:ascii="Times New Roman" w:eastAsia="Times New Roman" w:hAnsi="Times New Roman" w:cs="Times New Roman"/>
          <w:sz w:val="28"/>
          <w:szCs w:val="28"/>
          <w:lang w:eastAsia="en-US"/>
        </w:rPr>
        <w:t>odrošinājuma pabalsts. No 2025.</w:t>
      </w:r>
      <w:r w:rsidR="008643AC" w:rsidRPr="008643AC">
        <w:rPr>
          <w:rFonts w:ascii="Times New Roman" w:eastAsia="Times New Roman" w:hAnsi="Times New Roman" w:cs="Times New Roman"/>
          <w:sz w:val="28"/>
          <w:szCs w:val="28"/>
          <w:lang w:eastAsia="en-US"/>
        </w:rPr>
        <w:t>gada nepieciešamais apdrošināšanas stāžs būs 20 gadi;  </w:t>
      </w:r>
    </w:p>
    <w:p w14:paraId="31708F1E" w14:textId="05A080B3" w:rsidR="008643AC" w:rsidRPr="008643AC" w:rsidRDefault="00AB2199" w:rsidP="00FB2B77">
      <w:pPr>
        <w:numPr>
          <w:ilvl w:val="0"/>
          <w:numId w:val="54"/>
        </w:numPr>
        <w:spacing w:after="120"/>
        <w:ind w:left="1134" w:hanging="425"/>
        <w:contextualSpacing/>
        <w:jc w:val="both"/>
        <w:rPr>
          <w:rFonts w:ascii="Times New Roman" w:eastAsia="Times New Roman" w:hAnsi="Times New Roman" w:cs="Times New Roman"/>
          <w:noProof/>
          <w:color w:val="000000"/>
          <w:sz w:val="28"/>
          <w:szCs w:val="28"/>
          <w:lang w:eastAsia="en-US"/>
        </w:rPr>
      </w:pPr>
      <w:r>
        <w:rPr>
          <w:rFonts w:ascii="Times New Roman" w:eastAsia="Times New Roman" w:hAnsi="Times New Roman" w:cs="Times New Roman"/>
          <w:sz w:val="28"/>
          <w:szCs w:val="28"/>
          <w:lang w:eastAsia="en-US"/>
        </w:rPr>
        <w:t>2020.</w:t>
      </w:r>
      <w:r w:rsidR="008643AC" w:rsidRPr="008643AC">
        <w:rPr>
          <w:rFonts w:ascii="Times New Roman" w:eastAsia="Times New Roman" w:hAnsi="Times New Roman" w:cs="Times New Roman"/>
          <w:sz w:val="28"/>
          <w:szCs w:val="28"/>
          <w:lang w:eastAsia="en-US"/>
        </w:rPr>
        <w:t>ga</w:t>
      </w:r>
      <w:r>
        <w:rPr>
          <w:rFonts w:ascii="Times New Roman" w:eastAsia="Times New Roman" w:hAnsi="Times New Roman" w:cs="Times New Roman"/>
          <w:noProof/>
          <w:sz w:val="28"/>
          <w:szCs w:val="28"/>
          <w:lang w:eastAsia="en-US"/>
        </w:rPr>
        <w:t>da 1.</w:t>
      </w:r>
      <w:r w:rsidR="008643AC" w:rsidRPr="008643AC">
        <w:rPr>
          <w:rFonts w:ascii="Times New Roman" w:eastAsia="Times New Roman" w:hAnsi="Times New Roman" w:cs="Times New Roman"/>
          <w:noProof/>
          <w:sz w:val="28"/>
          <w:szCs w:val="28"/>
          <w:lang w:eastAsia="en-US"/>
        </w:rPr>
        <w:t xml:space="preserve">oktobrī tika pārskatītas (indeksētas) vecuma, invaliditātes, izdienas, apgādnieka zaudējuma pensijas un apdrošināšanas atlīdzības, kuras piešķirtas (pārrēķinātas) līdz 2020.gada 30.septembrim un kuru apmērs nepārsniedz 454 </w:t>
      </w:r>
      <w:r w:rsidR="008643AC" w:rsidRPr="008643AC">
        <w:rPr>
          <w:rFonts w:ascii="Times New Roman" w:eastAsia="Times New Roman" w:hAnsi="Times New Roman" w:cs="Times New Roman"/>
          <w:i/>
          <w:noProof/>
          <w:sz w:val="28"/>
          <w:szCs w:val="28"/>
          <w:lang w:eastAsia="en-US"/>
        </w:rPr>
        <w:t>euro</w:t>
      </w:r>
      <w:r w:rsidR="008643AC" w:rsidRPr="008643AC">
        <w:rPr>
          <w:rFonts w:ascii="Times New Roman" w:eastAsia="Times New Roman" w:hAnsi="Times New Roman" w:cs="Times New Roman"/>
          <w:noProof/>
          <w:sz w:val="28"/>
          <w:szCs w:val="28"/>
          <w:lang w:eastAsia="en-US"/>
        </w:rPr>
        <w:t xml:space="preserve">, bet pensijas un apdrošināšanas atlīdzības, kuru apmērs pārsniedz 454 </w:t>
      </w:r>
      <w:r w:rsidR="008643AC" w:rsidRPr="008643AC">
        <w:rPr>
          <w:rFonts w:ascii="Times New Roman" w:eastAsia="Times New Roman" w:hAnsi="Times New Roman" w:cs="Times New Roman"/>
          <w:i/>
          <w:noProof/>
          <w:sz w:val="28"/>
          <w:szCs w:val="28"/>
          <w:lang w:eastAsia="en-US"/>
        </w:rPr>
        <w:t>euro</w:t>
      </w:r>
      <w:r w:rsidR="008643AC" w:rsidRPr="008643AC">
        <w:rPr>
          <w:rFonts w:ascii="Times New Roman" w:eastAsia="Times New Roman" w:hAnsi="Times New Roman" w:cs="Times New Roman"/>
          <w:noProof/>
          <w:sz w:val="28"/>
          <w:szCs w:val="28"/>
          <w:lang w:eastAsia="en-US"/>
        </w:rPr>
        <w:t>, pārskata tikai tās daļas apmēru – 454 </w:t>
      </w:r>
      <w:r w:rsidR="008643AC" w:rsidRPr="008643AC">
        <w:rPr>
          <w:rFonts w:ascii="Times New Roman" w:eastAsia="Times New Roman" w:hAnsi="Times New Roman" w:cs="Times New Roman"/>
          <w:i/>
          <w:noProof/>
          <w:sz w:val="28"/>
          <w:szCs w:val="28"/>
          <w:lang w:eastAsia="en-US"/>
        </w:rPr>
        <w:t>euro</w:t>
      </w:r>
      <w:r w:rsidR="008643AC" w:rsidRPr="008643AC">
        <w:rPr>
          <w:rFonts w:ascii="Times New Roman" w:eastAsia="Times New Roman" w:hAnsi="Times New Roman" w:cs="Times New Roman"/>
          <w:noProof/>
          <w:sz w:val="28"/>
          <w:szCs w:val="28"/>
          <w:lang w:eastAsia="en-US"/>
        </w:rPr>
        <w:t>;</w:t>
      </w:r>
    </w:p>
    <w:p w14:paraId="462F3209" w14:textId="60BFA439" w:rsidR="008643AC" w:rsidRPr="008643AC" w:rsidRDefault="00AB2199" w:rsidP="00FB2B77">
      <w:pPr>
        <w:numPr>
          <w:ilvl w:val="0"/>
          <w:numId w:val="54"/>
        </w:numPr>
        <w:spacing w:after="120"/>
        <w:ind w:left="1134" w:hanging="425"/>
        <w:contextualSpacing/>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noProof/>
          <w:color w:val="000000"/>
          <w:sz w:val="28"/>
          <w:szCs w:val="28"/>
          <w:lang w:eastAsia="en-US"/>
        </w:rPr>
        <w:t>n</w:t>
      </w:r>
      <w:r w:rsidR="008643AC" w:rsidRPr="008643AC">
        <w:rPr>
          <w:rFonts w:ascii="Times New Roman" w:eastAsia="Times New Roman" w:hAnsi="Times New Roman" w:cs="Times New Roman"/>
          <w:noProof/>
          <w:color w:val="000000"/>
          <w:sz w:val="28"/>
          <w:szCs w:val="28"/>
          <w:lang w:eastAsia="en-US"/>
        </w:rPr>
        <w:t xml:space="preserve">o 2020. gada bezdarbnieka pabalsta izmaksas ilgums ir astoņi mēneši 12 mēnešu periodā </w:t>
      </w:r>
      <w:r w:rsidR="008643AC" w:rsidRPr="008643AC">
        <w:rPr>
          <w:rFonts w:ascii="Times New Roman" w:eastAsia="Times New Roman" w:hAnsi="Times New Roman" w:cs="Times New Roman"/>
          <w:color w:val="000000"/>
          <w:sz w:val="28"/>
          <w:szCs w:val="28"/>
          <w:lang w:eastAsia="en-US"/>
        </w:rPr>
        <w:t xml:space="preserve">no pabalsta piešķiršanas dienas; </w:t>
      </w:r>
    </w:p>
    <w:p w14:paraId="1B9F6FB1" w14:textId="6A37FC9D" w:rsidR="008643AC" w:rsidRPr="008643AC" w:rsidRDefault="00AB2199" w:rsidP="00FB2B77">
      <w:pPr>
        <w:numPr>
          <w:ilvl w:val="0"/>
          <w:numId w:val="54"/>
        </w:numPr>
        <w:spacing w:after="120"/>
        <w:contextualSpacing/>
        <w:jc w:val="both"/>
        <w:rPr>
          <w:rFonts w:ascii="Times New Roman" w:eastAsia="Times New Roman" w:hAnsi="Times New Roman" w:cs="Times New Roman"/>
          <w:noProof/>
          <w:color w:val="000000"/>
          <w:sz w:val="28"/>
          <w:szCs w:val="28"/>
          <w:lang w:eastAsia="en-US"/>
        </w:rPr>
      </w:pPr>
      <w:r>
        <w:rPr>
          <w:rFonts w:ascii="Times New Roman" w:eastAsia="Times New Roman" w:hAnsi="Times New Roman" w:cs="Times New Roman"/>
          <w:color w:val="000000"/>
          <w:sz w:val="28"/>
          <w:szCs w:val="28"/>
          <w:lang w:eastAsia="en-US"/>
        </w:rPr>
        <w:t>s</w:t>
      </w:r>
      <w:r w:rsidR="008643AC" w:rsidRPr="008643AC">
        <w:rPr>
          <w:rFonts w:ascii="Times New Roman" w:eastAsia="Times New Roman" w:hAnsi="Times New Roman" w:cs="Times New Roman"/>
          <w:color w:val="000000"/>
          <w:sz w:val="28"/>
          <w:szCs w:val="28"/>
          <w:lang w:eastAsia="en-US"/>
        </w:rPr>
        <w:t xml:space="preserve">aistībā ar </w:t>
      </w:r>
      <w:r w:rsidR="008643AC" w:rsidRPr="008643AC">
        <w:rPr>
          <w:rFonts w:ascii="Times New Roman" w:eastAsia="Times New Roman" w:hAnsi="Times New Roman" w:cs="Times New Roman"/>
          <w:sz w:val="28"/>
          <w:szCs w:val="28"/>
          <w:lang w:eastAsia="en-US"/>
        </w:rPr>
        <w:t xml:space="preserve">Satversmes tiesas spriedumu izpildi labklājības jomā no </w:t>
      </w:r>
      <w:r>
        <w:rPr>
          <w:rFonts w:ascii="Times New Roman" w:eastAsia="Times New Roman" w:hAnsi="Times New Roman" w:cs="Times New Roman"/>
          <w:iCs/>
          <w:noProof/>
          <w:sz w:val="28"/>
          <w:szCs w:val="28"/>
        </w:rPr>
        <w:t>2020.gada 1.</w:t>
      </w:r>
      <w:r w:rsidR="008643AC" w:rsidRPr="008643AC">
        <w:rPr>
          <w:rFonts w:ascii="Times New Roman" w:eastAsia="Times New Roman" w:hAnsi="Times New Roman" w:cs="Times New Roman"/>
          <w:iCs/>
          <w:noProof/>
          <w:sz w:val="28"/>
          <w:szCs w:val="28"/>
        </w:rPr>
        <w:t xml:space="preserve">janvāra minimālo vecuma pensijas apmēru nosaka, ņemot vērā minimālo aprēķina bāzi 80 </w:t>
      </w:r>
      <w:r w:rsidR="008643AC" w:rsidRPr="008643AC">
        <w:rPr>
          <w:rFonts w:ascii="Times New Roman" w:eastAsia="Times New Roman" w:hAnsi="Times New Roman" w:cs="Times New Roman"/>
          <w:i/>
          <w:iCs/>
          <w:noProof/>
          <w:sz w:val="28"/>
          <w:szCs w:val="28"/>
        </w:rPr>
        <w:t>euro</w:t>
      </w:r>
      <w:r w:rsidR="008643AC" w:rsidRPr="008643AC">
        <w:rPr>
          <w:rFonts w:ascii="Times New Roman" w:eastAsia="Times New Roman" w:hAnsi="Times New Roman" w:cs="Times New Roman"/>
          <w:iCs/>
          <w:noProof/>
          <w:sz w:val="28"/>
          <w:szCs w:val="28"/>
        </w:rPr>
        <w:t xml:space="preserve">, bet personām ar invaliditāti kopš bērnības – 122,69 </w:t>
      </w:r>
      <w:r w:rsidR="008643AC" w:rsidRPr="008643AC">
        <w:rPr>
          <w:rFonts w:ascii="Times New Roman" w:eastAsia="Times New Roman" w:hAnsi="Times New Roman" w:cs="Times New Roman"/>
          <w:i/>
          <w:iCs/>
          <w:noProof/>
          <w:sz w:val="28"/>
          <w:szCs w:val="28"/>
        </w:rPr>
        <w:t>euro</w:t>
      </w:r>
      <w:r w:rsidR="008643AC" w:rsidRPr="008643AC">
        <w:rPr>
          <w:rFonts w:ascii="Times New Roman" w:eastAsia="Times New Roman" w:hAnsi="Times New Roman" w:cs="Times New Roman"/>
          <w:iCs/>
          <w:noProof/>
          <w:sz w:val="28"/>
          <w:szCs w:val="28"/>
        </w:rPr>
        <w:t xml:space="preserve">, kurai atkarībā no personas apdrošināšanas stāža (pilnos gados) piemēro noteiktu koeficientu. </w:t>
      </w:r>
      <w:r w:rsidR="008643AC" w:rsidRPr="008643AC">
        <w:rPr>
          <w:rFonts w:ascii="Times New Roman" w:eastAsia="Times New Roman" w:hAnsi="Times New Roman" w:cs="Times New Roman"/>
          <w:color w:val="000000"/>
          <w:sz w:val="28"/>
          <w:szCs w:val="28"/>
          <w:lang w:eastAsia="en-US"/>
        </w:rPr>
        <w:t xml:space="preserve">2021.-2023.gadā šim atbalstam paredzēti aptuveni </w:t>
      </w:r>
      <w:r w:rsidR="008643AC" w:rsidRPr="008643AC">
        <w:rPr>
          <w:rFonts w:ascii="Times New Roman" w:eastAsia="Times New Roman" w:hAnsi="Times New Roman" w:cs="Times New Roman"/>
          <w:noProof/>
          <w:color w:val="000000"/>
          <w:sz w:val="28"/>
          <w:szCs w:val="28"/>
          <w:lang w:eastAsia="en-US"/>
        </w:rPr>
        <w:t xml:space="preserve">22 milj. </w:t>
      </w:r>
      <w:r w:rsidR="008643AC" w:rsidRPr="008643AC">
        <w:rPr>
          <w:rFonts w:ascii="Times New Roman" w:eastAsia="Times New Roman" w:hAnsi="Times New Roman" w:cs="Times New Roman"/>
          <w:i/>
          <w:noProof/>
          <w:color w:val="000000"/>
          <w:sz w:val="28"/>
          <w:szCs w:val="28"/>
          <w:lang w:eastAsia="en-US"/>
        </w:rPr>
        <w:t>euro</w:t>
      </w:r>
      <w:r w:rsidR="008643AC" w:rsidRPr="008643AC">
        <w:rPr>
          <w:rFonts w:ascii="Times New Roman" w:eastAsia="Times New Roman" w:hAnsi="Times New Roman" w:cs="Times New Roman"/>
          <w:noProof/>
          <w:color w:val="000000"/>
          <w:sz w:val="28"/>
          <w:szCs w:val="28"/>
          <w:lang w:eastAsia="en-US"/>
        </w:rPr>
        <w:t xml:space="preserve"> ik gadu</w:t>
      </w:r>
      <w:r w:rsidR="008643AC" w:rsidRPr="008643AC">
        <w:rPr>
          <w:rFonts w:ascii="Times New Roman" w:eastAsia="Times New Roman" w:hAnsi="Times New Roman" w:cs="Times New Roman"/>
          <w:iCs/>
          <w:noProof/>
          <w:sz w:val="28"/>
          <w:szCs w:val="28"/>
        </w:rPr>
        <w:t>;</w:t>
      </w:r>
    </w:p>
    <w:p w14:paraId="4E8CACC5" w14:textId="72711E98" w:rsidR="008643AC" w:rsidRPr="008643AC" w:rsidRDefault="00AB2199" w:rsidP="00FB2B77">
      <w:pPr>
        <w:numPr>
          <w:ilvl w:val="0"/>
          <w:numId w:val="54"/>
        </w:numPr>
        <w:spacing w:after="120"/>
        <w:contextualSpacing/>
        <w:jc w:val="both"/>
        <w:rPr>
          <w:rFonts w:ascii="Times New Roman" w:eastAsia="Times New Roman" w:hAnsi="Times New Roman" w:cs="Times New Roman"/>
          <w:noProof/>
          <w:color w:val="000000"/>
          <w:sz w:val="28"/>
          <w:szCs w:val="28"/>
          <w:lang w:eastAsia="en-US"/>
        </w:rPr>
      </w:pPr>
      <w:r>
        <w:rPr>
          <w:rFonts w:ascii="Times New Roman" w:eastAsia="Times New Roman" w:hAnsi="Times New Roman" w:cs="Times New Roman"/>
          <w:noProof/>
          <w:color w:val="000000"/>
          <w:sz w:val="28"/>
          <w:szCs w:val="28"/>
          <w:lang w:eastAsia="en-US"/>
        </w:rPr>
        <w:t>s</w:t>
      </w:r>
      <w:r w:rsidR="008643AC" w:rsidRPr="008643AC">
        <w:rPr>
          <w:rFonts w:ascii="Times New Roman" w:eastAsia="Times New Roman" w:hAnsi="Times New Roman" w:cs="Times New Roman"/>
          <w:noProof/>
          <w:color w:val="000000"/>
          <w:sz w:val="28"/>
          <w:szCs w:val="28"/>
          <w:lang w:eastAsia="en-US"/>
        </w:rPr>
        <w:t xml:space="preserve">aistībā ar </w:t>
      </w:r>
      <w:r w:rsidR="008643AC" w:rsidRPr="008643AC">
        <w:rPr>
          <w:rFonts w:ascii="Times New Roman" w:eastAsia="Times New Roman" w:hAnsi="Times New Roman" w:cs="Times New Roman"/>
          <w:noProof/>
          <w:sz w:val="28"/>
          <w:szCs w:val="28"/>
          <w:lang w:eastAsia="en-US"/>
        </w:rPr>
        <w:t xml:space="preserve">Satversmes tiesas spriedumu izpildi labklājības jomā no </w:t>
      </w:r>
      <w:r>
        <w:rPr>
          <w:rFonts w:ascii="Times New Roman" w:eastAsia="Times New Roman" w:hAnsi="Times New Roman" w:cs="Times New Roman"/>
          <w:iCs/>
          <w:noProof/>
          <w:sz w:val="28"/>
          <w:szCs w:val="28"/>
        </w:rPr>
        <w:t>2020.gada 1.</w:t>
      </w:r>
      <w:r w:rsidR="008643AC" w:rsidRPr="008643AC">
        <w:rPr>
          <w:rFonts w:ascii="Times New Roman" w:eastAsia="Times New Roman" w:hAnsi="Times New Roman" w:cs="Times New Roman"/>
          <w:iCs/>
          <w:noProof/>
          <w:sz w:val="28"/>
          <w:szCs w:val="28"/>
        </w:rPr>
        <w:t>janvāra III grupas invaliditātes gadījumā invaliditātes pensija tiek noteikta 25</w:t>
      </w:r>
      <w:r w:rsidR="008643AC" w:rsidRPr="008643AC">
        <w:rPr>
          <w:rFonts w:ascii="Times New Roman" w:eastAsia="Calibri" w:hAnsi="Times New Roman" w:cs="Times New Roman"/>
          <w:iCs/>
          <w:noProof/>
          <w:sz w:val="28"/>
          <w:szCs w:val="28"/>
          <w:lang w:eastAsia="en-US"/>
        </w:rPr>
        <w:t xml:space="preserve">% no ienākumu mediānas (136 </w:t>
      </w:r>
      <w:r w:rsidR="008643AC" w:rsidRPr="008643AC">
        <w:rPr>
          <w:rFonts w:ascii="Times New Roman" w:eastAsia="Calibri" w:hAnsi="Times New Roman" w:cs="Times New Roman"/>
          <w:i/>
          <w:iCs/>
          <w:noProof/>
          <w:sz w:val="28"/>
          <w:szCs w:val="28"/>
          <w:lang w:eastAsia="en-US"/>
        </w:rPr>
        <w:t>euro</w:t>
      </w:r>
      <w:r w:rsidR="008643AC" w:rsidRPr="008643AC">
        <w:rPr>
          <w:rFonts w:ascii="Times New Roman" w:eastAsia="Calibri" w:hAnsi="Times New Roman" w:cs="Times New Roman"/>
          <w:iCs/>
          <w:noProof/>
          <w:sz w:val="28"/>
          <w:szCs w:val="28"/>
          <w:lang w:eastAsia="en-US"/>
        </w:rPr>
        <w:t xml:space="preserve">) un personām ar invaliditāti kopš bērnības 30% no ienākumu mediānas (163 </w:t>
      </w:r>
      <w:r w:rsidR="008643AC" w:rsidRPr="008643AC">
        <w:rPr>
          <w:rFonts w:ascii="Times New Roman" w:eastAsia="Calibri" w:hAnsi="Times New Roman" w:cs="Times New Roman"/>
          <w:i/>
          <w:iCs/>
          <w:noProof/>
          <w:sz w:val="28"/>
          <w:szCs w:val="28"/>
          <w:lang w:eastAsia="en-US"/>
        </w:rPr>
        <w:t>euro</w:t>
      </w:r>
      <w:r w:rsidR="008643AC" w:rsidRPr="008643AC">
        <w:rPr>
          <w:rFonts w:ascii="Times New Roman" w:eastAsia="Calibri" w:hAnsi="Times New Roman" w:cs="Times New Roman"/>
          <w:iCs/>
          <w:noProof/>
          <w:sz w:val="28"/>
          <w:szCs w:val="28"/>
          <w:lang w:eastAsia="en-US"/>
        </w:rPr>
        <w:t xml:space="preserve">). </w:t>
      </w:r>
      <w:r w:rsidR="008643AC" w:rsidRPr="008643AC">
        <w:rPr>
          <w:rFonts w:ascii="Times New Roman" w:eastAsia="Times New Roman" w:hAnsi="Times New Roman" w:cs="Times New Roman"/>
          <w:iCs/>
          <w:noProof/>
          <w:sz w:val="28"/>
          <w:szCs w:val="28"/>
        </w:rPr>
        <w:t xml:space="preserve"> Savukārt I un II grupas invaliditātes pensijas apmērs nedrīkst būt mazāks par 25</w:t>
      </w:r>
      <w:r w:rsidR="008643AC" w:rsidRPr="008643AC">
        <w:rPr>
          <w:rFonts w:ascii="Times New Roman" w:eastAsia="Calibri" w:hAnsi="Times New Roman" w:cs="Times New Roman"/>
          <w:iCs/>
          <w:noProof/>
          <w:sz w:val="28"/>
          <w:szCs w:val="28"/>
          <w:lang w:eastAsia="en-US"/>
        </w:rPr>
        <w:t xml:space="preserve">% no ienākumu mediānas (136 </w:t>
      </w:r>
      <w:r w:rsidR="008643AC" w:rsidRPr="008643AC">
        <w:rPr>
          <w:rFonts w:ascii="Times New Roman" w:eastAsia="Calibri" w:hAnsi="Times New Roman" w:cs="Times New Roman"/>
          <w:i/>
          <w:iCs/>
          <w:noProof/>
          <w:sz w:val="28"/>
          <w:szCs w:val="28"/>
          <w:lang w:eastAsia="en-US"/>
        </w:rPr>
        <w:t>euro</w:t>
      </w:r>
      <w:r w:rsidR="008643AC" w:rsidRPr="008643AC">
        <w:rPr>
          <w:rFonts w:ascii="Times New Roman" w:eastAsia="Calibri" w:hAnsi="Times New Roman" w:cs="Times New Roman"/>
          <w:iCs/>
          <w:noProof/>
          <w:sz w:val="28"/>
          <w:szCs w:val="28"/>
          <w:lang w:eastAsia="en-US"/>
        </w:rPr>
        <w:t xml:space="preserve">), personām ar invaliditāti kopš bērnības 30% no ienākumu mediānas (163 </w:t>
      </w:r>
      <w:r w:rsidR="008643AC" w:rsidRPr="008643AC">
        <w:rPr>
          <w:rFonts w:ascii="Times New Roman" w:eastAsia="Calibri" w:hAnsi="Times New Roman" w:cs="Times New Roman"/>
          <w:i/>
          <w:iCs/>
          <w:noProof/>
          <w:sz w:val="28"/>
          <w:szCs w:val="28"/>
          <w:lang w:eastAsia="en-US"/>
        </w:rPr>
        <w:t>euro</w:t>
      </w:r>
      <w:r w:rsidR="008643AC" w:rsidRPr="008643AC">
        <w:rPr>
          <w:rFonts w:ascii="Times New Roman" w:eastAsia="Calibri" w:hAnsi="Times New Roman" w:cs="Times New Roman"/>
          <w:iCs/>
          <w:noProof/>
          <w:sz w:val="28"/>
          <w:szCs w:val="28"/>
          <w:lang w:eastAsia="en-US"/>
        </w:rPr>
        <w:t>)</w:t>
      </w:r>
      <w:r w:rsidR="008643AC" w:rsidRPr="008643AC">
        <w:rPr>
          <w:rFonts w:ascii="Times New Roman" w:eastAsia="Times New Roman" w:hAnsi="Times New Roman" w:cs="Times New Roman"/>
          <w:iCs/>
          <w:noProof/>
          <w:sz w:val="28"/>
          <w:szCs w:val="28"/>
        </w:rPr>
        <w:t xml:space="preserve">, kurai piemērots koeficients 1,6 I grupas invaliditātes gadījumā un 1,4 II grupas invaliditātes gadījumā. </w:t>
      </w:r>
      <w:r w:rsidR="008643AC" w:rsidRPr="008643AC">
        <w:rPr>
          <w:rFonts w:ascii="Times New Roman" w:eastAsia="Times New Roman" w:hAnsi="Times New Roman" w:cs="Times New Roman"/>
          <w:noProof/>
          <w:color w:val="000000"/>
          <w:sz w:val="28"/>
          <w:szCs w:val="28"/>
          <w:lang w:eastAsia="en-US"/>
        </w:rPr>
        <w:t xml:space="preserve">2021.-2023.gadā šim atbalstam paredzēti aptuveni 29 milj. </w:t>
      </w:r>
      <w:r w:rsidR="008643AC" w:rsidRPr="008643AC">
        <w:rPr>
          <w:rFonts w:ascii="Times New Roman" w:eastAsia="Times New Roman" w:hAnsi="Times New Roman" w:cs="Times New Roman"/>
          <w:i/>
          <w:noProof/>
          <w:color w:val="000000"/>
          <w:sz w:val="28"/>
          <w:szCs w:val="28"/>
          <w:lang w:eastAsia="en-US"/>
        </w:rPr>
        <w:t>euro</w:t>
      </w:r>
      <w:r w:rsidR="008643AC" w:rsidRPr="008643AC">
        <w:rPr>
          <w:rFonts w:ascii="Times New Roman" w:eastAsia="Times New Roman" w:hAnsi="Times New Roman" w:cs="Times New Roman"/>
          <w:noProof/>
          <w:color w:val="000000"/>
          <w:sz w:val="28"/>
          <w:szCs w:val="28"/>
          <w:lang w:eastAsia="en-US"/>
        </w:rPr>
        <w:t xml:space="preserve"> ik gadu</w:t>
      </w:r>
      <w:r w:rsidR="008643AC" w:rsidRPr="008643AC">
        <w:rPr>
          <w:rFonts w:ascii="Times New Roman" w:eastAsia="Times New Roman" w:hAnsi="Times New Roman" w:cs="Times New Roman"/>
          <w:iCs/>
          <w:noProof/>
          <w:sz w:val="28"/>
          <w:szCs w:val="28"/>
        </w:rPr>
        <w:t>;</w:t>
      </w:r>
    </w:p>
    <w:p w14:paraId="05CCE8BF" w14:textId="34D6C588" w:rsidR="008643AC" w:rsidRPr="00AB2199" w:rsidRDefault="00AB2199" w:rsidP="00FB2B77">
      <w:pPr>
        <w:numPr>
          <w:ilvl w:val="0"/>
          <w:numId w:val="54"/>
        </w:numPr>
        <w:spacing w:after="120"/>
        <w:contextualSpacing/>
        <w:jc w:val="both"/>
        <w:rPr>
          <w:rFonts w:ascii="Times New Roman" w:eastAsia="Times New Roman" w:hAnsi="Times New Roman" w:cs="Times New Roman"/>
          <w:noProof/>
          <w:color w:val="000000"/>
          <w:sz w:val="28"/>
          <w:szCs w:val="28"/>
          <w:lang w:eastAsia="en-US"/>
        </w:rPr>
      </w:pPr>
      <w:r>
        <w:rPr>
          <w:rFonts w:ascii="Times New Roman" w:eastAsia="Times New Roman" w:hAnsi="Times New Roman" w:cs="Times New Roman"/>
          <w:noProof/>
          <w:color w:val="000000"/>
          <w:sz w:val="28"/>
          <w:szCs w:val="28"/>
          <w:lang w:eastAsia="en-US"/>
        </w:rPr>
        <w:t>n</w:t>
      </w:r>
      <w:r w:rsidR="00F75A1F">
        <w:rPr>
          <w:rFonts w:ascii="Times New Roman" w:eastAsia="Times New Roman" w:hAnsi="Times New Roman" w:cs="Times New Roman"/>
          <w:noProof/>
          <w:color w:val="000000"/>
          <w:sz w:val="28"/>
          <w:szCs w:val="28"/>
          <w:lang w:eastAsia="en-US"/>
        </w:rPr>
        <w:t>o 2021.</w:t>
      </w:r>
      <w:r w:rsidR="008643AC" w:rsidRPr="008643AC">
        <w:rPr>
          <w:rFonts w:ascii="Times New Roman" w:eastAsia="Times New Roman" w:hAnsi="Times New Roman" w:cs="Times New Roman"/>
          <w:noProof/>
          <w:color w:val="000000"/>
          <w:sz w:val="28"/>
          <w:szCs w:val="28"/>
          <w:lang w:eastAsia="en-US"/>
        </w:rPr>
        <w:t xml:space="preserve">gada tiek pārskatīts valsts sociālā nodrošinājuma pabalsta apmērs, to </w:t>
      </w:r>
      <w:r w:rsidR="008643AC" w:rsidRPr="008643AC">
        <w:rPr>
          <w:rFonts w:ascii="Times New Roman" w:eastAsia="Calibri" w:hAnsi="Times New Roman" w:cs="Times New Roman"/>
          <w:iCs/>
          <w:noProof/>
          <w:sz w:val="28"/>
          <w:szCs w:val="28"/>
          <w:lang w:eastAsia="en-US"/>
        </w:rPr>
        <w:t xml:space="preserve">vecuma gadījumā nosakot 20% no ienākumu mediānas jeb 109 </w:t>
      </w:r>
      <w:r w:rsidR="008643AC" w:rsidRPr="008643AC">
        <w:rPr>
          <w:rFonts w:ascii="Times New Roman" w:eastAsia="Calibri" w:hAnsi="Times New Roman" w:cs="Times New Roman"/>
          <w:i/>
          <w:iCs/>
          <w:noProof/>
          <w:sz w:val="28"/>
          <w:szCs w:val="28"/>
          <w:lang w:eastAsia="en-US"/>
        </w:rPr>
        <w:t>euro</w:t>
      </w:r>
      <w:r w:rsidR="008643AC" w:rsidRPr="008643AC">
        <w:rPr>
          <w:rFonts w:ascii="Times New Roman" w:eastAsia="Calibri" w:hAnsi="Times New Roman" w:cs="Times New Roman"/>
          <w:iCs/>
          <w:noProof/>
          <w:sz w:val="28"/>
          <w:szCs w:val="28"/>
          <w:lang w:eastAsia="en-US"/>
        </w:rPr>
        <w:t xml:space="preserve">, </w:t>
      </w:r>
      <w:r w:rsidR="008643AC" w:rsidRPr="008643AC">
        <w:rPr>
          <w:rFonts w:ascii="Times New Roman" w:eastAsia="Calibri" w:hAnsi="Times New Roman" w:cs="Times New Roman"/>
          <w:noProof/>
          <w:sz w:val="28"/>
          <w:szCs w:val="28"/>
          <w:lang w:eastAsia="en-US"/>
        </w:rPr>
        <w:t xml:space="preserve">personām ar invaliditāti 20% apmērā no ienākumu mediānas jeb 109 </w:t>
      </w:r>
      <w:r w:rsidR="008643AC" w:rsidRPr="008643AC">
        <w:rPr>
          <w:rFonts w:ascii="Times New Roman" w:eastAsia="Calibri" w:hAnsi="Times New Roman" w:cs="Times New Roman"/>
          <w:i/>
          <w:noProof/>
          <w:sz w:val="28"/>
          <w:szCs w:val="28"/>
          <w:lang w:eastAsia="en-US"/>
        </w:rPr>
        <w:t>euro</w:t>
      </w:r>
      <w:r w:rsidR="008643AC" w:rsidRPr="008643AC">
        <w:rPr>
          <w:rFonts w:ascii="Times New Roman" w:eastAsia="Calibri" w:hAnsi="Times New Roman" w:cs="Times New Roman"/>
          <w:noProof/>
          <w:sz w:val="28"/>
          <w:szCs w:val="28"/>
          <w:lang w:eastAsia="en-US"/>
        </w:rPr>
        <w:t xml:space="preserve"> un personām ar invaliditāti kopš bērnības 25% apmērā no ienākumu mediānas jeb 136 </w:t>
      </w:r>
      <w:r w:rsidR="008643AC" w:rsidRPr="008643AC">
        <w:rPr>
          <w:rFonts w:ascii="Times New Roman" w:eastAsia="Calibri" w:hAnsi="Times New Roman" w:cs="Times New Roman"/>
          <w:i/>
          <w:noProof/>
          <w:sz w:val="28"/>
          <w:szCs w:val="28"/>
          <w:lang w:eastAsia="en-US"/>
        </w:rPr>
        <w:t xml:space="preserve">euro. </w:t>
      </w:r>
      <w:r w:rsidR="008643AC" w:rsidRPr="008643AC">
        <w:rPr>
          <w:rFonts w:ascii="Times New Roman" w:eastAsia="Times New Roman" w:hAnsi="Times New Roman" w:cs="Times New Roman"/>
          <w:noProof/>
          <w:color w:val="000000"/>
          <w:sz w:val="28"/>
          <w:szCs w:val="28"/>
          <w:lang w:eastAsia="en-US"/>
        </w:rPr>
        <w:t xml:space="preserve">2021.-2023.gadā šim atbalstam paredzēti aptuveni 10 milj. </w:t>
      </w:r>
      <w:r w:rsidR="008643AC" w:rsidRPr="008643AC">
        <w:rPr>
          <w:rFonts w:ascii="Times New Roman" w:eastAsia="Times New Roman" w:hAnsi="Times New Roman" w:cs="Times New Roman"/>
          <w:i/>
          <w:noProof/>
          <w:color w:val="000000"/>
          <w:sz w:val="28"/>
          <w:szCs w:val="28"/>
          <w:lang w:eastAsia="en-US"/>
        </w:rPr>
        <w:t>euro</w:t>
      </w:r>
      <w:r w:rsidR="008643AC" w:rsidRPr="008643AC">
        <w:rPr>
          <w:rFonts w:ascii="Times New Roman" w:eastAsia="Times New Roman" w:hAnsi="Times New Roman" w:cs="Times New Roman"/>
          <w:noProof/>
          <w:color w:val="000000"/>
          <w:sz w:val="28"/>
          <w:szCs w:val="28"/>
          <w:lang w:eastAsia="en-US"/>
        </w:rPr>
        <w:t xml:space="preserve"> ik gadu</w:t>
      </w:r>
      <w:r w:rsidR="008643AC" w:rsidRPr="008643AC">
        <w:rPr>
          <w:rFonts w:ascii="Times New Roman" w:eastAsia="Times New Roman" w:hAnsi="Times New Roman" w:cs="Times New Roman"/>
          <w:iCs/>
          <w:noProof/>
          <w:sz w:val="28"/>
          <w:szCs w:val="28"/>
        </w:rPr>
        <w:t>.</w:t>
      </w:r>
    </w:p>
    <w:p w14:paraId="53635521" w14:textId="3BDB12EB" w:rsidR="00AB2199" w:rsidRDefault="00AB2199" w:rsidP="00AB2199">
      <w:pPr>
        <w:spacing w:after="120"/>
        <w:contextualSpacing/>
        <w:jc w:val="both"/>
        <w:rPr>
          <w:rFonts w:ascii="Times New Roman" w:eastAsia="Times New Roman" w:hAnsi="Times New Roman" w:cs="Times New Roman"/>
          <w:iCs/>
          <w:noProof/>
          <w:sz w:val="28"/>
          <w:szCs w:val="28"/>
        </w:rPr>
      </w:pPr>
    </w:p>
    <w:p w14:paraId="5E719284" w14:textId="1BE5009A" w:rsidR="00AB2199" w:rsidRDefault="00AB2199" w:rsidP="00AB2199">
      <w:pPr>
        <w:spacing w:after="120"/>
        <w:contextualSpacing/>
        <w:jc w:val="center"/>
        <w:rPr>
          <w:rFonts w:ascii="Times New Roman" w:eastAsia="Times New Roman" w:hAnsi="Times New Roman" w:cs="Times New Roman"/>
          <w:b/>
          <w:noProof/>
          <w:color w:val="000000"/>
          <w:sz w:val="28"/>
          <w:szCs w:val="28"/>
          <w:lang w:eastAsia="en-US"/>
        </w:rPr>
      </w:pPr>
      <w:r w:rsidRPr="008643AC">
        <w:rPr>
          <w:rFonts w:ascii="Times New Roman" w:eastAsia="Times New Roman" w:hAnsi="Times New Roman" w:cs="Times New Roman"/>
          <w:b/>
          <w:noProof/>
          <w:color w:val="000000"/>
          <w:sz w:val="28"/>
          <w:szCs w:val="28"/>
          <w:lang w:eastAsia="en-US"/>
        </w:rPr>
        <w:t>Atv</w:t>
      </w:r>
      <w:r>
        <w:rPr>
          <w:rFonts w:ascii="Times New Roman" w:eastAsia="Times New Roman" w:hAnsi="Times New Roman" w:cs="Times New Roman"/>
          <w:b/>
          <w:noProof/>
          <w:color w:val="000000"/>
          <w:sz w:val="28"/>
          <w:szCs w:val="28"/>
          <w:lang w:eastAsia="en-US"/>
        </w:rPr>
        <w:t>asināto publisko personu budžets</w:t>
      </w:r>
    </w:p>
    <w:p w14:paraId="3B54D535" w14:textId="77777777" w:rsidR="00FD5F28" w:rsidRPr="008643AC" w:rsidRDefault="00FD5F28" w:rsidP="00AB2199">
      <w:pPr>
        <w:spacing w:after="120"/>
        <w:contextualSpacing/>
        <w:jc w:val="center"/>
        <w:rPr>
          <w:rFonts w:ascii="Times New Roman" w:eastAsia="Times New Roman" w:hAnsi="Times New Roman" w:cs="Times New Roman"/>
          <w:noProof/>
          <w:color w:val="000000"/>
          <w:sz w:val="28"/>
          <w:szCs w:val="28"/>
          <w:lang w:eastAsia="en-US"/>
        </w:rPr>
      </w:pPr>
    </w:p>
    <w:p w14:paraId="09363A12" w14:textId="0821FEC9" w:rsidR="008643AC" w:rsidRDefault="008643AC" w:rsidP="00F75A1F">
      <w:pPr>
        <w:ind w:firstLine="709"/>
        <w:jc w:val="both"/>
        <w:rPr>
          <w:rFonts w:ascii="Times New Roman" w:eastAsia="Times New Roman" w:hAnsi="Times New Roman" w:cs="Times New Roman"/>
          <w:color w:val="000000"/>
          <w:sz w:val="28"/>
          <w:szCs w:val="28"/>
          <w:lang w:eastAsia="en-US"/>
        </w:rPr>
      </w:pPr>
      <w:r w:rsidRPr="00AB2199">
        <w:rPr>
          <w:rFonts w:ascii="Times New Roman" w:eastAsia="Times New Roman" w:hAnsi="Times New Roman" w:cs="Times New Roman"/>
          <w:noProof/>
          <w:color w:val="000000"/>
          <w:sz w:val="28"/>
          <w:szCs w:val="28"/>
          <w:lang w:eastAsia="en-US"/>
        </w:rPr>
        <w:t>Atvasināto publisko personu budžetā</w:t>
      </w:r>
      <w:r w:rsidRPr="008643AC">
        <w:rPr>
          <w:rFonts w:ascii="Times New Roman" w:eastAsia="Times New Roman" w:hAnsi="Times New Roman" w:cs="Times New Roman"/>
          <w:b/>
          <w:noProof/>
          <w:color w:val="000000"/>
          <w:sz w:val="28"/>
          <w:szCs w:val="28"/>
          <w:lang w:eastAsia="en-US"/>
        </w:rPr>
        <w:t xml:space="preserve"> </w:t>
      </w:r>
      <w:r w:rsidRPr="008643AC">
        <w:rPr>
          <w:rFonts w:ascii="Times New Roman" w:eastAsia="Times New Roman" w:hAnsi="Times New Roman" w:cs="Times New Roman"/>
          <w:noProof/>
          <w:color w:val="000000"/>
          <w:sz w:val="28"/>
          <w:szCs w:val="28"/>
          <w:lang w:eastAsia="en-US"/>
        </w:rPr>
        <w:t xml:space="preserve"> pēdējos gados veidojās pārpalikums, kas saistīts ar pieaugošiem transfertiem no valsts pamatbudžeta. </w:t>
      </w:r>
      <w:r w:rsidR="00AB2199" w:rsidRPr="00AB2199">
        <w:rPr>
          <w:rFonts w:ascii="Times New Roman" w:eastAsia="Times New Roman" w:hAnsi="Times New Roman" w:cs="Times New Roman"/>
          <w:noProof/>
          <w:color w:val="000000"/>
          <w:sz w:val="28"/>
          <w:szCs w:val="28"/>
          <w:lang w:eastAsia="en-US"/>
        </w:rPr>
        <w:t>Atv</w:t>
      </w:r>
      <w:r w:rsidR="00AB2199">
        <w:rPr>
          <w:rFonts w:ascii="Times New Roman" w:eastAsia="Times New Roman" w:hAnsi="Times New Roman" w:cs="Times New Roman"/>
          <w:noProof/>
          <w:color w:val="000000"/>
          <w:sz w:val="28"/>
          <w:szCs w:val="28"/>
          <w:lang w:eastAsia="en-US"/>
        </w:rPr>
        <w:t>asināto publisko personu</w:t>
      </w:r>
      <w:r w:rsidRPr="008643AC">
        <w:rPr>
          <w:rFonts w:ascii="Times New Roman" w:eastAsia="Times New Roman" w:hAnsi="Times New Roman" w:cs="Times New Roman"/>
          <w:noProof/>
          <w:color w:val="000000"/>
          <w:sz w:val="28"/>
          <w:szCs w:val="28"/>
          <w:lang w:eastAsia="en-US"/>
        </w:rPr>
        <w:t xml:space="preserve"> budžeta bilanci lielā mērā ietekmē transferti ES fondu projektu īstenošanai. ES fondu plānošanas perioda sākumā transfertu apjoms ir lielāks, jo ietver arī avansa maksājumus, tādējādi </w:t>
      </w:r>
      <w:r w:rsidR="00FB5161" w:rsidRPr="00AB2199">
        <w:rPr>
          <w:rFonts w:ascii="Times New Roman" w:eastAsia="Times New Roman" w:hAnsi="Times New Roman" w:cs="Times New Roman"/>
          <w:noProof/>
          <w:color w:val="000000"/>
          <w:sz w:val="28"/>
          <w:szCs w:val="28"/>
          <w:lang w:eastAsia="en-US"/>
        </w:rPr>
        <w:t>Atvasināto publisko personu budžetā</w:t>
      </w:r>
      <w:r w:rsidR="00FB5161" w:rsidRPr="008643AC">
        <w:rPr>
          <w:rFonts w:ascii="Times New Roman" w:eastAsia="Times New Roman" w:hAnsi="Times New Roman" w:cs="Times New Roman"/>
          <w:b/>
          <w:noProof/>
          <w:color w:val="000000"/>
          <w:sz w:val="28"/>
          <w:szCs w:val="28"/>
          <w:lang w:eastAsia="en-US"/>
        </w:rPr>
        <w:t xml:space="preserve"> </w:t>
      </w:r>
      <w:r w:rsidRPr="008643AC">
        <w:rPr>
          <w:rFonts w:ascii="Times New Roman" w:eastAsia="Times New Roman" w:hAnsi="Times New Roman" w:cs="Times New Roman"/>
          <w:noProof/>
          <w:color w:val="000000"/>
          <w:sz w:val="28"/>
          <w:szCs w:val="28"/>
          <w:lang w:eastAsia="en-US"/>
        </w:rPr>
        <w:t xml:space="preserve">palielinās ieņēmumi un veidojas pārpalikums, tomēr ES fondu plānošanas periodam noslēdzoties, kad tiek pabeigti lielāki infrastruktūras projekti universitātēs un zinātniskajos institūtos, palielinās izdevumi, kas veicina deficīta </w:t>
      </w:r>
      <w:r w:rsidR="00F75A1F">
        <w:rPr>
          <w:rFonts w:ascii="Times New Roman" w:eastAsia="Times New Roman" w:hAnsi="Times New Roman" w:cs="Times New Roman"/>
          <w:noProof/>
          <w:color w:val="000000"/>
          <w:sz w:val="28"/>
          <w:szCs w:val="28"/>
          <w:lang w:eastAsia="en-US"/>
        </w:rPr>
        <w:t>veidošanos, kā, piemēram, 2015.</w:t>
      </w:r>
      <w:r w:rsidRPr="008643AC">
        <w:rPr>
          <w:rFonts w:ascii="Times New Roman" w:eastAsia="Times New Roman" w:hAnsi="Times New Roman" w:cs="Times New Roman"/>
          <w:noProof/>
          <w:color w:val="000000"/>
          <w:sz w:val="28"/>
          <w:szCs w:val="28"/>
          <w:lang w:eastAsia="en-US"/>
        </w:rPr>
        <w:t xml:space="preserve">gadā. Tiek plānots, ka </w:t>
      </w:r>
      <w:r w:rsidR="00FB5161" w:rsidRPr="00AB2199">
        <w:rPr>
          <w:rFonts w:ascii="Times New Roman" w:eastAsia="Times New Roman" w:hAnsi="Times New Roman" w:cs="Times New Roman"/>
          <w:noProof/>
          <w:color w:val="000000"/>
          <w:sz w:val="28"/>
          <w:szCs w:val="28"/>
          <w:lang w:eastAsia="en-US"/>
        </w:rPr>
        <w:t>Atvasināto publisko personu budžetā</w:t>
      </w:r>
      <w:r w:rsidR="00FB5161" w:rsidRPr="008643AC">
        <w:rPr>
          <w:rFonts w:ascii="Times New Roman" w:eastAsia="Times New Roman" w:hAnsi="Times New Roman" w:cs="Times New Roman"/>
          <w:b/>
          <w:noProof/>
          <w:color w:val="000000"/>
          <w:sz w:val="28"/>
          <w:szCs w:val="28"/>
          <w:lang w:eastAsia="en-US"/>
        </w:rPr>
        <w:t xml:space="preserve"> </w:t>
      </w:r>
      <w:r w:rsidR="00F75A1F">
        <w:rPr>
          <w:rFonts w:ascii="Times New Roman" w:eastAsia="Times New Roman" w:hAnsi="Times New Roman" w:cs="Times New Roman"/>
          <w:noProof/>
          <w:color w:val="000000"/>
          <w:sz w:val="28"/>
          <w:szCs w:val="28"/>
          <w:lang w:eastAsia="en-US"/>
        </w:rPr>
        <w:t>veidosies pārpalikums 2020.gadā, bet ar 2021.</w:t>
      </w:r>
      <w:r w:rsidRPr="008643AC">
        <w:rPr>
          <w:rFonts w:ascii="Times New Roman" w:eastAsia="Times New Roman" w:hAnsi="Times New Roman" w:cs="Times New Roman"/>
          <w:noProof/>
          <w:color w:val="000000"/>
          <w:sz w:val="28"/>
          <w:szCs w:val="28"/>
          <w:lang w:eastAsia="en-US"/>
        </w:rPr>
        <w:t xml:space="preserve">gadu </w:t>
      </w:r>
      <w:r w:rsidR="00FB5161" w:rsidRPr="00AB2199">
        <w:rPr>
          <w:rFonts w:ascii="Times New Roman" w:eastAsia="Times New Roman" w:hAnsi="Times New Roman" w:cs="Times New Roman"/>
          <w:noProof/>
          <w:color w:val="000000"/>
          <w:sz w:val="28"/>
          <w:szCs w:val="28"/>
          <w:lang w:eastAsia="en-US"/>
        </w:rPr>
        <w:t>Atvasināto publisko personu budžetā</w:t>
      </w:r>
      <w:r w:rsidRPr="008643AC">
        <w:rPr>
          <w:rFonts w:ascii="Times New Roman" w:eastAsia="Times New Roman" w:hAnsi="Times New Roman" w:cs="Times New Roman"/>
          <w:noProof/>
          <w:color w:val="000000"/>
          <w:sz w:val="28"/>
          <w:szCs w:val="28"/>
          <w:lang w:eastAsia="en-US"/>
        </w:rPr>
        <w:t xml:space="preserve"> tiek prognozēts</w:t>
      </w:r>
      <w:r w:rsidRPr="008643AC">
        <w:rPr>
          <w:rFonts w:ascii="Times New Roman" w:eastAsia="Times New Roman" w:hAnsi="Times New Roman" w:cs="Times New Roman"/>
          <w:color w:val="000000"/>
          <w:sz w:val="28"/>
          <w:szCs w:val="28"/>
          <w:lang w:eastAsia="en-US"/>
        </w:rPr>
        <w:t xml:space="preserve"> deficīts.</w:t>
      </w:r>
    </w:p>
    <w:p w14:paraId="1B3806F7" w14:textId="77777777" w:rsidR="00AE01F6" w:rsidRDefault="00AE01F6" w:rsidP="00F75A1F">
      <w:pPr>
        <w:ind w:firstLine="709"/>
        <w:jc w:val="both"/>
        <w:rPr>
          <w:rFonts w:ascii="Times New Roman" w:eastAsia="Times New Roman" w:hAnsi="Times New Roman" w:cs="Times New Roman"/>
          <w:b/>
          <w:color w:val="000000"/>
          <w:sz w:val="28"/>
          <w:szCs w:val="28"/>
          <w:lang w:eastAsia="en-US"/>
        </w:rPr>
      </w:pPr>
    </w:p>
    <w:p w14:paraId="279E3E4D" w14:textId="77777777" w:rsidR="00F75A1F" w:rsidRPr="00F75A1F" w:rsidRDefault="00F75A1F" w:rsidP="00F75A1F">
      <w:pPr>
        <w:ind w:firstLine="709"/>
        <w:jc w:val="both"/>
        <w:rPr>
          <w:rFonts w:ascii="Times New Roman" w:eastAsia="Times New Roman" w:hAnsi="Times New Roman" w:cs="Times New Roman"/>
          <w:b/>
          <w:color w:val="000000"/>
          <w:sz w:val="28"/>
          <w:szCs w:val="28"/>
          <w:lang w:eastAsia="en-US"/>
        </w:rPr>
      </w:pPr>
    </w:p>
    <w:p w14:paraId="005E88BA" w14:textId="77777777" w:rsidR="008643AC" w:rsidRPr="008643AC" w:rsidRDefault="008643AC" w:rsidP="008643AC">
      <w:pPr>
        <w:spacing w:before="120" w:after="120"/>
        <w:ind w:firstLine="709"/>
        <w:jc w:val="right"/>
        <w:rPr>
          <w:rFonts w:ascii="Times New Roman" w:eastAsia="Times New Roman" w:hAnsi="Times New Roman" w:cs="Times New Roman"/>
          <w:b/>
          <w:i/>
          <w:sz w:val="24"/>
          <w:szCs w:val="24"/>
          <w:lang w:eastAsia="en-US"/>
        </w:rPr>
      </w:pPr>
      <w:r w:rsidRPr="008643AC">
        <w:rPr>
          <w:rFonts w:ascii="Times New Roman" w:eastAsia="Times New Roman" w:hAnsi="Times New Roman" w:cs="Times New Roman"/>
          <w:b/>
          <w:i/>
          <w:sz w:val="24"/>
          <w:szCs w:val="24"/>
          <w:lang w:eastAsia="en-US"/>
        </w:rPr>
        <w:t xml:space="preserve">2.2. tabula. Valsts konsolidētā budžeta bilance 2019.-2023.gadā, milj. </w:t>
      </w:r>
      <w:r w:rsidRPr="008643AC">
        <w:rPr>
          <w:rFonts w:ascii="Times New Roman" w:eastAsia="Times New Roman" w:hAnsi="Times New Roman" w:cs="Times New Roman"/>
          <w:b/>
          <w:i/>
          <w:noProof/>
          <w:sz w:val="24"/>
          <w:szCs w:val="24"/>
          <w:lang w:eastAsia="en-US"/>
        </w:rPr>
        <w:t>euro</w:t>
      </w:r>
    </w:p>
    <w:tbl>
      <w:tblPr>
        <w:tblW w:w="9077" w:type="dxa"/>
        <w:jc w:val="center"/>
        <w:tblLook w:val="04A0" w:firstRow="1" w:lastRow="0" w:firstColumn="1" w:lastColumn="0" w:noHBand="0" w:noVBand="1"/>
      </w:tblPr>
      <w:tblGrid>
        <w:gridCol w:w="2131"/>
        <w:gridCol w:w="851"/>
        <w:gridCol w:w="896"/>
        <w:gridCol w:w="946"/>
        <w:gridCol w:w="851"/>
        <w:gridCol w:w="850"/>
        <w:gridCol w:w="851"/>
        <w:gridCol w:w="850"/>
        <w:gridCol w:w="851"/>
      </w:tblGrid>
      <w:tr w:rsidR="008643AC" w:rsidRPr="008643AC" w14:paraId="3F2A8A15" w14:textId="77777777" w:rsidTr="00FB5161">
        <w:trPr>
          <w:trHeight w:val="75"/>
          <w:tblHeader/>
          <w:jc w:val="center"/>
        </w:trPr>
        <w:tc>
          <w:tcPr>
            <w:tcW w:w="2131" w:type="dxa"/>
            <w:tcBorders>
              <w:top w:val="single" w:sz="4" w:space="0" w:color="auto"/>
              <w:left w:val="single" w:sz="4" w:space="0" w:color="auto"/>
              <w:bottom w:val="single" w:sz="4" w:space="0" w:color="auto"/>
              <w:right w:val="single" w:sz="4" w:space="0" w:color="auto"/>
            </w:tcBorders>
            <w:shd w:val="clear" w:color="auto" w:fill="95B3D7"/>
            <w:noWrap/>
            <w:vAlign w:val="bottom"/>
            <w:hideMark/>
          </w:tcPr>
          <w:p w14:paraId="45B00649" w14:textId="77777777" w:rsidR="008643AC" w:rsidRPr="008643AC" w:rsidRDefault="008643AC" w:rsidP="008643AC">
            <w:pPr>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95B3D7"/>
            <w:noWrap/>
            <w:vAlign w:val="center"/>
            <w:hideMark/>
          </w:tcPr>
          <w:p w14:paraId="0CEDF9A3"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2019</w:t>
            </w:r>
          </w:p>
        </w:tc>
        <w:tc>
          <w:tcPr>
            <w:tcW w:w="896" w:type="dxa"/>
            <w:tcBorders>
              <w:top w:val="single" w:sz="4" w:space="0" w:color="auto"/>
              <w:left w:val="nil"/>
              <w:bottom w:val="single" w:sz="4" w:space="0" w:color="auto"/>
              <w:right w:val="single" w:sz="4" w:space="0" w:color="auto"/>
            </w:tcBorders>
            <w:shd w:val="clear" w:color="auto" w:fill="95B3D7"/>
            <w:noWrap/>
            <w:vAlign w:val="center"/>
            <w:hideMark/>
          </w:tcPr>
          <w:p w14:paraId="208E9F49"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2020</w:t>
            </w:r>
          </w:p>
        </w:tc>
        <w:tc>
          <w:tcPr>
            <w:tcW w:w="946" w:type="dxa"/>
            <w:tcBorders>
              <w:top w:val="single" w:sz="4" w:space="0" w:color="auto"/>
              <w:left w:val="nil"/>
              <w:bottom w:val="single" w:sz="4" w:space="0" w:color="auto"/>
              <w:right w:val="single" w:sz="4" w:space="0" w:color="auto"/>
            </w:tcBorders>
            <w:shd w:val="clear" w:color="auto" w:fill="95B3D7"/>
            <w:noWrap/>
            <w:vAlign w:val="center"/>
            <w:hideMark/>
          </w:tcPr>
          <w:p w14:paraId="1A81686C"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2021</w:t>
            </w:r>
          </w:p>
        </w:tc>
        <w:tc>
          <w:tcPr>
            <w:tcW w:w="851" w:type="dxa"/>
            <w:tcBorders>
              <w:top w:val="single" w:sz="4" w:space="0" w:color="auto"/>
              <w:left w:val="nil"/>
              <w:bottom w:val="single" w:sz="4" w:space="0" w:color="auto"/>
              <w:right w:val="single" w:sz="4" w:space="0" w:color="auto"/>
            </w:tcBorders>
            <w:shd w:val="clear" w:color="auto" w:fill="95B3D7"/>
            <w:noWrap/>
            <w:vAlign w:val="center"/>
            <w:hideMark/>
          </w:tcPr>
          <w:p w14:paraId="718FB3D9"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2022</w:t>
            </w:r>
          </w:p>
        </w:tc>
        <w:tc>
          <w:tcPr>
            <w:tcW w:w="850" w:type="dxa"/>
            <w:tcBorders>
              <w:top w:val="single" w:sz="4" w:space="0" w:color="auto"/>
              <w:left w:val="nil"/>
              <w:bottom w:val="single" w:sz="4" w:space="0" w:color="auto"/>
              <w:right w:val="single" w:sz="4" w:space="0" w:color="auto"/>
            </w:tcBorders>
            <w:shd w:val="clear" w:color="auto" w:fill="95B3D7"/>
          </w:tcPr>
          <w:p w14:paraId="30F38A03" w14:textId="77777777" w:rsidR="008643AC" w:rsidRPr="008643AC" w:rsidRDefault="008643AC" w:rsidP="008643AC">
            <w:pPr>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2023</w:t>
            </w:r>
          </w:p>
        </w:tc>
        <w:tc>
          <w:tcPr>
            <w:tcW w:w="851" w:type="dxa"/>
            <w:tcBorders>
              <w:top w:val="single" w:sz="4" w:space="0" w:color="auto"/>
              <w:left w:val="single" w:sz="4" w:space="0" w:color="auto"/>
              <w:bottom w:val="single" w:sz="4" w:space="0" w:color="auto"/>
              <w:right w:val="single" w:sz="4" w:space="0" w:color="auto"/>
            </w:tcBorders>
            <w:shd w:val="clear" w:color="auto" w:fill="95B3D7"/>
            <w:noWrap/>
            <w:vAlign w:val="center"/>
            <w:hideMark/>
          </w:tcPr>
          <w:p w14:paraId="0A026A70"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2021</w:t>
            </w:r>
          </w:p>
        </w:tc>
        <w:tc>
          <w:tcPr>
            <w:tcW w:w="850" w:type="dxa"/>
            <w:tcBorders>
              <w:top w:val="single" w:sz="4" w:space="0" w:color="auto"/>
              <w:left w:val="nil"/>
              <w:bottom w:val="single" w:sz="4" w:space="0" w:color="auto"/>
              <w:right w:val="single" w:sz="4" w:space="0" w:color="auto"/>
            </w:tcBorders>
            <w:shd w:val="clear" w:color="auto" w:fill="95B3D7"/>
            <w:noWrap/>
            <w:vAlign w:val="center"/>
            <w:hideMark/>
          </w:tcPr>
          <w:p w14:paraId="19B9F9E5"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2022</w:t>
            </w:r>
          </w:p>
        </w:tc>
        <w:tc>
          <w:tcPr>
            <w:tcW w:w="851" w:type="dxa"/>
            <w:tcBorders>
              <w:top w:val="single" w:sz="4" w:space="0" w:color="auto"/>
              <w:left w:val="nil"/>
              <w:bottom w:val="single" w:sz="4" w:space="0" w:color="auto"/>
              <w:right w:val="single" w:sz="4" w:space="0" w:color="auto"/>
            </w:tcBorders>
            <w:shd w:val="clear" w:color="auto" w:fill="95B3D7"/>
            <w:noWrap/>
            <w:hideMark/>
          </w:tcPr>
          <w:p w14:paraId="0EB48A4E"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2023</w:t>
            </w:r>
          </w:p>
        </w:tc>
      </w:tr>
      <w:tr w:rsidR="008643AC" w:rsidRPr="008643AC" w14:paraId="1061E25E" w14:textId="77777777" w:rsidTr="00FB5161">
        <w:trPr>
          <w:trHeight w:val="75"/>
          <w:tblHeader/>
          <w:jc w:val="center"/>
        </w:trPr>
        <w:tc>
          <w:tcPr>
            <w:tcW w:w="2131" w:type="dxa"/>
            <w:tcBorders>
              <w:top w:val="nil"/>
              <w:left w:val="single" w:sz="4" w:space="0" w:color="auto"/>
              <w:bottom w:val="single" w:sz="4" w:space="0" w:color="auto"/>
              <w:right w:val="single" w:sz="4" w:space="0" w:color="auto"/>
            </w:tcBorders>
            <w:shd w:val="clear" w:color="auto" w:fill="95B3D7"/>
            <w:noWrap/>
            <w:vAlign w:val="bottom"/>
            <w:hideMark/>
          </w:tcPr>
          <w:p w14:paraId="5E0026DC" w14:textId="77777777" w:rsidR="008643AC" w:rsidRPr="008643AC" w:rsidRDefault="008643AC" w:rsidP="008643AC">
            <w:pP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95B3D7"/>
            <w:noWrap/>
            <w:vAlign w:val="center"/>
            <w:hideMark/>
          </w:tcPr>
          <w:p w14:paraId="46DFC0F4" w14:textId="77777777" w:rsidR="008643AC" w:rsidRPr="008643AC" w:rsidRDefault="008643AC" w:rsidP="008643AC">
            <w:pPr>
              <w:jc w:val="center"/>
              <w:rPr>
                <w:rFonts w:ascii="Times New Roman" w:eastAsia="Times New Roman" w:hAnsi="Times New Roman" w:cs="Times New Roman"/>
                <w:b/>
                <w:sz w:val="18"/>
                <w:szCs w:val="18"/>
              </w:rPr>
            </w:pPr>
            <w:r w:rsidRPr="008643AC">
              <w:rPr>
                <w:rFonts w:ascii="Times New Roman" w:eastAsia="Times New Roman" w:hAnsi="Times New Roman" w:cs="Times New Roman"/>
                <w:b/>
                <w:color w:val="000000"/>
                <w:sz w:val="18"/>
                <w:szCs w:val="18"/>
              </w:rPr>
              <w:t>Fakts*</w:t>
            </w:r>
          </w:p>
        </w:tc>
        <w:tc>
          <w:tcPr>
            <w:tcW w:w="896" w:type="dxa"/>
            <w:tcBorders>
              <w:top w:val="single" w:sz="4" w:space="0" w:color="auto"/>
              <w:left w:val="nil"/>
              <w:bottom w:val="single" w:sz="4" w:space="0" w:color="auto"/>
              <w:right w:val="single" w:sz="4" w:space="0" w:color="auto"/>
            </w:tcBorders>
            <w:shd w:val="clear" w:color="auto" w:fill="95B3D7"/>
            <w:vAlign w:val="center"/>
          </w:tcPr>
          <w:p w14:paraId="10FA3439" w14:textId="77777777" w:rsidR="008643AC" w:rsidRPr="008643AC" w:rsidRDefault="008643AC" w:rsidP="008643AC">
            <w:pPr>
              <w:jc w:val="center"/>
              <w:rPr>
                <w:rFonts w:ascii="Times New Roman" w:eastAsia="Times New Roman" w:hAnsi="Times New Roman" w:cs="Times New Roman"/>
                <w:b/>
                <w:sz w:val="18"/>
                <w:szCs w:val="18"/>
              </w:rPr>
            </w:pPr>
            <w:r w:rsidRPr="008643AC">
              <w:rPr>
                <w:rFonts w:ascii="Times New Roman" w:eastAsia="Times New Roman" w:hAnsi="Times New Roman" w:cs="Times New Roman"/>
                <w:b/>
                <w:color w:val="000000"/>
                <w:sz w:val="18"/>
                <w:szCs w:val="18"/>
              </w:rPr>
              <w:t>Novērt.</w:t>
            </w:r>
          </w:p>
        </w:tc>
        <w:tc>
          <w:tcPr>
            <w:tcW w:w="2647" w:type="dxa"/>
            <w:gridSpan w:val="3"/>
            <w:tcBorders>
              <w:top w:val="single" w:sz="4" w:space="0" w:color="auto"/>
              <w:left w:val="nil"/>
              <w:bottom w:val="single" w:sz="4" w:space="0" w:color="auto"/>
              <w:right w:val="single" w:sz="4" w:space="0" w:color="auto"/>
            </w:tcBorders>
            <w:shd w:val="clear" w:color="auto" w:fill="95B3D7"/>
            <w:vAlign w:val="center"/>
          </w:tcPr>
          <w:p w14:paraId="69B2318A" w14:textId="77777777" w:rsidR="008643AC" w:rsidRPr="008643AC" w:rsidRDefault="008643AC" w:rsidP="008643AC">
            <w:pPr>
              <w:jc w:val="center"/>
              <w:rPr>
                <w:rFonts w:ascii="Times New Roman" w:eastAsia="Times New Roman" w:hAnsi="Times New Roman" w:cs="Times New Roman"/>
                <w:b/>
                <w:color w:val="000000"/>
                <w:sz w:val="18"/>
                <w:szCs w:val="18"/>
              </w:rPr>
            </w:pPr>
            <w:r w:rsidRPr="008643AC">
              <w:rPr>
                <w:rFonts w:ascii="Times New Roman" w:eastAsia="Times New Roman" w:hAnsi="Times New Roman" w:cs="Times New Roman"/>
                <w:b/>
                <w:color w:val="000000"/>
                <w:sz w:val="18"/>
                <w:szCs w:val="18"/>
              </w:rPr>
              <w:t>Prognoze (nemainīga politika)</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5B3D7"/>
            <w:vAlign w:val="center"/>
          </w:tcPr>
          <w:p w14:paraId="74237C3B" w14:textId="77777777" w:rsidR="008643AC" w:rsidRPr="008643AC" w:rsidRDefault="008643AC" w:rsidP="008643AC">
            <w:pPr>
              <w:jc w:val="center"/>
              <w:rPr>
                <w:rFonts w:ascii="Times New Roman" w:eastAsia="Times New Roman" w:hAnsi="Times New Roman" w:cs="Times New Roman"/>
                <w:b/>
                <w:sz w:val="18"/>
                <w:szCs w:val="18"/>
              </w:rPr>
            </w:pPr>
            <w:r w:rsidRPr="008643AC">
              <w:rPr>
                <w:rFonts w:ascii="Times New Roman" w:eastAsia="Times New Roman" w:hAnsi="Times New Roman" w:cs="Times New Roman"/>
                <w:b/>
                <w:color w:val="000000"/>
                <w:sz w:val="18"/>
                <w:szCs w:val="18"/>
              </w:rPr>
              <w:t xml:space="preserve">Prognoze </w:t>
            </w:r>
          </w:p>
        </w:tc>
      </w:tr>
      <w:tr w:rsidR="008643AC" w:rsidRPr="008643AC" w14:paraId="5AF41189" w14:textId="77777777" w:rsidTr="00FB5161">
        <w:trPr>
          <w:trHeight w:val="75"/>
          <w:jc w:val="center"/>
        </w:trPr>
        <w:tc>
          <w:tcPr>
            <w:tcW w:w="2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5D83D" w14:textId="77777777" w:rsidR="008643AC" w:rsidRPr="008643AC" w:rsidRDefault="008643AC" w:rsidP="008643AC">
            <w:pPr>
              <w:rPr>
                <w:rFonts w:ascii="Times New Roman" w:eastAsia="Times New Roman" w:hAnsi="Times New Roman" w:cs="Times New Roman"/>
                <w:b/>
                <w:bCs/>
                <w:sz w:val="19"/>
                <w:szCs w:val="19"/>
              </w:rPr>
            </w:pPr>
            <w:r w:rsidRPr="008643AC">
              <w:rPr>
                <w:rFonts w:ascii="Times New Roman" w:eastAsia="Times New Roman" w:hAnsi="Times New Roman" w:cs="Times New Roman"/>
                <w:b/>
                <w:bCs/>
                <w:sz w:val="19"/>
                <w:szCs w:val="19"/>
              </w:rPr>
              <w:t>VALSTS BUDŽETA BILANCE</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AB55675" w14:textId="77777777" w:rsidR="008643AC" w:rsidRPr="008643AC" w:rsidRDefault="008643AC" w:rsidP="008643AC">
            <w:pPr>
              <w:jc w:val="right"/>
              <w:rPr>
                <w:rFonts w:ascii="Times New Roman" w:eastAsia="Times New Roman" w:hAnsi="Times New Roman" w:cs="Times New Roman"/>
                <w:b/>
                <w:sz w:val="18"/>
                <w:szCs w:val="18"/>
              </w:rPr>
            </w:pPr>
            <w:r w:rsidRPr="008643AC">
              <w:rPr>
                <w:rFonts w:ascii="Times New Roman" w:eastAsia="Times New Roman" w:hAnsi="Times New Roman" w:cs="Times New Roman"/>
                <w:b/>
                <w:bCs/>
                <w:sz w:val="18"/>
                <w:szCs w:val="32"/>
                <w:lang w:eastAsia="en-US"/>
              </w:rPr>
              <w:t>-167,8</w:t>
            </w: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9C2861F" w14:textId="77777777" w:rsidR="008643AC" w:rsidRPr="008643AC" w:rsidRDefault="008643AC" w:rsidP="008643AC">
            <w:pPr>
              <w:jc w:val="right"/>
              <w:rPr>
                <w:rFonts w:ascii="Times New Roman" w:eastAsia="Times New Roman" w:hAnsi="Times New Roman" w:cs="Times New Roman"/>
                <w:b/>
                <w:sz w:val="18"/>
                <w:szCs w:val="18"/>
              </w:rPr>
            </w:pPr>
            <w:r w:rsidRPr="008643AC">
              <w:rPr>
                <w:rFonts w:ascii="Times New Roman" w:eastAsia="Times New Roman" w:hAnsi="Times New Roman" w:cs="Times New Roman"/>
                <w:b/>
                <w:bCs/>
                <w:sz w:val="18"/>
                <w:szCs w:val="32"/>
                <w:lang w:eastAsia="en-US"/>
              </w:rPr>
              <w:t>-1 764,5</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06A00EE9" w14:textId="77777777" w:rsidR="008643AC" w:rsidRPr="008643AC" w:rsidRDefault="008643AC" w:rsidP="008643AC">
            <w:pPr>
              <w:jc w:val="right"/>
              <w:rPr>
                <w:rFonts w:ascii="Times New Roman" w:eastAsia="Times New Roman" w:hAnsi="Times New Roman" w:cs="Times New Roman"/>
                <w:b/>
                <w:sz w:val="18"/>
                <w:szCs w:val="18"/>
              </w:rPr>
            </w:pPr>
            <w:r w:rsidRPr="008643AC">
              <w:rPr>
                <w:rFonts w:ascii="Times New Roman" w:eastAsia="Times New Roman" w:hAnsi="Times New Roman" w:cs="Times New Roman"/>
                <w:b/>
                <w:bCs/>
                <w:sz w:val="18"/>
                <w:szCs w:val="32"/>
                <w:lang w:eastAsia="en-US"/>
              </w:rPr>
              <w:t>-1 231,7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68A43C" w14:textId="77777777" w:rsidR="008643AC" w:rsidRPr="008643AC" w:rsidRDefault="008643AC" w:rsidP="008643AC">
            <w:pPr>
              <w:jc w:val="right"/>
              <w:rPr>
                <w:rFonts w:ascii="Times New Roman" w:eastAsia="Times New Roman" w:hAnsi="Times New Roman" w:cs="Times New Roman"/>
                <w:b/>
                <w:sz w:val="18"/>
                <w:szCs w:val="18"/>
              </w:rPr>
            </w:pPr>
            <w:r w:rsidRPr="008643AC">
              <w:rPr>
                <w:rFonts w:ascii="Times New Roman" w:eastAsia="Times New Roman" w:hAnsi="Times New Roman" w:cs="Times New Roman"/>
                <w:b/>
                <w:bCs/>
                <w:sz w:val="18"/>
                <w:szCs w:val="32"/>
                <w:lang w:eastAsia="en-US"/>
              </w:rPr>
              <w:t>-774,5</w:t>
            </w:r>
          </w:p>
        </w:tc>
        <w:tc>
          <w:tcPr>
            <w:tcW w:w="850" w:type="dxa"/>
            <w:tcBorders>
              <w:top w:val="single" w:sz="4" w:space="0" w:color="auto"/>
              <w:left w:val="nil"/>
              <w:bottom w:val="single" w:sz="4" w:space="0" w:color="auto"/>
              <w:right w:val="single" w:sz="4" w:space="0" w:color="auto"/>
            </w:tcBorders>
            <w:shd w:val="clear" w:color="auto" w:fill="auto"/>
            <w:vAlign w:val="center"/>
          </w:tcPr>
          <w:p w14:paraId="5A717659" w14:textId="77777777" w:rsidR="008643AC" w:rsidRPr="008643AC" w:rsidRDefault="008643AC" w:rsidP="008643AC">
            <w:pPr>
              <w:jc w:val="right"/>
              <w:rPr>
                <w:rFonts w:ascii="Times New Roman" w:eastAsia="Times New Roman" w:hAnsi="Times New Roman" w:cs="Times New Roman"/>
                <w:b/>
                <w:sz w:val="18"/>
                <w:szCs w:val="18"/>
              </w:rPr>
            </w:pPr>
            <w:r w:rsidRPr="008643AC">
              <w:rPr>
                <w:rFonts w:ascii="Times New Roman" w:eastAsia="Times New Roman" w:hAnsi="Times New Roman" w:cs="Times New Roman"/>
                <w:b/>
                <w:bCs/>
                <w:sz w:val="18"/>
                <w:szCs w:val="32"/>
                <w:lang w:eastAsia="en-US"/>
              </w:rPr>
              <w:t>-243,0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62B64" w14:textId="77777777" w:rsidR="008643AC" w:rsidRPr="008643AC" w:rsidRDefault="008643AC" w:rsidP="008643AC">
            <w:pPr>
              <w:jc w:val="right"/>
              <w:rPr>
                <w:rFonts w:ascii="Times New Roman" w:eastAsia="Times New Roman" w:hAnsi="Times New Roman" w:cs="Times New Roman"/>
                <w:b/>
                <w:sz w:val="18"/>
                <w:szCs w:val="18"/>
              </w:rPr>
            </w:pPr>
            <w:r w:rsidRPr="008643AC">
              <w:rPr>
                <w:rFonts w:ascii="Times New Roman" w:eastAsia="Times New Roman" w:hAnsi="Times New Roman" w:cs="Times New Roman"/>
                <w:b/>
                <w:bCs/>
                <w:sz w:val="18"/>
                <w:szCs w:val="32"/>
                <w:lang w:eastAsia="en-US"/>
              </w:rPr>
              <w:t>-1 191,2</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C4B8D38" w14:textId="77777777" w:rsidR="008643AC" w:rsidRPr="008643AC" w:rsidRDefault="008643AC" w:rsidP="008643AC">
            <w:pPr>
              <w:jc w:val="right"/>
              <w:rPr>
                <w:rFonts w:ascii="Times New Roman" w:eastAsia="Times New Roman" w:hAnsi="Times New Roman" w:cs="Times New Roman"/>
                <w:b/>
                <w:sz w:val="18"/>
                <w:szCs w:val="18"/>
              </w:rPr>
            </w:pPr>
            <w:r w:rsidRPr="008643AC">
              <w:rPr>
                <w:rFonts w:ascii="Times New Roman" w:eastAsia="Times New Roman" w:hAnsi="Times New Roman" w:cs="Times New Roman"/>
                <w:b/>
                <w:bCs/>
                <w:sz w:val="18"/>
                <w:szCs w:val="32"/>
                <w:lang w:eastAsia="en-US"/>
              </w:rPr>
              <w:t>-741,9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9757AC7" w14:textId="77777777" w:rsidR="008643AC" w:rsidRPr="008643AC" w:rsidRDefault="008643AC" w:rsidP="008643AC">
            <w:pPr>
              <w:jc w:val="right"/>
              <w:rPr>
                <w:rFonts w:ascii="Times New Roman" w:eastAsia="Times New Roman" w:hAnsi="Times New Roman" w:cs="Times New Roman"/>
                <w:b/>
                <w:sz w:val="18"/>
                <w:szCs w:val="18"/>
              </w:rPr>
            </w:pPr>
            <w:r w:rsidRPr="008643AC">
              <w:rPr>
                <w:rFonts w:ascii="Times New Roman" w:eastAsia="Times New Roman" w:hAnsi="Times New Roman" w:cs="Times New Roman"/>
                <w:b/>
                <w:bCs/>
                <w:sz w:val="18"/>
                <w:szCs w:val="32"/>
                <w:lang w:eastAsia="en-US"/>
              </w:rPr>
              <w:t>-220,4</w:t>
            </w:r>
          </w:p>
        </w:tc>
      </w:tr>
      <w:tr w:rsidR="008643AC" w:rsidRPr="008643AC" w14:paraId="0E5A4344"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6051AE87" w14:textId="77777777" w:rsidR="008643AC" w:rsidRPr="008643AC" w:rsidRDefault="008643AC" w:rsidP="008643AC">
            <w:pPr>
              <w:ind w:left="-183" w:firstLineChars="100" w:firstLine="190"/>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Ieņēmumi</w:t>
            </w:r>
          </w:p>
        </w:tc>
        <w:tc>
          <w:tcPr>
            <w:tcW w:w="851" w:type="dxa"/>
            <w:tcBorders>
              <w:top w:val="nil"/>
              <w:left w:val="nil"/>
              <w:bottom w:val="single" w:sz="4" w:space="0" w:color="auto"/>
              <w:right w:val="single" w:sz="4" w:space="0" w:color="auto"/>
            </w:tcBorders>
            <w:shd w:val="clear" w:color="auto" w:fill="auto"/>
            <w:noWrap/>
            <w:vAlign w:val="bottom"/>
          </w:tcPr>
          <w:p w14:paraId="38A1514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9 428,0</w:t>
            </w:r>
          </w:p>
        </w:tc>
        <w:tc>
          <w:tcPr>
            <w:tcW w:w="896" w:type="dxa"/>
            <w:tcBorders>
              <w:top w:val="nil"/>
              <w:left w:val="nil"/>
              <w:bottom w:val="single" w:sz="4" w:space="0" w:color="auto"/>
              <w:right w:val="single" w:sz="4" w:space="0" w:color="auto"/>
            </w:tcBorders>
            <w:shd w:val="clear" w:color="auto" w:fill="auto"/>
            <w:noWrap/>
            <w:vAlign w:val="bottom"/>
          </w:tcPr>
          <w:p w14:paraId="1FB6E6C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9 190,2</w:t>
            </w:r>
          </w:p>
        </w:tc>
        <w:tc>
          <w:tcPr>
            <w:tcW w:w="946" w:type="dxa"/>
            <w:tcBorders>
              <w:top w:val="nil"/>
              <w:left w:val="nil"/>
              <w:bottom w:val="single" w:sz="4" w:space="0" w:color="auto"/>
              <w:right w:val="single" w:sz="4" w:space="0" w:color="auto"/>
            </w:tcBorders>
            <w:shd w:val="clear" w:color="auto" w:fill="auto"/>
            <w:noWrap/>
            <w:vAlign w:val="bottom"/>
          </w:tcPr>
          <w:p w14:paraId="46C05B0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9 437,7</w:t>
            </w:r>
          </w:p>
        </w:tc>
        <w:tc>
          <w:tcPr>
            <w:tcW w:w="851" w:type="dxa"/>
            <w:tcBorders>
              <w:top w:val="nil"/>
              <w:left w:val="nil"/>
              <w:bottom w:val="single" w:sz="4" w:space="0" w:color="auto"/>
              <w:right w:val="single" w:sz="4" w:space="0" w:color="auto"/>
            </w:tcBorders>
            <w:shd w:val="clear" w:color="auto" w:fill="auto"/>
            <w:noWrap/>
            <w:vAlign w:val="bottom"/>
          </w:tcPr>
          <w:p w14:paraId="5C70E33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10 122,5</w:t>
            </w:r>
          </w:p>
        </w:tc>
        <w:tc>
          <w:tcPr>
            <w:tcW w:w="850" w:type="dxa"/>
            <w:tcBorders>
              <w:top w:val="single" w:sz="4" w:space="0" w:color="auto"/>
              <w:left w:val="nil"/>
              <w:bottom w:val="single" w:sz="4" w:space="0" w:color="auto"/>
              <w:right w:val="single" w:sz="4" w:space="0" w:color="auto"/>
            </w:tcBorders>
            <w:vAlign w:val="bottom"/>
          </w:tcPr>
          <w:p w14:paraId="71CAE191"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10 593,0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0F3C774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9 740,7</w:t>
            </w:r>
          </w:p>
        </w:tc>
        <w:tc>
          <w:tcPr>
            <w:tcW w:w="850" w:type="dxa"/>
            <w:tcBorders>
              <w:top w:val="nil"/>
              <w:left w:val="nil"/>
              <w:bottom w:val="single" w:sz="4" w:space="0" w:color="auto"/>
              <w:right w:val="single" w:sz="4" w:space="0" w:color="auto"/>
            </w:tcBorders>
            <w:shd w:val="clear" w:color="auto" w:fill="auto"/>
            <w:noWrap/>
            <w:vAlign w:val="bottom"/>
          </w:tcPr>
          <w:p w14:paraId="1DB8C58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10 496,0</w:t>
            </w:r>
          </w:p>
        </w:tc>
        <w:tc>
          <w:tcPr>
            <w:tcW w:w="851" w:type="dxa"/>
            <w:tcBorders>
              <w:top w:val="nil"/>
              <w:left w:val="nil"/>
              <w:bottom w:val="single" w:sz="4" w:space="0" w:color="auto"/>
              <w:right w:val="single" w:sz="4" w:space="0" w:color="auto"/>
            </w:tcBorders>
            <w:shd w:val="clear" w:color="auto" w:fill="auto"/>
            <w:noWrap/>
            <w:vAlign w:val="bottom"/>
          </w:tcPr>
          <w:p w14:paraId="547E5A4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10 960,6</w:t>
            </w:r>
          </w:p>
        </w:tc>
      </w:tr>
      <w:tr w:rsidR="008643AC" w:rsidRPr="008643AC" w14:paraId="12E6C1D7"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37D349A4"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Nodokļu ieņēmumi</w:t>
            </w:r>
          </w:p>
        </w:tc>
        <w:tc>
          <w:tcPr>
            <w:tcW w:w="851" w:type="dxa"/>
            <w:tcBorders>
              <w:top w:val="nil"/>
              <w:left w:val="nil"/>
              <w:bottom w:val="single" w:sz="4" w:space="0" w:color="auto"/>
              <w:right w:val="single" w:sz="4" w:space="0" w:color="auto"/>
            </w:tcBorders>
            <w:shd w:val="clear" w:color="auto" w:fill="auto"/>
            <w:noWrap/>
            <w:vAlign w:val="bottom"/>
          </w:tcPr>
          <w:p w14:paraId="3FBCEC6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7 268,0</w:t>
            </w:r>
          </w:p>
        </w:tc>
        <w:tc>
          <w:tcPr>
            <w:tcW w:w="896" w:type="dxa"/>
            <w:tcBorders>
              <w:top w:val="nil"/>
              <w:left w:val="nil"/>
              <w:bottom w:val="single" w:sz="4" w:space="0" w:color="auto"/>
              <w:right w:val="single" w:sz="4" w:space="0" w:color="auto"/>
            </w:tcBorders>
            <w:shd w:val="clear" w:color="auto" w:fill="auto"/>
            <w:noWrap/>
            <w:vAlign w:val="bottom"/>
          </w:tcPr>
          <w:p w14:paraId="4DC6CEE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7 028,5</w:t>
            </w:r>
          </w:p>
        </w:tc>
        <w:tc>
          <w:tcPr>
            <w:tcW w:w="946" w:type="dxa"/>
            <w:tcBorders>
              <w:top w:val="nil"/>
              <w:left w:val="nil"/>
              <w:bottom w:val="single" w:sz="4" w:space="0" w:color="auto"/>
              <w:right w:val="single" w:sz="4" w:space="0" w:color="auto"/>
            </w:tcBorders>
            <w:shd w:val="clear" w:color="auto" w:fill="auto"/>
            <w:noWrap/>
            <w:vAlign w:val="bottom"/>
          </w:tcPr>
          <w:p w14:paraId="5EFBCAA2"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7 554,0</w:t>
            </w:r>
          </w:p>
        </w:tc>
        <w:tc>
          <w:tcPr>
            <w:tcW w:w="851" w:type="dxa"/>
            <w:tcBorders>
              <w:top w:val="nil"/>
              <w:left w:val="nil"/>
              <w:bottom w:val="single" w:sz="4" w:space="0" w:color="auto"/>
              <w:right w:val="single" w:sz="4" w:space="0" w:color="auto"/>
            </w:tcBorders>
            <w:shd w:val="clear" w:color="auto" w:fill="auto"/>
            <w:noWrap/>
            <w:vAlign w:val="bottom"/>
          </w:tcPr>
          <w:p w14:paraId="7C997F7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8 031,5</w:t>
            </w:r>
          </w:p>
        </w:tc>
        <w:tc>
          <w:tcPr>
            <w:tcW w:w="850" w:type="dxa"/>
            <w:tcBorders>
              <w:top w:val="single" w:sz="4" w:space="0" w:color="auto"/>
              <w:left w:val="nil"/>
              <w:bottom w:val="single" w:sz="4" w:space="0" w:color="auto"/>
              <w:right w:val="single" w:sz="4" w:space="0" w:color="auto"/>
            </w:tcBorders>
            <w:vAlign w:val="bottom"/>
          </w:tcPr>
          <w:p w14:paraId="27BBF789"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8 464,8</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71140D9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7 773,1</w:t>
            </w:r>
          </w:p>
        </w:tc>
        <w:tc>
          <w:tcPr>
            <w:tcW w:w="850" w:type="dxa"/>
            <w:tcBorders>
              <w:top w:val="nil"/>
              <w:left w:val="nil"/>
              <w:bottom w:val="single" w:sz="4" w:space="0" w:color="auto"/>
              <w:right w:val="single" w:sz="4" w:space="0" w:color="auto"/>
            </w:tcBorders>
            <w:shd w:val="clear" w:color="auto" w:fill="auto"/>
            <w:noWrap/>
            <w:vAlign w:val="bottom"/>
          </w:tcPr>
          <w:p w14:paraId="295B783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8 332,1</w:t>
            </w:r>
          </w:p>
        </w:tc>
        <w:tc>
          <w:tcPr>
            <w:tcW w:w="851" w:type="dxa"/>
            <w:tcBorders>
              <w:top w:val="nil"/>
              <w:left w:val="nil"/>
              <w:bottom w:val="single" w:sz="4" w:space="0" w:color="auto"/>
              <w:right w:val="single" w:sz="4" w:space="0" w:color="auto"/>
            </w:tcBorders>
            <w:shd w:val="clear" w:color="auto" w:fill="auto"/>
            <w:noWrap/>
            <w:vAlign w:val="bottom"/>
          </w:tcPr>
          <w:p w14:paraId="351F756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8 772,2</w:t>
            </w:r>
          </w:p>
        </w:tc>
      </w:tr>
      <w:tr w:rsidR="008643AC" w:rsidRPr="008643AC" w14:paraId="050BEF3D"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39A7000A"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Ne-nodokļu ieņēmumi</w:t>
            </w:r>
          </w:p>
        </w:tc>
        <w:tc>
          <w:tcPr>
            <w:tcW w:w="851" w:type="dxa"/>
            <w:tcBorders>
              <w:top w:val="nil"/>
              <w:left w:val="nil"/>
              <w:bottom w:val="single" w:sz="4" w:space="0" w:color="auto"/>
              <w:right w:val="single" w:sz="4" w:space="0" w:color="auto"/>
            </w:tcBorders>
            <w:shd w:val="clear" w:color="auto" w:fill="auto"/>
            <w:noWrap/>
            <w:vAlign w:val="bottom"/>
          </w:tcPr>
          <w:p w14:paraId="56B95C8B"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575,1</w:t>
            </w:r>
          </w:p>
        </w:tc>
        <w:tc>
          <w:tcPr>
            <w:tcW w:w="896" w:type="dxa"/>
            <w:tcBorders>
              <w:top w:val="nil"/>
              <w:left w:val="nil"/>
              <w:bottom w:val="single" w:sz="4" w:space="0" w:color="auto"/>
              <w:right w:val="single" w:sz="4" w:space="0" w:color="auto"/>
            </w:tcBorders>
            <w:shd w:val="clear" w:color="auto" w:fill="auto"/>
            <w:noWrap/>
            <w:vAlign w:val="bottom"/>
          </w:tcPr>
          <w:p w14:paraId="2020235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602,5</w:t>
            </w:r>
          </w:p>
        </w:tc>
        <w:tc>
          <w:tcPr>
            <w:tcW w:w="946" w:type="dxa"/>
            <w:tcBorders>
              <w:top w:val="nil"/>
              <w:left w:val="nil"/>
              <w:bottom w:val="single" w:sz="4" w:space="0" w:color="auto"/>
              <w:right w:val="single" w:sz="4" w:space="0" w:color="auto"/>
            </w:tcBorders>
            <w:shd w:val="clear" w:color="auto" w:fill="auto"/>
            <w:noWrap/>
            <w:vAlign w:val="bottom"/>
          </w:tcPr>
          <w:p w14:paraId="0BF8176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418,6</w:t>
            </w:r>
          </w:p>
        </w:tc>
        <w:tc>
          <w:tcPr>
            <w:tcW w:w="851" w:type="dxa"/>
            <w:tcBorders>
              <w:top w:val="nil"/>
              <w:left w:val="nil"/>
              <w:bottom w:val="single" w:sz="4" w:space="0" w:color="auto"/>
              <w:right w:val="single" w:sz="4" w:space="0" w:color="auto"/>
            </w:tcBorders>
            <w:shd w:val="clear" w:color="auto" w:fill="auto"/>
            <w:noWrap/>
            <w:vAlign w:val="bottom"/>
          </w:tcPr>
          <w:p w14:paraId="47A65B4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399,7</w:t>
            </w:r>
          </w:p>
        </w:tc>
        <w:tc>
          <w:tcPr>
            <w:tcW w:w="850" w:type="dxa"/>
            <w:tcBorders>
              <w:top w:val="single" w:sz="4" w:space="0" w:color="auto"/>
              <w:left w:val="nil"/>
              <w:bottom w:val="single" w:sz="4" w:space="0" w:color="auto"/>
              <w:right w:val="single" w:sz="4" w:space="0" w:color="auto"/>
            </w:tcBorders>
            <w:vAlign w:val="bottom"/>
          </w:tcPr>
          <w:p w14:paraId="5408879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405,4</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66475D3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502,3</w:t>
            </w:r>
          </w:p>
        </w:tc>
        <w:tc>
          <w:tcPr>
            <w:tcW w:w="850" w:type="dxa"/>
            <w:tcBorders>
              <w:top w:val="nil"/>
              <w:left w:val="nil"/>
              <w:bottom w:val="single" w:sz="4" w:space="0" w:color="auto"/>
              <w:right w:val="single" w:sz="4" w:space="0" w:color="auto"/>
            </w:tcBorders>
            <w:shd w:val="clear" w:color="auto" w:fill="auto"/>
            <w:noWrap/>
            <w:vAlign w:val="bottom"/>
          </w:tcPr>
          <w:p w14:paraId="5ACEDB65"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473,1</w:t>
            </w:r>
          </w:p>
        </w:tc>
        <w:tc>
          <w:tcPr>
            <w:tcW w:w="851" w:type="dxa"/>
            <w:tcBorders>
              <w:top w:val="nil"/>
              <w:left w:val="nil"/>
              <w:bottom w:val="single" w:sz="4" w:space="0" w:color="auto"/>
              <w:right w:val="single" w:sz="4" w:space="0" w:color="auto"/>
            </w:tcBorders>
            <w:shd w:val="clear" w:color="auto" w:fill="auto"/>
            <w:noWrap/>
            <w:vAlign w:val="bottom"/>
          </w:tcPr>
          <w:p w14:paraId="4CC38D2E"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466,6</w:t>
            </w:r>
          </w:p>
        </w:tc>
      </w:tr>
      <w:tr w:rsidR="008643AC" w:rsidRPr="008643AC" w14:paraId="06DA1D49"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35E59C40"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Ārvalstu finanšu palīdzība</w:t>
            </w:r>
          </w:p>
        </w:tc>
        <w:tc>
          <w:tcPr>
            <w:tcW w:w="851" w:type="dxa"/>
            <w:tcBorders>
              <w:top w:val="nil"/>
              <w:left w:val="nil"/>
              <w:bottom w:val="single" w:sz="4" w:space="0" w:color="auto"/>
              <w:right w:val="single" w:sz="4" w:space="0" w:color="auto"/>
            </w:tcBorders>
            <w:shd w:val="clear" w:color="auto" w:fill="auto"/>
            <w:noWrap/>
            <w:vAlign w:val="bottom"/>
          </w:tcPr>
          <w:p w14:paraId="44A819B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1 314,0</w:t>
            </w:r>
          </w:p>
        </w:tc>
        <w:tc>
          <w:tcPr>
            <w:tcW w:w="896" w:type="dxa"/>
            <w:tcBorders>
              <w:top w:val="nil"/>
              <w:left w:val="nil"/>
              <w:bottom w:val="single" w:sz="4" w:space="0" w:color="auto"/>
              <w:right w:val="single" w:sz="4" w:space="0" w:color="auto"/>
            </w:tcBorders>
            <w:shd w:val="clear" w:color="auto" w:fill="auto"/>
            <w:noWrap/>
            <w:vAlign w:val="bottom"/>
          </w:tcPr>
          <w:p w14:paraId="7FEF72D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1 307,3</w:t>
            </w:r>
          </w:p>
        </w:tc>
        <w:tc>
          <w:tcPr>
            <w:tcW w:w="946" w:type="dxa"/>
            <w:tcBorders>
              <w:top w:val="nil"/>
              <w:left w:val="nil"/>
              <w:bottom w:val="single" w:sz="4" w:space="0" w:color="auto"/>
              <w:right w:val="single" w:sz="4" w:space="0" w:color="auto"/>
            </w:tcBorders>
            <w:shd w:val="clear" w:color="auto" w:fill="auto"/>
            <w:noWrap/>
            <w:vAlign w:val="bottom"/>
          </w:tcPr>
          <w:p w14:paraId="2015C1DB"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1 218,3</w:t>
            </w:r>
          </w:p>
        </w:tc>
        <w:tc>
          <w:tcPr>
            <w:tcW w:w="851" w:type="dxa"/>
            <w:tcBorders>
              <w:top w:val="nil"/>
              <w:left w:val="nil"/>
              <w:bottom w:val="single" w:sz="4" w:space="0" w:color="auto"/>
              <w:right w:val="single" w:sz="4" w:space="0" w:color="auto"/>
            </w:tcBorders>
            <w:shd w:val="clear" w:color="auto" w:fill="auto"/>
            <w:noWrap/>
            <w:vAlign w:val="bottom"/>
          </w:tcPr>
          <w:p w14:paraId="7DBAABE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1 446,6</w:t>
            </w:r>
          </w:p>
        </w:tc>
        <w:tc>
          <w:tcPr>
            <w:tcW w:w="850" w:type="dxa"/>
            <w:tcBorders>
              <w:top w:val="single" w:sz="4" w:space="0" w:color="auto"/>
              <w:left w:val="nil"/>
              <w:bottom w:val="single" w:sz="4" w:space="0" w:color="auto"/>
              <w:right w:val="single" w:sz="4" w:space="0" w:color="auto"/>
            </w:tcBorders>
            <w:vAlign w:val="bottom"/>
          </w:tcPr>
          <w:p w14:paraId="7D6273DE"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1 474,2</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50404A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1 219,3</w:t>
            </w:r>
          </w:p>
        </w:tc>
        <w:tc>
          <w:tcPr>
            <w:tcW w:w="850" w:type="dxa"/>
            <w:tcBorders>
              <w:top w:val="nil"/>
              <w:left w:val="nil"/>
              <w:bottom w:val="single" w:sz="4" w:space="0" w:color="auto"/>
              <w:right w:val="single" w:sz="4" w:space="0" w:color="auto"/>
            </w:tcBorders>
            <w:shd w:val="clear" w:color="auto" w:fill="auto"/>
            <w:noWrap/>
            <w:vAlign w:val="bottom"/>
          </w:tcPr>
          <w:p w14:paraId="4633885B"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1 447,0</w:t>
            </w:r>
          </w:p>
        </w:tc>
        <w:tc>
          <w:tcPr>
            <w:tcW w:w="851" w:type="dxa"/>
            <w:tcBorders>
              <w:top w:val="nil"/>
              <w:left w:val="nil"/>
              <w:bottom w:val="single" w:sz="4" w:space="0" w:color="auto"/>
              <w:right w:val="single" w:sz="4" w:space="0" w:color="auto"/>
            </w:tcBorders>
            <w:shd w:val="clear" w:color="auto" w:fill="auto"/>
            <w:noWrap/>
            <w:vAlign w:val="bottom"/>
          </w:tcPr>
          <w:p w14:paraId="4202F76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1 474,2</w:t>
            </w:r>
          </w:p>
        </w:tc>
      </w:tr>
      <w:tr w:rsidR="008643AC" w:rsidRPr="008643AC" w14:paraId="15F9B929"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78A23E73"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Pārējie ieņēmumi</w:t>
            </w:r>
          </w:p>
        </w:tc>
        <w:tc>
          <w:tcPr>
            <w:tcW w:w="851" w:type="dxa"/>
            <w:tcBorders>
              <w:top w:val="nil"/>
              <w:left w:val="nil"/>
              <w:bottom w:val="single" w:sz="4" w:space="0" w:color="auto"/>
              <w:right w:val="single" w:sz="4" w:space="0" w:color="auto"/>
            </w:tcBorders>
            <w:shd w:val="clear" w:color="auto" w:fill="auto"/>
            <w:noWrap/>
            <w:vAlign w:val="bottom"/>
          </w:tcPr>
          <w:p w14:paraId="0342C62E"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270,9</w:t>
            </w:r>
          </w:p>
        </w:tc>
        <w:tc>
          <w:tcPr>
            <w:tcW w:w="896" w:type="dxa"/>
            <w:tcBorders>
              <w:top w:val="nil"/>
              <w:left w:val="nil"/>
              <w:bottom w:val="single" w:sz="4" w:space="0" w:color="auto"/>
              <w:right w:val="single" w:sz="4" w:space="0" w:color="auto"/>
            </w:tcBorders>
            <w:shd w:val="clear" w:color="auto" w:fill="auto"/>
            <w:noWrap/>
            <w:vAlign w:val="bottom"/>
          </w:tcPr>
          <w:p w14:paraId="33B984B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251,9</w:t>
            </w:r>
          </w:p>
        </w:tc>
        <w:tc>
          <w:tcPr>
            <w:tcW w:w="946" w:type="dxa"/>
            <w:tcBorders>
              <w:top w:val="nil"/>
              <w:left w:val="nil"/>
              <w:bottom w:val="single" w:sz="4" w:space="0" w:color="auto"/>
              <w:right w:val="single" w:sz="4" w:space="0" w:color="auto"/>
            </w:tcBorders>
            <w:shd w:val="clear" w:color="auto" w:fill="auto"/>
            <w:noWrap/>
            <w:vAlign w:val="bottom"/>
          </w:tcPr>
          <w:p w14:paraId="6F2433B2"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247,0</w:t>
            </w:r>
          </w:p>
        </w:tc>
        <w:tc>
          <w:tcPr>
            <w:tcW w:w="851" w:type="dxa"/>
            <w:tcBorders>
              <w:top w:val="nil"/>
              <w:left w:val="nil"/>
              <w:bottom w:val="single" w:sz="4" w:space="0" w:color="auto"/>
              <w:right w:val="single" w:sz="4" w:space="0" w:color="auto"/>
            </w:tcBorders>
            <w:shd w:val="clear" w:color="auto" w:fill="auto"/>
            <w:noWrap/>
            <w:vAlign w:val="bottom"/>
          </w:tcPr>
          <w:p w14:paraId="5AE029C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244,7</w:t>
            </w:r>
          </w:p>
        </w:tc>
        <w:tc>
          <w:tcPr>
            <w:tcW w:w="850" w:type="dxa"/>
            <w:tcBorders>
              <w:top w:val="single" w:sz="4" w:space="0" w:color="auto"/>
              <w:left w:val="nil"/>
              <w:bottom w:val="single" w:sz="4" w:space="0" w:color="auto"/>
              <w:right w:val="single" w:sz="4" w:space="0" w:color="auto"/>
            </w:tcBorders>
            <w:vAlign w:val="bottom"/>
          </w:tcPr>
          <w:p w14:paraId="64AE8EC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248,6</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17A854F1"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246,0</w:t>
            </w:r>
          </w:p>
        </w:tc>
        <w:tc>
          <w:tcPr>
            <w:tcW w:w="850" w:type="dxa"/>
            <w:tcBorders>
              <w:top w:val="nil"/>
              <w:left w:val="nil"/>
              <w:bottom w:val="single" w:sz="4" w:space="0" w:color="auto"/>
              <w:right w:val="single" w:sz="4" w:space="0" w:color="auto"/>
            </w:tcBorders>
            <w:shd w:val="clear" w:color="auto" w:fill="auto"/>
            <w:noWrap/>
            <w:vAlign w:val="bottom"/>
          </w:tcPr>
          <w:p w14:paraId="2FCF639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243,7</w:t>
            </w:r>
          </w:p>
        </w:tc>
        <w:tc>
          <w:tcPr>
            <w:tcW w:w="851" w:type="dxa"/>
            <w:tcBorders>
              <w:top w:val="nil"/>
              <w:left w:val="nil"/>
              <w:bottom w:val="single" w:sz="4" w:space="0" w:color="auto"/>
              <w:right w:val="single" w:sz="4" w:space="0" w:color="auto"/>
            </w:tcBorders>
            <w:shd w:val="clear" w:color="auto" w:fill="auto"/>
            <w:noWrap/>
            <w:vAlign w:val="bottom"/>
          </w:tcPr>
          <w:p w14:paraId="422B662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247,6</w:t>
            </w:r>
          </w:p>
        </w:tc>
      </w:tr>
      <w:tr w:rsidR="008643AC" w:rsidRPr="008643AC" w14:paraId="284E4843"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28412413" w14:textId="77777777" w:rsidR="008643AC" w:rsidRPr="008643AC" w:rsidRDefault="008643AC" w:rsidP="008643AC">
            <w:pPr>
              <w:ind w:left="-183" w:firstLineChars="100" w:firstLine="190"/>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Izdevumi</w:t>
            </w:r>
          </w:p>
        </w:tc>
        <w:tc>
          <w:tcPr>
            <w:tcW w:w="851" w:type="dxa"/>
            <w:tcBorders>
              <w:top w:val="nil"/>
              <w:left w:val="nil"/>
              <w:bottom w:val="single" w:sz="4" w:space="0" w:color="auto"/>
              <w:right w:val="single" w:sz="4" w:space="0" w:color="auto"/>
            </w:tcBorders>
            <w:shd w:val="clear" w:color="auto" w:fill="auto"/>
            <w:noWrap/>
            <w:vAlign w:val="bottom"/>
          </w:tcPr>
          <w:p w14:paraId="6611BFF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9 595,8</w:t>
            </w:r>
          </w:p>
        </w:tc>
        <w:tc>
          <w:tcPr>
            <w:tcW w:w="896" w:type="dxa"/>
            <w:tcBorders>
              <w:top w:val="nil"/>
              <w:left w:val="nil"/>
              <w:bottom w:val="single" w:sz="4" w:space="0" w:color="auto"/>
              <w:right w:val="single" w:sz="4" w:space="0" w:color="auto"/>
            </w:tcBorders>
            <w:shd w:val="clear" w:color="auto" w:fill="auto"/>
            <w:noWrap/>
            <w:vAlign w:val="bottom"/>
          </w:tcPr>
          <w:p w14:paraId="51FF8455"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10 954,7</w:t>
            </w:r>
          </w:p>
        </w:tc>
        <w:tc>
          <w:tcPr>
            <w:tcW w:w="946" w:type="dxa"/>
            <w:tcBorders>
              <w:top w:val="nil"/>
              <w:left w:val="nil"/>
              <w:bottom w:val="single" w:sz="4" w:space="0" w:color="auto"/>
              <w:right w:val="single" w:sz="4" w:space="0" w:color="auto"/>
            </w:tcBorders>
            <w:shd w:val="clear" w:color="auto" w:fill="auto"/>
            <w:noWrap/>
            <w:vAlign w:val="bottom"/>
          </w:tcPr>
          <w:p w14:paraId="5284A3E5"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10 669,4</w:t>
            </w:r>
          </w:p>
        </w:tc>
        <w:tc>
          <w:tcPr>
            <w:tcW w:w="851" w:type="dxa"/>
            <w:tcBorders>
              <w:top w:val="nil"/>
              <w:left w:val="nil"/>
              <w:bottom w:val="single" w:sz="4" w:space="0" w:color="auto"/>
              <w:right w:val="single" w:sz="4" w:space="0" w:color="auto"/>
            </w:tcBorders>
            <w:shd w:val="clear" w:color="auto" w:fill="auto"/>
            <w:noWrap/>
            <w:vAlign w:val="bottom"/>
          </w:tcPr>
          <w:p w14:paraId="45905B1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10 897,0</w:t>
            </w:r>
          </w:p>
        </w:tc>
        <w:tc>
          <w:tcPr>
            <w:tcW w:w="850" w:type="dxa"/>
            <w:tcBorders>
              <w:top w:val="single" w:sz="4" w:space="0" w:color="auto"/>
              <w:left w:val="nil"/>
              <w:bottom w:val="single" w:sz="4" w:space="0" w:color="auto"/>
              <w:right w:val="single" w:sz="4" w:space="0" w:color="auto"/>
            </w:tcBorders>
            <w:vAlign w:val="bottom"/>
          </w:tcPr>
          <w:p w14:paraId="4E024A9B"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10 836,0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8F4F55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10 931,9</w:t>
            </w:r>
          </w:p>
        </w:tc>
        <w:tc>
          <w:tcPr>
            <w:tcW w:w="850" w:type="dxa"/>
            <w:tcBorders>
              <w:top w:val="nil"/>
              <w:left w:val="nil"/>
              <w:bottom w:val="single" w:sz="4" w:space="0" w:color="auto"/>
              <w:right w:val="single" w:sz="4" w:space="0" w:color="auto"/>
            </w:tcBorders>
            <w:shd w:val="clear" w:color="auto" w:fill="auto"/>
            <w:noWrap/>
            <w:vAlign w:val="bottom"/>
          </w:tcPr>
          <w:p w14:paraId="787442E5"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11 237,9</w:t>
            </w:r>
          </w:p>
        </w:tc>
        <w:tc>
          <w:tcPr>
            <w:tcW w:w="851" w:type="dxa"/>
            <w:tcBorders>
              <w:top w:val="nil"/>
              <w:left w:val="nil"/>
              <w:bottom w:val="single" w:sz="4" w:space="0" w:color="auto"/>
              <w:right w:val="single" w:sz="4" w:space="0" w:color="auto"/>
            </w:tcBorders>
            <w:shd w:val="clear" w:color="auto" w:fill="auto"/>
            <w:noWrap/>
            <w:vAlign w:val="bottom"/>
          </w:tcPr>
          <w:p w14:paraId="1F3751E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11 181,0</w:t>
            </w:r>
          </w:p>
        </w:tc>
      </w:tr>
      <w:tr w:rsidR="008643AC" w:rsidRPr="008643AC" w14:paraId="7565F93F"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5E370C67"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Uzturēšanas izdevumi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3B20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8 816,4</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3A3050A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10 140,6</w:t>
            </w:r>
          </w:p>
        </w:tc>
        <w:tc>
          <w:tcPr>
            <w:tcW w:w="946" w:type="dxa"/>
            <w:tcBorders>
              <w:top w:val="single" w:sz="4" w:space="0" w:color="auto"/>
              <w:left w:val="nil"/>
              <w:bottom w:val="single" w:sz="4" w:space="0" w:color="auto"/>
              <w:right w:val="single" w:sz="4" w:space="0" w:color="auto"/>
            </w:tcBorders>
            <w:shd w:val="clear" w:color="auto" w:fill="auto"/>
            <w:noWrap/>
            <w:vAlign w:val="bottom"/>
          </w:tcPr>
          <w:p w14:paraId="6A93591B"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9 995,3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1CE53D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10 168,6</w:t>
            </w:r>
          </w:p>
        </w:tc>
        <w:tc>
          <w:tcPr>
            <w:tcW w:w="850" w:type="dxa"/>
            <w:tcBorders>
              <w:top w:val="single" w:sz="4" w:space="0" w:color="auto"/>
              <w:left w:val="nil"/>
              <w:bottom w:val="single" w:sz="4" w:space="0" w:color="auto"/>
              <w:right w:val="single" w:sz="4" w:space="0" w:color="auto"/>
            </w:tcBorders>
            <w:vAlign w:val="bottom"/>
          </w:tcPr>
          <w:p w14:paraId="5372988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10 295,8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2227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10 255,7</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00154F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10 474,2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25A635"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10 662,7</w:t>
            </w:r>
          </w:p>
        </w:tc>
      </w:tr>
      <w:tr w:rsidR="008643AC" w:rsidRPr="008643AC" w14:paraId="39B366B9"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6417D65A"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Kapitālie izdevumi</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01872D4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779,4</w:t>
            </w:r>
          </w:p>
        </w:tc>
        <w:tc>
          <w:tcPr>
            <w:tcW w:w="896" w:type="dxa"/>
            <w:tcBorders>
              <w:top w:val="nil"/>
              <w:left w:val="nil"/>
              <w:bottom w:val="single" w:sz="4" w:space="0" w:color="auto"/>
              <w:right w:val="single" w:sz="4" w:space="0" w:color="auto"/>
            </w:tcBorders>
            <w:shd w:val="clear" w:color="auto" w:fill="auto"/>
            <w:noWrap/>
            <w:vAlign w:val="bottom"/>
          </w:tcPr>
          <w:p w14:paraId="39E032C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814,1</w:t>
            </w:r>
          </w:p>
        </w:tc>
        <w:tc>
          <w:tcPr>
            <w:tcW w:w="946" w:type="dxa"/>
            <w:tcBorders>
              <w:top w:val="nil"/>
              <w:left w:val="nil"/>
              <w:bottom w:val="single" w:sz="4" w:space="0" w:color="auto"/>
              <w:right w:val="single" w:sz="4" w:space="0" w:color="auto"/>
            </w:tcBorders>
            <w:shd w:val="clear" w:color="auto" w:fill="auto"/>
            <w:noWrap/>
            <w:vAlign w:val="bottom"/>
          </w:tcPr>
          <w:p w14:paraId="6908515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674,1</w:t>
            </w:r>
          </w:p>
        </w:tc>
        <w:tc>
          <w:tcPr>
            <w:tcW w:w="851" w:type="dxa"/>
            <w:tcBorders>
              <w:top w:val="nil"/>
              <w:left w:val="nil"/>
              <w:bottom w:val="single" w:sz="4" w:space="0" w:color="auto"/>
              <w:right w:val="single" w:sz="4" w:space="0" w:color="auto"/>
            </w:tcBorders>
            <w:shd w:val="clear" w:color="auto" w:fill="auto"/>
            <w:noWrap/>
            <w:vAlign w:val="bottom"/>
          </w:tcPr>
          <w:p w14:paraId="7F2618A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728,4</w:t>
            </w:r>
          </w:p>
        </w:tc>
        <w:tc>
          <w:tcPr>
            <w:tcW w:w="850" w:type="dxa"/>
            <w:tcBorders>
              <w:top w:val="single" w:sz="4" w:space="0" w:color="auto"/>
              <w:left w:val="nil"/>
              <w:bottom w:val="single" w:sz="4" w:space="0" w:color="auto"/>
              <w:right w:val="single" w:sz="4" w:space="0" w:color="auto"/>
            </w:tcBorders>
            <w:vAlign w:val="bottom"/>
          </w:tcPr>
          <w:p w14:paraId="738C9D8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540,2</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74841C61"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676,2</w:t>
            </w:r>
          </w:p>
        </w:tc>
        <w:tc>
          <w:tcPr>
            <w:tcW w:w="850" w:type="dxa"/>
            <w:tcBorders>
              <w:top w:val="nil"/>
              <w:left w:val="nil"/>
              <w:bottom w:val="single" w:sz="4" w:space="0" w:color="auto"/>
              <w:right w:val="single" w:sz="4" w:space="0" w:color="auto"/>
            </w:tcBorders>
            <w:shd w:val="clear" w:color="auto" w:fill="auto"/>
            <w:noWrap/>
            <w:vAlign w:val="bottom"/>
          </w:tcPr>
          <w:p w14:paraId="0B41BB7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763,7</w:t>
            </w:r>
          </w:p>
        </w:tc>
        <w:tc>
          <w:tcPr>
            <w:tcW w:w="851" w:type="dxa"/>
            <w:tcBorders>
              <w:top w:val="nil"/>
              <w:left w:val="nil"/>
              <w:bottom w:val="single" w:sz="4" w:space="0" w:color="auto"/>
              <w:right w:val="single" w:sz="4" w:space="0" w:color="auto"/>
            </w:tcBorders>
            <w:shd w:val="clear" w:color="auto" w:fill="auto"/>
            <w:noWrap/>
            <w:vAlign w:val="bottom"/>
          </w:tcPr>
          <w:p w14:paraId="73C0777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518,3</w:t>
            </w:r>
          </w:p>
        </w:tc>
      </w:tr>
      <w:tr w:rsidR="008643AC" w:rsidRPr="008643AC" w14:paraId="00687F68"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32788912" w14:textId="77777777" w:rsidR="008643AC" w:rsidRPr="008643AC" w:rsidRDefault="008643AC" w:rsidP="008643AC">
            <w:pPr>
              <w:rPr>
                <w:rFonts w:ascii="Times New Roman" w:eastAsia="Times New Roman" w:hAnsi="Times New Roman" w:cs="Times New Roman"/>
                <w:b/>
                <w:bCs/>
                <w:i/>
                <w:iCs/>
                <w:sz w:val="19"/>
                <w:szCs w:val="19"/>
              </w:rPr>
            </w:pPr>
            <w:r w:rsidRPr="008643AC">
              <w:rPr>
                <w:rFonts w:ascii="Times New Roman" w:eastAsia="Times New Roman" w:hAnsi="Times New Roman" w:cs="Times New Roman"/>
                <w:b/>
                <w:bCs/>
                <w:i/>
                <w:iCs/>
                <w:sz w:val="19"/>
                <w:szCs w:val="19"/>
              </w:rPr>
              <w:t>VALSTS PAMATBUDŽETA BILANCE</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52F446A"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-485,0</w:t>
            </w: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1607E49"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-1 607,3</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3DD97FF3"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-1 108,8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C0E676A"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-745,8</w:t>
            </w:r>
          </w:p>
        </w:tc>
        <w:tc>
          <w:tcPr>
            <w:tcW w:w="850" w:type="dxa"/>
            <w:tcBorders>
              <w:top w:val="single" w:sz="4" w:space="0" w:color="auto"/>
              <w:left w:val="nil"/>
              <w:bottom w:val="single" w:sz="4" w:space="0" w:color="auto"/>
              <w:right w:val="single" w:sz="4" w:space="0" w:color="auto"/>
            </w:tcBorders>
            <w:vAlign w:val="center"/>
          </w:tcPr>
          <w:p w14:paraId="2FA23B0E"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050FD"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-1 158,0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EFEFFF"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-884,2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0D6EDAA"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-361,8</w:t>
            </w:r>
          </w:p>
        </w:tc>
      </w:tr>
      <w:tr w:rsidR="008643AC" w:rsidRPr="008643AC" w14:paraId="03369F53"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43EC7AF1" w14:textId="77777777" w:rsidR="008643AC" w:rsidRPr="008643AC" w:rsidRDefault="008643AC" w:rsidP="008643AC">
            <w:pPr>
              <w:ind w:left="-183" w:firstLineChars="100" w:firstLine="190"/>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Ieņēmumi</w:t>
            </w:r>
          </w:p>
        </w:tc>
        <w:tc>
          <w:tcPr>
            <w:tcW w:w="851" w:type="dxa"/>
            <w:tcBorders>
              <w:top w:val="nil"/>
              <w:left w:val="nil"/>
              <w:bottom w:val="single" w:sz="4" w:space="0" w:color="auto"/>
              <w:right w:val="single" w:sz="4" w:space="0" w:color="auto"/>
            </w:tcBorders>
            <w:shd w:val="clear" w:color="auto" w:fill="auto"/>
            <w:noWrap/>
            <w:vAlign w:val="bottom"/>
          </w:tcPr>
          <w:p w14:paraId="6235584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6 431,1</w:t>
            </w:r>
          </w:p>
        </w:tc>
        <w:tc>
          <w:tcPr>
            <w:tcW w:w="896" w:type="dxa"/>
            <w:tcBorders>
              <w:top w:val="nil"/>
              <w:left w:val="nil"/>
              <w:bottom w:val="single" w:sz="4" w:space="0" w:color="auto"/>
              <w:right w:val="single" w:sz="4" w:space="0" w:color="auto"/>
            </w:tcBorders>
            <w:shd w:val="clear" w:color="auto" w:fill="auto"/>
            <w:noWrap/>
            <w:vAlign w:val="bottom"/>
          </w:tcPr>
          <w:p w14:paraId="338967A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6 316,3</w:t>
            </w:r>
          </w:p>
        </w:tc>
        <w:tc>
          <w:tcPr>
            <w:tcW w:w="946" w:type="dxa"/>
            <w:tcBorders>
              <w:top w:val="nil"/>
              <w:left w:val="nil"/>
              <w:bottom w:val="single" w:sz="4" w:space="0" w:color="auto"/>
              <w:right w:val="single" w:sz="4" w:space="0" w:color="auto"/>
            </w:tcBorders>
            <w:shd w:val="clear" w:color="auto" w:fill="auto"/>
            <w:noWrap/>
            <w:vAlign w:val="bottom"/>
          </w:tcPr>
          <w:p w14:paraId="395A37C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6 424,2</w:t>
            </w:r>
          </w:p>
        </w:tc>
        <w:tc>
          <w:tcPr>
            <w:tcW w:w="851" w:type="dxa"/>
            <w:tcBorders>
              <w:top w:val="nil"/>
              <w:left w:val="nil"/>
              <w:bottom w:val="single" w:sz="4" w:space="0" w:color="auto"/>
              <w:right w:val="single" w:sz="4" w:space="0" w:color="auto"/>
            </w:tcBorders>
            <w:shd w:val="clear" w:color="auto" w:fill="auto"/>
            <w:noWrap/>
            <w:vAlign w:val="bottom"/>
          </w:tcPr>
          <w:p w14:paraId="551B8DE9"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6 923,9</w:t>
            </w:r>
          </w:p>
        </w:tc>
        <w:tc>
          <w:tcPr>
            <w:tcW w:w="850" w:type="dxa"/>
            <w:tcBorders>
              <w:top w:val="single" w:sz="4" w:space="0" w:color="auto"/>
              <w:left w:val="nil"/>
              <w:bottom w:val="single" w:sz="4" w:space="0" w:color="auto"/>
              <w:right w:val="single" w:sz="4" w:space="0" w:color="auto"/>
            </w:tcBorders>
            <w:vAlign w:val="bottom"/>
          </w:tcPr>
          <w:p w14:paraId="1D2006B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7 224,9</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70ADDFC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6 688,2</w:t>
            </w:r>
          </w:p>
        </w:tc>
        <w:tc>
          <w:tcPr>
            <w:tcW w:w="850" w:type="dxa"/>
            <w:tcBorders>
              <w:top w:val="nil"/>
              <w:left w:val="nil"/>
              <w:bottom w:val="single" w:sz="4" w:space="0" w:color="auto"/>
              <w:right w:val="single" w:sz="4" w:space="0" w:color="auto"/>
            </w:tcBorders>
            <w:shd w:val="clear" w:color="auto" w:fill="auto"/>
            <w:noWrap/>
            <w:vAlign w:val="bottom"/>
          </w:tcPr>
          <w:p w14:paraId="596FFFC9"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7 190,3</w:t>
            </w:r>
          </w:p>
        </w:tc>
        <w:tc>
          <w:tcPr>
            <w:tcW w:w="851" w:type="dxa"/>
            <w:tcBorders>
              <w:top w:val="nil"/>
              <w:left w:val="nil"/>
              <w:bottom w:val="single" w:sz="4" w:space="0" w:color="auto"/>
              <w:right w:val="single" w:sz="4" w:space="0" w:color="auto"/>
            </w:tcBorders>
            <w:shd w:val="clear" w:color="auto" w:fill="auto"/>
            <w:noWrap/>
            <w:vAlign w:val="bottom"/>
          </w:tcPr>
          <w:p w14:paraId="38B497F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7 476,1</w:t>
            </w:r>
          </w:p>
        </w:tc>
      </w:tr>
      <w:tr w:rsidR="008643AC" w:rsidRPr="008643AC" w14:paraId="00781940"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618AD64B"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Nodokļu ieņēmumi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BDC5B"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4 473,0</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4751691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4 364,0</w:t>
            </w:r>
          </w:p>
        </w:tc>
        <w:tc>
          <w:tcPr>
            <w:tcW w:w="946" w:type="dxa"/>
            <w:tcBorders>
              <w:top w:val="single" w:sz="4" w:space="0" w:color="auto"/>
              <w:left w:val="nil"/>
              <w:bottom w:val="single" w:sz="4" w:space="0" w:color="auto"/>
              <w:right w:val="single" w:sz="4" w:space="0" w:color="auto"/>
            </w:tcBorders>
            <w:shd w:val="clear" w:color="auto" w:fill="auto"/>
            <w:noWrap/>
            <w:vAlign w:val="bottom"/>
          </w:tcPr>
          <w:p w14:paraId="193AB0D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4 753,1</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B9EF521"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5 054,5</w:t>
            </w:r>
          </w:p>
        </w:tc>
        <w:tc>
          <w:tcPr>
            <w:tcW w:w="850" w:type="dxa"/>
            <w:tcBorders>
              <w:top w:val="single" w:sz="4" w:space="0" w:color="auto"/>
              <w:left w:val="nil"/>
              <w:bottom w:val="single" w:sz="4" w:space="0" w:color="auto"/>
              <w:right w:val="single" w:sz="4" w:space="0" w:color="auto"/>
            </w:tcBorders>
            <w:vAlign w:val="bottom"/>
          </w:tcPr>
          <w:p w14:paraId="1C2EE8B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5 325,5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202A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4 932,7</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84CA28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5 247,5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F03D10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5 516,4</w:t>
            </w:r>
          </w:p>
        </w:tc>
      </w:tr>
      <w:tr w:rsidR="008643AC" w:rsidRPr="008643AC" w14:paraId="32973774"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1A6D55D6"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Ne-nodokļu ieņēmumi</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6F82C55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529,0</w:t>
            </w:r>
          </w:p>
        </w:tc>
        <w:tc>
          <w:tcPr>
            <w:tcW w:w="896" w:type="dxa"/>
            <w:tcBorders>
              <w:top w:val="nil"/>
              <w:left w:val="nil"/>
              <w:bottom w:val="single" w:sz="4" w:space="0" w:color="auto"/>
              <w:right w:val="single" w:sz="4" w:space="0" w:color="auto"/>
            </w:tcBorders>
            <w:shd w:val="clear" w:color="auto" w:fill="auto"/>
            <w:noWrap/>
            <w:vAlign w:val="bottom"/>
          </w:tcPr>
          <w:p w14:paraId="06D879D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546,7</w:t>
            </w:r>
          </w:p>
        </w:tc>
        <w:tc>
          <w:tcPr>
            <w:tcW w:w="946" w:type="dxa"/>
            <w:tcBorders>
              <w:top w:val="nil"/>
              <w:left w:val="nil"/>
              <w:bottom w:val="single" w:sz="4" w:space="0" w:color="auto"/>
              <w:right w:val="single" w:sz="4" w:space="0" w:color="auto"/>
            </w:tcBorders>
            <w:shd w:val="clear" w:color="auto" w:fill="auto"/>
            <w:noWrap/>
            <w:vAlign w:val="bottom"/>
          </w:tcPr>
          <w:p w14:paraId="39C74BBB"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364,1</w:t>
            </w:r>
          </w:p>
        </w:tc>
        <w:tc>
          <w:tcPr>
            <w:tcW w:w="851" w:type="dxa"/>
            <w:tcBorders>
              <w:top w:val="nil"/>
              <w:left w:val="nil"/>
              <w:bottom w:val="single" w:sz="4" w:space="0" w:color="auto"/>
              <w:right w:val="single" w:sz="4" w:space="0" w:color="auto"/>
            </w:tcBorders>
            <w:shd w:val="clear" w:color="auto" w:fill="auto"/>
            <w:noWrap/>
            <w:vAlign w:val="bottom"/>
          </w:tcPr>
          <w:p w14:paraId="2DB10CDE"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341,7</w:t>
            </w:r>
          </w:p>
        </w:tc>
        <w:tc>
          <w:tcPr>
            <w:tcW w:w="850" w:type="dxa"/>
            <w:tcBorders>
              <w:top w:val="single" w:sz="4" w:space="0" w:color="auto"/>
              <w:left w:val="nil"/>
              <w:bottom w:val="single" w:sz="4" w:space="0" w:color="auto"/>
              <w:right w:val="single" w:sz="4" w:space="0" w:color="auto"/>
            </w:tcBorders>
            <w:vAlign w:val="bottom"/>
          </w:tcPr>
          <w:p w14:paraId="7C476282"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343,8</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99B087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447,9</w:t>
            </w:r>
          </w:p>
        </w:tc>
        <w:tc>
          <w:tcPr>
            <w:tcW w:w="850" w:type="dxa"/>
            <w:tcBorders>
              <w:top w:val="nil"/>
              <w:left w:val="nil"/>
              <w:bottom w:val="single" w:sz="4" w:space="0" w:color="auto"/>
              <w:right w:val="single" w:sz="4" w:space="0" w:color="auto"/>
            </w:tcBorders>
            <w:shd w:val="clear" w:color="auto" w:fill="auto"/>
            <w:noWrap/>
            <w:vAlign w:val="bottom"/>
          </w:tcPr>
          <w:p w14:paraId="2BA0A52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415,1</w:t>
            </w:r>
          </w:p>
        </w:tc>
        <w:tc>
          <w:tcPr>
            <w:tcW w:w="851" w:type="dxa"/>
            <w:tcBorders>
              <w:top w:val="nil"/>
              <w:left w:val="nil"/>
              <w:bottom w:val="single" w:sz="4" w:space="0" w:color="auto"/>
              <w:right w:val="single" w:sz="4" w:space="0" w:color="auto"/>
            </w:tcBorders>
            <w:shd w:val="clear" w:color="auto" w:fill="auto"/>
            <w:noWrap/>
            <w:vAlign w:val="bottom"/>
          </w:tcPr>
          <w:p w14:paraId="4CECC6E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404,9</w:t>
            </w:r>
          </w:p>
        </w:tc>
      </w:tr>
      <w:tr w:rsidR="008643AC" w:rsidRPr="008643AC" w14:paraId="02E7464D"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6E372512"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Ārvalstu finanšu palīdzība</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4960BC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1 292,7</w:t>
            </w:r>
          </w:p>
        </w:tc>
        <w:tc>
          <w:tcPr>
            <w:tcW w:w="896" w:type="dxa"/>
            <w:tcBorders>
              <w:top w:val="nil"/>
              <w:left w:val="nil"/>
              <w:bottom w:val="single" w:sz="4" w:space="0" w:color="auto"/>
              <w:right w:val="single" w:sz="4" w:space="0" w:color="auto"/>
            </w:tcBorders>
            <w:shd w:val="clear" w:color="auto" w:fill="auto"/>
            <w:noWrap/>
            <w:vAlign w:val="bottom"/>
          </w:tcPr>
          <w:p w14:paraId="1B4E2B2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1 288,3</w:t>
            </w:r>
          </w:p>
        </w:tc>
        <w:tc>
          <w:tcPr>
            <w:tcW w:w="946" w:type="dxa"/>
            <w:tcBorders>
              <w:top w:val="nil"/>
              <w:left w:val="nil"/>
              <w:bottom w:val="single" w:sz="4" w:space="0" w:color="auto"/>
              <w:right w:val="single" w:sz="4" w:space="0" w:color="auto"/>
            </w:tcBorders>
            <w:shd w:val="clear" w:color="auto" w:fill="auto"/>
            <w:noWrap/>
            <w:vAlign w:val="bottom"/>
          </w:tcPr>
          <w:p w14:paraId="20DA65E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1 199,3</w:t>
            </w:r>
          </w:p>
        </w:tc>
        <w:tc>
          <w:tcPr>
            <w:tcW w:w="851" w:type="dxa"/>
            <w:tcBorders>
              <w:top w:val="nil"/>
              <w:left w:val="nil"/>
              <w:bottom w:val="single" w:sz="4" w:space="0" w:color="auto"/>
              <w:right w:val="single" w:sz="4" w:space="0" w:color="auto"/>
            </w:tcBorders>
            <w:shd w:val="clear" w:color="auto" w:fill="auto"/>
            <w:noWrap/>
            <w:vAlign w:val="bottom"/>
          </w:tcPr>
          <w:p w14:paraId="7584875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1 427,6</w:t>
            </w:r>
          </w:p>
        </w:tc>
        <w:tc>
          <w:tcPr>
            <w:tcW w:w="850" w:type="dxa"/>
            <w:tcBorders>
              <w:top w:val="single" w:sz="4" w:space="0" w:color="auto"/>
              <w:left w:val="nil"/>
              <w:bottom w:val="single" w:sz="4" w:space="0" w:color="auto"/>
              <w:right w:val="single" w:sz="4" w:space="0" w:color="auto"/>
            </w:tcBorders>
            <w:vAlign w:val="bottom"/>
          </w:tcPr>
          <w:p w14:paraId="784808F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1 456,2</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7E8BC935"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1 200,3</w:t>
            </w:r>
          </w:p>
        </w:tc>
        <w:tc>
          <w:tcPr>
            <w:tcW w:w="850" w:type="dxa"/>
            <w:tcBorders>
              <w:top w:val="nil"/>
              <w:left w:val="nil"/>
              <w:bottom w:val="single" w:sz="4" w:space="0" w:color="auto"/>
              <w:right w:val="single" w:sz="4" w:space="0" w:color="auto"/>
            </w:tcBorders>
            <w:shd w:val="clear" w:color="auto" w:fill="auto"/>
            <w:noWrap/>
            <w:vAlign w:val="bottom"/>
          </w:tcPr>
          <w:p w14:paraId="53B2F75B"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1 428,0</w:t>
            </w:r>
          </w:p>
        </w:tc>
        <w:tc>
          <w:tcPr>
            <w:tcW w:w="851" w:type="dxa"/>
            <w:tcBorders>
              <w:top w:val="nil"/>
              <w:left w:val="nil"/>
              <w:bottom w:val="single" w:sz="4" w:space="0" w:color="auto"/>
              <w:right w:val="single" w:sz="4" w:space="0" w:color="auto"/>
            </w:tcBorders>
            <w:shd w:val="clear" w:color="auto" w:fill="auto"/>
            <w:noWrap/>
            <w:vAlign w:val="bottom"/>
          </w:tcPr>
          <w:p w14:paraId="13C836B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1 456,2</w:t>
            </w:r>
          </w:p>
        </w:tc>
      </w:tr>
      <w:tr w:rsidR="008643AC" w:rsidRPr="008643AC" w14:paraId="47CE16A5"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7D80A035"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Pārējie ieņēmumi</w:t>
            </w:r>
          </w:p>
        </w:tc>
        <w:tc>
          <w:tcPr>
            <w:tcW w:w="851" w:type="dxa"/>
            <w:tcBorders>
              <w:top w:val="nil"/>
              <w:left w:val="nil"/>
              <w:bottom w:val="single" w:sz="4" w:space="0" w:color="auto"/>
              <w:right w:val="single" w:sz="4" w:space="0" w:color="auto"/>
            </w:tcBorders>
            <w:shd w:val="clear" w:color="auto" w:fill="auto"/>
            <w:noWrap/>
            <w:vAlign w:val="bottom"/>
          </w:tcPr>
          <w:p w14:paraId="4A8EFFD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136,3</w:t>
            </w:r>
          </w:p>
        </w:tc>
        <w:tc>
          <w:tcPr>
            <w:tcW w:w="896" w:type="dxa"/>
            <w:tcBorders>
              <w:top w:val="nil"/>
              <w:left w:val="nil"/>
              <w:bottom w:val="single" w:sz="4" w:space="0" w:color="auto"/>
              <w:right w:val="single" w:sz="4" w:space="0" w:color="auto"/>
            </w:tcBorders>
            <w:shd w:val="clear" w:color="auto" w:fill="auto"/>
            <w:noWrap/>
            <w:vAlign w:val="bottom"/>
          </w:tcPr>
          <w:p w14:paraId="6AFA1CA5"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117,2</w:t>
            </w:r>
          </w:p>
        </w:tc>
        <w:tc>
          <w:tcPr>
            <w:tcW w:w="946" w:type="dxa"/>
            <w:tcBorders>
              <w:top w:val="nil"/>
              <w:left w:val="nil"/>
              <w:bottom w:val="single" w:sz="4" w:space="0" w:color="auto"/>
              <w:right w:val="single" w:sz="4" w:space="0" w:color="auto"/>
            </w:tcBorders>
            <w:shd w:val="clear" w:color="auto" w:fill="auto"/>
            <w:noWrap/>
            <w:vAlign w:val="bottom"/>
          </w:tcPr>
          <w:p w14:paraId="1829C69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107,7</w:t>
            </w:r>
          </w:p>
        </w:tc>
        <w:tc>
          <w:tcPr>
            <w:tcW w:w="851" w:type="dxa"/>
            <w:tcBorders>
              <w:top w:val="nil"/>
              <w:left w:val="nil"/>
              <w:bottom w:val="single" w:sz="4" w:space="0" w:color="auto"/>
              <w:right w:val="single" w:sz="4" w:space="0" w:color="auto"/>
            </w:tcBorders>
            <w:shd w:val="clear" w:color="auto" w:fill="auto"/>
            <w:noWrap/>
            <w:vAlign w:val="bottom"/>
          </w:tcPr>
          <w:p w14:paraId="15B4C1B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100,1</w:t>
            </w:r>
          </w:p>
        </w:tc>
        <w:tc>
          <w:tcPr>
            <w:tcW w:w="850" w:type="dxa"/>
            <w:tcBorders>
              <w:top w:val="single" w:sz="4" w:space="0" w:color="auto"/>
              <w:left w:val="nil"/>
              <w:bottom w:val="single" w:sz="4" w:space="0" w:color="auto"/>
              <w:right w:val="single" w:sz="4" w:space="0" w:color="auto"/>
            </w:tcBorders>
            <w:vAlign w:val="bottom"/>
          </w:tcPr>
          <w:p w14:paraId="52782CB2"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99,4</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675790B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107,3</w:t>
            </w:r>
          </w:p>
        </w:tc>
        <w:tc>
          <w:tcPr>
            <w:tcW w:w="850" w:type="dxa"/>
            <w:tcBorders>
              <w:top w:val="nil"/>
              <w:left w:val="nil"/>
              <w:bottom w:val="single" w:sz="4" w:space="0" w:color="auto"/>
              <w:right w:val="single" w:sz="4" w:space="0" w:color="auto"/>
            </w:tcBorders>
            <w:shd w:val="clear" w:color="auto" w:fill="auto"/>
            <w:noWrap/>
            <w:vAlign w:val="bottom"/>
          </w:tcPr>
          <w:p w14:paraId="255887F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99,7</w:t>
            </w:r>
          </w:p>
        </w:tc>
        <w:tc>
          <w:tcPr>
            <w:tcW w:w="851" w:type="dxa"/>
            <w:tcBorders>
              <w:top w:val="nil"/>
              <w:left w:val="nil"/>
              <w:bottom w:val="single" w:sz="4" w:space="0" w:color="auto"/>
              <w:right w:val="single" w:sz="4" w:space="0" w:color="auto"/>
            </w:tcBorders>
            <w:shd w:val="clear" w:color="auto" w:fill="auto"/>
            <w:noWrap/>
            <w:vAlign w:val="bottom"/>
          </w:tcPr>
          <w:p w14:paraId="5064D862"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98,5</w:t>
            </w:r>
          </w:p>
        </w:tc>
      </w:tr>
      <w:tr w:rsidR="008643AC" w:rsidRPr="008643AC" w14:paraId="5BB1F8D0" w14:textId="77777777" w:rsidTr="00FB5161">
        <w:trPr>
          <w:trHeight w:val="104"/>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48479920" w14:textId="77777777" w:rsidR="008643AC" w:rsidRPr="008643AC" w:rsidRDefault="008643AC" w:rsidP="008643AC">
            <w:pPr>
              <w:ind w:left="-183" w:firstLineChars="100" w:firstLine="190"/>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Izdevumi</w:t>
            </w:r>
          </w:p>
        </w:tc>
        <w:tc>
          <w:tcPr>
            <w:tcW w:w="851" w:type="dxa"/>
            <w:tcBorders>
              <w:top w:val="nil"/>
              <w:left w:val="nil"/>
              <w:bottom w:val="single" w:sz="4" w:space="0" w:color="auto"/>
              <w:right w:val="single" w:sz="4" w:space="0" w:color="auto"/>
            </w:tcBorders>
            <w:shd w:val="clear" w:color="auto" w:fill="auto"/>
            <w:noWrap/>
            <w:vAlign w:val="bottom"/>
          </w:tcPr>
          <w:p w14:paraId="7DCA2AA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6 916,2</w:t>
            </w:r>
          </w:p>
        </w:tc>
        <w:tc>
          <w:tcPr>
            <w:tcW w:w="896" w:type="dxa"/>
            <w:tcBorders>
              <w:top w:val="nil"/>
              <w:left w:val="nil"/>
              <w:bottom w:val="single" w:sz="4" w:space="0" w:color="auto"/>
              <w:right w:val="single" w:sz="4" w:space="0" w:color="auto"/>
            </w:tcBorders>
            <w:shd w:val="clear" w:color="auto" w:fill="auto"/>
            <w:noWrap/>
            <w:vAlign w:val="bottom"/>
          </w:tcPr>
          <w:p w14:paraId="4FD3343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7 923,5</w:t>
            </w:r>
          </w:p>
        </w:tc>
        <w:tc>
          <w:tcPr>
            <w:tcW w:w="946" w:type="dxa"/>
            <w:tcBorders>
              <w:top w:val="nil"/>
              <w:left w:val="nil"/>
              <w:bottom w:val="single" w:sz="4" w:space="0" w:color="auto"/>
              <w:right w:val="single" w:sz="4" w:space="0" w:color="auto"/>
            </w:tcBorders>
            <w:shd w:val="clear" w:color="auto" w:fill="auto"/>
            <w:noWrap/>
            <w:vAlign w:val="bottom"/>
          </w:tcPr>
          <w:p w14:paraId="7486087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7 533,0</w:t>
            </w:r>
          </w:p>
        </w:tc>
        <w:tc>
          <w:tcPr>
            <w:tcW w:w="851" w:type="dxa"/>
            <w:tcBorders>
              <w:top w:val="nil"/>
              <w:left w:val="nil"/>
              <w:bottom w:val="single" w:sz="4" w:space="0" w:color="auto"/>
              <w:right w:val="single" w:sz="4" w:space="0" w:color="auto"/>
            </w:tcBorders>
            <w:shd w:val="clear" w:color="auto" w:fill="auto"/>
            <w:noWrap/>
            <w:vAlign w:val="bottom"/>
          </w:tcPr>
          <w:p w14:paraId="54FF1D0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7 669,7</w:t>
            </w:r>
          </w:p>
        </w:tc>
        <w:tc>
          <w:tcPr>
            <w:tcW w:w="850" w:type="dxa"/>
            <w:tcBorders>
              <w:top w:val="single" w:sz="4" w:space="0" w:color="auto"/>
              <w:left w:val="nil"/>
              <w:bottom w:val="single" w:sz="4" w:space="0" w:color="auto"/>
              <w:right w:val="single" w:sz="4" w:space="0" w:color="auto"/>
            </w:tcBorders>
            <w:vAlign w:val="bottom"/>
          </w:tcPr>
          <w:p w14:paraId="5A08D20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7 427,5</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1F6E63D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7 846,2</w:t>
            </w:r>
          </w:p>
        </w:tc>
        <w:tc>
          <w:tcPr>
            <w:tcW w:w="850" w:type="dxa"/>
            <w:tcBorders>
              <w:top w:val="nil"/>
              <w:left w:val="nil"/>
              <w:bottom w:val="single" w:sz="4" w:space="0" w:color="auto"/>
              <w:right w:val="single" w:sz="4" w:space="0" w:color="auto"/>
            </w:tcBorders>
            <w:shd w:val="clear" w:color="auto" w:fill="auto"/>
            <w:noWrap/>
            <w:vAlign w:val="bottom"/>
          </w:tcPr>
          <w:p w14:paraId="68F9B86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8 074,5</w:t>
            </w:r>
          </w:p>
        </w:tc>
        <w:tc>
          <w:tcPr>
            <w:tcW w:w="851" w:type="dxa"/>
            <w:tcBorders>
              <w:top w:val="nil"/>
              <w:left w:val="nil"/>
              <w:bottom w:val="single" w:sz="4" w:space="0" w:color="auto"/>
              <w:right w:val="single" w:sz="4" w:space="0" w:color="auto"/>
            </w:tcBorders>
            <w:shd w:val="clear" w:color="auto" w:fill="auto"/>
            <w:noWrap/>
            <w:vAlign w:val="bottom"/>
          </w:tcPr>
          <w:p w14:paraId="4F250EB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7 837,9</w:t>
            </w:r>
          </w:p>
        </w:tc>
      </w:tr>
      <w:tr w:rsidR="008643AC" w:rsidRPr="008643AC" w14:paraId="5ABF4650"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55A33334"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Uzturēšanas izdevumi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0447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6 152,2</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4C7F0BE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7 141,3</w:t>
            </w:r>
          </w:p>
        </w:tc>
        <w:tc>
          <w:tcPr>
            <w:tcW w:w="946" w:type="dxa"/>
            <w:tcBorders>
              <w:top w:val="single" w:sz="4" w:space="0" w:color="auto"/>
              <w:left w:val="nil"/>
              <w:bottom w:val="single" w:sz="4" w:space="0" w:color="auto"/>
              <w:right w:val="single" w:sz="4" w:space="0" w:color="auto"/>
            </w:tcBorders>
            <w:shd w:val="clear" w:color="auto" w:fill="auto"/>
            <w:noWrap/>
            <w:vAlign w:val="bottom"/>
          </w:tcPr>
          <w:p w14:paraId="40F9719E"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6 915,7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C88912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7 004,3</w:t>
            </w:r>
          </w:p>
        </w:tc>
        <w:tc>
          <w:tcPr>
            <w:tcW w:w="850" w:type="dxa"/>
            <w:tcBorders>
              <w:top w:val="single" w:sz="4" w:space="0" w:color="auto"/>
              <w:left w:val="nil"/>
              <w:bottom w:val="single" w:sz="4" w:space="0" w:color="auto"/>
              <w:right w:val="single" w:sz="4" w:space="0" w:color="auto"/>
            </w:tcBorders>
            <w:vAlign w:val="bottom"/>
          </w:tcPr>
          <w:p w14:paraId="5E35DF22"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6 923,3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E044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7 227,3</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BB5F07B"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7 373,8</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DD7615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7 355,6</w:t>
            </w:r>
          </w:p>
        </w:tc>
      </w:tr>
      <w:tr w:rsidR="008643AC" w:rsidRPr="008643AC" w14:paraId="2AD9D659"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76F94BDE"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Kapitālie izdevumi</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4E0779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764,0</w:t>
            </w:r>
          </w:p>
        </w:tc>
        <w:tc>
          <w:tcPr>
            <w:tcW w:w="896" w:type="dxa"/>
            <w:tcBorders>
              <w:top w:val="nil"/>
              <w:left w:val="nil"/>
              <w:bottom w:val="single" w:sz="4" w:space="0" w:color="auto"/>
              <w:right w:val="single" w:sz="4" w:space="0" w:color="auto"/>
            </w:tcBorders>
            <w:shd w:val="clear" w:color="auto" w:fill="auto"/>
            <w:noWrap/>
            <w:vAlign w:val="bottom"/>
          </w:tcPr>
          <w:p w14:paraId="4257A92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782,3</w:t>
            </w:r>
          </w:p>
        </w:tc>
        <w:tc>
          <w:tcPr>
            <w:tcW w:w="946" w:type="dxa"/>
            <w:tcBorders>
              <w:top w:val="nil"/>
              <w:left w:val="nil"/>
              <w:bottom w:val="single" w:sz="4" w:space="0" w:color="auto"/>
              <w:right w:val="single" w:sz="4" w:space="0" w:color="auto"/>
            </w:tcBorders>
            <w:shd w:val="clear" w:color="auto" w:fill="auto"/>
            <w:noWrap/>
            <w:vAlign w:val="bottom"/>
          </w:tcPr>
          <w:p w14:paraId="38010ED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617,3</w:t>
            </w:r>
          </w:p>
        </w:tc>
        <w:tc>
          <w:tcPr>
            <w:tcW w:w="851" w:type="dxa"/>
            <w:tcBorders>
              <w:top w:val="nil"/>
              <w:left w:val="nil"/>
              <w:bottom w:val="single" w:sz="4" w:space="0" w:color="auto"/>
              <w:right w:val="single" w:sz="4" w:space="0" w:color="auto"/>
            </w:tcBorders>
            <w:shd w:val="clear" w:color="auto" w:fill="auto"/>
            <w:noWrap/>
            <w:vAlign w:val="bottom"/>
          </w:tcPr>
          <w:p w14:paraId="1BA3277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665,4</w:t>
            </w:r>
          </w:p>
        </w:tc>
        <w:tc>
          <w:tcPr>
            <w:tcW w:w="850" w:type="dxa"/>
            <w:tcBorders>
              <w:top w:val="single" w:sz="4" w:space="0" w:color="auto"/>
              <w:left w:val="nil"/>
              <w:bottom w:val="single" w:sz="4" w:space="0" w:color="auto"/>
              <w:right w:val="single" w:sz="4" w:space="0" w:color="auto"/>
            </w:tcBorders>
            <w:vAlign w:val="bottom"/>
          </w:tcPr>
          <w:p w14:paraId="5D2F015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504,2</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6F541889"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618,9</w:t>
            </w:r>
          </w:p>
        </w:tc>
        <w:tc>
          <w:tcPr>
            <w:tcW w:w="850" w:type="dxa"/>
            <w:tcBorders>
              <w:top w:val="nil"/>
              <w:left w:val="nil"/>
              <w:bottom w:val="single" w:sz="4" w:space="0" w:color="auto"/>
              <w:right w:val="single" w:sz="4" w:space="0" w:color="auto"/>
            </w:tcBorders>
            <w:shd w:val="clear" w:color="auto" w:fill="auto"/>
            <w:noWrap/>
            <w:vAlign w:val="bottom"/>
          </w:tcPr>
          <w:p w14:paraId="083E321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700,6</w:t>
            </w:r>
          </w:p>
        </w:tc>
        <w:tc>
          <w:tcPr>
            <w:tcW w:w="851" w:type="dxa"/>
            <w:tcBorders>
              <w:top w:val="nil"/>
              <w:left w:val="nil"/>
              <w:bottom w:val="single" w:sz="4" w:space="0" w:color="auto"/>
              <w:right w:val="single" w:sz="4" w:space="0" w:color="auto"/>
            </w:tcBorders>
            <w:shd w:val="clear" w:color="auto" w:fill="auto"/>
            <w:noWrap/>
            <w:vAlign w:val="bottom"/>
          </w:tcPr>
          <w:p w14:paraId="55153D3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32"/>
                <w:lang w:eastAsia="en-US"/>
              </w:rPr>
              <w:t>482,3</w:t>
            </w:r>
          </w:p>
        </w:tc>
      </w:tr>
      <w:tr w:rsidR="008643AC" w:rsidRPr="008643AC" w14:paraId="383C98A9"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0200E1BD" w14:textId="77777777" w:rsidR="008643AC" w:rsidRPr="008643AC" w:rsidRDefault="008643AC" w:rsidP="008643AC">
            <w:pPr>
              <w:rPr>
                <w:rFonts w:ascii="Times New Roman" w:eastAsia="Times New Roman" w:hAnsi="Times New Roman" w:cs="Times New Roman"/>
                <w:b/>
                <w:bCs/>
                <w:i/>
                <w:iCs/>
                <w:sz w:val="19"/>
                <w:szCs w:val="19"/>
              </w:rPr>
            </w:pPr>
            <w:r w:rsidRPr="008643AC">
              <w:rPr>
                <w:rFonts w:ascii="Times New Roman" w:eastAsia="Times New Roman" w:hAnsi="Times New Roman" w:cs="Times New Roman"/>
                <w:b/>
                <w:bCs/>
                <w:i/>
                <w:iCs/>
                <w:sz w:val="19"/>
                <w:szCs w:val="19"/>
              </w:rPr>
              <w:t>VALSTS SPECIĀLĀ BUDŽETA BILANCE</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6E0B51F"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18"/>
                <w:lang w:eastAsia="en-US"/>
              </w:rPr>
              <w:t>299,6</w:t>
            </w: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5915F93"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18"/>
                <w:lang w:eastAsia="en-US"/>
              </w:rPr>
              <w:t>-177,4</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550C57CD"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18"/>
                <w:lang w:eastAsia="en-US"/>
              </w:rPr>
              <w:t>-110,2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59145AA"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18"/>
                <w:lang w:eastAsia="en-US"/>
              </w:rPr>
              <w:t>-4,5</w:t>
            </w:r>
          </w:p>
        </w:tc>
        <w:tc>
          <w:tcPr>
            <w:tcW w:w="850" w:type="dxa"/>
            <w:tcBorders>
              <w:top w:val="single" w:sz="4" w:space="0" w:color="auto"/>
              <w:left w:val="nil"/>
              <w:bottom w:val="single" w:sz="4" w:space="0" w:color="auto"/>
              <w:right w:val="single" w:sz="4" w:space="0" w:color="auto"/>
            </w:tcBorders>
            <w:vAlign w:val="center"/>
          </w:tcPr>
          <w:p w14:paraId="412A5DB4"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18"/>
                <w:lang w:eastAsia="en-US"/>
              </w:rPr>
              <w:t>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99F28"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18"/>
                <w:lang w:eastAsia="en-US"/>
              </w:rPr>
              <w:t>-21,6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63B7010"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18"/>
                <w:lang w:eastAsia="en-US"/>
              </w:rPr>
              <w:t>165,3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146E7F0"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18"/>
                <w:lang w:eastAsia="en-US"/>
              </w:rPr>
              <w:t>184,0</w:t>
            </w:r>
          </w:p>
        </w:tc>
      </w:tr>
      <w:tr w:rsidR="008643AC" w:rsidRPr="008643AC" w14:paraId="7FC7826A"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07B96743" w14:textId="77777777" w:rsidR="008643AC" w:rsidRPr="008643AC" w:rsidRDefault="008643AC" w:rsidP="008643AC">
            <w:pPr>
              <w:ind w:left="-183" w:firstLineChars="100" w:firstLine="190"/>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Ieņēmumi</w:t>
            </w:r>
          </w:p>
        </w:tc>
        <w:tc>
          <w:tcPr>
            <w:tcW w:w="851" w:type="dxa"/>
            <w:tcBorders>
              <w:top w:val="nil"/>
              <w:left w:val="nil"/>
              <w:bottom w:val="single" w:sz="4" w:space="0" w:color="auto"/>
              <w:right w:val="single" w:sz="4" w:space="0" w:color="auto"/>
            </w:tcBorders>
            <w:shd w:val="clear" w:color="auto" w:fill="auto"/>
            <w:noWrap/>
            <w:vAlign w:val="bottom"/>
          </w:tcPr>
          <w:p w14:paraId="6EBB1CF9"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3 050,3</w:t>
            </w:r>
          </w:p>
        </w:tc>
        <w:tc>
          <w:tcPr>
            <w:tcW w:w="896" w:type="dxa"/>
            <w:tcBorders>
              <w:top w:val="nil"/>
              <w:left w:val="nil"/>
              <w:bottom w:val="single" w:sz="4" w:space="0" w:color="auto"/>
              <w:right w:val="single" w:sz="4" w:space="0" w:color="auto"/>
            </w:tcBorders>
            <w:shd w:val="clear" w:color="auto" w:fill="auto"/>
            <w:noWrap/>
            <w:vAlign w:val="bottom"/>
          </w:tcPr>
          <w:p w14:paraId="1B538009"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2 922,9</w:t>
            </w:r>
          </w:p>
        </w:tc>
        <w:tc>
          <w:tcPr>
            <w:tcW w:w="946" w:type="dxa"/>
            <w:tcBorders>
              <w:top w:val="nil"/>
              <w:left w:val="nil"/>
              <w:bottom w:val="single" w:sz="4" w:space="0" w:color="auto"/>
              <w:right w:val="single" w:sz="4" w:space="0" w:color="auto"/>
            </w:tcBorders>
            <w:shd w:val="clear" w:color="auto" w:fill="auto"/>
            <w:noWrap/>
            <w:vAlign w:val="bottom"/>
          </w:tcPr>
          <w:p w14:paraId="6D638B3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3 053,5</w:t>
            </w:r>
          </w:p>
        </w:tc>
        <w:tc>
          <w:tcPr>
            <w:tcW w:w="851" w:type="dxa"/>
            <w:tcBorders>
              <w:top w:val="nil"/>
              <w:left w:val="nil"/>
              <w:bottom w:val="single" w:sz="4" w:space="0" w:color="auto"/>
              <w:right w:val="single" w:sz="4" w:space="0" w:color="auto"/>
            </w:tcBorders>
            <w:shd w:val="clear" w:color="auto" w:fill="auto"/>
            <w:noWrap/>
            <w:vAlign w:val="bottom"/>
          </w:tcPr>
          <w:p w14:paraId="1EE1CFA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3 226,3</w:t>
            </w:r>
          </w:p>
        </w:tc>
        <w:tc>
          <w:tcPr>
            <w:tcW w:w="850" w:type="dxa"/>
            <w:tcBorders>
              <w:top w:val="single" w:sz="4" w:space="0" w:color="auto"/>
              <w:left w:val="nil"/>
              <w:bottom w:val="single" w:sz="4" w:space="0" w:color="auto"/>
              <w:right w:val="single" w:sz="4" w:space="0" w:color="auto"/>
            </w:tcBorders>
            <w:vAlign w:val="bottom"/>
          </w:tcPr>
          <w:p w14:paraId="57E7CC2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3 390,3</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7290AF0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3 151,0</w:t>
            </w:r>
          </w:p>
        </w:tc>
        <w:tc>
          <w:tcPr>
            <w:tcW w:w="850" w:type="dxa"/>
            <w:tcBorders>
              <w:top w:val="nil"/>
              <w:left w:val="nil"/>
              <w:bottom w:val="single" w:sz="4" w:space="0" w:color="auto"/>
              <w:right w:val="single" w:sz="4" w:space="0" w:color="auto"/>
            </w:tcBorders>
            <w:shd w:val="clear" w:color="auto" w:fill="auto"/>
            <w:noWrap/>
            <w:vAlign w:val="bottom"/>
          </w:tcPr>
          <w:p w14:paraId="33971009"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3 391,9</w:t>
            </w:r>
          </w:p>
        </w:tc>
        <w:tc>
          <w:tcPr>
            <w:tcW w:w="851" w:type="dxa"/>
            <w:tcBorders>
              <w:top w:val="nil"/>
              <w:left w:val="nil"/>
              <w:bottom w:val="single" w:sz="4" w:space="0" w:color="auto"/>
              <w:right w:val="single" w:sz="4" w:space="0" w:color="auto"/>
            </w:tcBorders>
            <w:shd w:val="clear" w:color="auto" w:fill="auto"/>
            <w:noWrap/>
            <w:vAlign w:val="bottom"/>
          </w:tcPr>
          <w:p w14:paraId="454EEC2E"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3 565,0</w:t>
            </w:r>
          </w:p>
        </w:tc>
      </w:tr>
      <w:tr w:rsidR="008643AC" w:rsidRPr="008643AC" w14:paraId="5D391D50"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23E31751"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Nodokļu ieņēmumi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24D2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2 795,0</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25578D8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2 664,5</w:t>
            </w:r>
          </w:p>
        </w:tc>
        <w:tc>
          <w:tcPr>
            <w:tcW w:w="946" w:type="dxa"/>
            <w:tcBorders>
              <w:top w:val="single" w:sz="4" w:space="0" w:color="auto"/>
              <w:left w:val="nil"/>
              <w:bottom w:val="single" w:sz="4" w:space="0" w:color="auto"/>
              <w:right w:val="single" w:sz="4" w:space="0" w:color="auto"/>
            </w:tcBorders>
            <w:shd w:val="clear" w:color="auto" w:fill="auto"/>
            <w:noWrap/>
            <w:vAlign w:val="bottom"/>
          </w:tcPr>
          <w:p w14:paraId="2ADCD67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2 800,9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51BB6E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2 977,0</w:t>
            </w:r>
          </w:p>
        </w:tc>
        <w:tc>
          <w:tcPr>
            <w:tcW w:w="850" w:type="dxa"/>
            <w:tcBorders>
              <w:top w:val="single" w:sz="4" w:space="0" w:color="auto"/>
              <w:left w:val="nil"/>
              <w:bottom w:val="single" w:sz="4" w:space="0" w:color="auto"/>
              <w:right w:val="single" w:sz="4" w:space="0" w:color="auto"/>
            </w:tcBorders>
            <w:vAlign w:val="bottom"/>
          </w:tcPr>
          <w:p w14:paraId="4345379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3 139,3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2EDE1"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2 840,4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11CAFE6"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3 084,7</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94D842"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3 255,8</w:t>
            </w:r>
          </w:p>
        </w:tc>
      </w:tr>
      <w:tr w:rsidR="008643AC" w:rsidRPr="008643AC" w14:paraId="45D06966"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73266EE2"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Pārējie ieņēmumi</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478D8B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255,3</w:t>
            </w:r>
          </w:p>
        </w:tc>
        <w:tc>
          <w:tcPr>
            <w:tcW w:w="896" w:type="dxa"/>
            <w:tcBorders>
              <w:top w:val="nil"/>
              <w:left w:val="nil"/>
              <w:bottom w:val="single" w:sz="4" w:space="0" w:color="auto"/>
              <w:right w:val="single" w:sz="4" w:space="0" w:color="auto"/>
            </w:tcBorders>
            <w:shd w:val="clear" w:color="auto" w:fill="auto"/>
            <w:noWrap/>
            <w:vAlign w:val="bottom"/>
          </w:tcPr>
          <w:p w14:paraId="4B1F1E8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258,4</w:t>
            </w:r>
          </w:p>
        </w:tc>
        <w:tc>
          <w:tcPr>
            <w:tcW w:w="946" w:type="dxa"/>
            <w:tcBorders>
              <w:top w:val="nil"/>
              <w:left w:val="nil"/>
              <w:bottom w:val="single" w:sz="4" w:space="0" w:color="auto"/>
              <w:right w:val="single" w:sz="4" w:space="0" w:color="auto"/>
            </w:tcBorders>
            <w:shd w:val="clear" w:color="auto" w:fill="auto"/>
            <w:noWrap/>
            <w:vAlign w:val="bottom"/>
          </w:tcPr>
          <w:p w14:paraId="03E2FB69"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252,6</w:t>
            </w:r>
          </w:p>
        </w:tc>
        <w:tc>
          <w:tcPr>
            <w:tcW w:w="851" w:type="dxa"/>
            <w:tcBorders>
              <w:top w:val="nil"/>
              <w:left w:val="nil"/>
              <w:bottom w:val="single" w:sz="4" w:space="0" w:color="auto"/>
              <w:right w:val="single" w:sz="4" w:space="0" w:color="auto"/>
            </w:tcBorders>
            <w:shd w:val="clear" w:color="auto" w:fill="auto"/>
            <w:noWrap/>
            <w:vAlign w:val="bottom"/>
          </w:tcPr>
          <w:p w14:paraId="35D3A0DE"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249,3</w:t>
            </w:r>
          </w:p>
        </w:tc>
        <w:tc>
          <w:tcPr>
            <w:tcW w:w="850" w:type="dxa"/>
            <w:tcBorders>
              <w:top w:val="single" w:sz="4" w:space="0" w:color="auto"/>
              <w:left w:val="nil"/>
              <w:bottom w:val="single" w:sz="4" w:space="0" w:color="auto"/>
              <w:right w:val="single" w:sz="4" w:space="0" w:color="auto"/>
            </w:tcBorders>
            <w:vAlign w:val="bottom"/>
          </w:tcPr>
          <w:p w14:paraId="12CF478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251,0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34F8E36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310,7</w:t>
            </w:r>
          </w:p>
        </w:tc>
        <w:tc>
          <w:tcPr>
            <w:tcW w:w="850" w:type="dxa"/>
            <w:tcBorders>
              <w:top w:val="nil"/>
              <w:left w:val="nil"/>
              <w:bottom w:val="single" w:sz="4" w:space="0" w:color="auto"/>
              <w:right w:val="single" w:sz="4" w:space="0" w:color="auto"/>
            </w:tcBorders>
            <w:shd w:val="clear" w:color="auto" w:fill="auto"/>
            <w:noWrap/>
            <w:vAlign w:val="bottom"/>
          </w:tcPr>
          <w:p w14:paraId="4B39F2C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307,2</w:t>
            </w:r>
          </w:p>
        </w:tc>
        <w:tc>
          <w:tcPr>
            <w:tcW w:w="851" w:type="dxa"/>
            <w:tcBorders>
              <w:top w:val="nil"/>
              <w:left w:val="nil"/>
              <w:bottom w:val="single" w:sz="4" w:space="0" w:color="auto"/>
              <w:right w:val="single" w:sz="4" w:space="0" w:color="auto"/>
            </w:tcBorders>
            <w:shd w:val="clear" w:color="auto" w:fill="auto"/>
            <w:noWrap/>
            <w:vAlign w:val="bottom"/>
          </w:tcPr>
          <w:p w14:paraId="0924049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309,2</w:t>
            </w:r>
          </w:p>
        </w:tc>
      </w:tr>
      <w:tr w:rsidR="008643AC" w:rsidRPr="008643AC" w14:paraId="66657949"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67683A68" w14:textId="77777777" w:rsidR="008643AC" w:rsidRPr="008643AC" w:rsidRDefault="008643AC" w:rsidP="008643AC">
            <w:pPr>
              <w:ind w:left="-183" w:firstLineChars="100" w:firstLine="190"/>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Izdevumi</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4958525"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2 750,8</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17219C5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3 100,2</w:t>
            </w:r>
          </w:p>
        </w:tc>
        <w:tc>
          <w:tcPr>
            <w:tcW w:w="946" w:type="dxa"/>
            <w:tcBorders>
              <w:top w:val="single" w:sz="4" w:space="0" w:color="auto"/>
              <w:left w:val="nil"/>
              <w:bottom w:val="single" w:sz="4" w:space="0" w:color="auto"/>
              <w:right w:val="single" w:sz="4" w:space="0" w:color="auto"/>
            </w:tcBorders>
            <w:shd w:val="clear" w:color="auto" w:fill="auto"/>
            <w:noWrap/>
            <w:vAlign w:val="bottom"/>
          </w:tcPr>
          <w:p w14:paraId="7F782692"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3 163,6</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F6CB53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3 230,8</w:t>
            </w:r>
          </w:p>
        </w:tc>
        <w:tc>
          <w:tcPr>
            <w:tcW w:w="850" w:type="dxa"/>
            <w:tcBorders>
              <w:top w:val="single" w:sz="4" w:space="0" w:color="auto"/>
              <w:left w:val="nil"/>
              <w:bottom w:val="single" w:sz="4" w:space="0" w:color="auto"/>
              <w:right w:val="single" w:sz="4" w:space="0" w:color="auto"/>
            </w:tcBorders>
            <w:vAlign w:val="bottom"/>
          </w:tcPr>
          <w:p w14:paraId="4871A4E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3 386,9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0E1A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3 172,6</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A6E91E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3 226,6</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EE0F00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18"/>
                <w:lang w:eastAsia="en-US"/>
              </w:rPr>
              <w:t>3 381,0</w:t>
            </w:r>
          </w:p>
        </w:tc>
      </w:tr>
      <w:tr w:rsidR="008643AC" w:rsidRPr="008643AC" w14:paraId="494B6F23"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5DEAD490"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Uzturēšanas izdevumi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9797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2 749,7</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5BE6C72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3 099,2</w:t>
            </w:r>
          </w:p>
        </w:tc>
        <w:tc>
          <w:tcPr>
            <w:tcW w:w="946" w:type="dxa"/>
            <w:tcBorders>
              <w:top w:val="single" w:sz="4" w:space="0" w:color="auto"/>
              <w:left w:val="nil"/>
              <w:bottom w:val="single" w:sz="4" w:space="0" w:color="auto"/>
              <w:right w:val="single" w:sz="4" w:space="0" w:color="auto"/>
            </w:tcBorders>
            <w:shd w:val="clear" w:color="auto" w:fill="auto"/>
            <w:noWrap/>
            <w:vAlign w:val="bottom"/>
          </w:tcPr>
          <w:p w14:paraId="3F7381C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3 162,4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D46A23C"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3 229,6</w:t>
            </w:r>
          </w:p>
        </w:tc>
        <w:tc>
          <w:tcPr>
            <w:tcW w:w="850" w:type="dxa"/>
            <w:tcBorders>
              <w:top w:val="single" w:sz="4" w:space="0" w:color="auto"/>
              <w:left w:val="nil"/>
              <w:bottom w:val="single" w:sz="4" w:space="0" w:color="auto"/>
              <w:right w:val="single" w:sz="4" w:space="0" w:color="auto"/>
            </w:tcBorders>
            <w:vAlign w:val="bottom"/>
          </w:tcPr>
          <w:p w14:paraId="29CAA3B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3 385,8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6E3F1"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3 170,5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936D3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3 225,4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9D0C612"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3 379,9</w:t>
            </w:r>
          </w:p>
        </w:tc>
      </w:tr>
      <w:tr w:rsidR="008643AC" w:rsidRPr="008643AC" w14:paraId="539D5F63"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6DF3804E" w14:textId="77777777" w:rsidR="008643AC" w:rsidRPr="008643AC" w:rsidRDefault="008643AC" w:rsidP="008643AC">
            <w:pPr>
              <w:ind w:left="-239" w:firstLineChars="200" w:firstLine="380"/>
              <w:jc w:val="both"/>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Kapitālie izdevumi</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318E347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1,1</w:t>
            </w:r>
          </w:p>
        </w:tc>
        <w:tc>
          <w:tcPr>
            <w:tcW w:w="896" w:type="dxa"/>
            <w:tcBorders>
              <w:top w:val="nil"/>
              <w:left w:val="nil"/>
              <w:bottom w:val="single" w:sz="4" w:space="0" w:color="auto"/>
              <w:right w:val="single" w:sz="4" w:space="0" w:color="auto"/>
            </w:tcBorders>
            <w:shd w:val="clear" w:color="auto" w:fill="auto"/>
            <w:noWrap/>
            <w:vAlign w:val="bottom"/>
          </w:tcPr>
          <w:p w14:paraId="377E692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1,1</w:t>
            </w:r>
          </w:p>
        </w:tc>
        <w:tc>
          <w:tcPr>
            <w:tcW w:w="946" w:type="dxa"/>
            <w:tcBorders>
              <w:top w:val="nil"/>
              <w:left w:val="nil"/>
              <w:bottom w:val="single" w:sz="4" w:space="0" w:color="auto"/>
              <w:right w:val="single" w:sz="4" w:space="0" w:color="auto"/>
            </w:tcBorders>
            <w:shd w:val="clear" w:color="auto" w:fill="auto"/>
            <w:noWrap/>
            <w:vAlign w:val="bottom"/>
          </w:tcPr>
          <w:p w14:paraId="0794ED6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1,2</w:t>
            </w:r>
          </w:p>
        </w:tc>
        <w:tc>
          <w:tcPr>
            <w:tcW w:w="851" w:type="dxa"/>
            <w:tcBorders>
              <w:top w:val="nil"/>
              <w:left w:val="nil"/>
              <w:bottom w:val="single" w:sz="4" w:space="0" w:color="auto"/>
              <w:right w:val="single" w:sz="4" w:space="0" w:color="auto"/>
            </w:tcBorders>
            <w:shd w:val="clear" w:color="auto" w:fill="auto"/>
            <w:noWrap/>
            <w:vAlign w:val="bottom"/>
          </w:tcPr>
          <w:p w14:paraId="7764B2BA"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1,3</w:t>
            </w:r>
          </w:p>
        </w:tc>
        <w:tc>
          <w:tcPr>
            <w:tcW w:w="850" w:type="dxa"/>
            <w:tcBorders>
              <w:top w:val="single" w:sz="4" w:space="0" w:color="auto"/>
              <w:left w:val="nil"/>
              <w:bottom w:val="single" w:sz="4" w:space="0" w:color="auto"/>
              <w:right w:val="single" w:sz="4" w:space="0" w:color="auto"/>
            </w:tcBorders>
            <w:vAlign w:val="bottom"/>
          </w:tcPr>
          <w:p w14:paraId="6D2984C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1,1</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6CD6AB44"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2,1</w:t>
            </w:r>
          </w:p>
        </w:tc>
        <w:tc>
          <w:tcPr>
            <w:tcW w:w="850" w:type="dxa"/>
            <w:tcBorders>
              <w:top w:val="nil"/>
              <w:left w:val="nil"/>
              <w:bottom w:val="single" w:sz="4" w:space="0" w:color="auto"/>
              <w:right w:val="single" w:sz="4" w:space="0" w:color="auto"/>
            </w:tcBorders>
            <w:shd w:val="clear" w:color="auto" w:fill="auto"/>
            <w:noWrap/>
            <w:vAlign w:val="bottom"/>
          </w:tcPr>
          <w:p w14:paraId="027530BD"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1,3</w:t>
            </w:r>
          </w:p>
        </w:tc>
        <w:tc>
          <w:tcPr>
            <w:tcW w:w="851" w:type="dxa"/>
            <w:tcBorders>
              <w:top w:val="nil"/>
              <w:left w:val="nil"/>
              <w:bottom w:val="single" w:sz="4" w:space="0" w:color="auto"/>
              <w:right w:val="single" w:sz="4" w:space="0" w:color="auto"/>
            </w:tcBorders>
            <w:shd w:val="clear" w:color="auto" w:fill="auto"/>
            <w:noWrap/>
            <w:vAlign w:val="bottom"/>
          </w:tcPr>
          <w:p w14:paraId="64DB7ED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lang w:eastAsia="en-US"/>
              </w:rPr>
              <w:t>1,1</w:t>
            </w:r>
          </w:p>
        </w:tc>
      </w:tr>
      <w:tr w:rsidR="008643AC" w:rsidRPr="008643AC" w14:paraId="50EA3E1C"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576137AC" w14:textId="77777777" w:rsidR="008643AC" w:rsidRPr="008643AC" w:rsidRDefault="008643AC" w:rsidP="008643AC">
            <w:pPr>
              <w:rPr>
                <w:rFonts w:ascii="Times New Roman" w:eastAsia="Times New Roman" w:hAnsi="Times New Roman" w:cs="Times New Roman"/>
                <w:b/>
                <w:bCs/>
                <w:i/>
                <w:iCs/>
                <w:sz w:val="19"/>
                <w:szCs w:val="19"/>
              </w:rPr>
            </w:pPr>
            <w:r w:rsidRPr="008643AC">
              <w:rPr>
                <w:rFonts w:ascii="Times New Roman" w:eastAsia="Times New Roman" w:hAnsi="Times New Roman" w:cs="Times New Roman"/>
                <w:b/>
                <w:bCs/>
                <w:i/>
                <w:iCs/>
                <w:sz w:val="19"/>
                <w:szCs w:val="19"/>
              </w:rPr>
              <w:t>ATVAS. PUBL. PERS. BUDŽETA BILANCE</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7A1B21A"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17,9</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13A6983"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20,1</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58EE86CD"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-12,7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1B659DD"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-24,1</w:t>
            </w:r>
          </w:p>
        </w:tc>
        <w:tc>
          <w:tcPr>
            <w:tcW w:w="850" w:type="dxa"/>
            <w:tcBorders>
              <w:top w:val="single" w:sz="4" w:space="0" w:color="auto"/>
              <w:left w:val="nil"/>
              <w:bottom w:val="single" w:sz="4" w:space="0" w:color="auto"/>
              <w:right w:val="single" w:sz="4" w:space="0" w:color="auto"/>
            </w:tcBorders>
            <w:vAlign w:val="center"/>
          </w:tcPr>
          <w:p w14:paraId="5BA242A2"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-43,7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32866"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-11,7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91D24E"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-23,1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03DE0EA" w14:textId="77777777" w:rsidR="008643AC" w:rsidRPr="008643AC" w:rsidRDefault="008643AC" w:rsidP="008643AC">
            <w:pPr>
              <w:jc w:val="right"/>
              <w:rPr>
                <w:rFonts w:ascii="Times New Roman" w:eastAsia="Times New Roman" w:hAnsi="Times New Roman" w:cs="Times New Roman"/>
                <w:b/>
                <w:i/>
                <w:sz w:val="18"/>
                <w:szCs w:val="18"/>
              </w:rPr>
            </w:pPr>
            <w:r w:rsidRPr="008643AC">
              <w:rPr>
                <w:rFonts w:ascii="Times New Roman" w:eastAsia="Times New Roman" w:hAnsi="Times New Roman" w:cs="Times New Roman"/>
                <w:b/>
                <w:bCs/>
                <w:sz w:val="18"/>
                <w:szCs w:val="32"/>
                <w:lang w:eastAsia="en-US"/>
              </w:rPr>
              <w:t>-42,6</w:t>
            </w:r>
          </w:p>
        </w:tc>
      </w:tr>
      <w:tr w:rsidR="008643AC" w:rsidRPr="008643AC" w14:paraId="7CF95617" w14:textId="77777777" w:rsidTr="00FB5161">
        <w:trPr>
          <w:trHeight w:val="75"/>
          <w:jc w:val="center"/>
        </w:trPr>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455D8E7D" w14:textId="77777777" w:rsidR="008643AC" w:rsidRPr="008643AC" w:rsidRDefault="008643AC" w:rsidP="008643AC">
            <w:pPr>
              <w:ind w:left="-183" w:firstLineChars="100" w:firstLine="190"/>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Ieņēmumi</w:t>
            </w:r>
          </w:p>
        </w:tc>
        <w:tc>
          <w:tcPr>
            <w:tcW w:w="851" w:type="dxa"/>
            <w:tcBorders>
              <w:top w:val="nil"/>
              <w:left w:val="nil"/>
              <w:bottom w:val="single" w:sz="4" w:space="0" w:color="auto"/>
              <w:right w:val="single" w:sz="4" w:space="0" w:color="auto"/>
            </w:tcBorders>
            <w:shd w:val="clear" w:color="auto" w:fill="auto"/>
            <w:noWrap/>
            <w:vAlign w:val="bottom"/>
            <w:hideMark/>
          </w:tcPr>
          <w:p w14:paraId="313034D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466,6</w:t>
            </w:r>
          </w:p>
        </w:tc>
        <w:tc>
          <w:tcPr>
            <w:tcW w:w="896" w:type="dxa"/>
            <w:tcBorders>
              <w:top w:val="nil"/>
              <w:left w:val="nil"/>
              <w:bottom w:val="single" w:sz="4" w:space="0" w:color="auto"/>
              <w:right w:val="single" w:sz="4" w:space="0" w:color="auto"/>
            </w:tcBorders>
            <w:shd w:val="clear" w:color="auto" w:fill="auto"/>
            <w:noWrap/>
            <w:vAlign w:val="bottom"/>
            <w:hideMark/>
          </w:tcPr>
          <w:p w14:paraId="2167F75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453,8</w:t>
            </w:r>
          </w:p>
        </w:tc>
        <w:tc>
          <w:tcPr>
            <w:tcW w:w="946" w:type="dxa"/>
            <w:tcBorders>
              <w:top w:val="nil"/>
              <w:left w:val="nil"/>
              <w:bottom w:val="single" w:sz="4" w:space="0" w:color="auto"/>
              <w:right w:val="single" w:sz="4" w:space="0" w:color="auto"/>
            </w:tcBorders>
            <w:shd w:val="clear" w:color="auto" w:fill="auto"/>
            <w:noWrap/>
            <w:vAlign w:val="bottom"/>
            <w:hideMark/>
          </w:tcPr>
          <w:p w14:paraId="2C89B421"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457,7</w:t>
            </w:r>
          </w:p>
        </w:tc>
        <w:tc>
          <w:tcPr>
            <w:tcW w:w="851" w:type="dxa"/>
            <w:tcBorders>
              <w:top w:val="nil"/>
              <w:left w:val="nil"/>
              <w:bottom w:val="single" w:sz="4" w:space="0" w:color="auto"/>
              <w:right w:val="single" w:sz="4" w:space="0" w:color="auto"/>
            </w:tcBorders>
            <w:shd w:val="clear" w:color="auto" w:fill="auto"/>
            <w:noWrap/>
            <w:vAlign w:val="bottom"/>
            <w:hideMark/>
          </w:tcPr>
          <w:p w14:paraId="39D02DCE"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450,2</w:t>
            </w:r>
          </w:p>
        </w:tc>
        <w:tc>
          <w:tcPr>
            <w:tcW w:w="850" w:type="dxa"/>
            <w:tcBorders>
              <w:top w:val="single" w:sz="4" w:space="0" w:color="auto"/>
              <w:left w:val="nil"/>
              <w:bottom w:val="single" w:sz="4" w:space="0" w:color="auto"/>
              <w:right w:val="single" w:sz="4" w:space="0" w:color="auto"/>
            </w:tcBorders>
            <w:vAlign w:val="bottom"/>
          </w:tcPr>
          <w:p w14:paraId="027A0D2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425,1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F587348"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485,9</w:t>
            </w:r>
          </w:p>
        </w:tc>
        <w:tc>
          <w:tcPr>
            <w:tcW w:w="850" w:type="dxa"/>
            <w:tcBorders>
              <w:top w:val="nil"/>
              <w:left w:val="nil"/>
              <w:bottom w:val="single" w:sz="4" w:space="0" w:color="auto"/>
              <w:right w:val="single" w:sz="4" w:space="0" w:color="auto"/>
            </w:tcBorders>
            <w:shd w:val="clear" w:color="auto" w:fill="auto"/>
            <w:noWrap/>
            <w:vAlign w:val="bottom"/>
            <w:hideMark/>
          </w:tcPr>
          <w:p w14:paraId="1F4B5545"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465,7</w:t>
            </w:r>
          </w:p>
        </w:tc>
        <w:tc>
          <w:tcPr>
            <w:tcW w:w="851" w:type="dxa"/>
            <w:tcBorders>
              <w:top w:val="nil"/>
              <w:left w:val="nil"/>
              <w:bottom w:val="single" w:sz="4" w:space="0" w:color="auto"/>
              <w:right w:val="single" w:sz="4" w:space="0" w:color="auto"/>
            </w:tcBorders>
            <w:shd w:val="clear" w:color="auto" w:fill="auto"/>
            <w:noWrap/>
            <w:vAlign w:val="bottom"/>
            <w:hideMark/>
          </w:tcPr>
          <w:p w14:paraId="281306D1"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440,4</w:t>
            </w:r>
          </w:p>
        </w:tc>
      </w:tr>
      <w:tr w:rsidR="008643AC" w:rsidRPr="008643AC" w14:paraId="4F0704B9" w14:textId="77777777" w:rsidTr="00FB5161">
        <w:trPr>
          <w:trHeight w:val="75"/>
          <w:jc w:val="center"/>
        </w:trPr>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8AC37" w14:textId="77777777" w:rsidR="008643AC" w:rsidRPr="008643AC" w:rsidRDefault="008643AC" w:rsidP="008643AC">
            <w:pPr>
              <w:ind w:left="-183" w:firstLineChars="100" w:firstLine="190"/>
              <w:rPr>
                <w:rFonts w:ascii="Times New Roman" w:eastAsia="Times New Roman" w:hAnsi="Times New Roman" w:cs="Times New Roman"/>
                <w:sz w:val="19"/>
                <w:szCs w:val="19"/>
              </w:rPr>
            </w:pPr>
            <w:r w:rsidRPr="008643AC">
              <w:rPr>
                <w:rFonts w:ascii="Times New Roman" w:eastAsia="Times New Roman" w:hAnsi="Times New Roman" w:cs="Times New Roman"/>
                <w:sz w:val="19"/>
                <w:szCs w:val="19"/>
              </w:rPr>
              <w:t>Izdevumi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EA3773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448,7</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2020A25E"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433,7</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F01A487"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470,3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D11813F"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474,3</w:t>
            </w:r>
          </w:p>
        </w:tc>
        <w:tc>
          <w:tcPr>
            <w:tcW w:w="850" w:type="dxa"/>
            <w:tcBorders>
              <w:top w:val="single" w:sz="4" w:space="0" w:color="auto"/>
              <w:left w:val="nil"/>
              <w:bottom w:val="single" w:sz="4" w:space="0" w:color="auto"/>
              <w:right w:val="single" w:sz="4" w:space="0" w:color="auto"/>
            </w:tcBorders>
            <w:vAlign w:val="bottom"/>
          </w:tcPr>
          <w:p w14:paraId="43981C30"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468,8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E3029"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497,6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D0A5CC1"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488,8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1951303" w14:textId="77777777" w:rsidR="008643AC" w:rsidRPr="008643AC" w:rsidRDefault="008643AC" w:rsidP="008643AC">
            <w:pPr>
              <w:jc w:val="right"/>
              <w:rPr>
                <w:rFonts w:ascii="Times New Roman" w:eastAsia="Times New Roman" w:hAnsi="Times New Roman" w:cs="Times New Roman"/>
                <w:sz w:val="18"/>
                <w:szCs w:val="18"/>
              </w:rPr>
            </w:pPr>
            <w:r w:rsidRPr="008643AC">
              <w:rPr>
                <w:rFonts w:ascii="Times New Roman" w:eastAsia="Times New Roman" w:hAnsi="Times New Roman" w:cs="Times New Roman"/>
                <w:bCs/>
                <w:sz w:val="18"/>
                <w:szCs w:val="32"/>
                <w:lang w:eastAsia="en-US"/>
              </w:rPr>
              <w:t>483,0</w:t>
            </w:r>
          </w:p>
        </w:tc>
      </w:tr>
    </w:tbl>
    <w:p w14:paraId="5B4D149C" w14:textId="77777777" w:rsidR="008643AC" w:rsidRPr="008643AC" w:rsidRDefault="008643AC" w:rsidP="008643AC">
      <w:pPr>
        <w:spacing w:before="120"/>
        <w:jc w:val="both"/>
        <w:rPr>
          <w:rFonts w:ascii="Times New Roman" w:eastAsia="Times New Roman" w:hAnsi="Times New Roman" w:cs="Times New Roman"/>
          <w:color w:val="000000"/>
          <w:sz w:val="17"/>
          <w:szCs w:val="17"/>
          <w:lang w:eastAsia="en-US"/>
        </w:rPr>
      </w:pPr>
      <w:r w:rsidRPr="008643AC">
        <w:rPr>
          <w:rFonts w:ascii="Times New Roman" w:eastAsia="Times New Roman" w:hAnsi="Times New Roman" w:cs="Times New Roman"/>
          <w:color w:val="000000"/>
          <w:sz w:val="17"/>
          <w:szCs w:val="17"/>
          <w:lang w:eastAsia="en-US"/>
        </w:rPr>
        <w:t>* Atbilstoši 2020.gada aprīļa notifikācijas datiem, tai skaitā kopbudžeta izpilde atbilstoši Valsts kases oficiālajam mēneša pārskatam par 2019.gada janvāri-decembri.</w:t>
      </w:r>
    </w:p>
    <w:p w14:paraId="60CA90E9" w14:textId="77777777" w:rsidR="00FB5161" w:rsidRDefault="00FB5161" w:rsidP="00FB5161">
      <w:pPr>
        <w:tabs>
          <w:tab w:val="left" w:pos="1965"/>
        </w:tabs>
        <w:ind w:firstLine="709"/>
        <w:jc w:val="center"/>
        <w:rPr>
          <w:rFonts w:ascii="Times New Roman" w:eastAsia="Times New Roman" w:hAnsi="Times New Roman" w:cs="Times New Roman"/>
          <w:b/>
          <w:color w:val="000000"/>
          <w:sz w:val="28"/>
          <w:szCs w:val="28"/>
          <w:lang w:eastAsia="en-US"/>
        </w:rPr>
      </w:pPr>
    </w:p>
    <w:p w14:paraId="371C7D17" w14:textId="4D2EBDDC" w:rsidR="008643AC" w:rsidRDefault="008643AC" w:rsidP="00FB5161">
      <w:pPr>
        <w:tabs>
          <w:tab w:val="left" w:pos="1965"/>
        </w:tabs>
        <w:ind w:firstLine="709"/>
        <w:jc w:val="center"/>
        <w:rPr>
          <w:rFonts w:ascii="Times New Roman" w:eastAsia="Times New Roman" w:hAnsi="Times New Roman" w:cs="Times New Roman"/>
          <w:b/>
          <w:color w:val="000000"/>
          <w:sz w:val="28"/>
          <w:szCs w:val="28"/>
          <w:lang w:eastAsia="en-US"/>
        </w:rPr>
      </w:pPr>
      <w:r w:rsidRPr="008643AC">
        <w:rPr>
          <w:rFonts w:ascii="Times New Roman" w:eastAsia="Times New Roman" w:hAnsi="Times New Roman" w:cs="Times New Roman"/>
          <w:b/>
          <w:color w:val="000000"/>
          <w:sz w:val="28"/>
          <w:szCs w:val="28"/>
          <w:lang w:eastAsia="en-US"/>
        </w:rPr>
        <w:t>Pašvaldību budžets</w:t>
      </w:r>
    </w:p>
    <w:p w14:paraId="15366D47" w14:textId="77777777" w:rsidR="00FB5161" w:rsidRPr="008643AC" w:rsidRDefault="00FB5161" w:rsidP="00FB5161">
      <w:pPr>
        <w:tabs>
          <w:tab w:val="left" w:pos="1965"/>
        </w:tabs>
        <w:ind w:firstLine="709"/>
        <w:jc w:val="center"/>
        <w:rPr>
          <w:rFonts w:ascii="Times New Roman" w:eastAsia="Times New Roman" w:hAnsi="Times New Roman" w:cs="Times New Roman"/>
          <w:b/>
          <w:color w:val="000000"/>
          <w:sz w:val="28"/>
          <w:szCs w:val="28"/>
          <w:lang w:eastAsia="en-US"/>
        </w:rPr>
      </w:pPr>
    </w:p>
    <w:p w14:paraId="5AF79BB8" w14:textId="3188DF85" w:rsidR="008643AC" w:rsidRPr="008643AC" w:rsidRDefault="00FB5161" w:rsidP="00FB5161">
      <w:pPr>
        <w:ind w:firstLine="72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2019.</w:t>
      </w:r>
      <w:r w:rsidR="008643AC" w:rsidRPr="008643AC">
        <w:rPr>
          <w:rFonts w:ascii="Times New Roman" w:eastAsia="Times New Roman" w:hAnsi="Times New Roman" w:cs="Times New Roman"/>
          <w:sz w:val="28"/>
          <w:szCs w:val="28"/>
          <w:lang w:eastAsia="en-US"/>
        </w:rPr>
        <w:t xml:space="preserve">gadā pašvaldību budžetā ieņēmumi pieauga straujāk kā izdevumi, veidojot pārpalikumu 50,2 milj. </w:t>
      </w:r>
      <w:r w:rsidR="008643AC" w:rsidRPr="008643AC">
        <w:rPr>
          <w:rFonts w:ascii="Times New Roman" w:eastAsia="Times New Roman" w:hAnsi="Times New Roman" w:cs="Times New Roman"/>
          <w:i/>
          <w:noProof/>
          <w:sz w:val="28"/>
          <w:szCs w:val="28"/>
          <w:lang w:eastAsia="en-US"/>
        </w:rPr>
        <w:t>euro</w:t>
      </w:r>
      <w:r w:rsidR="008643AC" w:rsidRPr="008643AC">
        <w:rPr>
          <w:rFonts w:ascii="Times New Roman" w:eastAsia="Times New Roman" w:hAnsi="Times New Roman" w:cs="Times New Roman"/>
          <w:noProof/>
          <w:sz w:val="28"/>
          <w:szCs w:val="28"/>
          <w:lang w:eastAsia="en-US"/>
        </w:rPr>
        <w:t xml:space="preserve"> apmērā. Augsto ieņēmumu līmeni nodrošināja iedzīvotāju ienākuma nodokļa ieņēmumu kāpums dēļ augošajiem darba ienākumiem, savukārt pašvaldību budžeta izdevumu pieaugumu nodrošināja atlīdzības, preču un pakalpojumu, kā arī subsīdiju un dotāciju pieaugums. Kapitālo izdevumu apmērs pagājušajā gadā saglabājās 2018. gada līmenī, ņemot vērā aizņemšanās ierobežojumus. </w:t>
      </w:r>
      <w:r>
        <w:rPr>
          <w:rFonts w:ascii="Times New Roman" w:eastAsia="Times New Roman" w:hAnsi="Times New Roman" w:cs="Times New Roman"/>
          <w:noProof/>
          <w:sz w:val="28"/>
          <w:szCs w:val="28"/>
          <w:lang w:eastAsia="en-US"/>
        </w:rPr>
        <w:t>2020.</w:t>
      </w:r>
      <w:r w:rsidR="008643AC" w:rsidRPr="008643AC">
        <w:rPr>
          <w:rFonts w:ascii="Times New Roman" w:eastAsia="Times New Roman" w:hAnsi="Times New Roman" w:cs="Times New Roman"/>
          <w:noProof/>
          <w:sz w:val="28"/>
          <w:szCs w:val="28"/>
          <w:lang w:eastAsia="en-US"/>
        </w:rPr>
        <w:t xml:space="preserve">gadā pašvaldību budžetā tiek prognozēts deficīts 18,3 milj. </w:t>
      </w:r>
      <w:r w:rsidR="008643AC" w:rsidRPr="008643AC">
        <w:rPr>
          <w:rFonts w:ascii="Times New Roman" w:eastAsia="Times New Roman" w:hAnsi="Times New Roman" w:cs="Times New Roman"/>
          <w:i/>
          <w:noProof/>
          <w:sz w:val="28"/>
          <w:szCs w:val="28"/>
          <w:lang w:eastAsia="en-US"/>
        </w:rPr>
        <w:t>euro</w:t>
      </w:r>
      <w:r w:rsidR="008643AC" w:rsidRPr="008643AC">
        <w:rPr>
          <w:rFonts w:ascii="Times New Roman" w:eastAsia="Times New Roman" w:hAnsi="Times New Roman" w:cs="Times New Roman"/>
          <w:noProof/>
          <w:sz w:val="28"/>
          <w:szCs w:val="28"/>
          <w:lang w:eastAsia="en-US"/>
        </w:rPr>
        <w:t xml:space="preserve"> </w:t>
      </w:r>
      <w:r w:rsidR="008643AC" w:rsidRPr="008643AC">
        <w:rPr>
          <w:rFonts w:ascii="Times New Roman" w:eastAsia="Times New Roman" w:hAnsi="Times New Roman" w:cs="Times New Roman"/>
          <w:sz w:val="28"/>
          <w:szCs w:val="28"/>
          <w:lang w:eastAsia="en-US"/>
        </w:rPr>
        <w:t xml:space="preserve">apmērā – ieņēmumiem Covid-19 ietekmē samazinoties straujāk nekā izdevumiem. </w:t>
      </w:r>
    </w:p>
    <w:p w14:paraId="681DBCCE" w14:textId="77777777" w:rsidR="008643AC" w:rsidRPr="008643AC" w:rsidRDefault="008643AC" w:rsidP="008643AC">
      <w:pPr>
        <w:ind w:firstLine="709"/>
        <w:jc w:val="both"/>
        <w:rPr>
          <w:rFonts w:ascii="Times New Roman" w:eastAsia="Times New Roman" w:hAnsi="Times New Roman" w:cs="Times New Roman"/>
          <w:sz w:val="28"/>
          <w:szCs w:val="28"/>
          <w:lang w:eastAsia="en-US"/>
        </w:rPr>
      </w:pPr>
      <w:r w:rsidRPr="008643AC">
        <w:rPr>
          <w:rFonts w:ascii="Times New Roman" w:eastAsia="Times New Roman" w:hAnsi="Times New Roman" w:cs="Times New Roman"/>
          <w:sz w:val="28"/>
          <w:szCs w:val="28"/>
          <w:lang w:eastAsia="en-US"/>
        </w:rPr>
        <w:t>Vidējā termiņā pašvaldību budžetā tiek prognozēts deficīts, ieņēmumiem sarūkot straujāk nekā izdevumiem. Ieņēmumu samazinājumu galvenokārt noteiks valdības lēmums par IIN sadalījuma maiņu, pašvaldībām pārdalot 75% no kopējiem IIN ieņēmumiem iepriekšējo 80% vietā. Tāpat IIN ieņēmumus negatīvi ietekmēs ar nodokli neapliekamā minimuma, tai skaitā pensijām, paaugstināšana 2021. gadā līdz 330 </w:t>
      </w:r>
      <w:r w:rsidRPr="008643AC">
        <w:rPr>
          <w:rFonts w:ascii="Times New Roman" w:eastAsia="Times New Roman" w:hAnsi="Times New Roman" w:cs="Times New Roman"/>
          <w:i/>
          <w:noProof/>
          <w:sz w:val="28"/>
          <w:szCs w:val="28"/>
          <w:lang w:eastAsia="en-US"/>
        </w:rPr>
        <w:t>euro</w:t>
      </w:r>
      <w:r w:rsidRPr="008643AC">
        <w:rPr>
          <w:rFonts w:ascii="Times New Roman" w:eastAsia="Times New Roman" w:hAnsi="Times New Roman" w:cs="Times New Roman"/>
          <w:noProof/>
          <w:sz w:val="28"/>
          <w:szCs w:val="28"/>
          <w:lang w:eastAsia="en-US"/>
        </w:rPr>
        <w:t>. Arī transferti</w:t>
      </w:r>
      <w:r w:rsidRPr="008643AC">
        <w:rPr>
          <w:rFonts w:ascii="Times New Roman" w:eastAsia="Times New Roman" w:hAnsi="Times New Roman" w:cs="Times New Roman"/>
          <w:sz w:val="28"/>
          <w:szCs w:val="28"/>
          <w:lang w:eastAsia="en-US"/>
        </w:rPr>
        <w:t xml:space="preserve"> no valsts budžeta vidējā termiņā paredzēti zemākā apmērā nekā 2020. gadā, galvenokārt dēļ iepriekšējā ES fondu investīciju cikla noslēgšanās.</w:t>
      </w:r>
    </w:p>
    <w:p w14:paraId="57E1184E" w14:textId="476D3A35" w:rsidR="008643AC" w:rsidRDefault="008643AC" w:rsidP="008643AC">
      <w:pPr>
        <w:ind w:firstLine="709"/>
        <w:jc w:val="both"/>
        <w:rPr>
          <w:rFonts w:ascii="Times New Roman" w:eastAsia="Times New Roman" w:hAnsi="Times New Roman" w:cs="Times New Roman"/>
          <w:sz w:val="28"/>
          <w:szCs w:val="28"/>
          <w:lang w:eastAsia="en-US"/>
        </w:rPr>
      </w:pPr>
      <w:r w:rsidRPr="008643AC">
        <w:rPr>
          <w:rFonts w:ascii="Times New Roman" w:eastAsia="Times New Roman" w:hAnsi="Times New Roman" w:cs="Times New Roman"/>
          <w:sz w:val="28"/>
          <w:szCs w:val="28"/>
          <w:lang w:eastAsia="en-US"/>
        </w:rPr>
        <w:t>Būtiski samazinoties ieņēmumiem, tiek prognozēts, ka pašvaldības samazinās arī izdevumus, piemēram, kapitālaj</w:t>
      </w:r>
      <w:r w:rsidR="00FB5161">
        <w:rPr>
          <w:rFonts w:ascii="Times New Roman" w:eastAsia="Times New Roman" w:hAnsi="Times New Roman" w:cs="Times New Roman"/>
          <w:sz w:val="28"/>
          <w:szCs w:val="28"/>
          <w:lang w:eastAsia="en-US"/>
        </w:rPr>
        <w:t>iem ieguldījumiem. Lai gan 2020.</w:t>
      </w:r>
      <w:r w:rsidRPr="008643AC">
        <w:rPr>
          <w:rFonts w:ascii="Times New Roman" w:eastAsia="Times New Roman" w:hAnsi="Times New Roman" w:cs="Times New Roman"/>
          <w:sz w:val="28"/>
          <w:szCs w:val="28"/>
          <w:lang w:eastAsia="en-US"/>
        </w:rPr>
        <w:t>gadā, lai mazinātu Covid-19 krīzes ietekmi, pašvaldībām ir palielināts aizņemšanās limits par 150 milj. eiro augstas gatavības investīciju projektiem, un tiek piedāvāts to izmantot</w:t>
      </w:r>
      <w:r w:rsidR="00FB5161">
        <w:rPr>
          <w:rFonts w:ascii="Times New Roman" w:eastAsia="Times New Roman" w:hAnsi="Times New Roman" w:cs="Times New Roman"/>
          <w:sz w:val="28"/>
          <w:szCs w:val="28"/>
          <w:lang w:eastAsia="en-US"/>
        </w:rPr>
        <w:t xml:space="preserve"> arī 2021.</w:t>
      </w:r>
      <w:r w:rsidRPr="008643AC">
        <w:rPr>
          <w:rFonts w:ascii="Times New Roman" w:eastAsia="Times New Roman" w:hAnsi="Times New Roman" w:cs="Times New Roman"/>
          <w:sz w:val="28"/>
          <w:szCs w:val="28"/>
          <w:lang w:eastAsia="en-US"/>
        </w:rPr>
        <w:t>gadā, prognozējams, ka pašvaldības, ņemot vērā faktisko izpildi līdz šā gada oktobrim, varētu pilnībā neizmantot piešķirto aizņemšanās limitu. Kopumā vidējā termiņā tiek prognozēts, ka kapi</w:t>
      </w:r>
      <w:r w:rsidR="00FB5161">
        <w:rPr>
          <w:rFonts w:ascii="Times New Roman" w:eastAsia="Times New Roman" w:hAnsi="Times New Roman" w:cs="Times New Roman"/>
          <w:sz w:val="28"/>
          <w:szCs w:val="28"/>
          <w:lang w:eastAsia="en-US"/>
        </w:rPr>
        <w:t>tālie izdevumi nesasniegs 2019.gada izdevumu līmeni (skat. 2.3.att.).</w:t>
      </w:r>
      <w:r w:rsidRPr="008643AC">
        <w:rPr>
          <w:rFonts w:ascii="Times New Roman" w:eastAsia="Times New Roman" w:hAnsi="Times New Roman" w:cs="Times New Roman"/>
          <w:sz w:val="28"/>
          <w:szCs w:val="28"/>
          <w:lang w:eastAsia="en-US"/>
        </w:rPr>
        <w:t xml:space="preserve"> Vienlaikus, ir izdevumu pozīcijas, kur tiek prognozēts kāpums, piemēram, atlīdzībai, pamatojoties uz m</w:t>
      </w:r>
      <w:r w:rsidR="00FB5161">
        <w:rPr>
          <w:rFonts w:ascii="Times New Roman" w:eastAsia="Times New Roman" w:hAnsi="Times New Roman" w:cs="Times New Roman"/>
          <w:sz w:val="28"/>
          <w:szCs w:val="28"/>
          <w:lang w:eastAsia="en-US"/>
        </w:rPr>
        <w:t>inimālās algas celšanu no 2021.</w:t>
      </w:r>
      <w:r w:rsidRPr="008643AC">
        <w:rPr>
          <w:rFonts w:ascii="Times New Roman" w:eastAsia="Times New Roman" w:hAnsi="Times New Roman" w:cs="Times New Roman"/>
          <w:sz w:val="28"/>
          <w:szCs w:val="28"/>
          <w:lang w:eastAsia="en-US"/>
        </w:rPr>
        <w:t xml:space="preserve">gada un atalgojuma palielināšanu pedagogiem, kā arī sociālajiem pabalstiem. No 2021. gada 1. janvāra tiek celts garantētā minimālā ienākuma slieksnis </w:t>
      </w:r>
      <w:r w:rsidRPr="008643AC">
        <w:rPr>
          <w:rFonts w:ascii="Times New Roman" w:eastAsia="Times New Roman" w:hAnsi="Times New Roman" w:cs="Times New Roman"/>
          <w:noProof/>
          <w:sz w:val="28"/>
          <w:szCs w:val="28"/>
          <w:lang w:eastAsia="en-US"/>
        </w:rPr>
        <w:t xml:space="preserve">līdz 109 </w:t>
      </w:r>
      <w:r w:rsidRPr="008643AC">
        <w:rPr>
          <w:rFonts w:ascii="Times New Roman" w:eastAsia="Times New Roman" w:hAnsi="Times New Roman" w:cs="Times New Roman"/>
          <w:i/>
          <w:noProof/>
          <w:sz w:val="28"/>
          <w:szCs w:val="28"/>
          <w:lang w:eastAsia="en-US"/>
        </w:rPr>
        <w:t>euro</w:t>
      </w:r>
      <w:r w:rsidRPr="008643AC">
        <w:rPr>
          <w:rFonts w:ascii="Times New Roman" w:eastAsia="Times New Roman" w:hAnsi="Times New Roman" w:cs="Times New Roman"/>
          <w:noProof/>
          <w:sz w:val="28"/>
          <w:szCs w:val="28"/>
          <w:lang w:eastAsia="en-US"/>
        </w:rPr>
        <w:t xml:space="preserve"> pirmajai vai vienīgajai personai mājsaimniecībā un 76 </w:t>
      </w:r>
      <w:r w:rsidRPr="008643AC">
        <w:rPr>
          <w:rFonts w:ascii="Times New Roman" w:eastAsia="Times New Roman" w:hAnsi="Times New Roman" w:cs="Times New Roman"/>
          <w:i/>
          <w:noProof/>
          <w:sz w:val="28"/>
          <w:szCs w:val="28"/>
          <w:lang w:eastAsia="en-US"/>
        </w:rPr>
        <w:t>euro</w:t>
      </w:r>
      <w:r w:rsidRPr="008643AC">
        <w:rPr>
          <w:rFonts w:ascii="Times New Roman" w:eastAsia="Times New Roman" w:hAnsi="Times New Roman" w:cs="Times New Roman"/>
          <w:noProof/>
          <w:sz w:val="28"/>
          <w:szCs w:val="28"/>
          <w:lang w:eastAsia="en-US"/>
        </w:rPr>
        <w:t xml:space="preserve"> katrai nākamajai</w:t>
      </w:r>
      <w:r w:rsidRPr="008643AC">
        <w:rPr>
          <w:rFonts w:ascii="Times New Roman" w:eastAsia="Times New Roman" w:hAnsi="Times New Roman" w:cs="Times New Roman"/>
          <w:sz w:val="28"/>
          <w:szCs w:val="28"/>
          <w:lang w:eastAsia="en-US"/>
        </w:rPr>
        <w:t xml:space="preserve"> personai mājsaimniecībā, attiecīgi pašvaldību budžetā veidojot papildus izdevumus. </w:t>
      </w:r>
    </w:p>
    <w:p w14:paraId="445EDA9F" w14:textId="77777777" w:rsidR="00FD5F28" w:rsidRPr="008643AC" w:rsidRDefault="00FD5F28" w:rsidP="008643AC">
      <w:pPr>
        <w:ind w:firstLine="709"/>
        <w:jc w:val="both"/>
        <w:rPr>
          <w:rFonts w:ascii="Times New Roman" w:eastAsia="Times New Roman" w:hAnsi="Times New Roman" w:cs="Times New Roman"/>
          <w:sz w:val="28"/>
          <w:szCs w:val="28"/>
          <w:lang w:eastAsia="en-US"/>
        </w:rPr>
      </w:pPr>
    </w:p>
    <w:p w14:paraId="716E50A2" w14:textId="77777777" w:rsidR="008643AC" w:rsidRPr="008643AC" w:rsidRDefault="008643AC" w:rsidP="00FD5F28">
      <w:pPr>
        <w:keepNext/>
        <w:jc w:val="right"/>
        <w:rPr>
          <w:rFonts w:ascii="Times New Roman" w:eastAsia="Times New Roman" w:hAnsi="Times New Roman" w:cs="Times New Roman"/>
          <w:i/>
          <w:sz w:val="24"/>
          <w:szCs w:val="24"/>
          <w:lang w:eastAsia="en-US"/>
        </w:rPr>
      </w:pPr>
      <w:r w:rsidRPr="008643AC">
        <w:rPr>
          <w:rFonts w:ascii="Times New Roman" w:eastAsia="Times New Roman" w:hAnsi="Times New Roman" w:cs="Times New Roman"/>
          <w:b/>
          <w:i/>
          <w:sz w:val="24"/>
          <w:szCs w:val="24"/>
          <w:lang w:eastAsia="en-US"/>
        </w:rPr>
        <w:t xml:space="preserve">2.3. tabula. Pašvaldību konsolidētā budžeta bilance 2019.-2023.gadā, milj. </w:t>
      </w:r>
      <w:r w:rsidRPr="008643AC">
        <w:rPr>
          <w:rFonts w:ascii="Times New Roman" w:eastAsia="Times New Roman" w:hAnsi="Times New Roman" w:cs="Times New Roman"/>
          <w:b/>
          <w:i/>
          <w:noProof/>
          <w:sz w:val="24"/>
          <w:szCs w:val="24"/>
          <w:lang w:eastAsia="en-US"/>
        </w:rPr>
        <w:t>euro</w:t>
      </w:r>
    </w:p>
    <w:tbl>
      <w:tblPr>
        <w:tblW w:w="9070" w:type="dxa"/>
        <w:jc w:val="center"/>
        <w:tblLook w:val="04A0" w:firstRow="1" w:lastRow="0" w:firstColumn="1" w:lastColumn="0" w:noHBand="0" w:noVBand="1"/>
      </w:tblPr>
      <w:tblGrid>
        <w:gridCol w:w="2581"/>
        <w:gridCol w:w="815"/>
        <w:gridCol w:w="896"/>
        <w:gridCol w:w="806"/>
        <w:gridCol w:w="851"/>
        <w:gridCol w:w="898"/>
        <w:gridCol w:w="711"/>
        <w:gridCol w:w="801"/>
        <w:gridCol w:w="711"/>
      </w:tblGrid>
      <w:tr w:rsidR="008643AC" w:rsidRPr="008643AC" w14:paraId="27782647" w14:textId="77777777" w:rsidTr="008643AC">
        <w:trPr>
          <w:trHeight w:val="100"/>
          <w:jc w:val="center"/>
        </w:trPr>
        <w:tc>
          <w:tcPr>
            <w:tcW w:w="2581" w:type="dxa"/>
            <w:tcBorders>
              <w:top w:val="single" w:sz="4" w:space="0" w:color="auto"/>
              <w:left w:val="single" w:sz="4" w:space="0" w:color="auto"/>
              <w:bottom w:val="single" w:sz="4" w:space="0" w:color="auto"/>
              <w:right w:val="single" w:sz="4" w:space="0" w:color="auto"/>
            </w:tcBorders>
            <w:shd w:val="clear" w:color="auto" w:fill="95B3D7"/>
            <w:noWrap/>
            <w:vAlign w:val="bottom"/>
            <w:hideMark/>
          </w:tcPr>
          <w:p w14:paraId="30185110" w14:textId="77777777" w:rsidR="008643AC" w:rsidRPr="008643AC" w:rsidRDefault="008643AC" w:rsidP="008643AC">
            <w:pPr>
              <w:rPr>
                <w:rFonts w:ascii="Times New Roman" w:eastAsia="Times New Roman" w:hAnsi="Times New Roman" w:cs="Times New Roman"/>
                <w:color w:val="000000"/>
                <w:sz w:val="18"/>
                <w:szCs w:val="18"/>
              </w:rPr>
            </w:pPr>
            <w:r w:rsidRPr="008643AC">
              <w:rPr>
                <w:rFonts w:ascii="Times New Roman" w:eastAsia="Times New Roman" w:hAnsi="Times New Roman" w:cs="Times New Roman"/>
                <w:color w:val="000000"/>
                <w:sz w:val="18"/>
                <w:szCs w:val="18"/>
              </w:rPr>
              <w:t> </w:t>
            </w:r>
          </w:p>
        </w:tc>
        <w:tc>
          <w:tcPr>
            <w:tcW w:w="815" w:type="dxa"/>
            <w:tcBorders>
              <w:top w:val="single" w:sz="4" w:space="0" w:color="auto"/>
              <w:left w:val="nil"/>
              <w:bottom w:val="single" w:sz="4" w:space="0" w:color="auto"/>
              <w:right w:val="single" w:sz="4" w:space="0" w:color="auto"/>
            </w:tcBorders>
            <w:shd w:val="clear" w:color="auto" w:fill="95B3D7"/>
            <w:noWrap/>
            <w:vAlign w:val="center"/>
            <w:hideMark/>
          </w:tcPr>
          <w:p w14:paraId="2FEA902E"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2019</w:t>
            </w:r>
          </w:p>
        </w:tc>
        <w:tc>
          <w:tcPr>
            <w:tcW w:w="896" w:type="dxa"/>
            <w:tcBorders>
              <w:top w:val="single" w:sz="4" w:space="0" w:color="auto"/>
              <w:left w:val="nil"/>
              <w:bottom w:val="single" w:sz="4" w:space="0" w:color="auto"/>
              <w:right w:val="single" w:sz="4" w:space="0" w:color="auto"/>
            </w:tcBorders>
            <w:shd w:val="clear" w:color="auto" w:fill="95B3D7"/>
            <w:noWrap/>
            <w:vAlign w:val="center"/>
            <w:hideMark/>
          </w:tcPr>
          <w:p w14:paraId="54AA057C"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2020</w:t>
            </w:r>
          </w:p>
        </w:tc>
        <w:tc>
          <w:tcPr>
            <w:tcW w:w="806" w:type="dxa"/>
            <w:tcBorders>
              <w:top w:val="single" w:sz="4" w:space="0" w:color="auto"/>
              <w:left w:val="nil"/>
              <w:bottom w:val="single" w:sz="4" w:space="0" w:color="auto"/>
              <w:right w:val="single" w:sz="4" w:space="0" w:color="auto"/>
            </w:tcBorders>
            <w:shd w:val="clear" w:color="auto" w:fill="95B3D7"/>
            <w:noWrap/>
            <w:vAlign w:val="center"/>
            <w:hideMark/>
          </w:tcPr>
          <w:p w14:paraId="19A1388C"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2021</w:t>
            </w:r>
          </w:p>
        </w:tc>
        <w:tc>
          <w:tcPr>
            <w:tcW w:w="851" w:type="dxa"/>
            <w:tcBorders>
              <w:top w:val="single" w:sz="4" w:space="0" w:color="auto"/>
              <w:left w:val="nil"/>
              <w:bottom w:val="single" w:sz="4" w:space="0" w:color="auto"/>
              <w:right w:val="single" w:sz="4" w:space="0" w:color="auto"/>
            </w:tcBorders>
            <w:shd w:val="clear" w:color="auto" w:fill="95B3D7"/>
            <w:noWrap/>
            <w:vAlign w:val="center"/>
            <w:hideMark/>
          </w:tcPr>
          <w:p w14:paraId="590305CF"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2022</w:t>
            </w:r>
          </w:p>
        </w:tc>
        <w:tc>
          <w:tcPr>
            <w:tcW w:w="898" w:type="dxa"/>
            <w:tcBorders>
              <w:top w:val="single" w:sz="4" w:space="0" w:color="auto"/>
              <w:left w:val="nil"/>
              <w:bottom w:val="single" w:sz="4" w:space="0" w:color="auto"/>
              <w:right w:val="single" w:sz="4" w:space="0" w:color="auto"/>
            </w:tcBorders>
            <w:shd w:val="clear" w:color="auto" w:fill="95B3D7"/>
            <w:noWrap/>
            <w:hideMark/>
          </w:tcPr>
          <w:p w14:paraId="6402C3D1"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2023</w:t>
            </w:r>
          </w:p>
        </w:tc>
        <w:tc>
          <w:tcPr>
            <w:tcW w:w="711" w:type="dxa"/>
            <w:tcBorders>
              <w:top w:val="single" w:sz="4" w:space="0" w:color="auto"/>
              <w:left w:val="nil"/>
              <w:bottom w:val="single" w:sz="4" w:space="0" w:color="auto"/>
              <w:right w:val="single" w:sz="4" w:space="0" w:color="auto"/>
            </w:tcBorders>
            <w:shd w:val="clear" w:color="auto" w:fill="95B3D7"/>
            <w:vAlign w:val="center"/>
          </w:tcPr>
          <w:p w14:paraId="591F1F29" w14:textId="77777777" w:rsidR="008643AC" w:rsidRPr="008643AC" w:rsidRDefault="008643AC" w:rsidP="008643AC">
            <w:pPr>
              <w:jc w:val="cente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2021</w:t>
            </w:r>
          </w:p>
        </w:tc>
        <w:tc>
          <w:tcPr>
            <w:tcW w:w="801" w:type="dxa"/>
            <w:tcBorders>
              <w:top w:val="single" w:sz="4" w:space="0" w:color="auto"/>
              <w:left w:val="single" w:sz="4" w:space="0" w:color="auto"/>
              <w:bottom w:val="single" w:sz="4" w:space="0" w:color="auto"/>
              <w:right w:val="single" w:sz="4" w:space="0" w:color="auto"/>
            </w:tcBorders>
            <w:shd w:val="clear" w:color="auto" w:fill="95B3D7"/>
            <w:noWrap/>
            <w:vAlign w:val="center"/>
            <w:hideMark/>
          </w:tcPr>
          <w:p w14:paraId="19FB59DD"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2022</w:t>
            </w:r>
          </w:p>
        </w:tc>
        <w:tc>
          <w:tcPr>
            <w:tcW w:w="711" w:type="dxa"/>
            <w:tcBorders>
              <w:top w:val="single" w:sz="4" w:space="0" w:color="auto"/>
              <w:left w:val="nil"/>
              <w:bottom w:val="single" w:sz="4" w:space="0" w:color="auto"/>
              <w:right w:val="single" w:sz="4" w:space="0" w:color="auto"/>
            </w:tcBorders>
            <w:shd w:val="clear" w:color="auto" w:fill="95B3D7"/>
            <w:noWrap/>
            <w:hideMark/>
          </w:tcPr>
          <w:p w14:paraId="5AB33153" w14:textId="77777777" w:rsidR="008643AC" w:rsidRPr="008643AC" w:rsidRDefault="008643AC" w:rsidP="008643AC">
            <w:pPr>
              <w:jc w:val="center"/>
              <w:rPr>
                <w:rFonts w:ascii="Times New Roman" w:eastAsia="Times New Roman" w:hAnsi="Times New Roman" w:cs="Times New Roman"/>
                <w:b/>
                <w:bCs/>
                <w:sz w:val="18"/>
                <w:szCs w:val="18"/>
              </w:rPr>
            </w:pPr>
            <w:r w:rsidRPr="008643AC">
              <w:rPr>
                <w:rFonts w:ascii="Times New Roman" w:eastAsia="Times New Roman" w:hAnsi="Times New Roman" w:cs="Times New Roman"/>
                <w:b/>
                <w:bCs/>
                <w:color w:val="000000"/>
                <w:sz w:val="18"/>
                <w:szCs w:val="18"/>
              </w:rPr>
              <w:t>2023</w:t>
            </w:r>
          </w:p>
        </w:tc>
      </w:tr>
      <w:tr w:rsidR="008643AC" w:rsidRPr="008643AC" w14:paraId="07BAC690" w14:textId="77777777" w:rsidTr="008643AC">
        <w:trPr>
          <w:trHeight w:val="78"/>
          <w:jc w:val="center"/>
        </w:trPr>
        <w:tc>
          <w:tcPr>
            <w:tcW w:w="2581" w:type="dxa"/>
            <w:tcBorders>
              <w:top w:val="nil"/>
              <w:left w:val="single" w:sz="4" w:space="0" w:color="auto"/>
              <w:bottom w:val="single" w:sz="4" w:space="0" w:color="auto"/>
              <w:right w:val="single" w:sz="4" w:space="0" w:color="auto"/>
            </w:tcBorders>
            <w:shd w:val="clear" w:color="auto" w:fill="95B3D7"/>
            <w:noWrap/>
            <w:vAlign w:val="bottom"/>
            <w:hideMark/>
          </w:tcPr>
          <w:p w14:paraId="47614590" w14:textId="77777777" w:rsidR="008643AC" w:rsidRPr="008643AC" w:rsidRDefault="008643AC" w:rsidP="008643AC">
            <w:pPr>
              <w:rPr>
                <w:rFonts w:ascii="Times New Roman" w:eastAsia="Times New Roman" w:hAnsi="Times New Roman" w:cs="Times New Roman"/>
                <w:b/>
                <w:bCs/>
                <w:color w:val="000000"/>
                <w:sz w:val="18"/>
                <w:szCs w:val="18"/>
              </w:rPr>
            </w:pPr>
            <w:r w:rsidRPr="008643AC">
              <w:rPr>
                <w:rFonts w:ascii="Times New Roman" w:eastAsia="Times New Roman" w:hAnsi="Times New Roman" w:cs="Times New Roman"/>
                <w:b/>
                <w:bCs/>
                <w:color w:val="000000"/>
                <w:sz w:val="18"/>
                <w:szCs w:val="18"/>
              </w:rPr>
              <w:t> </w:t>
            </w:r>
          </w:p>
        </w:tc>
        <w:tc>
          <w:tcPr>
            <w:tcW w:w="815" w:type="dxa"/>
            <w:tcBorders>
              <w:top w:val="single" w:sz="4" w:space="0" w:color="auto"/>
              <w:left w:val="nil"/>
              <w:bottom w:val="single" w:sz="4" w:space="0" w:color="auto"/>
              <w:right w:val="single" w:sz="4" w:space="0" w:color="auto"/>
            </w:tcBorders>
            <w:shd w:val="clear" w:color="auto" w:fill="95B3D7"/>
            <w:noWrap/>
            <w:vAlign w:val="center"/>
            <w:hideMark/>
          </w:tcPr>
          <w:p w14:paraId="79B681FF" w14:textId="77777777" w:rsidR="008643AC" w:rsidRPr="008643AC" w:rsidRDefault="008643AC" w:rsidP="008643AC">
            <w:pPr>
              <w:jc w:val="center"/>
              <w:rPr>
                <w:rFonts w:ascii="Times New Roman" w:eastAsia="Times New Roman" w:hAnsi="Times New Roman" w:cs="Times New Roman"/>
                <w:b/>
                <w:sz w:val="18"/>
                <w:szCs w:val="18"/>
              </w:rPr>
            </w:pPr>
            <w:r w:rsidRPr="008643AC">
              <w:rPr>
                <w:rFonts w:ascii="Times New Roman" w:eastAsia="Times New Roman" w:hAnsi="Times New Roman" w:cs="Times New Roman"/>
                <w:b/>
                <w:color w:val="000000"/>
                <w:sz w:val="18"/>
                <w:szCs w:val="18"/>
              </w:rPr>
              <w:t>Fakts*</w:t>
            </w:r>
          </w:p>
        </w:tc>
        <w:tc>
          <w:tcPr>
            <w:tcW w:w="896" w:type="dxa"/>
            <w:tcBorders>
              <w:top w:val="single" w:sz="4" w:space="0" w:color="auto"/>
              <w:left w:val="nil"/>
              <w:bottom w:val="single" w:sz="4" w:space="0" w:color="auto"/>
              <w:right w:val="single" w:sz="4" w:space="0" w:color="auto"/>
            </w:tcBorders>
            <w:shd w:val="clear" w:color="auto" w:fill="95B3D7"/>
            <w:vAlign w:val="center"/>
          </w:tcPr>
          <w:p w14:paraId="69A607EC" w14:textId="77777777" w:rsidR="008643AC" w:rsidRPr="008643AC" w:rsidRDefault="008643AC" w:rsidP="008643AC">
            <w:pPr>
              <w:jc w:val="center"/>
              <w:rPr>
                <w:rFonts w:ascii="Times New Roman" w:eastAsia="Times New Roman" w:hAnsi="Times New Roman" w:cs="Times New Roman"/>
                <w:b/>
                <w:sz w:val="18"/>
                <w:szCs w:val="18"/>
              </w:rPr>
            </w:pPr>
            <w:r w:rsidRPr="008643AC">
              <w:rPr>
                <w:rFonts w:ascii="Times New Roman" w:eastAsia="Times New Roman" w:hAnsi="Times New Roman" w:cs="Times New Roman"/>
                <w:b/>
                <w:sz w:val="18"/>
                <w:szCs w:val="18"/>
              </w:rPr>
              <w:t>Novērt.</w:t>
            </w:r>
          </w:p>
        </w:tc>
        <w:tc>
          <w:tcPr>
            <w:tcW w:w="2555" w:type="dxa"/>
            <w:gridSpan w:val="3"/>
            <w:tcBorders>
              <w:top w:val="single" w:sz="4" w:space="0" w:color="auto"/>
              <w:left w:val="nil"/>
              <w:bottom w:val="single" w:sz="4" w:space="0" w:color="auto"/>
              <w:right w:val="single" w:sz="4" w:space="0" w:color="auto"/>
            </w:tcBorders>
            <w:shd w:val="clear" w:color="auto" w:fill="95B3D7"/>
            <w:vAlign w:val="center"/>
          </w:tcPr>
          <w:p w14:paraId="218AE558" w14:textId="77777777" w:rsidR="008643AC" w:rsidRPr="008643AC" w:rsidRDefault="008643AC" w:rsidP="008643AC">
            <w:pPr>
              <w:jc w:val="center"/>
              <w:rPr>
                <w:rFonts w:ascii="Times New Roman" w:eastAsia="Times New Roman" w:hAnsi="Times New Roman" w:cs="Times New Roman"/>
                <w:b/>
                <w:sz w:val="18"/>
                <w:szCs w:val="18"/>
              </w:rPr>
            </w:pPr>
            <w:r w:rsidRPr="008643AC">
              <w:rPr>
                <w:rFonts w:ascii="Times New Roman" w:eastAsia="Times New Roman" w:hAnsi="Times New Roman" w:cs="Times New Roman"/>
                <w:b/>
                <w:color w:val="000000"/>
                <w:sz w:val="18"/>
                <w:szCs w:val="18"/>
              </w:rPr>
              <w:t>Prognoze (nemainīga politika)</w:t>
            </w:r>
          </w:p>
        </w:tc>
        <w:tc>
          <w:tcPr>
            <w:tcW w:w="2223" w:type="dxa"/>
            <w:gridSpan w:val="3"/>
            <w:tcBorders>
              <w:top w:val="single" w:sz="4" w:space="0" w:color="auto"/>
              <w:left w:val="single" w:sz="4" w:space="0" w:color="auto"/>
              <w:bottom w:val="single" w:sz="4" w:space="0" w:color="auto"/>
              <w:right w:val="single" w:sz="4" w:space="0" w:color="auto"/>
            </w:tcBorders>
            <w:shd w:val="clear" w:color="auto" w:fill="95B3D7"/>
            <w:vAlign w:val="center"/>
          </w:tcPr>
          <w:p w14:paraId="688D1711" w14:textId="77777777" w:rsidR="008643AC" w:rsidRPr="008643AC" w:rsidRDefault="008643AC" w:rsidP="008643AC">
            <w:pPr>
              <w:jc w:val="center"/>
              <w:rPr>
                <w:rFonts w:ascii="Times New Roman" w:eastAsia="Times New Roman" w:hAnsi="Times New Roman" w:cs="Times New Roman"/>
                <w:b/>
                <w:sz w:val="18"/>
                <w:szCs w:val="18"/>
              </w:rPr>
            </w:pPr>
            <w:r w:rsidRPr="008643AC">
              <w:rPr>
                <w:rFonts w:ascii="Times New Roman" w:eastAsia="Times New Roman" w:hAnsi="Times New Roman" w:cs="Times New Roman"/>
                <w:b/>
                <w:sz w:val="18"/>
                <w:szCs w:val="18"/>
              </w:rPr>
              <w:t>Prognoze</w:t>
            </w:r>
          </w:p>
        </w:tc>
      </w:tr>
      <w:tr w:rsidR="008643AC" w:rsidRPr="008643AC" w14:paraId="114CAAB3" w14:textId="77777777" w:rsidTr="008643AC">
        <w:trPr>
          <w:trHeight w:val="184"/>
          <w:jc w:val="center"/>
        </w:trPr>
        <w:tc>
          <w:tcPr>
            <w:tcW w:w="2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03E8F" w14:textId="77777777" w:rsidR="008643AC" w:rsidRPr="008643AC" w:rsidRDefault="008643AC" w:rsidP="008643AC">
            <w:pPr>
              <w:rPr>
                <w:rFonts w:ascii="Times New Roman" w:eastAsia="Times New Roman" w:hAnsi="Times New Roman" w:cs="Times New Roman"/>
                <w:b/>
                <w:bCs/>
                <w:sz w:val="18"/>
                <w:szCs w:val="18"/>
              </w:rPr>
            </w:pPr>
            <w:r w:rsidRPr="008643AC">
              <w:rPr>
                <w:rFonts w:ascii="Times New Roman" w:eastAsia="Times New Roman" w:hAnsi="Times New Roman" w:cs="Times New Roman"/>
                <w:b/>
                <w:bCs/>
                <w:sz w:val="18"/>
                <w:szCs w:val="18"/>
              </w:rPr>
              <w:t>PAŠVALDĪBU BUDŽETA BILANCE</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3E4CA8ED" w14:textId="77777777" w:rsidR="008643AC" w:rsidRPr="008643AC" w:rsidRDefault="008643AC" w:rsidP="008643AC">
            <w:pPr>
              <w:jc w:val="right"/>
              <w:rPr>
                <w:rFonts w:ascii="Times New Roman" w:eastAsia="Times New Roman" w:hAnsi="Times New Roman" w:cs="Times New Roman"/>
                <w:b/>
                <w:color w:val="FF0000"/>
                <w:sz w:val="18"/>
                <w:szCs w:val="18"/>
              </w:rPr>
            </w:pPr>
            <w:r w:rsidRPr="008643AC">
              <w:rPr>
                <w:rFonts w:ascii="Times New Roman" w:eastAsia="Times New Roman" w:hAnsi="Times New Roman" w:cs="Times New Roman"/>
                <w:b/>
                <w:sz w:val="18"/>
                <w:szCs w:val="18"/>
                <w:lang w:eastAsia="en-US"/>
              </w:rPr>
              <w:t>50,2</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DF94FAF" w14:textId="77777777" w:rsidR="008643AC" w:rsidRPr="008643AC" w:rsidRDefault="008643AC" w:rsidP="008643AC">
            <w:pPr>
              <w:jc w:val="right"/>
              <w:rPr>
                <w:rFonts w:ascii="Times New Roman" w:eastAsia="Times New Roman" w:hAnsi="Times New Roman" w:cs="Times New Roman"/>
                <w:b/>
                <w:color w:val="FF0000"/>
                <w:sz w:val="18"/>
                <w:szCs w:val="18"/>
              </w:rPr>
            </w:pPr>
            <w:r w:rsidRPr="008643AC">
              <w:rPr>
                <w:rFonts w:ascii="Times New Roman" w:eastAsia="Times New Roman" w:hAnsi="Times New Roman" w:cs="Times New Roman"/>
                <w:b/>
                <w:sz w:val="18"/>
                <w:szCs w:val="18"/>
                <w:lang w:eastAsia="en-US"/>
              </w:rPr>
              <w:t>-18,3</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0072C046" w14:textId="77777777" w:rsidR="008643AC" w:rsidRPr="008643AC" w:rsidRDefault="008643AC" w:rsidP="008643AC">
            <w:pPr>
              <w:jc w:val="right"/>
              <w:rPr>
                <w:rFonts w:ascii="Times New Roman" w:eastAsia="Times New Roman" w:hAnsi="Times New Roman" w:cs="Times New Roman"/>
                <w:b/>
                <w:color w:val="FF0000"/>
                <w:sz w:val="18"/>
                <w:szCs w:val="18"/>
              </w:rPr>
            </w:pPr>
            <w:r w:rsidRPr="008643AC">
              <w:rPr>
                <w:rFonts w:ascii="Times New Roman" w:eastAsia="Times New Roman" w:hAnsi="Times New Roman" w:cs="Times New Roman"/>
                <w:b/>
                <w:sz w:val="18"/>
                <w:szCs w:val="18"/>
                <w:lang w:eastAsia="en-US"/>
              </w:rPr>
              <w:t>-68,8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D46ECC9" w14:textId="77777777" w:rsidR="008643AC" w:rsidRPr="008643AC" w:rsidRDefault="008643AC" w:rsidP="008643AC">
            <w:pPr>
              <w:jc w:val="right"/>
              <w:rPr>
                <w:rFonts w:ascii="Times New Roman" w:eastAsia="Times New Roman" w:hAnsi="Times New Roman" w:cs="Times New Roman"/>
                <w:b/>
                <w:color w:val="FF0000"/>
                <w:sz w:val="18"/>
                <w:szCs w:val="18"/>
              </w:rPr>
            </w:pPr>
            <w:r w:rsidRPr="008643AC">
              <w:rPr>
                <w:rFonts w:ascii="Times New Roman" w:eastAsia="Times New Roman" w:hAnsi="Times New Roman" w:cs="Times New Roman"/>
                <w:b/>
                <w:sz w:val="18"/>
                <w:szCs w:val="18"/>
                <w:lang w:eastAsia="en-US"/>
              </w:rPr>
              <w:t>-92,1</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14:paraId="34F6AD11" w14:textId="77777777" w:rsidR="008643AC" w:rsidRPr="008643AC" w:rsidRDefault="008643AC" w:rsidP="008643AC">
            <w:pPr>
              <w:jc w:val="right"/>
              <w:rPr>
                <w:rFonts w:ascii="Times New Roman" w:eastAsia="Times New Roman" w:hAnsi="Times New Roman" w:cs="Times New Roman"/>
                <w:b/>
                <w:color w:val="FF0000"/>
                <w:sz w:val="18"/>
                <w:szCs w:val="18"/>
              </w:rPr>
            </w:pPr>
            <w:r w:rsidRPr="008643AC">
              <w:rPr>
                <w:rFonts w:ascii="Times New Roman" w:eastAsia="Times New Roman" w:hAnsi="Times New Roman" w:cs="Times New Roman"/>
                <w:b/>
                <w:sz w:val="18"/>
                <w:szCs w:val="18"/>
                <w:lang w:eastAsia="en-US"/>
              </w:rPr>
              <w:t>-88,7</w:t>
            </w:r>
          </w:p>
        </w:tc>
        <w:tc>
          <w:tcPr>
            <w:tcW w:w="711" w:type="dxa"/>
            <w:tcBorders>
              <w:top w:val="single" w:sz="4" w:space="0" w:color="auto"/>
              <w:left w:val="nil"/>
              <w:bottom w:val="single" w:sz="4" w:space="0" w:color="auto"/>
              <w:right w:val="single" w:sz="4" w:space="0" w:color="auto"/>
            </w:tcBorders>
            <w:shd w:val="clear" w:color="auto" w:fill="auto"/>
            <w:vAlign w:val="center"/>
          </w:tcPr>
          <w:p w14:paraId="765A4681" w14:textId="77777777" w:rsidR="008643AC" w:rsidRPr="008643AC" w:rsidRDefault="008643AC" w:rsidP="008643AC">
            <w:pPr>
              <w:jc w:val="right"/>
              <w:rPr>
                <w:rFonts w:ascii="Times New Roman" w:eastAsia="Times New Roman" w:hAnsi="Times New Roman" w:cs="Times New Roman"/>
                <w:b/>
                <w:color w:val="FF0000"/>
                <w:sz w:val="18"/>
                <w:szCs w:val="18"/>
              </w:rPr>
            </w:pPr>
            <w:r w:rsidRPr="008643AC">
              <w:rPr>
                <w:rFonts w:ascii="Times New Roman" w:eastAsia="Times New Roman" w:hAnsi="Times New Roman" w:cs="Times New Roman"/>
                <w:b/>
                <w:color w:val="000000"/>
                <w:sz w:val="18"/>
                <w:szCs w:val="18"/>
              </w:rPr>
              <w:t>-74,8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C132" w14:textId="77777777" w:rsidR="008643AC" w:rsidRPr="008643AC" w:rsidRDefault="008643AC" w:rsidP="008643AC">
            <w:pPr>
              <w:jc w:val="right"/>
              <w:rPr>
                <w:rFonts w:ascii="Times New Roman" w:eastAsia="Times New Roman" w:hAnsi="Times New Roman" w:cs="Times New Roman"/>
                <w:b/>
                <w:color w:val="FF0000"/>
                <w:sz w:val="18"/>
                <w:szCs w:val="18"/>
              </w:rPr>
            </w:pPr>
            <w:r w:rsidRPr="008643AC">
              <w:rPr>
                <w:rFonts w:ascii="Times New Roman" w:eastAsia="Times New Roman" w:hAnsi="Times New Roman" w:cs="Times New Roman"/>
                <w:b/>
                <w:color w:val="000000"/>
                <w:sz w:val="18"/>
                <w:szCs w:val="18"/>
              </w:rPr>
              <w:t>-87,9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EB3583C" w14:textId="77777777" w:rsidR="008643AC" w:rsidRPr="008643AC" w:rsidRDefault="008643AC" w:rsidP="008643AC">
            <w:pPr>
              <w:jc w:val="right"/>
              <w:rPr>
                <w:rFonts w:ascii="Times New Roman" w:eastAsia="Times New Roman" w:hAnsi="Times New Roman" w:cs="Times New Roman"/>
                <w:b/>
                <w:color w:val="FF0000"/>
                <w:sz w:val="18"/>
                <w:szCs w:val="18"/>
              </w:rPr>
            </w:pPr>
            <w:r w:rsidRPr="008643AC">
              <w:rPr>
                <w:rFonts w:ascii="Times New Roman" w:eastAsia="Times New Roman" w:hAnsi="Times New Roman" w:cs="Times New Roman"/>
                <w:b/>
                <w:color w:val="000000"/>
                <w:sz w:val="18"/>
                <w:szCs w:val="18"/>
              </w:rPr>
              <w:t>-93,2</w:t>
            </w:r>
          </w:p>
        </w:tc>
      </w:tr>
      <w:tr w:rsidR="008643AC" w:rsidRPr="008643AC" w14:paraId="1CC8190F" w14:textId="77777777" w:rsidTr="008643AC">
        <w:trPr>
          <w:trHeight w:val="71"/>
          <w:jc w:val="center"/>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D6003" w14:textId="77777777" w:rsidR="008643AC" w:rsidRPr="008643AC" w:rsidRDefault="008643AC" w:rsidP="008643AC">
            <w:pPr>
              <w:ind w:left="-225" w:firstLineChars="100" w:firstLine="180"/>
              <w:jc w:val="both"/>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rPr>
              <w:t>Ieņēmumi</w:t>
            </w:r>
          </w:p>
        </w:tc>
        <w:tc>
          <w:tcPr>
            <w:tcW w:w="815" w:type="dxa"/>
            <w:tcBorders>
              <w:top w:val="single" w:sz="4" w:space="0" w:color="auto"/>
              <w:left w:val="nil"/>
              <w:bottom w:val="single" w:sz="4" w:space="0" w:color="auto"/>
              <w:right w:val="single" w:sz="4" w:space="0" w:color="auto"/>
            </w:tcBorders>
            <w:shd w:val="clear" w:color="auto" w:fill="auto"/>
            <w:noWrap/>
            <w:hideMark/>
          </w:tcPr>
          <w:p w14:paraId="5E992DF5"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2 921,2</w:t>
            </w:r>
          </w:p>
        </w:tc>
        <w:tc>
          <w:tcPr>
            <w:tcW w:w="896" w:type="dxa"/>
            <w:tcBorders>
              <w:top w:val="single" w:sz="4" w:space="0" w:color="auto"/>
              <w:left w:val="nil"/>
              <w:bottom w:val="single" w:sz="4" w:space="0" w:color="auto"/>
              <w:right w:val="single" w:sz="4" w:space="0" w:color="auto"/>
            </w:tcBorders>
            <w:shd w:val="clear" w:color="auto" w:fill="auto"/>
            <w:noWrap/>
            <w:hideMark/>
          </w:tcPr>
          <w:p w14:paraId="3584FE60"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2 779,3</w:t>
            </w:r>
          </w:p>
        </w:tc>
        <w:tc>
          <w:tcPr>
            <w:tcW w:w="806" w:type="dxa"/>
            <w:tcBorders>
              <w:top w:val="single" w:sz="4" w:space="0" w:color="auto"/>
              <w:left w:val="nil"/>
              <w:bottom w:val="single" w:sz="4" w:space="0" w:color="auto"/>
              <w:right w:val="single" w:sz="4" w:space="0" w:color="auto"/>
            </w:tcBorders>
            <w:shd w:val="clear" w:color="auto" w:fill="auto"/>
            <w:noWrap/>
            <w:hideMark/>
          </w:tcPr>
          <w:p w14:paraId="4A1F71B4"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2 751,4</w:t>
            </w:r>
          </w:p>
        </w:tc>
        <w:tc>
          <w:tcPr>
            <w:tcW w:w="851" w:type="dxa"/>
            <w:tcBorders>
              <w:top w:val="single" w:sz="4" w:space="0" w:color="auto"/>
              <w:left w:val="nil"/>
              <w:bottom w:val="single" w:sz="4" w:space="0" w:color="auto"/>
              <w:right w:val="single" w:sz="4" w:space="0" w:color="auto"/>
            </w:tcBorders>
            <w:shd w:val="clear" w:color="auto" w:fill="auto"/>
            <w:noWrap/>
            <w:hideMark/>
          </w:tcPr>
          <w:p w14:paraId="3359F583"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2 821,6</w:t>
            </w:r>
          </w:p>
        </w:tc>
        <w:tc>
          <w:tcPr>
            <w:tcW w:w="898" w:type="dxa"/>
            <w:tcBorders>
              <w:top w:val="single" w:sz="4" w:space="0" w:color="auto"/>
              <w:left w:val="nil"/>
              <w:bottom w:val="single" w:sz="4" w:space="0" w:color="auto"/>
              <w:right w:val="single" w:sz="4" w:space="0" w:color="auto"/>
            </w:tcBorders>
            <w:shd w:val="clear" w:color="auto" w:fill="auto"/>
            <w:noWrap/>
            <w:hideMark/>
          </w:tcPr>
          <w:p w14:paraId="1D2C6461"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2 895,7</w:t>
            </w:r>
          </w:p>
        </w:tc>
        <w:tc>
          <w:tcPr>
            <w:tcW w:w="711" w:type="dxa"/>
            <w:tcBorders>
              <w:top w:val="single" w:sz="4" w:space="0" w:color="auto"/>
              <w:left w:val="nil"/>
              <w:bottom w:val="single" w:sz="4" w:space="0" w:color="auto"/>
              <w:right w:val="single" w:sz="4" w:space="0" w:color="auto"/>
            </w:tcBorders>
          </w:tcPr>
          <w:p w14:paraId="4B13A325"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2683,6</w:t>
            </w:r>
          </w:p>
        </w:tc>
        <w:tc>
          <w:tcPr>
            <w:tcW w:w="801" w:type="dxa"/>
            <w:tcBorders>
              <w:top w:val="single" w:sz="4" w:space="0" w:color="auto"/>
              <w:left w:val="single" w:sz="4" w:space="0" w:color="auto"/>
              <w:bottom w:val="single" w:sz="4" w:space="0" w:color="auto"/>
              <w:right w:val="single" w:sz="4" w:space="0" w:color="auto"/>
            </w:tcBorders>
            <w:shd w:val="clear" w:color="auto" w:fill="auto"/>
            <w:noWrap/>
            <w:hideMark/>
          </w:tcPr>
          <w:p w14:paraId="4B66AE56"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2802,6</w:t>
            </w:r>
          </w:p>
        </w:tc>
        <w:tc>
          <w:tcPr>
            <w:tcW w:w="711" w:type="dxa"/>
            <w:tcBorders>
              <w:top w:val="single" w:sz="4" w:space="0" w:color="auto"/>
              <w:left w:val="nil"/>
              <w:bottom w:val="single" w:sz="4" w:space="0" w:color="auto"/>
              <w:right w:val="single" w:sz="4" w:space="0" w:color="auto"/>
            </w:tcBorders>
            <w:shd w:val="clear" w:color="auto" w:fill="auto"/>
            <w:noWrap/>
            <w:hideMark/>
          </w:tcPr>
          <w:p w14:paraId="3D3B08A9"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2891,1</w:t>
            </w:r>
          </w:p>
        </w:tc>
      </w:tr>
      <w:tr w:rsidR="008643AC" w:rsidRPr="008643AC" w14:paraId="65B6AFC2" w14:textId="77777777" w:rsidTr="008643AC">
        <w:trPr>
          <w:trHeight w:val="78"/>
          <w:jc w:val="center"/>
        </w:trPr>
        <w:tc>
          <w:tcPr>
            <w:tcW w:w="2581" w:type="dxa"/>
            <w:tcBorders>
              <w:top w:val="nil"/>
              <w:left w:val="single" w:sz="4" w:space="0" w:color="auto"/>
              <w:bottom w:val="single" w:sz="4" w:space="0" w:color="auto"/>
              <w:right w:val="single" w:sz="4" w:space="0" w:color="auto"/>
            </w:tcBorders>
            <w:shd w:val="clear" w:color="auto" w:fill="auto"/>
            <w:noWrap/>
            <w:vAlign w:val="center"/>
            <w:hideMark/>
          </w:tcPr>
          <w:p w14:paraId="437609E0" w14:textId="77777777" w:rsidR="008643AC" w:rsidRPr="008643AC" w:rsidRDefault="008643AC" w:rsidP="008643AC">
            <w:pPr>
              <w:ind w:left="-239" w:firstLineChars="200" w:firstLine="360"/>
              <w:jc w:val="both"/>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rPr>
              <w:t>Nodokļu ieņēmumi</w:t>
            </w:r>
          </w:p>
        </w:tc>
        <w:tc>
          <w:tcPr>
            <w:tcW w:w="815" w:type="dxa"/>
            <w:tcBorders>
              <w:top w:val="single" w:sz="4" w:space="0" w:color="auto"/>
              <w:left w:val="single" w:sz="4" w:space="0" w:color="auto"/>
              <w:bottom w:val="single" w:sz="4" w:space="0" w:color="auto"/>
              <w:right w:val="single" w:sz="4" w:space="0" w:color="auto"/>
            </w:tcBorders>
            <w:shd w:val="clear" w:color="auto" w:fill="auto"/>
            <w:noWrap/>
            <w:hideMark/>
          </w:tcPr>
          <w:p w14:paraId="22659D69"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1 789,3</w:t>
            </w:r>
          </w:p>
        </w:tc>
        <w:tc>
          <w:tcPr>
            <w:tcW w:w="896" w:type="dxa"/>
            <w:tcBorders>
              <w:top w:val="single" w:sz="4" w:space="0" w:color="auto"/>
              <w:left w:val="nil"/>
              <w:bottom w:val="single" w:sz="4" w:space="0" w:color="auto"/>
              <w:right w:val="single" w:sz="4" w:space="0" w:color="auto"/>
            </w:tcBorders>
            <w:shd w:val="clear" w:color="auto" w:fill="auto"/>
            <w:noWrap/>
            <w:hideMark/>
          </w:tcPr>
          <w:p w14:paraId="2F54801D"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1 637,2</w:t>
            </w:r>
          </w:p>
        </w:tc>
        <w:tc>
          <w:tcPr>
            <w:tcW w:w="806" w:type="dxa"/>
            <w:tcBorders>
              <w:top w:val="single" w:sz="4" w:space="0" w:color="auto"/>
              <w:left w:val="nil"/>
              <w:bottom w:val="single" w:sz="4" w:space="0" w:color="auto"/>
              <w:right w:val="single" w:sz="4" w:space="0" w:color="auto"/>
            </w:tcBorders>
            <w:shd w:val="clear" w:color="auto" w:fill="auto"/>
            <w:noWrap/>
            <w:hideMark/>
          </w:tcPr>
          <w:p w14:paraId="57C3B080"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1 652,0</w:t>
            </w:r>
          </w:p>
        </w:tc>
        <w:tc>
          <w:tcPr>
            <w:tcW w:w="851" w:type="dxa"/>
            <w:tcBorders>
              <w:top w:val="single" w:sz="4" w:space="0" w:color="auto"/>
              <w:left w:val="nil"/>
              <w:bottom w:val="single" w:sz="4" w:space="0" w:color="auto"/>
              <w:right w:val="single" w:sz="4" w:space="0" w:color="auto"/>
            </w:tcBorders>
            <w:shd w:val="clear" w:color="auto" w:fill="auto"/>
            <w:noWrap/>
            <w:hideMark/>
          </w:tcPr>
          <w:p w14:paraId="095701C9"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1 733,4</w:t>
            </w:r>
          </w:p>
        </w:tc>
        <w:tc>
          <w:tcPr>
            <w:tcW w:w="898" w:type="dxa"/>
            <w:tcBorders>
              <w:top w:val="single" w:sz="4" w:space="0" w:color="auto"/>
              <w:left w:val="nil"/>
              <w:bottom w:val="single" w:sz="4" w:space="0" w:color="auto"/>
              <w:right w:val="single" w:sz="4" w:space="0" w:color="auto"/>
            </w:tcBorders>
            <w:shd w:val="clear" w:color="auto" w:fill="auto"/>
            <w:noWrap/>
            <w:hideMark/>
          </w:tcPr>
          <w:p w14:paraId="69EC22FB"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1 812,5</w:t>
            </w:r>
          </w:p>
        </w:tc>
        <w:tc>
          <w:tcPr>
            <w:tcW w:w="711" w:type="dxa"/>
            <w:tcBorders>
              <w:top w:val="single" w:sz="4" w:space="0" w:color="auto"/>
              <w:left w:val="nil"/>
              <w:bottom w:val="single" w:sz="4" w:space="0" w:color="auto"/>
              <w:right w:val="single" w:sz="4" w:space="0" w:color="auto"/>
            </w:tcBorders>
          </w:tcPr>
          <w:p w14:paraId="2306E268"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1573,4</w:t>
            </w:r>
          </w:p>
        </w:tc>
        <w:tc>
          <w:tcPr>
            <w:tcW w:w="801" w:type="dxa"/>
            <w:tcBorders>
              <w:top w:val="single" w:sz="4" w:space="0" w:color="auto"/>
              <w:left w:val="single" w:sz="4" w:space="0" w:color="auto"/>
              <w:bottom w:val="single" w:sz="4" w:space="0" w:color="auto"/>
              <w:right w:val="single" w:sz="4" w:space="0" w:color="auto"/>
            </w:tcBorders>
            <w:shd w:val="clear" w:color="auto" w:fill="auto"/>
            <w:noWrap/>
            <w:hideMark/>
          </w:tcPr>
          <w:p w14:paraId="5A2886D9"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1660,8</w:t>
            </w:r>
          </w:p>
        </w:tc>
        <w:tc>
          <w:tcPr>
            <w:tcW w:w="711" w:type="dxa"/>
            <w:tcBorders>
              <w:top w:val="single" w:sz="4" w:space="0" w:color="auto"/>
              <w:left w:val="nil"/>
              <w:bottom w:val="single" w:sz="4" w:space="0" w:color="auto"/>
              <w:right w:val="single" w:sz="4" w:space="0" w:color="auto"/>
            </w:tcBorders>
            <w:shd w:val="clear" w:color="auto" w:fill="auto"/>
            <w:noWrap/>
            <w:hideMark/>
          </w:tcPr>
          <w:p w14:paraId="5FCA0F38"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1744,2</w:t>
            </w:r>
          </w:p>
        </w:tc>
      </w:tr>
      <w:tr w:rsidR="008643AC" w:rsidRPr="008643AC" w14:paraId="3DC1ECB6" w14:textId="77777777" w:rsidTr="008643AC">
        <w:trPr>
          <w:trHeight w:val="86"/>
          <w:jc w:val="center"/>
        </w:trPr>
        <w:tc>
          <w:tcPr>
            <w:tcW w:w="2581" w:type="dxa"/>
            <w:tcBorders>
              <w:top w:val="nil"/>
              <w:left w:val="single" w:sz="4" w:space="0" w:color="auto"/>
              <w:bottom w:val="single" w:sz="4" w:space="0" w:color="auto"/>
              <w:right w:val="single" w:sz="4" w:space="0" w:color="auto"/>
            </w:tcBorders>
            <w:shd w:val="clear" w:color="auto" w:fill="auto"/>
            <w:noWrap/>
            <w:vAlign w:val="center"/>
            <w:hideMark/>
          </w:tcPr>
          <w:p w14:paraId="2C818C34" w14:textId="77777777" w:rsidR="008643AC" w:rsidRPr="008643AC" w:rsidRDefault="008643AC" w:rsidP="008643AC">
            <w:pPr>
              <w:ind w:left="-239" w:firstLineChars="200" w:firstLine="360"/>
              <w:jc w:val="both"/>
              <w:rPr>
                <w:rFonts w:ascii="Times New Roman" w:eastAsia="Times New Roman" w:hAnsi="Times New Roman" w:cs="Times New Roman"/>
                <w:sz w:val="18"/>
                <w:szCs w:val="18"/>
              </w:rPr>
            </w:pPr>
            <w:r w:rsidRPr="008643AC">
              <w:rPr>
                <w:rFonts w:ascii="Times New Roman" w:eastAsia="Times New Roman" w:hAnsi="Times New Roman" w:cs="Times New Roman"/>
                <w:noProof/>
                <w:sz w:val="18"/>
                <w:szCs w:val="18"/>
              </w:rPr>
              <w:t xml:space="preserve">Transferts </w:t>
            </w:r>
            <w:r w:rsidRPr="008643AC">
              <w:rPr>
                <w:rFonts w:ascii="Times New Roman" w:eastAsia="Times New Roman" w:hAnsi="Times New Roman" w:cs="Times New Roman"/>
                <w:sz w:val="18"/>
                <w:szCs w:val="18"/>
              </w:rPr>
              <w:t>no valsts budžeta</w:t>
            </w:r>
          </w:p>
        </w:tc>
        <w:tc>
          <w:tcPr>
            <w:tcW w:w="815" w:type="dxa"/>
            <w:tcBorders>
              <w:top w:val="nil"/>
              <w:left w:val="single" w:sz="4" w:space="0" w:color="auto"/>
              <w:bottom w:val="single" w:sz="4" w:space="0" w:color="auto"/>
              <w:right w:val="single" w:sz="4" w:space="0" w:color="auto"/>
            </w:tcBorders>
            <w:shd w:val="clear" w:color="auto" w:fill="auto"/>
            <w:noWrap/>
            <w:hideMark/>
          </w:tcPr>
          <w:p w14:paraId="00EC81DC"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926,4</w:t>
            </w:r>
          </w:p>
        </w:tc>
        <w:tc>
          <w:tcPr>
            <w:tcW w:w="896" w:type="dxa"/>
            <w:tcBorders>
              <w:top w:val="nil"/>
              <w:left w:val="nil"/>
              <w:bottom w:val="single" w:sz="4" w:space="0" w:color="auto"/>
              <w:right w:val="single" w:sz="4" w:space="0" w:color="auto"/>
            </w:tcBorders>
            <w:shd w:val="clear" w:color="auto" w:fill="auto"/>
            <w:noWrap/>
            <w:hideMark/>
          </w:tcPr>
          <w:p w14:paraId="0C3E75AB"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959,8</w:t>
            </w:r>
          </w:p>
        </w:tc>
        <w:tc>
          <w:tcPr>
            <w:tcW w:w="806" w:type="dxa"/>
            <w:tcBorders>
              <w:top w:val="nil"/>
              <w:left w:val="nil"/>
              <w:bottom w:val="single" w:sz="4" w:space="0" w:color="auto"/>
              <w:right w:val="single" w:sz="4" w:space="0" w:color="auto"/>
            </w:tcBorders>
            <w:shd w:val="clear" w:color="auto" w:fill="auto"/>
            <w:noWrap/>
            <w:hideMark/>
          </w:tcPr>
          <w:p w14:paraId="5334E30F"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900,5</w:t>
            </w:r>
          </w:p>
        </w:tc>
        <w:tc>
          <w:tcPr>
            <w:tcW w:w="851" w:type="dxa"/>
            <w:tcBorders>
              <w:top w:val="nil"/>
              <w:left w:val="nil"/>
              <w:bottom w:val="single" w:sz="4" w:space="0" w:color="auto"/>
              <w:right w:val="single" w:sz="4" w:space="0" w:color="auto"/>
            </w:tcBorders>
            <w:shd w:val="clear" w:color="auto" w:fill="auto"/>
            <w:noWrap/>
            <w:hideMark/>
          </w:tcPr>
          <w:p w14:paraId="2EF795CC"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889,2</w:t>
            </w:r>
          </w:p>
        </w:tc>
        <w:tc>
          <w:tcPr>
            <w:tcW w:w="898" w:type="dxa"/>
            <w:tcBorders>
              <w:top w:val="nil"/>
              <w:left w:val="nil"/>
              <w:bottom w:val="single" w:sz="4" w:space="0" w:color="auto"/>
              <w:right w:val="single" w:sz="4" w:space="0" w:color="auto"/>
            </w:tcBorders>
            <w:shd w:val="clear" w:color="auto" w:fill="auto"/>
            <w:noWrap/>
            <w:hideMark/>
          </w:tcPr>
          <w:p w14:paraId="6B3A7F16"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884,3</w:t>
            </w:r>
          </w:p>
        </w:tc>
        <w:tc>
          <w:tcPr>
            <w:tcW w:w="711" w:type="dxa"/>
            <w:tcBorders>
              <w:top w:val="single" w:sz="4" w:space="0" w:color="auto"/>
              <w:left w:val="nil"/>
              <w:bottom w:val="single" w:sz="4" w:space="0" w:color="auto"/>
              <w:right w:val="single" w:sz="4" w:space="0" w:color="auto"/>
            </w:tcBorders>
          </w:tcPr>
          <w:p w14:paraId="3E2A4FE0"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911,2</w:t>
            </w:r>
          </w:p>
        </w:tc>
        <w:tc>
          <w:tcPr>
            <w:tcW w:w="801" w:type="dxa"/>
            <w:tcBorders>
              <w:top w:val="nil"/>
              <w:left w:val="single" w:sz="4" w:space="0" w:color="auto"/>
              <w:bottom w:val="single" w:sz="4" w:space="0" w:color="auto"/>
              <w:right w:val="single" w:sz="4" w:space="0" w:color="auto"/>
            </w:tcBorders>
            <w:shd w:val="clear" w:color="auto" w:fill="auto"/>
            <w:noWrap/>
            <w:hideMark/>
          </w:tcPr>
          <w:p w14:paraId="784718F7"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942,8</w:t>
            </w:r>
          </w:p>
        </w:tc>
        <w:tc>
          <w:tcPr>
            <w:tcW w:w="711" w:type="dxa"/>
            <w:tcBorders>
              <w:top w:val="nil"/>
              <w:left w:val="nil"/>
              <w:bottom w:val="single" w:sz="4" w:space="0" w:color="auto"/>
              <w:right w:val="single" w:sz="4" w:space="0" w:color="auto"/>
            </w:tcBorders>
            <w:shd w:val="clear" w:color="auto" w:fill="auto"/>
            <w:noWrap/>
            <w:hideMark/>
          </w:tcPr>
          <w:p w14:paraId="5A95BEB4"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947,9</w:t>
            </w:r>
          </w:p>
        </w:tc>
      </w:tr>
      <w:tr w:rsidR="008643AC" w:rsidRPr="008643AC" w14:paraId="2A86CAA2" w14:textId="77777777" w:rsidTr="008643AC">
        <w:trPr>
          <w:trHeight w:val="78"/>
          <w:jc w:val="center"/>
        </w:trPr>
        <w:tc>
          <w:tcPr>
            <w:tcW w:w="2581" w:type="dxa"/>
            <w:tcBorders>
              <w:top w:val="nil"/>
              <w:left w:val="single" w:sz="4" w:space="0" w:color="auto"/>
              <w:bottom w:val="single" w:sz="4" w:space="0" w:color="auto"/>
              <w:right w:val="single" w:sz="4" w:space="0" w:color="auto"/>
            </w:tcBorders>
            <w:shd w:val="clear" w:color="auto" w:fill="auto"/>
            <w:noWrap/>
            <w:vAlign w:val="center"/>
            <w:hideMark/>
          </w:tcPr>
          <w:p w14:paraId="53A2DC7B" w14:textId="77777777" w:rsidR="008643AC" w:rsidRPr="008643AC" w:rsidRDefault="008643AC" w:rsidP="008643AC">
            <w:pPr>
              <w:ind w:left="-239" w:firstLineChars="200" w:firstLine="360"/>
              <w:jc w:val="both"/>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rPr>
              <w:t>Pārējie ieņēmumi</w:t>
            </w:r>
          </w:p>
        </w:tc>
        <w:tc>
          <w:tcPr>
            <w:tcW w:w="815" w:type="dxa"/>
            <w:tcBorders>
              <w:top w:val="nil"/>
              <w:left w:val="single" w:sz="4" w:space="0" w:color="auto"/>
              <w:bottom w:val="single" w:sz="4" w:space="0" w:color="auto"/>
              <w:right w:val="single" w:sz="4" w:space="0" w:color="auto"/>
            </w:tcBorders>
            <w:shd w:val="clear" w:color="auto" w:fill="auto"/>
            <w:noWrap/>
          </w:tcPr>
          <w:p w14:paraId="29F136C6"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205,6</w:t>
            </w:r>
          </w:p>
        </w:tc>
        <w:tc>
          <w:tcPr>
            <w:tcW w:w="896" w:type="dxa"/>
            <w:tcBorders>
              <w:top w:val="nil"/>
              <w:left w:val="nil"/>
              <w:bottom w:val="single" w:sz="4" w:space="0" w:color="auto"/>
              <w:right w:val="single" w:sz="4" w:space="0" w:color="auto"/>
            </w:tcBorders>
            <w:shd w:val="clear" w:color="auto" w:fill="auto"/>
            <w:noWrap/>
          </w:tcPr>
          <w:p w14:paraId="25CF0679"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182,3</w:t>
            </w:r>
          </w:p>
        </w:tc>
        <w:tc>
          <w:tcPr>
            <w:tcW w:w="806" w:type="dxa"/>
            <w:tcBorders>
              <w:top w:val="nil"/>
              <w:left w:val="nil"/>
              <w:bottom w:val="single" w:sz="4" w:space="0" w:color="auto"/>
              <w:right w:val="single" w:sz="4" w:space="0" w:color="auto"/>
            </w:tcBorders>
            <w:shd w:val="clear" w:color="auto" w:fill="auto"/>
            <w:noWrap/>
          </w:tcPr>
          <w:p w14:paraId="123820CF"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199,0</w:t>
            </w:r>
          </w:p>
        </w:tc>
        <w:tc>
          <w:tcPr>
            <w:tcW w:w="851" w:type="dxa"/>
            <w:tcBorders>
              <w:top w:val="nil"/>
              <w:left w:val="nil"/>
              <w:bottom w:val="single" w:sz="4" w:space="0" w:color="auto"/>
              <w:right w:val="single" w:sz="4" w:space="0" w:color="auto"/>
            </w:tcBorders>
            <w:shd w:val="clear" w:color="auto" w:fill="auto"/>
            <w:noWrap/>
          </w:tcPr>
          <w:p w14:paraId="0E4F584E"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199,0</w:t>
            </w:r>
          </w:p>
        </w:tc>
        <w:tc>
          <w:tcPr>
            <w:tcW w:w="898" w:type="dxa"/>
            <w:tcBorders>
              <w:top w:val="nil"/>
              <w:left w:val="nil"/>
              <w:bottom w:val="single" w:sz="4" w:space="0" w:color="auto"/>
              <w:right w:val="single" w:sz="4" w:space="0" w:color="auto"/>
            </w:tcBorders>
            <w:shd w:val="clear" w:color="auto" w:fill="auto"/>
            <w:noWrap/>
          </w:tcPr>
          <w:p w14:paraId="14FB572B"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199,0</w:t>
            </w:r>
          </w:p>
        </w:tc>
        <w:tc>
          <w:tcPr>
            <w:tcW w:w="711" w:type="dxa"/>
            <w:tcBorders>
              <w:top w:val="single" w:sz="4" w:space="0" w:color="auto"/>
              <w:left w:val="nil"/>
              <w:bottom w:val="single" w:sz="4" w:space="0" w:color="auto"/>
              <w:right w:val="single" w:sz="4" w:space="0" w:color="auto"/>
            </w:tcBorders>
          </w:tcPr>
          <w:p w14:paraId="094BD442"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199,0</w:t>
            </w:r>
          </w:p>
        </w:tc>
        <w:tc>
          <w:tcPr>
            <w:tcW w:w="801" w:type="dxa"/>
            <w:tcBorders>
              <w:top w:val="nil"/>
              <w:left w:val="single" w:sz="4" w:space="0" w:color="auto"/>
              <w:bottom w:val="single" w:sz="4" w:space="0" w:color="auto"/>
              <w:right w:val="single" w:sz="4" w:space="0" w:color="auto"/>
            </w:tcBorders>
            <w:shd w:val="clear" w:color="auto" w:fill="auto"/>
            <w:noWrap/>
          </w:tcPr>
          <w:p w14:paraId="3D1A8DF7"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199,0</w:t>
            </w:r>
          </w:p>
        </w:tc>
        <w:tc>
          <w:tcPr>
            <w:tcW w:w="711" w:type="dxa"/>
            <w:tcBorders>
              <w:top w:val="nil"/>
              <w:left w:val="nil"/>
              <w:bottom w:val="single" w:sz="4" w:space="0" w:color="auto"/>
              <w:right w:val="single" w:sz="4" w:space="0" w:color="auto"/>
            </w:tcBorders>
            <w:shd w:val="clear" w:color="auto" w:fill="auto"/>
            <w:noWrap/>
          </w:tcPr>
          <w:p w14:paraId="3EC51A17"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199,0</w:t>
            </w:r>
          </w:p>
        </w:tc>
      </w:tr>
      <w:tr w:rsidR="008643AC" w:rsidRPr="008643AC" w14:paraId="4B6C7A5D" w14:textId="77777777" w:rsidTr="008643AC">
        <w:trPr>
          <w:trHeight w:val="71"/>
          <w:jc w:val="center"/>
        </w:trPr>
        <w:tc>
          <w:tcPr>
            <w:tcW w:w="2581" w:type="dxa"/>
            <w:tcBorders>
              <w:top w:val="nil"/>
              <w:left w:val="single" w:sz="4" w:space="0" w:color="auto"/>
              <w:bottom w:val="single" w:sz="4" w:space="0" w:color="auto"/>
              <w:right w:val="single" w:sz="4" w:space="0" w:color="auto"/>
            </w:tcBorders>
            <w:shd w:val="clear" w:color="auto" w:fill="auto"/>
            <w:noWrap/>
            <w:vAlign w:val="center"/>
            <w:hideMark/>
          </w:tcPr>
          <w:p w14:paraId="1018805F" w14:textId="77777777" w:rsidR="008643AC" w:rsidRPr="008643AC" w:rsidRDefault="008643AC" w:rsidP="008643AC">
            <w:pPr>
              <w:ind w:left="-225" w:firstLineChars="100" w:firstLine="180"/>
              <w:jc w:val="both"/>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rPr>
              <w:t>Izdevumi</w:t>
            </w:r>
          </w:p>
        </w:tc>
        <w:tc>
          <w:tcPr>
            <w:tcW w:w="815" w:type="dxa"/>
            <w:tcBorders>
              <w:top w:val="single" w:sz="4" w:space="0" w:color="auto"/>
              <w:left w:val="nil"/>
              <w:bottom w:val="single" w:sz="4" w:space="0" w:color="auto"/>
              <w:right w:val="single" w:sz="4" w:space="0" w:color="auto"/>
            </w:tcBorders>
            <w:shd w:val="clear" w:color="auto" w:fill="auto"/>
            <w:noWrap/>
            <w:hideMark/>
          </w:tcPr>
          <w:p w14:paraId="170175FC"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2 871,1</w:t>
            </w:r>
          </w:p>
        </w:tc>
        <w:tc>
          <w:tcPr>
            <w:tcW w:w="896" w:type="dxa"/>
            <w:tcBorders>
              <w:top w:val="single" w:sz="4" w:space="0" w:color="auto"/>
              <w:left w:val="nil"/>
              <w:bottom w:val="single" w:sz="4" w:space="0" w:color="auto"/>
              <w:right w:val="single" w:sz="4" w:space="0" w:color="auto"/>
            </w:tcBorders>
            <w:shd w:val="clear" w:color="auto" w:fill="auto"/>
            <w:noWrap/>
            <w:hideMark/>
          </w:tcPr>
          <w:p w14:paraId="2E18043D"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2 797,6</w:t>
            </w:r>
          </w:p>
        </w:tc>
        <w:tc>
          <w:tcPr>
            <w:tcW w:w="806" w:type="dxa"/>
            <w:tcBorders>
              <w:top w:val="single" w:sz="4" w:space="0" w:color="auto"/>
              <w:left w:val="nil"/>
              <w:bottom w:val="single" w:sz="4" w:space="0" w:color="auto"/>
              <w:right w:val="single" w:sz="4" w:space="0" w:color="auto"/>
            </w:tcBorders>
            <w:shd w:val="clear" w:color="auto" w:fill="auto"/>
            <w:noWrap/>
            <w:hideMark/>
          </w:tcPr>
          <w:p w14:paraId="6A675AC5"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2 820,2</w:t>
            </w:r>
          </w:p>
        </w:tc>
        <w:tc>
          <w:tcPr>
            <w:tcW w:w="851" w:type="dxa"/>
            <w:tcBorders>
              <w:top w:val="single" w:sz="4" w:space="0" w:color="auto"/>
              <w:left w:val="nil"/>
              <w:bottom w:val="single" w:sz="4" w:space="0" w:color="auto"/>
              <w:right w:val="single" w:sz="4" w:space="0" w:color="auto"/>
            </w:tcBorders>
            <w:shd w:val="clear" w:color="auto" w:fill="auto"/>
            <w:noWrap/>
            <w:hideMark/>
          </w:tcPr>
          <w:p w14:paraId="1A1223C4"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2 913,7</w:t>
            </w:r>
          </w:p>
        </w:tc>
        <w:tc>
          <w:tcPr>
            <w:tcW w:w="898" w:type="dxa"/>
            <w:tcBorders>
              <w:top w:val="single" w:sz="4" w:space="0" w:color="auto"/>
              <w:left w:val="nil"/>
              <w:bottom w:val="single" w:sz="4" w:space="0" w:color="auto"/>
              <w:right w:val="single" w:sz="4" w:space="0" w:color="auto"/>
            </w:tcBorders>
            <w:shd w:val="clear" w:color="auto" w:fill="auto"/>
            <w:noWrap/>
            <w:hideMark/>
          </w:tcPr>
          <w:p w14:paraId="44F2D4C5"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2 984,5</w:t>
            </w:r>
          </w:p>
        </w:tc>
        <w:tc>
          <w:tcPr>
            <w:tcW w:w="711" w:type="dxa"/>
            <w:tcBorders>
              <w:top w:val="single" w:sz="4" w:space="0" w:color="auto"/>
              <w:left w:val="nil"/>
              <w:bottom w:val="single" w:sz="4" w:space="0" w:color="auto"/>
              <w:right w:val="single" w:sz="4" w:space="0" w:color="auto"/>
            </w:tcBorders>
          </w:tcPr>
          <w:p w14:paraId="32D956BE"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2758,4</w:t>
            </w:r>
          </w:p>
        </w:tc>
        <w:tc>
          <w:tcPr>
            <w:tcW w:w="801" w:type="dxa"/>
            <w:tcBorders>
              <w:top w:val="single" w:sz="4" w:space="0" w:color="auto"/>
              <w:left w:val="single" w:sz="4" w:space="0" w:color="auto"/>
              <w:bottom w:val="single" w:sz="4" w:space="0" w:color="auto"/>
              <w:right w:val="single" w:sz="4" w:space="0" w:color="auto"/>
            </w:tcBorders>
            <w:shd w:val="clear" w:color="auto" w:fill="auto"/>
            <w:noWrap/>
            <w:hideMark/>
          </w:tcPr>
          <w:p w14:paraId="56E1944F"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2890,5</w:t>
            </w:r>
          </w:p>
        </w:tc>
        <w:tc>
          <w:tcPr>
            <w:tcW w:w="711" w:type="dxa"/>
            <w:tcBorders>
              <w:top w:val="single" w:sz="4" w:space="0" w:color="auto"/>
              <w:left w:val="nil"/>
              <w:bottom w:val="single" w:sz="4" w:space="0" w:color="auto"/>
              <w:right w:val="single" w:sz="4" w:space="0" w:color="auto"/>
            </w:tcBorders>
            <w:shd w:val="clear" w:color="auto" w:fill="auto"/>
            <w:noWrap/>
            <w:hideMark/>
          </w:tcPr>
          <w:p w14:paraId="27037A03"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2984,3</w:t>
            </w:r>
          </w:p>
        </w:tc>
      </w:tr>
      <w:tr w:rsidR="008643AC" w:rsidRPr="008643AC" w14:paraId="2C7AB975" w14:textId="77777777" w:rsidTr="008643AC">
        <w:trPr>
          <w:trHeight w:val="78"/>
          <w:jc w:val="center"/>
        </w:trPr>
        <w:tc>
          <w:tcPr>
            <w:tcW w:w="2581" w:type="dxa"/>
            <w:tcBorders>
              <w:top w:val="nil"/>
              <w:left w:val="single" w:sz="4" w:space="0" w:color="auto"/>
              <w:bottom w:val="single" w:sz="4" w:space="0" w:color="auto"/>
              <w:right w:val="single" w:sz="4" w:space="0" w:color="auto"/>
            </w:tcBorders>
            <w:shd w:val="clear" w:color="auto" w:fill="auto"/>
            <w:noWrap/>
            <w:vAlign w:val="center"/>
            <w:hideMark/>
          </w:tcPr>
          <w:p w14:paraId="1B9F213F" w14:textId="77777777" w:rsidR="008643AC" w:rsidRPr="008643AC" w:rsidRDefault="008643AC" w:rsidP="008643AC">
            <w:pPr>
              <w:ind w:left="-239" w:firstLineChars="200" w:firstLine="360"/>
              <w:jc w:val="both"/>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rPr>
              <w:t>Uzturēšanas izdevumi</w:t>
            </w:r>
          </w:p>
        </w:tc>
        <w:tc>
          <w:tcPr>
            <w:tcW w:w="815" w:type="dxa"/>
            <w:tcBorders>
              <w:top w:val="single" w:sz="4" w:space="0" w:color="auto"/>
              <w:left w:val="single" w:sz="4" w:space="0" w:color="auto"/>
              <w:bottom w:val="single" w:sz="4" w:space="0" w:color="auto"/>
              <w:right w:val="single" w:sz="4" w:space="0" w:color="auto"/>
            </w:tcBorders>
            <w:shd w:val="clear" w:color="auto" w:fill="auto"/>
            <w:noWrap/>
            <w:hideMark/>
          </w:tcPr>
          <w:p w14:paraId="42CB3119"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2 204,8</w:t>
            </w:r>
          </w:p>
        </w:tc>
        <w:tc>
          <w:tcPr>
            <w:tcW w:w="896" w:type="dxa"/>
            <w:tcBorders>
              <w:top w:val="single" w:sz="4" w:space="0" w:color="auto"/>
              <w:left w:val="nil"/>
              <w:bottom w:val="single" w:sz="4" w:space="0" w:color="auto"/>
              <w:right w:val="single" w:sz="4" w:space="0" w:color="auto"/>
            </w:tcBorders>
            <w:shd w:val="clear" w:color="auto" w:fill="auto"/>
            <w:noWrap/>
            <w:hideMark/>
          </w:tcPr>
          <w:p w14:paraId="0827634D"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2 204,0</w:t>
            </w:r>
          </w:p>
        </w:tc>
        <w:tc>
          <w:tcPr>
            <w:tcW w:w="806" w:type="dxa"/>
            <w:tcBorders>
              <w:top w:val="single" w:sz="4" w:space="0" w:color="auto"/>
              <w:left w:val="nil"/>
              <w:bottom w:val="single" w:sz="4" w:space="0" w:color="auto"/>
              <w:right w:val="single" w:sz="4" w:space="0" w:color="auto"/>
            </w:tcBorders>
            <w:shd w:val="clear" w:color="auto" w:fill="auto"/>
            <w:noWrap/>
            <w:hideMark/>
          </w:tcPr>
          <w:p w14:paraId="6A1944EE"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2 284,4</w:t>
            </w:r>
          </w:p>
        </w:tc>
        <w:tc>
          <w:tcPr>
            <w:tcW w:w="851" w:type="dxa"/>
            <w:tcBorders>
              <w:top w:val="single" w:sz="4" w:space="0" w:color="auto"/>
              <w:left w:val="nil"/>
              <w:bottom w:val="single" w:sz="4" w:space="0" w:color="auto"/>
              <w:right w:val="single" w:sz="4" w:space="0" w:color="auto"/>
            </w:tcBorders>
            <w:shd w:val="clear" w:color="auto" w:fill="auto"/>
            <w:noWrap/>
            <w:hideMark/>
          </w:tcPr>
          <w:p w14:paraId="667654FF"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2 358,8</w:t>
            </w:r>
          </w:p>
        </w:tc>
        <w:tc>
          <w:tcPr>
            <w:tcW w:w="898" w:type="dxa"/>
            <w:tcBorders>
              <w:top w:val="single" w:sz="4" w:space="0" w:color="auto"/>
              <w:left w:val="nil"/>
              <w:bottom w:val="single" w:sz="4" w:space="0" w:color="auto"/>
              <w:right w:val="single" w:sz="4" w:space="0" w:color="auto"/>
            </w:tcBorders>
            <w:shd w:val="clear" w:color="auto" w:fill="auto"/>
            <w:noWrap/>
            <w:hideMark/>
          </w:tcPr>
          <w:p w14:paraId="64A7A21C"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2 453,8</w:t>
            </w:r>
          </w:p>
        </w:tc>
        <w:tc>
          <w:tcPr>
            <w:tcW w:w="711" w:type="dxa"/>
            <w:tcBorders>
              <w:top w:val="single" w:sz="4" w:space="0" w:color="auto"/>
              <w:left w:val="nil"/>
              <w:bottom w:val="single" w:sz="4" w:space="0" w:color="auto"/>
              <w:right w:val="single" w:sz="4" w:space="0" w:color="auto"/>
            </w:tcBorders>
          </w:tcPr>
          <w:p w14:paraId="0E030675"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2291,1</w:t>
            </w:r>
          </w:p>
        </w:tc>
        <w:tc>
          <w:tcPr>
            <w:tcW w:w="801" w:type="dxa"/>
            <w:tcBorders>
              <w:top w:val="single" w:sz="4" w:space="0" w:color="auto"/>
              <w:left w:val="single" w:sz="4" w:space="0" w:color="auto"/>
              <w:bottom w:val="single" w:sz="4" w:space="0" w:color="auto"/>
              <w:right w:val="single" w:sz="4" w:space="0" w:color="auto"/>
            </w:tcBorders>
            <w:shd w:val="clear" w:color="auto" w:fill="auto"/>
            <w:noWrap/>
            <w:hideMark/>
          </w:tcPr>
          <w:p w14:paraId="251B7AC4"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2408,2</w:t>
            </w:r>
          </w:p>
        </w:tc>
        <w:tc>
          <w:tcPr>
            <w:tcW w:w="711" w:type="dxa"/>
            <w:tcBorders>
              <w:top w:val="single" w:sz="4" w:space="0" w:color="auto"/>
              <w:left w:val="nil"/>
              <w:bottom w:val="single" w:sz="4" w:space="0" w:color="auto"/>
              <w:right w:val="single" w:sz="4" w:space="0" w:color="auto"/>
            </w:tcBorders>
            <w:shd w:val="clear" w:color="auto" w:fill="auto"/>
            <w:noWrap/>
            <w:hideMark/>
          </w:tcPr>
          <w:p w14:paraId="2A4176E3"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2512,9</w:t>
            </w:r>
          </w:p>
        </w:tc>
      </w:tr>
      <w:tr w:rsidR="008643AC" w:rsidRPr="008643AC" w14:paraId="248BF739" w14:textId="77777777" w:rsidTr="008643AC">
        <w:trPr>
          <w:trHeight w:val="78"/>
          <w:jc w:val="center"/>
        </w:trPr>
        <w:tc>
          <w:tcPr>
            <w:tcW w:w="2581" w:type="dxa"/>
            <w:tcBorders>
              <w:top w:val="nil"/>
              <w:left w:val="single" w:sz="4" w:space="0" w:color="auto"/>
              <w:bottom w:val="single" w:sz="4" w:space="0" w:color="auto"/>
              <w:right w:val="single" w:sz="4" w:space="0" w:color="auto"/>
            </w:tcBorders>
            <w:shd w:val="clear" w:color="auto" w:fill="auto"/>
            <w:noWrap/>
            <w:vAlign w:val="center"/>
            <w:hideMark/>
          </w:tcPr>
          <w:p w14:paraId="7B2992EB" w14:textId="77777777" w:rsidR="008643AC" w:rsidRPr="008643AC" w:rsidRDefault="008643AC" w:rsidP="008643AC">
            <w:pPr>
              <w:ind w:left="-239" w:firstLineChars="200" w:firstLine="360"/>
              <w:jc w:val="both"/>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rPr>
              <w:t>Kapitālie izdevumi</w:t>
            </w:r>
          </w:p>
        </w:tc>
        <w:tc>
          <w:tcPr>
            <w:tcW w:w="815" w:type="dxa"/>
            <w:tcBorders>
              <w:top w:val="nil"/>
              <w:left w:val="single" w:sz="4" w:space="0" w:color="auto"/>
              <w:bottom w:val="single" w:sz="4" w:space="0" w:color="auto"/>
              <w:right w:val="single" w:sz="4" w:space="0" w:color="auto"/>
            </w:tcBorders>
            <w:shd w:val="clear" w:color="auto" w:fill="auto"/>
            <w:noWrap/>
            <w:hideMark/>
          </w:tcPr>
          <w:p w14:paraId="04F64446"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665,4</w:t>
            </w:r>
          </w:p>
        </w:tc>
        <w:tc>
          <w:tcPr>
            <w:tcW w:w="896" w:type="dxa"/>
            <w:tcBorders>
              <w:top w:val="nil"/>
              <w:left w:val="nil"/>
              <w:bottom w:val="single" w:sz="4" w:space="0" w:color="auto"/>
              <w:right w:val="single" w:sz="4" w:space="0" w:color="auto"/>
            </w:tcBorders>
            <w:shd w:val="clear" w:color="auto" w:fill="auto"/>
            <w:noWrap/>
            <w:hideMark/>
          </w:tcPr>
          <w:p w14:paraId="76A5F17E"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593,6</w:t>
            </w:r>
          </w:p>
        </w:tc>
        <w:tc>
          <w:tcPr>
            <w:tcW w:w="806" w:type="dxa"/>
            <w:tcBorders>
              <w:top w:val="nil"/>
              <w:left w:val="nil"/>
              <w:bottom w:val="single" w:sz="4" w:space="0" w:color="auto"/>
              <w:right w:val="single" w:sz="4" w:space="0" w:color="auto"/>
            </w:tcBorders>
            <w:shd w:val="clear" w:color="auto" w:fill="auto"/>
            <w:noWrap/>
            <w:hideMark/>
          </w:tcPr>
          <w:p w14:paraId="572E543A"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535,8</w:t>
            </w:r>
          </w:p>
        </w:tc>
        <w:tc>
          <w:tcPr>
            <w:tcW w:w="851" w:type="dxa"/>
            <w:tcBorders>
              <w:top w:val="nil"/>
              <w:left w:val="nil"/>
              <w:bottom w:val="single" w:sz="4" w:space="0" w:color="auto"/>
              <w:right w:val="single" w:sz="4" w:space="0" w:color="auto"/>
            </w:tcBorders>
            <w:shd w:val="clear" w:color="auto" w:fill="auto"/>
            <w:noWrap/>
            <w:hideMark/>
          </w:tcPr>
          <w:p w14:paraId="27620CD0"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554,9</w:t>
            </w:r>
          </w:p>
        </w:tc>
        <w:tc>
          <w:tcPr>
            <w:tcW w:w="898" w:type="dxa"/>
            <w:tcBorders>
              <w:top w:val="nil"/>
              <w:left w:val="nil"/>
              <w:bottom w:val="single" w:sz="4" w:space="0" w:color="auto"/>
              <w:right w:val="single" w:sz="4" w:space="0" w:color="auto"/>
            </w:tcBorders>
            <w:shd w:val="clear" w:color="auto" w:fill="auto"/>
            <w:noWrap/>
            <w:hideMark/>
          </w:tcPr>
          <w:p w14:paraId="779255EF"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sz w:val="18"/>
                <w:szCs w:val="18"/>
                <w:lang w:eastAsia="en-US"/>
              </w:rPr>
              <w:t>530,7</w:t>
            </w:r>
          </w:p>
        </w:tc>
        <w:tc>
          <w:tcPr>
            <w:tcW w:w="711" w:type="dxa"/>
            <w:tcBorders>
              <w:top w:val="single" w:sz="4" w:space="0" w:color="auto"/>
              <w:left w:val="nil"/>
              <w:bottom w:val="single" w:sz="4" w:space="0" w:color="auto"/>
              <w:right w:val="single" w:sz="4" w:space="0" w:color="auto"/>
            </w:tcBorders>
          </w:tcPr>
          <w:p w14:paraId="43F7B1E0"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467,3</w:t>
            </w:r>
          </w:p>
        </w:tc>
        <w:tc>
          <w:tcPr>
            <w:tcW w:w="801" w:type="dxa"/>
            <w:tcBorders>
              <w:top w:val="nil"/>
              <w:left w:val="single" w:sz="4" w:space="0" w:color="auto"/>
              <w:bottom w:val="single" w:sz="4" w:space="0" w:color="auto"/>
              <w:right w:val="single" w:sz="4" w:space="0" w:color="auto"/>
            </w:tcBorders>
            <w:shd w:val="clear" w:color="auto" w:fill="auto"/>
            <w:noWrap/>
            <w:hideMark/>
          </w:tcPr>
          <w:p w14:paraId="106FC88D"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482,3</w:t>
            </w:r>
          </w:p>
        </w:tc>
        <w:tc>
          <w:tcPr>
            <w:tcW w:w="711" w:type="dxa"/>
            <w:tcBorders>
              <w:top w:val="nil"/>
              <w:left w:val="nil"/>
              <w:bottom w:val="single" w:sz="4" w:space="0" w:color="auto"/>
              <w:right w:val="single" w:sz="4" w:space="0" w:color="auto"/>
            </w:tcBorders>
            <w:shd w:val="clear" w:color="auto" w:fill="auto"/>
            <w:noWrap/>
            <w:hideMark/>
          </w:tcPr>
          <w:p w14:paraId="2B6D8B76" w14:textId="77777777" w:rsidR="008643AC" w:rsidRPr="008643AC" w:rsidRDefault="008643AC" w:rsidP="008643AC">
            <w:pPr>
              <w:jc w:val="right"/>
              <w:rPr>
                <w:rFonts w:ascii="Times New Roman" w:eastAsia="Times New Roman" w:hAnsi="Times New Roman" w:cs="Times New Roman"/>
                <w:color w:val="FF0000"/>
                <w:sz w:val="18"/>
                <w:szCs w:val="18"/>
              </w:rPr>
            </w:pPr>
            <w:r w:rsidRPr="008643AC">
              <w:rPr>
                <w:rFonts w:ascii="Times New Roman" w:eastAsia="Times New Roman" w:hAnsi="Times New Roman" w:cs="Times New Roman"/>
                <w:color w:val="000000"/>
                <w:sz w:val="18"/>
                <w:szCs w:val="18"/>
              </w:rPr>
              <w:t>471,3</w:t>
            </w:r>
          </w:p>
        </w:tc>
      </w:tr>
      <w:tr w:rsidR="008643AC" w:rsidRPr="008643AC" w14:paraId="12920511" w14:textId="77777777" w:rsidTr="008643AC">
        <w:trPr>
          <w:trHeight w:val="78"/>
          <w:jc w:val="center"/>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818E1" w14:textId="77777777" w:rsidR="008643AC" w:rsidRPr="008643AC" w:rsidRDefault="008643AC" w:rsidP="008643AC">
            <w:pPr>
              <w:ind w:left="-239" w:firstLineChars="200" w:firstLine="360"/>
              <w:jc w:val="both"/>
              <w:rPr>
                <w:rFonts w:ascii="Times New Roman" w:eastAsia="Times New Roman" w:hAnsi="Times New Roman" w:cs="Times New Roman"/>
                <w:sz w:val="18"/>
                <w:szCs w:val="18"/>
              </w:rPr>
            </w:pPr>
            <w:r w:rsidRPr="008643AC">
              <w:rPr>
                <w:rFonts w:ascii="Times New Roman" w:eastAsia="Times New Roman" w:hAnsi="Times New Roman" w:cs="Times New Roman"/>
                <w:sz w:val="18"/>
                <w:szCs w:val="18"/>
              </w:rPr>
              <w:t>Pārējie izdevumi</w:t>
            </w:r>
          </w:p>
        </w:tc>
        <w:tc>
          <w:tcPr>
            <w:tcW w:w="815" w:type="dxa"/>
            <w:tcBorders>
              <w:top w:val="single" w:sz="4" w:space="0" w:color="auto"/>
              <w:left w:val="single" w:sz="4" w:space="0" w:color="auto"/>
              <w:bottom w:val="single" w:sz="4" w:space="0" w:color="auto"/>
              <w:right w:val="single" w:sz="4" w:space="0" w:color="auto"/>
            </w:tcBorders>
            <w:shd w:val="clear" w:color="auto" w:fill="auto"/>
            <w:noWrap/>
          </w:tcPr>
          <w:p w14:paraId="6DFF3B0A" w14:textId="77777777" w:rsidR="008643AC" w:rsidRPr="008643AC" w:rsidRDefault="008643AC" w:rsidP="008643AC">
            <w:pPr>
              <w:jc w:val="right"/>
              <w:rPr>
                <w:rFonts w:ascii="Times New Roman" w:eastAsia="Times New Roman" w:hAnsi="Times New Roman" w:cs="Times New Roman"/>
                <w:color w:val="FF0000"/>
                <w:sz w:val="18"/>
                <w:szCs w:val="18"/>
                <w:lang w:eastAsia="en-US"/>
              </w:rPr>
            </w:pPr>
            <w:r w:rsidRPr="008643AC">
              <w:rPr>
                <w:rFonts w:ascii="Times New Roman" w:eastAsia="Times New Roman" w:hAnsi="Times New Roman" w:cs="Times New Roman"/>
                <w:sz w:val="18"/>
                <w:szCs w:val="18"/>
                <w:lang w:eastAsia="en-US"/>
              </w:rPr>
              <w:t>0,9</w:t>
            </w:r>
          </w:p>
        </w:tc>
        <w:tc>
          <w:tcPr>
            <w:tcW w:w="896" w:type="dxa"/>
            <w:tcBorders>
              <w:top w:val="single" w:sz="4" w:space="0" w:color="auto"/>
              <w:left w:val="nil"/>
              <w:bottom w:val="single" w:sz="4" w:space="0" w:color="auto"/>
              <w:right w:val="single" w:sz="4" w:space="0" w:color="auto"/>
            </w:tcBorders>
            <w:shd w:val="clear" w:color="auto" w:fill="auto"/>
            <w:noWrap/>
          </w:tcPr>
          <w:p w14:paraId="7388DD86" w14:textId="77777777" w:rsidR="008643AC" w:rsidRPr="008643AC" w:rsidRDefault="008643AC" w:rsidP="008643AC">
            <w:pPr>
              <w:jc w:val="right"/>
              <w:rPr>
                <w:rFonts w:ascii="Times New Roman" w:eastAsia="Times New Roman" w:hAnsi="Times New Roman" w:cs="Times New Roman"/>
                <w:color w:val="FF0000"/>
                <w:sz w:val="18"/>
                <w:szCs w:val="18"/>
                <w:lang w:eastAsia="en-US"/>
              </w:rPr>
            </w:pPr>
            <w:r w:rsidRPr="008643AC">
              <w:rPr>
                <w:rFonts w:ascii="Times New Roman" w:eastAsia="Times New Roman" w:hAnsi="Times New Roman" w:cs="Times New Roman"/>
                <w:sz w:val="18"/>
                <w:szCs w:val="18"/>
                <w:lang w:eastAsia="en-US"/>
              </w:rPr>
              <w:t>0,0</w:t>
            </w:r>
          </w:p>
        </w:tc>
        <w:tc>
          <w:tcPr>
            <w:tcW w:w="806" w:type="dxa"/>
            <w:tcBorders>
              <w:top w:val="single" w:sz="4" w:space="0" w:color="auto"/>
              <w:left w:val="nil"/>
              <w:bottom w:val="single" w:sz="4" w:space="0" w:color="auto"/>
              <w:right w:val="single" w:sz="4" w:space="0" w:color="auto"/>
            </w:tcBorders>
            <w:shd w:val="clear" w:color="auto" w:fill="auto"/>
            <w:noWrap/>
          </w:tcPr>
          <w:p w14:paraId="64A75749" w14:textId="77777777" w:rsidR="008643AC" w:rsidRPr="008643AC" w:rsidRDefault="008643AC" w:rsidP="008643AC">
            <w:pPr>
              <w:jc w:val="right"/>
              <w:rPr>
                <w:rFonts w:ascii="Times New Roman" w:eastAsia="Times New Roman" w:hAnsi="Times New Roman" w:cs="Times New Roman"/>
                <w:color w:val="FF0000"/>
                <w:sz w:val="18"/>
                <w:szCs w:val="18"/>
                <w:lang w:eastAsia="en-US"/>
              </w:rPr>
            </w:pPr>
            <w:r w:rsidRPr="008643AC">
              <w:rPr>
                <w:rFonts w:ascii="Times New Roman" w:eastAsia="Times New Roman" w:hAnsi="Times New Roman" w:cs="Times New Roman"/>
                <w:sz w:val="18"/>
                <w:szCs w:val="18"/>
                <w:lang w:eastAsia="en-US"/>
              </w:rPr>
              <w:t>0,0</w:t>
            </w:r>
          </w:p>
        </w:tc>
        <w:tc>
          <w:tcPr>
            <w:tcW w:w="851" w:type="dxa"/>
            <w:tcBorders>
              <w:top w:val="single" w:sz="4" w:space="0" w:color="auto"/>
              <w:left w:val="nil"/>
              <w:bottom w:val="single" w:sz="4" w:space="0" w:color="auto"/>
              <w:right w:val="single" w:sz="4" w:space="0" w:color="auto"/>
            </w:tcBorders>
            <w:shd w:val="clear" w:color="auto" w:fill="auto"/>
            <w:noWrap/>
          </w:tcPr>
          <w:p w14:paraId="02CC843C" w14:textId="77777777" w:rsidR="008643AC" w:rsidRPr="008643AC" w:rsidRDefault="008643AC" w:rsidP="008643AC">
            <w:pPr>
              <w:jc w:val="right"/>
              <w:rPr>
                <w:rFonts w:ascii="Times New Roman" w:eastAsia="Times New Roman" w:hAnsi="Times New Roman" w:cs="Times New Roman"/>
                <w:color w:val="FF0000"/>
                <w:sz w:val="18"/>
                <w:szCs w:val="18"/>
                <w:lang w:eastAsia="en-US"/>
              </w:rPr>
            </w:pPr>
            <w:r w:rsidRPr="008643AC">
              <w:rPr>
                <w:rFonts w:ascii="Times New Roman" w:eastAsia="Times New Roman" w:hAnsi="Times New Roman" w:cs="Times New Roman"/>
                <w:sz w:val="18"/>
                <w:szCs w:val="18"/>
                <w:lang w:eastAsia="en-US"/>
              </w:rPr>
              <w:t>0,0</w:t>
            </w:r>
          </w:p>
        </w:tc>
        <w:tc>
          <w:tcPr>
            <w:tcW w:w="898" w:type="dxa"/>
            <w:tcBorders>
              <w:top w:val="single" w:sz="4" w:space="0" w:color="auto"/>
              <w:left w:val="nil"/>
              <w:bottom w:val="single" w:sz="4" w:space="0" w:color="auto"/>
              <w:right w:val="single" w:sz="4" w:space="0" w:color="auto"/>
            </w:tcBorders>
            <w:shd w:val="clear" w:color="auto" w:fill="auto"/>
            <w:noWrap/>
          </w:tcPr>
          <w:p w14:paraId="7AF996CF" w14:textId="77777777" w:rsidR="008643AC" w:rsidRPr="008643AC" w:rsidRDefault="008643AC" w:rsidP="008643AC">
            <w:pPr>
              <w:jc w:val="right"/>
              <w:rPr>
                <w:rFonts w:ascii="Times New Roman" w:eastAsia="Times New Roman" w:hAnsi="Times New Roman" w:cs="Times New Roman"/>
                <w:color w:val="FF0000"/>
                <w:sz w:val="18"/>
                <w:szCs w:val="18"/>
                <w:lang w:eastAsia="en-US"/>
              </w:rPr>
            </w:pPr>
            <w:r w:rsidRPr="008643AC">
              <w:rPr>
                <w:rFonts w:ascii="Times New Roman" w:eastAsia="Times New Roman" w:hAnsi="Times New Roman" w:cs="Times New Roman"/>
                <w:sz w:val="18"/>
                <w:szCs w:val="18"/>
                <w:lang w:eastAsia="en-US"/>
              </w:rPr>
              <w:t>0,0</w:t>
            </w:r>
          </w:p>
        </w:tc>
        <w:tc>
          <w:tcPr>
            <w:tcW w:w="711" w:type="dxa"/>
            <w:tcBorders>
              <w:top w:val="single" w:sz="4" w:space="0" w:color="auto"/>
              <w:left w:val="nil"/>
              <w:bottom w:val="single" w:sz="4" w:space="0" w:color="auto"/>
              <w:right w:val="single" w:sz="4" w:space="0" w:color="auto"/>
            </w:tcBorders>
          </w:tcPr>
          <w:p w14:paraId="541B7910" w14:textId="77777777" w:rsidR="008643AC" w:rsidRPr="008643AC" w:rsidRDefault="008643AC" w:rsidP="008643AC">
            <w:pPr>
              <w:jc w:val="right"/>
              <w:rPr>
                <w:rFonts w:ascii="Times New Roman" w:eastAsia="Times New Roman" w:hAnsi="Times New Roman" w:cs="Times New Roman"/>
                <w:color w:val="FF0000"/>
                <w:sz w:val="18"/>
                <w:szCs w:val="18"/>
                <w:lang w:eastAsia="en-US"/>
              </w:rPr>
            </w:pPr>
            <w:r w:rsidRPr="008643AC">
              <w:rPr>
                <w:rFonts w:ascii="Times New Roman" w:eastAsia="Times New Roman" w:hAnsi="Times New Roman" w:cs="Times New Roman"/>
                <w:color w:val="000000"/>
                <w:sz w:val="18"/>
                <w:szCs w:val="18"/>
                <w:lang w:eastAsia="en-US"/>
              </w:rPr>
              <w:t>0,0</w:t>
            </w:r>
          </w:p>
        </w:tc>
        <w:tc>
          <w:tcPr>
            <w:tcW w:w="801" w:type="dxa"/>
            <w:tcBorders>
              <w:top w:val="single" w:sz="4" w:space="0" w:color="auto"/>
              <w:left w:val="single" w:sz="4" w:space="0" w:color="auto"/>
              <w:bottom w:val="single" w:sz="4" w:space="0" w:color="auto"/>
              <w:right w:val="single" w:sz="4" w:space="0" w:color="auto"/>
            </w:tcBorders>
            <w:shd w:val="clear" w:color="auto" w:fill="auto"/>
            <w:noWrap/>
          </w:tcPr>
          <w:p w14:paraId="3D0040F1" w14:textId="77777777" w:rsidR="008643AC" w:rsidRPr="008643AC" w:rsidRDefault="008643AC" w:rsidP="008643AC">
            <w:pPr>
              <w:jc w:val="right"/>
              <w:rPr>
                <w:rFonts w:ascii="Times New Roman" w:eastAsia="Times New Roman" w:hAnsi="Times New Roman" w:cs="Times New Roman"/>
                <w:color w:val="FF0000"/>
                <w:sz w:val="18"/>
                <w:szCs w:val="18"/>
                <w:lang w:eastAsia="en-US"/>
              </w:rPr>
            </w:pPr>
            <w:r w:rsidRPr="008643AC">
              <w:rPr>
                <w:rFonts w:ascii="Times New Roman" w:eastAsia="Times New Roman" w:hAnsi="Times New Roman" w:cs="Times New Roman"/>
                <w:color w:val="000000"/>
                <w:sz w:val="18"/>
                <w:szCs w:val="18"/>
                <w:lang w:eastAsia="en-US"/>
              </w:rPr>
              <w:t>0,0</w:t>
            </w:r>
          </w:p>
        </w:tc>
        <w:tc>
          <w:tcPr>
            <w:tcW w:w="711" w:type="dxa"/>
            <w:tcBorders>
              <w:top w:val="single" w:sz="4" w:space="0" w:color="auto"/>
              <w:left w:val="nil"/>
              <w:bottom w:val="single" w:sz="4" w:space="0" w:color="auto"/>
              <w:right w:val="single" w:sz="4" w:space="0" w:color="auto"/>
            </w:tcBorders>
            <w:shd w:val="clear" w:color="auto" w:fill="auto"/>
            <w:noWrap/>
          </w:tcPr>
          <w:p w14:paraId="4DC82721" w14:textId="77777777" w:rsidR="008643AC" w:rsidRPr="008643AC" w:rsidRDefault="008643AC" w:rsidP="008643AC">
            <w:pPr>
              <w:jc w:val="right"/>
              <w:rPr>
                <w:rFonts w:ascii="Times New Roman" w:eastAsia="Times New Roman" w:hAnsi="Times New Roman" w:cs="Times New Roman"/>
                <w:color w:val="FF0000"/>
                <w:sz w:val="18"/>
                <w:szCs w:val="18"/>
                <w:lang w:eastAsia="en-US"/>
              </w:rPr>
            </w:pPr>
            <w:r w:rsidRPr="008643AC">
              <w:rPr>
                <w:rFonts w:ascii="Times New Roman" w:eastAsia="Times New Roman" w:hAnsi="Times New Roman" w:cs="Times New Roman"/>
                <w:color w:val="000000"/>
                <w:sz w:val="18"/>
                <w:szCs w:val="18"/>
                <w:lang w:eastAsia="en-US"/>
              </w:rPr>
              <w:t>0,0</w:t>
            </w:r>
          </w:p>
        </w:tc>
      </w:tr>
    </w:tbl>
    <w:p w14:paraId="06D91C1F" w14:textId="128D4CDA" w:rsidR="008643AC" w:rsidRDefault="008643AC" w:rsidP="008643AC">
      <w:pPr>
        <w:spacing w:before="120"/>
        <w:jc w:val="both"/>
        <w:rPr>
          <w:rFonts w:ascii="Times New Roman" w:eastAsia="Times New Roman" w:hAnsi="Times New Roman" w:cs="Times New Roman"/>
          <w:color w:val="000000"/>
          <w:sz w:val="17"/>
          <w:szCs w:val="17"/>
          <w:lang w:eastAsia="en-US"/>
        </w:rPr>
      </w:pPr>
      <w:r w:rsidRPr="008643AC">
        <w:rPr>
          <w:rFonts w:ascii="Times New Roman" w:eastAsia="Times New Roman" w:hAnsi="Times New Roman" w:cs="Times New Roman"/>
          <w:color w:val="000000"/>
          <w:sz w:val="17"/>
          <w:szCs w:val="17"/>
          <w:lang w:eastAsia="en-US"/>
        </w:rPr>
        <w:t>* Atbilstoši 2020.gada aprīļa notifikācijas datiem, tai skaitā kopbudžeta izpilde atbilstoši Valsts kases oficiālajam mēneša pārskatam par 2019.gada janvāri-decembri.</w:t>
      </w:r>
    </w:p>
    <w:p w14:paraId="51C9FFEA" w14:textId="25990173" w:rsidR="00FB5161" w:rsidRDefault="00FB5161" w:rsidP="008643AC">
      <w:pPr>
        <w:spacing w:before="120"/>
        <w:jc w:val="both"/>
        <w:rPr>
          <w:rFonts w:ascii="Times New Roman" w:eastAsia="Times New Roman" w:hAnsi="Times New Roman" w:cs="Times New Roman"/>
          <w:color w:val="000000"/>
          <w:sz w:val="17"/>
          <w:szCs w:val="17"/>
          <w:lang w:eastAsia="en-US"/>
        </w:rPr>
      </w:pPr>
    </w:p>
    <w:p w14:paraId="42F5B13D" w14:textId="15CE41FF" w:rsidR="00FB5161" w:rsidRDefault="005D361F" w:rsidP="005D361F">
      <w:pPr>
        <w:pStyle w:val="Heading3"/>
      </w:pPr>
      <w:bookmarkStart w:id="56" w:name="_Toc53154108"/>
      <w:r>
        <w:t xml:space="preserve">2.2.3. </w:t>
      </w:r>
      <w:r w:rsidR="00FB5161">
        <w:t xml:space="preserve">Valdības apstiprinātie atbalsta pasākumi Covid-19 infekcijas izraisītās krīzes seku mazināšanai </w:t>
      </w:r>
      <w:r w:rsidR="00FB5161" w:rsidRPr="005905C7">
        <w:t>tautsaimniecībā un to fiskālā ietekme</w:t>
      </w:r>
      <w:bookmarkEnd w:id="56"/>
    </w:p>
    <w:p w14:paraId="28F24931" w14:textId="77777777" w:rsidR="005D361F" w:rsidRPr="005D361F" w:rsidRDefault="005D361F" w:rsidP="005D361F"/>
    <w:p w14:paraId="6E795751" w14:textId="1B3DB6C5" w:rsidR="005D361F" w:rsidRDefault="005D361F" w:rsidP="005D361F">
      <w:pPr>
        <w:ind w:firstLine="709"/>
        <w:jc w:val="both"/>
        <w:rPr>
          <w:rFonts w:ascii="Times New Roman" w:eastAsia="Times New Roman" w:hAnsi="Times New Roman" w:cs="Times New Roman"/>
          <w:color w:val="000000"/>
          <w:sz w:val="28"/>
          <w:szCs w:val="28"/>
          <w:lang w:eastAsia="en-US"/>
        </w:rPr>
      </w:pPr>
      <w:r w:rsidRPr="005D361F">
        <w:rPr>
          <w:rFonts w:ascii="Times New Roman" w:eastAsia="Times New Roman" w:hAnsi="Times New Roman" w:cs="Times New Roman"/>
          <w:color w:val="000000"/>
          <w:sz w:val="28"/>
          <w:szCs w:val="28"/>
          <w:lang w:eastAsia="en-US"/>
        </w:rPr>
        <w:t>Atbilstoši FM novērtējumam līdz šā gada 20.septembrim apstiprinātais tautsaimniecības atbalsta pasākumu apmērs veido 3,</w:t>
      </w:r>
      <w:r w:rsidRPr="005D361F">
        <w:rPr>
          <w:rFonts w:ascii="Times New Roman" w:eastAsia="Times New Roman" w:hAnsi="Times New Roman" w:cs="Times New Roman"/>
          <w:noProof/>
          <w:color w:val="000000"/>
          <w:sz w:val="28"/>
          <w:szCs w:val="28"/>
          <w:lang w:eastAsia="en-US"/>
        </w:rPr>
        <w:t xml:space="preserve">14 miljardus </w:t>
      </w:r>
      <w:r w:rsidRPr="005D361F">
        <w:rPr>
          <w:rFonts w:ascii="Times New Roman" w:eastAsia="Times New Roman" w:hAnsi="Times New Roman" w:cs="Times New Roman"/>
          <w:i/>
          <w:noProof/>
          <w:color w:val="000000"/>
          <w:sz w:val="28"/>
          <w:szCs w:val="28"/>
          <w:lang w:eastAsia="en-US"/>
        </w:rPr>
        <w:t>euro</w:t>
      </w:r>
      <w:r w:rsidRPr="005D361F">
        <w:rPr>
          <w:rFonts w:ascii="Times New Roman" w:eastAsia="Times New Roman" w:hAnsi="Times New Roman" w:cs="Times New Roman"/>
          <w:noProof/>
          <w:color w:val="000000"/>
          <w:sz w:val="28"/>
          <w:szCs w:val="28"/>
          <w:lang w:eastAsia="en-US"/>
        </w:rPr>
        <w:t xml:space="preserve"> jeb 11,1% no IKP, tostarp par 1 212,4 milj. </w:t>
      </w:r>
      <w:r w:rsidRPr="005D361F">
        <w:rPr>
          <w:rFonts w:ascii="Times New Roman" w:eastAsia="Times New Roman" w:hAnsi="Times New Roman" w:cs="Times New Roman"/>
          <w:i/>
          <w:noProof/>
          <w:color w:val="000000"/>
          <w:sz w:val="28"/>
          <w:szCs w:val="28"/>
          <w:lang w:eastAsia="en-US"/>
        </w:rPr>
        <w:t>euro</w:t>
      </w:r>
      <w:r w:rsidRPr="005D361F">
        <w:rPr>
          <w:rFonts w:ascii="Times New Roman" w:eastAsia="Times New Roman" w:hAnsi="Times New Roman" w:cs="Times New Roman"/>
          <w:noProof/>
          <w:color w:val="000000"/>
          <w:sz w:val="28"/>
          <w:szCs w:val="28"/>
          <w:lang w:eastAsia="en-US"/>
        </w:rPr>
        <w:t xml:space="preserve"> palielinot vispārējās valdības budžeta deficītu </w:t>
      </w:r>
      <w:r>
        <w:rPr>
          <w:rFonts w:ascii="Times New Roman" w:eastAsia="Times New Roman" w:hAnsi="Times New Roman" w:cs="Times New Roman"/>
          <w:noProof/>
          <w:color w:val="000000"/>
          <w:sz w:val="28"/>
          <w:szCs w:val="28"/>
          <w:lang w:eastAsia="en-US"/>
        </w:rPr>
        <w:t>2020.</w:t>
      </w:r>
      <w:r w:rsidRPr="005D361F">
        <w:rPr>
          <w:rFonts w:ascii="Times New Roman" w:eastAsia="Times New Roman" w:hAnsi="Times New Roman" w:cs="Times New Roman"/>
          <w:noProof/>
          <w:color w:val="000000"/>
          <w:sz w:val="28"/>
          <w:szCs w:val="28"/>
          <w:lang w:eastAsia="en-US"/>
        </w:rPr>
        <w:t xml:space="preserve">gadā un par 149,8 milj. </w:t>
      </w:r>
      <w:r w:rsidRPr="005D361F">
        <w:rPr>
          <w:rFonts w:ascii="Times New Roman" w:eastAsia="Times New Roman" w:hAnsi="Times New Roman" w:cs="Times New Roman"/>
          <w:i/>
          <w:noProof/>
          <w:color w:val="000000"/>
          <w:sz w:val="28"/>
          <w:szCs w:val="28"/>
          <w:lang w:eastAsia="en-US"/>
        </w:rPr>
        <w:t>euro</w:t>
      </w:r>
      <w:r w:rsidRPr="005D361F">
        <w:rPr>
          <w:rFonts w:ascii="Times New Roman" w:eastAsia="Times New Roman" w:hAnsi="Times New Roman" w:cs="Times New Roman"/>
          <w:noProof/>
          <w:color w:val="000000"/>
          <w:sz w:val="28"/>
          <w:szCs w:val="28"/>
          <w:lang w:eastAsia="en-US"/>
        </w:rPr>
        <w:t xml:space="preserve"> 2</w:t>
      </w:r>
      <w:r>
        <w:rPr>
          <w:rFonts w:ascii="Times New Roman" w:eastAsia="Times New Roman" w:hAnsi="Times New Roman" w:cs="Times New Roman"/>
          <w:color w:val="000000"/>
          <w:sz w:val="28"/>
          <w:szCs w:val="28"/>
          <w:lang w:eastAsia="en-US"/>
        </w:rPr>
        <w:t>021.</w:t>
      </w:r>
      <w:r w:rsidRPr="005D361F">
        <w:rPr>
          <w:rFonts w:ascii="Times New Roman" w:eastAsia="Times New Roman" w:hAnsi="Times New Roman" w:cs="Times New Roman"/>
          <w:color w:val="000000"/>
          <w:sz w:val="28"/>
          <w:szCs w:val="28"/>
          <w:lang w:eastAsia="en-US"/>
        </w:rPr>
        <w:t>gadā. Pieņemtos atbalsta pasākumu lēmumus Covid-19 krīzes pārvarēšanai var sadalīt piecās kategorijās – atbalsts nodokļu jomā, atbalsts pabalstu jomā, atbalsts aizdevumu un garantiju jomā, atbalsts nozarēm, kā arī ES finansējuma atbalsts. Pasākumi ar lielāko fiskālo ietekmi katrā jomā ir atspoguļoti 2.</w:t>
      </w:r>
      <w:r>
        <w:rPr>
          <w:rFonts w:ascii="Times New Roman" w:eastAsia="Times New Roman" w:hAnsi="Times New Roman" w:cs="Times New Roman"/>
          <w:color w:val="000000"/>
          <w:sz w:val="28"/>
          <w:szCs w:val="28"/>
          <w:lang w:eastAsia="en-US"/>
        </w:rPr>
        <w:t>4.</w:t>
      </w:r>
      <w:r w:rsidRPr="005D361F">
        <w:rPr>
          <w:rFonts w:ascii="Times New Roman" w:eastAsia="Times New Roman" w:hAnsi="Times New Roman" w:cs="Times New Roman"/>
          <w:color w:val="000000"/>
          <w:sz w:val="28"/>
          <w:szCs w:val="28"/>
          <w:lang w:eastAsia="en-US"/>
        </w:rPr>
        <w:t xml:space="preserve">tabulā. </w:t>
      </w:r>
    </w:p>
    <w:p w14:paraId="299964FB" w14:textId="77777777" w:rsidR="005D361F" w:rsidRPr="005D361F" w:rsidRDefault="005D361F" w:rsidP="005D361F">
      <w:pPr>
        <w:ind w:firstLine="709"/>
        <w:jc w:val="both"/>
        <w:rPr>
          <w:rFonts w:ascii="Times New Roman" w:eastAsia="Times New Roman" w:hAnsi="Times New Roman" w:cs="Times New Roman"/>
          <w:color w:val="000000"/>
          <w:sz w:val="28"/>
          <w:szCs w:val="28"/>
          <w:lang w:eastAsia="en-US"/>
        </w:rPr>
      </w:pPr>
    </w:p>
    <w:p w14:paraId="4017A6F3" w14:textId="22973B4F" w:rsidR="005D361F" w:rsidRDefault="005D361F" w:rsidP="005D361F">
      <w:pPr>
        <w:ind w:firstLine="709"/>
        <w:jc w:val="center"/>
        <w:rPr>
          <w:rFonts w:ascii="Times New Roman" w:eastAsia="Times New Roman" w:hAnsi="Times New Roman" w:cs="Times New Roman"/>
          <w:b/>
          <w:color w:val="000000"/>
          <w:sz w:val="28"/>
          <w:szCs w:val="28"/>
          <w:lang w:eastAsia="en-US"/>
        </w:rPr>
      </w:pPr>
      <w:r w:rsidRPr="005D361F">
        <w:rPr>
          <w:rFonts w:ascii="Times New Roman" w:eastAsia="Times New Roman" w:hAnsi="Times New Roman" w:cs="Times New Roman"/>
          <w:b/>
          <w:color w:val="000000"/>
          <w:sz w:val="28"/>
          <w:szCs w:val="28"/>
          <w:lang w:eastAsia="en-US"/>
        </w:rPr>
        <w:t>Atbalsts nodokļu jomā</w:t>
      </w:r>
    </w:p>
    <w:p w14:paraId="1ECB09A9" w14:textId="77777777" w:rsidR="005D361F" w:rsidRPr="005D361F" w:rsidRDefault="005D361F" w:rsidP="005D361F">
      <w:pPr>
        <w:ind w:firstLine="709"/>
        <w:jc w:val="center"/>
        <w:rPr>
          <w:rFonts w:ascii="Times New Roman" w:eastAsia="Times New Roman" w:hAnsi="Times New Roman" w:cs="Times New Roman"/>
          <w:b/>
          <w:color w:val="000000"/>
          <w:sz w:val="28"/>
          <w:szCs w:val="28"/>
          <w:lang w:eastAsia="en-US"/>
        </w:rPr>
      </w:pPr>
    </w:p>
    <w:p w14:paraId="666CA11A" w14:textId="09707088" w:rsidR="005D361F" w:rsidRPr="005D361F" w:rsidRDefault="005D361F" w:rsidP="005D361F">
      <w:pPr>
        <w:ind w:firstLine="709"/>
        <w:jc w:val="both"/>
        <w:rPr>
          <w:rFonts w:ascii="Times New Roman" w:eastAsia="Times New Roman" w:hAnsi="Times New Roman" w:cs="Times New Roman"/>
          <w:color w:val="000000"/>
          <w:sz w:val="28"/>
          <w:szCs w:val="28"/>
          <w:lang w:eastAsia="en-US"/>
        </w:rPr>
      </w:pPr>
      <w:r w:rsidRPr="005D361F">
        <w:rPr>
          <w:rFonts w:ascii="Times New Roman" w:eastAsia="Times New Roman" w:hAnsi="Times New Roman" w:cs="Times New Roman"/>
          <w:color w:val="000000"/>
          <w:sz w:val="28"/>
          <w:szCs w:val="28"/>
          <w:lang w:eastAsia="en-US"/>
        </w:rPr>
        <w:t xml:space="preserve">Likumā “Par valsts apdraudējuma un tā seku novēršanas un pārvarēšanas pasākumiem sakarā ar Covid-19 izplatību”, kas tika pieņemts Saeimā </w:t>
      </w:r>
      <w:r>
        <w:rPr>
          <w:rFonts w:ascii="Times New Roman" w:eastAsia="Times New Roman" w:hAnsi="Times New Roman" w:cs="Times New Roman"/>
          <w:color w:val="000000"/>
          <w:sz w:val="28"/>
          <w:szCs w:val="28"/>
          <w:lang w:eastAsia="en-US"/>
        </w:rPr>
        <w:t>2020.</w:t>
      </w:r>
      <w:r w:rsidRPr="005D361F">
        <w:rPr>
          <w:rFonts w:ascii="Times New Roman" w:eastAsia="Times New Roman" w:hAnsi="Times New Roman" w:cs="Times New Roman"/>
          <w:color w:val="000000"/>
          <w:sz w:val="28"/>
          <w:szCs w:val="28"/>
          <w:lang w:eastAsia="en-US"/>
        </w:rPr>
        <w:t xml:space="preserve">gada 20.martā, tika noteikti vairāki nodokļu ieņēmumus ietekmējoši atbalsta pasākumi, lai mazinātu krīzes sekas uzņēmējiem un iedzīvotājiem. Šis likums darbojās līdz </w:t>
      </w:r>
      <w:r>
        <w:rPr>
          <w:rFonts w:ascii="Times New Roman" w:eastAsia="Times New Roman" w:hAnsi="Times New Roman" w:cs="Times New Roman"/>
          <w:color w:val="000000"/>
          <w:sz w:val="28"/>
          <w:szCs w:val="28"/>
          <w:lang w:eastAsia="en-US"/>
        </w:rPr>
        <w:t>2020.gada 9.jūnijam, bet 10.</w:t>
      </w:r>
      <w:r w:rsidRPr="005D361F">
        <w:rPr>
          <w:rFonts w:ascii="Times New Roman" w:eastAsia="Times New Roman" w:hAnsi="Times New Roman" w:cs="Times New Roman"/>
          <w:color w:val="000000"/>
          <w:sz w:val="28"/>
          <w:szCs w:val="28"/>
          <w:lang w:eastAsia="en-US"/>
        </w:rPr>
        <w:t>jūnijā stājās spēkā “Covid-19 infekcijas izplatības seku pārvarēšanas likums”’, kas arī paredz attiecīgu atbalstu. Atbalstā nodokļu jomā ietilpst tādi pasākumi kā:</w:t>
      </w:r>
    </w:p>
    <w:p w14:paraId="706D40B4" w14:textId="77777777" w:rsidR="005D361F" w:rsidRPr="005D361F" w:rsidRDefault="005D361F" w:rsidP="00FB2B77">
      <w:pPr>
        <w:pStyle w:val="ListParagraph"/>
        <w:numPr>
          <w:ilvl w:val="0"/>
          <w:numId w:val="55"/>
        </w:numPr>
        <w:jc w:val="both"/>
        <w:rPr>
          <w:rFonts w:ascii="Times New Roman" w:eastAsia="Calibri" w:hAnsi="Times New Roman" w:cs="Times New Roman"/>
          <w:color w:val="000000"/>
          <w:sz w:val="28"/>
          <w:szCs w:val="28"/>
          <w:lang w:eastAsia="en-US"/>
        </w:rPr>
      </w:pPr>
      <w:r w:rsidRPr="005D361F">
        <w:rPr>
          <w:rFonts w:ascii="Times New Roman" w:eastAsia="Calibri" w:hAnsi="Times New Roman" w:cs="Times New Roman"/>
          <w:color w:val="000000"/>
          <w:sz w:val="28"/>
          <w:szCs w:val="28"/>
          <w:lang w:eastAsia="en-US"/>
        </w:rPr>
        <w:t>nodokļu samaksas termiņa pagarinājumi;</w:t>
      </w:r>
    </w:p>
    <w:p w14:paraId="2A582690" w14:textId="77777777" w:rsidR="005D361F" w:rsidRPr="005D361F" w:rsidRDefault="005D361F" w:rsidP="00FB2B77">
      <w:pPr>
        <w:pStyle w:val="ListParagraph"/>
        <w:numPr>
          <w:ilvl w:val="0"/>
          <w:numId w:val="55"/>
        </w:numPr>
        <w:jc w:val="both"/>
        <w:rPr>
          <w:rFonts w:ascii="Times New Roman" w:eastAsia="Calibri" w:hAnsi="Times New Roman" w:cs="Times New Roman"/>
          <w:color w:val="000000"/>
          <w:sz w:val="28"/>
          <w:szCs w:val="28"/>
          <w:lang w:eastAsia="en-US"/>
        </w:rPr>
      </w:pPr>
      <w:r w:rsidRPr="005D361F">
        <w:rPr>
          <w:rFonts w:ascii="Times New Roman" w:eastAsia="Calibri" w:hAnsi="Times New Roman" w:cs="Times New Roman"/>
          <w:color w:val="000000"/>
          <w:sz w:val="28"/>
          <w:szCs w:val="28"/>
          <w:lang w:eastAsia="en-US"/>
        </w:rPr>
        <w:t>IIN avansa maksājumu atcelšana;</w:t>
      </w:r>
    </w:p>
    <w:p w14:paraId="12CC2ED1" w14:textId="77777777" w:rsidR="005D361F" w:rsidRPr="005D361F" w:rsidRDefault="005D361F" w:rsidP="00FB2B77">
      <w:pPr>
        <w:pStyle w:val="ListParagraph"/>
        <w:numPr>
          <w:ilvl w:val="0"/>
          <w:numId w:val="55"/>
        </w:numPr>
        <w:jc w:val="both"/>
        <w:rPr>
          <w:rFonts w:ascii="Times New Roman" w:eastAsia="Calibri" w:hAnsi="Times New Roman" w:cs="Times New Roman"/>
          <w:color w:val="000000"/>
          <w:sz w:val="28"/>
          <w:szCs w:val="28"/>
          <w:lang w:eastAsia="en-US"/>
        </w:rPr>
      </w:pPr>
      <w:r w:rsidRPr="005D361F">
        <w:rPr>
          <w:rFonts w:ascii="Times New Roman" w:eastAsia="Calibri" w:hAnsi="Times New Roman" w:cs="Times New Roman"/>
          <w:color w:val="000000"/>
          <w:sz w:val="28"/>
          <w:szCs w:val="28"/>
          <w:lang w:eastAsia="en-US"/>
        </w:rPr>
        <w:t>pārmaksātā PVN atmaksa 30 dienu laikā;</w:t>
      </w:r>
    </w:p>
    <w:p w14:paraId="3E2CCCDC" w14:textId="7A94EBC4" w:rsidR="005D361F" w:rsidRPr="005D361F" w:rsidRDefault="005D361F" w:rsidP="00FB2B77">
      <w:pPr>
        <w:pStyle w:val="ListParagraph"/>
        <w:numPr>
          <w:ilvl w:val="0"/>
          <w:numId w:val="55"/>
        </w:numPr>
        <w:jc w:val="both"/>
        <w:rPr>
          <w:rFonts w:ascii="Times New Roman" w:eastAsia="Calibri" w:hAnsi="Times New Roman" w:cs="Times New Roman"/>
          <w:color w:val="000000"/>
          <w:sz w:val="28"/>
          <w:szCs w:val="28"/>
          <w:lang w:eastAsia="en-US"/>
        </w:rPr>
      </w:pPr>
      <w:r w:rsidRPr="005D361F">
        <w:rPr>
          <w:rFonts w:ascii="Times New Roman" w:eastAsia="Calibri" w:hAnsi="Times New Roman" w:cs="Times New Roman"/>
          <w:color w:val="000000"/>
          <w:sz w:val="28"/>
          <w:szCs w:val="28"/>
          <w:lang w:eastAsia="en-US"/>
        </w:rPr>
        <w:t>nekustamā īpašuma nodokļa samaksas termiņu pagarināšana (šim pasākumam nav fiskālās ietekmes, jo termiņu pārcelšana notiek tikai 2020.gada ietvaros).</w:t>
      </w:r>
    </w:p>
    <w:p w14:paraId="57BBF1F5" w14:textId="5A9D668C" w:rsidR="005D361F" w:rsidRDefault="005D361F" w:rsidP="005D361F">
      <w:pPr>
        <w:ind w:firstLine="709"/>
        <w:jc w:val="both"/>
        <w:rPr>
          <w:rFonts w:ascii="Times New Roman" w:eastAsia="Times New Roman" w:hAnsi="Times New Roman" w:cs="Times New Roman"/>
          <w:noProof/>
          <w:color w:val="000000"/>
          <w:sz w:val="28"/>
          <w:szCs w:val="28"/>
          <w:lang w:eastAsia="en-US"/>
        </w:rPr>
      </w:pPr>
      <w:r w:rsidRPr="005D361F">
        <w:rPr>
          <w:rFonts w:ascii="Times New Roman" w:eastAsia="Times New Roman" w:hAnsi="Times New Roman" w:cs="Times New Roman"/>
          <w:color w:val="000000"/>
          <w:sz w:val="28"/>
          <w:szCs w:val="28"/>
          <w:lang w:eastAsia="en-US"/>
        </w:rPr>
        <w:t xml:space="preserve">Pēc </w:t>
      </w:r>
      <w:r>
        <w:rPr>
          <w:rFonts w:ascii="Times New Roman" w:eastAsia="Times New Roman" w:hAnsi="Times New Roman" w:cs="Times New Roman"/>
          <w:color w:val="000000"/>
          <w:sz w:val="28"/>
          <w:szCs w:val="28"/>
          <w:lang w:eastAsia="en-US"/>
        </w:rPr>
        <w:t xml:space="preserve">VID </w:t>
      </w:r>
      <w:r w:rsidRPr="005D361F">
        <w:rPr>
          <w:rFonts w:ascii="Times New Roman" w:eastAsia="Times New Roman" w:hAnsi="Times New Roman" w:cs="Times New Roman"/>
          <w:color w:val="000000"/>
          <w:sz w:val="28"/>
          <w:szCs w:val="28"/>
          <w:lang w:eastAsia="en-US"/>
        </w:rPr>
        <w:t>datiem līdz 2020.gada 20.septembrim ar atsauci un īpašo Covid-19 krīzes regulējumu nodokļu “brīvdienas” ir piešķirtas 142,4 milj. </w:t>
      </w:r>
      <w:r w:rsidRPr="005D361F">
        <w:rPr>
          <w:rFonts w:ascii="Times New Roman" w:eastAsia="Times New Roman" w:hAnsi="Times New Roman" w:cs="Times New Roman"/>
          <w:i/>
          <w:noProof/>
          <w:color w:val="000000"/>
          <w:sz w:val="28"/>
          <w:szCs w:val="28"/>
          <w:lang w:eastAsia="en-US"/>
        </w:rPr>
        <w:t>euro</w:t>
      </w:r>
      <w:r w:rsidRPr="005D361F">
        <w:rPr>
          <w:rFonts w:ascii="Times New Roman" w:eastAsia="Times New Roman" w:hAnsi="Times New Roman" w:cs="Times New Roman"/>
          <w:noProof/>
          <w:color w:val="000000"/>
          <w:sz w:val="28"/>
          <w:szCs w:val="28"/>
          <w:lang w:eastAsia="en-US"/>
        </w:rPr>
        <w:t xml:space="preserve"> apmērā, kas atbilstoši FM novērtējumam uz šo brīdi negatīvi ietekmē vispārējās valdības budžeta bilanci par 42,7 milj. </w:t>
      </w:r>
      <w:r w:rsidRPr="005D361F">
        <w:rPr>
          <w:rFonts w:ascii="Times New Roman" w:eastAsia="Times New Roman" w:hAnsi="Times New Roman" w:cs="Times New Roman"/>
          <w:i/>
          <w:noProof/>
          <w:color w:val="000000"/>
          <w:sz w:val="28"/>
          <w:szCs w:val="28"/>
          <w:lang w:eastAsia="en-US"/>
        </w:rPr>
        <w:t>euro</w:t>
      </w:r>
      <w:r w:rsidRPr="005D361F">
        <w:rPr>
          <w:rFonts w:ascii="Times New Roman" w:eastAsia="Times New Roman" w:hAnsi="Times New Roman" w:cs="Times New Roman"/>
          <w:noProof/>
          <w:color w:val="000000"/>
          <w:sz w:val="28"/>
          <w:szCs w:val="28"/>
          <w:lang w:eastAsia="en-US"/>
        </w:rPr>
        <w:t>.</w:t>
      </w:r>
    </w:p>
    <w:p w14:paraId="6373DFC6" w14:textId="77777777" w:rsidR="005D361F" w:rsidRPr="005D361F" w:rsidRDefault="005D361F" w:rsidP="005D361F">
      <w:pPr>
        <w:ind w:firstLine="709"/>
        <w:jc w:val="both"/>
        <w:rPr>
          <w:rFonts w:ascii="Times New Roman" w:eastAsia="Times New Roman" w:hAnsi="Times New Roman" w:cs="Times New Roman"/>
          <w:noProof/>
          <w:color w:val="000000"/>
          <w:sz w:val="28"/>
          <w:szCs w:val="28"/>
          <w:lang w:eastAsia="en-US"/>
        </w:rPr>
      </w:pPr>
    </w:p>
    <w:p w14:paraId="603E1C45" w14:textId="10ACB5CA" w:rsidR="005D361F" w:rsidRDefault="005D361F" w:rsidP="005D361F">
      <w:pPr>
        <w:ind w:firstLine="709"/>
        <w:jc w:val="center"/>
        <w:rPr>
          <w:rFonts w:ascii="Times New Roman" w:eastAsia="Times New Roman" w:hAnsi="Times New Roman" w:cs="Times New Roman"/>
          <w:b/>
          <w:color w:val="000000"/>
          <w:sz w:val="28"/>
          <w:szCs w:val="28"/>
          <w:lang w:eastAsia="en-US"/>
        </w:rPr>
      </w:pPr>
      <w:r w:rsidRPr="005D361F">
        <w:rPr>
          <w:rFonts w:ascii="Times New Roman" w:eastAsia="Times New Roman" w:hAnsi="Times New Roman" w:cs="Times New Roman"/>
          <w:b/>
          <w:color w:val="000000"/>
          <w:sz w:val="28"/>
          <w:szCs w:val="28"/>
          <w:lang w:eastAsia="en-US"/>
        </w:rPr>
        <w:t>Atbalsts pabalstu jomā</w:t>
      </w:r>
    </w:p>
    <w:p w14:paraId="4CC6C433" w14:textId="77777777" w:rsidR="005D361F" w:rsidRPr="005D361F" w:rsidRDefault="005D361F" w:rsidP="005D361F">
      <w:pPr>
        <w:ind w:firstLine="709"/>
        <w:jc w:val="center"/>
        <w:rPr>
          <w:rFonts w:ascii="Times New Roman" w:eastAsia="Times New Roman" w:hAnsi="Times New Roman" w:cs="Times New Roman"/>
          <w:b/>
          <w:color w:val="000000"/>
          <w:sz w:val="28"/>
          <w:szCs w:val="28"/>
          <w:lang w:eastAsia="en-US"/>
        </w:rPr>
      </w:pPr>
    </w:p>
    <w:p w14:paraId="3303C3C4" w14:textId="0DC2823C" w:rsidR="005D361F" w:rsidRPr="005D361F" w:rsidRDefault="005D361F" w:rsidP="005D361F">
      <w:pPr>
        <w:ind w:firstLine="709"/>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Laika posmā no 2020.gada  20.marta līdz 20.</w:t>
      </w:r>
      <w:r w:rsidRPr="005D361F">
        <w:rPr>
          <w:rFonts w:ascii="Times New Roman" w:eastAsia="Times New Roman" w:hAnsi="Times New Roman" w:cs="Times New Roman"/>
          <w:color w:val="000000"/>
          <w:sz w:val="28"/>
          <w:szCs w:val="28"/>
          <w:lang w:eastAsia="en-US"/>
        </w:rPr>
        <w:t>septembrim tika pieņemti vairāki normatīvie akti, kas nosaka papildus izdevumus pabalstiem iedzīvotāju atbalstam, mazinot Covid-19 izraisītās krīzes sekas.</w:t>
      </w:r>
      <w:r>
        <w:rPr>
          <w:rFonts w:ascii="Times New Roman" w:eastAsia="Times New Roman" w:hAnsi="Times New Roman" w:cs="Times New Roman"/>
          <w:color w:val="000000"/>
          <w:sz w:val="28"/>
          <w:szCs w:val="28"/>
          <w:lang w:eastAsia="en-US"/>
        </w:rPr>
        <w:t xml:space="preserve"> </w:t>
      </w:r>
      <w:r w:rsidRPr="005D361F">
        <w:rPr>
          <w:rFonts w:ascii="Times New Roman" w:eastAsia="Times New Roman" w:hAnsi="Times New Roman" w:cs="Times New Roman"/>
          <w:color w:val="000000"/>
          <w:sz w:val="28"/>
          <w:szCs w:val="28"/>
          <w:lang w:eastAsia="en-US"/>
        </w:rPr>
        <w:t>Lielākie izdevumi tiek plānoti šādiem pabalstiem:</w:t>
      </w:r>
    </w:p>
    <w:p w14:paraId="3279FC90" w14:textId="50AB3782" w:rsidR="005D361F" w:rsidRPr="005D361F" w:rsidRDefault="005D361F" w:rsidP="00FB2B77">
      <w:pPr>
        <w:pStyle w:val="ListParagraph"/>
        <w:numPr>
          <w:ilvl w:val="0"/>
          <w:numId w:val="56"/>
        </w:numPr>
        <w:jc w:val="both"/>
        <w:rPr>
          <w:rFonts w:ascii="Times New Roman" w:eastAsia="Calibri" w:hAnsi="Times New Roman" w:cs="Times New Roman"/>
          <w:noProof/>
          <w:color w:val="000000"/>
          <w:sz w:val="28"/>
          <w:szCs w:val="28"/>
          <w:lang w:eastAsia="en-US"/>
        </w:rPr>
      </w:pPr>
      <w:r>
        <w:rPr>
          <w:rFonts w:ascii="Times New Roman" w:eastAsia="Calibri" w:hAnsi="Times New Roman" w:cs="Times New Roman"/>
          <w:color w:val="000000"/>
          <w:sz w:val="28"/>
          <w:szCs w:val="28"/>
          <w:lang w:eastAsia="en-US"/>
        </w:rPr>
        <w:t>D</w:t>
      </w:r>
      <w:r w:rsidRPr="005D361F">
        <w:rPr>
          <w:rFonts w:ascii="Times New Roman" w:eastAsia="Calibri" w:hAnsi="Times New Roman" w:cs="Times New Roman"/>
          <w:color w:val="000000"/>
          <w:sz w:val="28"/>
          <w:szCs w:val="28"/>
          <w:lang w:eastAsia="en-US"/>
        </w:rPr>
        <w:t>īkstāves pabalsti.</w:t>
      </w:r>
      <w:r w:rsidRPr="005D361F">
        <w:rPr>
          <w:rFonts w:ascii="Times New Roman" w:eastAsia="Calibri" w:hAnsi="Times New Roman" w:cs="Times New Roman"/>
          <w:sz w:val="28"/>
          <w:szCs w:val="28"/>
          <w:lang w:eastAsia="en-US"/>
        </w:rPr>
        <w:t xml:space="preserve"> </w:t>
      </w:r>
      <w:r w:rsidRPr="005D361F">
        <w:rPr>
          <w:rFonts w:ascii="Times New Roman" w:eastAsia="Calibri" w:hAnsi="Times New Roman" w:cs="Times New Roman"/>
          <w:color w:val="000000"/>
          <w:sz w:val="28"/>
          <w:szCs w:val="28"/>
          <w:lang w:eastAsia="en-US"/>
        </w:rPr>
        <w:t xml:space="preserve">Darbinieka atlīdzība dīkstāves gadījumā tiek kompensēta no valsts puses 75% apmērā no darbinieka sešu mēnešu vidējās atlīdzības, bet ne vairāk kā 700 </w:t>
      </w:r>
      <w:r w:rsidRPr="005D361F">
        <w:rPr>
          <w:rFonts w:ascii="Times New Roman" w:eastAsia="Times New Roman" w:hAnsi="Times New Roman" w:cs="Times New Roman"/>
          <w:i/>
          <w:color w:val="000000"/>
          <w:sz w:val="28"/>
          <w:szCs w:val="28"/>
          <w:lang w:eastAsia="en-US"/>
        </w:rPr>
        <w:t>euro</w:t>
      </w:r>
      <w:r w:rsidRPr="005D361F">
        <w:rPr>
          <w:rFonts w:ascii="Times New Roman" w:eastAsia="Calibri" w:hAnsi="Times New Roman" w:cs="Times New Roman"/>
          <w:color w:val="000000"/>
          <w:sz w:val="28"/>
          <w:szCs w:val="28"/>
          <w:lang w:eastAsia="en-US"/>
        </w:rPr>
        <w:t xml:space="preserve">. Dīkstāves pabalsts netiek aplikts ar IIN un valsts sociālās apdrošināšanas iemaksām. Laika gaitā tika pieņemti vairāki grozījumi MK noteikumos, kas paplašināja dīkstāves pabalsta saņēmēju </w:t>
      </w:r>
      <w:r w:rsidRPr="005D361F">
        <w:rPr>
          <w:rFonts w:ascii="Times New Roman" w:eastAsia="Calibri" w:hAnsi="Times New Roman" w:cs="Times New Roman"/>
          <w:noProof/>
          <w:color w:val="000000"/>
          <w:sz w:val="28"/>
          <w:szCs w:val="28"/>
          <w:lang w:eastAsia="en-US"/>
        </w:rPr>
        <w:t>loku – iekļaujot pašnodarbinātās personas, autoratlīdzības saņēmējus, mikrouzņēmuma</w:t>
      </w:r>
      <w:r w:rsidRPr="005D361F">
        <w:rPr>
          <w:rFonts w:ascii="Times New Roman" w:eastAsia="Calibri" w:hAnsi="Times New Roman" w:cs="Times New Roman"/>
          <w:color w:val="000000"/>
          <w:sz w:val="28"/>
          <w:szCs w:val="28"/>
          <w:lang w:eastAsia="en-US"/>
        </w:rPr>
        <w:t xml:space="preserve"> nodokļa maksātājus, valdes locekļus, strādājošos pens</w:t>
      </w:r>
      <w:r>
        <w:rPr>
          <w:rFonts w:ascii="Times New Roman" w:eastAsia="Calibri" w:hAnsi="Times New Roman" w:cs="Times New Roman"/>
          <w:color w:val="000000"/>
          <w:sz w:val="28"/>
          <w:szCs w:val="28"/>
          <w:lang w:eastAsia="en-US"/>
        </w:rPr>
        <w:t>ionārus u.c. Līdz 2020.gada 20.</w:t>
      </w:r>
      <w:r w:rsidRPr="005D361F">
        <w:rPr>
          <w:rFonts w:ascii="Times New Roman" w:eastAsia="Calibri" w:hAnsi="Times New Roman" w:cs="Times New Roman"/>
          <w:color w:val="000000"/>
          <w:sz w:val="28"/>
          <w:szCs w:val="28"/>
          <w:lang w:eastAsia="en-US"/>
        </w:rPr>
        <w:t>septembrim saskaņā ar VID datiem dīkstāves pabalsti ir izmaksāti 53,6 milj.</w:t>
      </w:r>
      <w:r w:rsidRPr="005D361F">
        <w:rPr>
          <w:rFonts w:ascii="Times New Roman" w:eastAsia="Calibri" w:hAnsi="Times New Roman" w:cs="Times New Roman"/>
          <w:noProof/>
          <w:color w:val="000000"/>
          <w:sz w:val="28"/>
          <w:szCs w:val="28"/>
          <w:lang w:eastAsia="en-US"/>
        </w:rPr>
        <w:t xml:space="preserve"> </w:t>
      </w:r>
      <w:r w:rsidRPr="005D361F">
        <w:rPr>
          <w:rFonts w:ascii="Times New Roman" w:eastAsia="Times New Roman" w:hAnsi="Times New Roman" w:cs="Times New Roman"/>
          <w:i/>
          <w:noProof/>
          <w:color w:val="000000"/>
          <w:sz w:val="28"/>
          <w:szCs w:val="28"/>
          <w:lang w:eastAsia="en-US"/>
        </w:rPr>
        <w:t>euro</w:t>
      </w:r>
      <w:r w:rsidRPr="005D361F">
        <w:rPr>
          <w:rFonts w:ascii="Times New Roman" w:eastAsia="Calibri" w:hAnsi="Times New Roman" w:cs="Times New Roman"/>
          <w:color w:val="000000"/>
          <w:sz w:val="28"/>
          <w:szCs w:val="28"/>
          <w:lang w:eastAsia="en-US"/>
        </w:rPr>
        <w:t xml:space="preserve"> apmērā</w:t>
      </w:r>
      <w:r w:rsidRPr="005D361F">
        <w:rPr>
          <w:rFonts w:ascii="Times New Roman" w:eastAsia="Calibri" w:hAnsi="Times New Roman" w:cs="Times New Roman"/>
          <w:noProof/>
          <w:sz w:val="28"/>
          <w:szCs w:val="28"/>
          <w:lang w:eastAsia="en-US"/>
        </w:rPr>
        <w:t>.</w:t>
      </w:r>
    </w:p>
    <w:p w14:paraId="0CDAE94C" w14:textId="14AD2BB1" w:rsidR="005D361F" w:rsidRPr="005D361F" w:rsidRDefault="005D361F" w:rsidP="00FB2B77">
      <w:pPr>
        <w:pStyle w:val="ListParagraph"/>
        <w:numPr>
          <w:ilvl w:val="0"/>
          <w:numId w:val="56"/>
        </w:numPr>
        <w:jc w:val="both"/>
        <w:rPr>
          <w:rFonts w:ascii="Times New Roman" w:eastAsia="Calibri" w:hAnsi="Times New Roman" w:cs="Times New Roman"/>
          <w:noProof/>
          <w:color w:val="000000"/>
          <w:sz w:val="28"/>
          <w:szCs w:val="28"/>
          <w:lang w:eastAsia="en-US"/>
        </w:rPr>
      </w:pPr>
      <w:r w:rsidRPr="005D361F">
        <w:rPr>
          <w:rFonts w:ascii="Times New Roman" w:eastAsia="Calibri" w:hAnsi="Times New Roman" w:cs="Times New Roman"/>
          <w:noProof/>
          <w:sz w:val="28"/>
          <w:szCs w:val="28"/>
          <w:lang w:eastAsia="en-US"/>
        </w:rPr>
        <w:t>Bezdarbnieku palīdzības pabalsts. Persona, kurai piešķirtā bezdarbnieka</w:t>
      </w:r>
      <w:r>
        <w:rPr>
          <w:rFonts w:ascii="Times New Roman" w:eastAsia="Calibri" w:hAnsi="Times New Roman" w:cs="Times New Roman"/>
          <w:noProof/>
          <w:sz w:val="28"/>
          <w:szCs w:val="28"/>
          <w:lang w:eastAsia="en-US"/>
        </w:rPr>
        <w:t xml:space="preserve"> pabalsta periods beidzas 2020.gada 12.</w:t>
      </w:r>
      <w:r w:rsidRPr="005D361F">
        <w:rPr>
          <w:rFonts w:ascii="Times New Roman" w:eastAsia="Calibri" w:hAnsi="Times New Roman" w:cs="Times New Roman"/>
          <w:noProof/>
          <w:sz w:val="28"/>
          <w:szCs w:val="28"/>
          <w:lang w:eastAsia="en-US"/>
        </w:rPr>
        <w:t xml:space="preserve">martā vai vēlāk un kura sakarā ar Covid-19 izsludinātās ārkārtējās situācijas radītajām sekām nav atradusi darbu un neveic saimniecisko darbību, var pieprasīt bezdarbnieka palīdzības pabalstu 180 </w:t>
      </w:r>
      <w:r w:rsidRPr="005D361F">
        <w:rPr>
          <w:rFonts w:ascii="Times New Roman" w:eastAsia="Calibri" w:hAnsi="Times New Roman" w:cs="Times New Roman"/>
          <w:i/>
          <w:noProof/>
          <w:sz w:val="28"/>
          <w:szCs w:val="28"/>
          <w:lang w:eastAsia="en-US"/>
        </w:rPr>
        <w:t>euro</w:t>
      </w:r>
      <w:r w:rsidRPr="005D361F">
        <w:rPr>
          <w:rFonts w:ascii="Times New Roman" w:eastAsia="Calibri" w:hAnsi="Times New Roman" w:cs="Times New Roman"/>
          <w:noProof/>
          <w:sz w:val="28"/>
          <w:szCs w:val="28"/>
          <w:lang w:eastAsia="en-US"/>
        </w:rPr>
        <w:t>.</w:t>
      </w:r>
    </w:p>
    <w:p w14:paraId="4534B8F0" w14:textId="77777777" w:rsidR="005D361F" w:rsidRPr="005D361F" w:rsidRDefault="005D361F" w:rsidP="00FB2B77">
      <w:pPr>
        <w:pStyle w:val="ListParagraph"/>
        <w:numPr>
          <w:ilvl w:val="0"/>
          <w:numId w:val="56"/>
        </w:numPr>
        <w:jc w:val="both"/>
        <w:rPr>
          <w:rFonts w:ascii="Times New Roman" w:eastAsia="Calibri" w:hAnsi="Times New Roman" w:cs="Times New Roman"/>
          <w:noProof/>
          <w:color w:val="000000"/>
          <w:sz w:val="28"/>
          <w:szCs w:val="28"/>
          <w:lang w:eastAsia="en-US"/>
        </w:rPr>
      </w:pPr>
      <w:r w:rsidRPr="005D361F">
        <w:rPr>
          <w:rFonts w:ascii="Times New Roman" w:eastAsia="Calibri" w:hAnsi="Times New Roman" w:cs="Times New Roman"/>
          <w:noProof/>
          <w:color w:val="000000"/>
          <w:sz w:val="28"/>
          <w:szCs w:val="28"/>
          <w:lang w:eastAsia="en-US"/>
        </w:rPr>
        <w:t xml:space="preserve">Atbalsts jaunajiem speciālistiem. Pabalstu izmaksā pirmos divus mēnešus 500 </w:t>
      </w:r>
      <w:r w:rsidRPr="005D361F">
        <w:rPr>
          <w:rFonts w:ascii="Times New Roman" w:eastAsia="Calibri" w:hAnsi="Times New Roman" w:cs="Times New Roman"/>
          <w:i/>
          <w:noProof/>
          <w:color w:val="000000"/>
          <w:sz w:val="28"/>
          <w:szCs w:val="28"/>
          <w:lang w:eastAsia="en-US"/>
        </w:rPr>
        <w:t>euro</w:t>
      </w:r>
      <w:r w:rsidRPr="005D361F">
        <w:rPr>
          <w:rFonts w:ascii="Times New Roman" w:eastAsia="Calibri" w:hAnsi="Times New Roman" w:cs="Times New Roman"/>
          <w:noProof/>
          <w:color w:val="000000"/>
          <w:sz w:val="28"/>
          <w:szCs w:val="28"/>
          <w:lang w:eastAsia="en-US"/>
        </w:rPr>
        <w:t xml:space="preserve"> apmērā, trešajā un ceturtajā mēnesī 375 </w:t>
      </w:r>
      <w:r w:rsidRPr="005D361F">
        <w:rPr>
          <w:rFonts w:ascii="Times New Roman" w:eastAsia="Calibri" w:hAnsi="Times New Roman" w:cs="Times New Roman"/>
          <w:i/>
          <w:noProof/>
          <w:color w:val="000000"/>
          <w:sz w:val="28"/>
          <w:szCs w:val="28"/>
          <w:lang w:eastAsia="en-US"/>
        </w:rPr>
        <w:t>euro</w:t>
      </w:r>
      <w:r w:rsidRPr="005D361F">
        <w:rPr>
          <w:rFonts w:ascii="Times New Roman" w:eastAsia="Calibri" w:hAnsi="Times New Roman" w:cs="Times New Roman"/>
          <w:noProof/>
          <w:color w:val="000000"/>
          <w:sz w:val="28"/>
          <w:szCs w:val="28"/>
          <w:lang w:eastAsia="en-US"/>
        </w:rPr>
        <w:t xml:space="preserve"> apmērā personām, kuras gada laikā pirms ārkārtējās situācijas izsludināšanas ir beigušas mācības augstskolā vai koledžā, kur ir ieguvušas augstāko izglītību un ir ieguvušas bezdarbnieka statusu ārkārtējās situācijas laikā vai triju mēnešu laikā pēc tās beigām.</w:t>
      </w:r>
    </w:p>
    <w:p w14:paraId="12A7AF19" w14:textId="6DB82859" w:rsidR="005D361F" w:rsidRDefault="005D361F" w:rsidP="00FB2B77">
      <w:pPr>
        <w:pStyle w:val="ListParagraph"/>
        <w:numPr>
          <w:ilvl w:val="0"/>
          <w:numId w:val="56"/>
        </w:numPr>
        <w:jc w:val="both"/>
        <w:rPr>
          <w:rFonts w:ascii="Times New Roman" w:eastAsia="Calibri" w:hAnsi="Times New Roman" w:cs="Times New Roman"/>
          <w:noProof/>
          <w:color w:val="000000"/>
          <w:sz w:val="28"/>
          <w:szCs w:val="28"/>
          <w:lang w:eastAsia="en-US"/>
        </w:rPr>
      </w:pPr>
      <w:r w:rsidRPr="005D361F">
        <w:rPr>
          <w:rFonts w:ascii="Times New Roman" w:eastAsia="Calibri" w:hAnsi="Times New Roman" w:cs="Times New Roman"/>
          <w:noProof/>
          <w:color w:val="000000"/>
          <w:sz w:val="28"/>
          <w:szCs w:val="28"/>
          <w:lang w:eastAsia="en-US"/>
        </w:rPr>
        <w:t>Subsidētās darbavietas eksportējošiem uzņēmumiem un tūrisma nozarei. Atbalsts tiks sniegts 25-30 % apmērā no saimnieciskās darbības veicēja</w:t>
      </w:r>
      <w:r>
        <w:rPr>
          <w:rFonts w:ascii="Times New Roman" w:eastAsia="Calibri" w:hAnsi="Times New Roman" w:cs="Times New Roman"/>
          <w:noProof/>
          <w:color w:val="000000"/>
          <w:sz w:val="28"/>
          <w:szCs w:val="28"/>
          <w:lang w:eastAsia="en-US"/>
        </w:rPr>
        <w:t xml:space="preserve"> 2019.</w:t>
      </w:r>
      <w:r w:rsidRPr="005D361F">
        <w:rPr>
          <w:rFonts w:ascii="Times New Roman" w:eastAsia="Calibri" w:hAnsi="Times New Roman" w:cs="Times New Roman"/>
          <w:noProof/>
          <w:color w:val="000000"/>
          <w:sz w:val="28"/>
          <w:szCs w:val="28"/>
          <w:lang w:eastAsia="en-US"/>
        </w:rPr>
        <w:t xml:space="preserve">gadā samaksātajām valsts sociālās apdrošināšanas obligātajām iemaksām, bet ne vairāk kā 800 000 </w:t>
      </w:r>
      <w:r w:rsidRPr="005D361F">
        <w:rPr>
          <w:rFonts w:ascii="Times New Roman" w:eastAsia="Calibri" w:hAnsi="Times New Roman" w:cs="Times New Roman"/>
          <w:i/>
          <w:noProof/>
          <w:color w:val="000000"/>
          <w:sz w:val="28"/>
          <w:szCs w:val="28"/>
          <w:lang w:eastAsia="en-US"/>
        </w:rPr>
        <w:t>euro</w:t>
      </w:r>
      <w:r w:rsidRPr="005D361F">
        <w:rPr>
          <w:rFonts w:ascii="Times New Roman" w:eastAsia="Calibri" w:hAnsi="Times New Roman" w:cs="Times New Roman"/>
          <w:noProof/>
          <w:color w:val="000000"/>
          <w:sz w:val="28"/>
          <w:szCs w:val="28"/>
          <w:lang w:eastAsia="en-US"/>
        </w:rPr>
        <w:t xml:space="preserve"> saistītai personu grupai.</w:t>
      </w:r>
    </w:p>
    <w:p w14:paraId="4CF0C2E3" w14:textId="77777777" w:rsidR="005D361F" w:rsidRPr="005D361F" w:rsidRDefault="005D361F" w:rsidP="005D361F">
      <w:pPr>
        <w:pStyle w:val="ListParagraph"/>
        <w:ind w:left="1440"/>
        <w:jc w:val="both"/>
        <w:rPr>
          <w:rFonts w:ascii="Times New Roman" w:eastAsia="Calibri" w:hAnsi="Times New Roman" w:cs="Times New Roman"/>
          <w:noProof/>
          <w:color w:val="000000"/>
          <w:sz w:val="28"/>
          <w:szCs w:val="28"/>
          <w:lang w:eastAsia="en-US"/>
        </w:rPr>
      </w:pPr>
    </w:p>
    <w:p w14:paraId="45F518BD" w14:textId="357BD8C9" w:rsidR="005D361F" w:rsidRDefault="005D361F" w:rsidP="005D361F">
      <w:pPr>
        <w:ind w:firstLine="709"/>
        <w:jc w:val="center"/>
        <w:rPr>
          <w:rFonts w:ascii="Times New Roman" w:eastAsia="Times New Roman" w:hAnsi="Times New Roman" w:cs="Times New Roman"/>
          <w:b/>
          <w:color w:val="000000"/>
          <w:sz w:val="28"/>
          <w:szCs w:val="28"/>
          <w:lang w:eastAsia="en-US"/>
        </w:rPr>
      </w:pPr>
      <w:r w:rsidRPr="005D361F">
        <w:rPr>
          <w:rFonts w:ascii="Times New Roman" w:eastAsia="Times New Roman" w:hAnsi="Times New Roman" w:cs="Times New Roman"/>
          <w:b/>
          <w:color w:val="000000"/>
          <w:sz w:val="28"/>
          <w:szCs w:val="28"/>
          <w:lang w:eastAsia="en-US"/>
        </w:rPr>
        <w:t>Atbalsts aizdevumu un garantiju jomā</w:t>
      </w:r>
    </w:p>
    <w:p w14:paraId="6B3856EE" w14:textId="77777777" w:rsidR="005D361F" w:rsidRPr="005D361F" w:rsidRDefault="005D361F" w:rsidP="005D361F">
      <w:pPr>
        <w:ind w:firstLine="709"/>
        <w:jc w:val="center"/>
        <w:rPr>
          <w:rFonts w:ascii="Times New Roman" w:eastAsia="Times New Roman" w:hAnsi="Times New Roman" w:cs="Times New Roman"/>
          <w:b/>
          <w:color w:val="000000"/>
          <w:sz w:val="28"/>
          <w:szCs w:val="28"/>
          <w:lang w:eastAsia="en-US"/>
        </w:rPr>
      </w:pPr>
    </w:p>
    <w:p w14:paraId="66C2EF83" w14:textId="7C7CEB99" w:rsidR="005D361F" w:rsidRPr="005D361F" w:rsidRDefault="005D361F" w:rsidP="005D361F">
      <w:pPr>
        <w:ind w:firstLine="709"/>
        <w:jc w:val="both"/>
        <w:rPr>
          <w:rFonts w:ascii="Times New Roman" w:eastAsia="Times New Roman" w:hAnsi="Times New Roman" w:cs="Times New Roman"/>
          <w:color w:val="000000"/>
          <w:sz w:val="28"/>
          <w:szCs w:val="28"/>
          <w:lang w:eastAsia="en-US"/>
        </w:rPr>
      </w:pPr>
      <w:r w:rsidRPr="005D361F">
        <w:rPr>
          <w:rFonts w:ascii="Times New Roman" w:eastAsia="Times New Roman" w:hAnsi="Times New Roman" w:cs="Times New Roman"/>
          <w:color w:val="000000"/>
          <w:sz w:val="28"/>
          <w:szCs w:val="28"/>
          <w:lang w:eastAsia="en-US"/>
        </w:rPr>
        <w:t xml:space="preserve">Plānotie atbalsta pasākumi tiek nodrošināti galvenokārt ar </w:t>
      </w:r>
      <w:r>
        <w:rPr>
          <w:rFonts w:ascii="Times New Roman" w:eastAsia="Times New Roman" w:hAnsi="Times New Roman" w:cs="Times New Roman"/>
          <w:color w:val="000000"/>
          <w:sz w:val="28"/>
          <w:szCs w:val="28"/>
          <w:lang w:eastAsia="en-US"/>
        </w:rPr>
        <w:t xml:space="preserve">AS </w:t>
      </w:r>
      <w:r w:rsidRPr="005D361F">
        <w:rPr>
          <w:rFonts w:ascii="Times New Roman" w:eastAsia="Times New Roman" w:hAnsi="Times New Roman" w:cs="Times New Roman"/>
          <w:color w:val="000000"/>
          <w:sz w:val="28"/>
          <w:szCs w:val="28"/>
          <w:lang w:eastAsia="en-US"/>
        </w:rPr>
        <w:t xml:space="preserve">"Attīstības finanšu institūcija Altum" starpniecību un atbalsta veids pamatā ir paredzēts uzņēmumu likviditātes uzlabošanai īstermiņā. Šī atbalsta pasākumu grupa ietver arī pašvaldību aizņēmumu limita palielināšanu par 150 </w:t>
      </w:r>
      <w:r w:rsidRPr="005D361F">
        <w:rPr>
          <w:rFonts w:ascii="Times New Roman" w:eastAsia="Times New Roman" w:hAnsi="Times New Roman" w:cs="Times New Roman"/>
          <w:noProof/>
          <w:color w:val="000000"/>
          <w:sz w:val="28"/>
          <w:szCs w:val="28"/>
          <w:lang w:eastAsia="en-US"/>
        </w:rPr>
        <w:t xml:space="preserve">milj. </w:t>
      </w:r>
      <w:r w:rsidRPr="005D361F">
        <w:rPr>
          <w:rFonts w:ascii="Times New Roman" w:eastAsia="Times New Roman" w:hAnsi="Times New Roman" w:cs="Times New Roman"/>
          <w:i/>
          <w:noProof/>
          <w:color w:val="000000"/>
          <w:sz w:val="28"/>
          <w:szCs w:val="28"/>
          <w:lang w:eastAsia="en-US"/>
        </w:rPr>
        <w:t>euro</w:t>
      </w:r>
      <w:r w:rsidRPr="005D361F">
        <w:rPr>
          <w:rFonts w:ascii="Times New Roman" w:eastAsia="Times New Roman" w:hAnsi="Times New Roman" w:cs="Times New Roman"/>
          <w:noProof/>
          <w:color w:val="000000"/>
          <w:sz w:val="28"/>
          <w:szCs w:val="28"/>
          <w:lang w:eastAsia="en-US"/>
        </w:rPr>
        <w:t xml:space="preserve"> augstas gatavības investīciju projektu īstenošanai. Atbalstu veido a</w:t>
      </w:r>
      <w:r w:rsidRPr="005D361F">
        <w:rPr>
          <w:rFonts w:ascii="Times New Roman" w:eastAsia="Calibri" w:hAnsi="Times New Roman" w:cs="Times New Roman"/>
          <w:noProof/>
          <w:color w:val="000000"/>
          <w:sz w:val="28"/>
          <w:szCs w:val="28"/>
          <w:lang w:eastAsia="en-US"/>
        </w:rPr>
        <w:t xml:space="preserve">izdevumi apgrozāmiem līdzekļiem, kredītu garantijas, portfeļgarantijas, </w:t>
      </w:r>
      <w:r>
        <w:rPr>
          <w:rFonts w:ascii="Times New Roman" w:eastAsia="Times New Roman" w:hAnsi="Times New Roman" w:cs="Times New Roman"/>
          <w:color w:val="000000"/>
          <w:sz w:val="28"/>
          <w:szCs w:val="28"/>
          <w:lang w:eastAsia="en-US"/>
        </w:rPr>
        <w:t xml:space="preserve">AS </w:t>
      </w:r>
      <w:r w:rsidRPr="005D361F">
        <w:rPr>
          <w:rFonts w:ascii="Times New Roman" w:eastAsia="Times New Roman" w:hAnsi="Times New Roman" w:cs="Times New Roman"/>
          <w:color w:val="000000"/>
          <w:sz w:val="28"/>
          <w:szCs w:val="28"/>
          <w:lang w:eastAsia="en-US"/>
        </w:rPr>
        <w:t>"Attīstības finanšu institūcija Altum"</w:t>
      </w:r>
      <w:r w:rsidRPr="005D361F">
        <w:rPr>
          <w:rFonts w:ascii="Times New Roman" w:eastAsia="Calibri" w:hAnsi="Times New Roman" w:cs="Times New Roman"/>
          <w:noProof/>
          <w:sz w:val="28"/>
          <w:szCs w:val="28"/>
          <w:lang w:eastAsia="en-US"/>
        </w:rPr>
        <w:t xml:space="preserve"> ieguldījumu fonds modernizācijai, finansējums lielo komersanu atbalstam un pašvaldību aizņēmumu limita palielināšana.</w:t>
      </w:r>
    </w:p>
    <w:p w14:paraId="2A0AB2D4" w14:textId="77777777" w:rsidR="005D361F" w:rsidRDefault="005D361F" w:rsidP="005D361F">
      <w:pPr>
        <w:ind w:firstLine="709"/>
        <w:jc w:val="both"/>
        <w:rPr>
          <w:rFonts w:ascii="Times New Roman" w:eastAsia="Times New Roman" w:hAnsi="Times New Roman" w:cs="Times New Roman"/>
          <w:b/>
          <w:color w:val="000000"/>
          <w:sz w:val="28"/>
          <w:szCs w:val="28"/>
          <w:lang w:eastAsia="en-US"/>
        </w:rPr>
      </w:pPr>
    </w:p>
    <w:p w14:paraId="5F6B6129" w14:textId="0363E128" w:rsidR="005D361F" w:rsidRDefault="005D361F" w:rsidP="005D361F">
      <w:pPr>
        <w:ind w:firstLine="709"/>
        <w:jc w:val="center"/>
        <w:rPr>
          <w:rFonts w:ascii="Times New Roman" w:eastAsia="Times New Roman" w:hAnsi="Times New Roman" w:cs="Times New Roman"/>
          <w:b/>
          <w:color w:val="000000"/>
          <w:sz w:val="28"/>
          <w:szCs w:val="28"/>
          <w:lang w:eastAsia="en-US"/>
        </w:rPr>
      </w:pPr>
      <w:r w:rsidRPr="005D361F">
        <w:rPr>
          <w:rFonts w:ascii="Times New Roman" w:eastAsia="Times New Roman" w:hAnsi="Times New Roman" w:cs="Times New Roman"/>
          <w:b/>
          <w:color w:val="000000"/>
          <w:sz w:val="28"/>
          <w:szCs w:val="28"/>
          <w:lang w:eastAsia="en-US"/>
        </w:rPr>
        <w:t>Atbalsts nozarēm</w:t>
      </w:r>
    </w:p>
    <w:p w14:paraId="29C17933" w14:textId="77777777" w:rsidR="005D361F" w:rsidRPr="005D361F" w:rsidRDefault="005D361F" w:rsidP="005D361F">
      <w:pPr>
        <w:ind w:firstLine="709"/>
        <w:jc w:val="center"/>
        <w:rPr>
          <w:rFonts w:ascii="Times New Roman" w:eastAsia="Times New Roman" w:hAnsi="Times New Roman" w:cs="Times New Roman"/>
          <w:b/>
          <w:color w:val="000000"/>
          <w:sz w:val="28"/>
          <w:szCs w:val="28"/>
          <w:lang w:eastAsia="en-US"/>
        </w:rPr>
      </w:pPr>
    </w:p>
    <w:p w14:paraId="357B434D" w14:textId="306DB824" w:rsidR="005D361F" w:rsidRDefault="005D361F" w:rsidP="005D361F">
      <w:pPr>
        <w:ind w:firstLine="709"/>
        <w:jc w:val="both"/>
        <w:rPr>
          <w:rFonts w:ascii="Times New Roman" w:eastAsia="Calibri" w:hAnsi="Times New Roman" w:cs="Times New Roman"/>
          <w:color w:val="000000"/>
          <w:sz w:val="28"/>
          <w:szCs w:val="28"/>
          <w:lang w:eastAsia="en-US"/>
        </w:rPr>
      </w:pPr>
      <w:r w:rsidRPr="005D361F">
        <w:rPr>
          <w:rFonts w:ascii="Times New Roman" w:eastAsia="Times New Roman" w:hAnsi="Times New Roman" w:cs="Times New Roman"/>
          <w:color w:val="000000"/>
          <w:sz w:val="28"/>
          <w:szCs w:val="28"/>
          <w:lang w:eastAsia="en-US"/>
        </w:rPr>
        <w:t xml:space="preserve">Atbalsts paredzēts nozaru finansiālo grūtību mazināšanai un zaudējumu segšanai, kā arī medicīnas līdzekļu un aprīkojuma nodrošināšanai Covid-19 infekcijas izplatības novēršanai. Jāmin šādas nozares ar lielāko atbalsta apmēru: </w:t>
      </w:r>
      <w:r w:rsidRPr="005D361F">
        <w:rPr>
          <w:rFonts w:ascii="Times New Roman" w:eastAsia="Calibri" w:hAnsi="Times New Roman" w:cs="Times New Roman"/>
          <w:color w:val="000000"/>
          <w:sz w:val="28"/>
          <w:szCs w:val="28"/>
          <w:lang w:eastAsia="en-US"/>
        </w:rPr>
        <w:t xml:space="preserve">aviopārvadājumi, veselības aprūpe, </w:t>
      </w:r>
      <w:r w:rsidRPr="005D361F">
        <w:rPr>
          <w:rFonts w:ascii="Times New Roman" w:eastAsia="Calibri" w:hAnsi="Times New Roman" w:cs="Times New Roman"/>
          <w:noProof/>
          <w:color w:val="000000"/>
          <w:sz w:val="28"/>
          <w:szCs w:val="28"/>
          <w:lang w:eastAsia="en-US"/>
        </w:rPr>
        <w:t>valsts autoceļu būvniecība un tiltu remonti,</w:t>
      </w:r>
      <w:r w:rsidRPr="005D361F">
        <w:rPr>
          <w:rFonts w:ascii="Times New Roman" w:eastAsia="Calibri" w:hAnsi="Times New Roman" w:cs="Times New Roman"/>
          <w:color w:val="000000"/>
          <w:sz w:val="28"/>
          <w:szCs w:val="28"/>
          <w:lang w:eastAsia="en-US"/>
        </w:rPr>
        <w:t xml:space="preserve"> pasažieru un kravu pārvadātāji, lauksaimniecības, mežsaimniecības, zivsaimniecības un pārtikas ražošanas nozare, kultūra, demogrāfija, zinātne un izglītība, tai skaitā atbalsts attālinātajam mācību procesam, sporta nozare, mediji un sabiedrības informēšana. </w:t>
      </w:r>
    </w:p>
    <w:p w14:paraId="7C3DF7BE" w14:textId="475B9127" w:rsidR="00FD5F28" w:rsidRDefault="00FD5F28" w:rsidP="005D361F">
      <w:pPr>
        <w:ind w:firstLine="709"/>
        <w:jc w:val="both"/>
        <w:rPr>
          <w:rFonts w:ascii="Times New Roman" w:eastAsia="Calibri" w:hAnsi="Times New Roman" w:cs="Times New Roman"/>
          <w:color w:val="000000"/>
          <w:sz w:val="28"/>
          <w:szCs w:val="28"/>
          <w:lang w:eastAsia="en-US"/>
        </w:rPr>
      </w:pPr>
    </w:p>
    <w:p w14:paraId="1EDC6AFF" w14:textId="7D2046FF" w:rsidR="00FD5F28" w:rsidRDefault="00FD5F28" w:rsidP="005D361F">
      <w:pPr>
        <w:ind w:firstLine="709"/>
        <w:jc w:val="both"/>
        <w:rPr>
          <w:rFonts w:ascii="Times New Roman" w:eastAsia="Calibri" w:hAnsi="Times New Roman" w:cs="Times New Roman"/>
          <w:color w:val="000000"/>
          <w:sz w:val="28"/>
          <w:szCs w:val="28"/>
          <w:lang w:eastAsia="en-US"/>
        </w:rPr>
      </w:pPr>
    </w:p>
    <w:p w14:paraId="5A5092B5" w14:textId="77777777" w:rsidR="00FD5F28" w:rsidRPr="005D361F" w:rsidRDefault="00FD5F28" w:rsidP="005D361F">
      <w:pPr>
        <w:ind w:firstLine="709"/>
        <w:jc w:val="both"/>
        <w:rPr>
          <w:rFonts w:ascii="Times New Roman" w:eastAsia="Calibri" w:hAnsi="Times New Roman" w:cs="Times New Roman"/>
          <w:color w:val="000000"/>
          <w:sz w:val="28"/>
          <w:szCs w:val="28"/>
          <w:lang w:eastAsia="en-US"/>
        </w:rPr>
      </w:pPr>
    </w:p>
    <w:p w14:paraId="4E1132BD" w14:textId="77777777" w:rsidR="005D361F" w:rsidRDefault="005D361F" w:rsidP="005D361F">
      <w:pPr>
        <w:ind w:firstLine="709"/>
        <w:jc w:val="both"/>
        <w:rPr>
          <w:rFonts w:ascii="Times New Roman" w:eastAsia="Times New Roman" w:hAnsi="Times New Roman" w:cs="Times New Roman"/>
          <w:b/>
          <w:color w:val="000000"/>
          <w:sz w:val="28"/>
          <w:szCs w:val="28"/>
          <w:lang w:eastAsia="en-US"/>
        </w:rPr>
      </w:pPr>
    </w:p>
    <w:p w14:paraId="54D1BFE8" w14:textId="26FBE6C9" w:rsidR="005D361F" w:rsidRDefault="005D361F" w:rsidP="005D361F">
      <w:pPr>
        <w:ind w:firstLine="709"/>
        <w:jc w:val="center"/>
        <w:rPr>
          <w:rFonts w:ascii="Times New Roman" w:eastAsia="Times New Roman" w:hAnsi="Times New Roman" w:cs="Times New Roman"/>
          <w:b/>
          <w:color w:val="000000"/>
          <w:sz w:val="28"/>
          <w:szCs w:val="28"/>
          <w:lang w:eastAsia="en-US"/>
        </w:rPr>
      </w:pPr>
      <w:r w:rsidRPr="005D361F">
        <w:rPr>
          <w:rFonts w:ascii="Times New Roman" w:eastAsia="Times New Roman" w:hAnsi="Times New Roman" w:cs="Times New Roman"/>
          <w:b/>
          <w:color w:val="000000"/>
          <w:sz w:val="28"/>
          <w:szCs w:val="28"/>
          <w:lang w:eastAsia="en-US"/>
        </w:rPr>
        <w:t>ES finansējuma atbalsts</w:t>
      </w:r>
    </w:p>
    <w:p w14:paraId="28D1709B" w14:textId="77777777" w:rsidR="005D361F" w:rsidRPr="005D361F" w:rsidRDefault="005D361F" w:rsidP="005D361F">
      <w:pPr>
        <w:ind w:firstLine="709"/>
        <w:jc w:val="center"/>
        <w:rPr>
          <w:rFonts w:ascii="Times New Roman" w:eastAsia="Times New Roman" w:hAnsi="Times New Roman" w:cs="Times New Roman"/>
          <w:b/>
          <w:color w:val="000000"/>
          <w:sz w:val="28"/>
          <w:szCs w:val="28"/>
          <w:lang w:eastAsia="en-US"/>
        </w:rPr>
      </w:pPr>
    </w:p>
    <w:p w14:paraId="0DBC0672" w14:textId="7326BCD4" w:rsidR="005D361F" w:rsidRDefault="005D361F" w:rsidP="005D361F">
      <w:pPr>
        <w:ind w:firstLine="709"/>
        <w:jc w:val="both"/>
        <w:rPr>
          <w:rFonts w:ascii="Times New Roman" w:eastAsia="Times New Roman" w:hAnsi="Times New Roman" w:cs="Times New Roman"/>
          <w:color w:val="000000"/>
          <w:sz w:val="28"/>
          <w:szCs w:val="28"/>
          <w:lang w:eastAsia="en-US"/>
        </w:rPr>
      </w:pPr>
      <w:r w:rsidRPr="005D361F">
        <w:rPr>
          <w:rFonts w:ascii="Times New Roman" w:eastAsia="Times New Roman" w:hAnsi="Times New Roman" w:cs="Times New Roman"/>
          <w:color w:val="000000"/>
          <w:sz w:val="28"/>
          <w:szCs w:val="28"/>
          <w:lang w:eastAsia="en-US"/>
        </w:rPr>
        <w:t xml:space="preserve">Ar mērķi nodrošināt iespēju vieglāk un ātrāk reaģēt, mazinot Covid-19 izraisītās sekas, ES fondu regulu grozījumi ļauj dalībvalstīm pārstrukturēt investīcijas, paplašinot izdevumu </w:t>
      </w:r>
      <w:r w:rsidRPr="005D361F">
        <w:rPr>
          <w:rFonts w:ascii="Times New Roman" w:eastAsia="Times New Roman" w:hAnsi="Times New Roman" w:cs="Times New Roman"/>
          <w:noProof/>
          <w:color w:val="000000"/>
          <w:sz w:val="28"/>
          <w:szCs w:val="28"/>
          <w:lang w:eastAsia="en-US"/>
        </w:rPr>
        <w:t>attiecināmības tvērumu</w:t>
      </w:r>
      <w:r w:rsidRPr="005D361F">
        <w:rPr>
          <w:rFonts w:ascii="Times New Roman" w:eastAsia="Times New Roman" w:hAnsi="Times New Roman" w:cs="Times New Roman"/>
          <w:color w:val="000000"/>
          <w:sz w:val="28"/>
          <w:szCs w:val="28"/>
          <w:lang w:eastAsia="en-US"/>
        </w:rPr>
        <w:t xml:space="preserve"> un pieļaujot dalībvalstu ES fondu darbības programmu grozījumus pirms EK oficiāla lēmuma, tādējādi tika rosināts pārdalīt 496 milj. </w:t>
      </w:r>
      <w:r w:rsidRPr="005D361F">
        <w:rPr>
          <w:rFonts w:ascii="Times New Roman" w:eastAsia="Times New Roman" w:hAnsi="Times New Roman" w:cs="Times New Roman"/>
          <w:i/>
          <w:noProof/>
          <w:color w:val="000000"/>
          <w:sz w:val="28"/>
          <w:szCs w:val="28"/>
          <w:lang w:eastAsia="en-US"/>
        </w:rPr>
        <w:t>euro</w:t>
      </w:r>
      <w:r w:rsidRPr="005D361F">
        <w:rPr>
          <w:rFonts w:ascii="Times New Roman" w:eastAsia="Times New Roman" w:hAnsi="Times New Roman" w:cs="Times New Roman"/>
          <w:noProof/>
          <w:color w:val="000000"/>
          <w:sz w:val="28"/>
          <w:szCs w:val="28"/>
          <w:lang w:eastAsia="en-US"/>
        </w:rPr>
        <w:t xml:space="preserve">. Vēl valdība nolēma atļaut uzņemties papildus saistības projektu īstenošanai “virssaistību” veidā un palielināt investīcijas vidējā termiņā ES fondu un lauksaimniecības fondu projektiem, tādējādi </w:t>
      </w:r>
      <w:r w:rsidRPr="005D361F">
        <w:rPr>
          <w:rFonts w:ascii="Times New Roman" w:eastAsia="Times New Roman" w:hAnsi="Times New Roman" w:cs="Times New Roman"/>
          <w:color w:val="000000"/>
          <w:sz w:val="28"/>
          <w:szCs w:val="28"/>
          <w:lang w:eastAsia="en-US"/>
        </w:rPr>
        <w:t>nodrošinot kopējās ES fondu finansējuma “aploksnes” izlietojumu.</w:t>
      </w:r>
    </w:p>
    <w:p w14:paraId="3026FFFC" w14:textId="77777777" w:rsidR="005D361F" w:rsidRPr="005D361F" w:rsidRDefault="005D361F" w:rsidP="005D361F">
      <w:pPr>
        <w:ind w:firstLine="709"/>
        <w:jc w:val="both"/>
        <w:rPr>
          <w:rFonts w:ascii="Times New Roman" w:eastAsia="Times New Roman" w:hAnsi="Times New Roman" w:cs="Times New Roman"/>
          <w:b/>
          <w:sz w:val="36"/>
          <w:szCs w:val="36"/>
          <w:lang w:eastAsia="en-US"/>
        </w:rPr>
      </w:pPr>
    </w:p>
    <w:p w14:paraId="014FEAC1" w14:textId="77777777" w:rsidR="005D361F" w:rsidRPr="005D361F" w:rsidRDefault="005D361F" w:rsidP="005D361F">
      <w:pPr>
        <w:ind w:firstLine="709"/>
        <w:jc w:val="right"/>
        <w:rPr>
          <w:rFonts w:ascii="Times New Roman" w:eastAsia="Times New Roman" w:hAnsi="Times New Roman" w:cs="Times New Roman"/>
          <w:sz w:val="24"/>
          <w:szCs w:val="20"/>
          <w:lang w:eastAsia="en-US"/>
        </w:rPr>
      </w:pPr>
      <w:r w:rsidRPr="005D361F">
        <w:rPr>
          <w:rFonts w:ascii="Times New Roman" w:eastAsia="Calibri" w:hAnsi="Times New Roman" w:cs="Times New Roman"/>
          <w:b/>
          <w:i/>
          <w:sz w:val="24"/>
          <w:szCs w:val="24"/>
          <w:lang w:eastAsia="en-US"/>
        </w:rPr>
        <w:t>2.4.tabula. Valdības apstiprinātie atbalsta pasākumi Covid-19 izraisītās krīzes seku mazināšanai tautsaimniecībā un to fiskālā ietekme, % no IKP un milj</w:t>
      </w:r>
      <w:r w:rsidRPr="005D361F">
        <w:rPr>
          <w:rFonts w:ascii="Times New Roman" w:eastAsia="Calibri" w:hAnsi="Times New Roman" w:cs="Times New Roman"/>
          <w:b/>
          <w:i/>
          <w:noProof/>
          <w:sz w:val="24"/>
          <w:szCs w:val="24"/>
          <w:lang w:eastAsia="en-US"/>
        </w:rPr>
        <w:t>. euro</w:t>
      </w:r>
    </w:p>
    <w:tbl>
      <w:tblPr>
        <w:tblStyle w:val="TableGrid3"/>
        <w:tblW w:w="9168" w:type="dxa"/>
        <w:jc w:val="center"/>
        <w:tblLayout w:type="fixed"/>
        <w:tblLook w:val="04A0" w:firstRow="1" w:lastRow="0" w:firstColumn="1" w:lastColumn="0" w:noHBand="0" w:noVBand="1"/>
      </w:tblPr>
      <w:tblGrid>
        <w:gridCol w:w="3539"/>
        <w:gridCol w:w="1418"/>
        <w:gridCol w:w="850"/>
        <w:gridCol w:w="709"/>
        <w:gridCol w:w="709"/>
        <w:gridCol w:w="708"/>
        <w:gridCol w:w="1235"/>
      </w:tblGrid>
      <w:tr w:rsidR="005D361F" w:rsidRPr="00294F87" w14:paraId="55C25AEB" w14:textId="77777777" w:rsidTr="005D361F">
        <w:trPr>
          <w:trHeight w:val="250"/>
          <w:jc w:val="center"/>
        </w:trPr>
        <w:tc>
          <w:tcPr>
            <w:tcW w:w="3539" w:type="dxa"/>
            <w:vMerge w:val="restart"/>
            <w:shd w:val="clear" w:color="auto" w:fill="95B3D7"/>
            <w:vAlign w:val="center"/>
            <w:hideMark/>
          </w:tcPr>
          <w:p w14:paraId="71EDAF73" w14:textId="77777777" w:rsidR="005D361F" w:rsidRPr="00294F87" w:rsidRDefault="005D361F" w:rsidP="005D361F">
            <w:pPr>
              <w:ind w:firstLine="709"/>
              <w:jc w:val="both"/>
              <w:rPr>
                <w:b/>
                <w:bCs/>
                <w:color w:val="000000"/>
                <w:highlight w:val="yellow"/>
                <w:lang w:eastAsia="en-US"/>
              </w:rPr>
            </w:pPr>
          </w:p>
        </w:tc>
        <w:tc>
          <w:tcPr>
            <w:tcW w:w="1418" w:type="dxa"/>
            <w:vMerge w:val="restart"/>
            <w:shd w:val="clear" w:color="auto" w:fill="95B3D7"/>
            <w:vAlign w:val="center"/>
            <w:hideMark/>
          </w:tcPr>
          <w:p w14:paraId="4670B79A" w14:textId="77777777" w:rsidR="005D361F" w:rsidRPr="00294F87" w:rsidRDefault="005D361F" w:rsidP="005D361F">
            <w:pPr>
              <w:jc w:val="center"/>
              <w:rPr>
                <w:b/>
                <w:bCs/>
                <w:noProof/>
                <w:color w:val="000000"/>
                <w:lang w:eastAsia="en-US"/>
              </w:rPr>
            </w:pPr>
            <w:r w:rsidRPr="00294F87">
              <w:rPr>
                <w:b/>
                <w:bCs/>
                <w:noProof/>
                <w:color w:val="000000"/>
                <w:lang w:eastAsia="en-US"/>
              </w:rPr>
              <w:t xml:space="preserve">Apstiprinātais atbalsts, milj. </w:t>
            </w:r>
            <w:r w:rsidRPr="00294F87">
              <w:rPr>
                <w:b/>
                <w:bCs/>
                <w:i/>
                <w:noProof/>
                <w:color w:val="000000"/>
                <w:lang w:eastAsia="en-US"/>
              </w:rPr>
              <w:t>euro</w:t>
            </w:r>
            <w:r w:rsidRPr="00294F87">
              <w:rPr>
                <w:b/>
                <w:bCs/>
                <w:noProof/>
                <w:color w:val="000000"/>
                <w:lang w:eastAsia="en-US"/>
              </w:rPr>
              <w:t xml:space="preserve"> </w:t>
            </w:r>
          </w:p>
          <w:p w14:paraId="6D4078D1" w14:textId="77777777" w:rsidR="005D361F" w:rsidRPr="00294F87" w:rsidRDefault="005D361F" w:rsidP="005D361F">
            <w:pPr>
              <w:jc w:val="center"/>
              <w:rPr>
                <w:b/>
                <w:bCs/>
                <w:noProof/>
                <w:color w:val="000000"/>
                <w:lang w:eastAsia="en-US"/>
              </w:rPr>
            </w:pPr>
            <w:r w:rsidRPr="00294F87">
              <w:rPr>
                <w:b/>
                <w:bCs/>
                <w:noProof/>
                <w:color w:val="000000"/>
                <w:lang w:eastAsia="en-US"/>
              </w:rPr>
              <w:t>(% no IKP)</w:t>
            </w:r>
          </w:p>
        </w:tc>
        <w:tc>
          <w:tcPr>
            <w:tcW w:w="2976" w:type="dxa"/>
            <w:gridSpan w:val="4"/>
            <w:shd w:val="clear" w:color="auto" w:fill="95B3D7"/>
            <w:vAlign w:val="center"/>
            <w:hideMark/>
          </w:tcPr>
          <w:p w14:paraId="5D67DD04" w14:textId="77777777" w:rsidR="005D361F" w:rsidRPr="00294F87" w:rsidRDefault="005D361F" w:rsidP="005D361F">
            <w:pPr>
              <w:jc w:val="center"/>
              <w:rPr>
                <w:b/>
                <w:bCs/>
                <w:noProof/>
                <w:color w:val="000000"/>
                <w:lang w:eastAsia="en-US"/>
              </w:rPr>
            </w:pPr>
            <w:r w:rsidRPr="00294F87">
              <w:rPr>
                <w:b/>
                <w:bCs/>
                <w:noProof/>
                <w:color w:val="000000"/>
                <w:lang w:eastAsia="en-US"/>
              </w:rPr>
              <w:t xml:space="preserve">Ietekme uz vispārējās valdības budžeta bilanci, milj. </w:t>
            </w:r>
            <w:r w:rsidRPr="00294F87">
              <w:rPr>
                <w:b/>
                <w:bCs/>
                <w:i/>
                <w:noProof/>
                <w:color w:val="000000"/>
                <w:lang w:eastAsia="en-US"/>
              </w:rPr>
              <w:t>euro</w:t>
            </w:r>
          </w:p>
        </w:tc>
        <w:tc>
          <w:tcPr>
            <w:tcW w:w="1235" w:type="dxa"/>
            <w:shd w:val="clear" w:color="auto" w:fill="95B3D7"/>
            <w:vAlign w:val="center"/>
            <w:hideMark/>
          </w:tcPr>
          <w:p w14:paraId="7496BC4A" w14:textId="77777777" w:rsidR="005D361F" w:rsidRPr="00294F87" w:rsidRDefault="005D361F" w:rsidP="005D361F">
            <w:pPr>
              <w:jc w:val="center"/>
              <w:rPr>
                <w:b/>
                <w:noProof/>
                <w:color w:val="000000"/>
                <w:lang w:eastAsia="en-US"/>
              </w:rPr>
            </w:pPr>
            <w:r w:rsidRPr="00294F87">
              <w:rPr>
                <w:b/>
                <w:noProof/>
                <w:color w:val="000000"/>
                <w:lang w:eastAsia="en-US"/>
              </w:rPr>
              <w:t xml:space="preserve">Faktiskā izpilde 20.09.2020., milj. </w:t>
            </w:r>
            <w:r w:rsidRPr="00294F87">
              <w:rPr>
                <w:b/>
                <w:i/>
                <w:noProof/>
                <w:color w:val="000000"/>
                <w:lang w:eastAsia="en-US"/>
              </w:rPr>
              <w:t>euro</w:t>
            </w:r>
            <w:r w:rsidRPr="00294F87">
              <w:rPr>
                <w:b/>
                <w:noProof/>
                <w:color w:val="000000"/>
                <w:lang w:eastAsia="en-US"/>
              </w:rPr>
              <w:t>*</w:t>
            </w:r>
          </w:p>
        </w:tc>
      </w:tr>
      <w:tr w:rsidR="005D361F" w:rsidRPr="00294F87" w14:paraId="341D2725" w14:textId="77777777" w:rsidTr="005D361F">
        <w:trPr>
          <w:trHeight w:val="229"/>
          <w:jc w:val="center"/>
        </w:trPr>
        <w:tc>
          <w:tcPr>
            <w:tcW w:w="3539" w:type="dxa"/>
            <w:vMerge/>
            <w:shd w:val="clear" w:color="auto" w:fill="95B3D7"/>
            <w:vAlign w:val="center"/>
            <w:hideMark/>
          </w:tcPr>
          <w:p w14:paraId="1C26C2EA" w14:textId="77777777" w:rsidR="005D361F" w:rsidRPr="00294F87" w:rsidRDefault="005D361F" w:rsidP="005D361F">
            <w:pPr>
              <w:ind w:firstLine="709"/>
              <w:jc w:val="both"/>
              <w:rPr>
                <w:b/>
                <w:bCs/>
                <w:color w:val="000000"/>
                <w:highlight w:val="yellow"/>
                <w:lang w:eastAsia="en-US"/>
              </w:rPr>
            </w:pPr>
          </w:p>
        </w:tc>
        <w:tc>
          <w:tcPr>
            <w:tcW w:w="1418" w:type="dxa"/>
            <w:vMerge/>
            <w:shd w:val="clear" w:color="auto" w:fill="95B3D7"/>
            <w:vAlign w:val="center"/>
            <w:hideMark/>
          </w:tcPr>
          <w:p w14:paraId="161040CF" w14:textId="77777777" w:rsidR="005D361F" w:rsidRPr="00294F87" w:rsidRDefault="005D361F" w:rsidP="005D361F">
            <w:pPr>
              <w:ind w:firstLine="709"/>
              <w:jc w:val="both"/>
              <w:rPr>
                <w:b/>
                <w:bCs/>
                <w:noProof/>
                <w:color w:val="000000"/>
                <w:lang w:eastAsia="en-US"/>
              </w:rPr>
            </w:pPr>
          </w:p>
        </w:tc>
        <w:tc>
          <w:tcPr>
            <w:tcW w:w="850" w:type="dxa"/>
            <w:shd w:val="clear" w:color="auto" w:fill="95B3D7"/>
            <w:vAlign w:val="center"/>
            <w:hideMark/>
          </w:tcPr>
          <w:p w14:paraId="089308B7" w14:textId="77777777" w:rsidR="005D361F" w:rsidRPr="00294F87" w:rsidRDefault="005D361F" w:rsidP="005D361F">
            <w:pPr>
              <w:jc w:val="center"/>
              <w:rPr>
                <w:b/>
                <w:bCs/>
                <w:noProof/>
                <w:color w:val="000000"/>
                <w:lang w:eastAsia="en-US"/>
              </w:rPr>
            </w:pPr>
            <w:r w:rsidRPr="00294F87">
              <w:rPr>
                <w:b/>
                <w:bCs/>
                <w:noProof/>
                <w:color w:val="000000"/>
                <w:lang w:eastAsia="en-US"/>
              </w:rPr>
              <w:t>2020</w:t>
            </w:r>
          </w:p>
        </w:tc>
        <w:tc>
          <w:tcPr>
            <w:tcW w:w="709" w:type="dxa"/>
            <w:shd w:val="clear" w:color="auto" w:fill="95B3D7"/>
            <w:vAlign w:val="center"/>
            <w:hideMark/>
          </w:tcPr>
          <w:p w14:paraId="0BC1FAD9" w14:textId="77777777" w:rsidR="005D361F" w:rsidRPr="00294F87" w:rsidRDefault="005D361F" w:rsidP="005D361F">
            <w:pPr>
              <w:jc w:val="center"/>
              <w:rPr>
                <w:b/>
                <w:bCs/>
                <w:noProof/>
                <w:color w:val="000000"/>
                <w:lang w:eastAsia="en-US"/>
              </w:rPr>
            </w:pPr>
            <w:r w:rsidRPr="00294F87">
              <w:rPr>
                <w:b/>
                <w:bCs/>
                <w:noProof/>
                <w:color w:val="000000"/>
                <w:lang w:eastAsia="en-US"/>
              </w:rPr>
              <w:t>2021</w:t>
            </w:r>
          </w:p>
        </w:tc>
        <w:tc>
          <w:tcPr>
            <w:tcW w:w="709" w:type="dxa"/>
            <w:shd w:val="clear" w:color="auto" w:fill="95B3D7"/>
            <w:vAlign w:val="center"/>
            <w:hideMark/>
          </w:tcPr>
          <w:p w14:paraId="2BC10A4F" w14:textId="77777777" w:rsidR="005D361F" w:rsidRPr="00294F87" w:rsidRDefault="005D361F" w:rsidP="005D361F">
            <w:pPr>
              <w:jc w:val="center"/>
              <w:rPr>
                <w:b/>
                <w:bCs/>
                <w:noProof/>
                <w:color w:val="000000"/>
                <w:lang w:eastAsia="en-US"/>
              </w:rPr>
            </w:pPr>
            <w:r w:rsidRPr="00294F87">
              <w:rPr>
                <w:b/>
                <w:bCs/>
                <w:noProof/>
                <w:color w:val="000000"/>
                <w:lang w:eastAsia="en-US"/>
              </w:rPr>
              <w:t>2022</w:t>
            </w:r>
          </w:p>
        </w:tc>
        <w:tc>
          <w:tcPr>
            <w:tcW w:w="708" w:type="dxa"/>
            <w:shd w:val="clear" w:color="auto" w:fill="95B3D7"/>
            <w:vAlign w:val="center"/>
            <w:hideMark/>
          </w:tcPr>
          <w:p w14:paraId="27B54A5F" w14:textId="77777777" w:rsidR="005D361F" w:rsidRPr="00294F87" w:rsidRDefault="005D361F" w:rsidP="005D361F">
            <w:pPr>
              <w:jc w:val="center"/>
              <w:rPr>
                <w:b/>
                <w:bCs/>
                <w:noProof/>
                <w:color w:val="000000"/>
                <w:lang w:eastAsia="en-US"/>
              </w:rPr>
            </w:pPr>
            <w:r w:rsidRPr="00294F87">
              <w:rPr>
                <w:b/>
                <w:bCs/>
                <w:noProof/>
                <w:color w:val="000000"/>
                <w:lang w:eastAsia="en-US"/>
              </w:rPr>
              <w:t>2023</w:t>
            </w:r>
          </w:p>
        </w:tc>
        <w:tc>
          <w:tcPr>
            <w:tcW w:w="1235" w:type="dxa"/>
            <w:shd w:val="clear" w:color="auto" w:fill="95B3D7"/>
            <w:vAlign w:val="center"/>
            <w:hideMark/>
          </w:tcPr>
          <w:p w14:paraId="70F2F7E6" w14:textId="77777777" w:rsidR="005D361F" w:rsidRPr="00294F87" w:rsidRDefault="005D361F" w:rsidP="005D361F">
            <w:pPr>
              <w:jc w:val="center"/>
              <w:rPr>
                <w:b/>
                <w:bCs/>
                <w:noProof/>
                <w:color w:val="000000"/>
                <w:lang w:eastAsia="en-US"/>
              </w:rPr>
            </w:pPr>
            <w:r w:rsidRPr="00294F87">
              <w:rPr>
                <w:b/>
                <w:bCs/>
                <w:noProof/>
                <w:color w:val="000000"/>
                <w:lang w:eastAsia="en-US"/>
              </w:rPr>
              <w:t>2020</w:t>
            </w:r>
          </w:p>
        </w:tc>
      </w:tr>
      <w:tr w:rsidR="005D361F" w:rsidRPr="00294F87" w14:paraId="0ED4335E" w14:textId="77777777" w:rsidTr="005D361F">
        <w:trPr>
          <w:trHeight w:val="229"/>
          <w:jc w:val="center"/>
        </w:trPr>
        <w:tc>
          <w:tcPr>
            <w:tcW w:w="3539" w:type="dxa"/>
            <w:shd w:val="clear" w:color="auto" w:fill="auto"/>
            <w:vAlign w:val="center"/>
            <w:hideMark/>
          </w:tcPr>
          <w:p w14:paraId="5D738231" w14:textId="77777777" w:rsidR="005D361F" w:rsidRPr="00294F87" w:rsidRDefault="005D361F" w:rsidP="005D361F">
            <w:pPr>
              <w:jc w:val="right"/>
              <w:rPr>
                <w:b/>
                <w:bCs/>
                <w:color w:val="000000"/>
                <w:lang w:eastAsia="en-US"/>
              </w:rPr>
            </w:pPr>
            <w:r w:rsidRPr="00294F87">
              <w:rPr>
                <w:b/>
                <w:bCs/>
                <w:color w:val="000000"/>
                <w:lang w:eastAsia="en-US"/>
              </w:rPr>
              <w:t>Atbalsts kopā</w:t>
            </w:r>
          </w:p>
        </w:tc>
        <w:tc>
          <w:tcPr>
            <w:tcW w:w="1418" w:type="dxa"/>
            <w:shd w:val="clear" w:color="auto" w:fill="auto"/>
            <w:vAlign w:val="center"/>
            <w:hideMark/>
          </w:tcPr>
          <w:p w14:paraId="33568424" w14:textId="77777777" w:rsidR="005D361F" w:rsidRPr="00294F87" w:rsidRDefault="005D361F" w:rsidP="005D361F">
            <w:pPr>
              <w:jc w:val="center"/>
              <w:rPr>
                <w:b/>
                <w:bCs/>
                <w:color w:val="000000"/>
                <w:lang w:eastAsia="en-US"/>
              </w:rPr>
            </w:pPr>
            <w:r w:rsidRPr="00294F87">
              <w:rPr>
                <w:b/>
                <w:bCs/>
                <w:color w:val="000000"/>
                <w:lang w:eastAsia="en-US"/>
              </w:rPr>
              <w:t xml:space="preserve">3 138,9 </w:t>
            </w:r>
          </w:p>
          <w:p w14:paraId="191839F7" w14:textId="77777777" w:rsidR="005D361F" w:rsidRPr="00294F87" w:rsidRDefault="005D361F" w:rsidP="005D361F">
            <w:pPr>
              <w:jc w:val="center"/>
              <w:rPr>
                <w:b/>
                <w:bCs/>
                <w:color w:val="000000"/>
                <w:lang w:eastAsia="en-US"/>
              </w:rPr>
            </w:pPr>
            <w:r w:rsidRPr="00294F87">
              <w:rPr>
                <w:b/>
                <w:bCs/>
                <w:color w:val="000000"/>
                <w:lang w:eastAsia="en-US"/>
              </w:rPr>
              <w:t>(11,1)</w:t>
            </w:r>
          </w:p>
        </w:tc>
        <w:tc>
          <w:tcPr>
            <w:tcW w:w="850" w:type="dxa"/>
            <w:shd w:val="clear" w:color="auto" w:fill="auto"/>
            <w:vAlign w:val="center"/>
            <w:hideMark/>
          </w:tcPr>
          <w:p w14:paraId="517466E3" w14:textId="77777777" w:rsidR="005D361F" w:rsidRPr="00294F87" w:rsidRDefault="005D361F" w:rsidP="005D361F">
            <w:pPr>
              <w:jc w:val="center"/>
              <w:rPr>
                <w:b/>
                <w:bCs/>
                <w:color w:val="000000"/>
                <w:lang w:eastAsia="en-US"/>
              </w:rPr>
            </w:pPr>
            <w:r w:rsidRPr="00294F87">
              <w:rPr>
                <w:b/>
                <w:bCs/>
                <w:color w:val="000000"/>
                <w:lang w:eastAsia="en-US"/>
              </w:rPr>
              <w:t>-1 212,4</w:t>
            </w:r>
          </w:p>
        </w:tc>
        <w:tc>
          <w:tcPr>
            <w:tcW w:w="709" w:type="dxa"/>
            <w:shd w:val="clear" w:color="auto" w:fill="auto"/>
            <w:vAlign w:val="center"/>
            <w:hideMark/>
          </w:tcPr>
          <w:p w14:paraId="799BE81B" w14:textId="77777777" w:rsidR="005D361F" w:rsidRPr="00294F87" w:rsidRDefault="005D361F" w:rsidP="005D361F">
            <w:pPr>
              <w:jc w:val="center"/>
              <w:rPr>
                <w:b/>
                <w:bCs/>
                <w:color w:val="000000"/>
                <w:lang w:eastAsia="en-US"/>
              </w:rPr>
            </w:pPr>
            <w:r w:rsidRPr="00294F87">
              <w:rPr>
                <w:b/>
                <w:bCs/>
                <w:color w:val="000000"/>
                <w:lang w:eastAsia="en-US"/>
              </w:rPr>
              <w:t>-149,8</w:t>
            </w:r>
          </w:p>
        </w:tc>
        <w:tc>
          <w:tcPr>
            <w:tcW w:w="709" w:type="dxa"/>
            <w:shd w:val="clear" w:color="auto" w:fill="auto"/>
            <w:vAlign w:val="center"/>
            <w:hideMark/>
          </w:tcPr>
          <w:p w14:paraId="6D24453F" w14:textId="77777777" w:rsidR="005D361F" w:rsidRPr="00294F87" w:rsidRDefault="005D361F" w:rsidP="005D361F">
            <w:pPr>
              <w:jc w:val="center"/>
              <w:rPr>
                <w:b/>
                <w:bCs/>
                <w:color w:val="000000"/>
                <w:lang w:eastAsia="en-US"/>
              </w:rPr>
            </w:pPr>
            <w:r w:rsidRPr="00294F87">
              <w:rPr>
                <w:b/>
                <w:bCs/>
                <w:color w:val="000000"/>
                <w:lang w:eastAsia="en-US"/>
              </w:rPr>
              <w:t>-5,5</w:t>
            </w:r>
          </w:p>
        </w:tc>
        <w:tc>
          <w:tcPr>
            <w:tcW w:w="708" w:type="dxa"/>
            <w:shd w:val="clear" w:color="auto" w:fill="auto"/>
            <w:vAlign w:val="center"/>
            <w:hideMark/>
          </w:tcPr>
          <w:p w14:paraId="23818264" w14:textId="77777777" w:rsidR="005D361F" w:rsidRPr="00294F87" w:rsidRDefault="005D361F" w:rsidP="005D361F">
            <w:pPr>
              <w:jc w:val="center"/>
              <w:rPr>
                <w:b/>
                <w:bCs/>
                <w:color w:val="000000"/>
                <w:lang w:eastAsia="en-US"/>
              </w:rPr>
            </w:pPr>
            <w:r w:rsidRPr="00294F87">
              <w:rPr>
                <w:b/>
                <w:bCs/>
                <w:color w:val="000000"/>
                <w:lang w:eastAsia="en-US"/>
              </w:rPr>
              <w:t>-1,0</w:t>
            </w:r>
          </w:p>
        </w:tc>
        <w:tc>
          <w:tcPr>
            <w:tcW w:w="1235" w:type="dxa"/>
            <w:shd w:val="clear" w:color="auto" w:fill="auto"/>
            <w:vAlign w:val="center"/>
            <w:hideMark/>
          </w:tcPr>
          <w:p w14:paraId="3A73FD96" w14:textId="77777777" w:rsidR="005D361F" w:rsidRPr="00294F87" w:rsidRDefault="005D361F" w:rsidP="005D361F">
            <w:pPr>
              <w:jc w:val="center"/>
              <w:rPr>
                <w:b/>
                <w:color w:val="000000"/>
                <w:lang w:eastAsia="en-US"/>
              </w:rPr>
            </w:pPr>
            <w:r w:rsidRPr="00294F87">
              <w:rPr>
                <w:b/>
                <w:color w:val="000000"/>
                <w:lang w:eastAsia="en-US"/>
              </w:rPr>
              <w:t>-718,4</w:t>
            </w:r>
          </w:p>
        </w:tc>
      </w:tr>
      <w:tr w:rsidR="005D361F" w:rsidRPr="00294F87" w14:paraId="61ACD427" w14:textId="77777777" w:rsidTr="005D361F">
        <w:trPr>
          <w:trHeight w:val="229"/>
          <w:jc w:val="center"/>
        </w:trPr>
        <w:tc>
          <w:tcPr>
            <w:tcW w:w="3539" w:type="dxa"/>
            <w:shd w:val="clear" w:color="auto" w:fill="DBE5F1"/>
            <w:noWrap/>
            <w:vAlign w:val="center"/>
            <w:hideMark/>
          </w:tcPr>
          <w:p w14:paraId="7DC368BF" w14:textId="77777777" w:rsidR="005D361F" w:rsidRPr="00294F87" w:rsidRDefault="005D361F" w:rsidP="005D361F">
            <w:pPr>
              <w:jc w:val="both"/>
              <w:rPr>
                <w:b/>
                <w:bCs/>
                <w:color w:val="000000"/>
                <w:lang w:eastAsia="en-US"/>
              </w:rPr>
            </w:pPr>
            <w:r w:rsidRPr="00294F87">
              <w:rPr>
                <w:b/>
                <w:bCs/>
                <w:color w:val="000000"/>
                <w:lang w:eastAsia="en-US"/>
              </w:rPr>
              <w:t>Atbalsts nodokļu jomā</w:t>
            </w:r>
          </w:p>
        </w:tc>
        <w:tc>
          <w:tcPr>
            <w:tcW w:w="1418" w:type="dxa"/>
            <w:shd w:val="clear" w:color="auto" w:fill="DBE5F1"/>
            <w:vAlign w:val="center"/>
            <w:hideMark/>
          </w:tcPr>
          <w:p w14:paraId="4C967227" w14:textId="77777777" w:rsidR="005D361F" w:rsidRPr="00294F87" w:rsidRDefault="005D361F" w:rsidP="005D361F">
            <w:pPr>
              <w:jc w:val="center"/>
              <w:rPr>
                <w:b/>
                <w:bCs/>
                <w:color w:val="000000"/>
                <w:lang w:eastAsia="en-US"/>
              </w:rPr>
            </w:pPr>
            <w:r w:rsidRPr="00294F87">
              <w:rPr>
                <w:b/>
                <w:bCs/>
                <w:color w:val="000000"/>
                <w:lang w:eastAsia="en-US"/>
              </w:rPr>
              <w:t xml:space="preserve">234,2 </w:t>
            </w:r>
          </w:p>
          <w:p w14:paraId="42A62B4B" w14:textId="77777777" w:rsidR="005D361F" w:rsidRPr="00294F87" w:rsidRDefault="005D361F" w:rsidP="005D361F">
            <w:pPr>
              <w:jc w:val="center"/>
              <w:rPr>
                <w:b/>
                <w:bCs/>
                <w:color w:val="000000"/>
                <w:lang w:eastAsia="en-US"/>
              </w:rPr>
            </w:pPr>
            <w:r w:rsidRPr="00294F87">
              <w:rPr>
                <w:b/>
                <w:bCs/>
                <w:color w:val="000000"/>
                <w:lang w:eastAsia="en-US"/>
              </w:rPr>
              <w:t>(0,8)</w:t>
            </w:r>
          </w:p>
        </w:tc>
        <w:tc>
          <w:tcPr>
            <w:tcW w:w="850" w:type="dxa"/>
            <w:shd w:val="clear" w:color="auto" w:fill="DBE5F1"/>
            <w:vAlign w:val="center"/>
            <w:hideMark/>
          </w:tcPr>
          <w:p w14:paraId="7BD7B003" w14:textId="77777777" w:rsidR="005D361F" w:rsidRPr="00294F87" w:rsidRDefault="005D361F" w:rsidP="005D361F">
            <w:pPr>
              <w:jc w:val="center"/>
              <w:rPr>
                <w:b/>
                <w:bCs/>
                <w:color w:val="000000"/>
                <w:lang w:eastAsia="en-US"/>
              </w:rPr>
            </w:pPr>
            <w:r w:rsidRPr="00294F87">
              <w:rPr>
                <w:b/>
                <w:bCs/>
                <w:color w:val="000000"/>
                <w:lang w:eastAsia="en-US"/>
              </w:rPr>
              <w:t>-139,9</w:t>
            </w:r>
          </w:p>
        </w:tc>
        <w:tc>
          <w:tcPr>
            <w:tcW w:w="709" w:type="dxa"/>
            <w:shd w:val="clear" w:color="auto" w:fill="DBE5F1"/>
            <w:vAlign w:val="center"/>
            <w:hideMark/>
          </w:tcPr>
          <w:p w14:paraId="1C886624" w14:textId="77777777" w:rsidR="005D361F" w:rsidRPr="00294F87" w:rsidRDefault="005D361F" w:rsidP="005D361F">
            <w:pPr>
              <w:jc w:val="center"/>
              <w:rPr>
                <w:b/>
                <w:bCs/>
                <w:color w:val="000000"/>
                <w:lang w:eastAsia="en-US"/>
              </w:rPr>
            </w:pPr>
            <w:r w:rsidRPr="00294F87">
              <w:rPr>
                <w:b/>
                <w:bCs/>
                <w:color w:val="000000"/>
                <w:lang w:eastAsia="en-US"/>
              </w:rPr>
              <w:t>35,5</w:t>
            </w:r>
          </w:p>
        </w:tc>
        <w:tc>
          <w:tcPr>
            <w:tcW w:w="709" w:type="dxa"/>
            <w:shd w:val="clear" w:color="auto" w:fill="DBE5F1"/>
            <w:vAlign w:val="center"/>
            <w:hideMark/>
          </w:tcPr>
          <w:p w14:paraId="37C34114" w14:textId="77777777" w:rsidR="005D361F" w:rsidRPr="00294F87" w:rsidRDefault="005D361F" w:rsidP="005D361F">
            <w:pPr>
              <w:jc w:val="center"/>
              <w:rPr>
                <w:b/>
                <w:bCs/>
                <w:color w:val="000000"/>
                <w:lang w:eastAsia="en-US"/>
              </w:rPr>
            </w:pPr>
            <w:r w:rsidRPr="00294F87">
              <w:rPr>
                <w:b/>
                <w:bCs/>
                <w:color w:val="000000"/>
                <w:lang w:eastAsia="en-US"/>
              </w:rPr>
              <w:t>1,0</w:t>
            </w:r>
          </w:p>
        </w:tc>
        <w:tc>
          <w:tcPr>
            <w:tcW w:w="708" w:type="dxa"/>
            <w:shd w:val="clear" w:color="auto" w:fill="DBE5F1"/>
            <w:vAlign w:val="center"/>
            <w:hideMark/>
          </w:tcPr>
          <w:p w14:paraId="58A4797A" w14:textId="77777777" w:rsidR="005D361F" w:rsidRPr="00294F87" w:rsidRDefault="005D361F" w:rsidP="005D361F">
            <w:pPr>
              <w:jc w:val="center"/>
              <w:rPr>
                <w:b/>
                <w:bCs/>
                <w:color w:val="000000"/>
                <w:lang w:eastAsia="en-US"/>
              </w:rPr>
            </w:pPr>
            <w:r w:rsidRPr="00294F87">
              <w:rPr>
                <w:b/>
                <w:bCs/>
                <w:color w:val="000000"/>
                <w:lang w:eastAsia="en-US"/>
              </w:rPr>
              <w:t>1,9</w:t>
            </w:r>
          </w:p>
        </w:tc>
        <w:tc>
          <w:tcPr>
            <w:tcW w:w="1235" w:type="dxa"/>
            <w:shd w:val="clear" w:color="auto" w:fill="DBE5F1"/>
            <w:vAlign w:val="center"/>
            <w:hideMark/>
          </w:tcPr>
          <w:p w14:paraId="38D515A9" w14:textId="77777777" w:rsidR="005D361F" w:rsidRPr="00294F87" w:rsidRDefault="005D361F" w:rsidP="005D361F">
            <w:pPr>
              <w:jc w:val="center"/>
              <w:rPr>
                <w:b/>
                <w:bCs/>
                <w:color w:val="000000"/>
                <w:lang w:eastAsia="en-US"/>
              </w:rPr>
            </w:pPr>
            <w:r w:rsidRPr="00294F87">
              <w:rPr>
                <w:b/>
                <w:bCs/>
                <w:color w:val="000000"/>
                <w:lang w:eastAsia="en-US"/>
              </w:rPr>
              <w:t>-77,7</w:t>
            </w:r>
          </w:p>
        </w:tc>
      </w:tr>
      <w:tr w:rsidR="005D361F" w:rsidRPr="00294F87" w14:paraId="138B4BF4" w14:textId="77777777" w:rsidTr="005D361F">
        <w:trPr>
          <w:trHeight w:val="229"/>
          <w:jc w:val="center"/>
        </w:trPr>
        <w:tc>
          <w:tcPr>
            <w:tcW w:w="3539" w:type="dxa"/>
            <w:noWrap/>
            <w:vAlign w:val="center"/>
          </w:tcPr>
          <w:p w14:paraId="3E53BB41" w14:textId="77777777" w:rsidR="005D361F" w:rsidRPr="00294F87" w:rsidRDefault="005D361F" w:rsidP="005D361F">
            <w:pPr>
              <w:jc w:val="right"/>
              <w:rPr>
                <w:bCs/>
                <w:color w:val="000000"/>
                <w:lang w:eastAsia="en-US"/>
              </w:rPr>
            </w:pPr>
            <w:r w:rsidRPr="00294F87">
              <w:rPr>
                <w:bCs/>
                <w:color w:val="000000"/>
                <w:lang w:eastAsia="en-US"/>
              </w:rPr>
              <w:t>Nodokļu samaksas termiņa pagarinājumi</w:t>
            </w:r>
          </w:p>
        </w:tc>
        <w:tc>
          <w:tcPr>
            <w:tcW w:w="1418" w:type="dxa"/>
            <w:vAlign w:val="center"/>
          </w:tcPr>
          <w:p w14:paraId="2D437359" w14:textId="77777777" w:rsidR="005D361F" w:rsidRPr="00294F87" w:rsidRDefault="005D361F" w:rsidP="005D361F">
            <w:pPr>
              <w:jc w:val="center"/>
              <w:rPr>
                <w:bCs/>
                <w:color w:val="000000"/>
                <w:lang w:eastAsia="en-US"/>
              </w:rPr>
            </w:pPr>
            <w:r w:rsidRPr="00294F87">
              <w:rPr>
                <w:bCs/>
                <w:color w:val="000000"/>
                <w:lang w:eastAsia="en-US"/>
              </w:rPr>
              <w:t>139,2</w:t>
            </w:r>
          </w:p>
        </w:tc>
        <w:tc>
          <w:tcPr>
            <w:tcW w:w="850" w:type="dxa"/>
            <w:vAlign w:val="center"/>
          </w:tcPr>
          <w:p w14:paraId="0FACE2CB" w14:textId="77777777" w:rsidR="005D361F" w:rsidRPr="00294F87" w:rsidRDefault="005D361F" w:rsidP="005D361F">
            <w:pPr>
              <w:jc w:val="center"/>
              <w:rPr>
                <w:bCs/>
                <w:color w:val="000000"/>
                <w:lang w:eastAsia="en-US"/>
              </w:rPr>
            </w:pPr>
            <w:r w:rsidRPr="00294F87">
              <w:rPr>
                <w:bCs/>
                <w:color w:val="000000"/>
                <w:lang w:eastAsia="en-US"/>
              </w:rPr>
              <w:t>-44,9</w:t>
            </w:r>
          </w:p>
        </w:tc>
        <w:tc>
          <w:tcPr>
            <w:tcW w:w="709" w:type="dxa"/>
            <w:vAlign w:val="center"/>
          </w:tcPr>
          <w:p w14:paraId="768547D4" w14:textId="77777777" w:rsidR="005D361F" w:rsidRPr="00294F87" w:rsidRDefault="005D361F" w:rsidP="005D361F">
            <w:pPr>
              <w:jc w:val="center"/>
              <w:rPr>
                <w:bCs/>
                <w:color w:val="000000"/>
                <w:lang w:eastAsia="en-US"/>
              </w:rPr>
            </w:pPr>
            <w:r w:rsidRPr="00294F87">
              <w:rPr>
                <w:bCs/>
                <w:color w:val="000000"/>
                <w:lang w:eastAsia="en-US"/>
              </w:rPr>
              <w:t>0,5</w:t>
            </w:r>
          </w:p>
        </w:tc>
        <w:tc>
          <w:tcPr>
            <w:tcW w:w="709" w:type="dxa"/>
            <w:vAlign w:val="center"/>
          </w:tcPr>
          <w:p w14:paraId="72219828" w14:textId="77777777" w:rsidR="005D361F" w:rsidRPr="00294F87" w:rsidRDefault="005D361F" w:rsidP="005D361F">
            <w:pPr>
              <w:jc w:val="center"/>
              <w:rPr>
                <w:bCs/>
                <w:color w:val="000000"/>
                <w:lang w:eastAsia="en-US"/>
              </w:rPr>
            </w:pPr>
            <w:r w:rsidRPr="00294F87">
              <w:rPr>
                <w:bCs/>
                <w:color w:val="000000"/>
                <w:lang w:eastAsia="en-US"/>
              </w:rPr>
              <w:t>1,0</w:t>
            </w:r>
          </w:p>
        </w:tc>
        <w:tc>
          <w:tcPr>
            <w:tcW w:w="708" w:type="dxa"/>
            <w:vAlign w:val="center"/>
          </w:tcPr>
          <w:p w14:paraId="0DD73863" w14:textId="77777777" w:rsidR="005D361F" w:rsidRPr="00294F87" w:rsidRDefault="005D361F" w:rsidP="005D361F">
            <w:pPr>
              <w:jc w:val="center"/>
              <w:rPr>
                <w:bCs/>
                <w:color w:val="000000"/>
                <w:lang w:eastAsia="en-US"/>
              </w:rPr>
            </w:pPr>
            <w:r w:rsidRPr="00294F87">
              <w:rPr>
                <w:bCs/>
                <w:color w:val="000000"/>
                <w:lang w:eastAsia="en-US"/>
              </w:rPr>
              <w:t>1,9</w:t>
            </w:r>
          </w:p>
        </w:tc>
        <w:tc>
          <w:tcPr>
            <w:tcW w:w="1235" w:type="dxa"/>
            <w:vAlign w:val="center"/>
          </w:tcPr>
          <w:p w14:paraId="149AD934" w14:textId="77777777" w:rsidR="005D361F" w:rsidRPr="00294F87" w:rsidRDefault="005D361F" w:rsidP="005D361F">
            <w:pPr>
              <w:jc w:val="center"/>
              <w:rPr>
                <w:bCs/>
                <w:color w:val="000000"/>
                <w:lang w:eastAsia="en-US"/>
              </w:rPr>
            </w:pPr>
            <w:r w:rsidRPr="00294F87">
              <w:rPr>
                <w:bCs/>
                <w:color w:val="000000"/>
                <w:lang w:eastAsia="en-US"/>
              </w:rPr>
              <w:t>-42,7</w:t>
            </w:r>
          </w:p>
        </w:tc>
      </w:tr>
      <w:tr w:rsidR="005D361F" w:rsidRPr="00294F87" w14:paraId="6696096A" w14:textId="77777777" w:rsidTr="005D361F">
        <w:trPr>
          <w:trHeight w:val="229"/>
          <w:jc w:val="center"/>
        </w:trPr>
        <w:tc>
          <w:tcPr>
            <w:tcW w:w="3539" w:type="dxa"/>
            <w:shd w:val="clear" w:color="auto" w:fill="DBE5F1"/>
            <w:noWrap/>
            <w:vAlign w:val="center"/>
            <w:hideMark/>
          </w:tcPr>
          <w:p w14:paraId="61ED7B9F" w14:textId="77777777" w:rsidR="005D361F" w:rsidRPr="00294F87" w:rsidRDefault="005D361F" w:rsidP="005D361F">
            <w:pPr>
              <w:jc w:val="both"/>
              <w:rPr>
                <w:b/>
                <w:bCs/>
                <w:color w:val="000000"/>
                <w:lang w:eastAsia="en-US"/>
              </w:rPr>
            </w:pPr>
            <w:r w:rsidRPr="00294F87">
              <w:rPr>
                <w:b/>
                <w:bCs/>
                <w:color w:val="000000"/>
                <w:lang w:eastAsia="en-US"/>
              </w:rPr>
              <w:t>Atbalsts pabalstu jomā</w:t>
            </w:r>
          </w:p>
        </w:tc>
        <w:tc>
          <w:tcPr>
            <w:tcW w:w="1418" w:type="dxa"/>
            <w:shd w:val="clear" w:color="auto" w:fill="DBE5F1"/>
            <w:vAlign w:val="center"/>
            <w:hideMark/>
          </w:tcPr>
          <w:p w14:paraId="6EAC7480" w14:textId="77777777" w:rsidR="005D361F" w:rsidRPr="00294F87" w:rsidRDefault="005D361F" w:rsidP="005D361F">
            <w:pPr>
              <w:jc w:val="center"/>
              <w:rPr>
                <w:b/>
                <w:bCs/>
                <w:color w:val="000000"/>
                <w:lang w:eastAsia="en-US"/>
              </w:rPr>
            </w:pPr>
            <w:r w:rsidRPr="00294F87">
              <w:rPr>
                <w:b/>
                <w:bCs/>
                <w:color w:val="000000"/>
                <w:lang w:eastAsia="en-US"/>
              </w:rPr>
              <w:t>152,8</w:t>
            </w:r>
          </w:p>
          <w:p w14:paraId="68FE485C" w14:textId="77777777" w:rsidR="005D361F" w:rsidRPr="00294F87" w:rsidRDefault="005D361F" w:rsidP="005D361F">
            <w:pPr>
              <w:jc w:val="center"/>
              <w:rPr>
                <w:b/>
                <w:bCs/>
                <w:color w:val="000000"/>
                <w:lang w:eastAsia="en-US"/>
              </w:rPr>
            </w:pPr>
            <w:r w:rsidRPr="00294F87">
              <w:rPr>
                <w:b/>
                <w:bCs/>
                <w:color w:val="000000"/>
                <w:lang w:eastAsia="en-US"/>
              </w:rPr>
              <w:t>(0,5)</w:t>
            </w:r>
          </w:p>
        </w:tc>
        <w:tc>
          <w:tcPr>
            <w:tcW w:w="850" w:type="dxa"/>
            <w:shd w:val="clear" w:color="auto" w:fill="DBE5F1"/>
            <w:vAlign w:val="center"/>
            <w:hideMark/>
          </w:tcPr>
          <w:p w14:paraId="7E2AE6FB" w14:textId="77777777" w:rsidR="005D361F" w:rsidRPr="00294F87" w:rsidRDefault="005D361F" w:rsidP="005D361F">
            <w:pPr>
              <w:jc w:val="center"/>
              <w:rPr>
                <w:b/>
                <w:bCs/>
                <w:color w:val="000000"/>
                <w:lang w:eastAsia="en-US"/>
              </w:rPr>
            </w:pPr>
            <w:r w:rsidRPr="00294F87">
              <w:rPr>
                <w:b/>
                <w:bCs/>
                <w:color w:val="000000"/>
                <w:lang w:eastAsia="en-US"/>
              </w:rPr>
              <w:t>-152,8</w:t>
            </w:r>
          </w:p>
        </w:tc>
        <w:tc>
          <w:tcPr>
            <w:tcW w:w="709" w:type="dxa"/>
            <w:shd w:val="clear" w:color="auto" w:fill="DBE5F1"/>
            <w:vAlign w:val="center"/>
            <w:hideMark/>
          </w:tcPr>
          <w:p w14:paraId="4EEC2B29" w14:textId="77777777" w:rsidR="005D361F" w:rsidRPr="00294F87" w:rsidRDefault="005D361F" w:rsidP="005D361F">
            <w:pPr>
              <w:jc w:val="center"/>
              <w:rPr>
                <w:b/>
                <w:bCs/>
                <w:color w:val="000000"/>
                <w:lang w:eastAsia="en-US"/>
              </w:rPr>
            </w:pPr>
            <w:r w:rsidRPr="00294F87">
              <w:rPr>
                <w:b/>
                <w:bCs/>
                <w:color w:val="000000"/>
                <w:lang w:eastAsia="en-US"/>
              </w:rPr>
              <w:t>0,0</w:t>
            </w:r>
          </w:p>
        </w:tc>
        <w:tc>
          <w:tcPr>
            <w:tcW w:w="709" w:type="dxa"/>
            <w:shd w:val="clear" w:color="auto" w:fill="DBE5F1"/>
            <w:vAlign w:val="center"/>
            <w:hideMark/>
          </w:tcPr>
          <w:p w14:paraId="5540A706" w14:textId="77777777" w:rsidR="005D361F" w:rsidRPr="00294F87" w:rsidRDefault="005D361F" w:rsidP="005D361F">
            <w:pPr>
              <w:jc w:val="center"/>
              <w:rPr>
                <w:b/>
                <w:bCs/>
                <w:color w:val="000000"/>
                <w:lang w:eastAsia="en-US"/>
              </w:rPr>
            </w:pPr>
            <w:r w:rsidRPr="00294F87">
              <w:rPr>
                <w:b/>
                <w:bCs/>
                <w:color w:val="000000"/>
                <w:lang w:eastAsia="en-US"/>
              </w:rPr>
              <w:t>0,0</w:t>
            </w:r>
          </w:p>
        </w:tc>
        <w:tc>
          <w:tcPr>
            <w:tcW w:w="708" w:type="dxa"/>
            <w:shd w:val="clear" w:color="auto" w:fill="DBE5F1"/>
            <w:vAlign w:val="center"/>
            <w:hideMark/>
          </w:tcPr>
          <w:p w14:paraId="2C5476EF" w14:textId="77777777" w:rsidR="005D361F" w:rsidRPr="00294F87" w:rsidRDefault="005D361F" w:rsidP="005D361F">
            <w:pPr>
              <w:jc w:val="center"/>
              <w:rPr>
                <w:b/>
                <w:bCs/>
                <w:color w:val="000000"/>
                <w:lang w:eastAsia="en-US"/>
              </w:rPr>
            </w:pPr>
            <w:r w:rsidRPr="00294F87">
              <w:rPr>
                <w:b/>
                <w:bCs/>
                <w:color w:val="000000"/>
                <w:lang w:eastAsia="en-US"/>
              </w:rPr>
              <w:t>0,0</w:t>
            </w:r>
          </w:p>
        </w:tc>
        <w:tc>
          <w:tcPr>
            <w:tcW w:w="1235" w:type="dxa"/>
            <w:shd w:val="clear" w:color="auto" w:fill="DBE5F1"/>
            <w:vAlign w:val="center"/>
            <w:hideMark/>
          </w:tcPr>
          <w:p w14:paraId="3F637BED" w14:textId="77777777" w:rsidR="005D361F" w:rsidRPr="00294F87" w:rsidRDefault="005D361F" w:rsidP="005D361F">
            <w:pPr>
              <w:jc w:val="center"/>
              <w:rPr>
                <w:b/>
                <w:bCs/>
                <w:color w:val="000000"/>
                <w:lang w:eastAsia="en-US"/>
              </w:rPr>
            </w:pPr>
            <w:r w:rsidRPr="00294F87">
              <w:rPr>
                <w:b/>
                <w:bCs/>
                <w:color w:val="000000"/>
                <w:lang w:eastAsia="en-US"/>
              </w:rPr>
              <w:t>-94,8</w:t>
            </w:r>
          </w:p>
        </w:tc>
      </w:tr>
      <w:tr w:rsidR="005D361F" w:rsidRPr="00294F87" w14:paraId="23BAF6AF" w14:textId="77777777" w:rsidTr="005D361F">
        <w:trPr>
          <w:trHeight w:val="229"/>
          <w:jc w:val="center"/>
        </w:trPr>
        <w:tc>
          <w:tcPr>
            <w:tcW w:w="3539" w:type="dxa"/>
            <w:shd w:val="clear" w:color="auto" w:fill="auto"/>
            <w:noWrap/>
            <w:vAlign w:val="center"/>
          </w:tcPr>
          <w:p w14:paraId="24F40AF1" w14:textId="77777777" w:rsidR="005D361F" w:rsidRPr="00294F87" w:rsidRDefault="005D361F" w:rsidP="005D361F">
            <w:pPr>
              <w:jc w:val="right"/>
              <w:rPr>
                <w:bCs/>
                <w:color w:val="000000"/>
                <w:lang w:eastAsia="en-US"/>
              </w:rPr>
            </w:pPr>
            <w:r w:rsidRPr="00294F87">
              <w:rPr>
                <w:bCs/>
                <w:color w:val="000000"/>
                <w:lang w:eastAsia="en-US"/>
              </w:rPr>
              <w:t>Dīkstāves pabalsti</w:t>
            </w:r>
          </w:p>
        </w:tc>
        <w:tc>
          <w:tcPr>
            <w:tcW w:w="1418" w:type="dxa"/>
            <w:shd w:val="clear" w:color="auto" w:fill="auto"/>
            <w:vAlign w:val="center"/>
          </w:tcPr>
          <w:p w14:paraId="41547473" w14:textId="77777777" w:rsidR="005D361F" w:rsidRPr="00294F87" w:rsidRDefault="005D361F" w:rsidP="005D361F">
            <w:pPr>
              <w:jc w:val="center"/>
              <w:rPr>
                <w:bCs/>
                <w:color w:val="000000"/>
                <w:lang w:eastAsia="en-US"/>
              </w:rPr>
            </w:pPr>
            <w:r w:rsidRPr="00294F87">
              <w:rPr>
                <w:bCs/>
                <w:color w:val="000000"/>
                <w:lang w:eastAsia="en-US"/>
              </w:rPr>
              <w:t>53,6</w:t>
            </w:r>
          </w:p>
        </w:tc>
        <w:tc>
          <w:tcPr>
            <w:tcW w:w="850" w:type="dxa"/>
            <w:shd w:val="clear" w:color="auto" w:fill="auto"/>
            <w:vAlign w:val="center"/>
          </w:tcPr>
          <w:p w14:paraId="600442C2" w14:textId="77777777" w:rsidR="005D361F" w:rsidRPr="00294F87" w:rsidRDefault="005D361F" w:rsidP="005D361F">
            <w:pPr>
              <w:jc w:val="center"/>
              <w:rPr>
                <w:bCs/>
                <w:color w:val="000000"/>
                <w:lang w:eastAsia="en-US"/>
              </w:rPr>
            </w:pPr>
            <w:r w:rsidRPr="00294F87">
              <w:rPr>
                <w:bCs/>
                <w:color w:val="000000"/>
                <w:lang w:eastAsia="en-US"/>
              </w:rPr>
              <w:t>-53,6</w:t>
            </w:r>
          </w:p>
        </w:tc>
        <w:tc>
          <w:tcPr>
            <w:tcW w:w="709" w:type="dxa"/>
            <w:shd w:val="clear" w:color="auto" w:fill="auto"/>
            <w:vAlign w:val="center"/>
          </w:tcPr>
          <w:p w14:paraId="1E81E44B"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781FE696"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7ADE046C"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325C8DDC" w14:textId="77777777" w:rsidR="005D361F" w:rsidRPr="00294F87" w:rsidRDefault="005D361F" w:rsidP="005D361F">
            <w:pPr>
              <w:jc w:val="center"/>
              <w:rPr>
                <w:bCs/>
                <w:color w:val="000000"/>
                <w:lang w:eastAsia="en-US"/>
              </w:rPr>
            </w:pPr>
            <w:r w:rsidRPr="00294F87">
              <w:rPr>
                <w:bCs/>
                <w:color w:val="000000"/>
                <w:lang w:eastAsia="en-US"/>
              </w:rPr>
              <w:t>-53,6</w:t>
            </w:r>
          </w:p>
        </w:tc>
      </w:tr>
      <w:tr w:rsidR="005D361F" w:rsidRPr="00294F87" w14:paraId="114B7F3F" w14:textId="77777777" w:rsidTr="005D361F">
        <w:trPr>
          <w:trHeight w:val="229"/>
          <w:jc w:val="center"/>
        </w:trPr>
        <w:tc>
          <w:tcPr>
            <w:tcW w:w="3539" w:type="dxa"/>
            <w:shd w:val="clear" w:color="auto" w:fill="auto"/>
            <w:noWrap/>
            <w:vAlign w:val="center"/>
          </w:tcPr>
          <w:p w14:paraId="56964F2C" w14:textId="77777777" w:rsidR="005D361F" w:rsidRPr="00294F87" w:rsidRDefault="005D361F" w:rsidP="005D361F">
            <w:pPr>
              <w:jc w:val="right"/>
              <w:rPr>
                <w:bCs/>
                <w:color w:val="000000"/>
                <w:lang w:eastAsia="en-US"/>
              </w:rPr>
            </w:pPr>
            <w:r w:rsidRPr="00294F87">
              <w:rPr>
                <w:bCs/>
                <w:color w:val="000000"/>
                <w:lang w:eastAsia="en-US"/>
              </w:rPr>
              <w:t>Subsidētās darba vietas eksportējošiem uzņēmumiem un tūrisma nozarei</w:t>
            </w:r>
          </w:p>
        </w:tc>
        <w:tc>
          <w:tcPr>
            <w:tcW w:w="1418" w:type="dxa"/>
            <w:shd w:val="clear" w:color="auto" w:fill="auto"/>
            <w:vAlign w:val="center"/>
          </w:tcPr>
          <w:p w14:paraId="5F681C48" w14:textId="77777777" w:rsidR="005D361F" w:rsidRPr="00294F87" w:rsidRDefault="005D361F" w:rsidP="005D361F">
            <w:pPr>
              <w:jc w:val="center"/>
              <w:rPr>
                <w:bCs/>
                <w:color w:val="000000"/>
                <w:lang w:eastAsia="en-US"/>
              </w:rPr>
            </w:pPr>
            <w:r w:rsidRPr="00294F87">
              <w:rPr>
                <w:bCs/>
                <w:color w:val="000000"/>
                <w:lang w:eastAsia="en-US"/>
              </w:rPr>
              <w:t>70,2</w:t>
            </w:r>
          </w:p>
        </w:tc>
        <w:tc>
          <w:tcPr>
            <w:tcW w:w="850" w:type="dxa"/>
            <w:shd w:val="clear" w:color="auto" w:fill="auto"/>
            <w:vAlign w:val="center"/>
          </w:tcPr>
          <w:p w14:paraId="3811D311" w14:textId="77777777" w:rsidR="005D361F" w:rsidRPr="00294F87" w:rsidRDefault="005D361F" w:rsidP="005D361F">
            <w:pPr>
              <w:jc w:val="center"/>
              <w:rPr>
                <w:bCs/>
                <w:color w:val="000000"/>
                <w:lang w:eastAsia="en-US"/>
              </w:rPr>
            </w:pPr>
            <w:r w:rsidRPr="00294F87">
              <w:rPr>
                <w:bCs/>
                <w:color w:val="000000"/>
                <w:lang w:eastAsia="en-US"/>
              </w:rPr>
              <w:t>-70,2</w:t>
            </w:r>
          </w:p>
        </w:tc>
        <w:tc>
          <w:tcPr>
            <w:tcW w:w="709" w:type="dxa"/>
            <w:shd w:val="clear" w:color="auto" w:fill="auto"/>
            <w:vAlign w:val="center"/>
          </w:tcPr>
          <w:p w14:paraId="1EDB1602"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55E8149B"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436B5BE5"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08B13504" w14:textId="77777777" w:rsidR="005D361F" w:rsidRPr="00294F87" w:rsidRDefault="005D361F" w:rsidP="005D361F">
            <w:pPr>
              <w:jc w:val="center"/>
              <w:rPr>
                <w:bCs/>
                <w:color w:val="000000"/>
                <w:lang w:eastAsia="en-US"/>
              </w:rPr>
            </w:pPr>
            <w:r w:rsidRPr="00294F87">
              <w:rPr>
                <w:bCs/>
                <w:color w:val="000000"/>
                <w:lang w:eastAsia="en-US"/>
              </w:rPr>
              <w:t>-26,6</w:t>
            </w:r>
          </w:p>
        </w:tc>
      </w:tr>
      <w:tr w:rsidR="005D361F" w:rsidRPr="00294F87" w14:paraId="10EDE6BC" w14:textId="77777777" w:rsidTr="005D361F">
        <w:trPr>
          <w:trHeight w:val="229"/>
          <w:jc w:val="center"/>
        </w:trPr>
        <w:tc>
          <w:tcPr>
            <w:tcW w:w="3539" w:type="dxa"/>
            <w:shd w:val="clear" w:color="auto" w:fill="auto"/>
            <w:noWrap/>
            <w:vAlign w:val="center"/>
          </w:tcPr>
          <w:p w14:paraId="185D4E7C" w14:textId="77777777" w:rsidR="005D361F" w:rsidRPr="00294F87" w:rsidRDefault="005D361F" w:rsidP="005D361F">
            <w:pPr>
              <w:jc w:val="right"/>
              <w:rPr>
                <w:bCs/>
                <w:color w:val="000000"/>
                <w:lang w:eastAsia="en-US"/>
              </w:rPr>
            </w:pPr>
            <w:r w:rsidRPr="00294F87">
              <w:rPr>
                <w:bCs/>
                <w:color w:val="000000"/>
                <w:lang w:eastAsia="en-US"/>
              </w:rPr>
              <w:t>Bezdarbnieku palīdzības pabalsts</w:t>
            </w:r>
          </w:p>
        </w:tc>
        <w:tc>
          <w:tcPr>
            <w:tcW w:w="1418" w:type="dxa"/>
            <w:shd w:val="clear" w:color="auto" w:fill="auto"/>
            <w:vAlign w:val="center"/>
          </w:tcPr>
          <w:p w14:paraId="4E98A02C" w14:textId="77777777" w:rsidR="005D361F" w:rsidRPr="00294F87" w:rsidRDefault="005D361F" w:rsidP="005D361F">
            <w:pPr>
              <w:jc w:val="center"/>
              <w:rPr>
                <w:bCs/>
                <w:color w:val="000000"/>
                <w:lang w:eastAsia="en-US"/>
              </w:rPr>
            </w:pPr>
            <w:r w:rsidRPr="00294F87">
              <w:rPr>
                <w:bCs/>
                <w:color w:val="000000"/>
                <w:lang w:eastAsia="en-US"/>
              </w:rPr>
              <w:t>10,1</w:t>
            </w:r>
          </w:p>
        </w:tc>
        <w:tc>
          <w:tcPr>
            <w:tcW w:w="850" w:type="dxa"/>
            <w:shd w:val="clear" w:color="auto" w:fill="auto"/>
            <w:vAlign w:val="center"/>
          </w:tcPr>
          <w:p w14:paraId="50458981" w14:textId="77777777" w:rsidR="005D361F" w:rsidRPr="00294F87" w:rsidRDefault="005D361F" w:rsidP="005D361F">
            <w:pPr>
              <w:jc w:val="center"/>
              <w:rPr>
                <w:bCs/>
                <w:color w:val="000000"/>
                <w:lang w:eastAsia="en-US"/>
              </w:rPr>
            </w:pPr>
            <w:r w:rsidRPr="00294F87">
              <w:rPr>
                <w:bCs/>
                <w:color w:val="000000"/>
                <w:lang w:eastAsia="en-US"/>
              </w:rPr>
              <w:t>-10,1</w:t>
            </w:r>
          </w:p>
        </w:tc>
        <w:tc>
          <w:tcPr>
            <w:tcW w:w="709" w:type="dxa"/>
            <w:shd w:val="clear" w:color="auto" w:fill="auto"/>
            <w:vAlign w:val="center"/>
          </w:tcPr>
          <w:p w14:paraId="16B90BAF"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5401E8AD"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68482636"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32EEDF01" w14:textId="77777777" w:rsidR="005D361F" w:rsidRPr="00294F87" w:rsidRDefault="005D361F" w:rsidP="005D361F">
            <w:pPr>
              <w:jc w:val="center"/>
              <w:rPr>
                <w:bCs/>
                <w:color w:val="000000"/>
                <w:lang w:eastAsia="en-US"/>
              </w:rPr>
            </w:pPr>
            <w:r w:rsidRPr="00294F87">
              <w:rPr>
                <w:bCs/>
                <w:color w:val="000000"/>
                <w:lang w:eastAsia="en-US"/>
              </w:rPr>
              <w:t>-2,2</w:t>
            </w:r>
          </w:p>
        </w:tc>
      </w:tr>
      <w:tr w:rsidR="005D361F" w:rsidRPr="00294F87" w14:paraId="259D8CF4" w14:textId="77777777" w:rsidTr="005D361F">
        <w:trPr>
          <w:trHeight w:val="229"/>
          <w:jc w:val="center"/>
        </w:trPr>
        <w:tc>
          <w:tcPr>
            <w:tcW w:w="3539" w:type="dxa"/>
            <w:shd w:val="clear" w:color="auto" w:fill="auto"/>
            <w:noWrap/>
            <w:vAlign w:val="center"/>
          </w:tcPr>
          <w:p w14:paraId="11B964B6" w14:textId="77777777" w:rsidR="005D361F" w:rsidRPr="00294F87" w:rsidRDefault="005D361F" w:rsidP="005D361F">
            <w:pPr>
              <w:jc w:val="right"/>
              <w:rPr>
                <w:bCs/>
                <w:color w:val="000000"/>
                <w:lang w:eastAsia="en-US"/>
              </w:rPr>
            </w:pPr>
            <w:r w:rsidRPr="00294F87">
              <w:rPr>
                <w:bCs/>
                <w:color w:val="000000"/>
                <w:lang w:eastAsia="en-US"/>
              </w:rPr>
              <w:t>Atbalsts jaunajiem speciālistiem</w:t>
            </w:r>
          </w:p>
        </w:tc>
        <w:tc>
          <w:tcPr>
            <w:tcW w:w="1418" w:type="dxa"/>
            <w:shd w:val="clear" w:color="auto" w:fill="auto"/>
            <w:vAlign w:val="center"/>
          </w:tcPr>
          <w:p w14:paraId="10594641" w14:textId="77777777" w:rsidR="005D361F" w:rsidRPr="00294F87" w:rsidRDefault="005D361F" w:rsidP="005D361F">
            <w:pPr>
              <w:jc w:val="center"/>
              <w:rPr>
                <w:bCs/>
                <w:color w:val="000000"/>
                <w:lang w:eastAsia="en-US"/>
              </w:rPr>
            </w:pPr>
            <w:r w:rsidRPr="00294F87">
              <w:rPr>
                <w:bCs/>
                <w:color w:val="000000"/>
                <w:lang w:eastAsia="en-US"/>
              </w:rPr>
              <w:t>6,6</w:t>
            </w:r>
          </w:p>
        </w:tc>
        <w:tc>
          <w:tcPr>
            <w:tcW w:w="850" w:type="dxa"/>
            <w:shd w:val="clear" w:color="auto" w:fill="auto"/>
            <w:vAlign w:val="center"/>
          </w:tcPr>
          <w:p w14:paraId="4BE8DE90" w14:textId="77777777" w:rsidR="005D361F" w:rsidRPr="00294F87" w:rsidRDefault="005D361F" w:rsidP="005D361F">
            <w:pPr>
              <w:jc w:val="center"/>
              <w:rPr>
                <w:bCs/>
                <w:color w:val="000000"/>
                <w:lang w:eastAsia="en-US"/>
              </w:rPr>
            </w:pPr>
            <w:r w:rsidRPr="00294F87">
              <w:rPr>
                <w:bCs/>
                <w:color w:val="000000"/>
                <w:lang w:eastAsia="en-US"/>
              </w:rPr>
              <w:t>-6,6</w:t>
            </w:r>
          </w:p>
        </w:tc>
        <w:tc>
          <w:tcPr>
            <w:tcW w:w="709" w:type="dxa"/>
            <w:shd w:val="clear" w:color="auto" w:fill="auto"/>
            <w:vAlign w:val="center"/>
          </w:tcPr>
          <w:p w14:paraId="3FAF27EF"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3D9BCBB3"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1CE25DA2"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332ECDE5" w14:textId="77777777" w:rsidR="005D361F" w:rsidRPr="00294F87" w:rsidRDefault="005D361F" w:rsidP="005D361F">
            <w:pPr>
              <w:jc w:val="center"/>
              <w:rPr>
                <w:bCs/>
                <w:color w:val="000000"/>
                <w:lang w:eastAsia="en-US"/>
              </w:rPr>
            </w:pPr>
            <w:r w:rsidRPr="00294F87">
              <w:rPr>
                <w:bCs/>
                <w:color w:val="000000"/>
                <w:lang w:eastAsia="en-US"/>
              </w:rPr>
              <w:t>-0,1</w:t>
            </w:r>
          </w:p>
        </w:tc>
      </w:tr>
      <w:tr w:rsidR="005D361F" w:rsidRPr="00294F87" w14:paraId="5B622A27" w14:textId="77777777" w:rsidTr="005D361F">
        <w:trPr>
          <w:trHeight w:val="229"/>
          <w:jc w:val="center"/>
        </w:trPr>
        <w:tc>
          <w:tcPr>
            <w:tcW w:w="3539" w:type="dxa"/>
            <w:shd w:val="clear" w:color="auto" w:fill="DBE5F1"/>
            <w:noWrap/>
            <w:vAlign w:val="center"/>
            <w:hideMark/>
          </w:tcPr>
          <w:p w14:paraId="2835406A" w14:textId="77777777" w:rsidR="005D361F" w:rsidRPr="00294F87" w:rsidRDefault="005D361F" w:rsidP="005D361F">
            <w:pPr>
              <w:jc w:val="both"/>
              <w:rPr>
                <w:b/>
                <w:bCs/>
                <w:color w:val="000000"/>
                <w:lang w:eastAsia="en-US"/>
              </w:rPr>
            </w:pPr>
            <w:r w:rsidRPr="00294F87">
              <w:rPr>
                <w:b/>
                <w:bCs/>
                <w:color w:val="000000"/>
                <w:lang w:eastAsia="en-US"/>
              </w:rPr>
              <w:t>Atbalsts aizdevumu un garantiju jomā</w:t>
            </w:r>
          </w:p>
        </w:tc>
        <w:tc>
          <w:tcPr>
            <w:tcW w:w="1418" w:type="dxa"/>
            <w:shd w:val="clear" w:color="auto" w:fill="DBE5F1"/>
            <w:vAlign w:val="center"/>
            <w:hideMark/>
          </w:tcPr>
          <w:p w14:paraId="1DF4D8D5" w14:textId="77777777" w:rsidR="005D361F" w:rsidRPr="00294F87" w:rsidRDefault="005D361F" w:rsidP="005D361F">
            <w:pPr>
              <w:jc w:val="center"/>
              <w:rPr>
                <w:b/>
                <w:bCs/>
                <w:color w:val="000000"/>
                <w:lang w:eastAsia="en-US"/>
              </w:rPr>
            </w:pPr>
            <w:r w:rsidRPr="00294F87">
              <w:rPr>
                <w:b/>
                <w:bCs/>
                <w:color w:val="000000"/>
                <w:lang w:eastAsia="en-US"/>
              </w:rPr>
              <w:t xml:space="preserve">1 205,0 </w:t>
            </w:r>
          </w:p>
          <w:p w14:paraId="552F314E" w14:textId="77777777" w:rsidR="005D361F" w:rsidRPr="00294F87" w:rsidRDefault="005D361F" w:rsidP="005D361F">
            <w:pPr>
              <w:jc w:val="center"/>
              <w:rPr>
                <w:b/>
                <w:bCs/>
                <w:color w:val="000000"/>
                <w:lang w:eastAsia="en-US"/>
              </w:rPr>
            </w:pPr>
            <w:r w:rsidRPr="00294F87">
              <w:rPr>
                <w:b/>
                <w:bCs/>
                <w:color w:val="000000"/>
                <w:lang w:eastAsia="en-US"/>
              </w:rPr>
              <w:t>(4,3)</w:t>
            </w:r>
          </w:p>
        </w:tc>
        <w:tc>
          <w:tcPr>
            <w:tcW w:w="850" w:type="dxa"/>
            <w:shd w:val="clear" w:color="auto" w:fill="DBE5F1"/>
            <w:vAlign w:val="center"/>
            <w:hideMark/>
          </w:tcPr>
          <w:p w14:paraId="0E835395" w14:textId="77777777" w:rsidR="005D361F" w:rsidRPr="00294F87" w:rsidRDefault="005D361F" w:rsidP="005D361F">
            <w:pPr>
              <w:jc w:val="center"/>
              <w:rPr>
                <w:b/>
                <w:bCs/>
                <w:color w:val="000000"/>
                <w:lang w:eastAsia="en-US"/>
              </w:rPr>
            </w:pPr>
            <w:r w:rsidRPr="00294F87">
              <w:rPr>
                <w:b/>
                <w:bCs/>
                <w:color w:val="000000"/>
                <w:lang w:eastAsia="en-US"/>
              </w:rPr>
              <w:t>-240,0</w:t>
            </w:r>
          </w:p>
        </w:tc>
        <w:tc>
          <w:tcPr>
            <w:tcW w:w="709" w:type="dxa"/>
            <w:shd w:val="clear" w:color="auto" w:fill="DBE5F1"/>
            <w:vAlign w:val="center"/>
            <w:hideMark/>
          </w:tcPr>
          <w:p w14:paraId="5F2A313A" w14:textId="77777777" w:rsidR="005D361F" w:rsidRPr="00294F87" w:rsidRDefault="005D361F" w:rsidP="005D361F">
            <w:pPr>
              <w:jc w:val="center"/>
              <w:rPr>
                <w:b/>
                <w:bCs/>
                <w:color w:val="000000"/>
                <w:lang w:eastAsia="en-US"/>
              </w:rPr>
            </w:pPr>
            <w:r w:rsidRPr="00294F87">
              <w:rPr>
                <w:b/>
                <w:bCs/>
                <w:color w:val="000000"/>
                <w:lang w:eastAsia="en-US"/>
              </w:rPr>
              <w:t>-72,0</w:t>
            </w:r>
          </w:p>
        </w:tc>
        <w:tc>
          <w:tcPr>
            <w:tcW w:w="709" w:type="dxa"/>
            <w:shd w:val="clear" w:color="auto" w:fill="DBE5F1"/>
            <w:vAlign w:val="center"/>
            <w:hideMark/>
          </w:tcPr>
          <w:p w14:paraId="70AF5D74" w14:textId="77777777" w:rsidR="005D361F" w:rsidRPr="00294F87" w:rsidRDefault="005D361F" w:rsidP="005D361F">
            <w:pPr>
              <w:jc w:val="center"/>
              <w:rPr>
                <w:b/>
                <w:bCs/>
                <w:color w:val="000000"/>
                <w:lang w:eastAsia="en-US"/>
              </w:rPr>
            </w:pPr>
            <w:r w:rsidRPr="00294F87">
              <w:rPr>
                <w:b/>
                <w:bCs/>
                <w:color w:val="000000"/>
                <w:lang w:eastAsia="en-US"/>
              </w:rPr>
              <w:t>0,0</w:t>
            </w:r>
          </w:p>
        </w:tc>
        <w:tc>
          <w:tcPr>
            <w:tcW w:w="708" w:type="dxa"/>
            <w:shd w:val="clear" w:color="auto" w:fill="DBE5F1"/>
            <w:vAlign w:val="center"/>
            <w:hideMark/>
          </w:tcPr>
          <w:p w14:paraId="12A10DC0" w14:textId="77777777" w:rsidR="005D361F" w:rsidRPr="00294F87" w:rsidRDefault="005D361F" w:rsidP="005D361F">
            <w:pPr>
              <w:jc w:val="center"/>
              <w:rPr>
                <w:b/>
                <w:bCs/>
                <w:color w:val="000000"/>
                <w:lang w:eastAsia="en-US"/>
              </w:rPr>
            </w:pPr>
            <w:r w:rsidRPr="00294F87">
              <w:rPr>
                <w:b/>
                <w:bCs/>
                <w:color w:val="000000"/>
                <w:lang w:eastAsia="en-US"/>
              </w:rPr>
              <w:t>0,0</w:t>
            </w:r>
          </w:p>
        </w:tc>
        <w:tc>
          <w:tcPr>
            <w:tcW w:w="1235" w:type="dxa"/>
            <w:shd w:val="clear" w:color="auto" w:fill="DBE5F1"/>
            <w:vAlign w:val="center"/>
            <w:hideMark/>
          </w:tcPr>
          <w:p w14:paraId="479933B9" w14:textId="77777777" w:rsidR="005D361F" w:rsidRPr="00294F87" w:rsidRDefault="005D361F" w:rsidP="005D361F">
            <w:pPr>
              <w:jc w:val="center"/>
              <w:rPr>
                <w:b/>
                <w:bCs/>
                <w:color w:val="000000"/>
                <w:lang w:eastAsia="en-US"/>
              </w:rPr>
            </w:pPr>
            <w:r w:rsidRPr="00294F87">
              <w:rPr>
                <w:b/>
                <w:bCs/>
                <w:color w:val="000000"/>
                <w:lang w:eastAsia="en-US"/>
              </w:rPr>
              <w:t>-123,3</w:t>
            </w:r>
          </w:p>
        </w:tc>
      </w:tr>
      <w:tr w:rsidR="005D361F" w:rsidRPr="00294F87" w14:paraId="24E84482" w14:textId="77777777" w:rsidTr="005D361F">
        <w:trPr>
          <w:trHeight w:val="229"/>
          <w:jc w:val="center"/>
        </w:trPr>
        <w:tc>
          <w:tcPr>
            <w:tcW w:w="3539" w:type="dxa"/>
            <w:shd w:val="clear" w:color="auto" w:fill="auto"/>
            <w:noWrap/>
            <w:vAlign w:val="center"/>
          </w:tcPr>
          <w:p w14:paraId="5FF81439" w14:textId="77777777" w:rsidR="005D361F" w:rsidRPr="00294F87" w:rsidRDefault="005D361F" w:rsidP="005D361F">
            <w:pPr>
              <w:jc w:val="right"/>
              <w:rPr>
                <w:bCs/>
                <w:color w:val="000000"/>
                <w:lang w:eastAsia="en-US"/>
              </w:rPr>
            </w:pPr>
            <w:r w:rsidRPr="00294F87">
              <w:rPr>
                <w:bCs/>
                <w:color w:val="000000"/>
                <w:lang w:eastAsia="en-US"/>
              </w:rPr>
              <w:t>Kredītu garantijas</w:t>
            </w:r>
          </w:p>
        </w:tc>
        <w:tc>
          <w:tcPr>
            <w:tcW w:w="1418" w:type="dxa"/>
            <w:shd w:val="clear" w:color="auto" w:fill="auto"/>
            <w:vAlign w:val="center"/>
          </w:tcPr>
          <w:p w14:paraId="4B2CCACA" w14:textId="77777777" w:rsidR="005D361F" w:rsidRPr="00294F87" w:rsidRDefault="005D361F" w:rsidP="005D361F">
            <w:pPr>
              <w:jc w:val="center"/>
              <w:rPr>
                <w:bCs/>
                <w:color w:val="000000"/>
                <w:lang w:eastAsia="en-US"/>
              </w:rPr>
            </w:pPr>
            <w:r w:rsidRPr="00294F87">
              <w:rPr>
                <w:bCs/>
                <w:color w:val="000000"/>
                <w:lang w:eastAsia="en-US"/>
              </w:rPr>
              <w:t>415,0</w:t>
            </w:r>
          </w:p>
        </w:tc>
        <w:tc>
          <w:tcPr>
            <w:tcW w:w="850" w:type="dxa"/>
            <w:shd w:val="clear" w:color="auto" w:fill="auto"/>
            <w:vAlign w:val="center"/>
          </w:tcPr>
          <w:p w14:paraId="106C796F" w14:textId="77777777" w:rsidR="005D361F" w:rsidRPr="00294F87" w:rsidRDefault="005D361F" w:rsidP="005D361F">
            <w:pPr>
              <w:jc w:val="center"/>
              <w:rPr>
                <w:bCs/>
                <w:color w:val="000000"/>
                <w:lang w:eastAsia="en-US"/>
              </w:rPr>
            </w:pPr>
            <w:r w:rsidRPr="00294F87">
              <w:rPr>
                <w:bCs/>
                <w:color w:val="000000"/>
                <w:lang w:eastAsia="en-US"/>
              </w:rPr>
              <w:t>-25,0</w:t>
            </w:r>
          </w:p>
        </w:tc>
        <w:tc>
          <w:tcPr>
            <w:tcW w:w="709" w:type="dxa"/>
            <w:shd w:val="clear" w:color="auto" w:fill="auto"/>
            <w:vAlign w:val="center"/>
          </w:tcPr>
          <w:p w14:paraId="2C7B46D5"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10591301"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443AB4A0"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1B303EDC" w14:textId="77777777" w:rsidR="005D361F" w:rsidRPr="00294F87" w:rsidRDefault="005D361F" w:rsidP="005D361F">
            <w:pPr>
              <w:jc w:val="center"/>
              <w:rPr>
                <w:bCs/>
                <w:color w:val="000000"/>
                <w:lang w:eastAsia="en-US"/>
              </w:rPr>
            </w:pPr>
            <w:r w:rsidRPr="00294F87">
              <w:rPr>
                <w:bCs/>
                <w:color w:val="000000"/>
                <w:lang w:eastAsia="en-US"/>
              </w:rPr>
              <w:t>-25,0</w:t>
            </w:r>
          </w:p>
        </w:tc>
      </w:tr>
      <w:tr w:rsidR="005D361F" w:rsidRPr="00294F87" w14:paraId="5F5FA363" w14:textId="77777777" w:rsidTr="005D361F">
        <w:trPr>
          <w:trHeight w:val="229"/>
          <w:jc w:val="center"/>
        </w:trPr>
        <w:tc>
          <w:tcPr>
            <w:tcW w:w="3539" w:type="dxa"/>
            <w:shd w:val="clear" w:color="auto" w:fill="auto"/>
            <w:noWrap/>
            <w:vAlign w:val="center"/>
          </w:tcPr>
          <w:p w14:paraId="7D98E6BF" w14:textId="77777777" w:rsidR="005D361F" w:rsidRPr="00294F87" w:rsidRDefault="005D361F" w:rsidP="005D361F">
            <w:pPr>
              <w:jc w:val="right"/>
              <w:rPr>
                <w:bCs/>
                <w:noProof/>
                <w:color w:val="000000"/>
                <w:lang w:eastAsia="en-US"/>
              </w:rPr>
            </w:pPr>
            <w:r w:rsidRPr="00294F87">
              <w:rPr>
                <w:bCs/>
                <w:noProof/>
                <w:color w:val="000000"/>
                <w:lang w:eastAsia="en-US"/>
              </w:rPr>
              <w:t>Portfeļgarantijas</w:t>
            </w:r>
          </w:p>
        </w:tc>
        <w:tc>
          <w:tcPr>
            <w:tcW w:w="1418" w:type="dxa"/>
            <w:shd w:val="clear" w:color="auto" w:fill="auto"/>
            <w:vAlign w:val="center"/>
          </w:tcPr>
          <w:p w14:paraId="6DD91E14" w14:textId="77777777" w:rsidR="005D361F" w:rsidRPr="00294F87" w:rsidRDefault="005D361F" w:rsidP="005D361F">
            <w:pPr>
              <w:jc w:val="center"/>
              <w:rPr>
                <w:bCs/>
                <w:color w:val="000000"/>
                <w:lang w:eastAsia="en-US"/>
              </w:rPr>
            </w:pPr>
            <w:r w:rsidRPr="00294F87">
              <w:rPr>
                <w:bCs/>
                <w:color w:val="000000"/>
                <w:lang w:eastAsia="en-US"/>
              </w:rPr>
              <w:t>300,0</w:t>
            </w:r>
          </w:p>
        </w:tc>
        <w:tc>
          <w:tcPr>
            <w:tcW w:w="850" w:type="dxa"/>
            <w:shd w:val="clear" w:color="auto" w:fill="auto"/>
            <w:vAlign w:val="center"/>
          </w:tcPr>
          <w:p w14:paraId="3D63C64C" w14:textId="77777777" w:rsidR="005D361F" w:rsidRPr="00294F87" w:rsidRDefault="005D361F" w:rsidP="005D361F">
            <w:pPr>
              <w:jc w:val="center"/>
              <w:rPr>
                <w:bCs/>
                <w:color w:val="000000"/>
                <w:lang w:eastAsia="en-US"/>
              </w:rPr>
            </w:pPr>
            <w:r w:rsidRPr="00294F87">
              <w:rPr>
                <w:bCs/>
                <w:color w:val="000000"/>
                <w:lang w:eastAsia="en-US"/>
              </w:rPr>
              <w:t>-25,0</w:t>
            </w:r>
          </w:p>
        </w:tc>
        <w:tc>
          <w:tcPr>
            <w:tcW w:w="709" w:type="dxa"/>
            <w:shd w:val="clear" w:color="auto" w:fill="auto"/>
            <w:vAlign w:val="center"/>
          </w:tcPr>
          <w:p w14:paraId="37BB3424"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23CC1D73"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68928C7B"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5924445E" w14:textId="77777777" w:rsidR="005D361F" w:rsidRPr="00294F87" w:rsidRDefault="005D361F" w:rsidP="005D361F">
            <w:pPr>
              <w:jc w:val="center"/>
              <w:rPr>
                <w:bCs/>
                <w:color w:val="000000"/>
                <w:lang w:eastAsia="en-US"/>
              </w:rPr>
            </w:pPr>
            <w:r w:rsidRPr="00294F87">
              <w:rPr>
                <w:bCs/>
                <w:color w:val="000000"/>
                <w:lang w:eastAsia="en-US"/>
              </w:rPr>
              <w:t>-25,0</w:t>
            </w:r>
          </w:p>
        </w:tc>
      </w:tr>
      <w:tr w:rsidR="005D361F" w:rsidRPr="00294F87" w14:paraId="3548DCF4" w14:textId="77777777" w:rsidTr="005D361F">
        <w:trPr>
          <w:trHeight w:val="229"/>
          <w:jc w:val="center"/>
        </w:trPr>
        <w:tc>
          <w:tcPr>
            <w:tcW w:w="3539" w:type="dxa"/>
            <w:shd w:val="clear" w:color="auto" w:fill="auto"/>
            <w:noWrap/>
            <w:vAlign w:val="center"/>
          </w:tcPr>
          <w:p w14:paraId="730BF39D" w14:textId="77777777" w:rsidR="005D361F" w:rsidRPr="00294F87" w:rsidRDefault="005D361F" w:rsidP="005D361F">
            <w:pPr>
              <w:jc w:val="right"/>
              <w:rPr>
                <w:bCs/>
                <w:color w:val="000000"/>
                <w:lang w:eastAsia="en-US"/>
              </w:rPr>
            </w:pPr>
            <w:r w:rsidRPr="00294F87">
              <w:rPr>
                <w:bCs/>
                <w:color w:val="000000"/>
                <w:lang w:eastAsia="en-US"/>
              </w:rPr>
              <w:t>Aizdevumi apgrozāmiem līdzekļiem </w:t>
            </w:r>
          </w:p>
        </w:tc>
        <w:tc>
          <w:tcPr>
            <w:tcW w:w="1418" w:type="dxa"/>
            <w:shd w:val="clear" w:color="auto" w:fill="auto"/>
            <w:vAlign w:val="center"/>
          </w:tcPr>
          <w:p w14:paraId="2C8DC865" w14:textId="77777777" w:rsidR="005D361F" w:rsidRPr="00294F87" w:rsidRDefault="005D361F" w:rsidP="005D361F">
            <w:pPr>
              <w:jc w:val="center"/>
              <w:rPr>
                <w:bCs/>
                <w:color w:val="000000"/>
                <w:lang w:eastAsia="en-US"/>
              </w:rPr>
            </w:pPr>
            <w:r w:rsidRPr="00294F87">
              <w:rPr>
                <w:bCs/>
                <w:color w:val="000000"/>
                <w:lang w:eastAsia="en-US"/>
              </w:rPr>
              <w:t>200,0</w:t>
            </w:r>
          </w:p>
        </w:tc>
        <w:tc>
          <w:tcPr>
            <w:tcW w:w="850" w:type="dxa"/>
            <w:shd w:val="clear" w:color="auto" w:fill="auto"/>
            <w:vAlign w:val="center"/>
          </w:tcPr>
          <w:p w14:paraId="564D95FE" w14:textId="77777777" w:rsidR="005D361F" w:rsidRPr="00294F87" w:rsidRDefault="005D361F" w:rsidP="005D361F">
            <w:pPr>
              <w:jc w:val="center"/>
              <w:rPr>
                <w:bCs/>
                <w:color w:val="000000"/>
                <w:lang w:eastAsia="en-US"/>
              </w:rPr>
            </w:pPr>
            <w:r w:rsidRPr="00294F87">
              <w:rPr>
                <w:bCs/>
                <w:color w:val="000000"/>
                <w:lang w:eastAsia="en-US"/>
              </w:rPr>
              <w:t>-50,0</w:t>
            </w:r>
          </w:p>
        </w:tc>
        <w:tc>
          <w:tcPr>
            <w:tcW w:w="709" w:type="dxa"/>
            <w:shd w:val="clear" w:color="auto" w:fill="auto"/>
            <w:vAlign w:val="center"/>
          </w:tcPr>
          <w:p w14:paraId="7980202A"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435EE4DE"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2A7EEAFF"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620A0403" w14:textId="77777777" w:rsidR="005D361F" w:rsidRPr="00294F87" w:rsidRDefault="005D361F" w:rsidP="005D361F">
            <w:pPr>
              <w:jc w:val="center"/>
              <w:rPr>
                <w:bCs/>
                <w:color w:val="000000"/>
                <w:lang w:eastAsia="en-US"/>
              </w:rPr>
            </w:pPr>
            <w:r w:rsidRPr="00294F87">
              <w:rPr>
                <w:bCs/>
                <w:color w:val="000000"/>
                <w:lang w:eastAsia="en-US"/>
              </w:rPr>
              <w:t>-50,0</w:t>
            </w:r>
          </w:p>
        </w:tc>
      </w:tr>
      <w:tr w:rsidR="005D361F" w:rsidRPr="00294F87" w14:paraId="500D825D" w14:textId="77777777" w:rsidTr="005D361F">
        <w:trPr>
          <w:trHeight w:val="229"/>
          <w:jc w:val="center"/>
        </w:trPr>
        <w:tc>
          <w:tcPr>
            <w:tcW w:w="3539" w:type="dxa"/>
            <w:shd w:val="clear" w:color="auto" w:fill="auto"/>
            <w:noWrap/>
            <w:vAlign w:val="center"/>
          </w:tcPr>
          <w:p w14:paraId="47514BC4" w14:textId="77777777" w:rsidR="005D361F" w:rsidRPr="00294F87" w:rsidRDefault="005D361F" w:rsidP="005D361F">
            <w:pPr>
              <w:jc w:val="right"/>
              <w:rPr>
                <w:bCs/>
                <w:color w:val="000000"/>
                <w:lang w:eastAsia="en-US"/>
              </w:rPr>
            </w:pPr>
            <w:r w:rsidRPr="00294F87">
              <w:rPr>
                <w:bCs/>
                <w:color w:val="000000"/>
                <w:lang w:eastAsia="en-US"/>
              </w:rPr>
              <w:t>Pašvaldību aizņēmumu limita palielināšana</w:t>
            </w:r>
          </w:p>
        </w:tc>
        <w:tc>
          <w:tcPr>
            <w:tcW w:w="1418" w:type="dxa"/>
            <w:shd w:val="clear" w:color="auto" w:fill="auto"/>
            <w:vAlign w:val="center"/>
          </w:tcPr>
          <w:p w14:paraId="14D470DA" w14:textId="77777777" w:rsidR="005D361F" w:rsidRPr="00294F87" w:rsidRDefault="005D361F" w:rsidP="005D361F">
            <w:pPr>
              <w:jc w:val="center"/>
              <w:rPr>
                <w:bCs/>
                <w:color w:val="000000"/>
                <w:lang w:eastAsia="en-US"/>
              </w:rPr>
            </w:pPr>
            <w:r w:rsidRPr="00294F87">
              <w:rPr>
                <w:bCs/>
                <w:color w:val="000000"/>
                <w:lang w:eastAsia="en-US"/>
              </w:rPr>
              <w:t>150,0</w:t>
            </w:r>
          </w:p>
        </w:tc>
        <w:tc>
          <w:tcPr>
            <w:tcW w:w="850" w:type="dxa"/>
            <w:shd w:val="clear" w:color="auto" w:fill="auto"/>
            <w:vAlign w:val="center"/>
          </w:tcPr>
          <w:p w14:paraId="34FA1C16" w14:textId="77777777" w:rsidR="005D361F" w:rsidRPr="00294F87" w:rsidRDefault="005D361F" w:rsidP="005D361F">
            <w:pPr>
              <w:jc w:val="center"/>
              <w:rPr>
                <w:bCs/>
                <w:color w:val="000000"/>
                <w:lang w:eastAsia="en-US"/>
              </w:rPr>
            </w:pPr>
            <w:r w:rsidRPr="00294F87">
              <w:rPr>
                <w:bCs/>
                <w:color w:val="000000"/>
                <w:lang w:eastAsia="en-US"/>
              </w:rPr>
              <w:t>-50,0</w:t>
            </w:r>
          </w:p>
        </w:tc>
        <w:tc>
          <w:tcPr>
            <w:tcW w:w="709" w:type="dxa"/>
            <w:shd w:val="clear" w:color="auto" w:fill="auto"/>
            <w:vAlign w:val="center"/>
          </w:tcPr>
          <w:p w14:paraId="7A143701" w14:textId="77777777" w:rsidR="005D361F" w:rsidRPr="00294F87" w:rsidRDefault="005D361F" w:rsidP="005D361F">
            <w:pPr>
              <w:jc w:val="center"/>
              <w:rPr>
                <w:bCs/>
                <w:color w:val="000000"/>
                <w:lang w:eastAsia="en-US"/>
              </w:rPr>
            </w:pPr>
            <w:r w:rsidRPr="00294F87">
              <w:rPr>
                <w:bCs/>
                <w:color w:val="000000"/>
                <w:lang w:eastAsia="en-US"/>
              </w:rPr>
              <w:t>-72,0</w:t>
            </w:r>
          </w:p>
        </w:tc>
        <w:tc>
          <w:tcPr>
            <w:tcW w:w="709" w:type="dxa"/>
            <w:shd w:val="clear" w:color="auto" w:fill="auto"/>
            <w:vAlign w:val="center"/>
          </w:tcPr>
          <w:p w14:paraId="748F1859"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30A5F942"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6A58143E" w14:textId="77777777" w:rsidR="005D361F" w:rsidRPr="00294F87" w:rsidRDefault="005D361F" w:rsidP="005D361F">
            <w:pPr>
              <w:jc w:val="center"/>
              <w:rPr>
                <w:bCs/>
                <w:color w:val="000000"/>
                <w:lang w:eastAsia="en-US"/>
              </w:rPr>
            </w:pPr>
            <w:r w:rsidRPr="00294F87">
              <w:rPr>
                <w:bCs/>
                <w:color w:val="000000"/>
                <w:lang w:eastAsia="en-US"/>
              </w:rPr>
              <w:t>-3,3</w:t>
            </w:r>
          </w:p>
        </w:tc>
      </w:tr>
      <w:tr w:rsidR="005D361F" w:rsidRPr="00294F87" w14:paraId="27C86643" w14:textId="77777777" w:rsidTr="005D361F">
        <w:trPr>
          <w:trHeight w:val="229"/>
          <w:jc w:val="center"/>
        </w:trPr>
        <w:tc>
          <w:tcPr>
            <w:tcW w:w="3539" w:type="dxa"/>
            <w:shd w:val="clear" w:color="auto" w:fill="auto"/>
            <w:noWrap/>
            <w:vAlign w:val="center"/>
          </w:tcPr>
          <w:p w14:paraId="314EFC95" w14:textId="77777777" w:rsidR="005D361F" w:rsidRPr="00294F87" w:rsidRDefault="005D361F" w:rsidP="005D361F">
            <w:pPr>
              <w:jc w:val="right"/>
              <w:rPr>
                <w:bCs/>
                <w:color w:val="000000"/>
                <w:lang w:eastAsia="en-US"/>
              </w:rPr>
            </w:pPr>
            <w:r w:rsidRPr="00294F87">
              <w:rPr>
                <w:bCs/>
                <w:color w:val="000000"/>
                <w:lang w:eastAsia="en-US"/>
              </w:rPr>
              <w:t>Ieguldījumu fonds</w:t>
            </w:r>
          </w:p>
        </w:tc>
        <w:tc>
          <w:tcPr>
            <w:tcW w:w="1418" w:type="dxa"/>
            <w:shd w:val="clear" w:color="auto" w:fill="auto"/>
            <w:vAlign w:val="center"/>
          </w:tcPr>
          <w:p w14:paraId="3E3CAEF4" w14:textId="77777777" w:rsidR="005D361F" w:rsidRPr="00294F87" w:rsidRDefault="005D361F" w:rsidP="005D361F">
            <w:pPr>
              <w:jc w:val="center"/>
              <w:rPr>
                <w:bCs/>
                <w:color w:val="000000"/>
                <w:lang w:eastAsia="en-US"/>
              </w:rPr>
            </w:pPr>
            <w:r w:rsidRPr="00294F87">
              <w:rPr>
                <w:bCs/>
                <w:color w:val="000000"/>
                <w:lang w:eastAsia="en-US"/>
              </w:rPr>
              <w:t>50,0</w:t>
            </w:r>
          </w:p>
        </w:tc>
        <w:tc>
          <w:tcPr>
            <w:tcW w:w="850" w:type="dxa"/>
            <w:shd w:val="clear" w:color="auto" w:fill="auto"/>
            <w:vAlign w:val="center"/>
          </w:tcPr>
          <w:p w14:paraId="3910A3C7"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4E67DAAA"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013C8FA4"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0B5F3EEE"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5FFDD45A" w14:textId="77777777" w:rsidR="005D361F" w:rsidRPr="00294F87" w:rsidRDefault="005D361F" w:rsidP="005D361F">
            <w:pPr>
              <w:jc w:val="center"/>
              <w:rPr>
                <w:bCs/>
                <w:color w:val="000000"/>
                <w:lang w:eastAsia="en-US"/>
              </w:rPr>
            </w:pPr>
            <w:r w:rsidRPr="00294F87">
              <w:rPr>
                <w:bCs/>
                <w:color w:val="000000"/>
                <w:lang w:eastAsia="en-US"/>
              </w:rPr>
              <w:t>0,0</w:t>
            </w:r>
          </w:p>
        </w:tc>
      </w:tr>
      <w:tr w:rsidR="005D361F" w:rsidRPr="00294F87" w14:paraId="0F52F17D" w14:textId="77777777" w:rsidTr="005D361F">
        <w:trPr>
          <w:trHeight w:val="229"/>
          <w:jc w:val="center"/>
        </w:trPr>
        <w:tc>
          <w:tcPr>
            <w:tcW w:w="3539" w:type="dxa"/>
            <w:shd w:val="clear" w:color="auto" w:fill="auto"/>
            <w:noWrap/>
            <w:vAlign w:val="center"/>
          </w:tcPr>
          <w:p w14:paraId="4E07E72A" w14:textId="77777777" w:rsidR="005D361F" w:rsidRPr="00294F87" w:rsidRDefault="005D361F" w:rsidP="005D361F">
            <w:pPr>
              <w:jc w:val="right"/>
              <w:rPr>
                <w:bCs/>
                <w:color w:val="000000"/>
                <w:highlight w:val="yellow"/>
                <w:lang w:eastAsia="en-US"/>
              </w:rPr>
            </w:pPr>
            <w:r w:rsidRPr="00294F87">
              <w:rPr>
                <w:rFonts w:eastAsia="Calibri"/>
                <w:snapToGrid w:val="0"/>
                <w:lang w:eastAsia="en-US"/>
              </w:rPr>
              <w:t>Atbalsts lielajiem komersantiem</w:t>
            </w:r>
          </w:p>
        </w:tc>
        <w:tc>
          <w:tcPr>
            <w:tcW w:w="1418" w:type="dxa"/>
            <w:shd w:val="clear" w:color="auto" w:fill="auto"/>
            <w:vAlign w:val="center"/>
          </w:tcPr>
          <w:p w14:paraId="203C1365" w14:textId="77777777" w:rsidR="005D361F" w:rsidRPr="00294F87" w:rsidRDefault="005D361F" w:rsidP="005D361F">
            <w:pPr>
              <w:jc w:val="center"/>
              <w:rPr>
                <w:bCs/>
                <w:color w:val="000000"/>
                <w:lang w:eastAsia="en-US"/>
              </w:rPr>
            </w:pPr>
            <w:r w:rsidRPr="00294F87">
              <w:rPr>
                <w:bCs/>
                <w:color w:val="000000"/>
                <w:lang w:eastAsia="en-US"/>
              </w:rPr>
              <w:t>90,0</w:t>
            </w:r>
          </w:p>
        </w:tc>
        <w:tc>
          <w:tcPr>
            <w:tcW w:w="850" w:type="dxa"/>
            <w:shd w:val="clear" w:color="auto" w:fill="auto"/>
            <w:vAlign w:val="center"/>
          </w:tcPr>
          <w:p w14:paraId="3BC0DB10" w14:textId="77777777" w:rsidR="005D361F" w:rsidRPr="00294F87" w:rsidRDefault="005D361F" w:rsidP="005D361F">
            <w:pPr>
              <w:jc w:val="center"/>
              <w:rPr>
                <w:bCs/>
                <w:color w:val="000000"/>
                <w:lang w:eastAsia="en-US"/>
              </w:rPr>
            </w:pPr>
            <w:r w:rsidRPr="00294F87">
              <w:rPr>
                <w:bCs/>
                <w:color w:val="000000"/>
                <w:lang w:eastAsia="en-US"/>
              </w:rPr>
              <w:t>-90,0</w:t>
            </w:r>
          </w:p>
        </w:tc>
        <w:tc>
          <w:tcPr>
            <w:tcW w:w="709" w:type="dxa"/>
            <w:shd w:val="clear" w:color="auto" w:fill="auto"/>
            <w:vAlign w:val="center"/>
          </w:tcPr>
          <w:p w14:paraId="70A0D8B0"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65A5DD02"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271C8658"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0C5AB809" w14:textId="77777777" w:rsidR="005D361F" w:rsidRPr="00294F87" w:rsidRDefault="005D361F" w:rsidP="005D361F">
            <w:pPr>
              <w:jc w:val="center"/>
              <w:rPr>
                <w:bCs/>
                <w:color w:val="000000"/>
                <w:lang w:eastAsia="en-US"/>
              </w:rPr>
            </w:pPr>
            <w:r w:rsidRPr="00294F87">
              <w:rPr>
                <w:bCs/>
                <w:color w:val="000000"/>
                <w:lang w:eastAsia="en-US"/>
              </w:rPr>
              <w:t>-20,0</w:t>
            </w:r>
          </w:p>
        </w:tc>
      </w:tr>
      <w:tr w:rsidR="005D361F" w:rsidRPr="00294F87" w14:paraId="16E8F6EA" w14:textId="77777777" w:rsidTr="005D361F">
        <w:trPr>
          <w:trHeight w:val="229"/>
          <w:jc w:val="center"/>
        </w:trPr>
        <w:tc>
          <w:tcPr>
            <w:tcW w:w="3539" w:type="dxa"/>
            <w:shd w:val="clear" w:color="auto" w:fill="DBE5F1"/>
            <w:noWrap/>
            <w:vAlign w:val="center"/>
            <w:hideMark/>
          </w:tcPr>
          <w:p w14:paraId="7C06EF12" w14:textId="77777777" w:rsidR="005D361F" w:rsidRPr="00294F87" w:rsidRDefault="005D361F" w:rsidP="005D361F">
            <w:pPr>
              <w:jc w:val="both"/>
              <w:rPr>
                <w:b/>
                <w:bCs/>
                <w:color w:val="000000"/>
                <w:lang w:eastAsia="en-US"/>
              </w:rPr>
            </w:pPr>
            <w:r w:rsidRPr="00294F87">
              <w:rPr>
                <w:b/>
                <w:bCs/>
                <w:color w:val="000000"/>
                <w:lang w:eastAsia="en-US"/>
              </w:rPr>
              <w:t>Atbalsts nozarēm</w:t>
            </w:r>
          </w:p>
        </w:tc>
        <w:tc>
          <w:tcPr>
            <w:tcW w:w="1418" w:type="dxa"/>
            <w:shd w:val="clear" w:color="auto" w:fill="DBE5F1"/>
            <w:vAlign w:val="center"/>
            <w:hideMark/>
          </w:tcPr>
          <w:p w14:paraId="310E7B41" w14:textId="77777777" w:rsidR="005D361F" w:rsidRPr="00294F87" w:rsidRDefault="005D361F" w:rsidP="005D361F">
            <w:pPr>
              <w:jc w:val="center"/>
              <w:rPr>
                <w:b/>
                <w:bCs/>
                <w:color w:val="000000"/>
                <w:lang w:eastAsia="en-US"/>
              </w:rPr>
            </w:pPr>
            <w:r w:rsidRPr="00294F87">
              <w:rPr>
                <w:b/>
                <w:bCs/>
                <w:color w:val="000000"/>
                <w:lang w:eastAsia="en-US"/>
              </w:rPr>
              <w:t>785,0</w:t>
            </w:r>
          </w:p>
          <w:p w14:paraId="139B2DE1" w14:textId="77777777" w:rsidR="005D361F" w:rsidRPr="00294F87" w:rsidRDefault="005D361F" w:rsidP="005D361F">
            <w:pPr>
              <w:jc w:val="center"/>
              <w:rPr>
                <w:b/>
                <w:bCs/>
                <w:color w:val="000000"/>
                <w:lang w:eastAsia="en-US"/>
              </w:rPr>
            </w:pPr>
            <w:r w:rsidRPr="00294F87">
              <w:rPr>
                <w:b/>
                <w:bCs/>
                <w:color w:val="000000"/>
                <w:lang w:eastAsia="en-US"/>
              </w:rPr>
              <w:t>(2,8)</w:t>
            </w:r>
          </w:p>
        </w:tc>
        <w:tc>
          <w:tcPr>
            <w:tcW w:w="850" w:type="dxa"/>
            <w:shd w:val="clear" w:color="auto" w:fill="DBE5F1"/>
            <w:vAlign w:val="center"/>
            <w:hideMark/>
          </w:tcPr>
          <w:p w14:paraId="433BCC3B" w14:textId="77777777" w:rsidR="005D361F" w:rsidRPr="00294F87" w:rsidRDefault="005D361F" w:rsidP="005D361F">
            <w:pPr>
              <w:jc w:val="center"/>
              <w:rPr>
                <w:b/>
                <w:bCs/>
                <w:color w:val="000000"/>
                <w:lang w:eastAsia="en-US"/>
              </w:rPr>
            </w:pPr>
            <w:r w:rsidRPr="00294F87">
              <w:rPr>
                <w:b/>
                <w:bCs/>
                <w:color w:val="000000"/>
                <w:lang w:eastAsia="en-US"/>
              </w:rPr>
              <w:t>-679,9</w:t>
            </w:r>
          </w:p>
        </w:tc>
        <w:tc>
          <w:tcPr>
            <w:tcW w:w="709" w:type="dxa"/>
            <w:shd w:val="clear" w:color="auto" w:fill="DBE5F1"/>
            <w:vAlign w:val="center"/>
            <w:hideMark/>
          </w:tcPr>
          <w:p w14:paraId="6816D5D0" w14:textId="77777777" w:rsidR="005D361F" w:rsidRPr="00294F87" w:rsidRDefault="005D361F" w:rsidP="005D361F">
            <w:pPr>
              <w:jc w:val="center"/>
              <w:rPr>
                <w:b/>
                <w:bCs/>
                <w:color w:val="000000"/>
                <w:lang w:eastAsia="en-US"/>
              </w:rPr>
            </w:pPr>
            <w:r w:rsidRPr="00294F87">
              <w:rPr>
                <w:b/>
                <w:bCs/>
                <w:color w:val="000000"/>
                <w:lang w:eastAsia="en-US"/>
              </w:rPr>
              <w:t>-105,3</w:t>
            </w:r>
          </w:p>
        </w:tc>
        <w:tc>
          <w:tcPr>
            <w:tcW w:w="709" w:type="dxa"/>
            <w:shd w:val="clear" w:color="auto" w:fill="DBE5F1"/>
            <w:vAlign w:val="center"/>
            <w:hideMark/>
          </w:tcPr>
          <w:p w14:paraId="4F15795C" w14:textId="77777777" w:rsidR="005D361F" w:rsidRPr="00294F87" w:rsidRDefault="005D361F" w:rsidP="005D361F">
            <w:pPr>
              <w:jc w:val="center"/>
              <w:rPr>
                <w:b/>
                <w:bCs/>
                <w:color w:val="000000"/>
                <w:lang w:eastAsia="en-US"/>
              </w:rPr>
            </w:pPr>
            <w:r w:rsidRPr="00294F87">
              <w:rPr>
                <w:b/>
                <w:bCs/>
                <w:color w:val="000000"/>
                <w:lang w:eastAsia="en-US"/>
              </w:rPr>
              <w:t>0,0</w:t>
            </w:r>
          </w:p>
        </w:tc>
        <w:tc>
          <w:tcPr>
            <w:tcW w:w="708" w:type="dxa"/>
            <w:shd w:val="clear" w:color="auto" w:fill="DBE5F1"/>
            <w:vAlign w:val="center"/>
            <w:hideMark/>
          </w:tcPr>
          <w:p w14:paraId="05DD8E60" w14:textId="77777777" w:rsidR="005D361F" w:rsidRPr="00294F87" w:rsidRDefault="005D361F" w:rsidP="005D361F">
            <w:pPr>
              <w:jc w:val="center"/>
              <w:rPr>
                <w:b/>
                <w:bCs/>
                <w:color w:val="000000"/>
                <w:lang w:eastAsia="en-US"/>
              </w:rPr>
            </w:pPr>
            <w:r w:rsidRPr="00294F87">
              <w:rPr>
                <w:b/>
                <w:bCs/>
                <w:color w:val="000000"/>
                <w:lang w:eastAsia="en-US"/>
              </w:rPr>
              <w:t>0,0</w:t>
            </w:r>
          </w:p>
        </w:tc>
        <w:tc>
          <w:tcPr>
            <w:tcW w:w="1235" w:type="dxa"/>
            <w:shd w:val="clear" w:color="auto" w:fill="DBE5F1"/>
            <w:vAlign w:val="center"/>
            <w:hideMark/>
          </w:tcPr>
          <w:p w14:paraId="1FABA516" w14:textId="77777777" w:rsidR="005D361F" w:rsidRPr="00294F87" w:rsidRDefault="005D361F" w:rsidP="005D361F">
            <w:pPr>
              <w:jc w:val="center"/>
              <w:rPr>
                <w:b/>
                <w:bCs/>
                <w:color w:val="000000"/>
                <w:lang w:eastAsia="en-US"/>
              </w:rPr>
            </w:pPr>
            <w:r w:rsidRPr="00294F87">
              <w:rPr>
                <w:b/>
                <w:bCs/>
                <w:color w:val="000000"/>
                <w:lang w:eastAsia="en-US"/>
              </w:rPr>
              <w:t>-422,6</w:t>
            </w:r>
          </w:p>
        </w:tc>
      </w:tr>
      <w:tr w:rsidR="005D361F" w:rsidRPr="00294F87" w14:paraId="253EB8CA" w14:textId="77777777" w:rsidTr="005D361F">
        <w:trPr>
          <w:trHeight w:val="229"/>
          <w:jc w:val="center"/>
        </w:trPr>
        <w:tc>
          <w:tcPr>
            <w:tcW w:w="3539" w:type="dxa"/>
            <w:shd w:val="clear" w:color="auto" w:fill="auto"/>
            <w:noWrap/>
            <w:vAlign w:val="center"/>
          </w:tcPr>
          <w:p w14:paraId="02553226" w14:textId="77777777" w:rsidR="005D361F" w:rsidRPr="00294F87" w:rsidRDefault="005D361F" w:rsidP="005D361F">
            <w:pPr>
              <w:jc w:val="right"/>
              <w:rPr>
                <w:bCs/>
                <w:color w:val="000000"/>
                <w:lang w:eastAsia="en-US"/>
              </w:rPr>
            </w:pPr>
            <w:r w:rsidRPr="00294F87">
              <w:rPr>
                <w:bCs/>
                <w:color w:val="000000"/>
                <w:lang w:eastAsia="en-US"/>
              </w:rPr>
              <w:t>Atbalsts aviopārvadājumu nozarei</w:t>
            </w:r>
          </w:p>
        </w:tc>
        <w:tc>
          <w:tcPr>
            <w:tcW w:w="1418" w:type="dxa"/>
            <w:shd w:val="clear" w:color="auto" w:fill="auto"/>
            <w:vAlign w:val="center"/>
          </w:tcPr>
          <w:p w14:paraId="197185B1" w14:textId="77777777" w:rsidR="005D361F" w:rsidRPr="00294F87" w:rsidRDefault="005D361F" w:rsidP="005D361F">
            <w:pPr>
              <w:jc w:val="center"/>
              <w:rPr>
                <w:bCs/>
                <w:color w:val="000000"/>
                <w:lang w:eastAsia="en-US"/>
              </w:rPr>
            </w:pPr>
            <w:r w:rsidRPr="00294F87">
              <w:rPr>
                <w:bCs/>
                <w:color w:val="000000"/>
                <w:lang w:eastAsia="en-US"/>
              </w:rPr>
              <w:t>310,4</w:t>
            </w:r>
          </w:p>
        </w:tc>
        <w:tc>
          <w:tcPr>
            <w:tcW w:w="850" w:type="dxa"/>
            <w:shd w:val="clear" w:color="auto" w:fill="auto"/>
            <w:vAlign w:val="center"/>
          </w:tcPr>
          <w:p w14:paraId="33229F63" w14:textId="77777777" w:rsidR="005D361F" w:rsidRPr="00294F87" w:rsidRDefault="005D361F" w:rsidP="005D361F">
            <w:pPr>
              <w:jc w:val="center"/>
              <w:rPr>
                <w:bCs/>
                <w:color w:val="000000"/>
                <w:lang w:eastAsia="en-US"/>
              </w:rPr>
            </w:pPr>
            <w:r w:rsidRPr="00294F87">
              <w:rPr>
                <w:bCs/>
                <w:color w:val="000000"/>
                <w:lang w:eastAsia="en-US"/>
              </w:rPr>
              <w:t>-310,4</w:t>
            </w:r>
          </w:p>
        </w:tc>
        <w:tc>
          <w:tcPr>
            <w:tcW w:w="709" w:type="dxa"/>
            <w:shd w:val="clear" w:color="auto" w:fill="auto"/>
            <w:vAlign w:val="center"/>
          </w:tcPr>
          <w:p w14:paraId="52495967"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62F7A659"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51B58DAE"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3D0934E3" w14:textId="77777777" w:rsidR="005D361F" w:rsidRPr="00294F87" w:rsidRDefault="005D361F" w:rsidP="005D361F">
            <w:pPr>
              <w:jc w:val="center"/>
              <w:rPr>
                <w:bCs/>
                <w:color w:val="000000"/>
                <w:lang w:eastAsia="en-US"/>
              </w:rPr>
            </w:pPr>
            <w:r w:rsidRPr="00294F87">
              <w:rPr>
                <w:bCs/>
                <w:color w:val="000000"/>
                <w:lang w:eastAsia="en-US"/>
              </w:rPr>
              <w:t>-256,0</w:t>
            </w:r>
          </w:p>
        </w:tc>
      </w:tr>
      <w:tr w:rsidR="005D361F" w:rsidRPr="00294F87" w14:paraId="48494CF8" w14:textId="77777777" w:rsidTr="005D361F">
        <w:trPr>
          <w:trHeight w:val="70"/>
          <w:jc w:val="center"/>
        </w:trPr>
        <w:tc>
          <w:tcPr>
            <w:tcW w:w="3539" w:type="dxa"/>
            <w:shd w:val="clear" w:color="auto" w:fill="auto"/>
            <w:noWrap/>
            <w:vAlign w:val="center"/>
          </w:tcPr>
          <w:p w14:paraId="7243EC6E" w14:textId="77777777" w:rsidR="005D361F" w:rsidRPr="00294F87" w:rsidRDefault="005D361F" w:rsidP="005D361F">
            <w:pPr>
              <w:jc w:val="right"/>
              <w:rPr>
                <w:bCs/>
                <w:color w:val="000000"/>
                <w:lang w:eastAsia="en-US"/>
              </w:rPr>
            </w:pPr>
            <w:r w:rsidRPr="00294F87">
              <w:rPr>
                <w:bCs/>
                <w:color w:val="000000"/>
                <w:lang w:eastAsia="en-US"/>
              </w:rPr>
              <w:t>Ar veselības aprūpi saistīts atbalsts</w:t>
            </w:r>
          </w:p>
        </w:tc>
        <w:tc>
          <w:tcPr>
            <w:tcW w:w="1418" w:type="dxa"/>
            <w:shd w:val="clear" w:color="auto" w:fill="auto"/>
            <w:vAlign w:val="center"/>
          </w:tcPr>
          <w:p w14:paraId="32D22A01" w14:textId="77777777" w:rsidR="005D361F" w:rsidRPr="00294F87" w:rsidRDefault="005D361F" w:rsidP="005D361F">
            <w:pPr>
              <w:jc w:val="center"/>
              <w:rPr>
                <w:bCs/>
                <w:color w:val="000000"/>
                <w:lang w:eastAsia="en-US"/>
              </w:rPr>
            </w:pPr>
            <w:r w:rsidRPr="00294F87">
              <w:rPr>
                <w:bCs/>
                <w:color w:val="000000"/>
                <w:lang w:eastAsia="en-US"/>
              </w:rPr>
              <w:t>183,6</w:t>
            </w:r>
          </w:p>
        </w:tc>
        <w:tc>
          <w:tcPr>
            <w:tcW w:w="850" w:type="dxa"/>
            <w:shd w:val="clear" w:color="auto" w:fill="auto"/>
            <w:vAlign w:val="center"/>
          </w:tcPr>
          <w:p w14:paraId="43A22D86" w14:textId="77777777" w:rsidR="005D361F" w:rsidRPr="00294F87" w:rsidRDefault="005D361F" w:rsidP="005D361F">
            <w:pPr>
              <w:jc w:val="center"/>
              <w:rPr>
                <w:bCs/>
                <w:color w:val="000000"/>
                <w:lang w:eastAsia="en-US"/>
              </w:rPr>
            </w:pPr>
            <w:r w:rsidRPr="00294F87">
              <w:rPr>
                <w:bCs/>
                <w:color w:val="000000"/>
                <w:lang w:eastAsia="en-US"/>
              </w:rPr>
              <w:t>-134,3</w:t>
            </w:r>
          </w:p>
        </w:tc>
        <w:tc>
          <w:tcPr>
            <w:tcW w:w="709" w:type="dxa"/>
            <w:shd w:val="clear" w:color="auto" w:fill="auto"/>
            <w:vAlign w:val="center"/>
          </w:tcPr>
          <w:p w14:paraId="3FB93A42" w14:textId="77777777" w:rsidR="005D361F" w:rsidRPr="00294F87" w:rsidRDefault="005D361F" w:rsidP="005D361F">
            <w:pPr>
              <w:jc w:val="center"/>
              <w:rPr>
                <w:bCs/>
                <w:color w:val="000000"/>
                <w:lang w:eastAsia="en-US"/>
              </w:rPr>
            </w:pPr>
            <w:r w:rsidRPr="00294F87">
              <w:rPr>
                <w:bCs/>
                <w:color w:val="000000"/>
                <w:lang w:eastAsia="en-US"/>
              </w:rPr>
              <w:t>-49,3</w:t>
            </w:r>
          </w:p>
        </w:tc>
        <w:tc>
          <w:tcPr>
            <w:tcW w:w="709" w:type="dxa"/>
            <w:shd w:val="clear" w:color="auto" w:fill="auto"/>
            <w:vAlign w:val="center"/>
          </w:tcPr>
          <w:p w14:paraId="3FFCC1E1"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5EA6AEA7"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3B87154F" w14:textId="77777777" w:rsidR="005D361F" w:rsidRPr="00294F87" w:rsidRDefault="005D361F" w:rsidP="005D361F">
            <w:pPr>
              <w:jc w:val="center"/>
              <w:rPr>
                <w:bCs/>
                <w:color w:val="000000"/>
                <w:lang w:eastAsia="en-US"/>
              </w:rPr>
            </w:pPr>
            <w:r w:rsidRPr="00294F87">
              <w:rPr>
                <w:bCs/>
                <w:color w:val="000000"/>
                <w:lang w:eastAsia="en-US"/>
              </w:rPr>
              <w:t>-65,7</w:t>
            </w:r>
          </w:p>
        </w:tc>
      </w:tr>
      <w:tr w:rsidR="005D361F" w:rsidRPr="00294F87" w14:paraId="79FE4C01" w14:textId="77777777" w:rsidTr="005D361F">
        <w:trPr>
          <w:trHeight w:val="229"/>
          <w:jc w:val="center"/>
        </w:trPr>
        <w:tc>
          <w:tcPr>
            <w:tcW w:w="3539" w:type="dxa"/>
            <w:shd w:val="clear" w:color="auto" w:fill="auto"/>
            <w:noWrap/>
            <w:vAlign w:val="center"/>
          </w:tcPr>
          <w:p w14:paraId="3F1A94B2" w14:textId="77777777" w:rsidR="005D361F" w:rsidRPr="00294F87" w:rsidRDefault="005D361F" w:rsidP="005D361F">
            <w:pPr>
              <w:jc w:val="right"/>
              <w:rPr>
                <w:bCs/>
                <w:color w:val="000000"/>
                <w:lang w:eastAsia="en-US"/>
              </w:rPr>
            </w:pPr>
            <w:r w:rsidRPr="00294F87">
              <w:rPr>
                <w:bCs/>
                <w:color w:val="000000"/>
                <w:lang w:eastAsia="en-US"/>
              </w:rPr>
              <w:t>Valsts autoceļu būvniecībai un tiltu remontiem</w:t>
            </w:r>
          </w:p>
        </w:tc>
        <w:tc>
          <w:tcPr>
            <w:tcW w:w="1418" w:type="dxa"/>
            <w:shd w:val="clear" w:color="auto" w:fill="auto"/>
            <w:vAlign w:val="center"/>
          </w:tcPr>
          <w:p w14:paraId="79C738E4" w14:textId="77777777" w:rsidR="005D361F" w:rsidRPr="00294F87" w:rsidRDefault="005D361F" w:rsidP="005D361F">
            <w:pPr>
              <w:jc w:val="center"/>
              <w:rPr>
                <w:bCs/>
                <w:color w:val="000000"/>
                <w:lang w:eastAsia="en-US"/>
              </w:rPr>
            </w:pPr>
            <w:r w:rsidRPr="00294F87">
              <w:rPr>
                <w:bCs/>
                <w:color w:val="000000"/>
                <w:lang w:eastAsia="en-US"/>
              </w:rPr>
              <w:t>75,0</w:t>
            </w:r>
          </w:p>
        </w:tc>
        <w:tc>
          <w:tcPr>
            <w:tcW w:w="850" w:type="dxa"/>
            <w:shd w:val="clear" w:color="auto" w:fill="auto"/>
            <w:vAlign w:val="center"/>
          </w:tcPr>
          <w:p w14:paraId="6ADE86ED" w14:textId="77777777" w:rsidR="005D361F" w:rsidRPr="00294F87" w:rsidRDefault="005D361F" w:rsidP="005D361F">
            <w:pPr>
              <w:jc w:val="center"/>
              <w:rPr>
                <w:bCs/>
                <w:color w:val="000000"/>
                <w:lang w:eastAsia="en-US"/>
              </w:rPr>
            </w:pPr>
            <w:r w:rsidRPr="00294F87">
              <w:rPr>
                <w:bCs/>
                <w:color w:val="000000"/>
                <w:lang w:eastAsia="en-US"/>
              </w:rPr>
              <w:t>-75,0</w:t>
            </w:r>
          </w:p>
        </w:tc>
        <w:tc>
          <w:tcPr>
            <w:tcW w:w="709" w:type="dxa"/>
            <w:shd w:val="clear" w:color="auto" w:fill="auto"/>
            <w:vAlign w:val="center"/>
          </w:tcPr>
          <w:p w14:paraId="75EB14ED"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568EB86A"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3C459F23"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55F6D961" w14:textId="77777777" w:rsidR="005D361F" w:rsidRPr="00294F87" w:rsidRDefault="005D361F" w:rsidP="005D361F">
            <w:pPr>
              <w:jc w:val="center"/>
              <w:rPr>
                <w:bCs/>
                <w:color w:val="000000"/>
                <w:lang w:eastAsia="en-US"/>
              </w:rPr>
            </w:pPr>
            <w:r w:rsidRPr="00294F87">
              <w:rPr>
                <w:bCs/>
                <w:color w:val="000000"/>
                <w:lang w:eastAsia="en-US"/>
              </w:rPr>
              <w:t>-9,3</w:t>
            </w:r>
          </w:p>
        </w:tc>
      </w:tr>
      <w:tr w:rsidR="005D361F" w:rsidRPr="00294F87" w14:paraId="61B7AF39" w14:textId="77777777" w:rsidTr="005D361F">
        <w:trPr>
          <w:trHeight w:val="229"/>
          <w:jc w:val="center"/>
        </w:trPr>
        <w:tc>
          <w:tcPr>
            <w:tcW w:w="3539" w:type="dxa"/>
            <w:shd w:val="clear" w:color="auto" w:fill="auto"/>
            <w:noWrap/>
            <w:vAlign w:val="center"/>
          </w:tcPr>
          <w:p w14:paraId="2BB6C68A" w14:textId="77777777" w:rsidR="005D361F" w:rsidRPr="00294F87" w:rsidRDefault="005D361F" w:rsidP="005D361F">
            <w:pPr>
              <w:jc w:val="right"/>
              <w:rPr>
                <w:bCs/>
                <w:color w:val="000000"/>
                <w:lang w:eastAsia="en-US"/>
              </w:rPr>
            </w:pPr>
            <w:r w:rsidRPr="00294F87">
              <w:rPr>
                <w:bCs/>
                <w:color w:val="000000"/>
                <w:lang w:eastAsia="en-US"/>
              </w:rPr>
              <w:t>Atbalsts pasažieru un kravu pārvadātājiem</w:t>
            </w:r>
          </w:p>
        </w:tc>
        <w:tc>
          <w:tcPr>
            <w:tcW w:w="1418" w:type="dxa"/>
            <w:shd w:val="clear" w:color="auto" w:fill="auto"/>
            <w:vAlign w:val="center"/>
          </w:tcPr>
          <w:p w14:paraId="1DEB5F7F" w14:textId="77777777" w:rsidR="005D361F" w:rsidRPr="00294F87" w:rsidRDefault="005D361F" w:rsidP="005D361F">
            <w:pPr>
              <w:jc w:val="center"/>
              <w:rPr>
                <w:bCs/>
                <w:color w:val="000000"/>
                <w:lang w:eastAsia="en-US"/>
              </w:rPr>
            </w:pPr>
            <w:r w:rsidRPr="00294F87">
              <w:rPr>
                <w:bCs/>
                <w:color w:val="000000"/>
                <w:lang w:eastAsia="en-US"/>
              </w:rPr>
              <w:t>66,0</w:t>
            </w:r>
          </w:p>
        </w:tc>
        <w:tc>
          <w:tcPr>
            <w:tcW w:w="850" w:type="dxa"/>
            <w:shd w:val="clear" w:color="auto" w:fill="auto"/>
            <w:vAlign w:val="center"/>
          </w:tcPr>
          <w:p w14:paraId="69BB49ED" w14:textId="77777777" w:rsidR="005D361F" w:rsidRPr="00294F87" w:rsidRDefault="005D361F" w:rsidP="005D361F">
            <w:pPr>
              <w:jc w:val="center"/>
              <w:rPr>
                <w:bCs/>
                <w:color w:val="000000"/>
                <w:lang w:eastAsia="en-US"/>
              </w:rPr>
            </w:pPr>
            <w:r w:rsidRPr="00294F87">
              <w:rPr>
                <w:bCs/>
                <w:color w:val="000000"/>
                <w:lang w:eastAsia="en-US"/>
              </w:rPr>
              <w:t>-66,0</w:t>
            </w:r>
          </w:p>
        </w:tc>
        <w:tc>
          <w:tcPr>
            <w:tcW w:w="709" w:type="dxa"/>
            <w:shd w:val="clear" w:color="auto" w:fill="auto"/>
            <w:vAlign w:val="center"/>
          </w:tcPr>
          <w:p w14:paraId="510FEB2E"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6ABE14A2"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192A6B49"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0B62A098" w14:textId="77777777" w:rsidR="005D361F" w:rsidRPr="00294F87" w:rsidRDefault="005D361F" w:rsidP="005D361F">
            <w:pPr>
              <w:jc w:val="center"/>
              <w:rPr>
                <w:bCs/>
                <w:color w:val="000000"/>
                <w:lang w:eastAsia="en-US"/>
              </w:rPr>
            </w:pPr>
            <w:r w:rsidRPr="00294F87">
              <w:rPr>
                <w:bCs/>
                <w:color w:val="000000"/>
                <w:lang w:eastAsia="en-US"/>
              </w:rPr>
              <w:t>-58,9</w:t>
            </w:r>
          </w:p>
        </w:tc>
      </w:tr>
      <w:tr w:rsidR="005D361F" w:rsidRPr="00294F87" w14:paraId="365C12D9" w14:textId="77777777" w:rsidTr="005D361F">
        <w:trPr>
          <w:trHeight w:val="229"/>
          <w:jc w:val="center"/>
        </w:trPr>
        <w:tc>
          <w:tcPr>
            <w:tcW w:w="3539" w:type="dxa"/>
            <w:shd w:val="clear" w:color="auto" w:fill="auto"/>
            <w:noWrap/>
            <w:vAlign w:val="center"/>
          </w:tcPr>
          <w:p w14:paraId="5ECA0CE6" w14:textId="77777777" w:rsidR="005D361F" w:rsidRPr="00294F87" w:rsidRDefault="005D361F" w:rsidP="005D361F">
            <w:pPr>
              <w:jc w:val="right"/>
              <w:rPr>
                <w:bCs/>
                <w:color w:val="000000"/>
                <w:lang w:eastAsia="en-US"/>
              </w:rPr>
            </w:pPr>
            <w:r w:rsidRPr="00294F87">
              <w:rPr>
                <w:bCs/>
                <w:color w:val="000000"/>
                <w:lang w:eastAsia="en-US"/>
              </w:rPr>
              <w:t>Finansiālo grūtību mazināšanai lauksaimniecības, mežsaimniecības, zivsaimniecības un pārtikas ražošanas nozarēm</w:t>
            </w:r>
          </w:p>
        </w:tc>
        <w:tc>
          <w:tcPr>
            <w:tcW w:w="1418" w:type="dxa"/>
            <w:shd w:val="clear" w:color="auto" w:fill="auto"/>
            <w:vAlign w:val="center"/>
          </w:tcPr>
          <w:p w14:paraId="085DC2AD" w14:textId="77777777" w:rsidR="005D361F" w:rsidRPr="00294F87" w:rsidRDefault="005D361F" w:rsidP="005D361F">
            <w:pPr>
              <w:jc w:val="center"/>
              <w:rPr>
                <w:bCs/>
                <w:color w:val="000000"/>
                <w:lang w:eastAsia="en-US"/>
              </w:rPr>
            </w:pPr>
            <w:r w:rsidRPr="00294F87">
              <w:rPr>
                <w:bCs/>
                <w:color w:val="000000"/>
                <w:lang w:eastAsia="en-US"/>
              </w:rPr>
              <w:t>45,5</w:t>
            </w:r>
          </w:p>
        </w:tc>
        <w:tc>
          <w:tcPr>
            <w:tcW w:w="850" w:type="dxa"/>
            <w:shd w:val="clear" w:color="auto" w:fill="auto"/>
            <w:vAlign w:val="center"/>
          </w:tcPr>
          <w:p w14:paraId="100228A3" w14:textId="77777777" w:rsidR="005D361F" w:rsidRPr="00294F87" w:rsidRDefault="005D361F" w:rsidP="005D361F">
            <w:pPr>
              <w:jc w:val="center"/>
              <w:rPr>
                <w:bCs/>
                <w:color w:val="000000"/>
                <w:lang w:eastAsia="en-US"/>
              </w:rPr>
            </w:pPr>
            <w:r w:rsidRPr="00294F87">
              <w:rPr>
                <w:bCs/>
                <w:color w:val="000000"/>
                <w:lang w:eastAsia="en-US"/>
              </w:rPr>
              <w:t>-45,5</w:t>
            </w:r>
          </w:p>
        </w:tc>
        <w:tc>
          <w:tcPr>
            <w:tcW w:w="709" w:type="dxa"/>
            <w:shd w:val="clear" w:color="auto" w:fill="auto"/>
            <w:vAlign w:val="center"/>
          </w:tcPr>
          <w:p w14:paraId="3DDDBB20"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7E608028"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57216DF3"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3883E103" w14:textId="77777777" w:rsidR="005D361F" w:rsidRPr="00294F87" w:rsidRDefault="005D361F" w:rsidP="005D361F">
            <w:pPr>
              <w:jc w:val="center"/>
              <w:rPr>
                <w:bCs/>
                <w:color w:val="000000"/>
                <w:lang w:eastAsia="en-US"/>
              </w:rPr>
            </w:pPr>
            <w:r w:rsidRPr="00294F87">
              <w:rPr>
                <w:bCs/>
                <w:color w:val="000000"/>
                <w:lang w:eastAsia="en-US"/>
              </w:rPr>
              <w:t>-12,6</w:t>
            </w:r>
          </w:p>
        </w:tc>
      </w:tr>
      <w:tr w:rsidR="005D361F" w:rsidRPr="00294F87" w14:paraId="5F3AA50B" w14:textId="77777777" w:rsidTr="005D361F">
        <w:trPr>
          <w:trHeight w:val="229"/>
          <w:jc w:val="center"/>
        </w:trPr>
        <w:tc>
          <w:tcPr>
            <w:tcW w:w="3539" w:type="dxa"/>
            <w:shd w:val="clear" w:color="auto" w:fill="auto"/>
            <w:noWrap/>
            <w:vAlign w:val="center"/>
          </w:tcPr>
          <w:p w14:paraId="054BD1BF" w14:textId="77777777" w:rsidR="005D361F" w:rsidRPr="00294F87" w:rsidRDefault="005D361F" w:rsidP="005D361F">
            <w:pPr>
              <w:jc w:val="right"/>
              <w:rPr>
                <w:bCs/>
                <w:color w:val="000000"/>
                <w:lang w:eastAsia="en-US"/>
              </w:rPr>
            </w:pPr>
            <w:r w:rsidRPr="00294F87">
              <w:rPr>
                <w:bCs/>
                <w:color w:val="000000"/>
                <w:lang w:eastAsia="en-US"/>
              </w:rPr>
              <w:t>Atbalsts kultūras nozarei</w:t>
            </w:r>
          </w:p>
        </w:tc>
        <w:tc>
          <w:tcPr>
            <w:tcW w:w="1418" w:type="dxa"/>
            <w:shd w:val="clear" w:color="auto" w:fill="auto"/>
            <w:vAlign w:val="center"/>
          </w:tcPr>
          <w:p w14:paraId="48BA47BB" w14:textId="77777777" w:rsidR="005D361F" w:rsidRPr="00294F87" w:rsidRDefault="005D361F" w:rsidP="005D361F">
            <w:pPr>
              <w:jc w:val="center"/>
              <w:rPr>
                <w:bCs/>
                <w:color w:val="000000"/>
                <w:lang w:eastAsia="en-US"/>
              </w:rPr>
            </w:pPr>
            <w:r w:rsidRPr="00294F87">
              <w:rPr>
                <w:bCs/>
                <w:color w:val="000000"/>
                <w:lang w:eastAsia="en-US"/>
              </w:rPr>
              <w:t>32,7</w:t>
            </w:r>
          </w:p>
        </w:tc>
        <w:tc>
          <w:tcPr>
            <w:tcW w:w="850" w:type="dxa"/>
            <w:shd w:val="clear" w:color="auto" w:fill="auto"/>
            <w:vAlign w:val="center"/>
          </w:tcPr>
          <w:p w14:paraId="2D5EA561" w14:textId="77777777" w:rsidR="005D361F" w:rsidRPr="00294F87" w:rsidRDefault="005D361F" w:rsidP="005D361F">
            <w:pPr>
              <w:jc w:val="center"/>
              <w:rPr>
                <w:bCs/>
                <w:color w:val="000000"/>
                <w:lang w:eastAsia="en-US"/>
              </w:rPr>
            </w:pPr>
            <w:r w:rsidRPr="00294F87">
              <w:rPr>
                <w:bCs/>
                <w:color w:val="000000"/>
                <w:lang w:eastAsia="en-US"/>
              </w:rPr>
              <w:t>-21,4</w:t>
            </w:r>
          </w:p>
        </w:tc>
        <w:tc>
          <w:tcPr>
            <w:tcW w:w="709" w:type="dxa"/>
            <w:shd w:val="clear" w:color="auto" w:fill="auto"/>
            <w:vAlign w:val="center"/>
          </w:tcPr>
          <w:p w14:paraId="22FB48EA" w14:textId="77777777" w:rsidR="005D361F" w:rsidRPr="00294F87" w:rsidRDefault="005D361F" w:rsidP="005D361F">
            <w:pPr>
              <w:jc w:val="center"/>
              <w:rPr>
                <w:bCs/>
                <w:color w:val="000000"/>
                <w:lang w:eastAsia="en-US"/>
              </w:rPr>
            </w:pPr>
            <w:r w:rsidRPr="00294F87">
              <w:rPr>
                <w:bCs/>
                <w:color w:val="000000"/>
                <w:lang w:eastAsia="en-US"/>
              </w:rPr>
              <w:t>-11,2</w:t>
            </w:r>
          </w:p>
        </w:tc>
        <w:tc>
          <w:tcPr>
            <w:tcW w:w="709" w:type="dxa"/>
            <w:shd w:val="clear" w:color="auto" w:fill="auto"/>
            <w:vAlign w:val="center"/>
          </w:tcPr>
          <w:p w14:paraId="1D290836"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4A2CB2DE"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2FD6D1C8" w14:textId="77777777" w:rsidR="005D361F" w:rsidRPr="00294F87" w:rsidRDefault="005D361F" w:rsidP="005D361F">
            <w:pPr>
              <w:jc w:val="center"/>
              <w:rPr>
                <w:bCs/>
                <w:color w:val="000000"/>
                <w:lang w:eastAsia="en-US"/>
              </w:rPr>
            </w:pPr>
            <w:r w:rsidRPr="00294F87">
              <w:rPr>
                <w:bCs/>
                <w:color w:val="000000"/>
                <w:lang w:eastAsia="en-US"/>
              </w:rPr>
              <w:t>-9,3</w:t>
            </w:r>
          </w:p>
        </w:tc>
      </w:tr>
      <w:tr w:rsidR="005D361F" w:rsidRPr="00294F87" w14:paraId="416D9A12" w14:textId="77777777" w:rsidTr="005D361F">
        <w:trPr>
          <w:trHeight w:val="229"/>
          <w:jc w:val="center"/>
        </w:trPr>
        <w:tc>
          <w:tcPr>
            <w:tcW w:w="3539" w:type="dxa"/>
            <w:shd w:val="clear" w:color="auto" w:fill="DBE5F1"/>
            <w:noWrap/>
            <w:vAlign w:val="center"/>
            <w:hideMark/>
          </w:tcPr>
          <w:p w14:paraId="67DA8A75" w14:textId="77777777" w:rsidR="005D361F" w:rsidRPr="00294F87" w:rsidRDefault="005D361F" w:rsidP="005D361F">
            <w:pPr>
              <w:jc w:val="both"/>
              <w:rPr>
                <w:b/>
                <w:bCs/>
                <w:color w:val="000000"/>
                <w:lang w:eastAsia="en-US"/>
              </w:rPr>
            </w:pPr>
            <w:r w:rsidRPr="00294F87">
              <w:rPr>
                <w:b/>
                <w:bCs/>
                <w:color w:val="000000"/>
                <w:lang w:eastAsia="en-US"/>
              </w:rPr>
              <w:t>ES fondu finansējuma atbalsts</w:t>
            </w:r>
          </w:p>
        </w:tc>
        <w:tc>
          <w:tcPr>
            <w:tcW w:w="1418" w:type="dxa"/>
            <w:shd w:val="clear" w:color="auto" w:fill="DBE5F1"/>
            <w:vAlign w:val="center"/>
            <w:hideMark/>
          </w:tcPr>
          <w:p w14:paraId="45FEA72F" w14:textId="77777777" w:rsidR="005D361F" w:rsidRPr="00294F87" w:rsidRDefault="005D361F" w:rsidP="005D361F">
            <w:pPr>
              <w:jc w:val="center"/>
              <w:rPr>
                <w:b/>
                <w:bCs/>
                <w:color w:val="000000"/>
                <w:lang w:eastAsia="en-US"/>
              </w:rPr>
            </w:pPr>
            <w:r w:rsidRPr="00294F87">
              <w:rPr>
                <w:b/>
                <w:bCs/>
                <w:color w:val="000000"/>
                <w:lang w:eastAsia="en-US"/>
              </w:rPr>
              <w:t xml:space="preserve">761,9 </w:t>
            </w:r>
          </w:p>
          <w:p w14:paraId="55609981" w14:textId="77777777" w:rsidR="005D361F" w:rsidRPr="00294F87" w:rsidRDefault="005D361F" w:rsidP="005D361F">
            <w:pPr>
              <w:jc w:val="center"/>
              <w:rPr>
                <w:b/>
                <w:bCs/>
                <w:color w:val="000000"/>
                <w:lang w:eastAsia="en-US"/>
              </w:rPr>
            </w:pPr>
            <w:r w:rsidRPr="00294F87">
              <w:rPr>
                <w:b/>
                <w:bCs/>
                <w:color w:val="000000"/>
                <w:lang w:eastAsia="en-US"/>
              </w:rPr>
              <w:t>(2,7)</w:t>
            </w:r>
          </w:p>
        </w:tc>
        <w:tc>
          <w:tcPr>
            <w:tcW w:w="850" w:type="dxa"/>
            <w:shd w:val="clear" w:color="auto" w:fill="DBE5F1"/>
            <w:vAlign w:val="center"/>
            <w:hideMark/>
          </w:tcPr>
          <w:p w14:paraId="75EDC51F" w14:textId="77777777" w:rsidR="005D361F" w:rsidRPr="00294F87" w:rsidRDefault="005D361F" w:rsidP="005D361F">
            <w:pPr>
              <w:jc w:val="center"/>
              <w:rPr>
                <w:b/>
                <w:bCs/>
                <w:color w:val="000000"/>
                <w:lang w:eastAsia="en-US"/>
              </w:rPr>
            </w:pPr>
            <w:r w:rsidRPr="00294F87">
              <w:rPr>
                <w:b/>
                <w:bCs/>
                <w:color w:val="000000"/>
                <w:lang w:eastAsia="en-US"/>
              </w:rPr>
              <w:t>0,0</w:t>
            </w:r>
          </w:p>
        </w:tc>
        <w:tc>
          <w:tcPr>
            <w:tcW w:w="709" w:type="dxa"/>
            <w:shd w:val="clear" w:color="auto" w:fill="DBE5F1"/>
            <w:vAlign w:val="center"/>
            <w:hideMark/>
          </w:tcPr>
          <w:p w14:paraId="3DB03F9B" w14:textId="77777777" w:rsidR="005D361F" w:rsidRPr="00294F87" w:rsidRDefault="005D361F" w:rsidP="005D361F">
            <w:pPr>
              <w:jc w:val="center"/>
              <w:rPr>
                <w:b/>
                <w:bCs/>
                <w:color w:val="000000"/>
                <w:lang w:eastAsia="en-US"/>
              </w:rPr>
            </w:pPr>
            <w:r w:rsidRPr="00294F87">
              <w:rPr>
                <w:b/>
                <w:bCs/>
                <w:color w:val="000000"/>
                <w:lang w:eastAsia="en-US"/>
              </w:rPr>
              <w:t>-8,0</w:t>
            </w:r>
          </w:p>
        </w:tc>
        <w:tc>
          <w:tcPr>
            <w:tcW w:w="709" w:type="dxa"/>
            <w:shd w:val="clear" w:color="auto" w:fill="DBE5F1"/>
            <w:vAlign w:val="center"/>
            <w:hideMark/>
          </w:tcPr>
          <w:p w14:paraId="2D84F533" w14:textId="77777777" w:rsidR="005D361F" w:rsidRPr="00294F87" w:rsidRDefault="005D361F" w:rsidP="005D361F">
            <w:pPr>
              <w:jc w:val="center"/>
              <w:rPr>
                <w:b/>
                <w:bCs/>
                <w:color w:val="000000"/>
                <w:lang w:eastAsia="en-US"/>
              </w:rPr>
            </w:pPr>
            <w:r w:rsidRPr="00294F87">
              <w:rPr>
                <w:b/>
                <w:bCs/>
                <w:color w:val="000000"/>
                <w:lang w:eastAsia="en-US"/>
              </w:rPr>
              <w:t>-6,4</w:t>
            </w:r>
          </w:p>
        </w:tc>
        <w:tc>
          <w:tcPr>
            <w:tcW w:w="708" w:type="dxa"/>
            <w:shd w:val="clear" w:color="auto" w:fill="DBE5F1"/>
            <w:vAlign w:val="center"/>
            <w:hideMark/>
          </w:tcPr>
          <w:p w14:paraId="60BF81D6" w14:textId="77777777" w:rsidR="005D361F" w:rsidRPr="00294F87" w:rsidRDefault="005D361F" w:rsidP="005D361F">
            <w:pPr>
              <w:jc w:val="center"/>
              <w:rPr>
                <w:b/>
                <w:bCs/>
                <w:color w:val="000000"/>
                <w:lang w:eastAsia="en-US"/>
              </w:rPr>
            </w:pPr>
            <w:r w:rsidRPr="00294F87">
              <w:rPr>
                <w:b/>
                <w:bCs/>
                <w:color w:val="000000"/>
                <w:lang w:eastAsia="en-US"/>
              </w:rPr>
              <w:t>-2,9</w:t>
            </w:r>
          </w:p>
        </w:tc>
        <w:tc>
          <w:tcPr>
            <w:tcW w:w="1235" w:type="dxa"/>
            <w:shd w:val="clear" w:color="auto" w:fill="DBE5F1"/>
            <w:vAlign w:val="center"/>
            <w:hideMark/>
          </w:tcPr>
          <w:p w14:paraId="2DE4E68E" w14:textId="77777777" w:rsidR="005D361F" w:rsidRPr="00294F87" w:rsidRDefault="005D361F" w:rsidP="005D361F">
            <w:pPr>
              <w:jc w:val="center"/>
              <w:rPr>
                <w:b/>
                <w:bCs/>
                <w:color w:val="000000"/>
                <w:lang w:eastAsia="en-US"/>
              </w:rPr>
            </w:pPr>
            <w:r w:rsidRPr="00294F87">
              <w:rPr>
                <w:b/>
                <w:bCs/>
                <w:color w:val="000000"/>
                <w:lang w:eastAsia="en-US"/>
              </w:rPr>
              <w:t>0,0</w:t>
            </w:r>
          </w:p>
        </w:tc>
      </w:tr>
      <w:tr w:rsidR="005D361F" w:rsidRPr="00294F87" w14:paraId="372412F7" w14:textId="77777777" w:rsidTr="005D361F">
        <w:trPr>
          <w:trHeight w:val="229"/>
          <w:jc w:val="center"/>
        </w:trPr>
        <w:tc>
          <w:tcPr>
            <w:tcW w:w="3539" w:type="dxa"/>
            <w:shd w:val="clear" w:color="auto" w:fill="auto"/>
            <w:noWrap/>
            <w:vAlign w:val="center"/>
          </w:tcPr>
          <w:p w14:paraId="24BC7F21" w14:textId="77777777" w:rsidR="005D361F" w:rsidRPr="00294F87" w:rsidRDefault="005D361F" w:rsidP="005D361F">
            <w:pPr>
              <w:jc w:val="right"/>
              <w:rPr>
                <w:bCs/>
                <w:color w:val="000000"/>
                <w:lang w:eastAsia="en-US"/>
              </w:rPr>
            </w:pPr>
            <w:r w:rsidRPr="00294F87">
              <w:rPr>
                <w:bCs/>
                <w:color w:val="000000"/>
                <w:lang w:eastAsia="en-US"/>
              </w:rPr>
              <w:t>ES fondu finansējuma pārdales</w:t>
            </w:r>
          </w:p>
        </w:tc>
        <w:tc>
          <w:tcPr>
            <w:tcW w:w="1418" w:type="dxa"/>
            <w:shd w:val="clear" w:color="auto" w:fill="auto"/>
            <w:vAlign w:val="center"/>
          </w:tcPr>
          <w:p w14:paraId="6E65DF9D" w14:textId="77777777" w:rsidR="005D361F" w:rsidRPr="00294F87" w:rsidRDefault="005D361F" w:rsidP="005D361F">
            <w:pPr>
              <w:jc w:val="center"/>
              <w:rPr>
                <w:bCs/>
                <w:color w:val="000000"/>
                <w:lang w:eastAsia="en-US"/>
              </w:rPr>
            </w:pPr>
            <w:r w:rsidRPr="00294F87">
              <w:rPr>
                <w:bCs/>
                <w:color w:val="000000"/>
                <w:lang w:eastAsia="en-US"/>
              </w:rPr>
              <w:t>496,0</w:t>
            </w:r>
          </w:p>
        </w:tc>
        <w:tc>
          <w:tcPr>
            <w:tcW w:w="850" w:type="dxa"/>
            <w:shd w:val="clear" w:color="auto" w:fill="auto"/>
            <w:vAlign w:val="center"/>
          </w:tcPr>
          <w:p w14:paraId="554086F1"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27859D99"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4BFBCC73"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15DF37C3"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2F6B0178" w14:textId="77777777" w:rsidR="005D361F" w:rsidRPr="00294F87" w:rsidRDefault="005D361F" w:rsidP="005D361F">
            <w:pPr>
              <w:jc w:val="center"/>
              <w:rPr>
                <w:bCs/>
                <w:color w:val="000000"/>
                <w:lang w:eastAsia="en-US"/>
              </w:rPr>
            </w:pPr>
            <w:r w:rsidRPr="00294F87">
              <w:rPr>
                <w:bCs/>
                <w:color w:val="000000"/>
                <w:lang w:eastAsia="en-US"/>
              </w:rPr>
              <w:t>0,0</w:t>
            </w:r>
          </w:p>
        </w:tc>
      </w:tr>
      <w:tr w:rsidR="005D361F" w:rsidRPr="00294F87" w14:paraId="6FF0640C" w14:textId="77777777" w:rsidTr="005D361F">
        <w:trPr>
          <w:trHeight w:val="229"/>
          <w:jc w:val="center"/>
        </w:trPr>
        <w:tc>
          <w:tcPr>
            <w:tcW w:w="3539" w:type="dxa"/>
            <w:shd w:val="clear" w:color="auto" w:fill="auto"/>
            <w:noWrap/>
            <w:vAlign w:val="center"/>
          </w:tcPr>
          <w:p w14:paraId="7DF8544F" w14:textId="77777777" w:rsidR="005D361F" w:rsidRPr="00294F87" w:rsidRDefault="005D361F" w:rsidP="005D361F">
            <w:pPr>
              <w:jc w:val="right"/>
              <w:rPr>
                <w:bCs/>
                <w:noProof/>
                <w:color w:val="000000"/>
                <w:lang w:eastAsia="en-US"/>
              </w:rPr>
            </w:pPr>
            <w:r w:rsidRPr="00294F87">
              <w:rPr>
                <w:bCs/>
                <w:noProof/>
                <w:color w:val="000000"/>
                <w:lang w:eastAsia="en-US"/>
              </w:rPr>
              <w:t>ES fondu virssaistības</w:t>
            </w:r>
          </w:p>
        </w:tc>
        <w:tc>
          <w:tcPr>
            <w:tcW w:w="1418" w:type="dxa"/>
            <w:shd w:val="clear" w:color="auto" w:fill="auto"/>
            <w:vAlign w:val="center"/>
          </w:tcPr>
          <w:p w14:paraId="3AC75EF3" w14:textId="77777777" w:rsidR="005D361F" w:rsidRPr="00294F87" w:rsidRDefault="005D361F" w:rsidP="005D361F">
            <w:pPr>
              <w:jc w:val="center"/>
              <w:rPr>
                <w:bCs/>
                <w:color w:val="000000"/>
                <w:lang w:eastAsia="en-US"/>
              </w:rPr>
            </w:pPr>
            <w:r w:rsidRPr="00294F87">
              <w:rPr>
                <w:bCs/>
                <w:color w:val="000000"/>
                <w:lang w:eastAsia="en-US"/>
              </w:rPr>
              <w:t>141,4</w:t>
            </w:r>
          </w:p>
        </w:tc>
        <w:tc>
          <w:tcPr>
            <w:tcW w:w="850" w:type="dxa"/>
            <w:shd w:val="clear" w:color="auto" w:fill="auto"/>
            <w:vAlign w:val="center"/>
          </w:tcPr>
          <w:p w14:paraId="0D925AAF"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42ADAD36"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1BDACEF4" w14:textId="77777777" w:rsidR="005D361F" w:rsidRPr="00294F87" w:rsidRDefault="005D361F" w:rsidP="005D361F">
            <w:pPr>
              <w:jc w:val="center"/>
              <w:rPr>
                <w:bCs/>
                <w:color w:val="000000"/>
                <w:lang w:eastAsia="en-US"/>
              </w:rPr>
            </w:pPr>
            <w:r w:rsidRPr="00294F87">
              <w:rPr>
                <w:bCs/>
                <w:color w:val="000000"/>
                <w:lang w:eastAsia="en-US"/>
              </w:rPr>
              <w:t>0,0</w:t>
            </w:r>
          </w:p>
        </w:tc>
        <w:tc>
          <w:tcPr>
            <w:tcW w:w="708" w:type="dxa"/>
            <w:shd w:val="clear" w:color="auto" w:fill="auto"/>
            <w:vAlign w:val="center"/>
          </w:tcPr>
          <w:p w14:paraId="3442346B" w14:textId="77777777" w:rsidR="005D361F" w:rsidRPr="00294F87" w:rsidRDefault="005D361F" w:rsidP="005D361F">
            <w:pPr>
              <w:jc w:val="center"/>
              <w:rPr>
                <w:bCs/>
                <w:color w:val="000000"/>
                <w:lang w:eastAsia="en-US"/>
              </w:rPr>
            </w:pPr>
            <w:r w:rsidRPr="00294F87">
              <w:rPr>
                <w:bCs/>
                <w:color w:val="000000"/>
                <w:lang w:eastAsia="en-US"/>
              </w:rPr>
              <w:t>0,0</w:t>
            </w:r>
          </w:p>
        </w:tc>
        <w:tc>
          <w:tcPr>
            <w:tcW w:w="1235" w:type="dxa"/>
            <w:shd w:val="clear" w:color="auto" w:fill="auto"/>
            <w:vAlign w:val="center"/>
          </w:tcPr>
          <w:p w14:paraId="6AE1B52D" w14:textId="77777777" w:rsidR="005D361F" w:rsidRPr="00294F87" w:rsidRDefault="005D361F" w:rsidP="005D361F">
            <w:pPr>
              <w:jc w:val="center"/>
              <w:rPr>
                <w:bCs/>
                <w:color w:val="000000"/>
                <w:lang w:eastAsia="en-US"/>
              </w:rPr>
            </w:pPr>
            <w:r w:rsidRPr="00294F87">
              <w:rPr>
                <w:bCs/>
                <w:color w:val="000000"/>
                <w:lang w:eastAsia="en-US"/>
              </w:rPr>
              <w:t>0,0</w:t>
            </w:r>
          </w:p>
        </w:tc>
      </w:tr>
      <w:tr w:rsidR="005D361F" w:rsidRPr="00294F87" w14:paraId="07D527C4" w14:textId="77777777" w:rsidTr="005D361F">
        <w:trPr>
          <w:trHeight w:val="229"/>
          <w:jc w:val="center"/>
        </w:trPr>
        <w:tc>
          <w:tcPr>
            <w:tcW w:w="3539" w:type="dxa"/>
            <w:shd w:val="clear" w:color="auto" w:fill="auto"/>
            <w:noWrap/>
            <w:vAlign w:val="center"/>
          </w:tcPr>
          <w:p w14:paraId="743B255B" w14:textId="77777777" w:rsidR="005D361F" w:rsidRPr="00294F87" w:rsidRDefault="005D361F" w:rsidP="005D361F">
            <w:pPr>
              <w:jc w:val="right"/>
              <w:rPr>
                <w:bCs/>
                <w:noProof/>
                <w:color w:val="000000"/>
                <w:lang w:eastAsia="en-US"/>
              </w:rPr>
            </w:pPr>
            <w:r w:rsidRPr="00294F87">
              <w:rPr>
                <w:bCs/>
                <w:noProof/>
                <w:color w:val="000000"/>
                <w:lang w:eastAsia="en-US"/>
              </w:rPr>
              <w:t>Lauksaimniecības fondu virssaistības</w:t>
            </w:r>
          </w:p>
        </w:tc>
        <w:tc>
          <w:tcPr>
            <w:tcW w:w="1418" w:type="dxa"/>
            <w:shd w:val="clear" w:color="auto" w:fill="auto"/>
            <w:vAlign w:val="center"/>
          </w:tcPr>
          <w:p w14:paraId="1C14FDC9" w14:textId="77777777" w:rsidR="005D361F" w:rsidRPr="00294F87" w:rsidRDefault="005D361F" w:rsidP="005D361F">
            <w:pPr>
              <w:jc w:val="center"/>
              <w:rPr>
                <w:bCs/>
                <w:color w:val="000000"/>
                <w:lang w:eastAsia="en-US"/>
              </w:rPr>
            </w:pPr>
            <w:r w:rsidRPr="00294F87">
              <w:rPr>
                <w:bCs/>
                <w:color w:val="000000"/>
                <w:lang w:eastAsia="en-US"/>
              </w:rPr>
              <w:t>58,0</w:t>
            </w:r>
          </w:p>
        </w:tc>
        <w:tc>
          <w:tcPr>
            <w:tcW w:w="850" w:type="dxa"/>
            <w:shd w:val="clear" w:color="auto" w:fill="auto"/>
            <w:vAlign w:val="center"/>
          </w:tcPr>
          <w:p w14:paraId="6C58C6E2" w14:textId="77777777" w:rsidR="005D361F" w:rsidRPr="00294F87" w:rsidRDefault="005D361F" w:rsidP="005D361F">
            <w:pPr>
              <w:jc w:val="center"/>
              <w:rPr>
                <w:bCs/>
                <w:color w:val="000000"/>
                <w:lang w:eastAsia="en-US"/>
              </w:rPr>
            </w:pPr>
            <w:r w:rsidRPr="00294F87">
              <w:rPr>
                <w:bCs/>
                <w:color w:val="000000"/>
                <w:lang w:eastAsia="en-US"/>
              </w:rPr>
              <w:t>0,0</w:t>
            </w:r>
          </w:p>
        </w:tc>
        <w:tc>
          <w:tcPr>
            <w:tcW w:w="709" w:type="dxa"/>
            <w:shd w:val="clear" w:color="auto" w:fill="auto"/>
            <w:vAlign w:val="center"/>
          </w:tcPr>
          <w:p w14:paraId="24D2B527" w14:textId="77777777" w:rsidR="005D361F" w:rsidRPr="00294F87" w:rsidRDefault="005D361F" w:rsidP="005D361F">
            <w:pPr>
              <w:jc w:val="center"/>
              <w:rPr>
                <w:bCs/>
                <w:color w:val="000000"/>
                <w:lang w:eastAsia="en-US"/>
              </w:rPr>
            </w:pPr>
            <w:r w:rsidRPr="00294F87">
              <w:rPr>
                <w:bCs/>
                <w:color w:val="000000"/>
                <w:lang w:eastAsia="en-US"/>
              </w:rPr>
              <w:t>-8,0</w:t>
            </w:r>
          </w:p>
        </w:tc>
        <w:tc>
          <w:tcPr>
            <w:tcW w:w="709" w:type="dxa"/>
            <w:shd w:val="clear" w:color="auto" w:fill="auto"/>
            <w:vAlign w:val="center"/>
          </w:tcPr>
          <w:p w14:paraId="427C661F" w14:textId="77777777" w:rsidR="005D361F" w:rsidRPr="00294F87" w:rsidRDefault="005D361F" w:rsidP="005D361F">
            <w:pPr>
              <w:jc w:val="center"/>
              <w:rPr>
                <w:bCs/>
                <w:color w:val="000000"/>
                <w:lang w:eastAsia="en-US"/>
              </w:rPr>
            </w:pPr>
            <w:r w:rsidRPr="00294F87">
              <w:rPr>
                <w:bCs/>
                <w:color w:val="000000"/>
                <w:lang w:eastAsia="en-US"/>
              </w:rPr>
              <w:t>-6,4</w:t>
            </w:r>
          </w:p>
        </w:tc>
        <w:tc>
          <w:tcPr>
            <w:tcW w:w="708" w:type="dxa"/>
            <w:shd w:val="clear" w:color="auto" w:fill="auto"/>
            <w:vAlign w:val="center"/>
          </w:tcPr>
          <w:p w14:paraId="39667BA5" w14:textId="77777777" w:rsidR="005D361F" w:rsidRPr="00294F87" w:rsidRDefault="005D361F" w:rsidP="005D361F">
            <w:pPr>
              <w:jc w:val="center"/>
              <w:rPr>
                <w:bCs/>
                <w:color w:val="000000"/>
                <w:lang w:eastAsia="en-US"/>
              </w:rPr>
            </w:pPr>
            <w:r w:rsidRPr="00294F87">
              <w:rPr>
                <w:bCs/>
                <w:color w:val="000000"/>
                <w:lang w:eastAsia="en-US"/>
              </w:rPr>
              <w:t>-2,9</w:t>
            </w:r>
          </w:p>
        </w:tc>
        <w:tc>
          <w:tcPr>
            <w:tcW w:w="1235" w:type="dxa"/>
            <w:shd w:val="clear" w:color="auto" w:fill="auto"/>
            <w:vAlign w:val="center"/>
          </w:tcPr>
          <w:p w14:paraId="2BA22E40" w14:textId="77777777" w:rsidR="005D361F" w:rsidRPr="00294F87" w:rsidRDefault="005D361F" w:rsidP="005D361F">
            <w:pPr>
              <w:jc w:val="center"/>
              <w:rPr>
                <w:bCs/>
                <w:color w:val="000000"/>
                <w:lang w:eastAsia="en-US"/>
              </w:rPr>
            </w:pPr>
            <w:r w:rsidRPr="00294F87">
              <w:rPr>
                <w:bCs/>
                <w:color w:val="000000"/>
                <w:lang w:eastAsia="en-US"/>
              </w:rPr>
              <w:t>0,0</w:t>
            </w:r>
          </w:p>
        </w:tc>
      </w:tr>
    </w:tbl>
    <w:p w14:paraId="17634DDE" w14:textId="77777777" w:rsidR="005D361F" w:rsidRPr="005D361F" w:rsidRDefault="005D361F" w:rsidP="005D361F">
      <w:pPr>
        <w:spacing w:before="120"/>
        <w:jc w:val="both"/>
        <w:rPr>
          <w:rFonts w:ascii="Times New Roman" w:eastAsia="Times New Roman" w:hAnsi="Times New Roman" w:cs="Times New Roman"/>
          <w:i/>
          <w:color w:val="000000"/>
          <w:sz w:val="18"/>
          <w:szCs w:val="18"/>
          <w:lang w:eastAsia="en-US"/>
        </w:rPr>
      </w:pPr>
      <w:r w:rsidRPr="005D361F">
        <w:rPr>
          <w:rFonts w:ascii="Times New Roman" w:eastAsia="Times New Roman" w:hAnsi="Times New Roman" w:cs="Times New Roman"/>
          <w:i/>
          <w:color w:val="000000"/>
          <w:sz w:val="18"/>
          <w:szCs w:val="18"/>
          <w:lang w:eastAsia="en-US"/>
        </w:rPr>
        <w:t>*Valsts kases dati, FM novērtējums</w:t>
      </w:r>
    </w:p>
    <w:p w14:paraId="79D95936" w14:textId="77777777" w:rsidR="00FB5161" w:rsidRPr="008643AC" w:rsidRDefault="00FB5161" w:rsidP="008643AC">
      <w:pPr>
        <w:spacing w:before="120"/>
        <w:jc w:val="both"/>
        <w:rPr>
          <w:rFonts w:ascii="Times New Roman" w:eastAsia="Times New Roman" w:hAnsi="Times New Roman" w:cs="Times New Roman"/>
          <w:color w:val="000000"/>
          <w:sz w:val="17"/>
          <w:szCs w:val="17"/>
          <w:lang w:eastAsia="en-US"/>
        </w:rPr>
      </w:pPr>
    </w:p>
    <w:p w14:paraId="406C13F2" w14:textId="25B348EE" w:rsidR="003F3FCD" w:rsidRPr="00E17E3F" w:rsidRDefault="005D361F" w:rsidP="005D361F">
      <w:pPr>
        <w:pStyle w:val="Heading3"/>
      </w:pPr>
      <w:bookmarkStart w:id="57" w:name="_Toc53154109"/>
      <w:r>
        <w:t>2.2.4.</w:t>
      </w:r>
      <w:r w:rsidR="006C030A">
        <w:t xml:space="preserve"> </w:t>
      </w:r>
      <w:r w:rsidR="000548A5" w:rsidRPr="00E17E3F">
        <w:t xml:space="preserve">Budžeta prognožu salīdzinājums ar aktuālajām </w:t>
      </w:r>
      <w:r w:rsidR="006C030A">
        <w:t>EK</w:t>
      </w:r>
      <w:r w:rsidR="000548A5" w:rsidRPr="00E17E3F">
        <w:t xml:space="preserve"> prognozēm</w:t>
      </w:r>
      <w:bookmarkEnd w:id="57"/>
    </w:p>
    <w:p w14:paraId="0D45F82B" w14:textId="77777777" w:rsidR="003F3FCD" w:rsidRDefault="003F3FCD" w:rsidP="00401A5B">
      <w:pPr>
        <w:widowControl w:val="0"/>
        <w:ind w:firstLine="709"/>
        <w:jc w:val="both"/>
        <w:rPr>
          <w:rFonts w:ascii="Times New Roman" w:eastAsia="Times New Roman" w:hAnsi="Times New Roman" w:cs="Times New Roman"/>
          <w:sz w:val="24"/>
        </w:rPr>
      </w:pPr>
    </w:p>
    <w:p w14:paraId="1F8E1654" w14:textId="76B604B3" w:rsidR="00294F87" w:rsidRPr="00294F87" w:rsidRDefault="00294F87" w:rsidP="00294F87">
      <w:pPr>
        <w:ind w:firstLine="720"/>
        <w:jc w:val="both"/>
        <w:rPr>
          <w:rFonts w:ascii="Times New Roman" w:eastAsia="Calibri" w:hAnsi="Times New Roman" w:cs="Times New Roman"/>
          <w:bCs/>
          <w:sz w:val="28"/>
          <w:szCs w:val="28"/>
          <w:lang w:eastAsia="en-US"/>
        </w:rPr>
      </w:pPr>
      <w:r w:rsidRPr="00294F87">
        <w:rPr>
          <w:rFonts w:ascii="Times New Roman" w:eastAsia="Calibri" w:hAnsi="Times New Roman" w:cs="Times New Roman"/>
          <w:bCs/>
          <w:sz w:val="28"/>
          <w:szCs w:val="28"/>
          <w:lang w:eastAsia="en-US"/>
        </w:rPr>
        <w:t>Salīdzinot FM sagatavotās vispārējās valdības budžeta prognozes ar aktuālajām EK</w:t>
      </w:r>
      <w:r>
        <w:rPr>
          <w:rFonts w:ascii="Times New Roman" w:eastAsia="Calibri" w:hAnsi="Times New Roman" w:cs="Times New Roman"/>
          <w:bCs/>
          <w:sz w:val="28"/>
          <w:szCs w:val="28"/>
          <w:lang w:eastAsia="en-US"/>
        </w:rPr>
        <w:t xml:space="preserve"> </w:t>
      </w:r>
      <w:r w:rsidRPr="00294F87">
        <w:rPr>
          <w:rFonts w:ascii="Times New Roman" w:eastAsia="Calibri" w:hAnsi="Times New Roman" w:cs="Times New Roman"/>
          <w:bCs/>
          <w:sz w:val="28"/>
          <w:szCs w:val="28"/>
          <w:lang w:eastAsia="en-US"/>
        </w:rPr>
        <w:t>prognozēm, ir būtiski ņemt vērā to izstrādes laiku. Paskaidrojumu sagatavošanas brīdī ir pieejamas EK fiskālās progn</w:t>
      </w:r>
      <w:r>
        <w:rPr>
          <w:rFonts w:ascii="Times New Roman" w:eastAsia="Calibri" w:hAnsi="Times New Roman" w:cs="Times New Roman"/>
          <w:bCs/>
          <w:sz w:val="28"/>
          <w:szCs w:val="28"/>
          <w:lang w:eastAsia="en-US"/>
        </w:rPr>
        <w:t>ozes, kas tika publicētas 2020.</w:t>
      </w:r>
      <w:r w:rsidRPr="00294F87">
        <w:rPr>
          <w:rFonts w:ascii="Times New Roman" w:eastAsia="Calibri" w:hAnsi="Times New Roman" w:cs="Times New Roman"/>
          <w:bCs/>
          <w:sz w:val="28"/>
          <w:szCs w:val="28"/>
          <w:lang w:eastAsia="en-US"/>
        </w:rPr>
        <w:t xml:space="preserve">gada maijā. Prognozes tika gatavotas augstas nenoteiktības apstākļos, izplatoties Covid-19 infekcijai un lielākā daļā ES dalībvalstu ieviešot ārkārtējo situāciju. Savukārt, FM gadījumā 2020. gada budžeta deficīta novērtējumā tika ņemta vērā aktuālākā IKP prognoze, kas izstrādāta šā gada jūnijā un </w:t>
      </w:r>
      <w:r>
        <w:rPr>
          <w:rFonts w:ascii="Times New Roman" w:eastAsia="Calibri" w:hAnsi="Times New Roman" w:cs="Times New Roman"/>
          <w:bCs/>
          <w:sz w:val="28"/>
          <w:szCs w:val="28"/>
          <w:lang w:eastAsia="en-US"/>
        </w:rPr>
        <w:t>līdz 20.</w:t>
      </w:r>
      <w:r w:rsidRPr="00294F87">
        <w:rPr>
          <w:rFonts w:ascii="Times New Roman" w:eastAsia="Calibri" w:hAnsi="Times New Roman" w:cs="Times New Roman"/>
          <w:bCs/>
          <w:sz w:val="28"/>
          <w:szCs w:val="28"/>
          <w:lang w:eastAsia="en-US"/>
        </w:rPr>
        <w:t>septembrim apkopotā informācija par Covid-19 atbalsta pasākumu fiskālo ietekmi. Tāpat,</w:t>
      </w:r>
      <w:r>
        <w:rPr>
          <w:rFonts w:ascii="Times New Roman" w:eastAsia="Calibri" w:hAnsi="Times New Roman" w:cs="Times New Roman"/>
          <w:bCs/>
          <w:sz w:val="28"/>
          <w:szCs w:val="28"/>
          <w:lang w:eastAsia="en-US"/>
        </w:rPr>
        <w:t xml:space="preserve"> gatavojot budžetu 2021.</w:t>
      </w:r>
      <w:r w:rsidRPr="00294F87">
        <w:rPr>
          <w:rFonts w:ascii="Times New Roman" w:eastAsia="Calibri" w:hAnsi="Times New Roman" w:cs="Times New Roman"/>
          <w:bCs/>
          <w:sz w:val="28"/>
          <w:szCs w:val="28"/>
          <w:lang w:eastAsia="en-US"/>
        </w:rPr>
        <w:t xml:space="preserve">gadam, ieņēmumu un izdevumu prognozes ir aktualizētas, ņemot vērā valdības pieņemtos lēmumus līdz šā gada oktobrim. </w:t>
      </w:r>
    </w:p>
    <w:p w14:paraId="28FB57E1" w14:textId="443FC86D" w:rsidR="00294F87" w:rsidRDefault="00294F87" w:rsidP="00294F87">
      <w:pPr>
        <w:ind w:firstLine="720"/>
        <w:jc w:val="both"/>
        <w:rPr>
          <w:rFonts w:ascii="Times New Roman" w:eastAsia="Calibri" w:hAnsi="Times New Roman" w:cs="Times New Roman"/>
          <w:bCs/>
          <w:sz w:val="28"/>
          <w:szCs w:val="28"/>
          <w:lang w:eastAsia="en-US"/>
        </w:rPr>
      </w:pPr>
      <w:r w:rsidRPr="00294F87">
        <w:rPr>
          <w:rFonts w:ascii="Times New Roman" w:eastAsia="Calibri" w:hAnsi="Times New Roman" w:cs="Times New Roman"/>
          <w:bCs/>
          <w:sz w:val="28"/>
          <w:szCs w:val="28"/>
          <w:lang w:eastAsia="en-US"/>
        </w:rPr>
        <w:t>Atbilstoši 2020.gada pavasara prognozēm EK prognozē, ka Latvijas vispārējās valdības budžeta deficīts 2020</w:t>
      </w:r>
      <w:r>
        <w:rPr>
          <w:rFonts w:ascii="Times New Roman" w:eastAsia="Calibri" w:hAnsi="Times New Roman" w:cs="Times New Roman"/>
          <w:bCs/>
          <w:sz w:val="28"/>
          <w:szCs w:val="28"/>
          <w:lang w:eastAsia="en-US"/>
        </w:rPr>
        <w:t>.</w:t>
      </w:r>
      <w:r w:rsidRPr="00294F87">
        <w:rPr>
          <w:rFonts w:ascii="Times New Roman" w:eastAsia="Calibri" w:hAnsi="Times New Roman" w:cs="Times New Roman"/>
          <w:bCs/>
          <w:sz w:val="28"/>
          <w:szCs w:val="28"/>
          <w:lang w:eastAsia="en-US"/>
        </w:rPr>
        <w:t>gadā būs 7,3% no IKP un 2021. gadā būs 4,5% no IKP, kas, ņemot vērā lielo prognozēšanas nenoteiktību Covid-19 infekcijas apstākļos, ir tuvu FM prognozēm. Gan FM, gan</w:t>
      </w:r>
      <w:r>
        <w:rPr>
          <w:rFonts w:ascii="Times New Roman" w:eastAsia="Calibri" w:hAnsi="Times New Roman" w:cs="Times New Roman"/>
          <w:bCs/>
          <w:sz w:val="28"/>
          <w:szCs w:val="28"/>
          <w:lang w:eastAsia="en-US"/>
        </w:rPr>
        <w:t xml:space="preserve"> EK prognozē, ka deficīts 2021.</w:t>
      </w:r>
      <w:r w:rsidRPr="00294F87">
        <w:rPr>
          <w:rFonts w:ascii="Times New Roman" w:eastAsia="Calibri" w:hAnsi="Times New Roman" w:cs="Times New Roman"/>
          <w:bCs/>
          <w:sz w:val="28"/>
          <w:szCs w:val="28"/>
          <w:lang w:eastAsia="en-US"/>
        </w:rPr>
        <w:t>gadā, atjaunojoties ekonomikas izaugsmei pēc Covid-19 krīzes un attiecīgi samazinoties atbalsta pasākumu paketei, salīdzinājumā ar 2020</w:t>
      </w:r>
      <w:r>
        <w:rPr>
          <w:rFonts w:ascii="Times New Roman" w:eastAsia="Calibri" w:hAnsi="Times New Roman" w:cs="Times New Roman"/>
          <w:bCs/>
          <w:sz w:val="28"/>
          <w:szCs w:val="28"/>
          <w:lang w:eastAsia="en-US"/>
        </w:rPr>
        <w:t>.gadu samazināsies (skat. 2.5.tabulu).</w:t>
      </w:r>
    </w:p>
    <w:p w14:paraId="5DF8DF14" w14:textId="77777777" w:rsidR="00AE01F6" w:rsidRPr="00294F87" w:rsidRDefault="00AE01F6" w:rsidP="00294F87">
      <w:pPr>
        <w:ind w:firstLine="720"/>
        <w:jc w:val="both"/>
        <w:rPr>
          <w:rFonts w:ascii="Times New Roman" w:eastAsia="Calibri" w:hAnsi="Times New Roman" w:cs="Times New Roman"/>
          <w:bCs/>
          <w:sz w:val="28"/>
          <w:szCs w:val="28"/>
          <w:highlight w:val="yellow"/>
          <w:lang w:eastAsia="en-US"/>
        </w:rPr>
      </w:pPr>
    </w:p>
    <w:p w14:paraId="4D671187" w14:textId="77777777" w:rsidR="00294F87" w:rsidRPr="00294F87" w:rsidRDefault="00294F87" w:rsidP="00AE01F6">
      <w:pPr>
        <w:keepNext/>
        <w:ind w:left="482"/>
        <w:jc w:val="right"/>
        <w:rPr>
          <w:rFonts w:ascii="Times New Roman" w:eastAsia="Times New Roman" w:hAnsi="Times New Roman" w:cs="Times New Roman"/>
          <w:i/>
          <w:sz w:val="24"/>
          <w:szCs w:val="24"/>
          <w:lang w:eastAsia="en-US"/>
        </w:rPr>
      </w:pPr>
      <w:r w:rsidRPr="00294F87">
        <w:rPr>
          <w:rFonts w:ascii="Times New Roman" w:eastAsia="Times New Roman" w:hAnsi="Times New Roman" w:cs="Times New Roman"/>
          <w:b/>
          <w:i/>
          <w:sz w:val="24"/>
          <w:szCs w:val="24"/>
          <w:lang w:eastAsia="en-US"/>
        </w:rPr>
        <w:t>2.5. tabula. FM budžeta prognozes salīdzinājums ar EK prognozi, % no IKP</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025"/>
        <w:gridCol w:w="856"/>
        <w:gridCol w:w="803"/>
        <w:gridCol w:w="855"/>
        <w:gridCol w:w="953"/>
        <w:gridCol w:w="981"/>
      </w:tblGrid>
      <w:tr w:rsidR="00294F87" w:rsidRPr="00294F87" w14:paraId="130370BE" w14:textId="77777777" w:rsidTr="00FD5F28">
        <w:trPr>
          <w:trHeight w:val="242"/>
          <w:jc w:val="center"/>
        </w:trPr>
        <w:tc>
          <w:tcPr>
            <w:tcW w:w="3587" w:type="dxa"/>
            <w:shd w:val="clear" w:color="auto" w:fill="95B3D7"/>
            <w:noWrap/>
            <w:vAlign w:val="bottom"/>
            <w:hideMark/>
          </w:tcPr>
          <w:p w14:paraId="06184A21" w14:textId="77777777" w:rsidR="00294F87" w:rsidRPr="00294F87" w:rsidRDefault="00294F87" w:rsidP="00294F87">
            <w:pPr>
              <w:jc w:val="center"/>
              <w:rPr>
                <w:rFonts w:ascii="Times New Roman" w:eastAsia="Times New Roman" w:hAnsi="Times New Roman" w:cs="Times New Roman"/>
                <w:color w:val="000000"/>
                <w:sz w:val="20"/>
                <w:szCs w:val="20"/>
              </w:rPr>
            </w:pPr>
          </w:p>
        </w:tc>
        <w:tc>
          <w:tcPr>
            <w:tcW w:w="1881" w:type="dxa"/>
            <w:gridSpan w:val="2"/>
            <w:shd w:val="clear" w:color="auto" w:fill="95B3D7"/>
            <w:noWrap/>
            <w:hideMark/>
          </w:tcPr>
          <w:p w14:paraId="6CE07E8C" w14:textId="224DD66B" w:rsidR="00294F87" w:rsidRPr="00294F87" w:rsidRDefault="00294F87" w:rsidP="00294F8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Latvijas</w:t>
            </w:r>
          </w:p>
        </w:tc>
        <w:tc>
          <w:tcPr>
            <w:tcW w:w="1658" w:type="dxa"/>
            <w:gridSpan w:val="2"/>
            <w:shd w:val="clear" w:color="auto" w:fill="95B3D7"/>
          </w:tcPr>
          <w:p w14:paraId="7B63A14A" w14:textId="77777777" w:rsidR="00294F87" w:rsidRPr="00294F87" w:rsidRDefault="00294F87" w:rsidP="00294F87">
            <w:pPr>
              <w:jc w:val="center"/>
              <w:rPr>
                <w:rFonts w:ascii="Times New Roman" w:eastAsia="Times New Roman" w:hAnsi="Times New Roman" w:cs="Times New Roman"/>
                <w:b/>
                <w:bCs/>
                <w:sz w:val="20"/>
                <w:szCs w:val="20"/>
              </w:rPr>
            </w:pPr>
            <w:r w:rsidRPr="00294F87">
              <w:rPr>
                <w:rFonts w:ascii="Times New Roman" w:eastAsia="Times New Roman" w:hAnsi="Times New Roman" w:cs="Times New Roman"/>
                <w:b/>
                <w:bCs/>
                <w:sz w:val="20"/>
                <w:szCs w:val="20"/>
              </w:rPr>
              <w:t>EK</w:t>
            </w:r>
            <w:r w:rsidRPr="00294F87">
              <w:rPr>
                <w:rFonts w:ascii="Times New Roman" w:eastAsia="Times New Roman" w:hAnsi="Times New Roman" w:cs="Times New Roman"/>
                <w:b/>
                <w:bCs/>
                <w:sz w:val="20"/>
                <w:szCs w:val="20"/>
              </w:rPr>
              <w:br/>
            </w:r>
            <w:r w:rsidRPr="00294F87">
              <w:rPr>
                <w:rFonts w:ascii="Times New Roman" w:eastAsia="Times New Roman" w:hAnsi="Times New Roman" w:cs="Times New Roman"/>
                <w:bCs/>
                <w:sz w:val="20"/>
                <w:szCs w:val="20"/>
              </w:rPr>
              <w:t>(pavasaris 2020)</w:t>
            </w:r>
          </w:p>
        </w:tc>
        <w:tc>
          <w:tcPr>
            <w:tcW w:w="1934" w:type="dxa"/>
            <w:gridSpan w:val="2"/>
            <w:shd w:val="clear" w:color="auto" w:fill="95B3D7"/>
          </w:tcPr>
          <w:p w14:paraId="382F8B65" w14:textId="77777777" w:rsidR="00294F87" w:rsidRPr="00294F87" w:rsidRDefault="00294F87" w:rsidP="00294F87">
            <w:pPr>
              <w:jc w:val="center"/>
              <w:rPr>
                <w:rFonts w:ascii="Times New Roman" w:eastAsia="Times New Roman" w:hAnsi="Times New Roman" w:cs="Times New Roman"/>
                <w:b/>
                <w:bCs/>
                <w:sz w:val="20"/>
                <w:szCs w:val="20"/>
              </w:rPr>
            </w:pPr>
            <w:r w:rsidRPr="00294F87">
              <w:rPr>
                <w:rFonts w:ascii="Times New Roman" w:eastAsia="Times New Roman" w:hAnsi="Times New Roman" w:cs="Times New Roman"/>
                <w:b/>
                <w:bCs/>
                <w:sz w:val="20"/>
                <w:szCs w:val="20"/>
              </w:rPr>
              <w:t>Starpība</w:t>
            </w:r>
            <w:r w:rsidRPr="00294F87">
              <w:rPr>
                <w:rFonts w:ascii="Times New Roman" w:eastAsia="Times New Roman" w:hAnsi="Times New Roman" w:cs="Times New Roman"/>
                <w:b/>
                <w:bCs/>
                <w:sz w:val="20"/>
                <w:szCs w:val="20"/>
              </w:rPr>
              <w:br/>
            </w:r>
            <w:r w:rsidRPr="00294F87">
              <w:rPr>
                <w:rFonts w:ascii="Times New Roman" w:eastAsia="Times New Roman" w:hAnsi="Times New Roman" w:cs="Times New Roman"/>
                <w:bCs/>
                <w:sz w:val="20"/>
                <w:szCs w:val="20"/>
              </w:rPr>
              <w:t>(procentpunktos)</w:t>
            </w:r>
          </w:p>
        </w:tc>
      </w:tr>
      <w:tr w:rsidR="00294F87" w:rsidRPr="00294F87" w14:paraId="097CF212" w14:textId="77777777" w:rsidTr="00FD5F28">
        <w:trPr>
          <w:trHeight w:val="242"/>
          <w:jc w:val="center"/>
        </w:trPr>
        <w:tc>
          <w:tcPr>
            <w:tcW w:w="3587" w:type="dxa"/>
            <w:shd w:val="clear" w:color="auto" w:fill="DEEAF6" w:themeFill="accent1" w:themeFillTint="33"/>
            <w:noWrap/>
            <w:vAlign w:val="bottom"/>
          </w:tcPr>
          <w:p w14:paraId="0608F4B4" w14:textId="77777777" w:rsidR="00294F87" w:rsidRPr="00294F87" w:rsidRDefault="00294F87" w:rsidP="00294F87">
            <w:pPr>
              <w:rPr>
                <w:rFonts w:ascii="Times New Roman" w:eastAsia="Times New Roman" w:hAnsi="Times New Roman" w:cs="Times New Roman"/>
                <w:color w:val="000000"/>
                <w:sz w:val="20"/>
                <w:szCs w:val="20"/>
              </w:rPr>
            </w:pPr>
          </w:p>
        </w:tc>
        <w:tc>
          <w:tcPr>
            <w:tcW w:w="1025" w:type="dxa"/>
            <w:shd w:val="clear" w:color="auto" w:fill="DEEAF6" w:themeFill="accent1" w:themeFillTint="33"/>
            <w:noWrap/>
          </w:tcPr>
          <w:p w14:paraId="20A06267" w14:textId="77777777" w:rsidR="00294F87" w:rsidRPr="00294F87" w:rsidRDefault="00294F87" w:rsidP="00294F87">
            <w:pPr>
              <w:jc w:val="center"/>
              <w:rPr>
                <w:rFonts w:ascii="Times New Roman" w:eastAsia="Times New Roman" w:hAnsi="Times New Roman" w:cs="Times New Roman"/>
                <w:b/>
                <w:bCs/>
                <w:sz w:val="20"/>
                <w:szCs w:val="20"/>
              </w:rPr>
            </w:pPr>
            <w:r w:rsidRPr="00294F87">
              <w:rPr>
                <w:rFonts w:ascii="Times New Roman" w:eastAsia="Times New Roman" w:hAnsi="Times New Roman" w:cs="Times New Roman"/>
                <w:b/>
                <w:bCs/>
                <w:sz w:val="20"/>
                <w:szCs w:val="20"/>
              </w:rPr>
              <w:t>2020</w:t>
            </w:r>
          </w:p>
        </w:tc>
        <w:tc>
          <w:tcPr>
            <w:tcW w:w="855" w:type="dxa"/>
            <w:shd w:val="clear" w:color="auto" w:fill="DEEAF6" w:themeFill="accent1" w:themeFillTint="33"/>
          </w:tcPr>
          <w:p w14:paraId="43EBC80F" w14:textId="77777777" w:rsidR="00294F87" w:rsidRPr="00294F87" w:rsidRDefault="00294F87" w:rsidP="00294F87">
            <w:pPr>
              <w:jc w:val="center"/>
              <w:rPr>
                <w:rFonts w:ascii="Times New Roman" w:eastAsia="Times New Roman" w:hAnsi="Times New Roman" w:cs="Times New Roman"/>
                <w:b/>
                <w:bCs/>
                <w:sz w:val="20"/>
                <w:szCs w:val="20"/>
              </w:rPr>
            </w:pPr>
            <w:r w:rsidRPr="00294F87">
              <w:rPr>
                <w:rFonts w:ascii="Times New Roman" w:eastAsia="Times New Roman" w:hAnsi="Times New Roman" w:cs="Times New Roman"/>
                <w:b/>
                <w:bCs/>
                <w:sz w:val="20"/>
                <w:szCs w:val="20"/>
              </w:rPr>
              <w:t>2021</w:t>
            </w:r>
          </w:p>
        </w:tc>
        <w:tc>
          <w:tcPr>
            <w:tcW w:w="803" w:type="dxa"/>
            <w:shd w:val="clear" w:color="auto" w:fill="DEEAF6" w:themeFill="accent1" w:themeFillTint="33"/>
          </w:tcPr>
          <w:p w14:paraId="4766BB98" w14:textId="77777777" w:rsidR="00294F87" w:rsidRPr="00294F87" w:rsidRDefault="00294F87" w:rsidP="00294F87">
            <w:pPr>
              <w:jc w:val="center"/>
              <w:rPr>
                <w:rFonts w:ascii="Times New Roman" w:eastAsia="Times New Roman" w:hAnsi="Times New Roman" w:cs="Times New Roman"/>
                <w:b/>
                <w:bCs/>
                <w:sz w:val="20"/>
                <w:szCs w:val="20"/>
              </w:rPr>
            </w:pPr>
            <w:r w:rsidRPr="00294F87">
              <w:rPr>
                <w:rFonts w:ascii="Times New Roman" w:eastAsia="Times New Roman" w:hAnsi="Times New Roman" w:cs="Times New Roman"/>
                <w:b/>
                <w:bCs/>
                <w:sz w:val="20"/>
                <w:szCs w:val="20"/>
              </w:rPr>
              <w:t>2020</w:t>
            </w:r>
          </w:p>
        </w:tc>
        <w:tc>
          <w:tcPr>
            <w:tcW w:w="854" w:type="dxa"/>
            <w:shd w:val="clear" w:color="auto" w:fill="DEEAF6" w:themeFill="accent1" w:themeFillTint="33"/>
            <w:noWrap/>
          </w:tcPr>
          <w:p w14:paraId="4B378F62" w14:textId="77777777" w:rsidR="00294F87" w:rsidRPr="00294F87" w:rsidRDefault="00294F87" w:rsidP="00294F87">
            <w:pPr>
              <w:jc w:val="center"/>
              <w:rPr>
                <w:rFonts w:ascii="Times New Roman" w:eastAsia="Times New Roman" w:hAnsi="Times New Roman" w:cs="Times New Roman"/>
                <w:b/>
                <w:bCs/>
                <w:sz w:val="20"/>
                <w:szCs w:val="20"/>
              </w:rPr>
            </w:pPr>
            <w:r w:rsidRPr="00294F87">
              <w:rPr>
                <w:rFonts w:ascii="Times New Roman" w:eastAsia="Times New Roman" w:hAnsi="Times New Roman" w:cs="Times New Roman"/>
                <w:b/>
                <w:bCs/>
                <w:sz w:val="20"/>
                <w:szCs w:val="20"/>
              </w:rPr>
              <w:t>2021</w:t>
            </w:r>
          </w:p>
        </w:tc>
        <w:tc>
          <w:tcPr>
            <w:tcW w:w="953" w:type="dxa"/>
            <w:shd w:val="clear" w:color="auto" w:fill="DEEAF6" w:themeFill="accent1" w:themeFillTint="33"/>
          </w:tcPr>
          <w:p w14:paraId="2D848249" w14:textId="77777777" w:rsidR="00294F87" w:rsidRPr="00294F87" w:rsidRDefault="00294F87" w:rsidP="00294F87">
            <w:pPr>
              <w:jc w:val="center"/>
              <w:rPr>
                <w:rFonts w:ascii="Times New Roman" w:eastAsia="Times New Roman" w:hAnsi="Times New Roman" w:cs="Times New Roman"/>
                <w:b/>
                <w:bCs/>
                <w:sz w:val="20"/>
                <w:szCs w:val="20"/>
              </w:rPr>
            </w:pPr>
            <w:r w:rsidRPr="00294F87">
              <w:rPr>
                <w:rFonts w:ascii="Times New Roman" w:eastAsia="Times New Roman" w:hAnsi="Times New Roman" w:cs="Times New Roman"/>
                <w:b/>
                <w:bCs/>
                <w:sz w:val="20"/>
                <w:szCs w:val="20"/>
              </w:rPr>
              <w:t>2020</w:t>
            </w:r>
          </w:p>
        </w:tc>
        <w:tc>
          <w:tcPr>
            <w:tcW w:w="981" w:type="dxa"/>
            <w:shd w:val="clear" w:color="auto" w:fill="DEEAF6" w:themeFill="accent1" w:themeFillTint="33"/>
            <w:noWrap/>
          </w:tcPr>
          <w:p w14:paraId="4F8702A2" w14:textId="77777777" w:rsidR="00294F87" w:rsidRPr="00294F87" w:rsidRDefault="00294F87" w:rsidP="00294F87">
            <w:pPr>
              <w:jc w:val="center"/>
              <w:rPr>
                <w:rFonts w:ascii="Times New Roman" w:eastAsia="Times New Roman" w:hAnsi="Times New Roman" w:cs="Times New Roman"/>
                <w:b/>
                <w:bCs/>
                <w:sz w:val="20"/>
                <w:szCs w:val="20"/>
              </w:rPr>
            </w:pPr>
            <w:r w:rsidRPr="00294F87">
              <w:rPr>
                <w:rFonts w:ascii="Times New Roman" w:eastAsia="Times New Roman" w:hAnsi="Times New Roman" w:cs="Times New Roman"/>
                <w:b/>
                <w:bCs/>
                <w:sz w:val="20"/>
                <w:szCs w:val="20"/>
              </w:rPr>
              <w:t>2021</w:t>
            </w:r>
          </w:p>
        </w:tc>
      </w:tr>
      <w:tr w:rsidR="00294F87" w:rsidRPr="00294F87" w14:paraId="42638A72" w14:textId="77777777" w:rsidTr="00FD5F28">
        <w:trPr>
          <w:trHeight w:val="163"/>
          <w:jc w:val="center"/>
        </w:trPr>
        <w:tc>
          <w:tcPr>
            <w:tcW w:w="3587" w:type="dxa"/>
            <w:shd w:val="clear" w:color="auto" w:fill="auto"/>
            <w:vAlign w:val="center"/>
            <w:hideMark/>
          </w:tcPr>
          <w:p w14:paraId="195F61A0" w14:textId="77777777" w:rsidR="00294F87" w:rsidRPr="00294F87" w:rsidRDefault="00294F87" w:rsidP="00294F87">
            <w:pPr>
              <w:rPr>
                <w:rFonts w:ascii="Times New Roman" w:eastAsia="Times New Roman" w:hAnsi="Times New Roman" w:cs="Times New Roman"/>
                <w:b/>
                <w:bCs/>
                <w:sz w:val="20"/>
                <w:szCs w:val="20"/>
              </w:rPr>
            </w:pPr>
            <w:r w:rsidRPr="00294F87">
              <w:rPr>
                <w:rFonts w:ascii="Times New Roman" w:eastAsia="Times New Roman" w:hAnsi="Times New Roman" w:cs="Times New Roman"/>
                <w:b/>
                <w:bCs/>
                <w:sz w:val="20"/>
                <w:szCs w:val="20"/>
              </w:rPr>
              <w:t>Vispārējās valdības budžeta bilance</w:t>
            </w:r>
          </w:p>
        </w:tc>
        <w:tc>
          <w:tcPr>
            <w:tcW w:w="1025" w:type="dxa"/>
            <w:shd w:val="clear" w:color="auto" w:fill="auto"/>
            <w:noWrap/>
            <w:vAlign w:val="bottom"/>
            <w:hideMark/>
          </w:tcPr>
          <w:p w14:paraId="7B30FCBB"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-7,6</w:t>
            </w:r>
          </w:p>
        </w:tc>
        <w:tc>
          <w:tcPr>
            <w:tcW w:w="855" w:type="dxa"/>
            <w:shd w:val="clear" w:color="auto" w:fill="auto"/>
            <w:vAlign w:val="bottom"/>
          </w:tcPr>
          <w:p w14:paraId="215C8853"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-3,9</w:t>
            </w:r>
          </w:p>
        </w:tc>
        <w:tc>
          <w:tcPr>
            <w:tcW w:w="803" w:type="dxa"/>
            <w:shd w:val="clear" w:color="auto" w:fill="auto"/>
            <w:vAlign w:val="bottom"/>
          </w:tcPr>
          <w:p w14:paraId="75E68B53"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-7,3</w:t>
            </w:r>
          </w:p>
        </w:tc>
        <w:tc>
          <w:tcPr>
            <w:tcW w:w="854" w:type="dxa"/>
            <w:shd w:val="clear" w:color="auto" w:fill="auto"/>
            <w:noWrap/>
            <w:vAlign w:val="bottom"/>
            <w:hideMark/>
          </w:tcPr>
          <w:p w14:paraId="287BF1AE"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-4,5</w:t>
            </w:r>
          </w:p>
        </w:tc>
        <w:tc>
          <w:tcPr>
            <w:tcW w:w="953" w:type="dxa"/>
            <w:shd w:val="clear" w:color="auto" w:fill="auto"/>
          </w:tcPr>
          <w:p w14:paraId="35F363DF" w14:textId="77777777" w:rsidR="00294F87" w:rsidRPr="00294F87" w:rsidRDefault="00294F87" w:rsidP="00294F87">
            <w:pPr>
              <w:jc w:val="right"/>
              <w:rPr>
                <w:rFonts w:ascii="Times New Roman" w:eastAsia="Times New Roman" w:hAnsi="Times New Roman" w:cs="Times New Roman"/>
                <w:b/>
                <w:bCs/>
                <w:color w:val="000000"/>
                <w:sz w:val="20"/>
                <w:szCs w:val="20"/>
                <w:lang w:eastAsia="en-US"/>
              </w:rPr>
            </w:pPr>
            <w:r w:rsidRPr="00294F87">
              <w:rPr>
                <w:rFonts w:ascii="Times New Roman" w:eastAsia="Times New Roman" w:hAnsi="Times New Roman" w:cs="Times New Roman"/>
                <w:b/>
                <w:bCs/>
                <w:color w:val="000000"/>
                <w:sz w:val="20"/>
                <w:szCs w:val="20"/>
                <w:lang w:eastAsia="en-US"/>
              </w:rPr>
              <w:t>0,3</w:t>
            </w:r>
          </w:p>
        </w:tc>
        <w:tc>
          <w:tcPr>
            <w:tcW w:w="981" w:type="dxa"/>
            <w:shd w:val="clear" w:color="auto" w:fill="auto"/>
            <w:noWrap/>
            <w:vAlign w:val="bottom"/>
            <w:hideMark/>
          </w:tcPr>
          <w:p w14:paraId="554B3CAD" w14:textId="77777777" w:rsidR="00294F87" w:rsidRPr="00294F87" w:rsidRDefault="00294F87" w:rsidP="00294F87">
            <w:pPr>
              <w:jc w:val="right"/>
              <w:rPr>
                <w:rFonts w:ascii="Times New Roman" w:eastAsia="Times New Roman" w:hAnsi="Times New Roman" w:cs="Times New Roman"/>
                <w:b/>
                <w:bCs/>
                <w:color w:val="000000"/>
                <w:sz w:val="20"/>
                <w:szCs w:val="20"/>
                <w:lang w:eastAsia="en-US"/>
              </w:rPr>
            </w:pPr>
            <w:r w:rsidRPr="00294F87">
              <w:rPr>
                <w:rFonts w:ascii="Times New Roman" w:eastAsia="Times New Roman" w:hAnsi="Times New Roman" w:cs="Times New Roman"/>
                <w:b/>
                <w:bCs/>
                <w:color w:val="000000"/>
                <w:sz w:val="20"/>
                <w:szCs w:val="20"/>
                <w:lang w:eastAsia="en-US"/>
              </w:rPr>
              <w:t>-0,6</w:t>
            </w:r>
          </w:p>
        </w:tc>
      </w:tr>
      <w:tr w:rsidR="00294F87" w:rsidRPr="00294F87" w14:paraId="58BAE1A0" w14:textId="77777777" w:rsidTr="00FD5F28">
        <w:trPr>
          <w:trHeight w:val="63"/>
          <w:jc w:val="center"/>
        </w:trPr>
        <w:tc>
          <w:tcPr>
            <w:tcW w:w="3587" w:type="dxa"/>
            <w:shd w:val="clear" w:color="auto" w:fill="auto"/>
            <w:noWrap/>
            <w:vAlign w:val="center"/>
            <w:hideMark/>
          </w:tcPr>
          <w:p w14:paraId="7FC309D5" w14:textId="77777777" w:rsidR="00294F87" w:rsidRPr="00294F87" w:rsidRDefault="00294F87" w:rsidP="00294F87">
            <w:pPr>
              <w:ind w:left="-225" w:firstLineChars="100" w:firstLine="200"/>
              <w:jc w:val="both"/>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Ieņēmumi</w:t>
            </w:r>
          </w:p>
        </w:tc>
        <w:tc>
          <w:tcPr>
            <w:tcW w:w="1025" w:type="dxa"/>
            <w:shd w:val="clear" w:color="auto" w:fill="auto"/>
            <w:noWrap/>
            <w:vAlign w:val="bottom"/>
          </w:tcPr>
          <w:p w14:paraId="785D2916"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39,8</w:t>
            </w:r>
          </w:p>
        </w:tc>
        <w:tc>
          <w:tcPr>
            <w:tcW w:w="855" w:type="dxa"/>
            <w:shd w:val="clear" w:color="auto" w:fill="auto"/>
            <w:vAlign w:val="bottom"/>
          </w:tcPr>
          <w:p w14:paraId="28FE22CF"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39,2</w:t>
            </w:r>
          </w:p>
        </w:tc>
        <w:tc>
          <w:tcPr>
            <w:tcW w:w="803" w:type="dxa"/>
            <w:vAlign w:val="bottom"/>
          </w:tcPr>
          <w:p w14:paraId="388A35BE"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37,8</w:t>
            </w:r>
          </w:p>
        </w:tc>
        <w:tc>
          <w:tcPr>
            <w:tcW w:w="854" w:type="dxa"/>
            <w:shd w:val="clear" w:color="auto" w:fill="auto"/>
            <w:noWrap/>
            <w:vAlign w:val="bottom"/>
          </w:tcPr>
          <w:p w14:paraId="293C8BFF"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37,0</w:t>
            </w:r>
          </w:p>
        </w:tc>
        <w:tc>
          <w:tcPr>
            <w:tcW w:w="953" w:type="dxa"/>
          </w:tcPr>
          <w:p w14:paraId="12D3848A" w14:textId="77777777" w:rsidR="00294F87" w:rsidRPr="00294F87" w:rsidRDefault="00294F87" w:rsidP="00294F87">
            <w:pPr>
              <w:jc w:val="right"/>
              <w:rPr>
                <w:rFonts w:ascii="Times New Roman" w:eastAsia="Times New Roman" w:hAnsi="Times New Roman" w:cs="Times New Roman"/>
                <w:b/>
                <w:bCs/>
                <w:color w:val="000000"/>
                <w:sz w:val="20"/>
                <w:szCs w:val="20"/>
                <w:lang w:eastAsia="en-US"/>
              </w:rPr>
            </w:pPr>
            <w:r w:rsidRPr="00294F87">
              <w:rPr>
                <w:rFonts w:ascii="Times New Roman" w:eastAsia="Times New Roman" w:hAnsi="Times New Roman" w:cs="Times New Roman"/>
                <w:b/>
                <w:bCs/>
                <w:color w:val="000000"/>
                <w:sz w:val="20"/>
                <w:szCs w:val="20"/>
                <w:lang w:eastAsia="en-US"/>
              </w:rPr>
              <w:t>-2,0</w:t>
            </w:r>
          </w:p>
        </w:tc>
        <w:tc>
          <w:tcPr>
            <w:tcW w:w="981" w:type="dxa"/>
            <w:shd w:val="clear" w:color="auto" w:fill="auto"/>
            <w:noWrap/>
            <w:vAlign w:val="bottom"/>
          </w:tcPr>
          <w:p w14:paraId="57905FDF" w14:textId="77777777" w:rsidR="00294F87" w:rsidRPr="00294F87" w:rsidRDefault="00294F87" w:rsidP="00294F87">
            <w:pPr>
              <w:jc w:val="right"/>
              <w:rPr>
                <w:rFonts w:ascii="Times New Roman" w:eastAsia="Times New Roman" w:hAnsi="Times New Roman" w:cs="Times New Roman"/>
                <w:b/>
                <w:bCs/>
                <w:color w:val="000000"/>
                <w:sz w:val="20"/>
                <w:szCs w:val="20"/>
                <w:lang w:eastAsia="en-US"/>
              </w:rPr>
            </w:pPr>
            <w:r w:rsidRPr="00294F87">
              <w:rPr>
                <w:rFonts w:ascii="Times New Roman" w:eastAsia="Times New Roman" w:hAnsi="Times New Roman" w:cs="Times New Roman"/>
                <w:b/>
                <w:bCs/>
                <w:color w:val="000000"/>
                <w:sz w:val="20"/>
                <w:szCs w:val="20"/>
                <w:lang w:eastAsia="en-US"/>
              </w:rPr>
              <w:t>-2,2</w:t>
            </w:r>
          </w:p>
        </w:tc>
      </w:tr>
      <w:tr w:rsidR="00294F87" w:rsidRPr="00294F87" w14:paraId="4E4E02C2" w14:textId="77777777" w:rsidTr="00FD5F28">
        <w:trPr>
          <w:trHeight w:val="69"/>
          <w:jc w:val="center"/>
        </w:trPr>
        <w:tc>
          <w:tcPr>
            <w:tcW w:w="3587" w:type="dxa"/>
            <w:shd w:val="clear" w:color="auto" w:fill="auto"/>
            <w:noWrap/>
            <w:vAlign w:val="center"/>
            <w:hideMark/>
          </w:tcPr>
          <w:p w14:paraId="146E9B62" w14:textId="77777777" w:rsidR="00294F87" w:rsidRPr="00294F87" w:rsidRDefault="00294F87" w:rsidP="00294F87">
            <w:pPr>
              <w:ind w:left="-239" w:firstLineChars="200" w:firstLine="400"/>
              <w:jc w:val="both"/>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Nodokļu ieņēmumi</w:t>
            </w:r>
            <w:r w:rsidRPr="00294F87">
              <w:rPr>
                <w:rFonts w:ascii="Times New Roman" w:eastAsia="Times New Roman" w:hAnsi="Times New Roman" w:cs="Times New Roman"/>
                <w:sz w:val="20"/>
                <w:szCs w:val="20"/>
                <w:vertAlign w:val="superscript"/>
              </w:rPr>
              <w:footnoteReference w:id="11"/>
            </w:r>
          </w:p>
        </w:tc>
        <w:tc>
          <w:tcPr>
            <w:tcW w:w="1025" w:type="dxa"/>
            <w:shd w:val="clear" w:color="auto" w:fill="auto"/>
            <w:noWrap/>
            <w:vAlign w:val="bottom"/>
          </w:tcPr>
          <w:p w14:paraId="724BB36C"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32,2</w:t>
            </w:r>
          </w:p>
        </w:tc>
        <w:tc>
          <w:tcPr>
            <w:tcW w:w="855" w:type="dxa"/>
            <w:shd w:val="clear" w:color="auto" w:fill="auto"/>
            <w:vAlign w:val="bottom"/>
          </w:tcPr>
          <w:p w14:paraId="5D2F389C"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32,5</w:t>
            </w:r>
          </w:p>
        </w:tc>
        <w:tc>
          <w:tcPr>
            <w:tcW w:w="803" w:type="dxa"/>
            <w:vAlign w:val="bottom"/>
          </w:tcPr>
          <w:p w14:paraId="779B949B"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30,1</w:t>
            </w:r>
          </w:p>
        </w:tc>
        <w:tc>
          <w:tcPr>
            <w:tcW w:w="854" w:type="dxa"/>
            <w:shd w:val="clear" w:color="auto" w:fill="auto"/>
            <w:noWrap/>
            <w:vAlign w:val="bottom"/>
          </w:tcPr>
          <w:p w14:paraId="26A0F9A4"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29,7</w:t>
            </w:r>
          </w:p>
        </w:tc>
        <w:tc>
          <w:tcPr>
            <w:tcW w:w="953" w:type="dxa"/>
          </w:tcPr>
          <w:p w14:paraId="0895E1D2"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-2,1</w:t>
            </w:r>
          </w:p>
        </w:tc>
        <w:tc>
          <w:tcPr>
            <w:tcW w:w="981" w:type="dxa"/>
            <w:shd w:val="clear" w:color="auto" w:fill="auto"/>
            <w:noWrap/>
            <w:vAlign w:val="bottom"/>
          </w:tcPr>
          <w:p w14:paraId="7904F593"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-2,8</w:t>
            </w:r>
          </w:p>
        </w:tc>
      </w:tr>
      <w:tr w:rsidR="00294F87" w:rsidRPr="00294F87" w14:paraId="26059EAD" w14:textId="77777777" w:rsidTr="00FD5F28">
        <w:trPr>
          <w:trHeight w:val="69"/>
          <w:jc w:val="center"/>
        </w:trPr>
        <w:tc>
          <w:tcPr>
            <w:tcW w:w="3587" w:type="dxa"/>
            <w:shd w:val="clear" w:color="auto" w:fill="auto"/>
            <w:noWrap/>
            <w:vAlign w:val="center"/>
            <w:hideMark/>
          </w:tcPr>
          <w:p w14:paraId="21CCBE25" w14:textId="77777777" w:rsidR="00294F87" w:rsidRPr="00294F87" w:rsidRDefault="00294F87" w:rsidP="00294F87">
            <w:pPr>
              <w:ind w:left="-239" w:firstLineChars="200" w:firstLine="400"/>
              <w:jc w:val="both"/>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Pārējie ieņēmumi</w:t>
            </w:r>
          </w:p>
        </w:tc>
        <w:tc>
          <w:tcPr>
            <w:tcW w:w="1025" w:type="dxa"/>
            <w:shd w:val="clear" w:color="auto" w:fill="auto"/>
            <w:noWrap/>
            <w:vAlign w:val="bottom"/>
          </w:tcPr>
          <w:p w14:paraId="46A759F9"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7,5</w:t>
            </w:r>
          </w:p>
        </w:tc>
        <w:tc>
          <w:tcPr>
            <w:tcW w:w="855" w:type="dxa"/>
            <w:shd w:val="clear" w:color="auto" w:fill="auto"/>
            <w:vAlign w:val="bottom"/>
          </w:tcPr>
          <w:p w14:paraId="1D3378B4"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6,8</w:t>
            </w:r>
          </w:p>
        </w:tc>
        <w:tc>
          <w:tcPr>
            <w:tcW w:w="803" w:type="dxa"/>
            <w:vAlign w:val="bottom"/>
          </w:tcPr>
          <w:p w14:paraId="5AAA63A9"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7,7</w:t>
            </w:r>
          </w:p>
        </w:tc>
        <w:tc>
          <w:tcPr>
            <w:tcW w:w="854" w:type="dxa"/>
            <w:shd w:val="clear" w:color="auto" w:fill="auto"/>
            <w:noWrap/>
            <w:vAlign w:val="bottom"/>
          </w:tcPr>
          <w:p w14:paraId="55BE352B"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7,3</w:t>
            </w:r>
          </w:p>
        </w:tc>
        <w:tc>
          <w:tcPr>
            <w:tcW w:w="953" w:type="dxa"/>
          </w:tcPr>
          <w:p w14:paraId="7D0A863D"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0,2</w:t>
            </w:r>
          </w:p>
        </w:tc>
        <w:tc>
          <w:tcPr>
            <w:tcW w:w="981" w:type="dxa"/>
            <w:shd w:val="clear" w:color="auto" w:fill="auto"/>
            <w:noWrap/>
            <w:vAlign w:val="bottom"/>
          </w:tcPr>
          <w:p w14:paraId="17CCC747"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0,5</w:t>
            </w:r>
          </w:p>
        </w:tc>
      </w:tr>
      <w:tr w:rsidR="00294F87" w:rsidRPr="00294F87" w14:paraId="4C14D365" w14:textId="77777777" w:rsidTr="00FD5F28">
        <w:trPr>
          <w:trHeight w:val="63"/>
          <w:jc w:val="center"/>
        </w:trPr>
        <w:tc>
          <w:tcPr>
            <w:tcW w:w="3587" w:type="dxa"/>
            <w:shd w:val="clear" w:color="auto" w:fill="auto"/>
            <w:noWrap/>
            <w:vAlign w:val="center"/>
            <w:hideMark/>
          </w:tcPr>
          <w:p w14:paraId="40A508F2" w14:textId="77777777" w:rsidR="00294F87" w:rsidRPr="00294F87" w:rsidRDefault="00294F87" w:rsidP="00294F87">
            <w:pPr>
              <w:ind w:left="-225" w:firstLineChars="100" w:firstLine="200"/>
              <w:jc w:val="both"/>
              <w:rPr>
                <w:rFonts w:ascii="Times New Roman" w:eastAsia="Times New Roman" w:hAnsi="Times New Roman" w:cs="Times New Roman"/>
                <w:b/>
                <w:sz w:val="20"/>
                <w:szCs w:val="20"/>
              </w:rPr>
            </w:pPr>
            <w:r w:rsidRPr="00294F87">
              <w:rPr>
                <w:rFonts w:ascii="Times New Roman" w:eastAsia="Times New Roman" w:hAnsi="Times New Roman" w:cs="Times New Roman"/>
                <w:b/>
                <w:sz w:val="20"/>
                <w:szCs w:val="20"/>
              </w:rPr>
              <w:t>Izdevumi</w:t>
            </w:r>
          </w:p>
        </w:tc>
        <w:tc>
          <w:tcPr>
            <w:tcW w:w="1025" w:type="dxa"/>
            <w:shd w:val="clear" w:color="auto" w:fill="auto"/>
            <w:noWrap/>
            <w:vAlign w:val="bottom"/>
          </w:tcPr>
          <w:p w14:paraId="16550B4D"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47,4</w:t>
            </w:r>
          </w:p>
        </w:tc>
        <w:tc>
          <w:tcPr>
            <w:tcW w:w="855" w:type="dxa"/>
            <w:shd w:val="clear" w:color="auto" w:fill="auto"/>
            <w:vAlign w:val="bottom"/>
          </w:tcPr>
          <w:p w14:paraId="579F4537"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43,2</w:t>
            </w:r>
          </w:p>
        </w:tc>
        <w:tc>
          <w:tcPr>
            <w:tcW w:w="803" w:type="dxa"/>
            <w:vAlign w:val="bottom"/>
          </w:tcPr>
          <w:p w14:paraId="142F2A52"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45,1</w:t>
            </w:r>
          </w:p>
        </w:tc>
        <w:tc>
          <w:tcPr>
            <w:tcW w:w="854" w:type="dxa"/>
            <w:shd w:val="clear" w:color="auto" w:fill="auto"/>
            <w:noWrap/>
            <w:vAlign w:val="bottom"/>
          </w:tcPr>
          <w:p w14:paraId="70774F5F" w14:textId="77777777" w:rsidR="00294F87" w:rsidRPr="00294F87" w:rsidRDefault="00294F87" w:rsidP="00294F87">
            <w:pPr>
              <w:jc w:val="right"/>
              <w:rPr>
                <w:rFonts w:ascii="Times New Roman" w:eastAsia="Times New Roman" w:hAnsi="Times New Roman" w:cs="Times New Roman"/>
                <w:b/>
                <w:sz w:val="20"/>
                <w:szCs w:val="20"/>
              </w:rPr>
            </w:pPr>
            <w:r w:rsidRPr="00294F87">
              <w:rPr>
                <w:rFonts w:ascii="Times New Roman" w:eastAsia="Times New Roman" w:hAnsi="Times New Roman" w:cs="Times New Roman"/>
                <w:b/>
                <w:bCs/>
                <w:color w:val="000000"/>
                <w:sz w:val="20"/>
                <w:szCs w:val="20"/>
                <w:lang w:eastAsia="en-US"/>
              </w:rPr>
              <w:t>41,5</w:t>
            </w:r>
          </w:p>
        </w:tc>
        <w:tc>
          <w:tcPr>
            <w:tcW w:w="953" w:type="dxa"/>
          </w:tcPr>
          <w:p w14:paraId="2C2CE992" w14:textId="77777777" w:rsidR="00294F87" w:rsidRPr="00294F87" w:rsidRDefault="00294F87" w:rsidP="00294F87">
            <w:pPr>
              <w:jc w:val="right"/>
              <w:rPr>
                <w:rFonts w:ascii="Times New Roman" w:eastAsia="Times New Roman" w:hAnsi="Times New Roman" w:cs="Times New Roman"/>
                <w:b/>
                <w:bCs/>
                <w:color w:val="000000"/>
                <w:sz w:val="20"/>
                <w:szCs w:val="20"/>
                <w:lang w:eastAsia="en-US"/>
              </w:rPr>
            </w:pPr>
            <w:r w:rsidRPr="00294F87">
              <w:rPr>
                <w:rFonts w:ascii="Times New Roman" w:eastAsia="Times New Roman" w:hAnsi="Times New Roman" w:cs="Times New Roman"/>
                <w:b/>
                <w:bCs/>
                <w:color w:val="000000"/>
                <w:sz w:val="20"/>
                <w:szCs w:val="20"/>
                <w:lang w:eastAsia="en-US"/>
              </w:rPr>
              <w:t>-2,3</w:t>
            </w:r>
          </w:p>
        </w:tc>
        <w:tc>
          <w:tcPr>
            <w:tcW w:w="981" w:type="dxa"/>
            <w:shd w:val="clear" w:color="auto" w:fill="auto"/>
            <w:noWrap/>
            <w:vAlign w:val="bottom"/>
          </w:tcPr>
          <w:p w14:paraId="52095BD5" w14:textId="77777777" w:rsidR="00294F87" w:rsidRPr="00294F87" w:rsidRDefault="00294F87" w:rsidP="00294F87">
            <w:pPr>
              <w:jc w:val="right"/>
              <w:rPr>
                <w:rFonts w:ascii="Times New Roman" w:eastAsia="Times New Roman" w:hAnsi="Times New Roman" w:cs="Times New Roman"/>
                <w:b/>
                <w:bCs/>
                <w:color w:val="000000"/>
                <w:sz w:val="20"/>
                <w:szCs w:val="20"/>
                <w:lang w:eastAsia="en-US"/>
              </w:rPr>
            </w:pPr>
            <w:r w:rsidRPr="00294F87">
              <w:rPr>
                <w:rFonts w:ascii="Times New Roman" w:eastAsia="Times New Roman" w:hAnsi="Times New Roman" w:cs="Times New Roman"/>
                <w:b/>
                <w:bCs/>
                <w:color w:val="000000"/>
                <w:sz w:val="20"/>
                <w:szCs w:val="20"/>
                <w:lang w:eastAsia="en-US"/>
              </w:rPr>
              <w:t>-1,7</w:t>
            </w:r>
          </w:p>
        </w:tc>
      </w:tr>
      <w:tr w:rsidR="00294F87" w:rsidRPr="00294F87" w14:paraId="5DB35B9B" w14:textId="77777777" w:rsidTr="00FD5F28">
        <w:trPr>
          <w:trHeight w:val="69"/>
          <w:jc w:val="center"/>
        </w:trPr>
        <w:tc>
          <w:tcPr>
            <w:tcW w:w="3587" w:type="dxa"/>
            <w:shd w:val="clear" w:color="auto" w:fill="auto"/>
            <w:noWrap/>
            <w:vAlign w:val="center"/>
            <w:hideMark/>
          </w:tcPr>
          <w:p w14:paraId="55FE9B70" w14:textId="77777777" w:rsidR="00294F87" w:rsidRPr="00294F87" w:rsidRDefault="00294F87" w:rsidP="00294F87">
            <w:pPr>
              <w:ind w:left="-239" w:firstLineChars="200" w:firstLine="400"/>
              <w:jc w:val="both"/>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Atlīdzība</w:t>
            </w:r>
          </w:p>
        </w:tc>
        <w:tc>
          <w:tcPr>
            <w:tcW w:w="1025" w:type="dxa"/>
            <w:shd w:val="clear" w:color="auto" w:fill="auto"/>
            <w:noWrap/>
            <w:vAlign w:val="bottom"/>
          </w:tcPr>
          <w:p w14:paraId="239DF80C"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12,1</w:t>
            </w:r>
          </w:p>
        </w:tc>
        <w:tc>
          <w:tcPr>
            <w:tcW w:w="855" w:type="dxa"/>
            <w:shd w:val="clear" w:color="auto" w:fill="auto"/>
            <w:vAlign w:val="bottom"/>
          </w:tcPr>
          <w:p w14:paraId="7E41AE76"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11,8</w:t>
            </w:r>
          </w:p>
        </w:tc>
        <w:tc>
          <w:tcPr>
            <w:tcW w:w="803" w:type="dxa"/>
            <w:vAlign w:val="bottom"/>
          </w:tcPr>
          <w:p w14:paraId="38CED75C"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12,1</w:t>
            </w:r>
          </w:p>
        </w:tc>
        <w:tc>
          <w:tcPr>
            <w:tcW w:w="854" w:type="dxa"/>
            <w:shd w:val="clear" w:color="auto" w:fill="auto"/>
            <w:noWrap/>
            <w:vAlign w:val="bottom"/>
          </w:tcPr>
          <w:p w14:paraId="7228ACE0"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11,5</w:t>
            </w:r>
          </w:p>
        </w:tc>
        <w:tc>
          <w:tcPr>
            <w:tcW w:w="953" w:type="dxa"/>
          </w:tcPr>
          <w:p w14:paraId="1D7D0005"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0,0</w:t>
            </w:r>
          </w:p>
        </w:tc>
        <w:tc>
          <w:tcPr>
            <w:tcW w:w="981" w:type="dxa"/>
            <w:shd w:val="clear" w:color="auto" w:fill="auto"/>
            <w:noWrap/>
            <w:vAlign w:val="bottom"/>
          </w:tcPr>
          <w:p w14:paraId="5F766FFE"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-0,3</w:t>
            </w:r>
          </w:p>
        </w:tc>
      </w:tr>
      <w:tr w:rsidR="00294F87" w:rsidRPr="00294F87" w14:paraId="151B0375" w14:textId="77777777" w:rsidTr="00FD5F28">
        <w:trPr>
          <w:trHeight w:val="69"/>
          <w:jc w:val="center"/>
        </w:trPr>
        <w:tc>
          <w:tcPr>
            <w:tcW w:w="3587" w:type="dxa"/>
            <w:shd w:val="clear" w:color="auto" w:fill="auto"/>
            <w:noWrap/>
            <w:vAlign w:val="center"/>
          </w:tcPr>
          <w:p w14:paraId="44CE3E92" w14:textId="77777777" w:rsidR="00294F87" w:rsidRPr="00294F87" w:rsidRDefault="00294F87" w:rsidP="00294F87">
            <w:pPr>
              <w:ind w:left="-239" w:firstLineChars="200" w:firstLine="400"/>
              <w:jc w:val="both"/>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Starppatēriņš</w:t>
            </w:r>
          </w:p>
        </w:tc>
        <w:tc>
          <w:tcPr>
            <w:tcW w:w="1025" w:type="dxa"/>
            <w:shd w:val="clear" w:color="auto" w:fill="auto"/>
            <w:noWrap/>
            <w:vAlign w:val="bottom"/>
          </w:tcPr>
          <w:p w14:paraId="37434B25"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6,1</w:t>
            </w:r>
          </w:p>
        </w:tc>
        <w:tc>
          <w:tcPr>
            <w:tcW w:w="855" w:type="dxa"/>
            <w:shd w:val="clear" w:color="auto" w:fill="auto"/>
            <w:vAlign w:val="bottom"/>
          </w:tcPr>
          <w:p w14:paraId="2BA697B2"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5,9</w:t>
            </w:r>
          </w:p>
        </w:tc>
        <w:tc>
          <w:tcPr>
            <w:tcW w:w="803" w:type="dxa"/>
            <w:vAlign w:val="bottom"/>
          </w:tcPr>
          <w:p w14:paraId="3116458E"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7,1</w:t>
            </w:r>
          </w:p>
        </w:tc>
        <w:tc>
          <w:tcPr>
            <w:tcW w:w="854" w:type="dxa"/>
            <w:shd w:val="clear" w:color="auto" w:fill="auto"/>
            <w:noWrap/>
            <w:vAlign w:val="bottom"/>
          </w:tcPr>
          <w:p w14:paraId="3E7733C6"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6,7</w:t>
            </w:r>
          </w:p>
        </w:tc>
        <w:tc>
          <w:tcPr>
            <w:tcW w:w="953" w:type="dxa"/>
          </w:tcPr>
          <w:p w14:paraId="7E0A0EF0"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1,0</w:t>
            </w:r>
          </w:p>
        </w:tc>
        <w:tc>
          <w:tcPr>
            <w:tcW w:w="981" w:type="dxa"/>
            <w:shd w:val="clear" w:color="auto" w:fill="auto"/>
            <w:noWrap/>
            <w:vAlign w:val="bottom"/>
          </w:tcPr>
          <w:p w14:paraId="62EC0F7C"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0,8</w:t>
            </w:r>
          </w:p>
        </w:tc>
      </w:tr>
      <w:tr w:rsidR="00294F87" w:rsidRPr="00294F87" w14:paraId="0A07819E" w14:textId="77777777" w:rsidTr="00FD5F28">
        <w:trPr>
          <w:trHeight w:val="69"/>
          <w:jc w:val="center"/>
        </w:trPr>
        <w:tc>
          <w:tcPr>
            <w:tcW w:w="3587" w:type="dxa"/>
            <w:shd w:val="clear" w:color="auto" w:fill="auto"/>
            <w:noWrap/>
            <w:vAlign w:val="center"/>
          </w:tcPr>
          <w:p w14:paraId="48605933" w14:textId="77777777" w:rsidR="00294F87" w:rsidRPr="00294F87" w:rsidRDefault="00294F87" w:rsidP="00294F87">
            <w:pPr>
              <w:ind w:left="-239" w:firstLineChars="200" w:firstLine="400"/>
              <w:jc w:val="both"/>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Sociālie maksājumi</w:t>
            </w:r>
          </w:p>
        </w:tc>
        <w:tc>
          <w:tcPr>
            <w:tcW w:w="1025" w:type="dxa"/>
            <w:shd w:val="clear" w:color="auto" w:fill="auto"/>
            <w:noWrap/>
            <w:vAlign w:val="bottom"/>
          </w:tcPr>
          <w:p w14:paraId="334ACE1F"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14,5</w:t>
            </w:r>
          </w:p>
        </w:tc>
        <w:tc>
          <w:tcPr>
            <w:tcW w:w="855" w:type="dxa"/>
            <w:shd w:val="clear" w:color="auto" w:fill="auto"/>
            <w:vAlign w:val="bottom"/>
          </w:tcPr>
          <w:p w14:paraId="57D257DF"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14,0</w:t>
            </w:r>
          </w:p>
        </w:tc>
        <w:tc>
          <w:tcPr>
            <w:tcW w:w="803" w:type="dxa"/>
            <w:vAlign w:val="bottom"/>
          </w:tcPr>
          <w:p w14:paraId="3B81F355"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14,2</w:t>
            </w:r>
          </w:p>
        </w:tc>
        <w:tc>
          <w:tcPr>
            <w:tcW w:w="854" w:type="dxa"/>
            <w:shd w:val="clear" w:color="auto" w:fill="auto"/>
            <w:noWrap/>
            <w:vAlign w:val="bottom"/>
          </w:tcPr>
          <w:p w14:paraId="0360DE3F"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13,4</w:t>
            </w:r>
          </w:p>
        </w:tc>
        <w:tc>
          <w:tcPr>
            <w:tcW w:w="953" w:type="dxa"/>
          </w:tcPr>
          <w:p w14:paraId="363ACC9C"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-0,3</w:t>
            </w:r>
          </w:p>
        </w:tc>
        <w:tc>
          <w:tcPr>
            <w:tcW w:w="981" w:type="dxa"/>
            <w:shd w:val="clear" w:color="auto" w:fill="auto"/>
            <w:noWrap/>
            <w:vAlign w:val="bottom"/>
          </w:tcPr>
          <w:p w14:paraId="08C85F95"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-0,6</w:t>
            </w:r>
          </w:p>
        </w:tc>
      </w:tr>
      <w:tr w:rsidR="00294F87" w:rsidRPr="00294F87" w14:paraId="2313002B" w14:textId="77777777" w:rsidTr="00FD5F28">
        <w:trPr>
          <w:trHeight w:val="69"/>
          <w:jc w:val="center"/>
        </w:trPr>
        <w:tc>
          <w:tcPr>
            <w:tcW w:w="3587" w:type="dxa"/>
            <w:shd w:val="clear" w:color="auto" w:fill="auto"/>
            <w:noWrap/>
            <w:vAlign w:val="center"/>
          </w:tcPr>
          <w:p w14:paraId="5D043D80" w14:textId="77777777" w:rsidR="00294F87" w:rsidRPr="00294F87" w:rsidRDefault="00294F87" w:rsidP="00294F87">
            <w:pPr>
              <w:ind w:left="-239" w:firstLineChars="200" w:firstLine="400"/>
              <w:jc w:val="both"/>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Procentu izdevumi</w:t>
            </w:r>
          </w:p>
        </w:tc>
        <w:tc>
          <w:tcPr>
            <w:tcW w:w="1025" w:type="dxa"/>
            <w:shd w:val="clear" w:color="auto" w:fill="auto"/>
            <w:noWrap/>
            <w:vAlign w:val="bottom"/>
          </w:tcPr>
          <w:p w14:paraId="06B82CB3"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0,9</w:t>
            </w:r>
          </w:p>
        </w:tc>
        <w:tc>
          <w:tcPr>
            <w:tcW w:w="855" w:type="dxa"/>
            <w:shd w:val="clear" w:color="auto" w:fill="auto"/>
            <w:vAlign w:val="bottom"/>
          </w:tcPr>
          <w:p w14:paraId="6297704B"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0,8</w:t>
            </w:r>
          </w:p>
        </w:tc>
        <w:tc>
          <w:tcPr>
            <w:tcW w:w="803" w:type="dxa"/>
            <w:vAlign w:val="bottom"/>
          </w:tcPr>
          <w:p w14:paraId="66BBDFF6"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0,8</w:t>
            </w:r>
          </w:p>
        </w:tc>
        <w:tc>
          <w:tcPr>
            <w:tcW w:w="854" w:type="dxa"/>
            <w:shd w:val="clear" w:color="auto" w:fill="auto"/>
            <w:noWrap/>
            <w:vAlign w:val="bottom"/>
          </w:tcPr>
          <w:p w14:paraId="508BBDBA"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0,7</w:t>
            </w:r>
          </w:p>
        </w:tc>
        <w:tc>
          <w:tcPr>
            <w:tcW w:w="953" w:type="dxa"/>
          </w:tcPr>
          <w:p w14:paraId="1BFA6EDA"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-0,1</w:t>
            </w:r>
          </w:p>
        </w:tc>
        <w:tc>
          <w:tcPr>
            <w:tcW w:w="981" w:type="dxa"/>
            <w:shd w:val="clear" w:color="auto" w:fill="auto"/>
            <w:noWrap/>
            <w:vAlign w:val="bottom"/>
          </w:tcPr>
          <w:p w14:paraId="717B5258"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-0,1</w:t>
            </w:r>
          </w:p>
        </w:tc>
      </w:tr>
      <w:tr w:rsidR="00294F87" w:rsidRPr="00294F87" w14:paraId="23B920BD" w14:textId="77777777" w:rsidTr="00FD5F28">
        <w:trPr>
          <w:trHeight w:val="69"/>
          <w:jc w:val="center"/>
        </w:trPr>
        <w:tc>
          <w:tcPr>
            <w:tcW w:w="3587" w:type="dxa"/>
            <w:shd w:val="clear" w:color="auto" w:fill="auto"/>
            <w:noWrap/>
            <w:vAlign w:val="center"/>
          </w:tcPr>
          <w:p w14:paraId="2AFA3163" w14:textId="77777777" w:rsidR="00294F87" w:rsidRPr="00294F87" w:rsidRDefault="00294F87" w:rsidP="00294F87">
            <w:pPr>
              <w:ind w:left="-239" w:firstLineChars="200" w:firstLine="400"/>
              <w:jc w:val="both"/>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Subsīdijas</w:t>
            </w:r>
          </w:p>
        </w:tc>
        <w:tc>
          <w:tcPr>
            <w:tcW w:w="1025" w:type="dxa"/>
            <w:shd w:val="clear" w:color="auto" w:fill="auto"/>
            <w:noWrap/>
            <w:vAlign w:val="bottom"/>
          </w:tcPr>
          <w:p w14:paraId="5B456C8B"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1,5</w:t>
            </w:r>
          </w:p>
        </w:tc>
        <w:tc>
          <w:tcPr>
            <w:tcW w:w="855" w:type="dxa"/>
            <w:shd w:val="clear" w:color="auto" w:fill="auto"/>
            <w:vAlign w:val="bottom"/>
          </w:tcPr>
          <w:p w14:paraId="1161F893"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1,3</w:t>
            </w:r>
          </w:p>
        </w:tc>
        <w:tc>
          <w:tcPr>
            <w:tcW w:w="803" w:type="dxa"/>
            <w:vAlign w:val="bottom"/>
          </w:tcPr>
          <w:p w14:paraId="7689DE57"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1,2</w:t>
            </w:r>
          </w:p>
        </w:tc>
        <w:tc>
          <w:tcPr>
            <w:tcW w:w="854" w:type="dxa"/>
            <w:shd w:val="clear" w:color="auto" w:fill="auto"/>
            <w:noWrap/>
            <w:vAlign w:val="bottom"/>
          </w:tcPr>
          <w:p w14:paraId="22239FA0"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1,0</w:t>
            </w:r>
          </w:p>
        </w:tc>
        <w:tc>
          <w:tcPr>
            <w:tcW w:w="953" w:type="dxa"/>
          </w:tcPr>
          <w:p w14:paraId="4BAF85E1"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-0,3</w:t>
            </w:r>
          </w:p>
        </w:tc>
        <w:tc>
          <w:tcPr>
            <w:tcW w:w="981" w:type="dxa"/>
            <w:shd w:val="clear" w:color="auto" w:fill="auto"/>
            <w:noWrap/>
            <w:vAlign w:val="bottom"/>
          </w:tcPr>
          <w:p w14:paraId="27AFF0E4"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-0,3</w:t>
            </w:r>
          </w:p>
        </w:tc>
      </w:tr>
      <w:tr w:rsidR="00294F87" w:rsidRPr="00294F87" w14:paraId="5DE4459D" w14:textId="77777777" w:rsidTr="00FD5F28">
        <w:trPr>
          <w:trHeight w:val="69"/>
          <w:jc w:val="center"/>
        </w:trPr>
        <w:tc>
          <w:tcPr>
            <w:tcW w:w="3587" w:type="dxa"/>
            <w:shd w:val="clear" w:color="auto" w:fill="auto"/>
            <w:noWrap/>
            <w:vAlign w:val="center"/>
            <w:hideMark/>
          </w:tcPr>
          <w:p w14:paraId="1029B832" w14:textId="77777777" w:rsidR="00294F87" w:rsidRPr="00294F87" w:rsidRDefault="00294F87" w:rsidP="00294F87">
            <w:pPr>
              <w:ind w:left="-239" w:firstLineChars="200" w:firstLine="400"/>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Bruto pamatkapitāla veidošana</w:t>
            </w:r>
          </w:p>
        </w:tc>
        <w:tc>
          <w:tcPr>
            <w:tcW w:w="1025" w:type="dxa"/>
            <w:shd w:val="clear" w:color="auto" w:fill="auto"/>
            <w:noWrap/>
            <w:vAlign w:val="bottom"/>
          </w:tcPr>
          <w:p w14:paraId="2B8C1F39"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6,0</w:t>
            </w:r>
          </w:p>
        </w:tc>
        <w:tc>
          <w:tcPr>
            <w:tcW w:w="855" w:type="dxa"/>
            <w:shd w:val="clear" w:color="auto" w:fill="auto"/>
            <w:vAlign w:val="bottom"/>
          </w:tcPr>
          <w:p w14:paraId="39968501"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5,3</w:t>
            </w:r>
          </w:p>
        </w:tc>
        <w:tc>
          <w:tcPr>
            <w:tcW w:w="803" w:type="dxa"/>
            <w:vAlign w:val="bottom"/>
          </w:tcPr>
          <w:p w14:paraId="5E795326"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5,2</w:t>
            </w:r>
          </w:p>
        </w:tc>
        <w:tc>
          <w:tcPr>
            <w:tcW w:w="854" w:type="dxa"/>
            <w:shd w:val="clear" w:color="auto" w:fill="auto"/>
            <w:noWrap/>
            <w:vAlign w:val="bottom"/>
          </w:tcPr>
          <w:p w14:paraId="6F77C633"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4,9</w:t>
            </w:r>
          </w:p>
        </w:tc>
        <w:tc>
          <w:tcPr>
            <w:tcW w:w="953" w:type="dxa"/>
          </w:tcPr>
          <w:p w14:paraId="60FB73DC"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-0,8</w:t>
            </w:r>
          </w:p>
        </w:tc>
        <w:tc>
          <w:tcPr>
            <w:tcW w:w="981" w:type="dxa"/>
            <w:shd w:val="clear" w:color="auto" w:fill="auto"/>
            <w:noWrap/>
            <w:vAlign w:val="bottom"/>
          </w:tcPr>
          <w:p w14:paraId="299896F7"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-0,4</w:t>
            </w:r>
          </w:p>
        </w:tc>
      </w:tr>
      <w:tr w:rsidR="00294F87" w:rsidRPr="00294F87" w14:paraId="37A3D251" w14:textId="77777777" w:rsidTr="00FD5F28">
        <w:trPr>
          <w:trHeight w:val="69"/>
          <w:jc w:val="center"/>
        </w:trPr>
        <w:tc>
          <w:tcPr>
            <w:tcW w:w="3587" w:type="dxa"/>
            <w:shd w:val="clear" w:color="auto" w:fill="auto"/>
            <w:noWrap/>
            <w:vAlign w:val="center"/>
          </w:tcPr>
          <w:p w14:paraId="194F879B" w14:textId="77777777" w:rsidR="00294F87" w:rsidRPr="00294F87" w:rsidRDefault="00294F87" w:rsidP="00294F87">
            <w:pPr>
              <w:ind w:left="-239" w:firstLineChars="200" w:firstLine="400"/>
              <w:jc w:val="both"/>
              <w:rPr>
                <w:rFonts w:ascii="Times New Roman" w:eastAsia="Times New Roman" w:hAnsi="Times New Roman" w:cs="Times New Roman"/>
                <w:sz w:val="20"/>
                <w:szCs w:val="20"/>
              </w:rPr>
            </w:pPr>
            <w:r w:rsidRPr="00294F87">
              <w:rPr>
                <w:rFonts w:ascii="Times New Roman" w:eastAsia="Times New Roman" w:hAnsi="Times New Roman" w:cs="Times New Roman"/>
                <w:sz w:val="20"/>
                <w:szCs w:val="20"/>
              </w:rPr>
              <w:t>Pārējie izdevumi</w:t>
            </w:r>
          </w:p>
        </w:tc>
        <w:tc>
          <w:tcPr>
            <w:tcW w:w="1025" w:type="dxa"/>
            <w:shd w:val="clear" w:color="auto" w:fill="auto"/>
            <w:noWrap/>
            <w:vAlign w:val="bottom"/>
          </w:tcPr>
          <w:p w14:paraId="1B120A8B"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6,2</w:t>
            </w:r>
          </w:p>
        </w:tc>
        <w:tc>
          <w:tcPr>
            <w:tcW w:w="855" w:type="dxa"/>
            <w:shd w:val="clear" w:color="auto" w:fill="auto"/>
            <w:vAlign w:val="bottom"/>
          </w:tcPr>
          <w:p w14:paraId="1E2B4A0B"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4,1</w:t>
            </w:r>
          </w:p>
        </w:tc>
        <w:tc>
          <w:tcPr>
            <w:tcW w:w="803" w:type="dxa"/>
            <w:vAlign w:val="bottom"/>
          </w:tcPr>
          <w:p w14:paraId="7DC44FC6"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4,6</w:t>
            </w:r>
          </w:p>
        </w:tc>
        <w:tc>
          <w:tcPr>
            <w:tcW w:w="854" w:type="dxa"/>
            <w:shd w:val="clear" w:color="auto" w:fill="auto"/>
            <w:noWrap/>
            <w:vAlign w:val="bottom"/>
          </w:tcPr>
          <w:p w14:paraId="6F355F94" w14:textId="77777777" w:rsidR="00294F87" w:rsidRPr="00294F87" w:rsidRDefault="00294F87" w:rsidP="00294F87">
            <w:pPr>
              <w:jc w:val="right"/>
              <w:rPr>
                <w:rFonts w:ascii="Times New Roman" w:eastAsia="Times New Roman" w:hAnsi="Times New Roman" w:cs="Times New Roman"/>
                <w:sz w:val="20"/>
                <w:szCs w:val="20"/>
              </w:rPr>
            </w:pPr>
            <w:r w:rsidRPr="00294F87">
              <w:rPr>
                <w:rFonts w:ascii="Times New Roman" w:eastAsia="Times New Roman" w:hAnsi="Times New Roman" w:cs="Times New Roman"/>
                <w:color w:val="000000"/>
                <w:sz w:val="20"/>
                <w:szCs w:val="20"/>
                <w:lang w:eastAsia="en-US"/>
              </w:rPr>
              <w:t>3,2</w:t>
            </w:r>
          </w:p>
        </w:tc>
        <w:tc>
          <w:tcPr>
            <w:tcW w:w="953" w:type="dxa"/>
          </w:tcPr>
          <w:p w14:paraId="6DA0AC52"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-1,6</w:t>
            </w:r>
          </w:p>
        </w:tc>
        <w:tc>
          <w:tcPr>
            <w:tcW w:w="981" w:type="dxa"/>
            <w:shd w:val="clear" w:color="auto" w:fill="auto"/>
            <w:noWrap/>
            <w:vAlign w:val="bottom"/>
          </w:tcPr>
          <w:p w14:paraId="47FFB3DC" w14:textId="77777777" w:rsidR="00294F87" w:rsidRPr="00294F87" w:rsidRDefault="00294F87" w:rsidP="00294F87">
            <w:pPr>
              <w:jc w:val="right"/>
              <w:rPr>
                <w:rFonts w:ascii="Times New Roman" w:eastAsia="Times New Roman" w:hAnsi="Times New Roman" w:cs="Times New Roman"/>
                <w:bCs/>
                <w:color w:val="000000"/>
                <w:sz w:val="20"/>
                <w:szCs w:val="20"/>
                <w:lang w:eastAsia="en-US"/>
              </w:rPr>
            </w:pPr>
            <w:r w:rsidRPr="00294F87">
              <w:rPr>
                <w:rFonts w:ascii="Times New Roman" w:eastAsia="Times New Roman" w:hAnsi="Times New Roman" w:cs="Times New Roman"/>
                <w:bCs/>
                <w:color w:val="000000"/>
                <w:sz w:val="20"/>
                <w:szCs w:val="20"/>
                <w:lang w:eastAsia="en-US"/>
              </w:rPr>
              <w:t>-0,9</w:t>
            </w:r>
          </w:p>
        </w:tc>
      </w:tr>
    </w:tbl>
    <w:p w14:paraId="22C84DA3" w14:textId="77777777" w:rsidR="00294F87" w:rsidRPr="00294F87" w:rsidRDefault="00294F87" w:rsidP="00294F87">
      <w:pPr>
        <w:ind w:firstLine="720"/>
        <w:jc w:val="both"/>
        <w:rPr>
          <w:rFonts w:ascii="Times New Roman" w:eastAsia="Calibri" w:hAnsi="Times New Roman" w:cs="Times New Roman"/>
          <w:bCs/>
          <w:sz w:val="24"/>
          <w:szCs w:val="20"/>
          <w:lang w:eastAsia="en-US"/>
        </w:rPr>
      </w:pPr>
    </w:p>
    <w:p w14:paraId="7809287A" w14:textId="6ACD08B9" w:rsidR="003F3FCD" w:rsidRPr="00FD5F28" w:rsidRDefault="00294F87" w:rsidP="00FD5F28">
      <w:pPr>
        <w:ind w:firstLine="720"/>
        <w:jc w:val="both"/>
        <w:rPr>
          <w:rFonts w:ascii="Times New Roman" w:eastAsia="Calibri" w:hAnsi="Times New Roman" w:cs="Times New Roman"/>
          <w:bCs/>
          <w:sz w:val="28"/>
          <w:szCs w:val="28"/>
          <w:lang w:eastAsia="en-US"/>
        </w:rPr>
      </w:pPr>
      <w:r w:rsidRPr="00294F87">
        <w:rPr>
          <w:rFonts w:ascii="Times New Roman" w:eastAsia="Calibri" w:hAnsi="Times New Roman" w:cs="Times New Roman"/>
          <w:bCs/>
          <w:sz w:val="28"/>
          <w:szCs w:val="28"/>
          <w:lang w:eastAsia="en-US"/>
        </w:rPr>
        <w:t>Lai gan tradicionāli starp EK un FM ir vērojamas atšķirības kopējā ieņēmumu un izdevumu līmenī, ko visticamāk nosaka metodoloģiskās atšķirības kopējā ieņēmumu un izdevumu apjoma uzskaitē, tāpat arī atšķirīga IKP prognoze, abas institūcijas pr</w:t>
      </w:r>
      <w:r>
        <w:rPr>
          <w:rFonts w:ascii="Times New Roman" w:eastAsia="Calibri" w:hAnsi="Times New Roman" w:cs="Times New Roman"/>
          <w:bCs/>
          <w:sz w:val="28"/>
          <w:szCs w:val="28"/>
          <w:lang w:eastAsia="en-US"/>
        </w:rPr>
        <w:t>ognozē līdzīgas tendences 2021.</w:t>
      </w:r>
      <w:r w:rsidRPr="00294F87">
        <w:rPr>
          <w:rFonts w:ascii="Times New Roman" w:eastAsia="Calibri" w:hAnsi="Times New Roman" w:cs="Times New Roman"/>
          <w:bCs/>
          <w:sz w:val="28"/>
          <w:szCs w:val="28"/>
          <w:lang w:eastAsia="en-US"/>
        </w:rPr>
        <w:t xml:space="preserve">gadam – budžeta ieņēmumu un izdevumu īpatsvara IKP samazināšanos, kas nozīmē, ka šīs pozīcijas nepieaugs tik strauji kā </w:t>
      </w:r>
      <w:r>
        <w:rPr>
          <w:rFonts w:ascii="Times New Roman" w:eastAsia="Calibri" w:hAnsi="Times New Roman" w:cs="Times New Roman"/>
          <w:bCs/>
          <w:sz w:val="28"/>
          <w:szCs w:val="28"/>
          <w:lang w:eastAsia="en-US"/>
        </w:rPr>
        <w:t>IKP</w:t>
      </w:r>
      <w:r w:rsidRPr="00294F87">
        <w:rPr>
          <w:rFonts w:ascii="Times New Roman" w:eastAsia="Calibri" w:hAnsi="Times New Roman" w:cs="Times New Roman"/>
          <w:bCs/>
          <w:sz w:val="28"/>
          <w:szCs w:val="28"/>
          <w:lang w:eastAsia="en-US"/>
        </w:rPr>
        <w:t xml:space="preserve">. Taču pretēji EK, ņemot vērā aktuālākos valdības lēmumus, FM prognozē, ka nodokļu slogs jeb nodokļu ieņēmumu īpatsvars IKP 2021. gadā palielināsies. To veicinās minimālā VSAOI apmēra ieviešana, mikro-uzņēmumu nodokļa režīma reorganizēšana, akcīzes nodokļa likmju paaugstināšana tabakas izstrādājumiem,  atgriezeniskais efekts uz nodokļu ieņēmumiem no </w:t>
      </w:r>
      <w:r w:rsidRPr="00294F87">
        <w:rPr>
          <w:rFonts w:ascii="Times New Roman" w:eastAsia="Times New Roman" w:hAnsi="Times New Roman" w:cs="Times New Roman"/>
          <w:bCs/>
          <w:color w:val="000000"/>
          <w:sz w:val="28"/>
          <w:szCs w:val="28"/>
          <w:lang w:eastAsia="en-US"/>
        </w:rPr>
        <w:t xml:space="preserve">atlīdzības palielināšanas ārstniecības personām, pedagogiem izglītības iestādēs, kā arī akadēmiskajam personālam augstskolās.  </w:t>
      </w:r>
      <w:r w:rsidR="00FD5F28">
        <w:rPr>
          <w:rFonts w:ascii="Times New Roman" w:eastAsia="Calibri" w:hAnsi="Times New Roman" w:cs="Times New Roman"/>
          <w:bCs/>
          <w:sz w:val="28"/>
          <w:szCs w:val="28"/>
          <w:lang w:eastAsia="en-US"/>
        </w:rPr>
        <w:t xml:space="preserve"> </w:t>
      </w:r>
    </w:p>
    <w:p w14:paraId="720F0BA2" w14:textId="2452F799" w:rsidR="006C28CA" w:rsidRDefault="006C28CA" w:rsidP="00294F87">
      <w:pPr>
        <w:widowControl w:val="0"/>
        <w:jc w:val="both"/>
        <w:rPr>
          <w:rFonts w:ascii="Times New Roman" w:eastAsia="Times New Roman" w:hAnsi="Times New Roman" w:cs="Times New Roman"/>
          <w:sz w:val="32"/>
        </w:rPr>
      </w:pPr>
    </w:p>
    <w:p w14:paraId="463E3DE3" w14:textId="5BC0E66B" w:rsidR="003F3FCD" w:rsidRPr="007A565C" w:rsidRDefault="000548A5" w:rsidP="00401A5B">
      <w:pPr>
        <w:pStyle w:val="Heading2"/>
        <w:numPr>
          <w:ilvl w:val="0"/>
          <w:numId w:val="0"/>
        </w:numPr>
        <w:spacing w:before="0"/>
        <w:ind w:left="567"/>
        <w:jc w:val="center"/>
        <w:rPr>
          <w:rFonts w:ascii="Times New Roman" w:eastAsia="Times New Roman" w:hAnsi="Times New Roman" w:cs="Times New Roman"/>
          <w:sz w:val="32"/>
          <w:szCs w:val="32"/>
        </w:rPr>
      </w:pPr>
      <w:bookmarkStart w:id="58" w:name="_Toc53154110"/>
      <w:r w:rsidRPr="007A565C">
        <w:rPr>
          <w:rFonts w:ascii="Times New Roman" w:eastAsia="Times New Roman" w:hAnsi="Times New Roman" w:cs="Times New Roman"/>
          <w:sz w:val="32"/>
          <w:szCs w:val="32"/>
        </w:rPr>
        <w:t>2.3. Vidēja termiņa budžeta prioritārie attīstības virzieni</w:t>
      </w:r>
      <w:bookmarkEnd w:id="58"/>
    </w:p>
    <w:p w14:paraId="5CD90701" w14:textId="7C0679E6" w:rsidR="003F3FCD" w:rsidRPr="007A565C" w:rsidRDefault="000548A5" w:rsidP="005D361F">
      <w:pPr>
        <w:pStyle w:val="Heading3"/>
      </w:pPr>
      <w:bookmarkStart w:id="59" w:name="_Toc53154111"/>
      <w:r w:rsidRPr="007A565C">
        <w:t>2.3.1. Politikas pasākumi vidēja termiņa budžeta prioritāro attīstības virzienu īstenošanā</w:t>
      </w:r>
      <w:bookmarkEnd w:id="59"/>
    </w:p>
    <w:p w14:paraId="570FF497" w14:textId="7D78230F" w:rsidR="00B75DA3" w:rsidRPr="007A565C" w:rsidRDefault="00B75DA3" w:rsidP="00401A5B">
      <w:pPr>
        <w:rPr>
          <w:sz w:val="24"/>
          <w:highlight w:val="yellow"/>
        </w:rPr>
      </w:pPr>
    </w:p>
    <w:p w14:paraId="3D87FE54" w14:textId="77777777" w:rsidR="007A565C" w:rsidRPr="007A565C" w:rsidRDefault="007A565C" w:rsidP="007A565C">
      <w:pPr>
        <w:widowControl w:val="0"/>
        <w:ind w:firstLine="720"/>
        <w:jc w:val="center"/>
        <w:rPr>
          <w:rFonts w:ascii="Times New Roman" w:eastAsia="Times New Roman" w:hAnsi="Times New Roman" w:cs="Times New Roman"/>
          <w:sz w:val="28"/>
        </w:rPr>
      </w:pPr>
      <w:r w:rsidRPr="007A565C">
        <w:rPr>
          <w:rFonts w:ascii="Times New Roman" w:eastAsia="Times New Roman" w:hAnsi="Times New Roman" w:cs="Times New Roman"/>
          <w:b/>
          <w:sz w:val="28"/>
        </w:rPr>
        <w:t>Iedzīvotāju ienākumu nevienlīdzības mazināšana</w:t>
      </w:r>
    </w:p>
    <w:p w14:paraId="2534AAD1" w14:textId="77777777" w:rsidR="007A565C" w:rsidRPr="007A565C" w:rsidRDefault="007A565C" w:rsidP="007A565C">
      <w:pPr>
        <w:widowControl w:val="0"/>
        <w:ind w:firstLine="720"/>
        <w:jc w:val="center"/>
        <w:rPr>
          <w:rFonts w:ascii="Times New Roman" w:eastAsia="Times New Roman" w:hAnsi="Times New Roman" w:cs="Times New Roman"/>
          <w:sz w:val="28"/>
        </w:rPr>
      </w:pPr>
    </w:p>
    <w:p w14:paraId="7089E6A5" w14:textId="77777777" w:rsidR="007A565C" w:rsidRPr="007A565C" w:rsidRDefault="007A565C" w:rsidP="007A565C">
      <w:pPr>
        <w:widowControl w:val="0"/>
        <w:ind w:firstLine="720"/>
        <w:jc w:val="both"/>
        <w:rPr>
          <w:rFonts w:ascii="Calibri" w:eastAsia="Calibri" w:hAnsi="Calibri" w:cs="Calibri"/>
          <w:sz w:val="24"/>
        </w:rPr>
      </w:pPr>
      <w:r w:rsidRPr="007A565C">
        <w:rPr>
          <w:rFonts w:ascii="Times New Roman" w:eastAsia="Times New Roman" w:hAnsi="Times New Roman" w:cs="Times New Roman"/>
          <w:sz w:val="28"/>
        </w:rPr>
        <w:t xml:space="preserve">Ienākumu nevienlīdzības mazināšana, paaugstinot ienākumu slieksni, līdz kuram piemēro ar iedzīvotāju ienākuma nodokli neapliekamo minimumu, kā arī palielinot garantēto minimālo ienākumu, minimālo pensiju un pabalstus sociāli maz aizsargātām sabiedrības grupām. Iedzīvotāju dzīves kvalitāti nosaka, gan absolūtie rādītāji, gan relatīvie rādītāji - vidējā iedzīvotāju dzīves kvalitāti un dzīves kvalitātes atšķirības iedzīvotājiem ar atšķirīgu ieņēmumu lielumu. Būtisks rādītājs, vērtējot vidējo dzīves kvalitāti, ir IKP apjoms uz vienu iedzīvotāju, kas Latvijai saskaņā ar </w:t>
      </w:r>
      <w:r w:rsidRPr="007A565C">
        <w:rPr>
          <w:rFonts w:ascii="Times New Roman" w:eastAsia="Times New Roman" w:hAnsi="Times New Roman" w:cs="Times New Roman"/>
          <w:i/>
          <w:sz w:val="28"/>
        </w:rPr>
        <w:t>Eurostat</w:t>
      </w:r>
      <w:r w:rsidRPr="007A565C">
        <w:rPr>
          <w:rFonts w:ascii="Times New Roman" w:eastAsia="Times New Roman" w:hAnsi="Times New Roman" w:cs="Times New Roman"/>
          <w:sz w:val="28"/>
        </w:rPr>
        <w:t xml:space="preserve"> datiem ir ceturtais zemākais ES (IKP uz vienu iedzīvotāju pēc PPS (pirktspējas paritātes) 2019.gadā</w:t>
      </w:r>
      <w:r w:rsidRPr="007A565C">
        <w:rPr>
          <w:rFonts w:ascii="Times New Roman" w:eastAsia="Times New Roman" w:hAnsi="Times New Roman" w:cs="Times New Roman"/>
          <w:i/>
          <w:sz w:val="28"/>
        </w:rPr>
        <w:t>)</w:t>
      </w:r>
      <w:r w:rsidRPr="007A565C">
        <w:rPr>
          <w:rFonts w:ascii="Times New Roman" w:eastAsia="Times New Roman" w:hAnsi="Times New Roman" w:cs="Times New Roman"/>
          <w:sz w:val="28"/>
        </w:rPr>
        <w:t xml:space="preserve">. Savukārt, </w:t>
      </w:r>
      <w:r w:rsidRPr="007A565C">
        <w:rPr>
          <w:rFonts w:ascii="Times New Roman" w:eastAsia="Times New Roman" w:hAnsi="Times New Roman" w:cs="Times New Roman"/>
          <w:i/>
          <w:sz w:val="28"/>
        </w:rPr>
        <w:t xml:space="preserve">Džinī </w:t>
      </w:r>
      <w:r w:rsidRPr="007A565C">
        <w:rPr>
          <w:rFonts w:ascii="Times New Roman" w:eastAsia="Times New Roman" w:hAnsi="Times New Roman" w:cs="Times New Roman"/>
          <w:sz w:val="28"/>
        </w:rPr>
        <w:t xml:space="preserve">koeficients, kas raksturo ieņēmumu nevienlīdzību, Latvijā ir viens no augstākajiem ES, pēc 2019. gada </w:t>
      </w:r>
      <w:r w:rsidRPr="007A565C">
        <w:rPr>
          <w:rFonts w:ascii="Times New Roman" w:eastAsia="Times New Roman" w:hAnsi="Times New Roman" w:cs="Times New Roman"/>
          <w:i/>
          <w:sz w:val="28"/>
        </w:rPr>
        <w:t>Euro</w:t>
      </w:r>
      <w:r w:rsidRPr="007A565C">
        <w:rPr>
          <w:rFonts w:ascii="Times New Roman" w:eastAsia="Times New Roman" w:hAnsi="Times New Roman" w:cs="Times New Roman"/>
          <w:sz w:val="28"/>
        </w:rPr>
        <w:t xml:space="preserve">stat datiem apsteidzot vienīgi Lietuvu un Bulgāriju. </w:t>
      </w:r>
    </w:p>
    <w:p w14:paraId="53C4A43A" w14:textId="7C238C9E" w:rsidR="007A565C" w:rsidRPr="007A565C" w:rsidRDefault="007A565C" w:rsidP="007A565C">
      <w:pPr>
        <w:widowControl w:val="0"/>
        <w:ind w:firstLine="720"/>
        <w:jc w:val="both"/>
        <w:rPr>
          <w:rFonts w:ascii="Times New Roman" w:eastAsia="Times New Roman" w:hAnsi="Times New Roman" w:cs="Times New Roman"/>
          <w:sz w:val="28"/>
        </w:rPr>
      </w:pPr>
      <w:r w:rsidRPr="007A565C">
        <w:rPr>
          <w:rFonts w:ascii="Times New Roman" w:eastAsia="Times New Roman" w:hAnsi="Times New Roman" w:cs="Times New Roman"/>
          <w:sz w:val="28"/>
        </w:rPr>
        <w:t>Aktuālais VTBIL paredz šādus galvenos politikas pasākumus iedzīvotāju ienākumu nevienlīdzības mazināšanā:</w:t>
      </w:r>
    </w:p>
    <w:p w14:paraId="39DD1D1D" w14:textId="5CC4CDE5" w:rsidR="007A565C" w:rsidRPr="007A565C" w:rsidRDefault="007A565C" w:rsidP="00FB2B77">
      <w:pPr>
        <w:pStyle w:val="ListParagraph"/>
        <w:widowControl w:val="0"/>
        <w:numPr>
          <w:ilvl w:val="0"/>
          <w:numId w:val="18"/>
        </w:numPr>
        <w:jc w:val="both"/>
        <w:rPr>
          <w:rFonts w:ascii="Times New Roman" w:eastAsia="Times New Roman" w:hAnsi="Times New Roman" w:cs="Times New Roman"/>
          <w:sz w:val="28"/>
        </w:rPr>
      </w:pPr>
      <w:r w:rsidRPr="007A565C">
        <w:rPr>
          <w:rFonts w:ascii="Times New Roman" w:eastAsia="Times New Roman" w:hAnsi="Times New Roman" w:cs="Times New Roman"/>
          <w:sz w:val="28"/>
        </w:rPr>
        <w:t xml:space="preserve">palielinot ienākumu slieksni līdz 1800 </w:t>
      </w:r>
      <w:r w:rsidRPr="007A565C">
        <w:rPr>
          <w:rFonts w:ascii="Times New Roman" w:eastAsia="Times New Roman" w:hAnsi="Times New Roman" w:cs="Times New Roman"/>
          <w:i/>
          <w:sz w:val="28"/>
        </w:rPr>
        <w:t>euro</w:t>
      </w:r>
      <w:r w:rsidRPr="007A565C">
        <w:rPr>
          <w:rFonts w:ascii="Times New Roman" w:eastAsia="Times New Roman" w:hAnsi="Times New Roman" w:cs="Times New Roman"/>
          <w:sz w:val="28"/>
        </w:rPr>
        <w:t xml:space="preserve"> mēnesī, līdz kuram tiek piemērots diferencētais neapliekamais minimums (šobrīd 1200 </w:t>
      </w:r>
      <w:r w:rsidRPr="007A565C">
        <w:rPr>
          <w:rFonts w:ascii="Times New Roman" w:eastAsia="Times New Roman" w:hAnsi="Times New Roman" w:cs="Times New Roman"/>
          <w:i/>
          <w:sz w:val="28"/>
        </w:rPr>
        <w:t>euro</w:t>
      </w:r>
      <w:r w:rsidRPr="007A565C">
        <w:rPr>
          <w:rFonts w:ascii="Times New Roman" w:eastAsia="Times New Roman" w:hAnsi="Times New Roman" w:cs="Times New Roman"/>
          <w:sz w:val="28"/>
        </w:rPr>
        <w:t xml:space="preserve"> mēnesī)</w:t>
      </w:r>
      <w:r>
        <w:rPr>
          <w:rFonts w:ascii="Times New Roman" w:eastAsia="Times New Roman" w:hAnsi="Times New Roman" w:cs="Times New Roman"/>
          <w:sz w:val="28"/>
        </w:rPr>
        <w:t>;</w:t>
      </w:r>
    </w:p>
    <w:p w14:paraId="72B2A56B" w14:textId="6B9E6F82" w:rsidR="007A565C" w:rsidRDefault="007A565C" w:rsidP="00FB2B77">
      <w:pPr>
        <w:pStyle w:val="ListParagraph"/>
        <w:widowControl w:val="0"/>
        <w:numPr>
          <w:ilvl w:val="0"/>
          <w:numId w:val="18"/>
        </w:numPr>
        <w:jc w:val="both"/>
        <w:rPr>
          <w:rFonts w:ascii="Times New Roman" w:eastAsia="Times New Roman" w:hAnsi="Times New Roman" w:cs="Times New Roman"/>
          <w:sz w:val="28"/>
        </w:rPr>
      </w:pPr>
      <w:r w:rsidRPr="007A565C">
        <w:rPr>
          <w:rFonts w:ascii="Times New Roman" w:eastAsia="Times New Roman" w:hAnsi="Times New Roman" w:cs="Times New Roman"/>
          <w:sz w:val="28"/>
        </w:rPr>
        <w:t>palielinot garantēto minimālo ienākumu, minimālo pensiju un pabalstus sociāli maz aizsargātām sabiedrības grupām.</w:t>
      </w:r>
    </w:p>
    <w:p w14:paraId="3828D03A" w14:textId="77777777" w:rsidR="00FD5F28" w:rsidRPr="007A565C" w:rsidRDefault="00FD5F28" w:rsidP="00FD5F28">
      <w:pPr>
        <w:pStyle w:val="ListParagraph"/>
        <w:widowControl w:val="0"/>
        <w:ind w:left="1080"/>
        <w:jc w:val="both"/>
        <w:rPr>
          <w:rFonts w:ascii="Times New Roman" w:eastAsia="Times New Roman" w:hAnsi="Times New Roman" w:cs="Times New Roman"/>
          <w:sz w:val="28"/>
        </w:rPr>
      </w:pPr>
    </w:p>
    <w:p w14:paraId="4A80E970" w14:textId="77777777" w:rsidR="007A565C" w:rsidRPr="007A565C" w:rsidRDefault="007A565C" w:rsidP="007A565C">
      <w:pPr>
        <w:widowControl w:val="0"/>
        <w:jc w:val="both"/>
        <w:rPr>
          <w:rFonts w:ascii="Times New Roman" w:eastAsia="Times New Roman" w:hAnsi="Times New Roman" w:cs="Times New Roman"/>
          <w:sz w:val="28"/>
        </w:rPr>
      </w:pPr>
    </w:p>
    <w:p w14:paraId="4E88595C" w14:textId="77777777" w:rsidR="007A565C" w:rsidRPr="007A565C" w:rsidRDefault="007A565C" w:rsidP="007A565C">
      <w:pPr>
        <w:widowControl w:val="0"/>
        <w:jc w:val="center"/>
        <w:rPr>
          <w:rFonts w:ascii="Times New Roman" w:eastAsia="Times New Roman" w:hAnsi="Times New Roman" w:cs="Times New Roman"/>
          <w:b/>
          <w:sz w:val="28"/>
        </w:rPr>
      </w:pPr>
      <w:r w:rsidRPr="007A565C">
        <w:rPr>
          <w:rFonts w:ascii="Times New Roman" w:eastAsia="Times New Roman" w:hAnsi="Times New Roman" w:cs="Times New Roman"/>
          <w:b/>
          <w:sz w:val="28"/>
        </w:rPr>
        <w:t>Valsts cilvēkkapitāla palielināšana</w:t>
      </w:r>
    </w:p>
    <w:p w14:paraId="5FD8F8EF" w14:textId="77777777" w:rsidR="007A565C" w:rsidRPr="007A565C" w:rsidRDefault="007A565C" w:rsidP="007A565C">
      <w:pPr>
        <w:widowControl w:val="0"/>
        <w:jc w:val="center"/>
        <w:rPr>
          <w:rFonts w:ascii="Times New Roman" w:eastAsia="Times New Roman" w:hAnsi="Times New Roman" w:cs="Times New Roman"/>
          <w:b/>
          <w:sz w:val="28"/>
        </w:rPr>
      </w:pPr>
    </w:p>
    <w:p w14:paraId="4793F8A2" w14:textId="095ACF9C" w:rsidR="008A3E8E" w:rsidRPr="007A565C" w:rsidRDefault="007A565C" w:rsidP="00FD5F28">
      <w:pPr>
        <w:widowControl w:val="0"/>
        <w:ind w:firstLine="720"/>
        <w:jc w:val="both"/>
        <w:rPr>
          <w:rFonts w:ascii="Times New Roman" w:eastAsia="Times New Roman" w:hAnsi="Times New Roman" w:cs="Times New Roman"/>
          <w:sz w:val="28"/>
        </w:rPr>
      </w:pPr>
      <w:r w:rsidRPr="007A565C">
        <w:rPr>
          <w:rFonts w:ascii="Times New Roman" w:eastAsia="Times New Roman" w:hAnsi="Times New Roman" w:cs="Times New Roman"/>
          <w:sz w:val="28"/>
        </w:rPr>
        <w:t xml:space="preserve">Veselības un izglītības nozares cilvēkkapitāla kapacitātes saglabāšana un stiprināšana, palielinot publisko finansējumu ārstniecības personu un pedagogu atalgojumam. </w:t>
      </w:r>
    </w:p>
    <w:p w14:paraId="51BB5502" w14:textId="7BE7ABC7" w:rsidR="008A3E8E" w:rsidRDefault="007A565C" w:rsidP="008A3E8E">
      <w:pPr>
        <w:widowControl w:val="0"/>
        <w:jc w:val="center"/>
        <w:rPr>
          <w:rFonts w:ascii="Times New Roman" w:eastAsia="Times New Roman" w:hAnsi="Times New Roman" w:cs="Times New Roman"/>
          <w:b/>
          <w:sz w:val="28"/>
        </w:rPr>
      </w:pPr>
      <w:r w:rsidRPr="007A565C">
        <w:rPr>
          <w:rFonts w:ascii="Times New Roman" w:eastAsia="Times New Roman" w:hAnsi="Times New Roman" w:cs="Times New Roman"/>
          <w:b/>
          <w:sz w:val="28"/>
        </w:rPr>
        <w:t>Veselības aprūpe</w:t>
      </w:r>
    </w:p>
    <w:p w14:paraId="77D82E6F" w14:textId="77777777" w:rsidR="008A3E8E" w:rsidRDefault="008A3E8E" w:rsidP="007A565C">
      <w:pPr>
        <w:widowControl w:val="0"/>
        <w:jc w:val="both"/>
        <w:rPr>
          <w:rFonts w:ascii="Times New Roman" w:eastAsia="Times New Roman" w:hAnsi="Times New Roman" w:cs="Times New Roman"/>
          <w:b/>
          <w:sz w:val="28"/>
        </w:rPr>
      </w:pPr>
    </w:p>
    <w:p w14:paraId="2FEFA97F" w14:textId="1807A1D5" w:rsidR="007A565C" w:rsidRPr="007A565C" w:rsidRDefault="007A565C" w:rsidP="008A3E8E">
      <w:pPr>
        <w:widowControl w:val="0"/>
        <w:ind w:firstLine="720"/>
        <w:jc w:val="both"/>
        <w:rPr>
          <w:rFonts w:ascii="Times New Roman" w:eastAsia="Times New Roman" w:hAnsi="Times New Roman" w:cs="Times New Roman"/>
          <w:i/>
          <w:sz w:val="28"/>
        </w:rPr>
      </w:pPr>
      <w:r w:rsidRPr="007A565C">
        <w:rPr>
          <w:rFonts w:ascii="Times New Roman" w:eastAsia="Times New Roman" w:hAnsi="Times New Roman" w:cs="Times New Roman"/>
          <w:sz w:val="28"/>
        </w:rPr>
        <w:t xml:space="preserve">Dzīves kvalitātes uzlabošana ir iespējama, nodrošinot ekonomikas strauju izaugsmi ilgtermiņā, jeb relatīvi augstu potenciālā IKP pieaugumu. Nelabvēlīgo demogrāfijas tendenču kontekstā darbaspēka komponents ieguldījums kopējā potenciālā IKP pieaugumā būs tuvs nullei. Šādos apstākļos darbaspēka komponentes ieguldījumu var palielināt, mazinot laiku, ko darbspējīgā vecuma iedzīvotāji atrodas ārpus darba slimības dēļ. Sabiedrības veselības stiprināšana, nodrošinot kvalitatīvākus un pieejamākus veselības aprūpes pasākumus tiešā veidā ietekmē potenciālā IKP izaugsmi un līdz ar to ir viens no rādītājiem valsts cilvēkkapitālā. Jāatzīmē arī, ka kvalitatīvāka un pieejamāka veselības aprūpe tiešā veidā pozitīvi ietekmē fiskālās politikas vispārējo mērķi – iedzīvotāju dzīves kvalitāti. Līdz ar to publisko finanšu ieguldījumi veselības aprūpē gan tiešā veidā uzlabo iedzīvotāju dzīves kvalitāti, gan rada priekšnosacījumus ekonomikas izaugsmei, kas, savukārt, nodrošina uzlabotās dzīves kvalitātes ilgtspēju.            </w:t>
      </w:r>
    </w:p>
    <w:p w14:paraId="18463EBD" w14:textId="09256E77" w:rsidR="007A565C" w:rsidRPr="007A565C" w:rsidRDefault="007A565C" w:rsidP="007A565C">
      <w:pPr>
        <w:widowControl w:val="0"/>
        <w:ind w:firstLine="720"/>
        <w:jc w:val="both"/>
        <w:rPr>
          <w:rFonts w:ascii="Calibri" w:eastAsia="Calibri" w:hAnsi="Calibri" w:cs="Calibri"/>
          <w:sz w:val="24"/>
        </w:rPr>
      </w:pPr>
      <w:r w:rsidRPr="007A565C">
        <w:rPr>
          <w:rFonts w:ascii="Times New Roman" w:eastAsia="Times New Roman" w:hAnsi="Times New Roman" w:cs="Times New Roman"/>
          <w:sz w:val="28"/>
        </w:rPr>
        <w:t>VTBIL</w:t>
      </w:r>
      <w:r w:rsidR="008A3E8E">
        <w:rPr>
          <w:rFonts w:ascii="Times New Roman" w:eastAsia="Times New Roman" w:hAnsi="Times New Roman" w:cs="Times New Roman"/>
          <w:sz w:val="28"/>
        </w:rPr>
        <w:t xml:space="preserve"> 2021., 2022. un 2023.gadam projektā</w:t>
      </w:r>
      <w:r w:rsidRPr="007A565C">
        <w:rPr>
          <w:rFonts w:ascii="Times New Roman" w:eastAsia="Times New Roman" w:hAnsi="Times New Roman" w:cs="Times New Roman"/>
          <w:sz w:val="28"/>
        </w:rPr>
        <w:t xml:space="preserve"> viens no MK lēmum</w:t>
      </w:r>
      <w:r w:rsidR="008A3E8E">
        <w:rPr>
          <w:rFonts w:ascii="Times New Roman" w:eastAsia="Times New Roman" w:hAnsi="Times New Roman" w:cs="Times New Roman"/>
          <w:sz w:val="28"/>
        </w:rPr>
        <w:t xml:space="preserve">iem vidējā termiņā ietver </w:t>
      </w:r>
      <w:r w:rsidRPr="007A565C">
        <w:rPr>
          <w:rFonts w:ascii="Times New Roman" w:eastAsia="Times New Roman" w:hAnsi="Times New Roman" w:cs="Times New Roman"/>
          <w:sz w:val="28"/>
        </w:rPr>
        <w:t xml:space="preserve">183,0 milj. </w:t>
      </w:r>
      <w:r w:rsidRPr="007A565C">
        <w:rPr>
          <w:rFonts w:ascii="Times New Roman" w:eastAsia="Times New Roman" w:hAnsi="Times New Roman" w:cs="Times New Roman"/>
          <w:i/>
          <w:sz w:val="28"/>
        </w:rPr>
        <w:t>euro</w:t>
      </w:r>
      <w:r w:rsidRPr="007A565C">
        <w:rPr>
          <w:rFonts w:ascii="Times New Roman" w:eastAsia="Times New Roman" w:hAnsi="Times New Roman" w:cs="Times New Roman"/>
          <w:sz w:val="28"/>
        </w:rPr>
        <w:t xml:space="preserve"> piešķiršanu </w:t>
      </w:r>
      <w:r w:rsidR="008A3E8E">
        <w:rPr>
          <w:rFonts w:ascii="Times New Roman" w:eastAsia="Times New Roman" w:hAnsi="Times New Roman" w:cs="Times New Roman"/>
          <w:sz w:val="28"/>
        </w:rPr>
        <w:t>2021.</w:t>
      </w:r>
      <w:r w:rsidR="008A3E8E" w:rsidRPr="007A565C">
        <w:rPr>
          <w:rFonts w:ascii="Times New Roman" w:eastAsia="Times New Roman" w:hAnsi="Times New Roman" w:cs="Times New Roman"/>
          <w:sz w:val="28"/>
        </w:rPr>
        <w:t xml:space="preserve">gadam un turpmāk </w:t>
      </w:r>
      <w:r w:rsidRPr="007A565C">
        <w:rPr>
          <w:rFonts w:ascii="Times New Roman" w:eastAsia="Times New Roman" w:hAnsi="Times New Roman" w:cs="Times New Roman"/>
          <w:sz w:val="28"/>
        </w:rPr>
        <w:t xml:space="preserve">ārstniecības personu darba samaksas pieauguma nodrošināšanai.  </w:t>
      </w:r>
    </w:p>
    <w:p w14:paraId="766CBC86" w14:textId="01EA040C" w:rsidR="00C25697" w:rsidRPr="00C25697" w:rsidRDefault="00C25697" w:rsidP="00401A5B">
      <w:pPr>
        <w:shd w:val="clear" w:color="auto" w:fill="FFFFFF"/>
        <w:ind w:firstLine="720"/>
        <w:jc w:val="both"/>
        <w:rPr>
          <w:rFonts w:ascii="Times New Roman" w:eastAsia="Calibri" w:hAnsi="Times New Roman" w:cs="Times New Roman"/>
          <w:color w:val="000000"/>
          <w:sz w:val="28"/>
          <w:szCs w:val="28"/>
        </w:rPr>
      </w:pPr>
      <w:r w:rsidRPr="00C25697">
        <w:rPr>
          <w:rFonts w:ascii="Calibri" w:eastAsia="Calibri" w:hAnsi="Calibri" w:cs="Calibri"/>
          <w:color w:val="000000"/>
          <w:sz w:val="14"/>
          <w:szCs w:val="14"/>
        </w:rPr>
        <w:t> </w:t>
      </w:r>
      <w:r w:rsidRPr="00C25697">
        <w:rPr>
          <w:rFonts w:ascii="Times New Roman" w:eastAsia="Calibri" w:hAnsi="Times New Roman" w:cs="Times New Roman"/>
          <w:i/>
          <w:iCs/>
          <w:color w:val="000000"/>
          <w:sz w:val="28"/>
          <w:szCs w:val="28"/>
        </w:rPr>
        <w:t>Eurostat</w:t>
      </w:r>
      <w:r w:rsidRPr="00C25697">
        <w:rPr>
          <w:rFonts w:ascii="Times New Roman" w:eastAsia="Calibri" w:hAnsi="Times New Roman" w:cs="Times New Roman"/>
          <w:color w:val="000000"/>
          <w:sz w:val="28"/>
          <w:szCs w:val="28"/>
        </w:rPr>
        <w:t> dati norāda, ka 2018.gadā medicīnas personāla skaits Latvijā uz 1000 iedzīvotājiem bija zemāks nekā vidēji ES, t.sk. medicīnas māsu skaits bija tikai 4,4 uz 1000 iedzīvotājiem, kas ir viens no zemākajiem rādītājiem ES,  savukārt  ārstu skaits bija 3,3 uz 1000 iedzīvotājiem, kas arī ir zem ES vidējā rādītāja (3,8). Attiecīgi ir pamatoti izvērtēt to</w:t>
      </w:r>
      <w:r>
        <w:rPr>
          <w:rFonts w:ascii="Times New Roman" w:eastAsia="Calibri" w:hAnsi="Times New Roman" w:cs="Times New Roman"/>
          <w:color w:val="000000"/>
          <w:sz w:val="28"/>
          <w:szCs w:val="28"/>
        </w:rPr>
        <w:t>,</w:t>
      </w:r>
      <w:r w:rsidRPr="00C25697">
        <w:rPr>
          <w:rFonts w:ascii="Times New Roman" w:eastAsia="Calibri" w:hAnsi="Times New Roman" w:cs="Times New Roman"/>
          <w:color w:val="000000"/>
          <w:sz w:val="28"/>
          <w:szCs w:val="28"/>
        </w:rPr>
        <w:t xml:space="preserve"> kā atalgojums potenciāli ietekmē medicīnas studiju absolventu lēmumu strādāt medicīnas nozarē Latvijā (valsts vai pašvaldību slimnīcās) vai arī ārzemēs.</w:t>
      </w:r>
    </w:p>
    <w:p w14:paraId="6229145F" w14:textId="43A67A0D" w:rsidR="00C25697" w:rsidRPr="00C25697" w:rsidRDefault="00C25697" w:rsidP="00401A5B">
      <w:pPr>
        <w:shd w:val="clear" w:color="auto" w:fill="FFFFFF"/>
        <w:ind w:firstLine="720"/>
        <w:jc w:val="both"/>
        <w:rPr>
          <w:rFonts w:ascii="Times New Roman" w:eastAsia="Calibri" w:hAnsi="Times New Roman" w:cs="Times New Roman"/>
          <w:color w:val="000000"/>
          <w:sz w:val="28"/>
          <w:szCs w:val="28"/>
        </w:rPr>
      </w:pPr>
      <w:r w:rsidRPr="00C25697">
        <w:rPr>
          <w:rFonts w:ascii="Times New Roman" w:eastAsia="Calibri" w:hAnsi="Times New Roman" w:cs="Times New Roman"/>
          <w:color w:val="000000"/>
          <w:sz w:val="28"/>
          <w:szCs w:val="28"/>
        </w:rPr>
        <w:t xml:space="preserve"> Atbilstoši </w:t>
      </w:r>
      <w:r w:rsidR="00AC361B">
        <w:rPr>
          <w:rFonts w:ascii="Times New Roman" w:eastAsia="Calibri" w:hAnsi="Times New Roman" w:cs="Times New Roman"/>
          <w:color w:val="000000"/>
          <w:sz w:val="28"/>
          <w:szCs w:val="28"/>
        </w:rPr>
        <w:t>VM</w:t>
      </w:r>
      <w:r w:rsidRPr="00C25697">
        <w:rPr>
          <w:rFonts w:ascii="Times New Roman" w:eastAsia="Calibri" w:hAnsi="Times New Roman" w:cs="Times New Roman"/>
          <w:color w:val="000000"/>
          <w:sz w:val="28"/>
          <w:szCs w:val="28"/>
        </w:rPr>
        <w:t xml:space="preserve"> analīzei, 2019.gadā no visiem rezidentūras absolventiem (210) darba vietas ārstniecības nozarē neuzrādīja tikai 4% (9 personas), salīdzinot ar 2018.gadu, kad darba vietu neuzrādīja pat 18% rezidentūras absolventu. Situācijas uzlabošanās ir vērtējama īpaši pozitīvi, ņemot vērā, cik valsts ir samaksājusi par rezidentūras studijām (gadā viena rezi</w:t>
      </w:r>
      <w:r w:rsidR="00400235">
        <w:rPr>
          <w:rFonts w:ascii="Times New Roman" w:eastAsia="Calibri" w:hAnsi="Times New Roman" w:cs="Times New Roman"/>
          <w:color w:val="000000"/>
          <w:sz w:val="28"/>
          <w:szCs w:val="28"/>
        </w:rPr>
        <w:t>denta apmācības izmaksas ir</w:t>
      </w:r>
      <w:r w:rsidRPr="00C25697">
        <w:rPr>
          <w:rFonts w:ascii="Times New Roman" w:eastAsia="Calibri" w:hAnsi="Times New Roman" w:cs="Times New Roman"/>
          <w:color w:val="000000"/>
          <w:sz w:val="28"/>
          <w:szCs w:val="28"/>
        </w:rPr>
        <w:t xml:space="preserve"> aptuveni 24 tūkst. </w:t>
      </w:r>
      <w:r w:rsidRPr="00C25697">
        <w:rPr>
          <w:rFonts w:ascii="Times New Roman" w:eastAsia="Calibri" w:hAnsi="Times New Roman" w:cs="Times New Roman"/>
          <w:i/>
          <w:iCs/>
          <w:color w:val="000000"/>
          <w:sz w:val="28"/>
          <w:szCs w:val="28"/>
        </w:rPr>
        <w:t>euro</w:t>
      </w:r>
      <w:r w:rsidRPr="00C25697">
        <w:rPr>
          <w:rFonts w:ascii="Times New Roman" w:eastAsia="Calibri" w:hAnsi="Times New Roman" w:cs="Times New Roman"/>
          <w:color w:val="000000"/>
          <w:sz w:val="28"/>
          <w:szCs w:val="28"/>
        </w:rPr>
        <w:t xml:space="preserve">). </w:t>
      </w:r>
    </w:p>
    <w:p w14:paraId="4D7606A1" w14:textId="7FD16293" w:rsidR="00C25697" w:rsidRPr="00C25697" w:rsidRDefault="00C25697" w:rsidP="00401A5B">
      <w:pPr>
        <w:shd w:val="clear" w:color="auto" w:fill="FFFFFF"/>
        <w:ind w:firstLine="720"/>
        <w:jc w:val="both"/>
        <w:rPr>
          <w:rFonts w:ascii="Times New Roman" w:eastAsia="Calibri" w:hAnsi="Times New Roman" w:cs="Times New Roman"/>
          <w:color w:val="000000"/>
          <w:sz w:val="28"/>
          <w:szCs w:val="28"/>
        </w:rPr>
      </w:pPr>
      <w:r w:rsidRPr="00C25697">
        <w:rPr>
          <w:rFonts w:ascii="Times New Roman" w:eastAsia="Calibri" w:hAnsi="Times New Roman" w:cs="Times New Roman"/>
          <w:color w:val="000000"/>
          <w:sz w:val="28"/>
          <w:szCs w:val="28"/>
        </w:rPr>
        <w:t xml:space="preserve">Savukārt, medicīnas māsu statistika norāda, ka 2019.gadā   516 māsas absolvēja izglītības iestādi, no kurām tikai 202 reģistrējās Ārstniecības personu un ārstniecības atbalsta personu reģistrā, bet no tām – tikai  126 uzsāka darbu veselības aprūpes sistēmā (jeb  24% no visiem absolventiem). Laika periodā no </w:t>
      </w:r>
      <w:r w:rsidR="00400235">
        <w:rPr>
          <w:rFonts w:ascii="Times New Roman" w:eastAsia="Calibri" w:hAnsi="Times New Roman" w:cs="Times New Roman"/>
          <w:color w:val="000000"/>
          <w:sz w:val="28"/>
          <w:szCs w:val="28"/>
        </w:rPr>
        <w:t>2010.gada līdz 2020.gada 1.</w:t>
      </w:r>
      <w:r w:rsidRPr="00C25697">
        <w:rPr>
          <w:rFonts w:ascii="Times New Roman" w:eastAsia="Calibri" w:hAnsi="Times New Roman" w:cs="Times New Roman"/>
          <w:color w:val="000000"/>
          <w:sz w:val="28"/>
          <w:szCs w:val="28"/>
        </w:rPr>
        <w:t>septembrim ārstniecības personām un ārstniecības atbalsta personām  izsniegtas 1261 profesionālās kvalifikācijas izziņas darbam ārvalstīs, no tām – 1011 māsām, 141 ārsta palīgiem.</w:t>
      </w:r>
    </w:p>
    <w:p w14:paraId="4F49E332" w14:textId="77777777" w:rsidR="00400235" w:rsidRDefault="00C25697" w:rsidP="00401A5B">
      <w:pPr>
        <w:shd w:val="clear" w:color="auto" w:fill="FFFFFF"/>
        <w:ind w:firstLine="720"/>
        <w:jc w:val="both"/>
        <w:rPr>
          <w:rFonts w:ascii="Times New Roman" w:eastAsia="Calibri" w:hAnsi="Times New Roman" w:cs="Times New Roman"/>
          <w:color w:val="000000"/>
          <w:sz w:val="28"/>
          <w:szCs w:val="28"/>
        </w:rPr>
      </w:pPr>
      <w:r w:rsidRPr="00C25697">
        <w:rPr>
          <w:rFonts w:ascii="Times New Roman" w:eastAsia="Calibri" w:hAnsi="Times New Roman" w:cs="Times New Roman"/>
          <w:color w:val="000000"/>
          <w:sz w:val="28"/>
          <w:szCs w:val="28"/>
        </w:rPr>
        <w:t>No aptaujātajiem 2018./2019. mācību gada 159 absolventiem (ārstiem) 25% ir norādījuši, ka plāno doties prom no Latvijas. Katru gadu latviešu izcelsmes ārstiem tiek izsniegtas izziņas kva</w:t>
      </w:r>
      <w:r w:rsidR="00400235">
        <w:rPr>
          <w:rFonts w:ascii="Times New Roman" w:eastAsia="Calibri" w:hAnsi="Times New Roman" w:cs="Times New Roman"/>
          <w:color w:val="000000"/>
          <w:sz w:val="28"/>
          <w:szCs w:val="28"/>
        </w:rPr>
        <w:t>lifikācijas atzīšanai ārvalstīs - 2016.gadā – 102,</w:t>
      </w:r>
      <w:r w:rsidRPr="00C25697">
        <w:rPr>
          <w:rFonts w:ascii="Times New Roman" w:eastAsia="Calibri" w:hAnsi="Times New Roman" w:cs="Times New Roman"/>
          <w:color w:val="000000"/>
          <w:sz w:val="28"/>
          <w:szCs w:val="28"/>
        </w:rPr>
        <w:t xml:space="preserve"> 2017.gadā - 85; 2018. gadā - 75. </w:t>
      </w:r>
    </w:p>
    <w:p w14:paraId="6640A7B5" w14:textId="0DFB478E" w:rsidR="00C25697" w:rsidRPr="00C25697" w:rsidRDefault="00C25697" w:rsidP="00401A5B">
      <w:pPr>
        <w:shd w:val="clear" w:color="auto" w:fill="FFFFFF"/>
        <w:ind w:firstLine="720"/>
        <w:jc w:val="both"/>
        <w:rPr>
          <w:rFonts w:ascii="Times New Roman" w:eastAsia="Calibri" w:hAnsi="Times New Roman" w:cs="Times New Roman"/>
          <w:color w:val="000000"/>
          <w:sz w:val="28"/>
          <w:szCs w:val="28"/>
        </w:rPr>
      </w:pPr>
      <w:r w:rsidRPr="00C25697">
        <w:rPr>
          <w:rFonts w:ascii="Times New Roman" w:eastAsia="Calibri" w:hAnsi="Times New Roman" w:cs="Times New Roman"/>
          <w:color w:val="000000"/>
          <w:sz w:val="28"/>
          <w:szCs w:val="28"/>
        </w:rPr>
        <w:t>OECD dati norāda, ka slimnīcās, kur tiek nodrošināta neatliekamā medicīniskā palīdzība, sekundārā un terciārā līmeņa veselības aprūpe, nodarbināto ārstu skaits Latvijā i</w:t>
      </w:r>
      <w:r w:rsidR="00400235">
        <w:rPr>
          <w:rFonts w:ascii="Times New Roman" w:eastAsia="Calibri" w:hAnsi="Times New Roman" w:cs="Times New Roman"/>
          <w:color w:val="000000"/>
          <w:sz w:val="28"/>
          <w:szCs w:val="28"/>
        </w:rPr>
        <w:t>r mazāks kā OECD valstīs vidēji -</w:t>
      </w:r>
      <w:r w:rsidRPr="00C25697">
        <w:rPr>
          <w:rFonts w:ascii="Times New Roman" w:eastAsia="Calibri" w:hAnsi="Times New Roman" w:cs="Times New Roman"/>
          <w:color w:val="000000"/>
          <w:sz w:val="28"/>
          <w:szCs w:val="28"/>
        </w:rPr>
        <w:t xml:space="preserve"> Latvijā aptuveni 59%</w:t>
      </w:r>
      <w:bookmarkStart w:id="60" w:name="x_x__ftnref1"/>
      <w:bookmarkEnd w:id="60"/>
      <w:r w:rsidR="00400235">
        <w:rPr>
          <w:rStyle w:val="FootnoteReference"/>
          <w:rFonts w:ascii="Times New Roman" w:eastAsia="Calibri" w:hAnsi="Times New Roman" w:cs="Times New Roman"/>
          <w:color w:val="000000"/>
          <w:sz w:val="28"/>
          <w:szCs w:val="28"/>
        </w:rPr>
        <w:footnoteReference w:id="12"/>
      </w:r>
      <w:r w:rsidR="00400235">
        <w:rPr>
          <w:rFonts w:ascii="Times New Roman" w:eastAsia="Calibri" w:hAnsi="Times New Roman" w:cs="Times New Roman"/>
          <w:color w:val="000000"/>
          <w:sz w:val="28"/>
          <w:szCs w:val="28"/>
        </w:rPr>
        <w:t xml:space="preserve">, </w:t>
      </w:r>
      <w:r w:rsidRPr="00C25697">
        <w:rPr>
          <w:rFonts w:ascii="Times New Roman" w:eastAsia="Calibri" w:hAnsi="Times New Roman" w:cs="Times New Roman"/>
          <w:color w:val="000000"/>
          <w:sz w:val="28"/>
          <w:szCs w:val="28"/>
        </w:rPr>
        <w:t>OECD valstīs vairāk nekā 75% (tikai 25% strādā ārpus slimnīcu sektora)</w:t>
      </w:r>
      <w:bookmarkStart w:id="61" w:name="x_x__ftnref2"/>
      <w:bookmarkEnd w:id="61"/>
      <w:r w:rsidR="00400235">
        <w:rPr>
          <w:rStyle w:val="FootnoteReference"/>
          <w:rFonts w:ascii="Times New Roman" w:eastAsia="Calibri" w:hAnsi="Times New Roman" w:cs="Times New Roman"/>
          <w:color w:val="000000"/>
          <w:sz w:val="28"/>
          <w:szCs w:val="28"/>
        </w:rPr>
        <w:footnoteReference w:id="13"/>
      </w:r>
      <w:r w:rsidRPr="00C25697">
        <w:rPr>
          <w:rFonts w:ascii="Times New Roman" w:eastAsia="Calibri" w:hAnsi="Times New Roman" w:cs="Times New Roman"/>
          <w:color w:val="000000"/>
          <w:sz w:val="28"/>
          <w:szCs w:val="28"/>
        </w:rPr>
        <w:t>. Principā šie dati norāda uz to, ka pārāk maza proporcija ārstu strādā slimnīcās t.i. stacionārajā segmentā.</w:t>
      </w:r>
    </w:p>
    <w:p w14:paraId="10EE6BCA" w14:textId="77777777" w:rsidR="008A3E8E" w:rsidRPr="008A3E8E" w:rsidRDefault="008A3E8E" w:rsidP="008A3E8E">
      <w:pPr>
        <w:widowControl w:val="0"/>
        <w:ind w:firstLine="720"/>
        <w:jc w:val="both"/>
        <w:rPr>
          <w:rFonts w:ascii="Times New Roman" w:eastAsia="Times New Roman" w:hAnsi="Times New Roman" w:cs="Times New Roman"/>
          <w:sz w:val="28"/>
        </w:rPr>
      </w:pPr>
      <w:r w:rsidRPr="008A3E8E">
        <w:rPr>
          <w:rFonts w:ascii="Times New Roman" w:eastAsia="Times New Roman" w:hAnsi="Times New Roman" w:cs="Times New Roman"/>
          <w:sz w:val="28"/>
        </w:rPr>
        <w:t xml:space="preserve">Pēdējo gadu politikas izmaiņas veselības nozarē ir sekmējušas finansējuma pieaugumu gan slimnīcu aprīkojuma un infrastruktūras uzlabojumiem, gan arī ārstniecības personāla atalgojumam un turpmāki centieni finansējuma pieaugumam t.sk. atalgojumam būtu viens no potenciālajiem risinājumiem, lai sekmētu gan medicīnas personāla ataudzes nodrošināšanu nozarē, gan arī pašlaik veselības nozarē strādājošo motivācijas  pieaugumu. </w:t>
      </w:r>
    </w:p>
    <w:p w14:paraId="6AAD8BF3" w14:textId="77777777" w:rsidR="008A3E8E" w:rsidRDefault="008A3E8E" w:rsidP="008A3E8E">
      <w:pPr>
        <w:widowControl w:val="0"/>
        <w:ind w:firstLine="720"/>
        <w:jc w:val="both"/>
        <w:rPr>
          <w:rFonts w:ascii="Times New Roman" w:eastAsia="Times New Roman" w:hAnsi="Times New Roman" w:cs="Times New Roman"/>
          <w:b/>
          <w:sz w:val="28"/>
        </w:rPr>
      </w:pPr>
    </w:p>
    <w:p w14:paraId="4F0D8605" w14:textId="7C927FD5" w:rsidR="008A3E8E" w:rsidRDefault="008A3E8E" w:rsidP="008A3E8E">
      <w:pPr>
        <w:widowControl w:val="0"/>
        <w:ind w:firstLine="720"/>
        <w:jc w:val="center"/>
        <w:rPr>
          <w:rFonts w:ascii="Times New Roman" w:eastAsia="Times New Roman" w:hAnsi="Times New Roman" w:cs="Times New Roman"/>
          <w:b/>
          <w:sz w:val="28"/>
        </w:rPr>
      </w:pPr>
      <w:r w:rsidRPr="008A3E8E">
        <w:rPr>
          <w:rFonts w:ascii="Times New Roman" w:eastAsia="Times New Roman" w:hAnsi="Times New Roman" w:cs="Times New Roman"/>
          <w:b/>
          <w:sz w:val="28"/>
        </w:rPr>
        <w:t>Izglītība un zinātne</w:t>
      </w:r>
    </w:p>
    <w:p w14:paraId="1B3EFA21" w14:textId="77777777" w:rsidR="008A3E8E" w:rsidRDefault="008A3E8E" w:rsidP="008A3E8E">
      <w:pPr>
        <w:widowControl w:val="0"/>
        <w:ind w:firstLine="720"/>
        <w:jc w:val="center"/>
        <w:rPr>
          <w:rFonts w:ascii="Times New Roman" w:eastAsia="Times New Roman" w:hAnsi="Times New Roman" w:cs="Times New Roman"/>
          <w:b/>
          <w:sz w:val="28"/>
        </w:rPr>
      </w:pPr>
    </w:p>
    <w:p w14:paraId="25A9E3A0" w14:textId="3E583534" w:rsidR="008A3E8E" w:rsidRPr="008A3E8E" w:rsidRDefault="008A3E8E" w:rsidP="008A3E8E">
      <w:pPr>
        <w:widowControl w:val="0"/>
        <w:ind w:firstLine="720"/>
        <w:jc w:val="both"/>
        <w:rPr>
          <w:rFonts w:ascii="Times New Roman" w:eastAsia="Times New Roman" w:hAnsi="Times New Roman" w:cs="Times New Roman"/>
          <w:i/>
          <w:sz w:val="28"/>
        </w:rPr>
      </w:pPr>
      <w:r w:rsidRPr="008A3E8E">
        <w:rPr>
          <w:rFonts w:ascii="Times New Roman" w:eastAsia="Times New Roman" w:hAnsi="Times New Roman" w:cs="Times New Roman"/>
          <w:sz w:val="28"/>
        </w:rPr>
        <w:t xml:space="preserve">Ņemot vērā ierobežojumus darbaspēka apjomā, kopējo faktoru produktivitātes paaugstināšana Latvijas apstākļos ir galvenais faktors potenciālā IKP izaugsmē. Latvijas iedzīvotāju zināšanas, prasmes un spēja būt inovatīviem un apstākļu izveide iespējai inovatīvās idejas īstenot dzīvē ir tie priekšnoteikumi, kas nepieciešami potenciālās IKP izaugsmei. Izglītībai un zinātnei šeit ir galvenā nozīme.    </w:t>
      </w:r>
    </w:p>
    <w:p w14:paraId="6642B3E7" w14:textId="08E68E7C" w:rsidR="00557196" w:rsidRPr="00FD5F28" w:rsidRDefault="008A3E8E" w:rsidP="00FD5F28">
      <w:pPr>
        <w:widowControl w:val="0"/>
        <w:ind w:firstLine="720"/>
        <w:jc w:val="both"/>
        <w:rPr>
          <w:rFonts w:ascii="Times New Roman" w:eastAsia="Times New Roman" w:hAnsi="Times New Roman" w:cs="Times New Roman"/>
          <w:sz w:val="28"/>
        </w:rPr>
      </w:pPr>
      <w:r w:rsidRPr="008A3E8E">
        <w:rPr>
          <w:rFonts w:ascii="Times New Roman" w:eastAsia="Times New Roman" w:hAnsi="Times New Roman" w:cs="Times New Roman"/>
          <w:sz w:val="28"/>
        </w:rPr>
        <w:t xml:space="preserve">Atbilstoši </w:t>
      </w:r>
      <w:r w:rsidRPr="008A3E8E">
        <w:rPr>
          <w:rFonts w:ascii="Times New Roman" w:eastAsia="Times New Roman" w:hAnsi="Times New Roman" w:cs="Times New Roman"/>
          <w:i/>
          <w:sz w:val="28"/>
        </w:rPr>
        <w:t>Eurostat</w:t>
      </w:r>
      <w:r w:rsidRPr="008A3E8E">
        <w:rPr>
          <w:rFonts w:ascii="Times New Roman" w:eastAsia="Times New Roman" w:hAnsi="Times New Roman" w:cs="Times New Roman"/>
          <w:sz w:val="28"/>
        </w:rPr>
        <w:t xml:space="preserve"> COFOG vispārējās valdības sektora izdevumu klasifikācijas datiem finansējums izglītības jomā Latvijā (5,8% no IKP pēc 2018. gada datiem) ir piektais augstākais ES, pārsniedzot gan ES vidējo rādītāju (4,6% no IKP), gan arī apsteidzot Lietuvu (4,6% no IKP), bet vienlaikus atpaliekot no Igaunijas (6,2% no IKP). Tas norāda uz to, ka finansējums izglītībai Latvijā ir adekvātā līmenī, bet ir jārisina jautājumi saistībā ar skolu tīkla optimizāciju un skolēnu skaita uz vienu pedagogu attiecības palielināšanu. Jāatzīmē, ka būtiska skolēnu skaita uz vienu pedagogu palielināšana, kā arī nozīmīga progresa sasniegšana skolu tīkla reorganizācijā nav iespējama īsā laika periodā, neapdraudot izglītības kvalitāti. Tādējādi viens no risinājumiem ir ieguldīt izglītības sistēmā papildu līdzekļus, lai celtu pedagogu atalgojumu, kas arī ir bijis viens no MK</w:t>
      </w:r>
      <w:r>
        <w:rPr>
          <w:rFonts w:ascii="Times New Roman" w:eastAsia="Times New Roman" w:hAnsi="Times New Roman" w:cs="Times New Roman"/>
          <w:sz w:val="28"/>
        </w:rPr>
        <w:t xml:space="preserve"> lēmumiem</w:t>
      </w:r>
      <w:r w:rsidRPr="008A3E8E">
        <w:rPr>
          <w:rFonts w:ascii="Times New Roman" w:eastAsia="Times New Roman" w:hAnsi="Times New Roman" w:cs="Times New Roman"/>
          <w:sz w:val="28"/>
        </w:rPr>
        <w:t xml:space="preserve"> VTBIL </w:t>
      </w:r>
      <w:r>
        <w:rPr>
          <w:rFonts w:ascii="Times New Roman" w:eastAsia="Times New Roman" w:hAnsi="Times New Roman" w:cs="Times New Roman"/>
          <w:sz w:val="28"/>
        </w:rPr>
        <w:t xml:space="preserve">2021., 2022. un 2023. gadam projekta </w:t>
      </w:r>
      <w:r w:rsidRPr="008A3E8E">
        <w:rPr>
          <w:rFonts w:ascii="Times New Roman" w:eastAsia="Times New Roman" w:hAnsi="Times New Roman" w:cs="Times New Roman"/>
          <w:sz w:val="28"/>
        </w:rPr>
        <w:t xml:space="preserve">izstrādē. Atbilstoši, 2021.gadā MK ir piešķīris papildu finansējumu 40,6 milj. </w:t>
      </w:r>
      <w:r w:rsidRPr="008A3E8E">
        <w:rPr>
          <w:rFonts w:ascii="Times New Roman" w:eastAsia="Times New Roman" w:hAnsi="Times New Roman" w:cs="Times New Roman"/>
          <w:i/>
          <w:sz w:val="28"/>
        </w:rPr>
        <w:t>euro</w:t>
      </w:r>
      <w:r w:rsidRPr="008A3E8E">
        <w:rPr>
          <w:rFonts w:ascii="Times New Roman" w:eastAsia="Times New Roman" w:hAnsi="Times New Roman" w:cs="Times New Roman"/>
          <w:sz w:val="28"/>
        </w:rPr>
        <w:t xml:space="preserve"> gan pedagogu darba samaksas pieauguma grafika īstenošanai pirmsskolas izglītībā, vispārējā izglītībā, profesionālajā izglītībā, profesionālajā ievirzē un interešu izglītībā, gan arī akadēmiskā personāla minimālo atlīdzības likmju paaugstināšanai. Savukārt,</w:t>
      </w:r>
      <w:r>
        <w:rPr>
          <w:rFonts w:ascii="Times New Roman" w:eastAsia="Times New Roman" w:hAnsi="Times New Roman" w:cs="Times New Roman"/>
          <w:sz w:val="28"/>
        </w:rPr>
        <w:t xml:space="preserve"> gan 2022.</w:t>
      </w:r>
      <w:r w:rsidRPr="008A3E8E">
        <w:rPr>
          <w:rFonts w:ascii="Times New Roman" w:eastAsia="Times New Roman" w:hAnsi="Times New Roman" w:cs="Times New Roman"/>
          <w:sz w:val="28"/>
        </w:rPr>
        <w:t>gadā, gan</w:t>
      </w:r>
      <w:r>
        <w:rPr>
          <w:rFonts w:ascii="Times New Roman" w:eastAsia="Times New Roman" w:hAnsi="Times New Roman" w:cs="Times New Roman"/>
          <w:sz w:val="28"/>
        </w:rPr>
        <w:t xml:space="preserve"> 2023.</w:t>
      </w:r>
      <w:r w:rsidRPr="008A3E8E">
        <w:rPr>
          <w:rFonts w:ascii="Times New Roman" w:eastAsia="Times New Roman" w:hAnsi="Times New Roman" w:cs="Times New Roman"/>
          <w:sz w:val="28"/>
        </w:rPr>
        <w:t xml:space="preserve">gadā šim mērķim ir atvēlēti 56,3 milj. </w:t>
      </w:r>
      <w:r w:rsidRPr="008A3E8E">
        <w:rPr>
          <w:rFonts w:ascii="Times New Roman" w:eastAsia="Times New Roman" w:hAnsi="Times New Roman" w:cs="Times New Roman"/>
          <w:i/>
          <w:sz w:val="28"/>
        </w:rPr>
        <w:t>euro</w:t>
      </w:r>
      <w:r w:rsidR="00FD5F28">
        <w:rPr>
          <w:rFonts w:ascii="Times New Roman" w:eastAsia="Times New Roman" w:hAnsi="Times New Roman" w:cs="Times New Roman"/>
          <w:sz w:val="28"/>
        </w:rPr>
        <w:t>.</w:t>
      </w:r>
    </w:p>
    <w:p w14:paraId="27FC977C" w14:textId="77777777" w:rsidR="00541277" w:rsidRDefault="00541277" w:rsidP="00401A5B">
      <w:pPr>
        <w:widowControl w:val="0"/>
        <w:jc w:val="center"/>
        <w:rPr>
          <w:rFonts w:ascii="Times New Roman" w:eastAsia="Times New Roman" w:hAnsi="Times New Roman" w:cs="Times New Roman"/>
          <w:b/>
          <w:sz w:val="24"/>
          <w:highlight w:val="green"/>
        </w:rPr>
      </w:pPr>
    </w:p>
    <w:p w14:paraId="204C3F79" w14:textId="77777777" w:rsidR="00541277" w:rsidRPr="008A3E8E" w:rsidRDefault="00541277" w:rsidP="00401A5B">
      <w:pPr>
        <w:widowControl w:val="0"/>
        <w:jc w:val="center"/>
        <w:rPr>
          <w:rFonts w:ascii="Times New Roman" w:eastAsia="Times New Roman" w:hAnsi="Times New Roman" w:cs="Times New Roman"/>
          <w:b/>
          <w:sz w:val="28"/>
        </w:rPr>
      </w:pPr>
      <w:r w:rsidRPr="008A3E8E">
        <w:rPr>
          <w:rFonts w:ascii="Times New Roman" w:eastAsia="Times New Roman" w:hAnsi="Times New Roman" w:cs="Times New Roman"/>
          <w:b/>
          <w:sz w:val="28"/>
        </w:rPr>
        <w:t>Uzņēmumu konkurētspējas veicināšana</w:t>
      </w:r>
    </w:p>
    <w:p w14:paraId="282BCD1D" w14:textId="77777777" w:rsidR="00557196" w:rsidRPr="008A3E8E" w:rsidRDefault="00557196" w:rsidP="00401A5B">
      <w:pPr>
        <w:widowControl w:val="0"/>
        <w:ind w:firstLine="720"/>
        <w:jc w:val="both"/>
        <w:rPr>
          <w:rFonts w:ascii="Times New Roman" w:eastAsia="Times New Roman" w:hAnsi="Times New Roman" w:cs="Times New Roman"/>
          <w:sz w:val="28"/>
        </w:rPr>
      </w:pPr>
    </w:p>
    <w:p w14:paraId="0F8EC7CF" w14:textId="2CCBA81C" w:rsidR="008A3E8E" w:rsidRPr="008A3E8E" w:rsidRDefault="008A3E8E" w:rsidP="008A3E8E">
      <w:pPr>
        <w:widowControl w:val="0"/>
        <w:ind w:firstLine="720"/>
        <w:jc w:val="both"/>
        <w:rPr>
          <w:rFonts w:ascii="Times New Roman" w:eastAsia="Times New Roman" w:hAnsi="Times New Roman" w:cs="Times New Roman"/>
          <w:sz w:val="28"/>
        </w:rPr>
      </w:pPr>
      <w:r w:rsidRPr="008A3E8E">
        <w:rPr>
          <w:rFonts w:ascii="Times New Roman" w:eastAsia="Times New Roman" w:hAnsi="Times New Roman" w:cs="Times New Roman"/>
          <w:sz w:val="28"/>
        </w:rPr>
        <w:t>Uzņēmumu konkurētspējas veicināšana un investīcijas atbalstošas vides attīstīšana, samazinot darbaspēka nodokļu slogu un reorganizējot mikrouzņēmumu nodokļa</w:t>
      </w:r>
      <w:r>
        <w:rPr>
          <w:rFonts w:ascii="Times New Roman" w:eastAsia="Times New Roman" w:hAnsi="Times New Roman" w:cs="Times New Roman"/>
          <w:sz w:val="28"/>
        </w:rPr>
        <w:t xml:space="preserve"> (MUN)</w:t>
      </w:r>
      <w:r w:rsidRPr="008A3E8E">
        <w:rPr>
          <w:rFonts w:ascii="Times New Roman" w:eastAsia="Times New Roman" w:hAnsi="Times New Roman" w:cs="Times New Roman"/>
          <w:sz w:val="28"/>
        </w:rPr>
        <w:t xml:space="preserve"> režīmu. Lai Latvijas uzņēmumi varētu veikt ieguldījumus cilvēkkapitālā, nodrošinot darbinieku izglītošanu un atalgojuma palielināšanu kā arī ieguldījumus ražojošajā kapitālā, tiem nepieciešams nodrošināt pietiekamu pelņas līmeni, kuru ietekmē gan valstī pastāvošā nodokļu politika, gan konkurences apstākļi nacionālā un reģionālā līmenī. Attiecībā uz reģionālo konkurētspēju, nozīmīgs rādītājs, kas nosaka Latvijas uzņēmēju konkurences pozīciju attiecībā pret Baltijas valstīm un pārējām ES dalībvalstīm ir darbaspēka izmaksas, kurās būtisku īpatsvaru sastāda darbaspēka nodokļi. Darbaspēka izmaksas labi raksturo darbaspēka nodokļu slogs jeb nodokļu ķīlis, kas parāda cik daudz darbinieks izmaksā darba devējam. To aprēķina kā par darbinieku samaksātās nodokļu summas attiecību pret darba devēja darbaspēka izmaksām. Atbilstoši EK nodokļu un pabalstu datubāzes datiem, 2019. gadā Latvijā nodokļu ķīlis, izmantojot rādītāju par strādājošo bez apgādībā esošajām personām, kurš saņem vidējo algu valstī, bija 42,6%, kas pārsniedz gan ES vidējo rādītāju (40,2), gan arī Lietuvu un Igauniju (abās 37,2).</w:t>
      </w:r>
    </w:p>
    <w:p w14:paraId="73940133" w14:textId="6B8CA2EF" w:rsidR="008A3E8E" w:rsidRPr="008A3E8E" w:rsidRDefault="008A3E8E" w:rsidP="008A3E8E">
      <w:pPr>
        <w:widowControl w:val="0"/>
        <w:ind w:firstLine="720"/>
        <w:jc w:val="both"/>
        <w:rPr>
          <w:rFonts w:ascii="Times New Roman" w:eastAsia="Times New Roman" w:hAnsi="Times New Roman" w:cs="Times New Roman"/>
          <w:sz w:val="28"/>
        </w:rPr>
      </w:pPr>
      <w:r w:rsidRPr="008A3E8E">
        <w:rPr>
          <w:rFonts w:ascii="Times New Roman" w:eastAsia="Times New Roman" w:hAnsi="Times New Roman" w:cs="Times New Roman"/>
          <w:sz w:val="28"/>
        </w:rPr>
        <w:t xml:space="preserve">Vienlaikus, līdztekus Latvijas uzņēmēju starptautiskās konkurētspējas sekmēšanai, nozīmīgs faktors, kas nosaka godīgu konkurenci Latvijas iekšējā tirgū, ir nodokļu politikas nosacījumi attiecībā uz darbaspēka izmaksām dažādos nodokļu režīmos strādājošajiem. Viens no šādiem režīmiem ir </w:t>
      </w:r>
      <w:r w:rsidR="00717AA4">
        <w:rPr>
          <w:rFonts w:ascii="Times New Roman" w:eastAsia="Times New Roman" w:hAnsi="Times New Roman" w:cs="Times New Roman"/>
          <w:sz w:val="28"/>
        </w:rPr>
        <w:t>MUN</w:t>
      </w:r>
      <w:r w:rsidRPr="008A3E8E">
        <w:rPr>
          <w:rFonts w:ascii="Times New Roman" w:eastAsia="Times New Roman" w:hAnsi="Times New Roman" w:cs="Times New Roman"/>
          <w:sz w:val="28"/>
        </w:rPr>
        <w:t xml:space="preserve">, kuram, lai gan ir tendence samazināties, tomēr informācija par 2019.gada 4.ceturksni liecina, ka MUN joprojām ir nodarbināti 8% no visiem tautsaimniecībā nodarbinātajiem. Saskaņā ar VID  informāciju MUN maksātājiem VSAOI slogs ir gandrīz trīs reizes mazāks nekā vispārējā nodokļu maksāšanas režīma darba devējiem (pamatojoties uz MK 2020.gada 23.aprīļa sēdē izskatīto informatīvo ziņojumu “Par dīkstāves pabalstiem COVID-19  krīzes skartajiem uzņēmumiem” (prot. Nr.27 1.§)), tādējādi nostādot MUN režīma darba devējus krietni izdevīgākā konkurences pozīcijā. </w:t>
      </w:r>
    </w:p>
    <w:p w14:paraId="71B3FF28" w14:textId="2D4797D2" w:rsidR="008A3E8E" w:rsidRDefault="008A3E8E" w:rsidP="00717AA4">
      <w:pPr>
        <w:widowControl w:val="0"/>
        <w:ind w:firstLine="720"/>
        <w:jc w:val="both"/>
        <w:rPr>
          <w:rFonts w:ascii="Times New Roman" w:eastAsia="Times New Roman" w:hAnsi="Times New Roman" w:cs="Times New Roman"/>
          <w:sz w:val="28"/>
        </w:rPr>
      </w:pPr>
      <w:r w:rsidRPr="008A3E8E">
        <w:rPr>
          <w:rFonts w:ascii="Times New Roman" w:eastAsia="Times New Roman" w:hAnsi="Times New Roman" w:cs="Times New Roman"/>
          <w:sz w:val="28"/>
        </w:rPr>
        <w:t>Ņemot vērā iepriekš minēto aktuālajā VTBIL sagatavošanas ciklā MK ir lēmis risināt augstākminēto problemātiku gan samazinot VSAOI likmi par vienu procentpunktu, tai skaitā darba devēja likme par 0,5% un darba ņēmēja likme par 0,5%, gan arī reorganizējot MUN režīmu, lai MUN netiktu izmantots kā nodokļu modelis ar būtiski zemāku darbaspēka nodokļu slogu, tādējādi kropļojot konkurenci.</w:t>
      </w:r>
    </w:p>
    <w:p w14:paraId="2E980BF0" w14:textId="77777777" w:rsidR="00FD5F28" w:rsidRPr="008A3E8E" w:rsidRDefault="00FD5F28" w:rsidP="00717AA4">
      <w:pPr>
        <w:widowControl w:val="0"/>
        <w:ind w:firstLine="720"/>
        <w:jc w:val="both"/>
        <w:rPr>
          <w:rFonts w:ascii="Times New Roman" w:eastAsia="Times New Roman" w:hAnsi="Times New Roman" w:cs="Times New Roman"/>
          <w:sz w:val="28"/>
        </w:rPr>
      </w:pPr>
    </w:p>
    <w:p w14:paraId="215090A7" w14:textId="77777777" w:rsidR="008A3E8E" w:rsidRPr="008A3E8E" w:rsidRDefault="008A3E8E" w:rsidP="008A3E8E">
      <w:pPr>
        <w:widowControl w:val="0"/>
        <w:jc w:val="center"/>
        <w:rPr>
          <w:rFonts w:ascii="Times New Roman" w:eastAsia="Times New Roman" w:hAnsi="Times New Roman" w:cs="Times New Roman"/>
          <w:b/>
          <w:sz w:val="28"/>
        </w:rPr>
      </w:pPr>
      <w:r w:rsidRPr="008A3E8E">
        <w:rPr>
          <w:rFonts w:ascii="Times New Roman" w:eastAsia="Times New Roman" w:hAnsi="Times New Roman" w:cs="Times New Roman"/>
          <w:b/>
          <w:sz w:val="28"/>
        </w:rPr>
        <w:t>Adekvātu valsts sociālās apdrošināšanas pakalpojumu nodrošināšana</w:t>
      </w:r>
    </w:p>
    <w:p w14:paraId="2ACA1888" w14:textId="77777777" w:rsidR="008A3E8E" w:rsidRPr="008A3E8E" w:rsidRDefault="008A3E8E" w:rsidP="008A3E8E">
      <w:pPr>
        <w:widowControl w:val="0"/>
        <w:jc w:val="both"/>
        <w:rPr>
          <w:rFonts w:ascii="Times New Roman" w:eastAsia="Times New Roman" w:hAnsi="Times New Roman" w:cs="Times New Roman"/>
          <w:sz w:val="28"/>
        </w:rPr>
      </w:pPr>
    </w:p>
    <w:p w14:paraId="175E3FEF" w14:textId="436897BA" w:rsidR="008A3E8E" w:rsidRPr="008A3E8E" w:rsidRDefault="008A3E8E" w:rsidP="00717AA4">
      <w:pPr>
        <w:widowControl w:val="0"/>
        <w:ind w:firstLine="720"/>
        <w:jc w:val="both"/>
        <w:rPr>
          <w:rFonts w:ascii="Times New Roman" w:eastAsia="Times New Roman" w:hAnsi="Times New Roman" w:cs="Times New Roman"/>
          <w:sz w:val="28"/>
        </w:rPr>
      </w:pPr>
      <w:r w:rsidRPr="008A3E8E">
        <w:rPr>
          <w:rFonts w:ascii="Times New Roman" w:eastAsia="Times New Roman" w:hAnsi="Times New Roman" w:cs="Times New Roman"/>
          <w:sz w:val="28"/>
        </w:rPr>
        <w:t>Adekvātu valsts sociālās apdrošināšanas pakalpojumu nodrošināšana, nosakot atbilstošu obligāto iemaksu objektu vispārējā nodokļu režīmā un alternatīvajos nodokļu režīmos nodarbinātajiem. Viens no sociālās labklājības rādītājiem valstī ir ne tikai darba algas vidējais apmērs, bet arī valsts spēja nodrošināt iedzīvotāju sociālo drošību un labklājību tiem gan īslaicīgi atstājot darba tirgu, gan aizejot pensijā, gan arī situācijās, kad tautsaimniecībā iestājas noz</w:t>
      </w:r>
      <w:r w:rsidR="00717AA4">
        <w:rPr>
          <w:rFonts w:ascii="Times New Roman" w:eastAsia="Times New Roman" w:hAnsi="Times New Roman" w:cs="Times New Roman"/>
          <w:sz w:val="28"/>
        </w:rPr>
        <w:t>īmīgi ekonomiski satricinājumi.</w:t>
      </w:r>
    </w:p>
    <w:p w14:paraId="15C77D42" w14:textId="5713BCB4" w:rsidR="008A3E8E" w:rsidRPr="008A3E8E" w:rsidRDefault="008A3E8E" w:rsidP="008A3E8E">
      <w:pPr>
        <w:widowControl w:val="0"/>
        <w:ind w:firstLine="720"/>
        <w:jc w:val="both"/>
        <w:rPr>
          <w:rFonts w:ascii="Times New Roman" w:eastAsia="Times New Roman" w:hAnsi="Times New Roman" w:cs="Times New Roman"/>
          <w:sz w:val="28"/>
        </w:rPr>
      </w:pPr>
      <w:r w:rsidRPr="008A3E8E">
        <w:rPr>
          <w:rFonts w:ascii="Times New Roman" w:eastAsia="Times New Roman" w:hAnsi="Times New Roman" w:cs="Times New Roman"/>
          <w:sz w:val="28"/>
        </w:rPr>
        <w:t xml:space="preserve">Atbilstoši </w:t>
      </w:r>
      <w:r w:rsidRPr="008A3E8E">
        <w:rPr>
          <w:rFonts w:ascii="Times New Roman" w:eastAsia="Times New Roman" w:hAnsi="Times New Roman" w:cs="Times New Roman"/>
          <w:i/>
          <w:sz w:val="28"/>
        </w:rPr>
        <w:t>Euro</w:t>
      </w:r>
      <w:r w:rsidR="00717AA4">
        <w:rPr>
          <w:rFonts w:ascii="Times New Roman" w:eastAsia="Times New Roman" w:hAnsi="Times New Roman" w:cs="Times New Roman"/>
          <w:sz w:val="28"/>
        </w:rPr>
        <w:t>stat datiem 2018.</w:t>
      </w:r>
      <w:r w:rsidRPr="008A3E8E">
        <w:rPr>
          <w:rFonts w:ascii="Times New Roman" w:eastAsia="Times New Roman" w:hAnsi="Times New Roman" w:cs="Times New Roman"/>
          <w:sz w:val="28"/>
        </w:rPr>
        <w:t xml:space="preserve">gadā kopējais ienākumu atvietošanas līmenis Latvijā personai aizejot pensijā bija trešais zemākais ES, sasniedzot vien 40% rādītāju. </w:t>
      </w:r>
      <w:r w:rsidR="003D0245" w:rsidRPr="003D0245">
        <w:rPr>
          <w:rFonts w:ascii="Times New Roman" w:eastAsia="Times New Roman" w:hAnsi="Times New Roman" w:cs="Times New Roman"/>
          <w:sz w:val="28"/>
        </w:rPr>
        <w:t>Saskaņā ar Valsts sociālās apdrošināšanas aģentūras datiem 2019.gadā ap 111 tūkst. no sociāli apdrošinātām personām darba ņ</w:t>
      </w:r>
      <w:r w:rsidR="003D0245">
        <w:rPr>
          <w:rFonts w:ascii="Times New Roman" w:eastAsia="Times New Roman" w:hAnsi="Times New Roman" w:cs="Times New Roman"/>
          <w:sz w:val="28"/>
        </w:rPr>
        <w:t>ēmēju un pašnodarbināto personu</w:t>
      </w:r>
      <w:r w:rsidR="003D0245" w:rsidRPr="003D0245">
        <w:rPr>
          <w:rFonts w:ascii="Times New Roman" w:hAnsi="Times New Roman" w:cs="Times New Roman"/>
          <w:bCs/>
          <w:color w:val="000000" w:themeColor="text1"/>
          <w:sz w:val="28"/>
          <w:szCs w:val="26"/>
          <w:shd w:val="clear" w:color="auto" w:fill="FFFFFF"/>
          <w:vertAlign w:val="superscript"/>
        </w:rPr>
        <w:footnoteReference w:id="14"/>
      </w:r>
      <w:r w:rsidR="003D0245" w:rsidRPr="003D0245">
        <w:rPr>
          <w:rFonts w:ascii="Times New Roman" w:eastAsia="Times New Roman" w:hAnsi="Times New Roman" w:cs="Times New Roman"/>
          <w:sz w:val="28"/>
        </w:rPr>
        <w:t xml:space="preserve">, ienākumi jeb VSAOI objekts bija līdz 430 </w:t>
      </w:r>
      <w:r w:rsidR="003D0245" w:rsidRPr="003D0245">
        <w:rPr>
          <w:rFonts w:ascii="Times New Roman" w:eastAsia="Times New Roman" w:hAnsi="Times New Roman" w:cs="Times New Roman"/>
          <w:i/>
          <w:sz w:val="28"/>
        </w:rPr>
        <w:t>euro</w:t>
      </w:r>
      <w:r w:rsidR="003D0245" w:rsidRPr="003D0245">
        <w:rPr>
          <w:rFonts w:ascii="Times New Roman" w:eastAsia="Times New Roman" w:hAnsi="Times New Roman" w:cs="Times New Roman"/>
          <w:sz w:val="28"/>
        </w:rPr>
        <w:t xml:space="preserve"> mēnesī; šo personu vidējais veicamo iemaksu objekts jeb gūtie ienākumi bija 219 </w:t>
      </w:r>
      <w:r w:rsidR="003D0245" w:rsidRPr="003D0245">
        <w:rPr>
          <w:rFonts w:ascii="Times New Roman" w:eastAsia="Times New Roman" w:hAnsi="Times New Roman" w:cs="Times New Roman"/>
          <w:i/>
          <w:sz w:val="28"/>
        </w:rPr>
        <w:t>euro</w:t>
      </w:r>
      <w:r w:rsidR="003D0245" w:rsidRPr="003D0245">
        <w:rPr>
          <w:rFonts w:ascii="Times New Roman" w:eastAsia="Times New Roman" w:hAnsi="Times New Roman" w:cs="Times New Roman"/>
          <w:sz w:val="28"/>
        </w:rPr>
        <w:t xml:space="preserve"> mēnesī (salīdzinājumam vispārējā režīmā vidējie ienākumi vienam darba ņēmējam 2019.gadā bija 796 </w:t>
      </w:r>
      <w:r w:rsidR="003D0245" w:rsidRPr="003D0245">
        <w:rPr>
          <w:rFonts w:ascii="Times New Roman" w:eastAsia="Times New Roman" w:hAnsi="Times New Roman" w:cs="Times New Roman"/>
          <w:i/>
          <w:sz w:val="28"/>
        </w:rPr>
        <w:t>euro</w:t>
      </w:r>
      <w:r w:rsidR="003D0245" w:rsidRPr="003D0245">
        <w:rPr>
          <w:rFonts w:ascii="Times New Roman" w:eastAsia="Times New Roman" w:hAnsi="Times New Roman" w:cs="Times New Roman"/>
          <w:sz w:val="28"/>
        </w:rPr>
        <w:t xml:space="preserve"> mēnesī).</w:t>
      </w:r>
    </w:p>
    <w:p w14:paraId="211D00C1" w14:textId="77777777" w:rsidR="008A3E8E" w:rsidRPr="008A3E8E" w:rsidRDefault="008A3E8E" w:rsidP="008A3E8E">
      <w:pPr>
        <w:widowControl w:val="0"/>
        <w:ind w:firstLine="720"/>
        <w:jc w:val="both"/>
        <w:rPr>
          <w:rFonts w:ascii="Times New Roman" w:eastAsia="Times New Roman" w:hAnsi="Times New Roman" w:cs="Times New Roman"/>
          <w:sz w:val="28"/>
        </w:rPr>
      </w:pPr>
      <w:r w:rsidRPr="008A3E8E">
        <w:rPr>
          <w:rFonts w:ascii="Times New Roman" w:eastAsia="Times New Roman" w:hAnsi="Times New Roman" w:cs="Times New Roman"/>
          <w:sz w:val="28"/>
        </w:rPr>
        <w:t xml:space="preserve">Šie dati norāda uz to, ka būtiskas iedzīvotāju daļas sociālās labklājības līmenis nākotnē pensionējoties vai iestājoties sociālās apdrošināšanas gadījumiem, būs būtiski apdraudēts. </w:t>
      </w:r>
    </w:p>
    <w:p w14:paraId="70B2B34B" w14:textId="77777777" w:rsidR="008A3E8E" w:rsidRPr="008A3E8E" w:rsidRDefault="008A3E8E" w:rsidP="008A3E8E">
      <w:pPr>
        <w:widowControl w:val="0"/>
        <w:ind w:firstLine="720"/>
        <w:jc w:val="both"/>
        <w:rPr>
          <w:rFonts w:ascii="Times New Roman" w:eastAsia="Times New Roman" w:hAnsi="Times New Roman" w:cs="Times New Roman"/>
          <w:sz w:val="28"/>
        </w:rPr>
      </w:pPr>
      <w:r w:rsidRPr="008A3E8E">
        <w:rPr>
          <w:rFonts w:ascii="Times New Roman" w:eastAsia="Times New Roman" w:hAnsi="Times New Roman" w:cs="Times New Roman"/>
          <w:sz w:val="28"/>
        </w:rPr>
        <w:t xml:space="preserve">Arī Covid-19 krīze ir parādījusi, ka nepietiekošā apjomā veikto VSAOI iemaksu dēļ strādājošo saņemtais valsts sociālo pabalstu apmērs ir mazs. Uz to norāda statistikas dati par  valdības sniegto atbalsta mehānismu uzņēmumiem un pašnodarbinātajiem, kuri ir nonākuši dīkstāvē. Maksimālais dīkstāves pabalsta apmērs mēnesī personai ir noteikts 700 </w:t>
      </w:r>
      <w:r w:rsidRPr="008A3E8E">
        <w:rPr>
          <w:rFonts w:ascii="Times New Roman" w:eastAsia="Times New Roman" w:hAnsi="Times New Roman" w:cs="Times New Roman"/>
          <w:i/>
          <w:sz w:val="28"/>
        </w:rPr>
        <w:t>euro</w:t>
      </w:r>
      <w:r w:rsidRPr="008A3E8E">
        <w:rPr>
          <w:rFonts w:ascii="Times New Roman" w:eastAsia="Times New Roman" w:hAnsi="Times New Roman" w:cs="Times New Roman"/>
          <w:sz w:val="28"/>
        </w:rPr>
        <w:t xml:space="preserve"> (75% no iepriekšējo sešu mēnešu vidējās atlīdzības apmēra). Savukārt līdz 2020.gada 10.jūlijam ir piešķirts atbalsts Covid-19 infekcijas laikā, izmaksājot: </w:t>
      </w:r>
    </w:p>
    <w:p w14:paraId="12953385" w14:textId="77777777" w:rsidR="008A3E8E" w:rsidRPr="008A3E8E" w:rsidRDefault="008A3E8E" w:rsidP="00FB2B77">
      <w:pPr>
        <w:pStyle w:val="ListParagraph"/>
        <w:widowControl w:val="0"/>
        <w:numPr>
          <w:ilvl w:val="0"/>
          <w:numId w:val="17"/>
        </w:numPr>
        <w:jc w:val="both"/>
        <w:rPr>
          <w:rFonts w:ascii="Times New Roman" w:eastAsia="Times New Roman" w:hAnsi="Times New Roman" w:cs="Times New Roman"/>
          <w:sz w:val="28"/>
        </w:rPr>
      </w:pPr>
      <w:r w:rsidRPr="008A3E8E">
        <w:rPr>
          <w:rFonts w:ascii="Times New Roman" w:eastAsia="Times New Roman" w:hAnsi="Times New Roman" w:cs="Times New Roman"/>
          <w:sz w:val="28"/>
        </w:rPr>
        <w:t xml:space="preserve">127 925 dīkstāves pabalstus pēc 18 435 uzņēmumu iesniegumiem ar vidējo dīkstāves pabalstu </w:t>
      </w:r>
      <w:r w:rsidRPr="00717AA4">
        <w:rPr>
          <w:rFonts w:ascii="Times New Roman" w:eastAsia="Times New Roman" w:hAnsi="Times New Roman" w:cs="Times New Roman"/>
          <w:sz w:val="28"/>
        </w:rPr>
        <w:t xml:space="preserve">404 </w:t>
      </w:r>
      <w:r w:rsidRPr="00717AA4">
        <w:rPr>
          <w:rFonts w:ascii="Times New Roman" w:eastAsia="Times New Roman" w:hAnsi="Times New Roman" w:cs="Times New Roman"/>
          <w:i/>
          <w:sz w:val="28"/>
        </w:rPr>
        <w:t>euro</w:t>
      </w:r>
      <w:r w:rsidRPr="008A3E8E">
        <w:rPr>
          <w:rFonts w:ascii="Times New Roman" w:eastAsia="Times New Roman" w:hAnsi="Times New Roman" w:cs="Times New Roman"/>
          <w:sz w:val="28"/>
        </w:rPr>
        <w:t xml:space="preserve"> apmērā, no kuriem 56,3% piešķirtais pabalsts bija mazāks par MK noteiktās minimālās mēneša darba algas apmēru; </w:t>
      </w:r>
    </w:p>
    <w:p w14:paraId="00E61EC2" w14:textId="77777777" w:rsidR="008A3E8E" w:rsidRPr="008A3E8E" w:rsidRDefault="008A3E8E" w:rsidP="00FB2B77">
      <w:pPr>
        <w:pStyle w:val="ListParagraph"/>
        <w:widowControl w:val="0"/>
        <w:numPr>
          <w:ilvl w:val="0"/>
          <w:numId w:val="17"/>
        </w:numPr>
        <w:jc w:val="both"/>
        <w:rPr>
          <w:rFonts w:ascii="Times New Roman" w:eastAsia="Times New Roman" w:hAnsi="Times New Roman" w:cs="Times New Roman"/>
          <w:sz w:val="28"/>
        </w:rPr>
      </w:pPr>
      <w:r w:rsidRPr="008A3E8E">
        <w:rPr>
          <w:rFonts w:ascii="Times New Roman" w:eastAsia="Times New Roman" w:hAnsi="Times New Roman" w:cs="Times New Roman"/>
          <w:sz w:val="28"/>
        </w:rPr>
        <w:t xml:space="preserve">6 309 dīkstāves pabalstus pēc pašnodarbināto iesniegumiem ar vidējo dīkstāves pabalstu </w:t>
      </w:r>
      <w:r w:rsidRPr="00717AA4">
        <w:rPr>
          <w:rFonts w:ascii="Times New Roman" w:eastAsia="Times New Roman" w:hAnsi="Times New Roman" w:cs="Times New Roman"/>
          <w:sz w:val="28"/>
        </w:rPr>
        <w:t xml:space="preserve">353 </w:t>
      </w:r>
      <w:r w:rsidRPr="00717AA4">
        <w:rPr>
          <w:rFonts w:ascii="Times New Roman" w:eastAsia="Times New Roman" w:hAnsi="Times New Roman" w:cs="Times New Roman"/>
          <w:i/>
          <w:sz w:val="28"/>
        </w:rPr>
        <w:t>euro</w:t>
      </w:r>
      <w:r w:rsidRPr="008A3E8E">
        <w:rPr>
          <w:rFonts w:ascii="Times New Roman" w:eastAsia="Times New Roman" w:hAnsi="Times New Roman" w:cs="Times New Roman"/>
          <w:sz w:val="28"/>
        </w:rPr>
        <w:t xml:space="preserve"> apmērā,  no kuriem 63,6 % piešķirtais pabalsts bija mazāks par MK noteiktās minimālās mēneša darba algas apmēru (VID informācija uz 2020.gada 13.jūliju). </w:t>
      </w:r>
    </w:p>
    <w:p w14:paraId="173696C0" w14:textId="77777777" w:rsidR="008A3E8E" w:rsidRPr="008A3E8E" w:rsidRDefault="008A3E8E" w:rsidP="008A3E8E">
      <w:pPr>
        <w:widowControl w:val="0"/>
        <w:jc w:val="both"/>
        <w:rPr>
          <w:rFonts w:ascii="Times New Roman" w:eastAsia="Times New Roman" w:hAnsi="Times New Roman" w:cs="Times New Roman"/>
          <w:sz w:val="28"/>
        </w:rPr>
      </w:pPr>
    </w:p>
    <w:p w14:paraId="08F452DD" w14:textId="12F442FA" w:rsidR="00D378E4" w:rsidRDefault="008A3E8E" w:rsidP="00401A5B">
      <w:pPr>
        <w:widowControl w:val="0"/>
        <w:jc w:val="both"/>
        <w:rPr>
          <w:rFonts w:ascii="Times New Roman" w:eastAsia="Times New Roman" w:hAnsi="Times New Roman" w:cs="Times New Roman"/>
          <w:sz w:val="28"/>
        </w:rPr>
      </w:pPr>
      <w:r w:rsidRPr="008A3E8E">
        <w:rPr>
          <w:rFonts w:ascii="Times New Roman" w:eastAsia="Times New Roman" w:hAnsi="Times New Roman" w:cs="Times New Roman"/>
          <w:sz w:val="28"/>
        </w:rPr>
        <w:t xml:space="preserve">Ņemot vērā augstāk minēto, MK sākot ar 2021.gadu ir pieņēmis lēmumu ieviest minimālo VSAOI apmēru, kura ieviešanas mērķis ir nodrošināt ilgtspējīgu valsts sociālās apdrošināšanas politiku, paredzot, ka par visiem nodokļu maksātājiem, kuri aktīvi piedalās ekonomiskajā dzīvē, VSAOI tiktu veiktas vismaz minimālu valsts sociālās apdrošināšanas iemaksu līmenī, un novērst dažādo nodokļu režīmu izņēmuma modeļa izmantošanu nodokļu optimizācijas nolūkā. Vienlaikus, atbilstoši </w:t>
      </w:r>
      <w:r w:rsidR="00717AA4">
        <w:rPr>
          <w:rFonts w:ascii="Times New Roman" w:eastAsia="Times New Roman" w:hAnsi="Times New Roman" w:cs="Times New Roman"/>
          <w:sz w:val="28"/>
        </w:rPr>
        <w:t>FM</w:t>
      </w:r>
      <w:r w:rsidRPr="008A3E8E">
        <w:rPr>
          <w:rFonts w:ascii="Times New Roman" w:eastAsia="Times New Roman" w:hAnsi="Times New Roman" w:cs="Times New Roman"/>
          <w:sz w:val="28"/>
        </w:rPr>
        <w:t xml:space="preserve"> aprēķiniem, no šīs iniciatīvas ieviešanas tiek prognozēta pozitīva fiskālā ietekme uz valsts budžetu 2021. gadā sasniedzot 64,3 milj. </w:t>
      </w:r>
      <w:r w:rsidRPr="008A3E8E">
        <w:rPr>
          <w:rFonts w:ascii="Times New Roman" w:eastAsia="Times New Roman" w:hAnsi="Times New Roman" w:cs="Times New Roman"/>
          <w:i/>
          <w:sz w:val="28"/>
        </w:rPr>
        <w:t>euro</w:t>
      </w:r>
      <w:r w:rsidRPr="008A3E8E">
        <w:rPr>
          <w:rFonts w:ascii="Times New Roman" w:eastAsia="Times New Roman" w:hAnsi="Times New Roman" w:cs="Times New Roman"/>
          <w:sz w:val="28"/>
        </w:rPr>
        <w:t xml:space="preserve">, 2022. gadā 135,5 milj. </w:t>
      </w:r>
      <w:r w:rsidRPr="008A3E8E">
        <w:rPr>
          <w:rFonts w:ascii="Times New Roman" w:eastAsia="Times New Roman" w:hAnsi="Times New Roman" w:cs="Times New Roman"/>
          <w:i/>
          <w:sz w:val="28"/>
        </w:rPr>
        <w:t>euro</w:t>
      </w:r>
      <w:r w:rsidRPr="008A3E8E">
        <w:rPr>
          <w:rFonts w:ascii="Times New Roman" w:eastAsia="Times New Roman" w:hAnsi="Times New Roman" w:cs="Times New Roman"/>
          <w:sz w:val="28"/>
        </w:rPr>
        <w:t xml:space="preserve">, un 2023. gadā 137.2 milj. </w:t>
      </w:r>
      <w:r w:rsidRPr="008A3E8E">
        <w:rPr>
          <w:rFonts w:ascii="Times New Roman" w:eastAsia="Times New Roman" w:hAnsi="Times New Roman" w:cs="Times New Roman"/>
          <w:i/>
          <w:sz w:val="28"/>
        </w:rPr>
        <w:t>euro</w:t>
      </w:r>
      <w:r w:rsidR="00FD5F28">
        <w:rPr>
          <w:rFonts w:ascii="Times New Roman" w:eastAsia="Times New Roman" w:hAnsi="Times New Roman" w:cs="Times New Roman"/>
          <w:sz w:val="28"/>
        </w:rPr>
        <w:t>.</w:t>
      </w:r>
    </w:p>
    <w:p w14:paraId="3FBA3E99" w14:textId="77777777" w:rsidR="00FD5F28" w:rsidRPr="00FD5F28" w:rsidRDefault="00FD5F28" w:rsidP="00401A5B">
      <w:pPr>
        <w:widowControl w:val="0"/>
        <w:jc w:val="both"/>
        <w:rPr>
          <w:rFonts w:ascii="Times New Roman" w:eastAsia="Times New Roman" w:hAnsi="Times New Roman" w:cs="Times New Roman"/>
          <w:sz w:val="28"/>
        </w:rPr>
      </w:pPr>
    </w:p>
    <w:p w14:paraId="201B8ECD" w14:textId="79A6E9B8" w:rsidR="003F3FCD" w:rsidRPr="00717AA4" w:rsidRDefault="000548A5" w:rsidP="00FD5F28">
      <w:pPr>
        <w:pStyle w:val="Heading3"/>
        <w:spacing w:before="0"/>
      </w:pPr>
      <w:bookmarkStart w:id="62" w:name="_Toc53154112"/>
      <w:r w:rsidRPr="00717AA4">
        <w:t>2.3.2. Finanšu resursi vidēja termiņa budžeta prioritāro attīstības virzienu īstenošanā</w:t>
      </w:r>
      <w:bookmarkEnd w:id="62"/>
    </w:p>
    <w:p w14:paraId="5C420FE2" w14:textId="77777777" w:rsidR="003F3FCD" w:rsidRPr="00717AA4" w:rsidRDefault="003F3FCD" w:rsidP="00401A5B">
      <w:pPr>
        <w:keepNext/>
        <w:keepLines/>
        <w:widowControl w:val="0"/>
        <w:ind w:left="720"/>
        <w:rPr>
          <w:rFonts w:ascii="Times New Roman" w:eastAsia="Times New Roman" w:hAnsi="Times New Roman" w:cs="Times New Roman"/>
          <w:b/>
          <w:sz w:val="28"/>
          <w:szCs w:val="28"/>
        </w:rPr>
      </w:pPr>
    </w:p>
    <w:p w14:paraId="271F68EF" w14:textId="4D99A6A1" w:rsidR="00717AA4" w:rsidRPr="00717AA4" w:rsidRDefault="00972667" w:rsidP="00717AA4">
      <w:pPr>
        <w:widowControl w:val="0"/>
        <w:ind w:firstLine="709"/>
        <w:jc w:val="both"/>
        <w:rPr>
          <w:rFonts w:ascii="Calibri" w:eastAsia="Calibri" w:hAnsi="Calibri" w:cs="Calibri"/>
          <w:sz w:val="28"/>
          <w:szCs w:val="28"/>
        </w:rPr>
      </w:pPr>
      <w:r>
        <w:rPr>
          <w:rFonts w:ascii="Times New Roman" w:eastAsia="Times New Roman" w:hAnsi="Times New Roman" w:cs="Times New Roman"/>
          <w:color w:val="000000"/>
          <w:sz w:val="28"/>
          <w:szCs w:val="28"/>
        </w:rPr>
        <w:t>Saskaņā ar</w:t>
      </w:r>
      <w:r w:rsidR="00717AA4" w:rsidRPr="00717AA4">
        <w:rPr>
          <w:rFonts w:ascii="Times New Roman" w:eastAsia="Times New Roman" w:hAnsi="Times New Roman" w:cs="Times New Roman"/>
          <w:color w:val="000000"/>
          <w:sz w:val="28"/>
          <w:szCs w:val="28"/>
        </w:rPr>
        <w:t xml:space="preserve"> </w:t>
      </w:r>
      <w:r w:rsidR="00717AA4">
        <w:rPr>
          <w:rFonts w:ascii="Times New Roman" w:eastAsia="Times New Roman" w:hAnsi="Times New Roman" w:cs="Times New Roman"/>
          <w:color w:val="000000"/>
          <w:sz w:val="28"/>
          <w:szCs w:val="28"/>
        </w:rPr>
        <w:t>VTBIL 2021., 2022. un 2023.gadam projekta</w:t>
      </w:r>
      <w:r>
        <w:rPr>
          <w:rFonts w:ascii="Times New Roman" w:eastAsia="Times New Roman" w:hAnsi="Times New Roman" w:cs="Times New Roman"/>
          <w:color w:val="000000"/>
          <w:sz w:val="28"/>
          <w:szCs w:val="28"/>
        </w:rPr>
        <w:t xml:space="preserve"> sagatavošanas grafiku, 2020.gada 18</w:t>
      </w:r>
      <w:r w:rsidR="00717AA4" w:rsidRPr="00717AA4">
        <w:rPr>
          <w:rFonts w:ascii="Times New Roman" w:eastAsia="Times New Roman" w:hAnsi="Times New Roman" w:cs="Times New Roman"/>
          <w:color w:val="000000"/>
          <w:sz w:val="28"/>
          <w:szCs w:val="28"/>
        </w:rPr>
        <w:t xml:space="preserve">.augusta MK sēdē tika skatīts </w:t>
      </w:r>
      <w:r>
        <w:rPr>
          <w:rFonts w:ascii="Times New Roman" w:eastAsia="Times New Roman" w:hAnsi="Times New Roman" w:cs="Times New Roman"/>
          <w:color w:val="000000"/>
          <w:sz w:val="28"/>
          <w:szCs w:val="28"/>
        </w:rPr>
        <w:t xml:space="preserve">FM sagatavotais </w:t>
      </w:r>
      <w:r w:rsidR="00717AA4" w:rsidRPr="00717AA4">
        <w:rPr>
          <w:rFonts w:ascii="Times New Roman" w:eastAsia="Times New Roman" w:hAnsi="Times New Roman" w:cs="Times New Roman"/>
          <w:color w:val="000000"/>
          <w:sz w:val="28"/>
          <w:szCs w:val="28"/>
        </w:rPr>
        <w:t>informatīvais ziņojums "Par makroekonomisko rādītāju, ieņēmumu un vispārējās valdības</w:t>
      </w:r>
      <w:r>
        <w:rPr>
          <w:rFonts w:ascii="Times New Roman" w:eastAsia="Times New Roman" w:hAnsi="Times New Roman" w:cs="Times New Roman"/>
          <w:color w:val="000000"/>
          <w:sz w:val="28"/>
          <w:szCs w:val="28"/>
        </w:rPr>
        <w:t xml:space="preserve"> budžeta bilances prognozēm 2021.-2023</w:t>
      </w:r>
      <w:r w:rsidR="00717AA4" w:rsidRPr="00717AA4">
        <w:rPr>
          <w:rFonts w:ascii="Times New Roman" w:eastAsia="Times New Roman" w:hAnsi="Times New Roman" w:cs="Times New Roman"/>
          <w:color w:val="000000"/>
          <w:sz w:val="28"/>
          <w:szCs w:val="28"/>
        </w:rPr>
        <w:t xml:space="preserve">.gadā". Atbilstoši FM aprēķiniem, </w:t>
      </w:r>
      <w:r>
        <w:rPr>
          <w:rFonts w:ascii="Times New Roman" w:eastAsia="Times New Roman" w:hAnsi="Times New Roman" w:cs="Times New Roman"/>
          <w:color w:val="000000"/>
          <w:sz w:val="28"/>
          <w:szCs w:val="28"/>
        </w:rPr>
        <w:t xml:space="preserve">vispārējās valdības budžeta bilance pie nemainīgas politikas 2021. gadā bija -3,9% no IKP, 2022. gadā -2,8% no IKP un 2023. gadā -1,7% no IKP. Turpmākajā budžeta sagatavošanas procesā, pat pie nosacījuma, ka 2020. un 2021. gadā ir apturēti fiskālās disciplīnas nosacījumi, </w:t>
      </w:r>
      <w:r w:rsidRPr="00CA5B7D">
        <w:rPr>
          <w:rFonts w:ascii="Times New Roman" w:eastAsia="Times New Roman" w:hAnsi="Times New Roman" w:cs="Times New Roman"/>
          <w:color w:val="000000"/>
          <w:sz w:val="28"/>
          <w:szCs w:val="28"/>
        </w:rPr>
        <w:t>MK pieņemtie lēmumi par valdības prioritāšu finansēšanu</w:t>
      </w:r>
      <w:r>
        <w:rPr>
          <w:rFonts w:ascii="Times New Roman" w:eastAsia="Times New Roman" w:hAnsi="Times New Roman" w:cs="Times New Roman"/>
          <w:color w:val="000000"/>
          <w:sz w:val="28"/>
          <w:szCs w:val="28"/>
        </w:rPr>
        <w:t xml:space="preserve"> turpmākajiem gadiem</w:t>
      </w:r>
      <w:r w:rsidRPr="00CA5B7D">
        <w:rPr>
          <w:rFonts w:ascii="Times New Roman" w:eastAsia="Times New Roman" w:hAnsi="Times New Roman" w:cs="Times New Roman"/>
          <w:color w:val="000000"/>
          <w:sz w:val="28"/>
          <w:szCs w:val="28"/>
        </w:rPr>
        <w:t xml:space="preserve"> tika pieņemti fiskāli neitrālā veidā, izdevumus palielinošiem pasākumiem un ieņēmumus samazinošiem pasākumiem nodrošinot attiecīgus kompensējošus pasākumus un tādējādi</w:t>
      </w:r>
      <w:r>
        <w:rPr>
          <w:rFonts w:ascii="Times New Roman" w:eastAsia="Times New Roman" w:hAnsi="Times New Roman" w:cs="Times New Roman"/>
          <w:color w:val="000000"/>
          <w:sz w:val="28"/>
          <w:szCs w:val="28"/>
        </w:rPr>
        <w:t xml:space="preserve"> visos VTBIL gados</w:t>
      </w:r>
      <w:r w:rsidRPr="00CA5B7D">
        <w:rPr>
          <w:rFonts w:ascii="Times New Roman" w:eastAsia="Times New Roman" w:hAnsi="Times New Roman" w:cs="Times New Roman"/>
          <w:color w:val="000000"/>
          <w:sz w:val="28"/>
          <w:szCs w:val="28"/>
        </w:rPr>
        <w:t xml:space="preserve"> saglabājot vispārējās valdības budžeta deficītu tādā pašā līmenī kā nemainīgas po</w:t>
      </w:r>
      <w:r>
        <w:rPr>
          <w:rFonts w:ascii="Times New Roman" w:eastAsia="Times New Roman" w:hAnsi="Times New Roman" w:cs="Times New Roman"/>
          <w:color w:val="000000"/>
          <w:sz w:val="28"/>
          <w:szCs w:val="28"/>
        </w:rPr>
        <w:t>litikas scenārijā</w:t>
      </w:r>
      <w:r w:rsidRPr="00CA5B7D">
        <w:rPr>
          <w:rFonts w:ascii="Times New Roman" w:eastAsia="Times New Roman" w:hAnsi="Times New Roman" w:cs="Times New Roman"/>
          <w:color w:val="000000"/>
          <w:sz w:val="28"/>
          <w:szCs w:val="28"/>
        </w:rPr>
        <w:t>.</w:t>
      </w:r>
    </w:p>
    <w:p w14:paraId="1723FCF7" w14:textId="11F74343" w:rsidR="00F75A1F" w:rsidRDefault="00717AA4" w:rsidP="003D0245">
      <w:pPr>
        <w:widowControl w:val="0"/>
        <w:ind w:firstLine="709"/>
        <w:jc w:val="both"/>
        <w:rPr>
          <w:rFonts w:ascii="Times New Roman" w:eastAsia="Times New Roman" w:hAnsi="Times New Roman" w:cs="Times New Roman"/>
          <w:color w:val="000000"/>
          <w:sz w:val="28"/>
          <w:szCs w:val="28"/>
        </w:rPr>
      </w:pPr>
      <w:r w:rsidRPr="00717AA4">
        <w:rPr>
          <w:rFonts w:ascii="Times New Roman" w:eastAsia="Times New Roman" w:hAnsi="Times New Roman" w:cs="Times New Roman"/>
          <w:color w:val="000000"/>
          <w:sz w:val="28"/>
          <w:szCs w:val="28"/>
        </w:rPr>
        <w:t xml:space="preserve">Ņemot vērā, ka 2020.gadā fiskālā telpa sākotnēji tika noteikta negatīva, MK bija jāpieņem lēmumi, kas ne tikai likvidētu negatīvo fiskālo telpu 2020.gadā, bet arī nodrošinātu finansējumu neatliekamo vajadzību finansēšanu. Līdz ar to vairākās secīgās MK sēdēs tika pieņemti lēmumi par budžeta ieņēmumus un izdevumus koriģējošiem pasākumiem. </w:t>
      </w:r>
      <w:r>
        <w:rPr>
          <w:rFonts w:ascii="Times New Roman" w:eastAsia="Times New Roman" w:hAnsi="Times New Roman" w:cs="Times New Roman"/>
          <w:color w:val="000000"/>
          <w:sz w:val="28"/>
          <w:szCs w:val="28"/>
        </w:rPr>
        <w:t>2.6</w:t>
      </w:r>
      <w:r w:rsidRPr="00717AA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tabulā ir atspoguļoti</w:t>
      </w:r>
      <w:r w:rsidRPr="00717AA4">
        <w:rPr>
          <w:rFonts w:ascii="Times New Roman" w:eastAsia="Times New Roman" w:hAnsi="Times New Roman" w:cs="Times New Roman"/>
          <w:color w:val="000000"/>
          <w:sz w:val="28"/>
          <w:szCs w:val="28"/>
        </w:rPr>
        <w:t xml:space="preserve"> </w:t>
      </w:r>
      <w:r w:rsidR="00F75A1F">
        <w:rPr>
          <w:rFonts w:ascii="Times New Roman" w:eastAsia="Times New Roman" w:hAnsi="Times New Roman" w:cs="Times New Roman"/>
          <w:color w:val="000000"/>
          <w:sz w:val="28"/>
          <w:szCs w:val="28"/>
        </w:rPr>
        <w:t xml:space="preserve">būtiskākie </w:t>
      </w:r>
      <w:r w:rsidRPr="00717AA4">
        <w:rPr>
          <w:rFonts w:ascii="Times New Roman" w:eastAsia="Times New Roman" w:hAnsi="Times New Roman" w:cs="Times New Roman"/>
          <w:color w:val="000000"/>
          <w:sz w:val="28"/>
          <w:szCs w:val="28"/>
        </w:rPr>
        <w:t>vispār</w:t>
      </w:r>
      <w:r w:rsidR="00F75A1F">
        <w:rPr>
          <w:rFonts w:ascii="Times New Roman" w:eastAsia="Times New Roman" w:hAnsi="Times New Roman" w:cs="Times New Roman"/>
          <w:color w:val="000000"/>
          <w:sz w:val="28"/>
          <w:szCs w:val="28"/>
        </w:rPr>
        <w:t>ējās valdības ieņēmumu pasākumi</w:t>
      </w:r>
      <w:r w:rsidRPr="00717AA4">
        <w:rPr>
          <w:rFonts w:ascii="Times New Roman" w:eastAsia="Times New Roman" w:hAnsi="Times New Roman" w:cs="Times New Roman"/>
          <w:color w:val="000000"/>
          <w:sz w:val="28"/>
          <w:szCs w:val="28"/>
        </w:rPr>
        <w:t xml:space="preserve">, par kuriem lēma MK budžeta sagatavošanas procesā. </w:t>
      </w:r>
    </w:p>
    <w:p w14:paraId="311D255C" w14:textId="42AA2207" w:rsidR="006C28CA" w:rsidRPr="00BF3C9F" w:rsidRDefault="006C28CA" w:rsidP="00717AA4">
      <w:pPr>
        <w:widowControl w:val="0"/>
        <w:jc w:val="both"/>
        <w:rPr>
          <w:rFonts w:ascii="Times New Roman" w:eastAsia="Times New Roman" w:hAnsi="Times New Roman" w:cs="Times New Roman"/>
          <w:color w:val="000000"/>
          <w:sz w:val="24"/>
          <w:highlight w:val="yellow"/>
        </w:rPr>
      </w:pPr>
    </w:p>
    <w:p w14:paraId="21F5E9C7" w14:textId="6BFDF2BB" w:rsidR="003F3FCD" w:rsidRPr="00A575F0" w:rsidRDefault="00717AA4" w:rsidP="00A575F0">
      <w:pPr>
        <w:widowControl w:val="0"/>
        <w:jc w:val="right"/>
        <w:rPr>
          <w:rFonts w:ascii="Calibri" w:eastAsia="Calibri" w:hAnsi="Calibri" w:cs="Calibri"/>
        </w:rPr>
      </w:pPr>
      <w:r w:rsidRPr="00717AA4">
        <w:rPr>
          <w:rFonts w:ascii="Times New Roman" w:eastAsia="Times New Roman" w:hAnsi="Times New Roman" w:cs="Times New Roman"/>
          <w:b/>
          <w:i/>
          <w:color w:val="000000"/>
          <w:sz w:val="24"/>
        </w:rPr>
        <w:t>2.6</w:t>
      </w:r>
      <w:r w:rsidR="000548A5" w:rsidRPr="00717AA4">
        <w:rPr>
          <w:rFonts w:ascii="Times New Roman" w:eastAsia="Times New Roman" w:hAnsi="Times New Roman" w:cs="Times New Roman"/>
          <w:b/>
          <w:i/>
          <w:color w:val="000000"/>
          <w:sz w:val="24"/>
        </w:rPr>
        <w:t>.tabula. Ieņēmumu pasākumi virs 0,01% no IKP attiecīgajā gadā</w:t>
      </w:r>
      <w:r>
        <w:rPr>
          <w:rFonts w:ascii="Times New Roman" w:eastAsia="Times New Roman" w:hAnsi="Times New Roman" w:cs="Times New Roman"/>
          <w:b/>
          <w:i/>
          <w:color w:val="000000"/>
          <w:sz w:val="24"/>
        </w:rPr>
        <w:t>, milj. euro</w:t>
      </w:r>
    </w:p>
    <w:tbl>
      <w:tblPr>
        <w:tblW w:w="9067" w:type="dxa"/>
        <w:tblLook w:val="04A0" w:firstRow="1" w:lastRow="0" w:firstColumn="1" w:lastColumn="0" w:noHBand="0" w:noVBand="1"/>
      </w:tblPr>
      <w:tblGrid>
        <w:gridCol w:w="4390"/>
        <w:gridCol w:w="2126"/>
        <w:gridCol w:w="850"/>
        <w:gridCol w:w="851"/>
        <w:gridCol w:w="850"/>
      </w:tblGrid>
      <w:tr w:rsidR="00A575F0" w:rsidRPr="00A575F0" w14:paraId="130C957C" w14:textId="77777777" w:rsidTr="00A575F0">
        <w:trPr>
          <w:trHeight w:val="315"/>
        </w:trPr>
        <w:tc>
          <w:tcPr>
            <w:tcW w:w="439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FD78DDE" w14:textId="77777777" w:rsidR="00A575F0" w:rsidRPr="00A575F0" w:rsidRDefault="00A575F0" w:rsidP="00A575F0">
            <w:pPr>
              <w:jc w:val="center"/>
              <w:rPr>
                <w:rFonts w:ascii="Times New Roman" w:eastAsia="Times New Roman" w:hAnsi="Times New Roman" w:cs="Times New Roman"/>
                <w:b/>
                <w:bCs/>
                <w:color w:val="000000"/>
                <w:sz w:val="20"/>
                <w:szCs w:val="20"/>
              </w:rPr>
            </w:pPr>
            <w:r w:rsidRPr="00A575F0">
              <w:rPr>
                <w:rFonts w:ascii="Times New Roman" w:eastAsia="Times New Roman" w:hAnsi="Times New Roman" w:cs="Times New Roman"/>
                <w:b/>
                <w:bCs/>
                <w:color w:val="000000"/>
                <w:sz w:val="20"/>
                <w:szCs w:val="20"/>
              </w:rPr>
              <w:t>Pasākums</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B6A5816" w14:textId="77777777" w:rsidR="00A575F0" w:rsidRPr="00A575F0" w:rsidRDefault="00A575F0" w:rsidP="00A575F0">
            <w:pPr>
              <w:jc w:val="center"/>
              <w:rPr>
                <w:rFonts w:ascii="Times New Roman" w:eastAsia="Times New Roman" w:hAnsi="Times New Roman" w:cs="Times New Roman"/>
                <w:b/>
                <w:bCs/>
                <w:color w:val="000000"/>
                <w:sz w:val="20"/>
                <w:szCs w:val="20"/>
              </w:rPr>
            </w:pPr>
            <w:r w:rsidRPr="00A575F0">
              <w:rPr>
                <w:rFonts w:ascii="Times New Roman" w:eastAsia="Times New Roman" w:hAnsi="Times New Roman" w:cs="Times New Roman"/>
                <w:b/>
                <w:bCs/>
                <w:color w:val="000000"/>
                <w:sz w:val="20"/>
                <w:szCs w:val="20"/>
              </w:rPr>
              <w:t>Ieņēmumu veids</w:t>
            </w:r>
          </w:p>
        </w:tc>
        <w:tc>
          <w:tcPr>
            <w:tcW w:w="85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9C2270C" w14:textId="77777777" w:rsidR="00A575F0" w:rsidRPr="00A575F0" w:rsidRDefault="00A575F0" w:rsidP="00A575F0">
            <w:pPr>
              <w:jc w:val="center"/>
              <w:rPr>
                <w:rFonts w:ascii="Times New Roman" w:eastAsia="Times New Roman" w:hAnsi="Times New Roman" w:cs="Times New Roman"/>
                <w:b/>
                <w:bCs/>
                <w:color w:val="000000"/>
                <w:sz w:val="20"/>
                <w:szCs w:val="20"/>
              </w:rPr>
            </w:pPr>
            <w:r w:rsidRPr="00A575F0">
              <w:rPr>
                <w:rFonts w:ascii="Times New Roman" w:eastAsia="Times New Roman" w:hAnsi="Times New Roman" w:cs="Times New Roman"/>
                <w:b/>
                <w:bCs/>
                <w:color w:val="000000"/>
                <w:sz w:val="20"/>
                <w:szCs w:val="20"/>
              </w:rPr>
              <w:t>2021</w:t>
            </w:r>
          </w:p>
        </w:tc>
        <w:tc>
          <w:tcPr>
            <w:tcW w:w="85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860D64B" w14:textId="77777777" w:rsidR="00A575F0" w:rsidRPr="00A575F0" w:rsidRDefault="00A575F0" w:rsidP="00A575F0">
            <w:pPr>
              <w:jc w:val="center"/>
              <w:rPr>
                <w:rFonts w:ascii="Times New Roman" w:eastAsia="Times New Roman" w:hAnsi="Times New Roman" w:cs="Times New Roman"/>
                <w:b/>
                <w:bCs/>
                <w:color w:val="000000"/>
                <w:sz w:val="20"/>
                <w:szCs w:val="20"/>
              </w:rPr>
            </w:pPr>
            <w:r w:rsidRPr="00A575F0">
              <w:rPr>
                <w:rFonts w:ascii="Times New Roman" w:eastAsia="Times New Roman" w:hAnsi="Times New Roman" w:cs="Times New Roman"/>
                <w:b/>
                <w:bCs/>
                <w:color w:val="000000"/>
                <w:sz w:val="20"/>
                <w:szCs w:val="20"/>
              </w:rPr>
              <w:t>2022</w:t>
            </w:r>
          </w:p>
        </w:tc>
        <w:tc>
          <w:tcPr>
            <w:tcW w:w="85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609DA68" w14:textId="77777777" w:rsidR="00A575F0" w:rsidRPr="00A575F0" w:rsidRDefault="00A575F0" w:rsidP="00A575F0">
            <w:pPr>
              <w:jc w:val="center"/>
              <w:rPr>
                <w:rFonts w:ascii="Times New Roman" w:eastAsia="Times New Roman" w:hAnsi="Times New Roman" w:cs="Times New Roman"/>
                <w:b/>
                <w:bCs/>
                <w:color w:val="000000"/>
                <w:sz w:val="20"/>
                <w:szCs w:val="20"/>
              </w:rPr>
            </w:pPr>
            <w:r w:rsidRPr="00A575F0">
              <w:rPr>
                <w:rFonts w:ascii="Times New Roman" w:eastAsia="Times New Roman" w:hAnsi="Times New Roman" w:cs="Times New Roman"/>
                <w:b/>
                <w:bCs/>
                <w:color w:val="000000"/>
                <w:sz w:val="20"/>
                <w:szCs w:val="20"/>
              </w:rPr>
              <w:t>2023</w:t>
            </w:r>
          </w:p>
        </w:tc>
      </w:tr>
      <w:tr w:rsidR="00A575F0" w:rsidRPr="00A575F0" w14:paraId="13D967C1" w14:textId="77777777" w:rsidTr="003D0245">
        <w:trPr>
          <w:trHeight w:val="189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4CF7762" w14:textId="3FAFAF4B" w:rsidR="00A575F0" w:rsidRPr="00A575F0" w:rsidRDefault="00A575F0" w:rsidP="00A575F0">
            <w:pP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PVN piemērošanas vienkāršošanas noteikumi e-komercijas jomā: ar 2021.gadu tiks paplašināts īpašā PVN režīma piemērošanas tvērums, radot iespēju reģistrēties vienā dalībvalstī un veikt PVN samaksu par jebkādiem darījumiem, kas veikti e-vidē īpašā PVN režīma ietvaros; papildus tam ar 2021.gadu tiks atcelts PVN atbrīvojums mazās v</w:t>
            </w:r>
            <w:r>
              <w:rPr>
                <w:rFonts w:ascii="Times New Roman" w:eastAsia="Times New Roman" w:hAnsi="Times New Roman" w:cs="Times New Roman"/>
                <w:color w:val="000000"/>
                <w:sz w:val="20"/>
                <w:szCs w:val="20"/>
              </w:rPr>
              <w:t xml:space="preserve">ērtības preču sūtījumiem 22 </w:t>
            </w:r>
            <w:r w:rsidRPr="00A575F0">
              <w:rPr>
                <w:rFonts w:ascii="Times New Roman" w:eastAsia="Times New Roman" w:hAnsi="Times New Roman" w:cs="Times New Roman"/>
                <w:i/>
                <w:color w:val="000000"/>
                <w:sz w:val="20"/>
                <w:szCs w:val="20"/>
              </w:rPr>
              <w:t>euro</w:t>
            </w:r>
            <w:r w:rsidRPr="00A575F0">
              <w:rPr>
                <w:rFonts w:ascii="Times New Roman" w:eastAsia="Times New Roman" w:hAnsi="Times New Roman" w:cs="Times New Roman"/>
                <w:color w:val="000000"/>
                <w:sz w:val="20"/>
                <w:szCs w:val="20"/>
              </w:rPr>
              <w:t xml:space="preserve"> apmērā.</w:t>
            </w:r>
          </w:p>
        </w:tc>
        <w:tc>
          <w:tcPr>
            <w:tcW w:w="2126" w:type="dxa"/>
            <w:tcBorders>
              <w:top w:val="nil"/>
              <w:left w:val="nil"/>
              <w:bottom w:val="single" w:sz="4" w:space="0" w:color="auto"/>
              <w:right w:val="single" w:sz="4" w:space="0" w:color="auto"/>
            </w:tcBorders>
            <w:shd w:val="clear" w:color="auto" w:fill="auto"/>
            <w:vAlign w:val="center"/>
            <w:hideMark/>
          </w:tcPr>
          <w:p w14:paraId="0623D36E"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PVN</w:t>
            </w:r>
          </w:p>
        </w:tc>
        <w:tc>
          <w:tcPr>
            <w:tcW w:w="850" w:type="dxa"/>
            <w:tcBorders>
              <w:top w:val="nil"/>
              <w:left w:val="nil"/>
              <w:bottom w:val="single" w:sz="4" w:space="0" w:color="auto"/>
              <w:right w:val="single" w:sz="4" w:space="0" w:color="auto"/>
            </w:tcBorders>
            <w:shd w:val="clear" w:color="auto" w:fill="auto"/>
            <w:noWrap/>
            <w:vAlign w:val="center"/>
            <w:hideMark/>
          </w:tcPr>
          <w:p w14:paraId="2772DADC"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10,4</w:t>
            </w:r>
          </w:p>
        </w:tc>
        <w:tc>
          <w:tcPr>
            <w:tcW w:w="851" w:type="dxa"/>
            <w:tcBorders>
              <w:top w:val="nil"/>
              <w:left w:val="nil"/>
              <w:bottom w:val="single" w:sz="4" w:space="0" w:color="auto"/>
              <w:right w:val="single" w:sz="4" w:space="0" w:color="auto"/>
            </w:tcBorders>
            <w:shd w:val="clear" w:color="auto" w:fill="auto"/>
            <w:noWrap/>
            <w:vAlign w:val="center"/>
            <w:hideMark/>
          </w:tcPr>
          <w:p w14:paraId="7C42F0BA"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10,4</w:t>
            </w:r>
          </w:p>
        </w:tc>
        <w:tc>
          <w:tcPr>
            <w:tcW w:w="850" w:type="dxa"/>
            <w:tcBorders>
              <w:top w:val="nil"/>
              <w:left w:val="nil"/>
              <w:bottom w:val="single" w:sz="4" w:space="0" w:color="auto"/>
              <w:right w:val="single" w:sz="4" w:space="0" w:color="auto"/>
            </w:tcBorders>
            <w:shd w:val="clear" w:color="auto" w:fill="auto"/>
            <w:noWrap/>
            <w:vAlign w:val="center"/>
            <w:hideMark/>
          </w:tcPr>
          <w:p w14:paraId="2F1A025D"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10,4</w:t>
            </w:r>
          </w:p>
        </w:tc>
      </w:tr>
      <w:tr w:rsidR="00A575F0" w:rsidRPr="00A575F0" w14:paraId="5EFBA990" w14:textId="77777777" w:rsidTr="003D0245">
        <w:trPr>
          <w:trHeight w:val="945"/>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6E12E9" w14:textId="2012E8DD" w:rsidR="00A575F0" w:rsidRPr="00A575F0" w:rsidRDefault="00A575F0" w:rsidP="00A575F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MK</w:t>
            </w:r>
            <w:r w:rsidRPr="00A575F0">
              <w:rPr>
                <w:rFonts w:ascii="Times New Roman" w:eastAsia="Times New Roman" w:hAnsi="Times New Roman" w:cs="Times New Roman"/>
                <w:color w:val="000000"/>
                <w:sz w:val="20"/>
                <w:szCs w:val="20"/>
              </w:rPr>
              <w:t xml:space="preserve"> rīkojuma projekts “Par </w:t>
            </w:r>
            <w:r w:rsidR="00AC361B">
              <w:rPr>
                <w:rFonts w:ascii="Times New Roman" w:eastAsia="Times New Roman" w:hAnsi="Times New Roman" w:cs="Times New Roman"/>
                <w:color w:val="000000"/>
                <w:sz w:val="20"/>
                <w:szCs w:val="20"/>
              </w:rPr>
              <w:t>SM</w:t>
            </w:r>
            <w:r w:rsidRPr="00A575F0">
              <w:rPr>
                <w:rFonts w:ascii="Times New Roman" w:eastAsia="Times New Roman" w:hAnsi="Times New Roman" w:cs="Times New Roman"/>
                <w:color w:val="000000"/>
                <w:sz w:val="20"/>
                <w:szCs w:val="20"/>
              </w:rPr>
              <w:t xml:space="preserve"> ilgtermiņa saistībām valsts galvenā autoceļa “E67/A7 Ķekavas apvedceļš” publiskās un privātās partnerības projekta īstenošanai”.</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8262D"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PVN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424B"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52F0E"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B16EF"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5,1</w:t>
            </w:r>
          </w:p>
        </w:tc>
      </w:tr>
      <w:tr w:rsidR="00A575F0" w:rsidRPr="00A575F0" w14:paraId="4C07F2E7" w14:textId="77777777" w:rsidTr="003D0245">
        <w:trPr>
          <w:trHeight w:val="315"/>
        </w:trPr>
        <w:tc>
          <w:tcPr>
            <w:tcW w:w="439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7A4D1E0" w14:textId="77777777" w:rsidR="00A575F0" w:rsidRPr="00A575F0" w:rsidRDefault="00A575F0" w:rsidP="00A575F0">
            <w:pP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Pamatbudžetā prognozējamo ieņēmumu palielināšana no AS "Latvenergo" dividendēm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914730B"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Nenodokļi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08E196D"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6,9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6725FCA"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D17F28"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10,1</w:t>
            </w:r>
          </w:p>
        </w:tc>
      </w:tr>
      <w:tr w:rsidR="00A575F0" w:rsidRPr="00A575F0" w14:paraId="0D09F326" w14:textId="77777777" w:rsidTr="00A575F0">
        <w:trPr>
          <w:trHeight w:val="315"/>
        </w:trPr>
        <w:tc>
          <w:tcPr>
            <w:tcW w:w="4390" w:type="dxa"/>
            <w:vMerge/>
            <w:tcBorders>
              <w:top w:val="nil"/>
              <w:left w:val="single" w:sz="4" w:space="0" w:color="auto"/>
              <w:bottom w:val="single" w:sz="4" w:space="0" w:color="000000"/>
              <w:right w:val="single" w:sz="4" w:space="0" w:color="auto"/>
            </w:tcBorders>
            <w:vAlign w:val="center"/>
            <w:hideMark/>
          </w:tcPr>
          <w:p w14:paraId="67FE6BCC" w14:textId="77777777" w:rsidR="00A575F0" w:rsidRPr="00A575F0" w:rsidRDefault="00A575F0" w:rsidP="00A575F0">
            <w:pP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267A4FD2"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UIN</w:t>
            </w:r>
          </w:p>
        </w:tc>
        <w:tc>
          <w:tcPr>
            <w:tcW w:w="850" w:type="dxa"/>
            <w:tcBorders>
              <w:top w:val="nil"/>
              <w:left w:val="nil"/>
              <w:bottom w:val="single" w:sz="4" w:space="0" w:color="auto"/>
              <w:right w:val="single" w:sz="4" w:space="0" w:color="auto"/>
            </w:tcBorders>
            <w:shd w:val="clear" w:color="auto" w:fill="auto"/>
            <w:noWrap/>
            <w:vAlign w:val="center"/>
            <w:hideMark/>
          </w:tcPr>
          <w:p w14:paraId="3D54F58B"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1,7</w:t>
            </w:r>
          </w:p>
        </w:tc>
        <w:tc>
          <w:tcPr>
            <w:tcW w:w="851" w:type="dxa"/>
            <w:tcBorders>
              <w:top w:val="nil"/>
              <w:left w:val="nil"/>
              <w:bottom w:val="single" w:sz="4" w:space="0" w:color="auto"/>
              <w:right w:val="single" w:sz="4" w:space="0" w:color="auto"/>
            </w:tcBorders>
            <w:shd w:val="clear" w:color="auto" w:fill="auto"/>
            <w:noWrap/>
            <w:vAlign w:val="center"/>
            <w:hideMark/>
          </w:tcPr>
          <w:p w14:paraId="7F5CAF8E"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2,6</w:t>
            </w:r>
          </w:p>
        </w:tc>
        <w:tc>
          <w:tcPr>
            <w:tcW w:w="850" w:type="dxa"/>
            <w:tcBorders>
              <w:top w:val="nil"/>
              <w:left w:val="nil"/>
              <w:bottom w:val="single" w:sz="4" w:space="0" w:color="auto"/>
              <w:right w:val="single" w:sz="4" w:space="0" w:color="auto"/>
            </w:tcBorders>
            <w:shd w:val="clear" w:color="auto" w:fill="auto"/>
            <w:noWrap/>
            <w:vAlign w:val="center"/>
            <w:hideMark/>
          </w:tcPr>
          <w:p w14:paraId="21C7E787"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2,5</w:t>
            </w:r>
          </w:p>
        </w:tc>
      </w:tr>
      <w:tr w:rsidR="00A575F0" w:rsidRPr="00A575F0" w14:paraId="5E570B0F" w14:textId="77777777" w:rsidTr="00A575F0">
        <w:trPr>
          <w:trHeight w:val="458"/>
        </w:trPr>
        <w:tc>
          <w:tcPr>
            <w:tcW w:w="4390" w:type="dxa"/>
            <w:vMerge w:val="restart"/>
            <w:tcBorders>
              <w:top w:val="nil"/>
              <w:left w:val="single" w:sz="4" w:space="0" w:color="auto"/>
              <w:bottom w:val="single" w:sz="4" w:space="0" w:color="000000"/>
              <w:right w:val="single" w:sz="4" w:space="0" w:color="auto"/>
            </w:tcBorders>
            <w:shd w:val="clear" w:color="auto" w:fill="auto"/>
            <w:hideMark/>
          </w:tcPr>
          <w:p w14:paraId="51C1A8C2" w14:textId="77777777" w:rsidR="00A575F0" w:rsidRPr="00A575F0" w:rsidRDefault="00A575F0" w:rsidP="00A575F0">
            <w:pP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AS "Latvenergo" dividenžu paredzēšana saskaņā ar konceptuālo ziņojumu "Kompleksi pasākumi obligātā iepirkuma komponentes problemātikas risināšanai un elektroenerģijas tirgus attīstībai"</w:t>
            </w:r>
          </w:p>
        </w:tc>
        <w:tc>
          <w:tcPr>
            <w:tcW w:w="2126" w:type="dxa"/>
            <w:tcBorders>
              <w:top w:val="nil"/>
              <w:left w:val="nil"/>
              <w:bottom w:val="single" w:sz="4" w:space="0" w:color="auto"/>
              <w:right w:val="single" w:sz="4" w:space="0" w:color="auto"/>
            </w:tcBorders>
            <w:shd w:val="clear" w:color="auto" w:fill="auto"/>
            <w:vAlign w:val="center"/>
            <w:hideMark/>
          </w:tcPr>
          <w:p w14:paraId="0D73FDE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Nenodokļi</w:t>
            </w:r>
          </w:p>
        </w:tc>
        <w:tc>
          <w:tcPr>
            <w:tcW w:w="850" w:type="dxa"/>
            <w:tcBorders>
              <w:top w:val="nil"/>
              <w:left w:val="nil"/>
              <w:bottom w:val="single" w:sz="4" w:space="0" w:color="auto"/>
              <w:right w:val="single" w:sz="4" w:space="0" w:color="auto"/>
            </w:tcBorders>
            <w:shd w:val="clear" w:color="auto" w:fill="auto"/>
            <w:noWrap/>
            <w:vAlign w:val="center"/>
            <w:hideMark/>
          </w:tcPr>
          <w:p w14:paraId="35E0888B"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71,7</w:t>
            </w:r>
          </w:p>
        </w:tc>
        <w:tc>
          <w:tcPr>
            <w:tcW w:w="851" w:type="dxa"/>
            <w:tcBorders>
              <w:top w:val="nil"/>
              <w:left w:val="nil"/>
              <w:bottom w:val="single" w:sz="4" w:space="0" w:color="auto"/>
              <w:right w:val="single" w:sz="4" w:space="0" w:color="auto"/>
            </w:tcBorders>
            <w:shd w:val="clear" w:color="auto" w:fill="auto"/>
            <w:noWrap/>
            <w:vAlign w:val="center"/>
            <w:hideMark/>
          </w:tcPr>
          <w:p w14:paraId="01E31F7B"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59,6</w:t>
            </w:r>
          </w:p>
        </w:tc>
        <w:tc>
          <w:tcPr>
            <w:tcW w:w="850" w:type="dxa"/>
            <w:tcBorders>
              <w:top w:val="nil"/>
              <w:left w:val="nil"/>
              <w:bottom w:val="single" w:sz="4" w:space="0" w:color="auto"/>
              <w:right w:val="single" w:sz="4" w:space="0" w:color="auto"/>
            </w:tcBorders>
            <w:shd w:val="clear" w:color="auto" w:fill="auto"/>
            <w:noWrap/>
            <w:vAlign w:val="center"/>
            <w:hideMark/>
          </w:tcPr>
          <w:p w14:paraId="013B6324"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46,7</w:t>
            </w:r>
          </w:p>
        </w:tc>
      </w:tr>
      <w:tr w:rsidR="00A575F0" w:rsidRPr="00A575F0" w14:paraId="799CDC1A" w14:textId="77777777" w:rsidTr="00A575F0">
        <w:trPr>
          <w:trHeight w:val="315"/>
        </w:trPr>
        <w:tc>
          <w:tcPr>
            <w:tcW w:w="4390" w:type="dxa"/>
            <w:vMerge/>
            <w:tcBorders>
              <w:top w:val="nil"/>
              <w:left w:val="single" w:sz="4" w:space="0" w:color="auto"/>
              <w:bottom w:val="single" w:sz="4" w:space="0" w:color="000000"/>
              <w:right w:val="single" w:sz="4" w:space="0" w:color="auto"/>
            </w:tcBorders>
            <w:vAlign w:val="center"/>
            <w:hideMark/>
          </w:tcPr>
          <w:p w14:paraId="4C502B04" w14:textId="77777777" w:rsidR="00A575F0" w:rsidRPr="00A575F0" w:rsidRDefault="00A575F0" w:rsidP="00A575F0">
            <w:pP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3A8F06C1"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UIN</w:t>
            </w:r>
          </w:p>
        </w:tc>
        <w:tc>
          <w:tcPr>
            <w:tcW w:w="850" w:type="dxa"/>
            <w:tcBorders>
              <w:top w:val="nil"/>
              <w:left w:val="nil"/>
              <w:bottom w:val="single" w:sz="4" w:space="0" w:color="auto"/>
              <w:right w:val="single" w:sz="4" w:space="0" w:color="auto"/>
            </w:tcBorders>
            <w:shd w:val="clear" w:color="auto" w:fill="auto"/>
            <w:noWrap/>
            <w:vAlign w:val="center"/>
            <w:hideMark/>
          </w:tcPr>
          <w:p w14:paraId="1C02ECD6"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17,9</w:t>
            </w:r>
          </w:p>
        </w:tc>
        <w:tc>
          <w:tcPr>
            <w:tcW w:w="851" w:type="dxa"/>
            <w:tcBorders>
              <w:top w:val="nil"/>
              <w:left w:val="nil"/>
              <w:bottom w:val="single" w:sz="4" w:space="0" w:color="auto"/>
              <w:right w:val="single" w:sz="4" w:space="0" w:color="auto"/>
            </w:tcBorders>
            <w:shd w:val="clear" w:color="auto" w:fill="auto"/>
            <w:noWrap/>
            <w:vAlign w:val="center"/>
            <w:hideMark/>
          </w:tcPr>
          <w:p w14:paraId="3744959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14,9</w:t>
            </w:r>
          </w:p>
        </w:tc>
        <w:tc>
          <w:tcPr>
            <w:tcW w:w="850" w:type="dxa"/>
            <w:tcBorders>
              <w:top w:val="nil"/>
              <w:left w:val="nil"/>
              <w:bottom w:val="single" w:sz="4" w:space="0" w:color="auto"/>
              <w:right w:val="single" w:sz="4" w:space="0" w:color="auto"/>
            </w:tcBorders>
            <w:shd w:val="clear" w:color="auto" w:fill="auto"/>
            <w:noWrap/>
            <w:vAlign w:val="center"/>
            <w:hideMark/>
          </w:tcPr>
          <w:p w14:paraId="5D2BEFD6"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11,7</w:t>
            </w:r>
          </w:p>
        </w:tc>
      </w:tr>
      <w:tr w:rsidR="00A575F0" w:rsidRPr="00A575F0" w14:paraId="145371A8" w14:textId="77777777" w:rsidTr="00A575F0">
        <w:trPr>
          <w:trHeight w:val="2088"/>
        </w:trPr>
        <w:tc>
          <w:tcPr>
            <w:tcW w:w="4390" w:type="dxa"/>
            <w:vMerge w:val="restart"/>
            <w:tcBorders>
              <w:top w:val="nil"/>
              <w:left w:val="single" w:sz="4" w:space="0" w:color="auto"/>
              <w:bottom w:val="single" w:sz="4" w:space="0" w:color="000000"/>
              <w:right w:val="single" w:sz="4" w:space="0" w:color="auto"/>
            </w:tcBorders>
            <w:shd w:val="clear" w:color="auto" w:fill="auto"/>
            <w:hideMark/>
          </w:tcPr>
          <w:p w14:paraId="11B4B8D9" w14:textId="136869F9" w:rsidR="00A575F0" w:rsidRPr="00A575F0" w:rsidRDefault="00A575F0" w:rsidP="00A575F0">
            <w:pP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 xml:space="preserve">Atbalstīt </w:t>
            </w:r>
            <w:r w:rsidR="00AC361B">
              <w:rPr>
                <w:rFonts w:ascii="Times New Roman" w:eastAsia="Times New Roman" w:hAnsi="Times New Roman" w:cs="Times New Roman"/>
                <w:color w:val="000000"/>
                <w:sz w:val="20"/>
                <w:szCs w:val="20"/>
              </w:rPr>
              <w:t>ZM</w:t>
            </w:r>
            <w:r w:rsidRPr="00A575F0">
              <w:rPr>
                <w:rFonts w:ascii="Times New Roman" w:eastAsia="Times New Roman" w:hAnsi="Times New Roman" w:cs="Times New Roman"/>
                <w:color w:val="000000"/>
                <w:sz w:val="20"/>
                <w:szCs w:val="20"/>
              </w:rPr>
              <w:t xml:space="preserve"> priekšlikumu par akciju sabiedrības "Latvijas valsts meži" dividendēs izmaksājamās peļņas daļas par 2020.gadu palielinājumu, un </w:t>
            </w:r>
            <w:r>
              <w:rPr>
                <w:rFonts w:ascii="Times New Roman" w:eastAsia="Times New Roman" w:hAnsi="Times New Roman" w:cs="Times New Roman"/>
                <w:color w:val="000000"/>
                <w:sz w:val="20"/>
                <w:szCs w:val="20"/>
              </w:rPr>
              <w:t>FM</w:t>
            </w:r>
            <w:r w:rsidRPr="00A575F0">
              <w:rPr>
                <w:rFonts w:ascii="Times New Roman" w:eastAsia="Times New Roman" w:hAnsi="Times New Roman" w:cs="Times New Roman"/>
                <w:color w:val="000000"/>
                <w:sz w:val="20"/>
                <w:szCs w:val="20"/>
              </w:rPr>
              <w:t xml:space="preserve"> palielināt maksājumu par valsts kapitāla izmantošanu ieņēmumu prognozi 2021.gadam par 15 000 000 EUR (tai skaitā 12 000 000 EUR maksājums par valsts kapitāla izmantošanu un 3 000 000 EUR uzņēmumu ienākuma nodoklis) un attiecīgi palielināt izdevumus budžeta apakšprogrammā 21.01.00 "Valsts atbalsts lauksaimniecības un lauku attīstībai" 2021.gadam par 15 000 000 EUR atbilstoši informatīvajā ziņojumā minēto pasākumu sadalījumam, lai nodrošinātu </w:t>
            </w:r>
            <w:r>
              <w:rPr>
                <w:rFonts w:ascii="Times New Roman" w:eastAsia="Times New Roman" w:hAnsi="Times New Roman" w:cs="Times New Roman"/>
                <w:color w:val="000000"/>
                <w:sz w:val="20"/>
                <w:szCs w:val="20"/>
              </w:rPr>
              <w:t>EK</w:t>
            </w:r>
            <w:r w:rsidRPr="00A575F0">
              <w:rPr>
                <w:rFonts w:ascii="Times New Roman" w:eastAsia="Times New Roman" w:hAnsi="Times New Roman" w:cs="Times New Roman"/>
                <w:color w:val="000000"/>
                <w:sz w:val="20"/>
                <w:szCs w:val="20"/>
              </w:rPr>
              <w:t xml:space="preserve"> Kopējās lauksaimniecības politikas stratēģiskā plāna regulas priekšlikumu par dalībvalstu iespēju nodrošināt papildu finansējumu vienlīdzīgāku konkurences apstākļu nodrošināšanai ar citām </w:t>
            </w:r>
            <w:r>
              <w:rPr>
                <w:rFonts w:ascii="Times New Roman" w:eastAsia="Times New Roman" w:hAnsi="Times New Roman" w:cs="Times New Roman"/>
                <w:color w:val="000000"/>
                <w:sz w:val="20"/>
                <w:szCs w:val="20"/>
              </w:rPr>
              <w:t>ES</w:t>
            </w:r>
            <w:r w:rsidRPr="00A575F0">
              <w:rPr>
                <w:rFonts w:ascii="Times New Roman" w:eastAsia="Times New Roman" w:hAnsi="Times New Roman" w:cs="Times New Roman"/>
                <w:color w:val="000000"/>
                <w:sz w:val="20"/>
                <w:szCs w:val="20"/>
              </w:rPr>
              <w:t xml:space="preserve"> dalībvalstīm.</w:t>
            </w:r>
          </w:p>
        </w:tc>
        <w:tc>
          <w:tcPr>
            <w:tcW w:w="2126" w:type="dxa"/>
            <w:tcBorders>
              <w:top w:val="nil"/>
              <w:left w:val="nil"/>
              <w:bottom w:val="single" w:sz="4" w:space="0" w:color="auto"/>
              <w:right w:val="single" w:sz="4" w:space="0" w:color="auto"/>
            </w:tcBorders>
            <w:shd w:val="clear" w:color="auto" w:fill="auto"/>
            <w:vAlign w:val="center"/>
            <w:hideMark/>
          </w:tcPr>
          <w:p w14:paraId="5D2429C8"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Nenodokļi</w:t>
            </w:r>
          </w:p>
        </w:tc>
        <w:tc>
          <w:tcPr>
            <w:tcW w:w="850" w:type="dxa"/>
            <w:tcBorders>
              <w:top w:val="nil"/>
              <w:left w:val="nil"/>
              <w:bottom w:val="single" w:sz="4" w:space="0" w:color="auto"/>
              <w:right w:val="single" w:sz="4" w:space="0" w:color="auto"/>
            </w:tcBorders>
            <w:shd w:val="clear" w:color="auto" w:fill="auto"/>
            <w:noWrap/>
            <w:vAlign w:val="center"/>
            <w:hideMark/>
          </w:tcPr>
          <w:p w14:paraId="4F63CC66"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14,4</w:t>
            </w:r>
          </w:p>
        </w:tc>
        <w:tc>
          <w:tcPr>
            <w:tcW w:w="851" w:type="dxa"/>
            <w:tcBorders>
              <w:top w:val="nil"/>
              <w:left w:val="nil"/>
              <w:bottom w:val="single" w:sz="4" w:space="0" w:color="auto"/>
              <w:right w:val="single" w:sz="4" w:space="0" w:color="auto"/>
            </w:tcBorders>
            <w:shd w:val="clear" w:color="auto" w:fill="auto"/>
            <w:noWrap/>
            <w:vAlign w:val="center"/>
            <w:hideMark/>
          </w:tcPr>
          <w:p w14:paraId="42A550BA"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2,4</w:t>
            </w:r>
          </w:p>
        </w:tc>
        <w:tc>
          <w:tcPr>
            <w:tcW w:w="850" w:type="dxa"/>
            <w:tcBorders>
              <w:top w:val="nil"/>
              <w:left w:val="nil"/>
              <w:bottom w:val="single" w:sz="4" w:space="0" w:color="auto"/>
              <w:right w:val="single" w:sz="4" w:space="0" w:color="auto"/>
            </w:tcBorders>
            <w:shd w:val="clear" w:color="auto" w:fill="auto"/>
            <w:noWrap/>
            <w:vAlign w:val="center"/>
            <w:hideMark/>
          </w:tcPr>
          <w:p w14:paraId="5B16CA15"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2,4</w:t>
            </w:r>
          </w:p>
        </w:tc>
      </w:tr>
      <w:tr w:rsidR="00A575F0" w:rsidRPr="00A575F0" w14:paraId="04032E55" w14:textId="77777777" w:rsidTr="00A575F0">
        <w:trPr>
          <w:trHeight w:val="315"/>
        </w:trPr>
        <w:tc>
          <w:tcPr>
            <w:tcW w:w="4390" w:type="dxa"/>
            <w:vMerge/>
            <w:tcBorders>
              <w:top w:val="nil"/>
              <w:left w:val="single" w:sz="4" w:space="0" w:color="auto"/>
              <w:bottom w:val="single" w:sz="4" w:space="0" w:color="000000"/>
              <w:right w:val="single" w:sz="4" w:space="0" w:color="auto"/>
            </w:tcBorders>
            <w:vAlign w:val="center"/>
            <w:hideMark/>
          </w:tcPr>
          <w:p w14:paraId="603BEE54" w14:textId="77777777" w:rsidR="00A575F0" w:rsidRPr="00A575F0" w:rsidRDefault="00A575F0" w:rsidP="00A575F0">
            <w:pP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7633047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UIN</w:t>
            </w:r>
          </w:p>
        </w:tc>
        <w:tc>
          <w:tcPr>
            <w:tcW w:w="850" w:type="dxa"/>
            <w:tcBorders>
              <w:top w:val="nil"/>
              <w:left w:val="nil"/>
              <w:bottom w:val="single" w:sz="4" w:space="0" w:color="auto"/>
              <w:right w:val="single" w:sz="4" w:space="0" w:color="auto"/>
            </w:tcBorders>
            <w:shd w:val="clear" w:color="auto" w:fill="auto"/>
            <w:noWrap/>
            <w:vAlign w:val="center"/>
            <w:hideMark/>
          </w:tcPr>
          <w:p w14:paraId="1E3F8EBE"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3,6</w:t>
            </w:r>
          </w:p>
        </w:tc>
        <w:tc>
          <w:tcPr>
            <w:tcW w:w="851" w:type="dxa"/>
            <w:tcBorders>
              <w:top w:val="nil"/>
              <w:left w:val="nil"/>
              <w:bottom w:val="single" w:sz="4" w:space="0" w:color="auto"/>
              <w:right w:val="single" w:sz="4" w:space="0" w:color="auto"/>
            </w:tcBorders>
            <w:shd w:val="clear" w:color="auto" w:fill="auto"/>
            <w:noWrap/>
            <w:vAlign w:val="center"/>
            <w:hideMark/>
          </w:tcPr>
          <w:p w14:paraId="0753E160"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14:paraId="37F9C4E4"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0,6</w:t>
            </w:r>
          </w:p>
        </w:tc>
      </w:tr>
      <w:tr w:rsidR="00A575F0" w:rsidRPr="00A575F0" w14:paraId="09D5EBA2" w14:textId="77777777" w:rsidTr="00A575F0">
        <w:trPr>
          <w:trHeight w:val="315"/>
        </w:trPr>
        <w:tc>
          <w:tcPr>
            <w:tcW w:w="4390" w:type="dxa"/>
            <w:vMerge w:val="restart"/>
            <w:tcBorders>
              <w:top w:val="nil"/>
              <w:left w:val="single" w:sz="4" w:space="0" w:color="auto"/>
              <w:bottom w:val="single" w:sz="4" w:space="0" w:color="000000"/>
              <w:right w:val="single" w:sz="4" w:space="0" w:color="auto"/>
            </w:tcBorders>
            <w:shd w:val="clear" w:color="auto" w:fill="auto"/>
            <w:hideMark/>
          </w:tcPr>
          <w:p w14:paraId="09151BA5" w14:textId="60A794DB" w:rsidR="00A575F0" w:rsidRPr="00A575F0" w:rsidRDefault="00A575F0" w:rsidP="00A575F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VSAOI likmes samazināšana par vienu</w:t>
            </w:r>
            <w:r w:rsidRPr="00A575F0">
              <w:rPr>
                <w:rFonts w:ascii="Times New Roman" w:eastAsia="Times New Roman" w:hAnsi="Times New Roman" w:cs="Times New Roman"/>
                <w:color w:val="000000"/>
                <w:sz w:val="20"/>
                <w:szCs w:val="20"/>
              </w:rPr>
              <w:t xml:space="preserve"> procentpunktu (no 35.09% uz 34.09%)</w:t>
            </w:r>
          </w:p>
        </w:tc>
        <w:tc>
          <w:tcPr>
            <w:tcW w:w="2126" w:type="dxa"/>
            <w:tcBorders>
              <w:top w:val="nil"/>
              <w:left w:val="nil"/>
              <w:bottom w:val="single" w:sz="4" w:space="0" w:color="auto"/>
              <w:right w:val="single" w:sz="4" w:space="0" w:color="auto"/>
            </w:tcBorders>
            <w:shd w:val="clear" w:color="auto" w:fill="auto"/>
            <w:vAlign w:val="center"/>
            <w:hideMark/>
          </w:tcPr>
          <w:p w14:paraId="09D2353A"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IIN</w:t>
            </w:r>
          </w:p>
        </w:tc>
        <w:tc>
          <w:tcPr>
            <w:tcW w:w="850" w:type="dxa"/>
            <w:tcBorders>
              <w:top w:val="nil"/>
              <w:left w:val="nil"/>
              <w:bottom w:val="single" w:sz="4" w:space="0" w:color="auto"/>
              <w:right w:val="single" w:sz="4" w:space="0" w:color="auto"/>
            </w:tcBorders>
            <w:shd w:val="clear" w:color="auto" w:fill="auto"/>
            <w:noWrap/>
            <w:vAlign w:val="center"/>
            <w:hideMark/>
          </w:tcPr>
          <w:p w14:paraId="6050B2F5"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6,1</w:t>
            </w:r>
          </w:p>
        </w:tc>
        <w:tc>
          <w:tcPr>
            <w:tcW w:w="851" w:type="dxa"/>
            <w:tcBorders>
              <w:top w:val="nil"/>
              <w:left w:val="nil"/>
              <w:bottom w:val="single" w:sz="4" w:space="0" w:color="auto"/>
              <w:right w:val="single" w:sz="4" w:space="0" w:color="auto"/>
            </w:tcBorders>
            <w:shd w:val="clear" w:color="auto" w:fill="auto"/>
            <w:noWrap/>
            <w:vAlign w:val="center"/>
            <w:hideMark/>
          </w:tcPr>
          <w:p w14:paraId="12EE4663"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6,7</w:t>
            </w:r>
          </w:p>
        </w:tc>
        <w:tc>
          <w:tcPr>
            <w:tcW w:w="850" w:type="dxa"/>
            <w:tcBorders>
              <w:top w:val="nil"/>
              <w:left w:val="nil"/>
              <w:bottom w:val="single" w:sz="4" w:space="0" w:color="auto"/>
              <w:right w:val="single" w:sz="4" w:space="0" w:color="auto"/>
            </w:tcBorders>
            <w:shd w:val="clear" w:color="auto" w:fill="auto"/>
            <w:noWrap/>
            <w:vAlign w:val="center"/>
            <w:hideMark/>
          </w:tcPr>
          <w:p w14:paraId="5A0EEE3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6,7</w:t>
            </w:r>
          </w:p>
        </w:tc>
      </w:tr>
      <w:tr w:rsidR="00A575F0" w:rsidRPr="00A575F0" w14:paraId="0E10FD3B" w14:textId="77777777" w:rsidTr="00A575F0">
        <w:trPr>
          <w:trHeight w:val="945"/>
        </w:trPr>
        <w:tc>
          <w:tcPr>
            <w:tcW w:w="4390" w:type="dxa"/>
            <w:vMerge/>
            <w:tcBorders>
              <w:top w:val="nil"/>
              <w:left w:val="single" w:sz="4" w:space="0" w:color="auto"/>
              <w:bottom w:val="single" w:sz="4" w:space="0" w:color="000000"/>
              <w:right w:val="single" w:sz="4" w:space="0" w:color="auto"/>
            </w:tcBorders>
            <w:vAlign w:val="center"/>
            <w:hideMark/>
          </w:tcPr>
          <w:p w14:paraId="6EBD610B" w14:textId="77777777" w:rsidR="00A575F0" w:rsidRPr="00A575F0" w:rsidRDefault="00A575F0" w:rsidP="00A575F0">
            <w:pP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7240CFDD" w14:textId="58F0798C" w:rsidR="00A575F0" w:rsidRPr="00A575F0" w:rsidRDefault="00A575F0" w:rsidP="00A575F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Sociālie nodokļi kopā</w:t>
            </w:r>
            <w:r w:rsidRPr="00A575F0">
              <w:rPr>
                <w:rFonts w:ascii="Times New Roman" w:eastAsia="Times New Roman" w:hAnsi="Times New Roman" w:cs="Times New Roman"/>
                <w:color w:val="000000"/>
                <w:sz w:val="20"/>
                <w:szCs w:val="20"/>
              </w:rPr>
              <w:t xml:space="preserve"> (solidaritātes nodoklis, 1% veselības finansēšanai un 2.pensiju līmenis)</w:t>
            </w:r>
          </w:p>
        </w:tc>
        <w:tc>
          <w:tcPr>
            <w:tcW w:w="850" w:type="dxa"/>
            <w:tcBorders>
              <w:top w:val="nil"/>
              <w:left w:val="nil"/>
              <w:bottom w:val="single" w:sz="4" w:space="0" w:color="auto"/>
              <w:right w:val="single" w:sz="4" w:space="0" w:color="auto"/>
            </w:tcBorders>
            <w:shd w:val="clear" w:color="auto" w:fill="auto"/>
            <w:noWrap/>
            <w:vAlign w:val="center"/>
            <w:hideMark/>
          </w:tcPr>
          <w:p w14:paraId="3B734EA4"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-75,5</w:t>
            </w:r>
          </w:p>
        </w:tc>
        <w:tc>
          <w:tcPr>
            <w:tcW w:w="851" w:type="dxa"/>
            <w:tcBorders>
              <w:top w:val="nil"/>
              <w:left w:val="nil"/>
              <w:bottom w:val="single" w:sz="4" w:space="0" w:color="auto"/>
              <w:right w:val="single" w:sz="4" w:space="0" w:color="auto"/>
            </w:tcBorders>
            <w:shd w:val="clear" w:color="auto" w:fill="auto"/>
            <w:noWrap/>
            <w:vAlign w:val="center"/>
            <w:hideMark/>
          </w:tcPr>
          <w:p w14:paraId="519CBF12"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-82,3</w:t>
            </w:r>
          </w:p>
        </w:tc>
        <w:tc>
          <w:tcPr>
            <w:tcW w:w="850" w:type="dxa"/>
            <w:tcBorders>
              <w:top w:val="nil"/>
              <w:left w:val="nil"/>
              <w:bottom w:val="single" w:sz="4" w:space="0" w:color="auto"/>
              <w:right w:val="single" w:sz="4" w:space="0" w:color="auto"/>
            </w:tcBorders>
            <w:shd w:val="clear" w:color="auto" w:fill="auto"/>
            <w:noWrap/>
            <w:vAlign w:val="center"/>
            <w:hideMark/>
          </w:tcPr>
          <w:p w14:paraId="055AF90C"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-82,3</w:t>
            </w:r>
          </w:p>
        </w:tc>
      </w:tr>
      <w:tr w:rsidR="00A575F0" w:rsidRPr="00A575F0" w14:paraId="66AAE297" w14:textId="77777777" w:rsidTr="00A575F0">
        <w:trPr>
          <w:trHeight w:val="411"/>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CCF78EE" w14:textId="16B0162B" w:rsidR="00A575F0" w:rsidRPr="00A575F0" w:rsidRDefault="00326F4A" w:rsidP="00326F4A">
            <w:pPr>
              <w:rPr>
                <w:rFonts w:ascii="Times New Roman" w:eastAsia="Times New Roman" w:hAnsi="Times New Roman" w:cs="Times New Roman"/>
                <w:color w:val="000000"/>
                <w:sz w:val="20"/>
                <w:szCs w:val="20"/>
              </w:rPr>
            </w:pPr>
            <w:r w:rsidRPr="00326F4A">
              <w:rPr>
                <w:rFonts w:ascii="Times New Roman" w:eastAsia="Times New Roman" w:hAnsi="Times New Roman" w:cs="Times New Roman"/>
                <w:color w:val="000000"/>
                <w:sz w:val="20"/>
                <w:szCs w:val="20"/>
              </w:rPr>
              <w:t>Dife</w:t>
            </w:r>
            <w:r>
              <w:rPr>
                <w:rFonts w:ascii="Times New Roman" w:eastAsia="Times New Roman" w:hAnsi="Times New Roman" w:cs="Times New Roman"/>
                <w:color w:val="000000"/>
                <w:sz w:val="20"/>
                <w:szCs w:val="20"/>
              </w:rPr>
              <w:t>rencētā neapliekamais minimuma</w:t>
            </w:r>
            <w:r w:rsidR="00A575F0" w:rsidRPr="00A575F0">
              <w:rPr>
                <w:rFonts w:ascii="Times New Roman" w:eastAsia="Times New Roman" w:hAnsi="Times New Roman" w:cs="Times New Roman"/>
                <w:color w:val="000000"/>
                <w:sz w:val="20"/>
                <w:szCs w:val="20"/>
              </w:rPr>
              <w:t xml:space="preserve"> sliekšņa</w:t>
            </w:r>
            <w:r w:rsidR="009A71A1">
              <w:rPr>
                <w:rFonts w:ascii="Times New Roman" w:eastAsia="Times New Roman" w:hAnsi="Times New Roman" w:cs="Times New Roman"/>
                <w:color w:val="000000"/>
                <w:sz w:val="20"/>
                <w:szCs w:val="20"/>
              </w:rPr>
              <w:t>, līdz kuram piemēro diferencēto neapliekamo minimumu</w:t>
            </w:r>
            <w:r w:rsidR="00A575F0" w:rsidRPr="00A575F0">
              <w:rPr>
                <w:rFonts w:ascii="Times New Roman" w:eastAsia="Times New Roman" w:hAnsi="Times New Roman" w:cs="Times New Roman"/>
                <w:color w:val="000000"/>
                <w:sz w:val="20"/>
                <w:szCs w:val="20"/>
              </w:rPr>
              <w:t xml:space="preserve"> paaugstināšana līdz 1 800 euro mēnesī  </w:t>
            </w:r>
          </w:p>
        </w:tc>
        <w:tc>
          <w:tcPr>
            <w:tcW w:w="2126" w:type="dxa"/>
            <w:tcBorders>
              <w:top w:val="nil"/>
              <w:left w:val="nil"/>
              <w:bottom w:val="single" w:sz="4" w:space="0" w:color="auto"/>
              <w:right w:val="single" w:sz="4" w:space="0" w:color="auto"/>
            </w:tcBorders>
            <w:shd w:val="clear" w:color="auto" w:fill="auto"/>
            <w:vAlign w:val="center"/>
            <w:hideMark/>
          </w:tcPr>
          <w:p w14:paraId="7E5F1AA6"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IIN</w:t>
            </w:r>
          </w:p>
        </w:tc>
        <w:tc>
          <w:tcPr>
            <w:tcW w:w="850" w:type="dxa"/>
            <w:tcBorders>
              <w:top w:val="nil"/>
              <w:left w:val="nil"/>
              <w:bottom w:val="single" w:sz="4" w:space="0" w:color="auto"/>
              <w:right w:val="single" w:sz="4" w:space="0" w:color="auto"/>
            </w:tcBorders>
            <w:shd w:val="clear" w:color="auto" w:fill="auto"/>
            <w:noWrap/>
            <w:vAlign w:val="center"/>
            <w:hideMark/>
          </w:tcPr>
          <w:p w14:paraId="218E4A7E"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-38,1</w:t>
            </w:r>
          </w:p>
        </w:tc>
        <w:tc>
          <w:tcPr>
            <w:tcW w:w="851" w:type="dxa"/>
            <w:tcBorders>
              <w:top w:val="nil"/>
              <w:left w:val="nil"/>
              <w:bottom w:val="single" w:sz="4" w:space="0" w:color="auto"/>
              <w:right w:val="single" w:sz="4" w:space="0" w:color="auto"/>
            </w:tcBorders>
            <w:shd w:val="clear" w:color="auto" w:fill="auto"/>
            <w:noWrap/>
            <w:vAlign w:val="center"/>
            <w:hideMark/>
          </w:tcPr>
          <w:p w14:paraId="6ACC84BC"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-41,6</w:t>
            </w:r>
          </w:p>
        </w:tc>
        <w:tc>
          <w:tcPr>
            <w:tcW w:w="850" w:type="dxa"/>
            <w:tcBorders>
              <w:top w:val="nil"/>
              <w:left w:val="nil"/>
              <w:bottom w:val="single" w:sz="4" w:space="0" w:color="auto"/>
              <w:right w:val="single" w:sz="4" w:space="0" w:color="auto"/>
            </w:tcBorders>
            <w:shd w:val="clear" w:color="auto" w:fill="auto"/>
            <w:noWrap/>
            <w:vAlign w:val="center"/>
            <w:hideMark/>
          </w:tcPr>
          <w:p w14:paraId="430D0CA5"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-41,6</w:t>
            </w:r>
          </w:p>
        </w:tc>
      </w:tr>
      <w:tr w:rsidR="00A575F0" w:rsidRPr="00A575F0" w14:paraId="69FAD797" w14:textId="77777777" w:rsidTr="00A575F0">
        <w:trPr>
          <w:trHeight w:val="315"/>
        </w:trPr>
        <w:tc>
          <w:tcPr>
            <w:tcW w:w="4390" w:type="dxa"/>
            <w:vMerge w:val="restart"/>
            <w:tcBorders>
              <w:top w:val="nil"/>
              <w:left w:val="single" w:sz="4" w:space="0" w:color="auto"/>
              <w:bottom w:val="single" w:sz="4" w:space="0" w:color="000000"/>
              <w:right w:val="single" w:sz="4" w:space="0" w:color="auto"/>
            </w:tcBorders>
            <w:shd w:val="clear" w:color="auto" w:fill="auto"/>
            <w:hideMark/>
          </w:tcPr>
          <w:p w14:paraId="44C3B417" w14:textId="77777777" w:rsidR="00A575F0" w:rsidRPr="00A575F0" w:rsidRDefault="00A575F0" w:rsidP="00A575F0">
            <w:pP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Minimālā VSAOI apmēra ieviešana un alternatīvo nodokļu (tostarp mikrouzņēmuma) režīmu reorganizēšana (IIN sadales proporcija 25%/75%, pasākumā IIN proporcijas maiņa ir iekļauta attiecīgā pasākuma ietekmes izmaiņas uz budžetiem)</w:t>
            </w:r>
          </w:p>
        </w:tc>
        <w:tc>
          <w:tcPr>
            <w:tcW w:w="2126" w:type="dxa"/>
            <w:tcBorders>
              <w:top w:val="nil"/>
              <w:left w:val="nil"/>
              <w:bottom w:val="single" w:sz="4" w:space="0" w:color="auto"/>
              <w:right w:val="single" w:sz="4" w:space="0" w:color="auto"/>
            </w:tcBorders>
            <w:shd w:val="clear" w:color="auto" w:fill="auto"/>
            <w:vAlign w:val="center"/>
            <w:hideMark/>
          </w:tcPr>
          <w:p w14:paraId="22E0AC27"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IIN</w:t>
            </w:r>
          </w:p>
        </w:tc>
        <w:tc>
          <w:tcPr>
            <w:tcW w:w="850" w:type="dxa"/>
            <w:tcBorders>
              <w:top w:val="nil"/>
              <w:left w:val="nil"/>
              <w:bottom w:val="single" w:sz="4" w:space="0" w:color="auto"/>
              <w:right w:val="single" w:sz="4" w:space="0" w:color="auto"/>
            </w:tcBorders>
            <w:shd w:val="clear" w:color="auto" w:fill="auto"/>
            <w:noWrap/>
            <w:vAlign w:val="center"/>
            <w:hideMark/>
          </w:tcPr>
          <w:p w14:paraId="203906D2"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12,9</w:t>
            </w:r>
          </w:p>
        </w:tc>
        <w:tc>
          <w:tcPr>
            <w:tcW w:w="851" w:type="dxa"/>
            <w:tcBorders>
              <w:top w:val="nil"/>
              <w:left w:val="nil"/>
              <w:bottom w:val="single" w:sz="4" w:space="0" w:color="auto"/>
              <w:right w:val="single" w:sz="4" w:space="0" w:color="auto"/>
            </w:tcBorders>
            <w:shd w:val="clear" w:color="auto" w:fill="auto"/>
            <w:noWrap/>
            <w:vAlign w:val="center"/>
            <w:hideMark/>
          </w:tcPr>
          <w:p w14:paraId="46C7780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17,2</w:t>
            </w:r>
          </w:p>
        </w:tc>
        <w:tc>
          <w:tcPr>
            <w:tcW w:w="850" w:type="dxa"/>
            <w:tcBorders>
              <w:top w:val="nil"/>
              <w:left w:val="nil"/>
              <w:bottom w:val="single" w:sz="4" w:space="0" w:color="auto"/>
              <w:right w:val="single" w:sz="4" w:space="0" w:color="auto"/>
            </w:tcBorders>
            <w:shd w:val="clear" w:color="auto" w:fill="auto"/>
            <w:noWrap/>
            <w:vAlign w:val="center"/>
            <w:hideMark/>
          </w:tcPr>
          <w:p w14:paraId="6D54D1A0"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17,2</w:t>
            </w:r>
          </w:p>
        </w:tc>
      </w:tr>
      <w:tr w:rsidR="00A575F0" w:rsidRPr="00A575F0" w14:paraId="514C81EB" w14:textId="77777777" w:rsidTr="00A575F0">
        <w:trPr>
          <w:trHeight w:val="945"/>
        </w:trPr>
        <w:tc>
          <w:tcPr>
            <w:tcW w:w="4390" w:type="dxa"/>
            <w:vMerge/>
            <w:tcBorders>
              <w:top w:val="nil"/>
              <w:left w:val="single" w:sz="4" w:space="0" w:color="auto"/>
              <w:bottom w:val="single" w:sz="4" w:space="0" w:color="000000"/>
              <w:right w:val="single" w:sz="4" w:space="0" w:color="auto"/>
            </w:tcBorders>
            <w:vAlign w:val="center"/>
            <w:hideMark/>
          </w:tcPr>
          <w:p w14:paraId="572DAE6B" w14:textId="77777777" w:rsidR="00A575F0" w:rsidRPr="00A575F0" w:rsidRDefault="00A575F0" w:rsidP="00A575F0">
            <w:pP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0E8934A9" w14:textId="65B8B3E2" w:rsidR="00A575F0" w:rsidRPr="00A575F0" w:rsidRDefault="00A575F0" w:rsidP="00A575F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Sociālie nodokļi kopā</w:t>
            </w:r>
            <w:r w:rsidRPr="00A575F0">
              <w:rPr>
                <w:rFonts w:ascii="Times New Roman" w:eastAsia="Times New Roman" w:hAnsi="Times New Roman" w:cs="Times New Roman"/>
                <w:color w:val="000000"/>
                <w:sz w:val="20"/>
                <w:szCs w:val="20"/>
              </w:rPr>
              <w:t xml:space="preserve"> (solidaritātes nodoklis, 1% veselības finansēšanai un 2.pensiju līmenis)</w:t>
            </w:r>
          </w:p>
        </w:tc>
        <w:tc>
          <w:tcPr>
            <w:tcW w:w="850" w:type="dxa"/>
            <w:tcBorders>
              <w:top w:val="nil"/>
              <w:left w:val="nil"/>
              <w:bottom w:val="single" w:sz="4" w:space="0" w:color="auto"/>
              <w:right w:val="single" w:sz="4" w:space="0" w:color="auto"/>
            </w:tcBorders>
            <w:shd w:val="clear" w:color="auto" w:fill="auto"/>
            <w:noWrap/>
            <w:vAlign w:val="center"/>
            <w:hideMark/>
          </w:tcPr>
          <w:p w14:paraId="40B5FF8D"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72,5</w:t>
            </w:r>
          </w:p>
        </w:tc>
        <w:tc>
          <w:tcPr>
            <w:tcW w:w="851" w:type="dxa"/>
            <w:tcBorders>
              <w:top w:val="nil"/>
              <w:left w:val="nil"/>
              <w:bottom w:val="single" w:sz="4" w:space="0" w:color="auto"/>
              <w:right w:val="single" w:sz="4" w:space="0" w:color="auto"/>
            </w:tcBorders>
            <w:shd w:val="clear" w:color="auto" w:fill="auto"/>
            <w:noWrap/>
            <w:vAlign w:val="center"/>
            <w:hideMark/>
          </w:tcPr>
          <w:p w14:paraId="21199AFE"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158,5</w:t>
            </w:r>
          </w:p>
        </w:tc>
        <w:tc>
          <w:tcPr>
            <w:tcW w:w="850" w:type="dxa"/>
            <w:tcBorders>
              <w:top w:val="nil"/>
              <w:left w:val="nil"/>
              <w:bottom w:val="single" w:sz="4" w:space="0" w:color="auto"/>
              <w:right w:val="single" w:sz="4" w:space="0" w:color="auto"/>
            </w:tcBorders>
            <w:shd w:val="clear" w:color="auto" w:fill="auto"/>
            <w:noWrap/>
            <w:vAlign w:val="center"/>
            <w:hideMark/>
          </w:tcPr>
          <w:p w14:paraId="6E5BC2C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160,3</w:t>
            </w:r>
          </w:p>
        </w:tc>
      </w:tr>
      <w:tr w:rsidR="00A575F0" w:rsidRPr="00A575F0" w14:paraId="5FCC7F2E" w14:textId="77777777" w:rsidTr="00A575F0">
        <w:trPr>
          <w:trHeight w:val="315"/>
        </w:trPr>
        <w:tc>
          <w:tcPr>
            <w:tcW w:w="4390" w:type="dxa"/>
            <w:vMerge w:val="restart"/>
            <w:tcBorders>
              <w:top w:val="nil"/>
              <w:left w:val="single" w:sz="4" w:space="0" w:color="auto"/>
              <w:bottom w:val="single" w:sz="4" w:space="0" w:color="000000"/>
              <w:right w:val="single" w:sz="4" w:space="0" w:color="auto"/>
            </w:tcBorders>
            <w:shd w:val="clear" w:color="auto" w:fill="auto"/>
            <w:hideMark/>
          </w:tcPr>
          <w:p w14:paraId="7F20F998" w14:textId="0FECAB7D" w:rsidR="00A575F0" w:rsidRPr="00A575F0" w:rsidRDefault="00A575F0" w:rsidP="00A575F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Akcīzes nodokļu</w:t>
            </w:r>
            <w:r w:rsidRPr="00A575F0">
              <w:rPr>
                <w:rFonts w:ascii="Times New Roman" w:eastAsia="Times New Roman" w:hAnsi="Times New Roman" w:cs="Times New Roman"/>
                <w:color w:val="000000"/>
                <w:sz w:val="20"/>
                <w:szCs w:val="20"/>
              </w:rPr>
              <w:t xml:space="preserve"> likmju tabakas izstrādājumiem un elektroniskajās cigaretēs izmantojamajiem šķidrumiem paaugstināšana </w:t>
            </w:r>
          </w:p>
        </w:tc>
        <w:tc>
          <w:tcPr>
            <w:tcW w:w="2126" w:type="dxa"/>
            <w:tcBorders>
              <w:top w:val="nil"/>
              <w:left w:val="nil"/>
              <w:bottom w:val="single" w:sz="4" w:space="0" w:color="auto"/>
              <w:right w:val="single" w:sz="4" w:space="0" w:color="auto"/>
            </w:tcBorders>
            <w:shd w:val="clear" w:color="auto" w:fill="auto"/>
            <w:vAlign w:val="center"/>
            <w:hideMark/>
          </w:tcPr>
          <w:p w14:paraId="2F144BA2"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Akcīzes nodoklis</w:t>
            </w:r>
          </w:p>
        </w:tc>
        <w:tc>
          <w:tcPr>
            <w:tcW w:w="850" w:type="dxa"/>
            <w:tcBorders>
              <w:top w:val="nil"/>
              <w:left w:val="nil"/>
              <w:bottom w:val="single" w:sz="4" w:space="0" w:color="auto"/>
              <w:right w:val="single" w:sz="4" w:space="0" w:color="auto"/>
            </w:tcBorders>
            <w:shd w:val="clear" w:color="auto" w:fill="auto"/>
            <w:noWrap/>
            <w:vAlign w:val="center"/>
            <w:hideMark/>
          </w:tcPr>
          <w:p w14:paraId="38A652CE"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4,1</w:t>
            </w:r>
          </w:p>
        </w:tc>
        <w:tc>
          <w:tcPr>
            <w:tcW w:w="851" w:type="dxa"/>
            <w:tcBorders>
              <w:top w:val="nil"/>
              <w:left w:val="nil"/>
              <w:bottom w:val="single" w:sz="4" w:space="0" w:color="auto"/>
              <w:right w:val="single" w:sz="4" w:space="0" w:color="auto"/>
            </w:tcBorders>
            <w:shd w:val="clear" w:color="auto" w:fill="auto"/>
            <w:noWrap/>
            <w:vAlign w:val="center"/>
            <w:hideMark/>
          </w:tcPr>
          <w:p w14:paraId="5FC37137"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auto"/>
            <w:noWrap/>
            <w:vAlign w:val="center"/>
            <w:hideMark/>
          </w:tcPr>
          <w:p w14:paraId="67DB36A6"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11,8</w:t>
            </w:r>
          </w:p>
        </w:tc>
      </w:tr>
      <w:tr w:rsidR="00A575F0" w:rsidRPr="00A575F0" w14:paraId="52D9C455" w14:textId="77777777" w:rsidTr="00326F4A">
        <w:trPr>
          <w:trHeight w:val="315"/>
        </w:trPr>
        <w:tc>
          <w:tcPr>
            <w:tcW w:w="4390" w:type="dxa"/>
            <w:vMerge/>
            <w:tcBorders>
              <w:top w:val="nil"/>
              <w:left w:val="single" w:sz="4" w:space="0" w:color="auto"/>
              <w:bottom w:val="single" w:sz="4" w:space="0" w:color="auto"/>
              <w:right w:val="single" w:sz="4" w:space="0" w:color="auto"/>
            </w:tcBorders>
            <w:vAlign w:val="center"/>
            <w:hideMark/>
          </w:tcPr>
          <w:p w14:paraId="4337F1BC" w14:textId="77777777" w:rsidR="00A575F0" w:rsidRPr="00A575F0" w:rsidRDefault="00A575F0" w:rsidP="00A575F0">
            <w:pP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544193F6"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PVN</w:t>
            </w:r>
          </w:p>
        </w:tc>
        <w:tc>
          <w:tcPr>
            <w:tcW w:w="850" w:type="dxa"/>
            <w:tcBorders>
              <w:top w:val="nil"/>
              <w:left w:val="nil"/>
              <w:bottom w:val="single" w:sz="4" w:space="0" w:color="auto"/>
              <w:right w:val="single" w:sz="4" w:space="0" w:color="auto"/>
            </w:tcBorders>
            <w:shd w:val="clear" w:color="auto" w:fill="auto"/>
            <w:noWrap/>
            <w:vAlign w:val="center"/>
            <w:hideMark/>
          </w:tcPr>
          <w:p w14:paraId="72D615F6"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0,9</w:t>
            </w:r>
          </w:p>
        </w:tc>
        <w:tc>
          <w:tcPr>
            <w:tcW w:w="851" w:type="dxa"/>
            <w:tcBorders>
              <w:top w:val="nil"/>
              <w:left w:val="nil"/>
              <w:bottom w:val="single" w:sz="4" w:space="0" w:color="auto"/>
              <w:right w:val="single" w:sz="4" w:space="0" w:color="auto"/>
            </w:tcBorders>
            <w:shd w:val="clear" w:color="auto" w:fill="auto"/>
            <w:noWrap/>
            <w:vAlign w:val="center"/>
            <w:hideMark/>
          </w:tcPr>
          <w:p w14:paraId="1A157727"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1,9</w:t>
            </w:r>
          </w:p>
        </w:tc>
        <w:tc>
          <w:tcPr>
            <w:tcW w:w="850" w:type="dxa"/>
            <w:tcBorders>
              <w:top w:val="nil"/>
              <w:left w:val="nil"/>
              <w:bottom w:val="single" w:sz="4" w:space="0" w:color="auto"/>
              <w:right w:val="single" w:sz="4" w:space="0" w:color="auto"/>
            </w:tcBorders>
            <w:shd w:val="clear" w:color="auto" w:fill="auto"/>
            <w:noWrap/>
            <w:vAlign w:val="center"/>
            <w:hideMark/>
          </w:tcPr>
          <w:p w14:paraId="4488E584"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2,5</w:t>
            </w:r>
          </w:p>
        </w:tc>
      </w:tr>
      <w:tr w:rsidR="00A575F0" w:rsidRPr="00A575F0" w14:paraId="3B2FB043" w14:textId="77777777" w:rsidTr="00326F4A">
        <w:trPr>
          <w:trHeight w:val="551"/>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4DC062" w14:textId="22401EBD" w:rsidR="00A575F0" w:rsidRPr="00A575F0" w:rsidRDefault="00326F4A" w:rsidP="00326F4A">
            <w:pPr>
              <w:rPr>
                <w:rFonts w:ascii="Times New Roman" w:eastAsia="Times New Roman" w:hAnsi="Times New Roman" w:cs="Times New Roman"/>
                <w:color w:val="000000"/>
                <w:sz w:val="20"/>
                <w:szCs w:val="20"/>
              </w:rPr>
            </w:pPr>
            <w:r w:rsidRPr="00326F4A">
              <w:rPr>
                <w:rFonts w:ascii="Times New Roman" w:eastAsia="Times New Roman" w:hAnsi="Times New Roman" w:cs="Times New Roman"/>
                <w:color w:val="000000"/>
                <w:sz w:val="20"/>
                <w:szCs w:val="20"/>
              </w:rPr>
              <w:t>Transportlīdzekļu ekspluatācijas nodokļa likmju izmaiņas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CDA185D" w14:textId="7551CC69" w:rsidR="00A575F0" w:rsidRPr="00A575F0" w:rsidRDefault="00A575F0" w:rsidP="00326F4A">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Transportl</w:t>
            </w:r>
            <w:r w:rsidR="00326F4A">
              <w:rPr>
                <w:rFonts w:ascii="Times New Roman" w:eastAsia="Times New Roman" w:hAnsi="Times New Roman" w:cs="Times New Roman"/>
                <w:color w:val="000000"/>
                <w:sz w:val="20"/>
                <w:szCs w:val="20"/>
              </w:rPr>
              <w:t>īdzekļu ekspluatācijas nodoklis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E57A6E" w14:textId="467C795D" w:rsidR="00A575F0" w:rsidRPr="00A575F0" w:rsidRDefault="00326F4A" w:rsidP="00A575F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F96B537" w14:textId="4169D905" w:rsidR="00A575F0" w:rsidRPr="00A575F0" w:rsidRDefault="00326F4A" w:rsidP="00A575F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B2BDFF" w14:textId="3F0575BF" w:rsidR="00A575F0" w:rsidRPr="00A575F0" w:rsidRDefault="00326F4A" w:rsidP="00A575F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r>
      <w:tr w:rsidR="00A575F0" w:rsidRPr="00A575F0" w14:paraId="2B98F22A" w14:textId="77777777" w:rsidTr="00A575F0">
        <w:trPr>
          <w:trHeight w:val="315"/>
        </w:trPr>
        <w:tc>
          <w:tcPr>
            <w:tcW w:w="4390" w:type="dxa"/>
            <w:vMerge w:val="restart"/>
            <w:tcBorders>
              <w:top w:val="nil"/>
              <w:left w:val="single" w:sz="4" w:space="0" w:color="auto"/>
              <w:bottom w:val="single" w:sz="4" w:space="0" w:color="000000"/>
              <w:right w:val="single" w:sz="4" w:space="0" w:color="auto"/>
            </w:tcBorders>
            <w:shd w:val="clear" w:color="auto" w:fill="auto"/>
            <w:hideMark/>
          </w:tcPr>
          <w:p w14:paraId="2F89BEE7" w14:textId="77777777" w:rsidR="00A575F0" w:rsidRPr="00A575F0" w:rsidRDefault="00A575F0" w:rsidP="00A575F0">
            <w:pP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Atgriezeniskais efekts no algu palielināšanas (IIN sadales proporcija 20%/80%, pasākumā IIN proporcijas maiņa jau ir iekļauta attiecīgā pasākuma ietekmes izmaiņas uz budžetiem)</w:t>
            </w:r>
          </w:p>
        </w:tc>
        <w:tc>
          <w:tcPr>
            <w:tcW w:w="2126" w:type="dxa"/>
            <w:tcBorders>
              <w:top w:val="nil"/>
              <w:left w:val="nil"/>
              <w:bottom w:val="single" w:sz="4" w:space="0" w:color="auto"/>
              <w:right w:val="single" w:sz="4" w:space="0" w:color="auto"/>
            </w:tcBorders>
            <w:shd w:val="clear" w:color="auto" w:fill="auto"/>
            <w:vAlign w:val="center"/>
            <w:hideMark/>
          </w:tcPr>
          <w:p w14:paraId="526D5F1C"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IIN</w:t>
            </w:r>
          </w:p>
        </w:tc>
        <w:tc>
          <w:tcPr>
            <w:tcW w:w="850" w:type="dxa"/>
            <w:tcBorders>
              <w:top w:val="nil"/>
              <w:left w:val="nil"/>
              <w:bottom w:val="single" w:sz="4" w:space="0" w:color="auto"/>
              <w:right w:val="single" w:sz="4" w:space="0" w:color="auto"/>
            </w:tcBorders>
            <w:shd w:val="clear" w:color="auto" w:fill="auto"/>
            <w:noWrap/>
            <w:vAlign w:val="center"/>
            <w:hideMark/>
          </w:tcPr>
          <w:p w14:paraId="48E6A20B"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32,1</w:t>
            </w:r>
          </w:p>
        </w:tc>
        <w:tc>
          <w:tcPr>
            <w:tcW w:w="851" w:type="dxa"/>
            <w:tcBorders>
              <w:top w:val="nil"/>
              <w:left w:val="nil"/>
              <w:bottom w:val="single" w:sz="4" w:space="0" w:color="auto"/>
              <w:right w:val="single" w:sz="4" w:space="0" w:color="auto"/>
            </w:tcBorders>
            <w:shd w:val="clear" w:color="auto" w:fill="auto"/>
            <w:noWrap/>
            <w:vAlign w:val="center"/>
            <w:hideMark/>
          </w:tcPr>
          <w:p w14:paraId="52E356E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36,4</w:t>
            </w:r>
          </w:p>
        </w:tc>
        <w:tc>
          <w:tcPr>
            <w:tcW w:w="850" w:type="dxa"/>
            <w:tcBorders>
              <w:top w:val="nil"/>
              <w:left w:val="nil"/>
              <w:bottom w:val="single" w:sz="4" w:space="0" w:color="auto"/>
              <w:right w:val="single" w:sz="4" w:space="0" w:color="auto"/>
            </w:tcBorders>
            <w:shd w:val="clear" w:color="auto" w:fill="auto"/>
            <w:noWrap/>
            <w:vAlign w:val="center"/>
            <w:hideMark/>
          </w:tcPr>
          <w:p w14:paraId="768A1D74"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40,5</w:t>
            </w:r>
          </w:p>
        </w:tc>
      </w:tr>
      <w:tr w:rsidR="00A575F0" w:rsidRPr="00A575F0" w14:paraId="5124C199" w14:textId="77777777" w:rsidTr="00A575F0">
        <w:trPr>
          <w:trHeight w:val="315"/>
        </w:trPr>
        <w:tc>
          <w:tcPr>
            <w:tcW w:w="4390" w:type="dxa"/>
            <w:vMerge/>
            <w:tcBorders>
              <w:top w:val="nil"/>
              <w:left w:val="single" w:sz="4" w:space="0" w:color="auto"/>
              <w:bottom w:val="single" w:sz="4" w:space="0" w:color="000000"/>
              <w:right w:val="single" w:sz="4" w:space="0" w:color="auto"/>
            </w:tcBorders>
            <w:vAlign w:val="center"/>
            <w:hideMark/>
          </w:tcPr>
          <w:p w14:paraId="258EF506" w14:textId="77777777" w:rsidR="00A575F0" w:rsidRPr="00A575F0" w:rsidRDefault="00A575F0" w:rsidP="00A575F0">
            <w:pP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785AB0C2"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PVN</w:t>
            </w:r>
          </w:p>
        </w:tc>
        <w:tc>
          <w:tcPr>
            <w:tcW w:w="850" w:type="dxa"/>
            <w:tcBorders>
              <w:top w:val="nil"/>
              <w:left w:val="nil"/>
              <w:bottom w:val="single" w:sz="4" w:space="0" w:color="auto"/>
              <w:right w:val="single" w:sz="4" w:space="0" w:color="auto"/>
            </w:tcBorders>
            <w:shd w:val="clear" w:color="auto" w:fill="auto"/>
            <w:noWrap/>
            <w:vAlign w:val="center"/>
            <w:hideMark/>
          </w:tcPr>
          <w:p w14:paraId="4A3BEA8D"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25,7</w:t>
            </w:r>
          </w:p>
        </w:tc>
        <w:tc>
          <w:tcPr>
            <w:tcW w:w="851" w:type="dxa"/>
            <w:tcBorders>
              <w:top w:val="nil"/>
              <w:left w:val="nil"/>
              <w:bottom w:val="single" w:sz="4" w:space="0" w:color="auto"/>
              <w:right w:val="single" w:sz="4" w:space="0" w:color="auto"/>
            </w:tcBorders>
            <w:shd w:val="clear" w:color="auto" w:fill="auto"/>
            <w:noWrap/>
            <w:vAlign w:val="center"/>
            <w:hideMark/>
          </w:tcPr>
          <w:p w14:paraId="77A2089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29,1</w:t>
            </w:r>
          </w:p>
        </w:tc>
        <w:tc>
          <w:tcPr>
            <w:tcW w:w="850" w:type="dxa"/>
            <w:tcBorders>
              <w:top w:val="nil"/>
              <w:left w:val="nil"/>
              <w:bottom w:val="single" w:sz="4" w:space="0" w:color="auto"/>
              <w:right w:val="single" w:sz="4" w:space="0" w:color="auto"/>
            </w:tcBorders>
            <w:shd w:val="clear" w:color="auto" w:fill="auto"/>
            <w:noWrap/>
            <w:vAlign w:val="center"/>
            <w:hideMark/>
          </w:tcPr>
          <w:p w14:paraId="1E30CC92"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32,4</w:t>
            </w:r>
          </w:p>
        </w:tc>
      </w:tr>
      <w:tr w:rsidR="00A575F0" w:rsidRPr="00A575F0" w14:paraId="6AE2A85A" w14:textId="77777777" w:rsidTr="003D0245">
        <w:trPr>
          <w:trHeight w:val="945"/>
        </w:trPr>
        <w:tc>
          <w:tcPr>
            <w:tcW w:w="4390" w:type="dxa"/>
            <w:vMerge/>
            <w:tcBorders>
              <w:top w:val="nil"/>
              <w:left w:val="single" w:sz="4" w:space="0" w:color="auto"/>
              <w:bottom w:val="single" w:sz="4" w:space="0" w:color="auto"/>
              <w:right w:val="single" w:sz="4" w:space="0" w:color="auto"/>
            </w:tcBorders>
            <w:vAlign w:val="center"/>
            <w:hideMark/>
          </w:tcPr>
          <w:p w14:paraId="0A23EC24" w14:textId="77777777" w:rsidR="00A575F0" w:rsidRPr="00A575F0" w:rsidRDefault="00A575F0" w:rsidP="00A575F0">
            <w:pP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1F26E797" w14:textId="3CA63CFF" w:rsidR="00A575F0" w:rsidRPr="00A575F0" w:rsidRDefault="00A575F0" w:rsidP="00A575F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Sociālie nodokļi kopā</w:t>
            </w:r>
            <w:r w:rsidRPr="00A575F0">
              <w:rPr>
                <w:rFonts w:ascii="Times New Roman" w:eastAsia="Times New Roman" w:hAnsi="Times New Roman" w:cs="Times New Roman"/>
                <w:color w:val="000000"/>
                <w:sz w:val="20"/>
                <w:szCs w:val="20"/>
              </w:rPr>
              <w:t xml:space="preserve"> (solidaritātes nodoklis, 1% veselības finansēšanai un 2.pensiju līmenis)</w:t>
            </w:r>
          </w:p>
        </w:tc>
        <w:tc>
          <w:tcPr>
            <w:tcW w:w="850" w:type="dxa"/>
            <w:tcBorders>
              <w:top w:val="nil"/>
              <w:left w:val="nil"/>
              <w:bottom w:val="single" w:sz="4" w:space="0" w:color="auto"/>
              <w:right w:val="single" w:sz="4" w:space="0" w:color="auto"/>
            </w:tcBorders>
            <w:shd w:val="clear" w:color="auto" w:fill="auto"/>
            <w:noWrap/>
            <w:vAlign w:val="center"/>
            <w:hideMark/>
          </w:tcPr>
          <w:p w14:paraId="328F3C6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63,2</w:t>
            </w:r>
          </w:p>
        </w:tc>
        <w:tc>
          <w:tcPr>
            <w:tcW w:w="851" w:type="dxa"/>
            <w:tcBorders>
              <w:top w:val="nil"/>
              <w:left w:val="nil"/>
              <w:bottom w:val="single" w:sz="4" w:space="0" w:color="auto"/>
              <w:right w:val="single" w:sz="4" w:space="0" w:color="auto"/>
            </w:tcBorders>
            <w:shd w:val="clear" w:color="auto" w:fill="auto"/>
            <w:noWrap/>
            <w:vAlign w:val="center"/>
            <w:hideMark/>
          </w:tcPr>
          <w:p w14:paraId="3C0D5698"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71,7</w:t>
            </w:r>
          </w:p>
        </w:tc>
        <w:tc>
          <w:tcPr>
            <w:tcW w:w="850" w:type="dxa"/>
            <w:tcBorders>
              <w:top w:val="nil"/>
              <w:left w:val="nil"/>
              <w:bottom w:val="single" w:sz="4" w:space="0" w:color="auto"/>
              <w:right w:val="single" w:sz="4" w:space="0" w:color="auto"/>
            </w:tcBorders>
            <w:shd w:val="clear" w:color="auto" w:fill="auto"/>
            <w:noWrap/>
            <w:vAlign w:val="center"/>
            <w:hideMark/>
          </w:tcPr>
          <w:p w14:paraId="66BFE5E0"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79,8</w:t>
            </w:r>
          </w:p>
        </w:tc>
      </w:tr>
      <w:tr w:rsidR="00A575F0" w:rsidRPr="00A575F0" w14:paraId="7722666B" w14:textId="77777777" w:rsidTr="003D0245">
        <w:trPr>
          <w:trHeight w:val="1171"/>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6166B4" w14:textId="35C3BBB5" w:rsidR="00A575F0" w:rsidRPr="00A575F0" w:rsidRDefault="00A575F0" w:rsidP="00A575F0">
            <w:pP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 xml:space="preserve">Kompensācijas neparedzēšana Rīgas pašvaldībai saistībā ar tās </w:t>
            </w:r>
            <w:r>
              <w:rPr>
                <w:rFonts w:ascii="Times New Roman" w:eastAsia="Times New Roman" w:hAnsi="Times New Roman" w:cs="Times New Roman"/>
                <w:color w:val="000000"/>
                <w:sz w:val="20"/>
                <w:szCs w:val="20"/>
              </w:rPr>
              <w:t xml:space="preserve">kontrolētās kapitālsabiedrības </w:t>
            </w:r>
            <w:r w:rsidRPr="00A575F0">
              <w:rPr>
                <w:rFonts w:ascii="Times New Roman" w:eastAsia="Times New Roman" w:hAnsi="Times New Roman" w:cs="Times New Roman"/>
                <w:color w:val="000000"/>
                <w:sz w:val="20"/>
                <w:szCs w:val="20"/>
              </w:rPr>
              <w:t>“Rīgas satiksme” radīto fiskālo ietekmi uz vispārējās valdības budžeta bilanci (valsts budžeta ieņēmumu klasifikācijas kods 12.3.9.9.)</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7ADD157"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Nenodokļi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2450185"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-10,1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584288"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0FD0E82"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 </w:t>
            </w:r>
          </w:p>
        </w:tc>
      </w:tr>
      <w:tr w:rsidR="00A575F0" w:rsidRPr="00A575F0" w14:paraId="25481389" w14:textId="77777777" w:rsidTr="00A575F0">
        <w:trPr>
          <w:trHeight w:val="126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DC004DD" w14:textId="46757D83" w:rsidR="00A575F0" w:rsidRPr="00A575F0" w:rsidRDefault="00A575F0" w:rsidP="00A575F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Dabas resursu nodokļa</w:t>
            </w:r>
            <w:r w:rsidRPr="00A575F0">
              <w:rPr>
                <w:rFonts w:ascii="Times New Roman" w:eastAsia="Times New Roman" w:hAnsi="Times New Roman" w:cs="Times New Roman"/>
                <w:color w:val="000000"/>
                <w:sz w:val="20"/>
                <w:szCs w:val="20"/>
              </w:rPr>
              <w:t xml:space="preserve"> likmju paaugstināšana par atkritumu apglabāšanu, gaisa piesārņošanu un nodokļa maksājuma par C kat. piesārņojošu darbību paaugstināšana un atbrīvojumu atcelšana  par CO2 emisijām kūdras izmantošanai stacionārajās tehnoloģiskajās iekārtās</w:t>
            </w:r>
          </w:p>
        </w:tc>
        <w:tc>
          <w:tcPr>
            <w:tcW w:w="2126" w:type="dxa"/>
            <w:tcBorders>
              <w:top w:val="nil"/>
              <w:left w:val="nil"/>
              <w:bottom w:val="single" w:sz="4" w:space="0" w:color="auto"/>
              <w:right w:val="single" w:sz="4" w:space="0" w:color="auto"/>
            </w:tcBorders>
            <w:shd w:val="clear" w:color="auto" w:fill="auto"/>
            <w:vAlign w:val="center"/>
            <w:hideMark/>
          </w:tcPr>
          <w:p w14:paraId="4A878500"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Dabas resursu nodoklis</w:t>
            </w:r>
          </w:p>
        </w:tc>
        <w:tc>
          <w:tcPr>
            <w:tcW w:w="850" w:type="dxa"/>
            <w:tcBorders>
              <w:top w:val="nil"/>
              <w:left w:val="nil"/>
              <w:bottom w:val="single" w:sz="4" w:space="0" w:color="auto"/>
              <w:right w:val="single" w:sz="4" w:space="0" w:color="auto"/>
            </w:tcBorders>
            <w:shd w:val="clear" w:color="auto" w:fill="auto"/>
            <w:noWrap/>
            <w:vAlign w:val="center"/>
            <w:hideMark/>
          </w:tcPr>
          <w:p w14:paraId="4C062E6F"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2,6</w:t>
            </w:r>
          </w:p>
        </w:tc>
        <w:tc>
          <w:tcPr>
            <w:tcW w:w="851" w:type="dxa"/>
            <w:tcBorders>
              <w:top w:val="nil"/>
              <w:left w:val="nil"/>
              <w:bottom w:val="single" w:sz="4" w:space="0" w:color="auto"/>
              <w:right w:val="single" w:sz="4" w:space="0" w:color="auto"/>
            </w:tcBorders>
            <w:shd w:val="clear" w:color="auto" w:fill="auto"/>
            <w:noWrap/>
            <w:vAlign w:val="center"/>
            <w:hideMark/>
          </w:tcPr>
          <w:p w14:paraId="24304592"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5,1</w:t>
            </w:r>
          </w:p>
        </w:tc>
        <w:tc>
          <w:tcPr>
            <w:tcW w:w="850" w:type="dxa"/>
            <w:tcBorders>
              <w:top w:val="nil"/>
              <w:left w:val="nil"/>
              <w:bottom w:val="single" w:sz="4" w:space="0" w:color="auto"/>
              <w:right w:val="single" w:sz="4" w:space="0" w:color="auto"/>
            </w:tcBorders>
            <w:shd w:val="clear" w:color="auto" w:fill="auto"/>
            <w:noWrap/>
            <w:vAlign w:val="center"/>
            <w:hideMark/>
          </w:tcPr>
          <w:p w14:paraId="6AE9C56F"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7,3</w:t>
            </w:r>
          </w:p>
        </w:tc>
      </w:tr>
      <w:tr w:rsidR="00A575F0" w:rsidRPr="00A575F0" w14:paraId="07443E8E" w14:textId="77777777" w:rsidTr="00A575F0">
        <w:trPr>
          <w:trHeight w:val="63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9222AF0" w14:textId="77777777" w:rsidR="00A575F0" w:rsidRPr="00A575F0" w:rsidRDefault="00A575F0" w:rsidP="00A575F0">
            <w:pP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PVN samazinātās 5% likmes saglabāšana Latvijai raksturīgajiem augļiem, ogām un dārzeņiem līdz 2023.gada 31.decembrim.</w:t>
            </w:r>
          </w:p>
        </w:tc>
        <w:tc>
          <w:tcPr>
            <w:tcW w:w="2126" w:type="dxa"/>
            <w:tcBorders>
              <w:top w:val="nil"/>
              <w:left w:val="nil"/>
              <w:bottom w:val="single" w:sz="4" w:space="0" w:color="auto"/>
              <w:right w:val="single" w:sz="4" w:space="0" w:color="auto"/>
            </w:tcBorders>
            <w:shd w:val="clear" w:color="auto" w:fill="auto"/>
            <w:vAlign w:val="center"/>
            <w:hideMark/>
          </w:tcPr>
          <w:p w14:paraId="0ED60D8F"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PVN</w:t>
            </w:r>
          </w:p>
        </w:tc>
        <w:tc>
          <w:tcPr>
            <w:tcW w:w="850" w:type="dxa"/>
            <w:tcBorders>
              <w:top w:val="nil"/>
              <w:left w:val="nil"/>
              <w:bottom w:val="single" w:sz="4" w:space="0" w:color="auto"/>
              <w:right w:val="single" w:sz="4" w:space="0" w:color="auto"/>
            </w:tcBorders>
            <w:shd w:val="clear" w:color="auto" w:fill="auto"/>
            <w:noWrap/>
            <w:vAlign w:val="center"/>
            <w:hideMark/>
          </w:tcPr>
          <w:p w14:paraId="44D2EEA8"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-3,0</w:t>
            </w:r>
          </w:p>
        </w:tc>
        <w:tc>
          <w:tcPr>
            <w:tcW w:w="851" w:type="dxa"/>
            <w:tcBorders>
              <w:top w:val="nil"/>
              <w:left w:val="nil"/>
              <w:bottom w:val="single" w:sz="4" w:space="0" w:color="auto"/>
              <w:right w:val="single" w:sz="4" w:space="0" w:color="auto"/>
            </w:tcBorders>
            <w:shd w:val="clear" w:color="auto" w:fill="auto"/>
            <w:noWrap/>
            <w:vAlign w:val="center"/>
            <w:hideMark/>
          </w:tcPr>
          <w:p w14:paraId="6B1A7659"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-3,0</w:t>
            </w:r>
          </w:p>
        </w:tc>
        <w:tc>
          <w:tcPr>
            <w:tcW w:w="850" w:type="dxa"/>
            <w:tcBorders>
              <w:top w:val="nil"/>
              <w:left w:val="nil"/>
              <w:bottom w:val="single" w:sz="4" w:space="0" w:color="auto"/>
              <w:right w:val="single" w:sz="4" w:space="0" w:color="auto"/>
            </w:tcBorders>
            <w:shd w:val="clear" w:color="auto" w:fill="auto"/>
            <w:noWrap/>
            <w:vAlign w:val="center"/>
            <w:hideMark/>
          </w:tcPr>
          <w:p w14:paraId="713B33EF" w14:textId="77777777" w:rsidR="00A575F0" w:rsidRPr="00A575F0" w:rsidRDefault="00A575F0" w:rsidP="00A575F0">
            <w:pPr>
              <w:jc w:val="center"/>
              <w:rPr>
                <w:rFonts w:ascii="Times New Roman" w:eastAsia="Times New Roman" w:hAnsi="Times New Roman" w:cs="Times New Roman"/>
                <w:color w:val="000000"/>
                <w:sz w:val="20"/>
                <w:szCs w:val="20"/>
              </w:rPr>
            </w:pPr>
            <w:r w:rsidRPr="00A575F0">
              <w:rPr>
                <w:rFonts w:ascii="Times New Roman" w:eastAsia="Times New Roman" w:hAnsi="Times New Roman" w:cs="Times New Roman"/>
                <w:color w:val="000000"/>
                <w:sz w:val="20"/>
                <w:szCs w:val="20"/>
              </w:rPr>
              <w:t>-3,0</w:t>
            </w:r>
          </w:p>
        </w:tc>
      </w:tr>
    </w:tbl>
    <w:p w14:paraId="0A9A2E15" w14:textId="77777777" w:rsidR="00717AA4" w:rsidRPr="00BF3C9F" w:rsidRDefault="00717AA4" w:rsidP="00401A5B">
      <w:pPr>
        <w:widowControl w:val="0"/>
        <w:ind w:firstLine="709"/>
        <w:jc w:val="both"/>
        <w:rPr>
          <w:rFonts w:ascii="Times New Roman" w:eastAsia="Times New Roman" w:hAnsi="Times New Roman" w:cs="Times New Roman"/>
          <w:color w:val="000000"/>
          <w:sz w:val="24"/>
          <w:highlight w:val="yellow"/>
        </w:rPr>
      </w:pPr>
    </w:p>
    <w:p w14:paraId="7216424B" w14:textId="5B68E8BC" w:rsidR="003F3FCD" w:rsidRPr="00A575F0" w:rsidRDefault="000548A5" w:rsidP="00401A5B">
      <w:pPr>
        <w:widowControl w:val="0"/>
        <w:ind w:firstLine="709"/>
        <w:jc w:val="both"/>
        <w:rPr>
          <w:rFonts w:ascii="Times New Roman" w:eastAsia="Times New Roman" w:hAnsi="Times New Roman" w:cs="Times New Roman"/>
          <w:color w:val="000000"/>
          <w:sz w:val="28"/>
        </w:rPr>
      </w:pPr>
      <w:r w:rsidRPr="00A575F0">
        <w:rPr>
          <w:rFonts w:ascii="Times New Roman" w:eastAsia="Times New Roman" w:hAnsi="Times New Roman" w:cs="Times New Roman"/>
          <w:color w:val="000000"/>
          <w:sz w:val="28"/>
        </w:rPr>
        <w:t>Vienlaikus, MK lēma par finansējuma palielinājumu vidēja termiņa prioritā</w:t>
      </w:r>
      <w:r w:rsidR="00A575F0" w:rsidRPr="00A575F0">
        <w:rPr>
          <w:rFonts w:ascii="Times New Roman" w:eastAsia="Times New Roman" w:hAnsi="Times New Roman" w:cs="Times New Roman"/>
          <w:color w:val="000000"/>
          <w:sz w:val="28"/>
        </w:rPr>
        <w:t>rajiem virzieniem un 2.7</w:t>
      </w:r>
      <w:r w:rsidRPr="00A575F0">
        <w:rPr>
          <w:rFonts w:ascii="Times New Roman" w:eastAsia="Times New Roman" w:hAnsi="Times New Roman" w:cs="Times New Roman"/>
          <w:color w:val="000000"/>
          <w:sz w:val="28"/>
        </w:rPr>
        <w:t>.</w:t>
      </w:r>
      <w:r w:rsidR="00A575F0" w:rsidRPr="00A575F0">
        <w:rPr>
          <w:rFonts w:ascii="Times New Roman" w:eastAsia="Times New Roman" w:hAnsi="Times New Roman" w:cs="Times New Roman"/>
          <w:color w:val="000000"/>
          <w:sz w:val="28"/>
        </w:rPr>
        <w:t>tabulā</w:t>
      </w:r>
      <w:r w:rsidRPr="00A575F0">
        <w:rPr>
          <w:rFonts w:ascii="Times New Roman" w:eastAsia="Times New Roman" w:hAnsi="Times New Roman" w:cs="Times New Roman"/>
          <w:color w:val="000000"/>
          <w:sz w:val="28"/>
        </w:rPr>
        <w:t xml:space="preserve"> ir apkopoti būtiskākie izdevumu pasākumi. </w:t>
      </w:r>
    </w:p>
    <w:p w14:paraId="5AFA30A1" w14:textId="77777777" w:rsidR="003F3FCD" w:rsidRPr="00BF3C9F" w:rsidRDefault="003F3FCD" w:rsidP="00401A5B">
      <w:pPr>
        <w:widowControl w:val="0"/>
        <w:rPr>
          <w:rFonts w:ascii="Calibri" w:eastAsia="Calibri" w:hAnsi="Calibri" w:cs="Calibri"/>
          <w:highlight w:val="yellow"/>
        </w:rPr>
      </w:pPr>
    </w:p>
    <w:p w14:paraId="4B287438" w14:textId="7EC1D78F" w:rsidR="003F3FCD" w:rsidRDefault="00A575F0" w:rsidP="00401A5B">
      <w:pPr>
        <w:widowControl w:val="0"/>
        <w:jc w:val="right"/>
        <w:rPr>
          <w:rFonts w:ascii="Times New Roman" w:eastAsia="Times New Roman" w:hAnsi="Times New Roman" w:cs="Times New Roman"/>
          <w:b/>
          <w:i/>
          <w:color w:val="000000"/>
          <w:sz w:val="24"/>
        </w:rPr>
      </w:pPr>
      <w:r w:rsidRPr="00A575F0">
        <w:rPr>
          <w:rFonts w:ascii="Times New Roman" w:eastAsia="Times New Roman" w:hAnsi="Times New Roman" w:cs="Times New Roman"/>
          <w:b/>
          <w:i/>
          <w:color w:val="000000"/>
          <w:sz w:val="24"/>
        </w:rPr>
        <w:t>2.7</w:t>
      </w:r>
      <w:r w:rsidR="000548A5" w:rsidRPr="00A575F0">
        <w:rPr>
          <w:rFonts w:ascii="Times New Roman" w:eastAsia="Times New Roman" w:hAnsi="Times New Roman" w:cs="Times New Roman"/>
          <w:b/>
          <w:i/>
          <w:color w:val="000000"/>
          <w:sz w:val="24"/>
        </w:rPr>
        <w:t>.tabula. Izdevumu pasākumi virs 0,01% no IKP attiecīgajā gadā</w:t>
      </w:r>
      <w:r>
        <w:rPr>
          <w:rFonts w:ascii="Times New Roman" w:eastAsia="Times New Roman" w:hAnsi="Times New Roman" w:cs="Times New Roman"/>
          <w:b/>
          <w:i/>
          <w:color w:val="000000"/>
          <w:sz w:val="24"/>
        </w:rPr>
        <w:t>, milj. euro</w:t>
      </w:r>
    </w:p>
    <w:tbl>
      <w:tblPr>
        <w:tblW w:w="9067" w:type="dxa"/>
        <w:tblLook w:val="04A0" w:firstRow="1" w:lastRow="0" w:firstColumn="1" w:lastColumn="0" w:noHBand="0" w:noVBand="1"/>
      </w:tblPr>
      <w:tblGrid>
        <w:gridCol w:w="1696"/>
        <w:gridCol w:w="5245"/>
        <w:gridCol w:w="709"/>
        <w:gridCol w:w="709"/>
        <w:gridCol w:w="708"/>
      </w:tblGrid>
      <w:tr w:rsidR="009A71A1" w:rsidRPr="009A71A1" w14:paraId="32712B58" w14:textId="77777777" w:rsidTr="001D6A54">
        <w:trPr>
          <w:trHeight w:val="25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E4BD2" w14:textId="7A91732B" w:rsidR="009A71A1" w:rsidRPr="009A71A1" w:rsidRDefault="009A71A1">
            <w:pPr>
              <w:jc w:val="center"/>
              <w:rPr>
                <w:rFonts w:ascii="Times New Roman" w:hAnsi="Times New Roman" w:cs="Times New Roman"/>
                <w:b/>
                <w:bCs/>
                <w:sz w:val="20"/>
                <w:szCs w:val="20"/>
              </w:rPr>
            </w:pPr>
            <w:r w:rsidRPr="009A71A1">
              <w:rPr>
                <w:rFonts w:ascii="Times New Roman" w:hAnsi="Times New Roman" w:cs="Times New Roman"/>
                <w:b/>
                <w:bCs/>
                <w:sz w:val="20"/>
                <w:szCs w:val="20"/>
              </w:rPr>
              <w:t>Institūcija</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3E3F5CAE" w14:textId="77777777" w:rsidR="009A71A1" w:rsidRPr="009A71A1" w:rsidRDefault="009A71A1">
            <w:pPr>
              <w:jc w:val="center"/>
              <w:rPr>
                <w:rFonts w:ascii="Times New Roman" w:hAnsi="Times New Roman" w:cs="Times New Roman"/>
                <w:b/>
                <w:bCs/>
                <w:sz w:val="20"/>
                <w:szCs w:val="20"/>
              </w:rPr>
            </w:pPr>
            <w:r w:rsidRPr="009A71A1">
              <w:rPr>
                <w:rFonts w:ascii="Times New Roman" w:hAnsi="Times New Roman" w:cs="Times New Roman"/>
                <w:b/>
                <w:bCs/>
                <w:sz w:val="20"/>
                <w:szCs w:val="20"/>
              </w:rPr>
              <w:t>Pasākuma nosaukums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FD34B31" w14:textId="77777777" w:rsidR="009A71A1" w:rsidRPr="009A71A1" w:rsidRDefault="009A71A1">
            <w:pPr>
              <w:jc w:val="center"/>
              <w:rPr>
                <w:rFonts w:ascii="Times New Roman" w:hAnsi="Times New Roman" w:cs="Times New Roman"/>
                <w:b/>
                <w:bCs/>
                <w:sz w:val="20"/>
                <w:szCs w:val="20"/>
              </w:rPr>
            </w:pPr>
            <w:r w:rsidRPr="009A71A1">
              <w:rPr>
                <w:rFonts w:ascii="Times New Roman" w:hAnsi="Times New Roman" w:cs="Times New Roman"/>
                <w:b/>
                <w:bCs/>
                <w:sz w:val="20"/>
                <w:szCs w:val="20"/>
              </w:rPr>
              <w:t>2021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F85153" w14:textId="77777777" w:rsidR="009A71A1" w:rsidRPr="009A71A1" w:rsidRDefault="009A71A1">
            <w:pPr>
              <w:jc w:val="center"/>
              <w:rPr>
                <w:rFonts w:ascii="Times New Roman" w:hAnsi="Times New Roman" w:cs="Times New Roman"/>
                <w:b/>
                <w:bCs/>
                <w:sz w:val="20"/>
                <w:szCs w:val="20"/>
              </w:rPr>
            </w:pPr>
            <w:r w:rsidRPr="009A71A1">
              <w:rPr>
                <w:rFonts w:ascii="Times New Roman" w:hAnsi="Times New Roman" w:cs="Times New Roman"/>
                <w:b/>
                <w:bCs/>
                <w:sz w:val="20"/>
                <w:szCs w:val="20"/>
              </w:rPr>
              <w:t>2022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C548B4F" w14:textId="77777777" w:rsidR="009A71A1" w:rsidRPr="009A71A1" w:rsidRDefault="009A71A1">
            <w:pPr>
              <w:jc w:val="center"/>
              <w:rPr>
                <w:rFonts w:ascii="Times New Roman" w:hAnsi="Times New Roman" w:cs="Times New Roman"/>
                <w:b/>
                <w:bCs/>
                <w:sz w:val="20"/>
                <w:szCs w:val="20"/>
              </w:rPr>
            </w:pPr>
            <w:r w:rsidRPr="009A71A1">
              <w:rPr>
                <w:rFonts w:ascii="Times New Roman" w:hAnsi="Times New Roman" w:cs="Times New Roman"/>
                <w:b/>
                <w:bCs/>
                <w:sz w:val="20"/>
                <w:szCs w:val="20"/>
              </w:rPr>
              <w:t>2023</w:t>
            </w:r>
          </w:p>
        </w:tc>
      </w:tr>
      <w:tr w:rsidR="009A71A1" w:rsidRPr="009A71A1" w14:paraId="4DA8C412"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3A989A0C" w14:textId="2E90232E"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EM</w:t>
            </w:r>
          </w:p>
        </w:tc>
        <w:tc>
          <w:tcPr>
            <w:tcW w:w="5245" w:type="dxa"/>
            <w:tcBorders>
              <w:top w:val="nil"/>
              <w:left w:val="nil"/>
              <w:bottom w:val="single" w:sz="4" w:space="0" w:color="auto"/>
              <w:right w:val="single" w:sz="4" w:space="0" w:color="auto"/>
            </w:tcBorders>
            <w:shd w:val="clear" w:color="000000" w:fill="DDEBF7"/>
            <w:vAlign w:val="bottom"/>
            <w:hideMark/>
          </w:tcPr>
          <w:p w14:paraId="0B5A985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2D936DF1"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0BED87B4"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327BAD01"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24F2D2C5" w14:textId="77777777" w:rsidTr="001D6A54">
        <w:trPr>
          <w:trHeight w:val="10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76D608"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0FFDD58A" w14:textId="12F0A510"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Palielināts finansējum</w:t>
            </w:r>
            <w:r>
              <w:rPr>
                <w:rFonts w:ascii="Times New Roman" w:hAnsi="Times New Roman" w:cs="Times New Roman"/>
                <w:sz w:val="20"/>
                <w:szCs w:val="20"/>
              </w:rPr>
              <w:t>s</w:t>
            </w:r>
            <w:r w:rsidRPr="009A71A1">
              <w:rPr>
                <w:rFonts w:ascii="Times New Roman" w:hAnsi="Times New Roman" w:cs="Times New Roman"/>
                <w:sz w:val="20"/>
                <w:szCs w:val="20"/>
              </w:rPr>
              <w:t xml:space="preserve"> elektroenerģijas lietotāju atbalstam</w:t>
            </w:r>
            <w:r>
              <w:rPr>
                <w:rFonts w:ascii="Times New Roman" w:hAnsi="Times New Roman" w:cs="Times New Roman"/>
                <w:sz w:val="20"/>
                <w:szCs w:val="20"/>
              </w:rPr>
              <w:t xml:space="preserve"> </w:t>
            </w:r>
            <w:r w:rsidRPr="009A71A1">
              <w:rPr>
                <w:rFonts w:ascii="Times New Roman" w:hAnsi="Times New Roman" w:cs="Times New Roman"/>
                <w:sz w:val="20"/>
                <w:szCs w:val="20"/>
              </w:rPr>
              <w:t>(atbilstoši MK 22.09</w:t>
            </w:r>
            <w:r>
              <w:rPr>
                <w:rFonts w:ascii="Times New Roman" w:hAnsi="Times New Roman" w:cs="Times New Roman"/>
                <w:sz w:val="20"/>
                <w:szCs w:val="20"/>
              </w:rPr>
              <w:t>.2020 sēdē izskatītajām konceptuālajam ziņojumam</w:t>
            </w:r>
            <w:r w:rsidRPr="009A71A1">
              <w:rPr>
                <w:rFonts w:ascii="Times New Roman" w:hAnsi="Times New Roman" w:cs="Times New Roman"/>
                <w:sz w:val="20"/>
                <w:szCs w:val="20"/>
              </w:rPr>
              <w:t xml:space="preserve"> “Kompleksi pasākumi obligātā iepirkuma komponentes problemātikas risināšanai un elektroenerģijas tirgus attīstībai”)</w:t>
            </w:r>
          </w:p>
        </w:tc>
        <w:tc>
          <w:tcPr>
            <w:tcW w:w="709" w:type="dxa"/>
            <w:tcBorders>
              <w:top w:val="nil"/>
              <w:left w:val="nil"/>
              <w:bottom w:val="single" w:sz="4" w:space="0" w:color="auto"/>
              <w:right w:val="single" w:sz="4" w:space="0" w:color="auto"/>
            </w:tcBorders>
            <w:shd w:val="clear" w:color="auto" w:fill="auto"/>
            <w:noWrap/>
            <w:vAlign w:val="bottom"/>
            <w:hideMark/>
          </w:tcPr>
          <w:p w14:paraId="17F5C070"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31,6</w:t>
            </w:r>
          </w:p>
        </w:tc>
        <w:tc>
          <w:tcPr>
            <w:tcW w:w="709" w:type="dxa"/>
            <w:tcBorders>
              <w:top w:val="nil"/>
              <w:left w:val="nil"/>
              <w:bottom w:val="single" w:sz="4" w:space="0" w:color="auto"/>
              <w:right w:val="single" w:sz="4" w:space="0" w:color="auto"/>
            </w:tcBorders>
            <w:shd w:val="clear" w:color="auto" w:fill="auto"/>
            <w:noWrap/>
            <w:vAlign w:val="bottom"/>
            <w:hideMark/>
          </w:tcPr>
          <w:p w14:paraId="49E45018"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43,7</w:t>
            </w:r>
          </w:p>
        </w:tc>
        <w:tc>
          <w:tcPr>
            <w:tcW w:w="708" w:type="dxa"/>
            <w:tcBorders>
              <w:top w:val="nil"/>
              <w:left w:val="nil"/>
              <w:bottom w:val="single" w:sz="4" w:space="0" w:color="auto"/>
              <w:right w:val="single" w:sz="4" w:space="0" w:color="auto"/>
            </w:tcBorders>
            <w:shd w:val="clear" w:color="auto" w:fill="auto"/>
            <w:noWrap/>
            <w:vAlign w:val="bottom"/>
            <w:hideMark/>
          </w:tcPr>
          <w:p w14:paraId="56E18687"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33,5</w:t>
            </w:r>
          </w:p>
        </w:tc>
      </w:tr>
      <w:tr w:rsidR="009A71A1" w:rsidRPr="009A71A1" w14:paraId="4A78D136"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28C8E5C"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353E1B24" w14:textId="7A90B69D"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Palielināts finansējum</w:t>
            </w:r>
            <w:r>
              <w:rPr>
                <w:rFonts w:ascii="Times New Roman" w:hAnsi="Times New Roman" w:cs="Times New Roman"/>
                <w:sz w:val="20"/>
                <w:szCs w:val="20"/>
              </w:rPr>
              <w:t>s</w:t>
            </w:r>
            <w:r w:rsidRPr="009A71A1">
              <w:rPr>
                <w:rFonts w:ascii="Times New Roman" w:hAnsi="Times New Roman" w:cs="Times New Roman"/>
                <w:sz w:val="20"/>
                <w:szCs w:val="20"/>
              </w:rPr>
              <w:t xml:space="preserve"> mājokļu garantiju atbalsta programmai (atbilstoši MK 22.09.2020 sēdē lemtajam)</w:t>
            </w:r>
          </w:p>
        </w:tc>
        <w:tc>
          <w:tcPr>
            <w:tcW w:w="709" w:type="dxa"/>
            <w:tcBorders>
              <w:top w:val="nil"/>
              <w:left w:val="nil"/>
              <w:bottom w:val="single" w:sz="4" w:space="0" w:color="auto"/>
              <w:right w:val="single" w:sz="4" w:space="0" w:color="auto"/>
            </w:tcBorders>
            <w:shd w:val="clear" w:color="auto" w:fill="auto"/>
            <w:noWrap/>
            <w:vAlign w:val="bottom"/>
            <w:hideMark/>
          </w:tcPr>
          <w:p w14:paraId="2AA40501"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c>
          <w:tcPr>
            <w:tcW w:w="709" w:type="dxa"/>
            <w:tcBorders>
              <w:top w:val="nil"/>
              <w:left w:val="nil"/>
              <w:bottom w:val="single" w:sz="4" w:space="0" w:color="auto"/>
              <w:right w:val="single" w:sz="4" w:space="0" w:color="auto"/>
            </w:tcBorders>
            <w:shd w:val="clear" w:color="auto" w:fill="auto"/>
            <w:noWrap/>
            <w:vAlign w:val="bottom"/>
            <w:hideMark/>
          </w:tcPr>
          <w:p w14:paraId="7160B16E"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5,5</w:t>
            </w:r>
          </w:p>
        </w:tc>
        <w:tc>
          <w:tcPr>
            <w:tcW w:w="708" w:type="dxa"/>
            <w:tcBorders>
              <w:top w:val="nil"/>
              <w:left w:val="nil"/>
              <w:bottom w:val="single" w:sz="4" w:space="0" w:color="auto"/>
              <w:right w:val="single" w:sz="4" w:space="0" w:color="auto"/>
            </w:tcBorders>
            <w:shd w:val="clear" w:color="auto" w:fill="auto"/>
            <w:noWrap/>
            <w:vAlign w:val="bottom"/>
            <w:hideMark/>
          </w:tcPr>
          <w:p w14:paraId="2583C066"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6,0</w:t>
            </w:r>
          </w:p>
        </w:tc>
      </w:tr>
      <w:tr w:rsidR="009A71A1" w:rsidRPr="009A71A1" w14:paraId="0FD5FC08"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7FEDB63"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2733257B" w14:textId="11517DD8"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Palielināts finansējum</w:t>
            </w:r>
            <w:r>
              <w:rPr>
                <w:rFonts w:ascii="Times New Roman" w:hAnsi="Times New Roman" w:cs="Times New Roman"/>
                <w:sz w:val="20"/>
                <w:szCs w:val="20"/>
              </w:rPr>
              <w:t>s</w:t>
            </w:r>
            <w:r w:rsidRPr="009A71A1">
              <w:rPr>
                <w:rFonts w:ascii="Times New Roman" w:hAnsi="Times New Roman" w:cs="Times New Roman"/>
                <w:sz w:val="20"/>
                <w:szCs w:val="20"/>
              </w:rPr>
              <w:t xml:space="preserve"> PP 12_06_P Mājokļu garantiju atbalsta programma (atbilstoši MK 22.09.2020 sēdē lemtajam)</w:t>
            </w:r>
          </w:p>
        </w:tc>
        <w:tc>
          <w:tcPr>
            <w:tcW w:w="709" w:type="dxa"/>
            <w:tcBorders>
              <w:top w:val="nil"/>
              <w:left w:val="nil"/>
              <w:bottom w:val="single" w:sz="4" w:space="0" w:color="auto"/>
              <w:right w:val="single" w:sz="4" w:space="0" w:color="auto"/>
            </w:tcBorders>
            <w:shd w:val="clear" w:color="auto" w:fill="auto"/>
            <w:noWrap/>
            <w:vAlign w:val="bottom"/>
            <w:hideMark/>
          </w:tcPr>
          <w:p w14:paraId="7031A238"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5,0</w:t>
            </w:r>
          </w:p>
        </w:tc>
        <w:tc>
          <w:tcPr>
            <w:tcW w:w="709" w:type="dxa"/>
            <w:tcBorders>
              <w:top w:val="nil"/>
              <w:left w:val="nil"/>
              <w:bottom w:val="single" w:sz="4" w:space="0" w:color="auto"/>
              <w:right w:val="single" w:sz="4" w:space="0" w:color="auto"/>
            </w:tcBorders>
            <w:shd w:val="clear" w:color="auto" w:fill="auto"/>
            <w:noWrap/>
            <w:vAlign w:val="bottom"/>
            <w:hideMark/>
          </w:tcPr>
          <w:p w14:paraId="3B292393"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3446812A"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19202A12"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1F32753B" w14:textId="68694E61"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FM</w:t>
            </w:r>
          </w:p>
        </w:tc>
        <w:tc>
          <w:tcPr>
            <w:tcW w:w="5245" w:type="dxa"/>
            <w:tcBorders>
              <w:top w:val="nil"/>
              <w:left w:val="nil"/>
              <w:bottom w:val="single" w:sz="4" w:space="0" w:color="auto"/>
              <w:right w:val="single" w:sz="4" w:space="0" w:color="auto"/>
            </w:tcBorders>
            <w:shd w:val="clear" w:color="000000" w:fill="DDEBF7"/>
            <w:vAlign w:val="bottom"/>
            <w:hideMark/>
          </w:tcPr>
          <w:p w14:paraId="6DC8265B"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32746DA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379FEF4C"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0DABF69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3F29848D"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1FAA9E4"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08544FE5"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Finansējuma samazinājums atbilstoši izdevumu pārskatīšanas rezultātam (atbilstoši 18.08.2020. MK prot.Nr.49 46.§ 11.p.)</w:t>
            </w:r>
          </w:p>
        </w:tc>
        <w:tc>
          <w:tcPr>
            <w:tcW w:w="709" w:type="dxa"/>
            <w:tcBorders>
              <w:top w:val="nil"/>
              <w:left w:val="nil"/>
              <w:bottom w:val="single" w:sz="4" w:space="0" w:color="auto"/>
              <w:right w:val="single" w:sz="4" w:space="0" w:color="auto"/>
            </w:tcBorders>
            <w:shd w:val="clear" w:color="auto" w:fill="auto"/>
            <w:noWrap/>
            <w:vAlign w:val="bottom"/>
            <w:hideMark/>
          </w:tcPr>
          <w:p w14:paraId="2589C349"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-22,0</w:t>
            </w:r>
          </w:p>
        </w:tc>
        <w:tc>
          <w:tcPr>
            <w:tcW w:w="709" w:type="dxa"/>
            <w:tcBorders>
              <w:top w:val="nil"/>
              <w:left w:val="nil"/>
              <w:bottom w:val="single" w:sz="4" w:space="0" w:color="auto"/>
              <w:right w:val="single" w:sz="4" w:space="0" w:color="auto"/>
            </w:tcBorders>
            <w:shd w:val="clear" w:color="auto" w:fill="auto"/>
            <w:noWrap/>
            <w:vAlign w:val="bottom"/>
            <w:hideMark/>
          </w:tcPr>
          <w:p w14:paraId="31158FBE"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-22,0</w:t>
            </w:r>
          </w:p>
        </w:tc>
        <w:tc>
          <w:tcPr>
            <w:tcW w:w="708" w:type="dxa"/>
            <w:tcBorders>
              <w:top w:val="nil"/>
              <w:left w:val="nil"/>
              <w:bottom w:val="single" w:sz="4" w:space="0" w:color="auto"/>
              <w:right w:val="single" w:sz="4" w:space="0" w:color="auto"/>
            </w:tcBorders>
            <w:shd w:val="clear" w:color="auto" w:fill="auto"/>
            <w:noWrap/>
            <w:vAlign w:val="bottom"/>
            <w:hideMark/>
          </w:tcPr>
          <w:p w14:paraId="23383A83"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-22,0</w:t>
            </w:r>
          </w:p>
        </w:tc>
      </w:tr>
      <w:tr w:rsidR="009A71A1" w:rsidRPr="009A71A1" w14:paraId="3F85DA00" w14:textId="77777777" w:rsidTr="001D6A54">
        <w:trPr>
          <w:trHeight w:val="76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6CEE5F5"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3A58CA29" w14:textId="69A0A079" w:rsidR="009A71A1" w:rsidRPr="009A71A1" w:rsidRDefault="009A71A1" w:rsidP="009A71A1">
            <w:pPr>
              <w:rPr>
                <w:rFonts w:ascii="Times New Roman" w:hAnsi="Times New Roman" w:cs="Times New Roman"/>
                <w:sz w:val="20"/>
                <w:szCs w:val="20"/>
              </w:rPr>
            </w:pPr>
            <w:r w:rsidRPr="009A71A1">
              <w:rPr>
                <w:rFonts w:ascii="Times New Roman" w:hAnsi="Times New Roman" w:cs="Times New Roman"/>
                <w:sz w:val="20"/>
                <w:szCs w:val="20"/>
              </w:rPr>
              <w:t xml:space="preserve">Finansējuma palielinājums normatīvajos aktos noteikto prasību ieviešanai </w:t>
            </w:r>
            <w:r>
              <w:rPr>
                <w:rFonts w:ascii="Times New Roman" w:hAnsi="Times New Roman" w:cs="Times New Roman"/>
                <w:sz w:val="20"/>
                <w:szCs w:val="20"/>
              </w:rPr>
              <w:t>VID</w:t>
            </w:r>
            <w:r w:rsidRPr="009A71A1">
              <w:rPr>
                <w:rFonts w:ascii="Times New Roman" w:hAnsi="Times New Roman" w:cs="Times New Roman"/>
                <w:sz w:val="20"/>
                <w:szCs w:val="20"/>
              </w:rPr>
              <w:t xml:space="preserve"> informācijas sistēmās (atbilstoši 18.08.2020. MK prot.Nr.49 46.§ 12.9.p.)</w:t>
            </w:r>
          </w:p>
        </w:tc>
        <w:tc>
          <w:tcPr>
            <w:tcW w:w="709" w:type="dxa"/>
            <w:tcBorders>
              <w:top w:val="nil"/>
              <w:left w:val="nil"/>
              <w:bottom w:val="single" w:sz="4" w:space="0" w:color="auto"/>
              <w:right w:val="single" w:sz="4" w:space="0" w:color="auto"/>
            </w:tcBorders>
            <w:shd w:val="clear" w:color="auto" w:fill="auto"/>
            <w:noWrap/>
            <w:vAlign w:val="bottom"/>
            <w:hideMark/>
          </w:tcPr>
          <w:p w14:paraId="7B505EC8"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2,9</w:t>
            </w:r>
          </w:p>
        </w:tc>
        <w:tc>
          <w:tcPr>
            <w:tcW w:w="709" w:type="dxa"/>
            <w:tcBorders>
              <w:top w:val="nil"/>
              <w:left w:val="nil"/>
              <w:bottom w:val="single" w:sz="4" w:space="0" w:color="auto"/>
              <w:right w:val="single" w:sz="4" w:space="0" w:color="auto"/>
            </w:tcBorders>
            <w:shd w:val="clear" w:color="auto" w:fill="auto"/>
            <w:noWrap/>
            <w:vAlign w:val="bottom"/>
            <w:hideMark/>
          </w:tcPr>
          <w:p w14:paraId="55512155"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4,8</w:t>
            </w:r>
          </w:p>
        </w:tc>
        <w:tc>
          <w:tcPr>
            <w:tcW w:w="708" w:type="dxa"/>
            <w:tcBorders>
              <w:top w:val="nil"/>
              <w:left w:val="nil"/>
              <w:bottom w:val="single" w:sz="4" w:space="0" w:color="auto"/>
              <w:right w:val="single" w:sz="4" w:space="0" w:color="auto"/>
            </w:tcBorders>
            <w:shd w:val="clear" w:color="auto" w:fill="auto"/>
            <w:noWrap/>
            <w:vAlign w:val="bottom"/>
            <w:hideMark/>
          </w:tcPr>
          <w:p w14:paraId="24788B54"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4,3</w:t>
            </w:r>
          </w:p>
        </w:tc>
      </w:tr>
      <w:tr w:rsidR="009A71A1" w:rsidRPr="009A71A1" w14:paraId="0A8E6C1E"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0D090C97" w14:textId="7F18F292"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IeM</w:t>
            </w:r>
          </w:p>
        </w:tc>
        <w:tc>
          <w:tcPr>
            <w:tcW w:w="5245" w:type="dxa"/>
            <w:tcBorders>
              <w:top w:val="nil"/>
              <w:left w:val="nil"/>
              <w:bottom w:val="single" w:sz="4" w:space="0" w:color="auto"/>
              <w:right w:val="single" w:sz="4" w:space="0" w:color="auto"/>
            </w:tcBorders>
            <w:shd w:val="clear" w:color="000000" w:fill="DDEBF7"/>
            <w:vAlign w:val="bottom"/>
            <w:hideMark/>
          </w:tcPr>
          <w:p w14:paraId="2F34C77C"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16D5B698"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1FCA90D4"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3922E3E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7159257C" w14:textId="77777777" w:rsidTr="001D6A54">
        <w:trPr>
          <w:trHeight w:val="10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D661CA"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7F724045"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Izdevumu palielinājums (pārdale no programmas 80.00.00), lai nodrošinātu 2020.gadā uzsāktā Iekšējās drošības fonda – Robežas/Vīza projekta “Ieceļošanas/Izceļošanas sistēmas un ETIAS ieviešana” turpināšanu (IeM 22.09.2020. vēst. Nr.1-40/23582.1.p.)</w:t>
            </w:r>
          </w:p>
        </w:tc>
        <w:tc>
          <w:tcPr>
            <w:tcW w:w="709" w:type="dxa"/>
            <w:tcBorders>
              <w:top w:val="nil"/>
              <w:left w:val="nil"/>
              <w:bottom w:val="single" w:sz="4" w:space="0" w:color="auto"/>
              <w:right w:val="single" w:sz="4" w:space="0" w:color="auto"/>
            </w:tcBorders>
            <w:shd w:val="clear" w:color="auto" w:fill="auto"/>
            <w:noWrap/>
            <w:vAlign w:val="bottom"/>
            <w:hideMark/>
          </w:tcPr>
          <w:p w14:paraId="5D18989E"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5,7</w:t>
            </w:r>
          </w:p>
        </w:tc>
        <w:tc>
          <w:tcPr>
            <w:tcW w:w="709" w:type="dxa"/>
            <w:tcBorders>
              <w:top w:val="nil"/>
              <w:left w:val="nil"/>
              <w:bottom w:val="single" w:sz="4" w:space="0" w:color="auto"/>
              <w:right w:val="single" w:sz="4" w:space="0" w:color="auto"/>
            </w:tcBorders>
            <w:shd w:val="clear" w:color="auto" w:fill="auto"/>
            <w:noWrap/>
            <w:vAlign w:val="bottom"/>
            <w:hideMark/>
          </w:tcPr>
          <w:p w14:paraId="13A3C17D"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1,9</w:t>
            </w:r>
          </w:p>
        </w:tc>
        <w:tc>
          <w:tcPr>
            <w:tcW w:w="708" w:type="dxa"/>
            <w:tcBorders>
              <w:top w:val="nil"/>
              <w:left w:val="nil"/>
              <w:bottom w:val="single" w:sz="4" w:space="0" w:color="auto"/>
              <w:right w:val="single" w:sz="4" w:space="0" w:color="auto"/>
            </w:tcBorders>
            <w:shd w:val="clear" w:color="auto" w:fill="auto"/>
            <w:noWrap/>
            <w:vAlign w:val="bottom"/>
            <w:hideMark/>
          </w:tcPr>
          <w:p w14:paraId="0C4294F5"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38BB1E76"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040005E1" w14:textId="3E6817CE"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IZM</w:t>
            </w:r>
          </w:p>
        </w:tc>
        <w:tc>
          <w:tcPr>
            <w:tcW w:w="5245" w:type="dxa"/>
            <w:tcBorders>
              <w:top w:val="nil"/>
              <w:left w:val="nil"/>
              <w:bottom w:val="single" w:sz="4" w:space="0" w:color="auto"/>
              <w:right w:val="single" w:sz="4" w:space="0" w:color="auto"/>
            </w:tcBorders>
            <w:shd w:val="clear" w:color="000000" w:fill="DDEBF7"/>
            <w:vAlign w:val="bottom"/>
            <w:hideMark/>
          </w:tcPr>
          <w:p w14:paraId="0FEE37B9"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40DC636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61DE9D9E"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34519482"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6D6DA63A" w14:textId="77777777" w:rsidTr="001D6A54">
        <w:trPr>
          <w:trHeight w:val="102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C6988"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9905A"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Finansējuma palielinājums prioritārajam pasākumam "Pedagogu darba samaksas pieauguma grafika īstenošana pirmsskolas izglītībā, vispārējā izglītībā, profesionālajā izglītībā, profesionālajā ievirzē un interešu izglītībā " atbilstoši MK 22.09.2020. lēmumam</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38F9A"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90F04"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1E0E5"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3,9</w:t>
            </w:r>
          </w:p>
        </w:tc>
      </w:tr>
      <w:tr w:rsidR="009A71A1" w:rsidRPr="009A71A1" w14:paraId="157DF148" w14:textId="77777777" w:rsidTr="001D6A54">
        <w:trPr>
          <w:trHeight w:val="102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EF4C9"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14:paraId="61518448"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Finansējuma palielinājums prioritārajam pasākumam "Akadēmiskā personāla minimālo atlīdzības likmju paaugstināšana saskaņā ar pedagogu darba samaksas paaugstināšanas grafiku (MK rīk. Nr. 17) " atbilstoši MK 22.09.2020. lēmumam</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4CA004"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9A37579"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EDE6963"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3,4</w:t>
            </w:r>
          </w:p>
        </w:tc>
      </w:tr>
      <w:tr w:rsidR="009A71A1" w:rsidRPr="009A71A1" w14:paraId="6BD78222" w14:textId="77777777" w:rsidTr="001D6A54">
        <w:trPr>
          <w:trHeight w:val="76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B9E035E"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17F3E712"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Finansējuma palielinājums prioritārajam pasākumam "XII Latvijas Skolu jaunatnes dziesmu un deju svētku nodrošināšana" atbilstoši MK 22.09.2020. lēmumam</w:t>
            </w:r>
          </w:p>
        </w:tc>
        <w:tc>
          <w:tcPr>
            <w:tcW w:w="709" w:type="dxa"/>
            <w:tcBorders>
              <w:top w:val="nil"/>
              <w:left w:val="nil"/>
              <w:bottom w:val="single" w:sz="4" w:space="0" w:color="auto"/>
              <w:right w:val="single" w:sz="4" w:space="0" w:color="auto"/>
            </w:tcBorders>
            <w:shd w:val="clear" w:color="auto" w:fill="auto"/>
            <w:noWrap/>
            <w:vAlign w:val="bottom"/>
            <w:hideMark/>
          </w:tcPr>
          <w:p w14:paraId="02F460AE"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4,1</w:t>
            </w:r>
          </w:p>
        </w:tc>
        <w:tc>
          <w:tcPr>
            <w:tcW w:w="709" w:type="dxa"/>
            <w:tcBorders>
              <w:top w:val="nil"/>
              <w:left w:val="nil"/>
              <w:bottom w:val="single" w:sz="4" w:space="0" w:color="auto"/>
              <w:right w:val="single" w:sz="4" w:space="0" w:color="auto"/>
            </w:tcBorders>
            <w:shd w:val="clear" w:color="auto" w:fill="auto"/>
            <w:noWrap/>
            <w:vAlign w:val="bottom"/>
            <w:hideMark/>
          </w:tcPr>
          <w:p w14:paraId="742D9D18"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14F0902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2D196290"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5A83B40"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61F5EB7A"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Finansējuma palielinājums Eiropas Reģionālās attīstības fonda projektu īstenošanai</w:t>
            </w:r>
          </w:p>
        </w:tc>
        <w:tc>
          <w:tcPr>
            <w:tcW w:w="709" w:type="dxa"/>
            <w:tcBorders>
              <w:top w:val="nil"/>
              <w:left w:val="nil"/>
              <w:bottom w:val="single" w:sz="4" w:space="0" w:color="auto"/>
              <w:right w:val="single" w:sz="4" w:space="0" w:color="auto"/>
            </w:tcBorders>
            <w:shd w:val="clear" w:color="auto" w:fill="auto"/>
            <w:noWrap/>
            <w:vAlign w:val="bottom"/>
            <w:hideMark/>
          </w:tcPr>
          <w:p w14:paraId="3257905F"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8,8</w:t>
            </w:r>
          </w:p>
        </w:tc>
        <w:tc>
          <w:tcPr>
            <w:tcW w:w="709" w:type="dxa"/>
            <w:tcBorders>
              <w:top w:val="nil"/>
              <w:left w:val="nil"/>
              <w:bottom w:val="single" w:sz="4" w:space="0" w:color="auto"/>
              <w:right w:val="single" w:sz="4" w:space="0" w:color="auto"/>
            </w:tcBorders>
            <w:shd w:val="clear" w:color="auto" w:fill="auto"/>
            <w:noWrap/>
            <w:vAlign w:val="bottom"/>
            <w:hideMark/>
          </w:tcPr>
          <w:p w14:paraId="644A5950"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135132DF"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3356E234"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1E70814"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572DB1F8"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Finansējuma palielinājums Eiropas Sociālā fonda projektu īstenošanai</w:t>
            </w:r>
          </w:p>
        </w:tc>
        <w:tc>
          <w:tcPr>
            <w:tcW w:w="709" w:type="dxa"/>
            <w:tcBorders>
              <w:top w:val="nil"/>
              <w:left w:val="nil"/>
              <w:bottom w:val="single" w:sz="4" w:space="0" w:color="auto"/>
              <w:right w:val="single" w:sz="4" w:space="0" w:color="auto"/>
            </w:tcBorders>
            <w:shd w:val="clear" w:color="auto" w:fill="auto"/>
            <w:noWrap/>
            <w:vAlign w:val="bottom"/>
            <w:hideMark/>
          </w:tcPr>
          <w:p w14:paraId="0F11549C" w14:textId="5CBBFD5C" w:rsidR="009A71A1" w:rsidRPr="009A71A1" w:rsidRDefault="00AE01F6">
            <w:pPr>
              <w:jc w:val="right"/>
              <w:rPr>
                <w:rFonts w:ascii="Times New Roman" w:hAnsi="Times New Roman" w:cs="Times New Roman"/>
                <w:sz w:val="20"/>
                <w:szCs w:val="20"/>
              </w:rPr>
            </w:pPr>
            <w:r>
              <w:rPr>
                <w:rFonts w:ascii="Times New Roman" w:hAnsi="Times New Roman" w:cs="Times New Roman"/>
                <w:sz w:val="20"/>
                <w:szCs w:val="20"/>
              </w:rPr>
              <w:t>17,4</w:t>
            </w:r>
          </w:p>
        </w:tc>
        <w:tc>
          <w:tcPr>
            <w:tcW w:w="709" w:type="dxa"/>
            <w:tcBorders>
              <w:top w:val="nil"/>
              <w:left w:val="nil"/>
              <w:bottom w:val="single" w:sz="4" w:space="0" w:color="auto"/>
              <w:right w:val="single" w:sz="4" w:space="0" w:color="auto"/>
            </w:tcBorders>
            <w:shd w:val="clear" w:color="auto" w:fill="auto"/>
            <w:noWrap/>
            <w:vAlign w:val="bottom"/>
            <w:hideMark/>
          </w:tcPr>
          <w:p w14:paraId="26E78C29"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1BF8D02C"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6380C045"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624C632A" w14:textId="75D49D4E"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ZM</w:t>
            </w:r>
          </w:p>
        </w:tc>
        <w:tc>
          <w:tcPr>
            <w:tcW w:w="5245" w:type="dxa"/>
            <w:tcBorders>
              <w:top w:val="nil"/>
              <w:left w:val="nil"/>
              <w:bottom w:val="single" w:sz="4" w:space="0" w:color="auto"/>
              <w:right w:val="single" w:sz="4" w:space="0" w:color="auto"/>
            </w:tcBorders>
            <w:shd w:val="clear" w:color="000000" w:fill="DDEBF7"/>
            <w:vAlign w:val="bottom"/>
            <w:hideMark/>
          </w:tcPr>
          <w:p w14:paraId="27852371"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39AD7015"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4DB19AC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318C03F6"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7B6A7E8F" w14:textId="77777777" w:rsidTr="001D6A54">
        <w:trPr>
          <w:trHeight w:val="10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D5CF0FB"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5195A5D3"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Valsts atbalstam vaislas lauksaimniecības dzīvnieku ierakstīšanai ciltsgrāmatā, kā arī to ģenētiskās kvalitātes noteikšanai un produktivitātes datu izvērtēšanai (MK 18.08.2020. sēdes prot. Nr.49 46.§ 30.punkts)</w:t>
            </w:r>
          </w:p>
        </w:tc>
        <w:tc>
          <w:tcPr>
            <w:tcW w:w="709" w:type="dxa"/>
            <w:tcBorders>
              <w:top w:val="nil"/>
              <w:left w:val="nil"/>
              <w:bottom w:val="single" w:sz="4" w:space="0" w:color="auto"/>
              <w:right w:val="single" w:sz="4" w:space="0" w:color="auto"/>
            </w:tcBorders>
            <w:shd w:val="clear" w:color="auto" w:fill="auto"/>
            <w:noWrap/>
            <w:vAlign w:val="bottom"/>
            <w:hideMark/>
          </w:tcPr>
          <w:p w14:paraId="750764E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9,0</w:t>
            </w:r>
          </w:p>
        </w:tc>
        <w:tc>
          <w:tcPr>
            <w:tcW w:w="709" w:type="dxa"/>
            <w:tcBorders>
              <w:top w:val="nil"/>
              <w:left w:val="nil"/>
              <w:bottom w:val="single" w:sz="4" w:space="0" w:color="auto"/>
              <w:right w:val="single" w:sz="4" w:space="0" w:color="auto"/>
            </w:tcBorders>
            <w:shd w:val="clear" w:color="auto" w:fill="auto"/>
            <w:noWrap/>
            <w:vAlign w:val="bottom"/>
            <w:hideMark/>
          </w:tcPr>
          <w:p w14:paraId="37B78056"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15C32B8D"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349A727E"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3F8638F3" w14:textId="28C5ABD8"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SM</w:t>
            </w:r>
          </w:p>
        </w:tc>
        <w:tc>
          <w:tcPr>
            <w:tcW w:w="5245" w:type="dxa"/>
            <w:tcBorders>
              <w:top w:val="nil"/>
              <w:left w:val="nil"/>
              <w:bottom w:val="single" w:sz="4" w:space="0" w:color="auto"/>
              <w:right w:val="single" w:sz="4" w:space="0" w:color="auto"/>
            </w:tcBorders>
            <w:shd w:val="clear" w:color="000000" w:fill="DDEBF7"/>
            <w:vAlign w:val="bottom"/>
            <w:hideMark/>
          </w:tcPr>
          <w:p w14:paraId="1B4385A4"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086AA35F"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7E0A2F3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67C2BB5B"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6C327F72" w14:textId="77777777" w:rsidTr="001D6A54">
        <w:trPr>
          <w:trHeight w:val="76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4271CD9"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0B8A78D7"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Finansējums Ķekavas apvedceļa projekta īstenošanai (Ķekavas apvedceļa projektēšanai, būvniecībai, finansēšanai un uzturēšanai) (MK 13.08.2020 rīk Nr.442 (prot. Nr. 47 99. §))</w:t>
            </w:r>
          </w:p>
        </w:tc>
        <w:tc>
          <w:tcPr>
            <w:tcW w:w="709" w:type="dxa"/>
            <w:tcBorders>
              <w:top w:val="nil"/>
              <w:left w:val="nil"/>
              <w:bottom w:val="single" w:sz="4" w:space="0" w:color="auto"/>
              <w:right w:val="single" w:sz="4" w:space="0" w:color="auto"/>
            </w:tcBorders>
            <w:shd w:val="clear" w:color="auto" w:fill="auto"/>
            <w:noWrap/>
            <w:vAlign w:val="bottom"/>
            <w:hideMark/>
          </w:tcPr>
          <w:p w14:paraId="5A4A98EF"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noWrap/>
            <w:vAlign w:val="bottom"/>
            <w:hideMark/>
          </w:tcPr>
          <w:p w14:paraId="7AD9F7F1"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12,6</w:t>
            </w:r>
          </w:p>
        </w:tc>
        <w:tc>
          <w:tcPr>
            <w:tcW w:w="708" w:type="dxa"/>
            <w:tcBorders>
              <w:top w:val="nil"/>
              <w:left w:val="nil"/>
              <w:bottom w:val="single" w:sz="4" w:space="0" w:color="auto"/>
              <w:right w:val="single" w:sz="4" w:space="0" w:color="auto"/>
            </w:tcBorders>
            <w:shd w:val="clear" w:color="auto" w:fill="auto"/>
            <w:noWrap/>
            <w:vAlign w:val="bottom"/>
            <w:hideMark/>
          </w:tcPr>
          <w:p w14:paraId="1709C0B4"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12,0</w:t>
            </w:r>
          </w:p>
        </w:tc>
      </w:tr>
      <w:tr w:rsidR="009A71A1" w:rsidRPr="009A71A1" w14:paraId="75E5DEF7"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50323F"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67A48236"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Finansējuma samazinājums valsts autoceļu uzturēšanai un atjaunošanai, ņemot vērā MK 22.09.2020. sēdē lemto.</w:t>
            </w:r>
          </w:p>
        </w:tc>
        <w:tc>
          <w:tcPr>
            <w:tcW w:w="709" w:type="dxa"/>
            <w:tcBorders>
              <w:top w:val="nil"/>
              <w:left w:val="nil"/>
              <w:bottom w:val="single" w:sz="4" w:space="0" w:color="auto"/>
              <w:right w:val="single" w:sz="4" w:space="0" w:color="auto"/>
            </w:tcBorders>
            <w:shd w:val="clear" w:color="auto" w:fill="auto"/>
            <w:noWrap/>
            <w:vAlign w:val="bottom"/>
            <w:hideMark/>
          </w:tcPr>
          <w:p w14:paraId="2D243DF7"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-50,0</w:t>
            </w:r>
          </w:p>
        </w:tc>
        <w:tc>
          <w:tcPr>
            <w:tcW w:w="709" w:type="dxa"/>
            <w:tcBorders>
              <w:top w:val="nil"/>
              <w:left w:val="nil"/>
              <w:bottom w:val="single" w:sz="4" w:space="0" w:color="auto"/>
              <w:right w:val="single" w:sz="4" w:space="0" w:color="auto"/>
            </w:tcBorders>
            <w:shd w:val="clear" w:color="auto" w:fill="auto"/>
            <w:noWrap/>
            <w:vAlign w:val="bottom"/>
            <w:hideMark/>
          </w:tcPr>
          <w:p w14:paraId="6269F93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168B37BC"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5BAFFCF8" w14:textId="77777777" w:rsidTr="001D6A54">
        <w:trPr>
          <w:trHeight w:val="10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A7A85D"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50F2AA5C"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Palielināti izdevumi 2021.gada abonēto preses izdevumu piegādes radīto zaudējumu kompensācijai un atbalstam abonēto preses izdevumu piegādēm 2022., 2023. un turpmākajiem gadiem (MK22.09.2020. sēdes lēmums).</w:t>
            </w:r>
          </w:p>
        </w:tc>
        <w:tc>
          <w:tcPr>
            <w:tcW w:w="709" w:type="dxa"/>
            <w:tcBorders>
              <w:top w:val="nil"/>
              <w:left w:val="nil"/>
              <w:bottom w:val="single" w:sz="4" w:space="0" w:color="auto"/>
              <w:right w:val="single" w:sz="4" w:space="0" w:color="auto"/>
            </w:tcBorders>
            <w:shd w:val="clear" w:color="auto" w:fill="auto"/>
            <w:noWrap/>
            <w:vAlign w:val="bottom"/>
            <w:hideMark/>
          </w:tcPr>
          <w:p w14:paraId="087E7C91"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2,9</w:t>
            </w:r>
          </w:p>
        </w:tc>
        <w:tc>
          <w:tcPr>
            <w:tcW w:w="709" w:type="dxa"/>
            <w:tcBorders>
              <w:top w:val="nil"/>
              <w:left w:val="nil"/>
              <w:bottom w:val="single" w:sz="4" w:space="0" w:color="auto"/>
              <w:right w:val="single" w:sz="4" w:space="0" w:color="auto"/>
            </w:tcBorders>
            <w:shd w:val="clear" w:color="auto" w:fill="auto"/>
            <w:noWrap/>
            <w:vAlign w:val="bottom"/>
            <w:hideMark/>
          </w:tcPr>
          <w:p w14:paraId="777D84CA"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9,8</w:t>
            </w:r>
          </w:p>
        </w:tc>
        <w:tc>
          <w:tcPr>
            <w:tcW w:w="708" w:type="dxa"/>
            <w:tcBorders>
              <w:top w:val="nil"/>
              <w:left w:val="nil"/>
              <w:bottom w:val="single" w:sz="4" w:space="0" w:color="auto"/>
              <w:right w:val="single" w:sz="4" w:space="0" w:color="auto"/>
            </w:tcBorders>
            <w:shd w:val="clear" w:color="auto" w:fill="auto"/>
            <w:noWrap/>
            <w:vAlign w:val="bottom"/>
            <w:hideMark/>
          </w:tcPr>
          <w:p w14:paraId="255C297A"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7,0</w:t>
            </w:r>
          </w:p>
        </w:tc>
      </w:tr>
      <w:tr w:rsidR="009A71A1" w:rsidRPr="009A71A1" w14:paraId="271BF63F"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889329"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57822FEF"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Palielināti izdevumi abonēto preses izdevumu piegādes radīto zaudējumu kompensācijai (MK 22.09.2020. sēdes lēmums).</w:t>
            </w:r>
          </w:p>
        </w:tc>
        <w:tc>
          <w:tcPr>
            <w:tcW w:w="709" w:type="dxa"/>
            <w:tcBorders>
              <w:top w:val="nil"/>
              <w:left w:val="nil"/>
              <w:bottom w:val="single" w:sz="4" w:space="0" w:color="auto"/>
              <w:right w:val="single" w:sz="4" w:space="0" w:color="auto"/>
            </w:tcBorders>
            <w:shd w:val="clear" w:color="auto" w:fill="auto"/>
            <w:noWrap/>
            <w:vAlign w:val="bottom"/>
            <w:hideMark/>
          </w:tcPr>
          <w:p w14:paraId="3875CBD3"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6,6</w:t>
            </w:r>
          </w:p>
        </w:tc>
        <w:tc>
          <w:tcPr>
            <w:tcW w:w="709" w:type="dxa"/>
            <w:tcBorders>
              <w:top w:val="nil"/>
              <w:left w:val="nil"/>
              <w:bottom w:val="single" w:sz="4" w:space="0" w:color="auto"/>
              <w:right w:val="single" w:sz="4" w:space="0" w:color="auto"/>
            </w:tcBorders>
            <w:shd w:val="clear" w:color="auto" w:fill="auto"/>
            <w:noWrap/>
            <w:vAlign w:val="bottom"/>
            <w:hideMark/>
          </w:tcPr>
          <w:p w14:paraId="1A193BFD"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551F26AF"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649926BD"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76C28D39" w14:textId="6476F799"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LM</w:t>
            </w:r>
          </w:p>
        </w:tc>
        <w:tc>
          <w:tcPr>
            <w:tcW w:w="5245" w:type="dxa"/>
            <w:tcBorders>
              <w:top w:val="nil"/>
              <w:left w:val="nil"/>
              <w:bottom w:val="single" w:sz="4" w:space="0" w:color="auto"/>
              <w:right w:val="single" w:sz="4" w:space="0" w:color="auto"/>
            </w:tcBorders>
            <w:shd w:val="clear" w:color="000000" w:fill="DDEBF7"/>
            <w:vAlign w:val="bottom"/>
            <w:hideMark/>
          </w:tcPr>
          <w:p w14:paraId="20B0C8B5"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39108B1D"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4AB5BCB0"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39148E05"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4F6A4729" w14:textId="77777777" w:rsidTr="001D6A54">
        <w:trPr>
          <w:trHeight w:val="25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2700117"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Pamatbudžets</w:t>
            </w:r>
          </w:p>
        </w:tc>
        <w:tc>
          <w:tcPr>
            <w:tcW w:w="5245" w:type="dxa"/>
            <w:tcBorders>
              <w:top w:val="nil"/>
              <w:left w:val="nil"/>
              <w:bottom w:val="single" w:sz="4" w:space="0" w:color="auto"/>
              <w:right w:val="single" w:sz="4" w:space="0" w:color="auto"/>
            </w:tcBorders>
            <w:shd w:val="clear" w:color="auto" w:fill="auto"/>
            <w:vAlign w:val="bottom"/>
            <w:hideMark/>
          </w:tcPr>
          <w:p w14:paraId="7DE6C6C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196521C1"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57CCB204"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62D6398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3B206192" w14:textId="77777777" w:rsidTr="001D6A54">
        <w:trPr>
          <w:trHeight w:val="255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B38DC8B"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0F718283"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xml:space="preserve">Palielināti resursi un izdevumi 2021.gadam 9 349 520 </w:t>
            </w:r>
            <w:r w:rsidRPr="009A71A1">
              <w:rPr>
                <w:rFonts w:ascii="Times New Roman" w:hAnsi="Times New Roman" w:cs="Times New Roman"/>
                <w:i/>
                <w:sz w:val="20"/>
                <w:szCs w:val="20"/>
              </w:rPr>
              <w:t>euro</w:t>
            </w:r>
            <w:r w:rsidRPr="009A71A1">
              <w:rPr>
                <w:rFonts w:ascii="Times New Roman" w:hAnsi="Times New Roman" w:cs="Times New Roman"/>
                <w:sz w:val="20"/>
                <w:szCs w:val="20"/>
              </w:rPr>
              <w:t xml:space="preserve"> apmērā un 2022.gadam 21 364 224 </w:t>
            </w:r>
            <w:r w:rsidRPr="009A71A1">
              <w:rPr>
                <w:rFonts w:ascii="Times New Roman" w:hAnsi="Times New Roman" w:cs="Times New Roman"/>
                <w:i/>
                <w:sz w:val="20"/>
                <w:szCs w:val="20"/>
              </w:rPr>
              <w:t>euro</w:t>
            </w:r>
            <w:r w:rsidRPr="009A71A1">
              <w:rPr>
                <w:rFonts w:ascii="Times New Roman" w:hAnsi="Times New Roman" w:cs="Times New Roman"/>
                <w:sz w:val="20"/>
                <w:szCs w:val="20"/>
              </w:rPr>
              <w:t xml:space="preserve"> apmērā un 2023.gadam 23 372 967 </w:t>
            </w:r>
            <w:r w:rsidRPr="009A71A1">
              <w:rPr>
                <w:rFonts w:ascii="Times New Roman" w:hAnsi="Times New Roman" w:cs="Times New Roman"/>
                <w:i/>
                <w:sz w:val="20"/>
                <w:szCs w:val="20"/>
              </w:rPr>
              <w:t>euro</w:t>
            </w:r>
            <w:r w:rsidRPr="009A71A1">
              <w:rPr>
                <w:rFonts w:ascii="Times New Roman" w:hAnsi="Times New Roman" w:cs="Times New Roman"/>
                <w:sz w:val="20"/>
                <w:szCs w:val="20"/>
              </w:rPr>
              <w:t xml:space="preserve"> apmērā, lai nodrošinātu prioritārā pasākuma  “Asistenta pakalpojuma pārskatīšana” īstenošanu, pilnveidojot asistenta pakalpojuma pašvaldībā nodrošināšanas kārtību, nodrošinot to kā fiskāli neitrālu pasākumu, t.i. samazinot izdevumus bezdarbnieka pabalstam speciālā budžeta apakšprogrammā 04.02.00 “Nodarbinātības speciālais budžets” (MK 22.09.2020. sēdes protokols Nr.55, LM 09.09.2020. vēstule Nr.25-1-01/65, LM 23.09.2020. vēstule Nr.25-1-01/69)</w:t>
            </w:r>
          </w:p>
        </w:tc>
        <w:tc>
          <w:tcPr>
            <w:tcW w:w="709" w:type="dxa"/>
            <w:tcBorders>
              <w:top w:val="nil"/>
              <w:left w:val="nil"/>
              <w:bottom w:val="single" w:sz="4" w:space="0" w:color="auto"/>
              <w:right w:val="single" w:sz="4" w:space="0" w:color="auto"/>
            </w:tcBorders>
            <w:shd w:val="clear" w:color="auto" w:fill="auto"/>
            <w:noWrap/>
            <w:vAlign w:val="bottom"/>
            <w:hideMark/>
          </w:tcPr>
          <w:p w14:paraId="10A8900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9,3</w:t>
            </w:r>
          </w:p>
        </w:tc>
        <w:tc>
          <w:tcPr>
            <w:tcW w:w="709" w:type="dxa"/>
            <w:tcBorders>
              <w:top w:val="nil"/>
              <w:left w:val="nil"/>
              <w:bottom w:val="single" w:sz="4" w:space="0" w:color="auto"/>
              <w:right w:val="single" w:sz="4" w:space="0" w:color="auto"/>
            </w:tcBorders>
            <w:shd w:val="clear" w:color="auto" w:fill="auto"/>
            <w:noWrap/>
            <w:vAlign w:val="bottom"/>
            <w:hideMark/>
          </w:tcPr>
          <w:p w14:paraId="2DAAAF2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21,4</w:t>
            </w:r>
          </w:p>
        </w:tc>
        <w:tc>
          <w:tcPr>
            <w:tcW w:w="708" w:type="dxa"/>
            <w:tcBorders>
              <w:top w:val="nil"/>
              <w:left w:val="nil"/>
              <w:bottom w:val="single" w:sz="4" w:space="0" w:color="auto"/>
              <w:right w:val="single" w:sz="4" w:space="0" w:color="auto"/>
            </w:tcBorders>
            <w:shd w:val="clear" w:color="auto" w:fill="auto"/>
            <w:noWrap/>
            <w:vAlign w:val="bottom"/>
            <w:hideMark/>
          </w:tcPr>
          <w:p w14:paraId="080ECECE"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23,4</w:t>
            </w:r>
          </w:p>
        </w:tc>
      </w:tr>
      <w:tr w:rsidR="009A71A1" w:rsidRPr="009A71A1" w14:paraId="7302AA27" w14:textId="77777777" w:rsidTr="001D6A54">
        <w:trPr>
          <w:trHeight w:val="229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BE25F"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384987"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Palielināti resursi un izdevumi 2021.gadam 2 370 251 euro apmērā un 2022. – 2023.gadam ik gadu 4 750 859 euro apmērā, lai nodrošinātu prioritārā pasākuma  “Pabalsta aizbildnim par bērna uzturēšanu apmēra dubultošana” īstenošanu ar 2021.gada 1.jūliju, nodrošinot to kā fiskāli neitrālu pasākumu, t.i. samazinot izdevumus bezdarbnieka pabalstam speciālā budžeta apakšprogrammā 04.02.00 “Nodarbinātības speciālais budžets”(MK 22.09.2020. sēdes protokols Nr.55, LM 09.09.2020. vēstule Nr.25-1-01/65, LM 23.09.2020. vēstule Nr.25-1-01/69)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992E9"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5F0CD"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3C17D"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4,8</w:t>
            </w:r>
          </w:p>
        </w:tc>
      </w:tr>
      <w:tr w:rsidR="009A71A1" w:rsidRPr="009A71A1" w14:paraId="53AB0E8D" w14:textId="77777777" w:rsidTr="003D0245">
        <w:trPr>
          <w:trHeight w:val="178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6A0E4"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14:paraId="58971515"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xml:space="preserve">Palielināti resursi un izdevumi 2021.gadam 10 195 604 </w:t>
            </w:r>
            <w:r w:rsidRPr="009A71A1">
              <w:rPr>
                <w:rFonts w:ascii="Times New Roman" w:hAnsi="Times New Roman" w:cs="Times New Roman"/>
                <w:i/>
                <w:sz w:val="20"/>
                <w:szCs w:val="20"/>
              </w:rPr>
              <w:t>euro</w:t>
            </w:r>
            <w:r w:rsidRPr="009A71A1">
              <w:rPr>
                <w:rFonts w:ascii="Times New Roman" w:hAnsi="Times New Roman" w:cs="Times New Roman"/>
                <w:sz w:val="20"/>
                <w:szCs w:val="20"/>
              </w:rPr>
              <w:t xml:space="preserve"> apmērā, 2022.gadam 10 741 027 </w:t>
            </w:r>
            <w:r w:rsidRPr="009A71A1">
              <w:rPr>
                <w:rFonts w:ascii="Times New Roman" w:hAnsi="Times New Roman" w:cs="Times New Roman"/>
                <w:i/>
                <w:sz w:val="20"/>
                <w:szCs w:val="20"/>
              </w:rPr>
              <w:t>euro</w:t>
            </w:r>
            <w:r w:rsidRPr="009A71A1">
              <w:rPr>
                <w:rFonts w:ascii="Times New Roman" w:hAnsi="Times New Roman" w:cs="Times New Roman"/>
                <w:sz w:val="20"/>
                <w:szCs w:val="20"/>
              </w:rPr>
              <w:t xml:space="preserve"> apmērā un 2023.gadam 10 865 062 </w:t>
            </w:r>
            <w:r w:rsidRPr="009A71A1">
              <w:rPr>
                <w:rFonts w:ascii="Times New Roman" w:hAnsi="Times New Roman" w:cs="Times New Roman"/>
                <w:i/>
                <w:sz w:val="20"/>
                <w:szCs w:val="20"/>
              </w:rPr>
              <w:t>euro</w:t>
            </w:r>
            <w:r w:rsidRPr="009A71A1">
              <w:rPr>
                <w:rFonts w:ascii="Times New Roman" w:hAnsi="Times New Roman" w:cs="Times New Roman"/>
                <w:sz w:val="20"/>
                <w:szCs w:val="20"/>
              </w:rPr>
              <w:t xml:space="preserve"> apmērā, lai prioritārā pasākuma “Satversmes tiesas spriedumu izpilde labklājības jomā” ietvaros nodrošinātu apakšpasākuma “Valsts sociālā nodrošinājuma pabalsta apmēra pārskatīšana” īstenošanu (MK 22.09.2020. sēdes protokols Nr.55, LM 03.09.2020. vēstule Nr.25-1-01/62, LM 23.09.2020. vēstule Nr.25-1-01/69)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710A0B2"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3F18CE1"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10,7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4B660C4"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10,9</w:t>
            </w:r>
          </w:p>
        </w:tc>
      </w:tr>
      <w:tr w:rsidR="009A71A1" w:rsidRPr="009A71A1" w14:paraId="53423491" w14:textId="77777777" w:rsidTr="003D0245">
        <w:trPr>
          <w:trHeight w:val="25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A1EC6"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Speciālais budžets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5B6CD1"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A746D"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16605"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3A15D"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794508A5" w14:textId="77777777" w:rsidTr="003D0245">
        <w:trPr>
          <w:trHeight w:val="102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778F7"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14:paraId="241870DA"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Izdevumu samazinājums vecuma pensijām saistībā ar pabalsta vid. apmēra mēnesī prognozēto samazināšanos (LM 07.09.2020. vēstule Nr.25-1-01/1308, LM 23.09.2020. vēstule Nr.25-1-01/69, MK 22.09.2020. sēdes prot.Nr.55)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8AE1BD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-12,4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A6F9766"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-14,8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60FDAAE"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-14,8</w:t>
            </w:r>
          </w:p>
        </w:tc>
      </w:tr>
      <w:tr w:rsidR="009A71A1" w:rsidRPr="009A71A1" w14:paraId="6FF309B3" w14:textId="77777777" w:rsidTr="001D6A54">
        <w:trPr>
          <w:trHeight w:val="127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698E10"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347BD9D9"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Izdevumu samazinājums bezdarbnieka pabalstiem saistībā ar pabalsta saņēmēju skaita vidēji mēnesī prognozēto samazināšanos, tādējādi nodrošinot LM fiskāli neitrālu pasākumu īstenošanu (LM 09.09.2020. vēstule Nr.25-1-01/66, LM 23.09.2020. vēstule Nr.25-1-01/69, MK 22.09.2020. sēdes prot.Nr.55)</w:t>
            </w:r>
          </w:p>
        </w:tc>
        <w:tc>
          <w:tcPr>
            <w:tcW w:w="709" w:type="dxa"/>
            <w:tcBorders>
              <w:top w:val="nil"/>
              <w:left w:val="nil"/>
              <w:bottom w:val="single" w:sz="4" w:space="0" w:color="auto"/>
              <w:right w:val="single" w:sz="4" w:space="0" w:color="auto"/>
            </w:tcBorders>
            <w:shd w:val="clear" w:color="auto" w:fill="auto"/>
            <w:noWrap/>
            <w:vAlign w:val="bottom"/>
            <w:hideMark/>
          </w:tcPr>
          <w:p w14:paraId="0E61321A"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-19,0</w:t>
            </w:r>
          </w:p>
        </w:tc>
        <w:tc>
          <w:tcPr>
            <w:tcW w:w="709" w:type="dxa"/>
            <w:tcBorders>
              <w:top w:val="nil"/>
              <w:left w:val="nil"/>
              <w:bottom w:val="single" w:sz="4" w:space="0" w:color="auto"/>
              <w:right w:val="single" w:sz="4" w:space="0" w:color="auto"/>
            </w:tcBorders>
            <w:shd w:val="clear" w:color="auto" w:fill="auto"/>
            <w:noWrap/>
            <w:vAlign w:val="bottom"/>
            <w:hideMark/>
          </w:tcPr>
          <w:p w14:paraId="41CBC1DF"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-29,4</w:t>
            </w:r>
          </w:p>
        </w:tc>
        <w:tc>
          <w:tcPr>
            <w:tcW w:w="708" w:type="dxa"/>
            <w:tcBorders>
              <w:top w:val="nil"/>
              <w:left w:val="nil"/>
              <w:bottom w:val="single" w:sz="4" w:space="0" w:color="auto"/>
              <w:right w:val="single" w:sz="4" w:space="0" w:color="auto"/>
            </w:tcBorders>
            <w:shd w:val="clear" w:color="auto" w:fill="auto"/>
            <w:noWrap/>
            <w:vAlign w:val="bottom"/>
            <w:hideMark/>
          </w:tcPr>
          <w:p w14:paraId="40D96B38"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-31,4</w:t>
            </w:r>
          </w:p>
        </w:tc>
      </w:tr>
      <w:tr w:rsidR="009A71A1" w:rsidRPr="009A71A1" w14:paraId="4BE0986A" w14:textId="77777777" w:rsidTr="001D6A54">
        <w:trPr>
          <w:trHeight w:val="10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9C8075F"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69CF9E5A"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Izdevumu samazinājums bezdarbnieka pabalstiem saistībā ar pabalsta saņēmēju skaita vidēji mēnesī prognozēto samazināšanos (LM 07.09.2020. vēstule Nr.25-1-01/1308, LM 23.09.2020. vēstule Nr.25-1-01/69, MK 22.09.2020. sēdes prot.Nr.5)</w:t>
            </w:r>
          </w:p>
        </w:tc>
        <w:tc>
          <w:tcPr>
            <w:tcW w:w="709" w:type="dxa"/>
            <w:tcBorders>
              <w:top w:val="nil"/>
              <w:left w:val="nil"/>
              <w:bottom w:val="single" w:sz="4" w:space="0" w:color="auto"/>
              <w:right w:val="single" w:sz="4" w:space="0" w:color="auto"/>
            </w:tcBorders>
            <w:shd w:val="clear" w:color="auto" w:fill="auto"/>
            <w:noWrap/>
            <w:vAlign w:val="bottom"/>
            <w:hideMark/>
          </w:tcPr>
          <w:p w14:paraId="5CFAD08A"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noWrap/>
            <w:vAlign w:val="bottom"/>
            <w:hideMark/>
          </w:tcPr>
          <w:p w14:paraId="1D1F22EA"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-3,1</w:t>
            </w:r>
          </w:p>
        </w:tc>
        <w:tc>
          <w:tcPr>
            <w:tcW w:w="708" w:type="dxa"/>
            <w:tcBorders>
              <w:top w:val="nil"/>
              <w:left w:val="nil"/>
              <w:bottom w:val="single" w:sz="4" w:space="0" w:color="auto"/>
              <w:right w:val="single" w:sz="4" w:space="0" w:color="auto"/>
            </w:tcBorders>
            <w:shd w:val="clear" w:color="auto" w:fill="auto"/>
            <w:noWrap/>
            <w:vAlign w:val="bottom"/>
            <w:hideMark/>
          </w:tcPr>
          <w:p w14:paraId="4E8B2A3F"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-1,1</w:t>
            </w:r>
          </w:p>
        </w:tc>
      </w:tr>
      <w:tr w:rsidR="009A71A1" w:rsidRPr="009A71A1" w14:paraId="0D0BD97F" w14:textId="77777777" w:rsidTr="001D6A54">
        <w:trPr>
          <w:trHeight w:val="10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243F912"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04B6E3DC"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Izdevumu samazinājums slimības pabalstiem saistībā ar pabalsta saņēmēju skaita vidēji mēnesī prognozēto samazināšanos (LM 07.09.2020. vēstule Nr.25-1-01/1308, LM 23.09.2020. vēstule Nr.25-1-01/69, MK 22.09.2020. sēdes prot.Nr.55)</w:t>
            </w:r>
          </w:p>
        </w:tc>
        <w:tc>
          <w:tcPr>
            <w:tcW w:w="709" w:type="dxa"/>
            <w:tcBorders>
              <w:top w:val="nil"/>
              <w:left w:val="nil"/>
              <w:bottom w:val="single" w:sz="4" w:space="0" w:color="auto"/>
              <w:right w:val="single" w:sz="4" w:space="0" w:color="auto"/>
            </w:tcBorders>
            <w:shd w:val="clear" w:color="auto" w:fill="auto"/>
            <w:noWrap/>
            <w:vAlign w:val="bottom"/>
            <w:hideMark/>
          </w:tcPr>
          <w:p w14:paraId="77502ADD"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-9,7</w:t>
            </w:r>
          </w:p>
        </w:tc>
        <w:tc>
          <w:tcPr>
            <w:tcW w:w="709" w:type="dxa"/>
            <w:tcBorders>
              <w:top w:val="nil"/>
              <w:left w:val="nil"/>
              <w:bottom w:val="single" w:sz="4" w:space="0" w:color="auto"/>
              <w:right w:val="single" w:sz="4" w:space="0" w:color="auto"/>
            </w:tcBorders>
            <w:shd w:val="clear" w:color="auto" w:fill="auto"/>
            <w:noWrap/>
            <w:vAlign w:val="bottom"/>
            <w:hideMark/>
          </w:tcPr>
          <w:p w14:paraId="59895D1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-16,3</w:t>
            </w:r>
          </w:p>
        </w:tc>
        <w:tc>
          <w:tcPr>
            <w:tcW w:w="708" w:type="dxa"/>
            <w:tcBorders>
              <w:top w:val="nil"/>
              <w:left w:val="nil"/>
              <w:bottom w:val="single" w:sz="4" w:space="0" w:color="auto"/>
              <w:right w:val="single" w:sz="4" w:space="0" w:color="auto"/>
            </w:tcBorders>
            <w:shd w:val="clear" w:color="auto" w:fill="auto"/>
            <w:noWrap/>
            <w:vAlign w:val="bottom"/>
            <w:hideMark/>
          </w:tcPr>
          <w:p w14:paraId="05C5B70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-18,3</w:t>
            </w:r>
          </w:p>
        </w:tc>
      </w:tr>
      <w:tr w:rsidR="009A71A1" w:rsidRPr="009A71A1" w14:paraId="13EE2228" w14:textId="77777777" w:rsidTr="001D6A54">
        <w:trPr>
          <w:trHeight w:val="17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AA38EF7"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0FB06B8E"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Ieņēmumu un izdevumu palielinājums, lai nodrošinātu prioritārā pasākuma "Satversmes tiesas spriedumu izpilde labklājības jomā" apakšpasākuma "Minimālo pensiju paaugstināšana" īstenošanu, saņemot transferta pārskaitījumu no LM pamatbudžeta programmas 04.00.00 "Valsts atbalsts sociālajai apdrošināšanai" (LM 03.09.2020. vēstule Nr.25-1-01/62, LM 23.09.2020. vēstule Nr.25-1-01/69, MK 22.09.2020. sēdes prot.Nr.55)</w:t>
            </w:r>
          </w:p>
        </w:tc>
        <w:tc>
          <w:tcPr>
            <w:tcW w:w="709" w:type="dxa"/>
            <w:tcBorders>
              <w:top w:val="nil"/>
              <w:left w:val="nil"/>
              <w:bottom w:val="single" w:sz="4" w:space="0" w:color="auto"/>
              <w:right w:val="single" w:sz="4" w:space="0" w:color="auto"/>
            </w:tcBorders>
            <w:shd w:val="clear" w:color="auto" w:fill="auto"/>
            <w:noWrap/>
            <w:vAlign w:val="bottom"/>
            <w:hideMark/>
          </w:tcPr>
          <w:p w14:paraId="7E1AE78C"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22,5</w:t>
            </w:r>
          </w:p>
        </w:tc>
        <w:tc>
          <w:tcPr>
            <w:tcW w:w="709" w:type="dxa"/>
            <w:tcBorders>
              <w:top w:val="nil"/>
              <w:left w:val="nil"/>
              <w:bottom w:val="single" w:sz="4" w:space="0" w:color="auto"/>
              <w:right w:val="single" w:sz="4" w:space="0" w:color="auto"/>
            </w:tcBorders>
            <w:shd w:val="clear" w:color="auto" w:fill="auto"/>
            <w:noWrap/>
            <w:vAlign w:val="bottom"/>
            <w:hideMark/>
          </w:tcPr>
          <w:p w14:paraId="6931D234"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22,4</w:t>
            </w:r>
          </w:p>
        </w:tc>
        <w:tc>
          <w:tcPr>
            <w:tcW w:w="708" w:type="dxa"/>
            <w:tcBorders>
              <w:top w:val="nil"/>
              <w:left w:val="nil"/>
              <w:bottom w:val="single" w:sz="4" w:space="0" w:color="auto"/>
              <w:right w:val="single" w:sz="4" w:space="0" w:color="auto"/>
            </w:tcBorders>
            <w:shd w:val="clear" w:color="auto" w:fill="auto"/>
            <w:noWrap/>
            <w:vAlign w:val="bottom"/>
            <w:hideMark/>
          </w:tcPr>
          <w:p w14:paraId="375A07E8"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22,4</w:t>
            </w:r>
          </w:p>
        </w:tc>
      </w:tr>
      <w:tr w:rsidR="009A71A1" w:rsidRPr="009A71A1" w14:paraId="7A152DB9" w14:textId="77777777" w:rsidTr="001D6A54">
        <w:trPr>
          <w:trHeight w:val="17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1A107F6"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09BB4163"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Ieņēmumu un izdevumu palielinājums, lai nodrošinātu prioritārā pasākuma "Satversmes tiesas spriedumu izpilde labklājības jomā" apkašpasākuma "Atbalsts bērniem apgādnieka nāves gadījumā" īstenošanu, saņemot transferta pārskaitījumu no LM pamatbudžeta programmas 04.00.00 "Valsts atbalsts sociālajai apdrošināšanai" (LM 03.09.2020. vēstule Nr.25-1-01/62, LM 23.09.2020. vēstule Nr.25-1-01/69, MK 22.09.2020. sēdes prot.Nr.55)</w:t>
            </w:r>
          </w:p>
        </w:tc>
        <w:tc>
          <w:tcPr>
            <w:tcW w:w="709" w:type="dxa"/>
            <w:tcBorders>
              <w:top w:val="nil"/>
              <w:left w:val="nil"/>
              <w:bottom w:val="single" w:sz="4" w:space="0" w:color="auto"/>
              <w:right w:val="single" w:sz="4" w:space="0" w:color="auto"/>
            </w:tcBorders>
            <w:shd w:val="clear" w:color="auto" w:fill="auto"/>
            <w:noWrap/>
            <w:vAlign w:val="bottom"/>
            <w:hideMark/>
          </w:tcPr>
          <w:p w14:paraId="6FC81E59"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4,9</w:t>
            </w:r>
          </w:p>
        </w:tc>
        <w:tc>
          <w:tcPr>
            <w:tcW w:w="709" w:type="dxa"/>
            <w:tcBorders>
              <w:top w:val="nil"/>
              <w:left w:val="nil"/>
              <w:bottom w:val="single" w:sz="4" w:space="0" w:color="auto"/>
              <w:right w:val="single" w:sz="4" w:space="0" w:color="auto"/>
            </w:tcBorders>
            <w:shd w:val="clear" w:color="auto" w:fill="auto"/>
            <w:noWrap/>
            <w:vAlign w:val="bottom"/>
            <w:hideMark/>
          </w:tcPr>
          <w:p w14:paraId="6B411CB0"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4,9</w:t>
            </w:r>
          </w:p>
        </w:tc>
        <w:tc>
          <w:tcPr>
            <w:tcW w:w="708" w:type="dxa"/>
            <w:tcBorders>
              <w:top w:val="nil"/>
              <w:left w:val="nil"/>
              <w:bottom w:val="single" w:sz="4" w:space="0" w:color="auto"/>
              <w:right w:val="single" w:sz="4" w:space="0" w:color="auto"/>
            </w:tcBorders>
            <w:shd w:val="clear" w:color="auto" w:fill="auto"/>
            <w:noWrap/>
            <w:vAlign w:val="bottom"/>
            <w:hideMark/>
          </w:tcPr>
          <w:p w14:paraId="3BF67C8E"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4,9</w:t>
            </w:r>
          </w:p>
        </w:tc>
      </w:tr>
      <w:tr w:rsidR="009A71A1" w:rsidRPr="009A71A1" w14:paraId="3C02B73F" w14:textId="77777777" w:rsidTr="001D6A54">
        <w:trPr>
          <w:trHeight w:val="178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7FFC1"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6B582C"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Ieņēmumu un izdevumu palielinājums, lai nodrošinātu prioritārā pasākuma "Satversmes tiesas spriedumu izpilde labklājības jomā" apakšpasākuma "Minimālo pensiju paaugstināšana" īstenošanu, saņemot transferta pārskaitījumu no LM pamatbudžeta programmas 04.00.00 "Valsts atbalsts sociālajai apdrošināšanai" (LM 03.09.2020. vēstule Nr.25-1-01/62, LM 23.09.2020. vēstule Nr.25-1-01/69, MK 22.09.2020. sēdes prot.Nr.55)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24748"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570F1"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29,0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ABAF3"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29,3</w:t>
            </w:r>
          </w:p>
        </w:tc>
      </w:tr>
      <w:tr w:rsidR="009A71A1" w:rsidRPr="009A71A1" w14:paraId="66431189" w14:textId="77777777" w:rsidTr="001D6A54">
        <w:trPr>
          <w:trHeight w:val="255"/>
        </w:trPr>
        <w:tc>
          <w:tcPr>
            <w:tcW w:w="1696"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F3CC3DA" w14:textId="0B82EAF0"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TM</w:t>
            </w:r>
          </w:p>
        </w:tc>
        <w:tc>
          <w:tcPr>
            <w:tcW w:w="5245" w:type="dxa"/>
            <w:tcBorders>
              <w:top w:val="single" w:sz="4" w:space="0" w:color="auto"/>
              <w:left w:val="nil"/>
              <w:bottom w:val="single" w:sz="4" w:space="0" w:color="auto"/>
              <w:right w:val="single" w:sz="4" w:space="0" w:color="auto"/>
            </w:tcBorders>
            <w:shd w:val="clear" w:color="000000" w:fill="DDEBF7"/>
            <w:vAlign w:val="bottom"/>
            <w:hideMark/>
          </w:tcPr>
          <w:p w14:paraId="69326579"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single" w:sz="4" w:space="0" w:color="auto"/>
              <w:left w:val="nil"/>
              <w:bottom w:val="single" w:sz="4" w:space="0" w:color="auto"/>
              <w:right w:val="single" w:sz="4" w:space="0" w:color="auto"/>
            </w:tcBorders>
            <w:shd w:val="clear" w:color="000000" w:fill="DDEBF7"/>
            <w:noWrap/>
            <w:vAlign w:val="bottom"/>
            <w:hideMark/>
          </w:tcPr>
          <w:p w14:paraId="4D6BC6A5"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single" w:sz="4" w:space="0" w:color="auto"/>
              <w:left w:val="nil"/>
              <w:bottom w:val="single" w:sz="4" w:space="0" w:color="auto"/>
              <w:right w:val="single" w:sz="4" w:space="0" w:color="auto"/>
            </w:tcBorders>
            <w:shd w:val="clear" w:color="000000" w:fill="DDEBF7"/>
            <w:noWrap/>
            <w:vAlign w:val="bottom"/>
            <w:hideMark/>
          </w:tcPr>
          <w:p w14:paraId="3AB0932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single" w:sz="4" w:space="0" w:color="auto"/>
              <w:left w:val="nil"/>
              <w:bottom w:val="single" w:sz="4" w:space="0" w:color="auto"/>
              <w:right w:val="single" w:sz="4" w:space="0" w:color="auto"/>
            </w:tcBorders>
            <w:shd w:val="clear" w:color="000000" w:fill="DDEBF7"/>
            <w:noWrap/>
            <w:vAlign w:val="bottom"/>
            <w:hideMark/>
          </w:tcPr>
          <w:p w14:paraId="230A8954"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0BD517F5" w14:textId="77777777" w:rsidTr="001D6A54">
        <w:trPr>
          <w:trHeight w:val="76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604B38D"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6D68E895"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Palielināti izdevumi prioritārajam pasākumam "Tiesu darbinieku mēnešalgu paaugstināšana" saskaņā ar MK 22.09.2020. sēdē izskatītā informatīvā ziņojuma 2.pielikumu.</w:t>
            </w:r>
          </w:p>
        </w:tc>
        <w:tc>
          <w:tcPr>
            <w:tcW w:w="709" w:type="dxa"/>
            <w:tcBorders>
              <w:top w:val="nil"/>
              <w:left w:val="nil"/>
              <w:bottom w:val="single" w:sz="4" w:space="0" w:color="auto"/>
              <w:right w:val="single" w:sz="4" w:space="0" w:color="auto"/>
            </w:tcBorders>
            <w:shd w:val="clear" w:color="auto" w:fill="auto"/>
            <w:noWrap/>
            <w:vAlign w:val="bottom"/>
            <w:hideMark/>
          </w:tcPr>
          <w:p w14:paraId="6CAF9D74"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3,4</w:t>
            </w:r>
          </w:p>
        </w:tc>
        <w:tc>
          <w:tcPr>
            <w:tcW w:w="709" w:type="dxa"/>
            <w:tcBorders>
              <w:top w:val="nil"/>
              <w:left w:val="nil"/>
              <w:bottom w:val="single" w:sz="4" w:space="0" w:color="auto"/>
              <w:right w:val="single" w:sz="4" w:space="0" w:color="auto"/>
            </w:tcBorders>
            <w:shd w:val="clear" w:color="auto" w:fill="auto"/>
            <w:noWrap/>
            <w:vAlign w:val="bottom"/>
            <w:hideMark/>
          </w:tcPr>
          <w:p w14:paraId="283858C3"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3,4</w:t>
            </w:r>
          </w:p>
        </w:tc>
        <w:tc>
          <w:tcPr>
            <w:tcW w:w="708" w:type="dxa"/>
            <w:tcBorders>
              <w:top w:val="nil"/>
              <w:left w:val="nil"/>
              <w:bottom w:val="single" w:sz="4" w:space="0" w:color="auto"/>
              <w:right w:val="single" w:sz="4" w:space="0" w:color="auto"/>
            </w:tcBorders>
            <w:shd w:val="clear" w:color="auto" w:fill="auto"/>
            <w:noWrap/>
            <w:vAlign w:val="bottom"/>
            <w:hideMark/>
          </w:tcPr>
          <w:p w14:paraId="14B200C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3,4</w:t>
            </w:r>
          </w:p>
        </w:tc>
      </w:tr>
      <w:tr w:rsidR="009A71A1" w:rsidRPr="009A71A1" w14:paraId="7EC195D3"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0904CBED" w14:textId="043BAD20"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KM</w:t>
            </w:r>
          </w:p>
        </w:tc>
        <w:tc>
          <w:tcPr>
            <w:tcW w:w="5245" w:type="dxa"/>
            <w:tcBorders>
              <w:top w:val="nil"/>
              <w:left w:val="nil"/>
              <w:bottom w:val="single" w:sz="4" w:space="0" w:color="auto"/>
              <w:right w:val="single" w:sz="4" w:space="0" w:color="auto"/>
            </w:tcBorders>
            <w:shd w:val="clear" w:color="000000" w:fill="DDEBF7"/>
            <w:vAlign w:val="bottom"/>
            <w:hideMark/>
          </w:tcPr>
          <w:p w14:paraId="1810063C"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39CBFC0C"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61912070"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17965ED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661177C8" w14:textId="77777777" w:rsidTr="001D6A54">
        <w:trPr>
          <w:trHeight w:val="10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39DCE8A"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38096CF5"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Finansējuma palielinājums pedagogu darba samaksas pieauguma grafika īstenošana pirmsskolas izglītībā, vispārējā izglītībā, profesionālajā izglītībā, profesionālajā ievirzē un interešu izglītībā, saskaņā ar 22.09.2020. MK sēdē nolemto</w:t>
            </w:r>
          </w:p>
        </w:tc>
        <w:tc>
          <w:tcPr>
            <w:tcW w:w="709" w:type="dxa"/>
            <w:tcBorders>
              <w:top w:val="nil"/>
              <w:left w:val="nil"/>
              <w:bottom w:val="single" w:sz="4" w:space="0" w:color="auto"/>
              <w:right w:val="single" w:sz="4" w:space="0" w:color="auto"/>
            </w:tcBorders>
            <w:shd w:val="clear" w:color="auto" w:fill="auto"/>
            <w:noWrap/>
            <w:vAlign w:val="bottom"/>
            <w:hideMark/>
          </w:tcPr>
          <w:p w14:paraId="5CA5D143"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3,1</w:t>
            </w:r>
          </w:p>
        </w:tc>
        <w:tc>
          <w:tcPr>
            <w:tcW w:w="709" w:type="dxa"/>
            <w:tcBorders>
              <w:top w:val="nil"/>
              <w:left w:val="nil"/>
              <w:bottom w:val="single" w:sz="4" w:space="0" w:color="auto"/>
              <w:right w:val="single" w:sz="4" w:space="0" w:color="auto"/>
            </w:tcBorders>
            <w:shd w:val="clear" w:color="auto" w:fill="auto"/>
            <w:noWrap/>
            <w:vAlign w:val="bottom"/>
            <w:hideMark/>
          </w:tcPr>
          <w:p w14:paraId="6059E482"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3,9</w:t>
            </w:r>
          </w:p>
        </w:tc>
        <w:tc>
          <w:tcPr>
            <w:tcW w:w="708" w:type="dxa"/>
            <w:tcBorders>
              <w:top w:val="nil"/>
              <w:left w:val="nil"/>
              <w:bottom w:val="single" w:sz="4" w:space="0" w:color="auto"/>
              <w:right w:val="single" w:sz="4" w:space="0" w:color="auto"/>
            </w:tcBorders>
            <w:shd w:val="clear" w:color="auto" w:fill="auto"/>
            <w:noWrap/>
            <w:vAlign w:val="bottom"/>
            <w:hideMark/>
          </w:tcPr>
          <w:p w14:paraId="73A04204"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3,9</w:t>
            </w:r>
          </w:p>
        </w:tc>
      </w:tr>
      <w:tr w:rsidR="009A71A1" w:rsidRPr="009A71A1" w14:paraId="7009FD2C" w14:textId="77777777" w:rsidTr="003D0245">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472D15E3" w14:textId="4611EE3A" w:rsidR="009A71A1" w:rsidRPr="009A71A1" w:rsidRDefault="009A71A1">
            <w:pPr>
              <w:rPr>
                <w:rFonts w:ascii="Times New Roman" w:hAnsi="Times New Roman" w:cs="Times New Roman"/>
                <w:b/>
                <w:bCs/>
                <w:sz w:val="20"/>
                <w:szCs w:val="20"/>
              </w:rPr>
            </w:pPr>
            <w:r>
              <w:rPr>
                <w:rFonts w:ascii="Times New Roman" w:hAnsi="Times New Roman" w:cs="Times New Roman"/>
                <w:b/>
                <w:bCs/>
                <w:sz w:val="20"/>
                <w:szCs w:val="20"/>
              </w:rPr>
              <w:t>VM</w:t>
            </w:r>
          </w:p>
        </w:tc>
        <w:tc>
          <w:tcPr>
            <w:tcW w:w="5245" w:type="dxa"/>
            <w:tcBorders>
              <w:top w:val="nil"/>
              <w:left w:val="nil"/>
              <w:bottom w:val="single" w:sz="4" w:space="0" w:color="auto"/>
              <w:right w:val="single" w:sz="4" w:space="0" w:color="auto"/>
            </w:tcBorders>
            <w:shd w:val="clear" w:color="000000" w:fill="DDEBF7"/>
            <w:vAlign w:val="bottom"/>
            <w:hideMark/>
          </w:tcPr>
          <w:p w14:paraId="27AD8453"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46BA3C58"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71A9CDC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1A48A5B6"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5249F9C9" w14:textId="77777777" w:rsidTr="003D0245">
        <w:trPr>
          <w:trHeight w:val="127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27AD1"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6E8B40" w14:textId="60885786" w:rsidR="009A71A1" w:rsidRPr="009A71A1" w:rsidRDefault="009A71A1" w:rsidP="001D6A54">
            <w:pPr>
              <w:rPr>
                <w:rFonts w:ascii="Times New Roman" w:hAnsi="Times New Roman" w:cs="Times New Roman"/>
                <w:sz w:val="20"/>
                <w:szCs w:val="20"/>
              </w:rPr>
            </w:pPr>
            <w:r w:rsidRPr="009A71A1">
              <w:rPr>
                <w:rFonts w:ascii="Times New Roman" w:hAnsi="Times New Roman" w:cs="Times New Roman"/>
                <w:sz w:val="20"/>
                <w:szCs w:val="20"/>
              </w:rPr>
              <w:t>Palielināti resursi un izde</w:t>
            </w:r>
            <w:r w:rsidR="001D6A54">
              <w:rPr>
                <w:rFonts w:ascii="Times New Roman" w:hAnsi="Times New Roman" w:cs="Times New Roman"/>
                <w:sz w:val="20"/>
                <w:szCs w:val="20"/>
              </w:rPr>
              <w:t>vumi 2021.-2023.gadam</w:t>
            </w:r>
            <w:r w:rsidRPr="009A71A1">
              <w:rPr>
                <w:rFonts w:ascii="Times New Roman" w:hAnsi="Times New Roman" w:cs="Times New Roman"/>
                <w:sz w:val="20"/>
                <w:szCs w:val="20"/>
              </w:rPr>
              <w:t>, lai nodrošinātu prioritārā pasākuma “Ārstniecības personu darba samaksas pieauguma nodrošināšana” īstenošanu (MK 22.09.2020. sēdes protokols Nr.55, VM 23.09.2020 vēstule Nr.01-13FM-1/4799)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10298" w14:textId="3ED61E19" w:rsidR="009A71A1" w:rsidRPr="009A71A1" w:rsidRDefault="00DA531D">
            <w:pPr>
              <w:jc w:val="right"/>
              <w:rPr>
                <w:rFonts w:ascii="Times New Roman" w:hAnsi="Times New Roman" w:cs="Times New Roman"/>
                <w:sz w:val="20"/>
                <w:szCs w:val="20"/>
              </w:rPr>
            </w:pPr>
            <w:r>
              <w:rPr>
                <w:rFonts w:ascii="Times New Roman" w:hAnsi="Times New Roman" w:cs="Times New Roman"/>
                <w:sz w:val="20"/>
                <w:szCs w:val="20"/>
              </w:rPr>
              <w:t>173,1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D743C" w14:textId="76FF2927" w:rsidR="009A71A1" w:rsidRPr="009A71A1" w:rsidRDefault="00DA531D">
            <w:pPr>
              <w:jc w:val="right"/>
              <w:rPr>
                <w:rFonts w:ascii="Times New Roman" w:hAnsi="Times New Roman" w:cs="Times New Roman"/>
                <w:sz w:val="20"/>
                <w:szCs w:val="20"/>
              </w:rPr>
            </w:pPr>
            <w:r>
              <w:rPr>
                <w:rFonts w:ascii="Times New Roman" w:hAnsi="Times New Roman" w:cs="Times New Roman"/>
                <w:sz w:val="20"/>
                <w:szCs w:val="20"/>
              </w:rPr>
              <w:t>173,1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F4BF" w14:textId="53570BB4" w:rsidR="009A71A1" w:rsidRPr="009A71A1" w:rsidRDefault="00DA531D">
            <w:pPr>
              <w:jc w:val="right"/>
              <w:rPr>
                <w:rFonts w:ascii="Times New Roman" w:hAnsi="Times New Roman" w:cs="Times New Roman"/>
                <w:sz w:val="20"/>
                <w:szCs w:val="20"/>
              </w:rPr>
            </w:pPr>
            <w:r>
              <w:rPr>
                <w:rFonts w:ascii="Times New Roman" w:hAnsi="Times New Roman" w:cs="Times New Roman"/>
                <w:sz w:val="20"/>
                <w:szCs w:val="20"/>
              </w:rPr>
              <w:t>173,1</w:t>
            </w:r>
          </w:p>
        </w:tc>
      </w:tr>
      <w:tr w:rsidR="009A71A1" w:rsidRPr="009A71A1" w14:paraId="70A9E55F" w14:textId="77777777" w:rsidTr="003D0245">
        <w:trPr>
          <w:trHeight w:val="255"/>
        </w:trPr>
        <w:tc>
          <w:tcPr>
            <w:tcW w:w="1696"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C308C72"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Radio un televīzija</w:t>
            </w:r>
          </w:p>
        </w:tc>
        <w:tc>
          <w:tcPr>
            <w:tcW w:w="5245" w:type="dxa"/>
            <w:tcBorders>
              <w:top w:val="single" w:sz="4" w:space="0" w:color="auto"/>
              <w:left w:val="nil"/>
              <w:bottom w:val="single" w:sz="4" w:space="0" w:color="auto"/>
              <w:right w:val="single" w:sz="4" w:space="0" w:color="auto"/>
            </w:tcBorders>
            <w:shd w:val="clear" w:color="000000" w:fill="DDEBF7"/>
            <w:vAlign w:val="bottom"/>
            <w:hideMark/>
          </w:tcPr>
          <w:p w14:paraId="4D88EAA6"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single" w:sz="4" w:space="0" w:color="auto"/>
              <w:left w:val="nil"/>
              <w:bottom w:val="single" w:sz="4" w:space="0" w:color="auto"/>
              <w:right w:val="single" w:sz="4" w:space="0" w:color="auto"/>
            </w:tcBorders>
            <w:shd w:val="clear" w:color="000000" w:fill="DDEBF7"/>
            <w:noWrap/>
            <w:vAlign w:val="bottom"/>
            <w:hideMark/>
          </w:tcPr>
          <w:p w14:paraId="189EB81A"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single" w:sz="4" w:space="0" w:color="auto"/>
              <w:left w:val="nil"/>
              <w:bottom w:val="single" w:sz="4" w:space="0" w:color="auto"/>
              <w:right w:val="single" w:sz="4" w:space="0" w:color="auto"/>
            </w:tcBorders>
            <w:shd w:val="clear" w:color="000000" w:fill="DDEBF7"/>
            <w:noWrap/>
            <w:vAlign w:val="bottom"/>
            <w:hideMark/>
          </w:tcPr>
          <w:p w14:paraId="1C097019"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single" w:sz="4" w:space="0" w:color="auto"/>
              <w:left w:val="nil"/>
              <w:bottom w:val="single" w:sz="4" w:space="0" w:color="auto"/>
              <w:right w:val="single" w:sz="4" w:space="0" w:color="auto"/>
            </w:tcBorders>
            <w:shd w:val="clear" w:color="000000" w:fill="DDEBF7"/>
            <w:noWrap/>
            <w:vAlign w:val="bottom"/>
            <w:hideMark/>
          </w:tcPr>
          <w:p w14:paraId="311E40D4"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57F0E096"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0D15DFB"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3B0F3263"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Dotācijas palielinājums, lai nodrošinātu VSIA "Latvijas Televīzija" attīstību pēc iziešanas no reklāmas tirgus</w:t>
            </w:r>
          </w:p>
        </w:tc>
        <w:tc>
          <w:tcPr>
            <w:tcW w:w="709" w:type="dxa"/>
            <w:tcBorders>
              <w:top w:val="nil"/>
              <w:left w:val="nil"/>
              <w:bottom w:val="single" w:sz="4" w:space="0" w:color="auto"/>
              <w:right w:val="single" w:sz="4" w:space="0" w:color="auto"/>
            </w:tcBorders>
            <w:shd w:val="clear" w:color="auto" w:fill="auto"/>
            <w:noWrap/>
            <w:vAlign w:val="bottom"/>
            <w:hideMark/>
          </w:tcPr>
          <w:p w14:paraId="510CCF63"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6,1</w:t>
            </w:r>
          </w:p>
        </w:tc>
        <w:tc>
          <w:tcPr>
            <w:tcW w:w="709" w:type="dxa"/>
            <w:tcBorders>
              <w:top w:val="nil"/>
              <w:left w:val="nil"/>
              <w:bottom w:val="single" w:sz="4" w:space="0" w:color="auto"/>
              <w:right w:val="single" w:sz="4" w:space="0" w:color="auto"/>
            </w:tcBorders>
            <w:shd w:val="clear" w:color="auto" w:fill="auto"/>
            <w:noWrap/>
            <w:vAlign w:val="bottom"/>
            <w:hideMark/>
          </w:tcPr>
          <w:p w14:paraId="737CF77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6,1</w:t>
            </w:r>
          </w:p>
        </w:tc>
        <w:tc>
          <w:tcPr>
            <w:tcW w:w="708" w:type="dxa"/>
            <w:tcBorders>
              <w:top w:val="nil"/>
              <w:left w:val="nil"/>
              <w:bottom w:val="single" w:sz="4" w:space="0" w:color="auto"/>
              <w:right w:val="single" w:sz="4" w:space="0" w:color="auto"/>
            </w:tcBorders>
            <w:shd w:val="clear" w:color="auto" w:fill="auto"/>
            <w:noWrap/>
            <w:vAlign w:val="bottom"/>
            <w:hideMark/>
          </w:tcPr>
          <w:p w14:paraId="1C2F26D1"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6,1</w:t>
            </w:r>
          </w:p>
        </w:tc>
      </w:tr>
      <w:tr w:rsidR="009A71A1" w:rsidRPr="009A71A1" w14:paraId="74E2787C"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4EE4D154"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Mērķdotācijas pašvaldībām</w:t>
            </w:r>
          </w:p>
        </w:tc>
        <w:tc>
          <w:tcPr>
            <w:tcW w:w="5245" w:type="dxa"/>
            <w:tcBorders>
              <w:top w:val="nil"/>
              <w:left w:val="nil"/>
              <w:bottom w:val="single" w:sz="4" w:space="0" w:color="auto"/>
              <w:right w:val="single" w:sz="4" w:space="0" w:color="auto"/>
            </w:tcBorders>
            <w:shd w:val="clear" w:color="000000" w:fill="DDEBF7"/>
            <w:vAlign w:val="bottom"/>
            <w:hideMark/>
          </w:tcPr>
          <w:p w14:paraId="3B3F6081"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0965F84D"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27F367BC"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3FDF4EE5"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38B2906B"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F353053"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268B9C9F"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Finansējuma pārdale ņemot vērā izglītojamo skaita un struktūras izmaiņas</w:t>
            </w:r>
          </w:p>
        </w:tc>
        <w:tc>
          <w:tcPr>
            <w:tcW w:w="709" w:type="dxa"/>
            <w:tcBorders>
              <w:top w:val="nil"/>
              <w:left w:val="nil"/>
              <w:bottom w:val="single" w:sz="4" w:space="0" w:color="auto"/>
              <w:right w:val="single" w:sz="4" w:space="0" w:color="auto"/>
            </w:tcBorders>
            <w:shd w:val="clear" w:color="auto" w:fill="auto"/>
            <w:noWrap/>
            <w:vAlign w:val="bottom"/>
            <w:hideMark/>
          </w:tcPr>
          <w:p w14:paraId="550449A4" w14:textId="502BF6ED" w:rsidR="009A71A1" w:rsidRPr="009A71A1" w:rsidRDefault="001D6A54">
            <w:pPr>
              <w:jc w:val="right"/>
              <w:rPr>
                <w:rFonts w:ascii="Times New Roman" w:hAnsi="Times New Roman" w:cs="Times New Roman"/>
                <w:sz w:val="20"/>
                <w:szCs w:val="20"/>
              </w:rPr>
            </w:pPr>
            <w:r>
              <w:rPr>
                <w:rFonts w:ascii="Times New Roman" w:hAnsi="Times New Roman" w:cs="Times New Roman"/>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14:paraId="2089F62A" w14:textId="4AC655F1" w:rsidR="009A71A1" w:rsidRPr="009A71A1" w:rsidRDefault="001D6A54">
            <w:pPr>
              <w:jc w:val="right"/>
              <w:rPr>
                <w:rFonts w:ascii="Times New Roman" w:hAnsi="Times New Roman" w:cs="Times New Roman"/>
                <w:sz w:val="20"/>
                <w:szCs w:val="20"/>
              </w:rPr>
            </w:pPr>
            <w:r>
              <w:rPr>
                <w:rFonts w:ascii="Times New Roman" w:hAnsi="Times New Roman" w:cs="Times New Roman"/>
                <w:sz w:val="20"/>
                <w:szCs w:val="20"/>
              </w:rPr>
              <w:t>-1,2</w:t>
            </w:r>
          </w:p>
        </w:tc>
        <w:tc>
          <w:tcPr>
            <w:tcW w:w="708" w:type="dxa"/>
            <w:tcBorders>
              <w:top w:val="nil"/>
              <w:left w:val="nil"/>
              <w:bottom w:val="single" w:sz="4" w:space="0" w:color="auto"/>
              <w:right w:val="single" w:sz="4" w:space="0" w:color="auto"/>
            </w:tcBorders>
            <w:shd w:val="clear" w:color="auto" w:fill="auto"/>
            <w:noWrap/>
            <w:vAlign w:val="bottom"/>
            <w:hideMark/>
          </w:tcPr>
          <w:p w14:paraId="67B57E13" w14:textId="66C8B643" w:rsidR="009A71A1" w:rsidRPr="009A71A1" w:rsidRDefault="001D6A54">
            <w:pPr>
              <w:jc w:val="right"/>
              <w:rPr>
                <w:rFonts w:ascii="Times New Roman" w:hAnsi="Times New Roman" w:cs="Times New Roman"/>
                <w:sz w:val="20"/>
                <w:szCs w:val="20"/>
              </w:rPr>
            </w:pPr>
            <w:r>
              <w:rPr>
                <w:rFonts w:ascii="Times New Roman" w:hAnsi="Times New Roman" w:cs="Times New Roman"/>
                <w:sz w:val="20"/>
                <w:szCs w:val="20"/>
              </w:rPr>
              <w:t>-1,2</w:t>
            </w:r>
          </w:p>
        </w:tc>
      </w:tr>
      <w:tr w:rsidR="009A71A1" w:rsidRPr="009A71A1" w14:paraId="4CEC9681"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D70FFFB"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73193226"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Saskaņā ar MK 22.09.2020.nolemto, nodrošināta pedagogu darba samaksas paaugstināšanas grafika īstenošana</w:t>
            </w:r>
          </w:p>
        </w:tc>
        <w:tc>
          <w:tcPr>
            <w:tcW w:w="709" w:type="dxa"/>
            <w:tcBorders>
              <w:top w:val="nil"/>
              <w:left w:val="nil"/>
              <w:bottom w:val="single" w:sz="4" w:space="0" w:color="auto"/>
              <w:right w:val="single" w:sz="4" w:space="0" w:color="auto"/>
            </w:tcBorders>
            <w:shd w:val="clear" w:color="auto" w:fill="auto"/>
            <w:noWrap/>
            <w:vAlign w:val="bottom"/>
            <w:hideMark/>
          </w:tcPr>
          <w:p w14:paraId="28A5C049" w14:textId="5147DDC4" w:rsidR="009A71A1" w:rsidRPr="009A71A1" w:rsidRDefault="00DA531D">
            <w:pPr>
              <w:jc w:val="right"/>
              <w:rPr>
                <w:rFonts w:ascii="Times New Roman" w:hAnsi="Times New Roman" w:cs="Times New Roman"/>
                <w:sz w:val="20"/>
                <w:szCs w:val="20"/>
              </w:rPr>
            </w:pPr>
            <w:r>
              <w:rPr>
                <w:rFonts w:ascii="Times New Roman" w:hAnsi="Times New Roman" w:cs="Times New Roman"/>
                <w:sz w:val="20"/>
                <w:szCs w:val="20"/>
              </w:rPr>
              <w:t>25,3</w:t>
            </w:r>
          </w:p>
        </w:tc>
        <w:tc>
          <w:tcPr>
            <w:tcW w:w="709" w:type="dxa"/>
            <w:tcBorders>
              <w:top w:val="nil"/>
              <w:left w:val="nil"/>
              <w:bottom w:val="single" w:sz="4" w:space="0" w:color="auto"/>
              <w:right w:val="single" w:sz="4" w:space="0" w:color="auto"/>
            </w:tcBorders>
            <w:shd w:val="clear" w:color="auto" w:fill="auto"/>
            <w:noWrap/>
            <w:vAlign w:val="bottom"/>
            <w:hideMark/>
          </w:tcPr>
          <w:p w14:paraId="79CE7A52" w14:textId="4303FE7E" w:rsidR="009A71A1" w:rsidRPr="009A71A1" w:rsidRDefault="00DA531D">
            <w:pPr>
              <w:jc w:val="right"/>
              <w:rPr>
                <w:rFonts w:ascii="Times New Roman" w:hAnsi="Times New Roman" w:cs="Times New Roman"/>
                <w:sz w:val="20"/>
                <w:szCs w:val="20"/>
              </w:rPr>
            </w:pPr>
            <w:r>
              <w:rPr>
                <w:rFonts w:ascii="Times New Roman" w:hAnsi="Times New Roman" w:cs="Times New Roman"/>
                <w:sz w:val="20"/>
                <w:szCs w:val="20"/>
              </w:rPr>
              <w:t>38,0</w:t>
            </w:r>
          </w:p>
        </w:tc>
        <w:tc>
          <w:tcPr>
            <w:tcW w:w="708" w:type="dxa"/>
            <w:tcBorders>
              <w:top w:val="nil"/>
              <w:left w:val="nil"/>
              <w:bottom w:val="single" w:sz="4" w:space="0" w:color="auto"/>
              <w:right w:val="single" w:sz="4" w:space="0" w:color="auto"/>
            </w:tcBorders>
            <w:shd w:val="clear" w:color="auto" w:fill="auto"/>
            <w:noWrap/>
            <w:vAlign w:val="bottom"/>
            <w:hideMark/>
          </w:tcPr>
          <w:p w14:paraId="013798C6" w14:textId="00AF2916" w:rsidR="009A71A1" w:rsidRPr="009A71A1" w:rsidRDefault="00DA531D">
            <w:pPr>
              <w:jc w:val="right"/>
              <w:rPr>
                <w:rFonts w:ascii="Times New Roman" w:hAnsi="Times New Roman" w:cs="Times New Roman"/>
                <w:sz w:val="20"/>
                <w:szCs w:val="20"/>
              </w:rPr>
            </w:pPr>
            <w:r>
              <w:rPr>
                <w:rFonts w:ascii="Times New Roman" w:hAnsi="Times New Roman" w:cs="Times New Roman"/>
                <w:sz w:val="20"/>
                <w:szCs w:val="20"/>
              </w:rPr>
              <w:t>38,0</w:t>
            </w:r>
          </w:p>
        </w:tc>
      </w:tr>
      <w:tr w:rsidR="009A71A1" w:rsidRPr="009A71A1" w14:paraId="03E48CE6"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002E4F56"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Dotācija pašvaldībām</w:t>
            </w:r>
          </w:p>
        </w:tc>
        <w:tc>
          <w:tcPr>
            <w:tcW w:w="5245" w:type="dxa"/>
            <w:tcBorders>
              <w:top w:val="nil"/>
              <w:left w:val="nil"/>
              <w:bottom w:val="single" w:sz="4" w:space="0" w:color="auto"/>
              <w:right w:val="single" w:sz="4" w:space="0" w:color="auto"/>
            </w:tcBorders>
            <w:shd w:val="clear" w:color="000000" w:fill="DDEBF7"/>
            <w:vAlign w:val="bottom"/>
            <w:hideMark/>
          </w:tcPr>
          <w:p w14:paraId="0BA64108"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04197886"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60315967"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603F9FDB"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77D02F11"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1FDFC17"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37BCE276"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Pašvaldību speciālās dotācijas palielinājums par 10% pret iepriekšējo gadu</w:t>
            </w:r>
          </w:p>
        </w:tc>
        <w:tc>
          <w:tcPr>
            <w:tcW w:w="709" w:type="dxa"/>
            <w:tcBorders>
              <w:top w:val="nil"/>
              <w:left w:val="nil"/>
              <w:bottom w:val="single" w:sz="4" w:space="0" w:color="auto"/>
              <w:right w:val="single" w:sz="4" w:space="0" w:color="auto"/>
            </w:tcBorders>
            <w:shd w:val="clear" w:color="auto" w:fill="auto"/>
            <w:noWrap/>
            <w:vAlign w:val="bottom"/>
            <w:hideMark/>
          </w:tcPr>
          <w:p w14:paraId="6448961E"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-24,3</w:t>
            </w:r>
          </w:p>
        </w:tc>
        <w:tc>
          <w:tcPr>
            <w:tcW w:w="709" w:type="dxa"/>
            <w:tcBorders>
              <w:top w:val="nil"/>
              <w:left w:val="nil"/>
              <w:bottom w:val="single" w:sz="4" w:space="0" w:color="auto"/>
              <w:right w:val="single" w:sz="4" w:space="0" w:color="auto"/>
            </w:tcBorders>
            <w:shd w:val="clear" w:color="auto" w:fill="auto"/>
            <w:noWrap/>
            <w:vAlign w:val="bottom"/>
            <w:hideMark/>
          </w:tcPr>
          <w:p w14:paraId="4FB3E127"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-8,0</w:t>
            </w:r>
          </w:p>
        </w:tc>
        <w:tc>
          <w:tcPr>
            <w:tcW w:w="708" w:type="dxa"/>
            <w:tcBorders>
              <w:top w:val="nil"/>
              <w:left w:val="nil"/>
              <w:bottom w:val="single" w:sz="4" w:space="0" w:color="auto"/>
              <w:right w:val="single" w:sz="4" w:space="0" w:color="auto"/>
            </w:tcBorders>
            <w:shd w:val="clear" w:color="auto" w:fill="auto"/>
            <w:noWrap/>
            <w:vAlign w:val="bottom"/>
            <w:hideMark/>
          </w:tcPr>
          <w:p w14:paraId="42D1705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171DC66E" w14:textId="77777777" w:rsidTr="001D6A54">
        <w:trPr>
          <w:trHeight w:val="255"/>
        </w:trPr>
        <w:tc>
          <w:tcPr>
            <w:tcW w:w="1696" w:type="dxa"/>
            <w:tcBorders>
              <w:top w:val="nil"/>
              <w:left w:val="single" w:sz="4" w:space="0" w:color="auto"/>
              <w:bottom w:val="single" w:sz="4" w:space="0" w:color="auto"/>
              <w:right w:val="single" w:sz="4" w:space="0" w:color="auto"/>
            </w:tcBorders>
            <w:shd w:val="clear" w:color="000000" w:fill="DDEBF7"/>
            <w:noWrap/>
            <w:vAlign w:val="bottom"/>
            <w:hideMark/>
          </w:tcPr>
          <w:p w14:paraId="08AAA17B"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Gadskārtējā valsts budžeta izpildes procesā pārdalāmais finansējums</w:t>
            </w:r>
          </w:p>
        </w:tc>
        <w:tc>
          <w:tcPr>
            <w:tcW w:w="5245" w:type="dxa"/>
            <w:tcBorders>
              <w:top w:val="nil"/>
              <w:left w:val="nil"/>
              <w:bottom w:val="single" w:sz="4" w:space="0" w:color="auto"/>
              <w:right w:val="single" w:sz="4" w:space="0" w:color="auto"/>
            </w:tcBorders>
            <w:shd w:val="clear" w:color="000000" w:fill="DDEBF7"/>
            <w:vAlign w:val="bottom"/>
            <w:hideMark/>
          </w:tcPr>
          <w:p w14:paraId="15019A5E"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798BC1D7"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01985011"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c>
          <w:tcPr>
            <w:tcW w:w="708" w:type="dxa"/>
            <w:tcBorders>
              <w:top w:val="nil"/>
              <w:left w:val="nil"/>
              <w:bottom w:val="single" w:sz="4" w:space="0" w:color="auto"/>
              <w:right w:val="single" w:sz="4" w:space="0" w:color="auto"/>
            </w:tcBorders>
            <w:shd w:val="clear" w:color="000000" w:fill="DDEBF7"/>
            <w:noWrap/>
            <w:vAlign w:val="bottom"/>
            <w:hideMark/>
          </w:tcPr>
          <w:p w14:paraId="4B445280" w14:textId="77777777" w:rsidR="009A71A1" w:rsidRPr="009A71A1" w:rsidRDefault="009A71A1">
            <w:pPr>
              <w:rPr>
                <w:rFonts w:ascii="Times New Roman" w:hAnsi="Times New Roman" w:cs="Times New Roman"/>
                <w:b/>
                <w:bCs/>
                <w:sz w:val="20"/>
                <w:szCs w:val="20"/>
              </w:rPr>
            </w:pPr>
            <w:r w:rsidRPr="009A71A1">
              <w:rPr>
                <w:rFonts w:ascii="Times New Roman" w:hAnsi="Times New Roman" w:cs="Times New Roman"/>
                <w:b/>
                <w:bCs/>
                <w:sz w:val="20"/>
                <w:szCs w:val="20"/>
              </w:rPr>
              <w:t> </w:t>
            </w:r>
          </w:p>
        </w:tc>
      </w:tr>
      <w:tr w:rsidR="009A71A1" w:rsidRPr="009A71A1" w14:paraId="1A5D3726" w14:textId="77777777" w:rsidTr="001D6A54">
        <w:trPr>
          <w:trHeight w:val="51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C52254D"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266DF5C8" w14:textId="12F9DD8E" w:rsidR="009A71A1" w:rsidRPr="009A71A1" w:rsidRDefault="009A71A1" w:rsidP="009A71A1">
            <w:pPr>
              <w:rPr>
                <w:rFonts w:ascii="Times New Roman" w:hAnsi="Times New Roman" w:cs="Times New Roman"/>
                <w:sz w:val="20"/>
                <w:szCs w:val="20"/>
              </w:rPr>
            </w:pPr>
            <w:r w:rsidRPr="009A71A1">
              <w:rPr>
                <w:rFonts w:ascii="Times New Roman" w:hAnsi="Times New Roman" w:cs="Times New Roman"/>
                <w:sz w:val="20"/>
                <w:szCs w:val="20"/>
              </w:rPr>
              <w:t xml:space="preserve">Finansējums samazināts atbilstoši </w:t>
            </w:r>
            <w:r>
              <w:rPr>
                <w:rFonts w:ascii="Times New Roman" w:hAnsi="Times New Roman" w:cs="Times New Roman"/>
                <w:sz w:val="20"/>
                <w:szCs w:val="20"/>
              </w:rPr>
              <w:t>MK</w:t>
            </w:r>
            <w:r w:rsidRPr="009A71A1">
              <w:rPr>
                <w:rFonts w:ascii="Times New Roman" w:hAnsi="Times New Roman" w:cs="Times New Roman"/>
                <w:sz w:val="20"/>
                <w:szCs w:val="20"/>
              </w:rPr>
              <w:t xml:space="preserve"> pieņemtajiem lēmumiem (MK 22.09.2020 protokola Nr.55 38.§ 2.p.)</w:t>
            </w:r>
          </w:p>
        </w:tc>
        <w:tc>
          <w:tcPr>
            <w:tcW w:w="709" w:type="dxa"/>
            <w:tcBorders>
              <w:top w:val="nil"/>
              <w:left w:val="nil"/>
              <w:bottom w:val="single" w:sz="4" w:space="0" w:color="auto"/>
              <w:right w:val="single" w:sz="4" w:space="0" w:color="auto"/>
            </w:tcBorders>
            <w:shd w:val="clear" w:color="auto" w:fill="auto"/>
            <w:noWrap/>
            <w:vAlign w:val="bottom"/>
            <w:hideMark/>
          </w:tcPr>
          <w:p w14:paraId="637AC867" w14:textId="22682BD9" w:rsidR="009A71A1" w:rsidRPr="009A71A1" w:rsidRDefault="001D6A54">
            <w:pPr>
              <w:jc w:val="right"/>
              <w:rPr>
                <w:rFonts w:ascii="Times New Roman" w:hAnsi="Times New Roman" w:cs="Times New Roman"/>
                <w:sz w:val="20"/>
                <w:szCs w:val="20"/>
              </w:rPr>
            </w:pPr>
            <w:r>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noWrap/>
            <w:vAlign w:val="bottom"/>
            <w:hideMark/>
          </w:tcPr>
          <w:p w14:paraId="786713F2" w14:textId="3F20B94F" w:rsidR="009A71A1" w:rsidRPr="009A71A1" w:rsidRDefault="009A71A1" w:rsidP="001D6A54">
            <w:pPr>
              <w:jc w:val="right"/>
              <w:rPr>
                <w:rFonts w:ascii="Times New Roman" w:hAnsi="Times New Roman" w:cs="Times New Roman"/>
                <w:sz w:val="20"/>
                <w:szCs w:val="20"/>
              </w:rPr>
            </w:pPr>
            <w:r w:rsidRPr="009A71A1">
              <w:rPr>
                <w:rFonts w:ascii="Times New Roman" w:hAnsi="Times New Roman" w:cs="Times New Roman"/>
                <w:sz w:val="20"/>
                <w:szCs w:val="20"/>
              </w:rPr>
              <w:t>-</w:t>
            </w:r>
            <w:r w:rsidR="001D6A54">
              <w:rPr>
                <w:rFonts w:ascii="Times New Roman" w:hAnsi="Times New Roman" w:cs="Times New Roman"/>
                <w:sz w:val="20"/>
                <w:szCs w:val="20"/>
              </w:rPr>
              <w:t>12,1</w:t>
            </w:r>
          </w:p>
        </w:tc>
        <w:tc>
          <w:tcPr>
            <w:tcW w:w="708" w:type="dxa"/>
            <w:tcBorders>
              <w:top w:val="nil"/>
              <w:left w:val="nil"/>
              <w:bottom w:val="single" w:sz="4" w:space="0" w:color="auto"/>
              <w:right w:val="single" w:sz="4" w:space="0" w:color="auto"/>
            </w:tcBorders>
            <w:shd w:val="clear" w:color="auto" w:fill="auto"/>
            <w:noWrap/>
            <w:vAlign w:val="bottom"/>
            <w:hideMark/>
          </w:tcPr>
          <w:p w14:paraId="257526C6" w14:textId="56ED30EF" w:rsidR="009A71A1" w:rsidRPr="009A71A1" w:rsidRDefault="001D6A54">
            <w:pPr>
              <w:jc w:val="right"/>
              <w:rPr>
                <w:rFonts w:ascii="Times New Roman" w:hAnsi="Times New Roman" w:cs="Times New Roman"/>
                <w:sz w:val="20"/>
                <w:szCs w:val="20"/>
              </w:rPr>
            </w:pPr>
            <w:r>
              <w:rPr>
                <w:rFonts w:ascii="Times New Roman" w:hAnsi="Times New Roman" w:cs="Times New Roman"/>
                <w:sz w:val="20"/>
                <w:szCs w:val="20"/>
              </w:rPr>
              <w:t>1,6</w:t>
            </w:r>
          </w:p>
        </w:tc>
      </w:tr>
      <w:tr w:rsidR="009A71A1" w:rsidRPr="009A71A1" w14:paraId="1505A28A" w14:textId="77777777" w:rsidTr="001D6A54">
        <w:trPr>
          <w:trHeight w:val="76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8DCEF1"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6148C4B2" w14:textId="0D9EDB4D"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'Pārdalītais finansējums uz KNAB, ĀM, FM, IeM, TM un Prokuratūru noziedzīgi iegūtu līdzekļu legalizācijas un terorisma finansēšanas novēršana</w:t>
            </w:r>
            <w:r w:rsidR="00DA531D">
              <w:rPr>
                <w:rFonts w:ascii="Times New Roman" w:hAnsi="Times New Roman" w:cs="Times New Roman"/>
                <w:sz w:val="20"/>
                <w:szCs w:val="20"/>
              </w:rPr>
              <w:t>i  (MK 29.09.2020 prot. Nr.56 51.§ 6</w:t>
            </w:r>
            <w:r w:rsidRPr="009A71A1">
              <w:rPr>
                <w:rFonts w:ascii="Times New Roman" w:hAnsi="Times New Roman" w:cs="Times New Roman"/>
                <w:sz w:val="20"/>
                <w:szCs w:val="20"/>
              </w:rPr>
              <w:t>.p.)</w:t>
            </w:r>
          </w:p>
        </w:tc>
        <w:tc>
          <w:tcPr>
            <w:tcW w:w="709" w:type="dxa"/>
            <w:tcBorders>
              <w:top w:val="nil"/>
              <w:left w:val="nil"/>
              <w:bottom w:val="single" w:sz="4" w:space="0" w:color="auto"/>
              <w:right w:val="single" w:sz="4" w:space="0" w:color="auto"/>
            </w:tcBorders>
            <w:shd w:val="clear" w:color="auto" w:fill="auto"/>
            <w:noWrap/>
            <w:vAlign w:val="bottom"/>
            <w:hideMark/>
          </w:tcPr>
          <w:p w14:paraId="3FAED601"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-2,9</w:t>
            </w:r>
          </w:p>
        </w:tc>
        <w:tc>
          <w:tcPr>
            <w:tcW w:w="709" w:type="dxa"/>
            <w:tcBorders>
              <w:top w:val="nil"/>
              <w:left w:val="nil"/>
              <w:bottom w:val="single" w:sz="4" w:space="0" w:color="auto"/>
              <w:right w:val="single" w:sz="4" w:space="0" w:color="auto"/>
            </w:tcBorders>
            <w:shd w:val="clear" w:color="auto" w:fill="auto"/>
            <w:noWrap/>
            <w:vAlign w:val="bottom"/>
            <w:hideMark/>
          </w:tcPr>
          <w:p w14:paraId="3154A913"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-3,4</w:t>
            </w:r>
          </w:p>
        </w:tc>
        <w:tc>
          <w:tcPr>
            <w:tcW w:w="708" w:type="dxa"/>
            <w:tcBorders>
              <w:top w:val="nil"/>
              <w:left w:val="nil"/>
              <w:bottom w:val="single" w:sz="4" w:space="0" w:color="auto"/>
              <w:right w:val="single" w:sz="4" w:space="0" w:color="auto"/>
            </w:tcBorders>
            <w:shd w:val="clear" w:color="auto" w:fill="auto"/>
            <w:noWrap/>
            <w:vAlign w:val="bottom"/>
            <w:hideMark/>
          </w:tcPr>
          <w:p w14:paraId="17E70709"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-2,2</w:t>
            </w:r>
          </w:p>
        </w:tc>
      </w:tr>
      <w:tr w:rsidR="009A71A1" w:rsidRPr="009A71A1" w14:paraId="0A940004" w14:textId="77777777" w:rsidTr="001D6A54">
        <w:trPr>
          <w:trHeight w:val="76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393970"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725D4517" w14:textId="2593ACA0"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Finansējums Covid-19 krīzes pārvarēšanas un ekonomikas atlabšanas pasākumam "Demogrāfija" (MK 02.09.2020 protokola Nr.51</w:t>
            </w:r>
            <w:r w:rsidR="00DA531D">
              <w:rPr>
                <w:rFonts w:ascii="Times New Roman" w:hAnsi="Times New Roman" w:cs="Times New Roman"/>
                <w:sz w:val="20"/>
                <w:szCs w:val="20"/>
              </w:rPr>
              <w:t xml:space="preserve"> </w:t>
            </w:r>
            <w:r w:rsidRPr="009A71A1">
              <w:rPr>
                <w:rFonts w:ascii="Times New Roman" w:hAnsi="Times New Roman" w:cs="Times New Roman"/>
                <w:sz w:val="20"/>
                <w:szCs w:val="20"/>
              </w:rPr>
              <w:t>55.§ 4.p.)</w:t>
            </w:r>
          </w:p>
        </w:tc>
        <w:tc>
          <w:tcPr>
            <w:tcW w:w="709" w:type="dxa"/>
            <w:tcBorders>
              <w:top w:val="nil"/>
              <w:left w:val="nil"/>
              <w:bottom w:val="single" w:sz="4" w:space="0" w:color="auto"/>
              <w:right w:val="single" w:sz="4" w:space="0" w:color="auto"/>
            </w:tcBorders>
            <w:shd w:val="clear" w:color="auto" w:fill="auto"/>
            <w:noWrap/>
            <w:vAlign w:val="bottom"/>
            <w:hideMark/>
          </w:tcPr>
          <w:p w14:paraId="7F308787"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13,4</w:t>
            </w:r>
          </w:p>
        </w:tc>
        <w:tc>
          <w:tcPr>
            <w:tcW w:w="709" w:type="dxa"/>
            <w:tcBorders>
              <w:top w:val="nil"/>
              <w:left w:val="nil"/>
              <w:bottom w:val="single" w:sz="4" w:space="0" w:color="auto"/>
              <w:right w:val="single" w:sz="4" w:space="0" w:color="auto"/>
            </w:tcBorders>
            <w:shd w:val="clear" w:color="auto" w:fill="auto"/>
            <w:noWrap/>
            <w:vAlign w:val="bottom"/>
            <w:hideMark/>
          </w:tcPr>
          <w:p w14:paraId="03CC2FC5"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4B51576E"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0,0</w:t>
            </w:r>
          </w:p>
        </w:tc>
      </w:tr>
      <w:tr w:rsidR="009A71A1" w:rsidRPr="009A71A1" w14:paraId="6627E582" w14:textId="77777777" w:rsidTr="001D6A54">
        <w:trPr>
          <w:trHeight w:val="76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AD13FE4"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 </w:t>
            </w:r>
          </w:p>
        </w:tc>
        <w:tc>
          <w:tcPr>
            <w:tcW w:w="5245" w:type="dxa"/>
            <w:tcBorders>
              <w:top w:val="nil"/>
              <w:left w:val="nil"/>
              <w:bottom w:val="single" w:sz="4" w:space="0" w:color="auto"/>
              <w:right w:val="single" w:sz="4" w:space="0" w:color="auto"/>
            </w:tcBorders>
            <w:shd w:val="clear" w:color="auto" w:fill="auto"/>
            <w:vAlign w:val="bottom"/>
            <w:hideMark/>
          </w:tcPr>
          <w:p w14:paraId="788CEEA2" w14:textId="77777777" w:rsidR="009A71A1" w:rsidRPr="009A71A1" w:rsidRDefault="009A71A1">
            <w:pPr>
              <w:rPr>
                <w:rFonts w:ascii="Times New Roman" w:hAnsi="Times New Roman" w:cs="Times New Roman"/>
                <w:sz w:val="20"/>
                <w:szCs w:val="20"/>
              </w:rPr>
            </w:pPr>
            <w:r w:rsidRPr="009A71A1">
              <w:rPr>
                <w:rFonts w:ascii="Times New Roman" w:hAnsi="Times New Roman" w:cs="Times New Roman"/>
                <w:sz w:val="20"/>
                <w:szCs w:val="20"/>
              </w:rPr>
              <w:t>Pārdalītais finansējums ES politikas instrumentu un pārējās ārvalstu finanšu palīdzības projektu īstenošanai no/uz budžeta resoriem (precizēts uz 25.09.2020)</w:t>
            </w:r>
          </w:p>
        </w:tc>
        <w:tc>
          <w:tcPr>
            <w:tcW w:w="709" w:type="dxa"/>
            <w:tcBorders>
              <w:top w:val="nil"/>
              <w:left w:val="nil"/>
              <w:bottom w:val="single" w:sz="4" w:space="0" w:color="auto"/>
              <w:right w:val="single" w:sz="4" w:space="0" w:color="auto"/>
            </w:tcBorders>
            <w:shd w:val="clear" w:color="auto" w:fill="auto"/>
            <w:noWrap/>
            <w:vAlign w:val="bottom"/>
            <w:hideMark/>
          </w:tcPr>
          <w:p w14:paraId="51ABB0C4"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-43,6</w:t>
            </w:r>
          </w:p>
        </w:tc>
        <w:tc>
          <w:tcPr>
            <w:tcW w:w="709" w:type="dxa"/>
            <w:tcBorders>
              <w:top w:val="nil"/>
              <w:left w:val="nil"/>
              <w:bottom w:val="single" w:sz="4" w:space="0" w:color="auto"/>
              <w:right w:val="single" w:sz="4" w:space="0" w:color="auto"/>
            </w:tcBorders>
            <w:shd w:val="clear" w:color="auto" w:fill="auto"/>
            <w:noWrap/>
            <w:vAlign w:val="bottom"/>
            <w:hideMark/>
          </w:tcPr>
          <w:p w14:paraId="42A9290B"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-1,9</w:t>
            </w:r>
          </w:p>
        </w:tc>
        <w:tc>
          <w:tcPr>
            <w:tcW w:w="708" w:type="dxa"/>
            <w:tcBorders>
              <w:top w:val="nil"/>
              <w:left w:val="nil"/>
              <w:bottom w:val="single" w:sz="4" w:space="0" w:color="auto"/>
              <w:right w:val="single" w:sz="4" w:space="0" w:color="auto"/>
            </w:tcBorders>
            <w:shd w:val="clear" w:color="auto" w:fill="auto"/>
            <w:noWrap/>
            <w:vAlign w:val="bottom"/>
            <w:hideMark/>
          </w:tcPr>
          <w:p w14:paraId="6E985CAA" w14:textId="77777777" w:rsidR="009A71A1" w:rsidRPr="009A71A1" w:rsidRDefault="009A71A1">
            <w:pPr>
              <w:jc w:val="right"/>
              <w:rPr>
                <w:rFonts w:ascii="Times New Roman" w:hAnsi="Times New Roman" w:cs="Times New Roman"/>
                <w:sz w:val="20"/>
                <w:szCs w:val="20"/>
              </w:rPr>
            </w:pPr>
            <w:r w:rsidRPr="009A71A1">
              <w:rPr>
                <w:rFonts w:ascii="Times New Roman" w:hAnsi="Times New Roman" w:cs="Times New Roman"/>
                <w:sz w:val="20"/>
                <w:szCs w:val="20"/>
              </w:rPr>
              <w:t>-2,8</w:t>
            </w:r>
          </w:p>
        </w:tc>
      </w:tr>
    </w:tbl>
    <w:p w14:paraId="7B056178" w14:textId="77777777" w:rsidR="003D0245" w:rsidRDefault="003D0245" w:rsidP="001D6A54">
      <w:pPr>
        <w:widowControl w:val="0"/>
        <w:jc w:val="center"/>
        <w:rPr>
          <w:rFonts w:ascii="Times New Roman" w:eastAsia="Times New Roman" w:hAnsi="Times New Roman" w:cs="Times New Roman"/>
          <w:b/>
          <w:color w:val="000000"/>
          <w:sz w:val="28"/>
        </w:rPr>
      </w:pPr>
    </w:p>
    <w:p w14:paraId="244A6C95" w14:textId="72DBF2FA" w:rsidR="003F3FCD" w:rsidRPr="00BC3C19" w:rsidRDefault="000548A5" w:rsidP="001D6A54">
      <w:pPr>
        <w:widowControl w:val="0"/>
        <w:jc w:val="center"/>
        <w:rPr>
          <w:rFonts w:ascii="Times New Roman" w:eastAsia="Times New Roman" w:hAnsi="Times New Roman" w:cs="Times New Roman"/>
          <w:b/>
          <w:color w:val="000000"/>
          <w:sz w:val="28"/>
        </w:rPr>
      </w:pPr>
      <w:r w:rsidRPr="00BC3C19">
        <w:rPr>
          <w:rFonts w:ascii="Times New Roman" w:eastAsia="Times New Roman" w:hAnsi="Times New Roman" w:cs="Times New Roman"/>
          <w:b/>
          <w:color w:val="000000"/>
          <w:sz w:val="28"/>
        </w:rPr>
        <w:t>Diskrecionāro politikas lēmumu ietekme uz publisko finanšu ilgtermiņa stabilitāti</w:t>
      </w:r>
    </w:p>
    <w:p w14:paraId="56345DD4" w14:textId="77777777" w:rsidR="003F3FCD" w:rsidRPr="00BC3C19" w:rsidRDefault="003F3FCD" w:rsidP="00401A5B">
      <w:pPr>
        <w:widowControl w:val="0"/>
        <w:ind w:firstLine="720"/>
        <w:jc w:val="center"/>
        <w:rPr>
          <w:rFonts w:ascii="Times New Roman" w:eastAsia="Times New Roman" w:hAnsi="Times New Roman" w:cs="Times New Roman"/>
          <w:b/>
          <w:color w:val="000000"/>
          <w:sz w:val="32"/>
        </w:rPr>
      </w:pPr>
    </w:p>
    <w:p w14:paraId="5DF214C1" w14:textId="77777777" w:rsidR="00BC3C19" w:rsidRPr="00BC3C19" w:rsidRDefault="00BC3C19" w:rsidP="00BC3C19">
      <w:pPr>
        <w:widowControl w:val="0"/>
        <w:ind w:firstLine="720"/>
        <w:jc w:val="both"/>
        <w:rPr>
          <w:rFonts w:ascii="Calibri" w:eastAsia="Calibri" w:hAnsi="Calibri" w:cs="Calibri"/>
          <w:sz w:val="24"/>
        </w:rPr>
      </w:pPr>
      <w:r w:rsidRPr="00BC3C19">
        <w:rPr>
          <w:rFonts w:ascii="Times New Roman" w:eastAsia="Times New Roman" w:hAnsi="Times New Roman" w:cs="Times New Roman"/>
          <w:sz w:val="28"/>
        </w:rPr>
        <w:t xml:space="preserve">Saskaņā ar FDL, fiskālās politikas īstenošanā tiek ievērots ilgtspējīgas fiskālās politikas princips – fiskālās politikas mērķis ir nodrošināt, lai vispārējās valdības parāda apjoms neuzliek nesamērīgu slogu ekonomikai, bet veicina tās attīstību ilgtermiņā. Savukārt, saskaņā ar Direktīvas 2011/85/ES </w:t>
      </w:r>
      <w:r w:rsidRPr="00BC3C19">
        <w:rPr>
          <w:rFonts w:ascii="Times New Roman" w:eastAsia="Times New Roman" w:hAnsi="Times New Roman" w:cs="Times New Roman"/>
          <w:color w:val="000000"/>
          <w:sz w:val="28"/>
        </w:rPr>
        <w:t xml:space="preserve">9.panta otrā punkta d) apakšpunktu, dalībvalstīm ir jāveic izvērtējums par to, kā paredzētie politikas lēmumi, ņemot vērā to tiešu ilgtermiņa ietekmi uz vispārējās valdības finansēm, varētu iespaidot publisko finanšu ilgtermiņa stabilitāti. </w:t>
      </w:r>
    </w:p>
    <w:p w14:paraId="3BCC0A4F" w14:textId="34A9E010" w:rsidR="00BC3C19" w:rsidRPr="00BC3C19" w:rsidRDefault="00BC3C19" w:rsidP="00BC3C19">
      <w:pPr>
        <w:widowControl w:val="0"/>
        <w:ind w:firstLine="720"/>
        <w:jc w:val="both"/>
        <w:rPr>
          <w:rFonts w:ascii="Times New Roman" w:eastAsia="Times New Roman" w:hAnsi="Times New Roman" w:cs="Times New Roman"/>
          <w:color w:val="000000"/>
          <w:sz w:val="28"/>
        </w:rPr>
      </w:pPr>
      <w:r w:rsidRPr="00BC3C19">
        <w:rPr>
          <w:rFonts w:ascii="Times New Roman" w:eastAsia="Times New Roman" w:hAnsi="Times New Roman" w:cs="Times New Roman"/>
          <w:color w:val="000000"/>
          <w:sz w:val="28"/>
        </w:rPr>
        <w:t xml:space="preserve">Līdz ar to  šajā sadaļā tiek veikts ilgtspējas novērtējums MK un Saeimas pieņemtajiem diskrecionārajiem lēmumiem, analizējot vai jauno politikas pasākumu tiešā ietekme nerada riskus publisko finanšu ilgtermiņa stabilitātei. </w:t>
      </w:r>
    </w:p>
    <w:p w14:paraId="1DB4437B" w14:textId="77777777" w:rsidR="00BC3C19" w:rsidRPr="00BC3C19" w:rsidRDefault="00BC3C19" w:rsidP="00BC3C19">
      <w:pPr>
        <w:widowControl w:val="0"/>
        <w:ind w:firstLine="720"/>
        <w:jc w:val="both"/>
        <w:rPr>
          <w:rFonts w:ascii="Times New Roman" w:eastAsia="Times New Roman" w:hAnsi="Times New Roman" w:cs="Times New Roman"/>
          <w:color w:val="000000"/>
          <w:sz w:val="28"/>
        </w:rPr>
      </w:pPr>
      <w:r w:rsidRPr="00BC3C19">
        <w:rPr>
          <w:rFonts w:ascii="Times New Roman" w:eastAsia="Times New Roman" w:hAnsi="Times New Roman" w:cs="Times New Roman"/>
          <w:color w:val="000000"/>
          <w:sz w:val="28"/>
        </w:rPr>
        <w:t>Analizēti tiek tikai tādi MK pieņemtie politikas pasākumi, kam ir tieša negatīva ietekme uz vispārējās valdības budžeta bilanci, proti, ieņēmumus samazinoši pasākumi un izdevumus palielinoši pasākumi. Politikas pasākumi, kam ir tieša pozitīva ietekme uz vispārējās valdības budžeta bilanci, netiek izvērtēti. Tāpat tiek pieņemts, ka ilgtermiņa ietekme ir tikai tādiem pasākumiem, kam ir bāzes efekts uz turpmākajiem gadiem. Līdz ar to netiek analizēti pasākumi, kam ir vienreizējs raksturs. Ja politikas pasākums ir ar bāzes efektu, kam fiskālās ietekmes apmērs nominālā izteiksmē ir laikā nemainīgs, politikas pasākums nerada draudus ilgtermiņa publisko finanšu stabilitātei, jo pie augoša reālā IKP un cenu līmeņa pieauguma, politikas pasākuma tiešā fiskālā ietekme procentos pret IKP laikā samazinās. Attiecīgi kritērijs tam, vai jaunā politikas prioritāte rada riskus publisko finanšu ilgtspējai ir pieņemtā politikas pasākuma fiskālās ietekmes pret IKP dinamika.</w:t>
      </w:r>
    </w:p>
    <w:p w14:paraId="278D83CD" w14:textId="77777777" w:rsidR="00BC3C19" w:rsidRPr="00BC3C19" w:rsidRDefault="00BC3C19" w:rsidP="00BC3C19">
      <w:pPr>
        <w:widowControl w:val="0"/>
        <w:ind w:firstLine="720"/>
        <w:jc w:val="both"/>
        <w:rPr>
          <w:rFonts w:ascii="Times New Roman" w:eastAsia="Times New Roman" w:hAnsi="Times New Roman" w:cs="Times New Roman"/>
          <w:color w:val="000000"/>
          <w:sz w:val="28"/>
        </w:rPr>
      </w:pPr>
      <w:r w:rsidRPr="00BC3C19">
        <w:rPr>
          <w:rFonts w:ascii="Times New Roman" w:eastAsia="Times New Roman" w:hAnsi="Times New Roman" w:cs="Times New Roman"/>
          <w:color w:val="000000"/>
          <w:sz w:val="28"/>
        </w:rPr>
        <w:t>Pirmo reizi ilgtermiņa ilgtspējas novērtējums valdības un Saeimas pieņemtajiem diskrecionārajiem lēmumiem, saskaņā ar Direktīvas 2011/85/ES prasībām, tika veikts šā gada pavasarī sagatavojot likumu “Par valsts budžetu 2019.gadam”. Izvērtējums tika veikts par 2019.gadu un turpmākajiem gadiem, par atskaites punktu izmantojot 2017.gadā apstiprināto un uz to brīdi spēkā esošo likumu “Par vidēja termiņa budžeta ietvaru 2018., 2019. un 2020.gadam”. Analizē tika ietverti politikas pasākumi, kas bija pieņemti pēc minētā likuma apstiprināšanas, t.i. 2018.gada laikā pieņemtie politikas pasākumi, kam ir ietekme uz 2019.gadu un turpmākajiem gadiem, kā arī MK lēmumi, kas pieņemti, izstrādājot likumprojektu “Par valsts budžetu 2019.gadam”. Analīzes rezultātā tika secināts, ka 2019.gada valsts budžeta sagatavošanas laikā MK pieņemtie diskrecionārie pasākumi nerada draudus publisko finanšu ilgtspējai, kur detalizētāk tika apskatīti divi Saeimā pieņemti 2018.gada 26.aprīlī un 27.septembrī pieņemti grozījumi:</w:t>
      </w:r>
    </w:p>
    <w:p w14:paraId="7B061933" w14:textId="77777777" w:rsidR="00BC3C19" w:rsidRPr="00BC3C19" w:rsidRDefault="00BC3C19" w:rsidP="00FB2B77">
      <w:pPr>
        <w:widowControl w:val="0"/>
        <w:numPr>
          <w:ilvl w:val="0"/>
          <w:numId w:val="3"/>
        </w:numPr>
        <w:ind w:left="720" w:hanging="360"/>
        <w:jc w:val="both"/>
        <w:rPr>
          <w:rFonts w:ascii="Times New Roman" w:eastAsia="Times New Roman" w:hAnsi="Times New Roman" w:cs="Times New Roman"/>
          <w:color w:val="000000"/>
          <w:sz w:val="28"/>
        </w:rPr>
      </w:pPr>
      <w:r w:rsidRPr="00BC3C19">
        <w:rPr>
          <w:rFonts w:ascii="Times New Roman" w:eastAsia="Times New Roman" w:hAnsi="Times New Roman" w:cs="Times New Roman"/>
          <w:color w:val="000000"/>
          <w:sz w:val="28"/>
        </w:rPr>
        <w:t>Atbilstoši likumam “Grozījumi likumā “Par valsts pensijām”” (pieņemts Saeimā 2018.gada 26.aprīlī) tiek noteikts, ka vienu gadu pensijas saņēmēja nāves gadījumā viņa pensija 50% apmērā tiek izmaksāta pārdzīvojušam laulātajam, ja viņš ir pensiju saņēmējs.</w:t>
      </w:r>
    </w:p>
    <w:p w14:paraId="3401AF8A" w14:textId="359B9A81" w:rsidR="00BC3C19" w:rsidRPr="00BC3C19" w:rsidRDefault="00BC3C19" w:rsidP="00BC3C19">
      <w:pPr>
        <w:widowControl w:val="0"/>
        <w:ind w:left="720"/>
        <w:jc w:val="both"/>
        <w:rPr>
          <w:rFonts w:ascii="Times New Roman" w:eastAsia="Times New Roman" w:hAnsi="Times New Roman" w:cs="Times New Roman"/>
          <w:color w:val="000000"/>
          <w:sz w:val="28"/>
        </w:rPr>
      </w:pPr>
      <w:r w:rsidRPr="00BC3C19">
        <w:rPr>
          <w:rFonts w:ascii="Times New Roman" w:eastAsia="Times New Roman" w:hAnsi="Times New Roman" w:cs="Times New Roman"/>
          <w:color w:val="000000"/>
          <w:sz w:val="28"/>
        </w:rPr>
        <w:t>Atbilstoši veiktai analīzei tika secināts, ka maksimālā ietekme no šīs politikas izmaiņām būs 0,07% no IKP, kas būtiski neietekmē EK</w:t>
      </w:r>
      <w:r>
        <w:rPr>
          <w:rFonts w:ascii="Times New Roman" w:eastAsia="Times New Roman" w:hAnsi="Times New Roman" w:cs="Times New Roman"/>
          <w:color w:val="000000"/>
          <w:sz w:val="28"/>
        </w:rPr>
        <w:t xml:space="preserve"> </w:t>
      </w:r>
      <w:r w:rsidRPr="00BC3C19">
        <w:rPr>
          <w:rFonts w:ascii="Times New Roman" w:eastAsia="Times New Roman" w:hAnsi="Times New Roman" w:cs="Times New Roman"/>
          <w:color w:val="000000"/>
          <w:sz w:val="28"/>
        </w:rPr>
        <w:t>Novecošanās ziņojumā prognozētā pensiju izdevumu īpatsvara samazinājumu no pašreizējiem 7,4% no IKP uz 4,7% no IKP 2070. gadā. Tādējādi tika secināts, ka šis politikas pasākums nemaina pensiju sistēmas ilgtspēju. (detalizētu izklāstu skatīt paskaidrojumos Par valsts budžetu 2019. gadam).</w:t>
      </w:r>
    </w:p>
    <w:p w14:paraId="3FB81E45" w14:textId="77777777" w:rsidR="00BC3C19" w:rsidRPr="00BC3C19" w:rsidRDefault="00BC3C19" w:rsidP="00FB2B77">
      <w:pPr>
        <w:widowControl w:val="0"/>
        <w:numPr>
          <w:ilvl w:val="0"/>
          <w:numId w:val="4"/>
        </w:numPr>
        <w:ind w:left="720" w:hanging="360"/>
        <w:jc w:val="both"/>
        <w:rPr>
          <w:rFonts w:ascii="Times New Roman" w:eastAsia="Times New Roman" w:hAnsi="Times New Roman" w:cs="Times New Roman"/>
          <w:color w:val="000000"/>
          <w:sz w:val="28"/>
        </w:rPr>
      </w:pPr>
      <w:r w:rsidRPr="00BC3C19">
        <w:rPr>
          <w:rFonts w:ascii="Times New Roman" w:eastAsia="Times New Roman" w:hAnsi="Times New Roman" w:cs="Times New Roman"/>
          <w:color w:val="000000"/>
          <w:sz w:val="28"/>
        </w:rPr>
        <w:t>Atbilstoši likumam “Grozījumi likumā “Par valsts pensijām”” (pieņemts Saeimā 2018.gada 27.septembrī) tiek palielināts indekss no 70% uz 80% ar kādu pensiju saņēmējiem ar darba stāžu 45 un vairāk gadu tiek indeksēts apdrošināšanas iemaksu algu summas pieaugums, nosakot ikgadējo pensiju pieaugumu, pensiju pārskatīšanas rezultātā.</w:t>
      </w:r>
    </w:p>
    <w:p w14:paraId="3A2CC291" w14:textId="33B2FB61" w:rsidR="00BC3C19" w:rsidRPr="00BC3C19" w:rsidRDefault="00BC3C19" w:rsidP="00BC3C19">
      <w:pPr>
        <w:widowControl w:val="0"/>
        <w:ind w:left="720"/>
        <w:jc w:val="both"/>
        <w:rPr>
          <w:rFonts w:ascii="Times New Roman" w:eastAsia="Times New Roman" w:hAnsi="Times New Roman" w:cs="Times New Roman"/>
          <w:color w:val="000000"/>
          <w:sz w:val="28"/>
        </w:rPr>
      </w:pPr>
      <w:r w:rsidRPr="00BC3C19">
        <w:rPr>
          <w:rFonts w:ascii="Times New Roman" w:eastAsia="Times New Roman" w:hAnsi="Times New Roman" w:cs="Times New Roman"/>
          <w:color w:val="000000"/>
          <w:sz w:val="28"/>
        </w:rPr>
        <w:t>Atbilstoši veiktai analīzei tika secināts, ka maksimālā ietekme no šīs politikas izmaiņām var sasniegt 0,2% no IKP, kas būtiski neietekmē EK Novecošanās ziņojumā prognozētā pensiju izdevumu īpatsvara samazinājumu no pašreizējiem 7,4% no IKP uz 4,7% no IKP 2070. gadā. Tādējādi tika secināts, ka šis politikas pasākums nemaina pensiju sistēmas ilgtspēju. (detalizētu izklāstu skatīt paskaidrojumos Par valsts budžetu 2019. gadam).</w:t>
      </w:r>
    </w:p>
    <w:p w14:paraId="0FC18739" w14:textId="78B7F33E" w:rsidR="00BC3C19" w:rsidRPr="00C655B7" w:rsidRDefault="00BC3C19" w:rsidP="00C655B7">
      <w:pPr>
        <w:widowControl w:val="0"/>
        <w:ind w:firstLine="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Aplūkojot VTBIL 2021., 2022. un 2023.gadam projekta</w:t>
      </w:r>
      <w:r w:rsidRPr="00BC3C19">
        <w:rPr>
          <w:rFonts w:ascii="Times New Roman" w:eastAsia="Times New Roman" w:hAnsi="Times New Roman" w:cs="Times New Roman"/>
          <w:color w:val="000000"/>
          <w:sz w:val="28"/>
        </w:rPr>
        <w:t xml:space="preserve"> izstrādes laikā pieņemtos MK lēmumus, tika secināts, ka nepastāv tādi pasākumi, kuri rada risku publisko finanšu ilgtspējai, jo MK pieņēma lēmumu tikai par tādiem pasākumiem, kuriem ir vienreizējs raksturs vai arī tie ir ar bāzes efektu uz turpmākajiem gadiem, bet to apmērs nomināl</w:t>
      </w:r>
      <w:r w:rsidR="00C655B7">
        <w:rPr>
          <w:rFonts w:ascii="Times New Roman" w:eastAsia="Times New Roman" w:hAnsi="Times New Roman" w:cs="Times New Roman"/>
          <w:color w:val="000000"/>
          <w:sz w:val="28"/>
        </w:rPr>
        <w:t>ā izteiksmē laikā ir nemainīgs.</w:t>
      </w:r>
    </w:p>
    <w:p w14:paraId="0B4C0934" w14:textId="77777777" w:rsidR="00C655B7" w:rsidRDefault="00C655B7" w:rsidP="00BC3C19">
      <w:pPr>
        <w:widowControl w:val="0"/>
        <w:ind w:firstLine="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VTBIL 2021., 2022. un 2023.gadam </w:t>
      </w:r>
      <w:r w:rsidR="00BC3C19" w:rsidRPr="00BC3C19">
        <w:rPr>
          <w:rFonts w:ascii="Times New Roman" w:eastAsia="Times New Roman" w:hAnsi="Times New Roman" w:cs="Times New Roman"/>
          <w:color w:val="000000"/>
          <w:sz w:val="28"/>
        </w:rPr>
        <w:t xml:space="preserve">sagatavošanas laikā tika analizēti jaunās politikas iniciatīvas ar ietekmi uz 2021. gadu un turpmākajiem gadiem, kas tika pieņemtas laika periodā pēc </w:t>
      </w:r>
      <w:r>
        <w:rPr>
          <w:rFonts w:ascii="Times New Roman" w:eastAsia="Times New Roman" w:hAnsi="Times New Roman" w:cs="Times New Roman"/>
          <w:color w:val="000000"/>
          <w:sz w:val="28"/>
        </w:rPr>
        <w:t xml:space="preserve">VTBIL 2020., 2021. un 2022.gadam </w:t>
      </w:r>
      <w:r w:rsidR="00BC3C19" w:rsidRPr="00BC3C19">
        <w:rPr>
          <w:rFonts w:ascii="Times New Roman" w:eastAsia="Times New Roman" w:hAnsi="Times New Roman" w:cs="Times New Roman"/>
          <w:color w:val="000000"/>
          <w:sz w:val="28"/>
        </w:rPr>
        <w:t>izstrādes līdz šim brīdim. Attiecīgais laika periods ietver divus politikas lēmumu blokus:</w:t>
      </w:r>
    </w:p>
    <w:p w14:paraId="0E89462A" w14:textId="61A8EE9F" w:rsidR="00C655B7" w:rsidRDefault="00BC3C19" w:rsidP="00FB2B77">
      <w:pPr>
        <w:pStyle w:val="ListParagraph"/>
        <w:widowControl w:val="0"/>
        <w:numPr>
          <w:ilvl w:val="0"/>
          <w:numId w:val="58"/>
        </w:numPr>
        <w:jc w:val="both"/>
        <w:rPr>
          <w:rFonts w:ascii="Times New Roman" w:eastAsia="Times New Roman" w:hAnsi="Times New Roman" w:cs="Times New Roman"/>
          <w:color w:val="000000"/>
          <w:sz w:val="28"/>
        </w:rPr>
      </w:pPr>
      <w:r w:rsidRPr="00C655B7">
        <w:rPr>
          <w:rFonts w:ascii="Times New Roman" w:eastAsia="Times New Roman" w:hAnsi="Times New Roman" w:cs="Times New Roman"/>
          <w:color w:val="000000"/>
          <w:sz w:val="28"/>
        </w:rPr>
        <w:t xml:space="preserve"> MK pieņemtos atbalsta pasākumu</w:t>
      </w:r>
      <w:r w:rsidR="00C655B7">
        <w:rPr>
          <w:rFonts w:ascii="Times New Roman" w:eastAsia="Times New Roman" w:hAnsi="Times New Roman" w:cs="Times New Roman"/>
          <w:color w:val="000000"/>
          <w:sz w:val="28"/>
        </w:rPr>
        <w:t>s Covid-19 krīzes mazināšanai;</w:t>
      </w:r>
    </w:p>
    <w:p w14:paraId="7D0BD474" w14:textId="0DCF1769" w:rsidR="00C655B7" w:rsidRPr="00C655B7" w:rsidRDefault="00BC3C19" w:rsidP="00FB2B77">
      <w:pPr>
        <w:pStyle w:val="ListParagraph"/>
        <w:widowControl w:val="0"/>
        <w:numPr>
          <w:ilvl w:val="0"/>
          <w:numId w:val="58"/>
        </w:numPr>
        <w:jc w:val="both"/>
        <w:rPr>
          <w:rFonts w:ascii="Times New Roman" w:eastAsia="Times New Roman" w:hAnsi="Times New Roman" w:cs="Times New Roman"/>
          <w:color w:val="000000"/>
          <w:sz w:val="28"/>
        </w:rPr>
      </w:pPr>
      <w:r w:rsidRPr="00C655B7">
        <w:rPr>
          <w:rFonts w:ascii="Times New Roman" w:eastAsia="Times New Roman" w:hAnsi="Times New Roman" w:cs="Times New Roman"/>
          <w:color w:val="000000"/>
          <w:sz w:val="28"/>
        </w:rPr>
        <w:t xml:space="preserve">jaunās politikas iniciatīvas </w:t>
      </w:r>
      <w:r w:rsidR="00C655B7">
        <w:rPr>
          <w:rFonts w:ascii="Times New Roman" w:eastAsia="Times New Roman" w:hAnsi="Times New Roman" w:cs="Times New Roman"/>
          <w:color w:val="000000"/>
          <w:sz w:val="28"/>
        </w:rPr>
        <w:t>VTBIL 2021., 2022. un 2023.gadam sagatavošanas laikā.</w:t>
      </w:r>
    </w:p>
    <w:p w14:paraId="11A6015C" w14:textId="48C4909D" w:rsidR="00BC3C19" w:rsidRPr="00BC3C19" w:rsidRDefault="00BC3C19" w:rsidP="00BC3C19">
      <w:pPr>
        <w:widowControl w:val="0"/>
        <w:ind w:firstLine="720"/>
        <w:jc w:val="both"/>
        <w:rPr>
          <w:rFonts w:ascii="Times New Roman" w:eastAsia="Times New Roman" w:hAnsi="Times New Roman" w:cs="Times New Roman"/>
          <w:color w:val="000000"/>
          <w:sz w:val="28"/>
        </w:rPr>
      </w:pPr>
      <w:r w:rsidRPr="00BC3C19">
        <w:rPr>
          <w:rFonts w:ascii="Times New Roman" w:eastAsia="Times New Roman" w:hAnsi="Times New Roman" w:cs="Times New Roman"/>
          <w:color w:val="000000"/>
          <w:sz w:val="28"/>
        </w:rPr>
        <w:t xml:space="preserve">Attiecībā uz pirmo politikas lēmumu bloku. Būtiskākais MK atbalsta lēmumu kopums tika sagatavots pavasara ciklā uz Stabilitātes programmas brīdi un </w:t>
      </w:r>
      <w:r w:rsidR="00C655B7">
        <w:rPr>
          <w:rFonts w:ascii="Times New Roman" w:eastAsia="Times New Roman" w:hAnsi="Times New Roman" w:cs="Times New Roman"/>
          <w:color w:val="000000"/>
          <w:sz w:val="28"/>
        </w:rPr>
        <w:t xml:space="preserve">uz VTBIL 2021., 2022. un 2023.gadam </w:t>
      </w:r>
      <w:r w:rsidRPr="00BC3C19">
        <w:rPr>
          <w:rFonts w:ascii="Times New Roman" w:eastAsia="Times New Roman" w:hAnsi="Times New Roman" w:cs="Times New Roman"/>
          <w:color w:val="000000"/>
          <w:sz w:val="28"/>
        </w:rPr>
        <w:t xml:space="preserve">izstrādes brīdi ir aktualizēts. Covid-19 atbalsta pasākumi ir </w:t>
      </w:r>
      <w:r w:rsidR="00C655B7">
        <w:rPr>
          <w:rFonts w:ascii="Times New Roman" w:eastAsia="Times New Roman" w:hAnsi="Times New Roman" w:cs="Times New Roman"/>
          <w:color w:val="000000"/>
          <w:sz w:val="28"/>
        </w:rPr>
        <w:t>atspoguļoti 2.4.tabulā.</w:t>
      </w:r>
      <w:r w:rsidRPr="00BC3C19">
        <w:rPr>
          <w:rFonts w:ascii="Times New Roman" w:eastAsia="Times New Roman" w:hAnsi="Times New Roman" w:cs="Times New Roman"/>
          <w:color w:val="000000"/>
          <w:sz w:val="28"/>
        </w:rPr>
        <w:t xml:space="preserve"> No tabulā ietvertās informācijas var secināt, ka vairums atbalsta pasākumu ir ar pagaidu raksturu un tiks termi</w:t>
      </w:r>
      <w:r w:rsidR="00C655B7">
        <w:rPr>
          <w:rFonts w:ascii="Times New Roman" w:eastAsia="Times New Roman" w:hAnsi="Times New Roman" w:cs="Times New Roman"/>
          <w:color w:val="000000"/>
          <w:sz w:val="28"/>
        </w:rPr>
        <w:t>nēti līdz ar 2020.</w:t>
      </w:r>
      <w:r w:rsidRPr="00BC3C19">
        <w:rPr>
          <w:rFonts w:ascii="Times New Roman" w:eastAsia="Times New Roman" w:hAnsi="Times New Roman" w:cs="Times New Roman"/>
          <w:color w:val="000000"/>
          <w:sz w:val="28"/>
        </w:rPr>
        <w:t>gada beigām. Turpmākajos trijos gados tiek plānoti pozitīvi atgriezeniskie efekti no 2020.gadā pieņemtajiem nodokļu politikas atbalsta pasākumiem. Tāpat aizdevumu un garantiju jomā</w:t>
      </w:r>
      <w:r w:rsidR="00C655B7">
        <w:rPr>
          <w:rFonts w:ascii="Times New Roman" w:eastAsia="Times New Roman" w:hAnsi="Times New Roman" w:cs="Times New Roman"/>
          <w:color w:val="000000"/>
          <w:sz w:val="28"/>
        </w:rPr>
        <w:t xml:space="preserve"> 2021.</w:t>
      </w:r>
      <w:r w:rsidRPr="00BC3C19">
        <w:rPr>
          <w:rFonts w:ascii="Times New Roman" w:eastAsia="Times New Roman" w:hAnsi="Times New Roman" w:cs="Times New Roman"/>
          <w:color w:val="000000"/>
          <w:sz w:val="28"/>
        </w:rPr>
        <w:t xml:space="preserve">gadā tiek paredzēts nodrošināt pašvaldību aizņēmuma limita augstāku līmeni, atgriežot to iepriekšējā līmenī līdz ar 2022. gadu. </w:t>
      </w:r>
      <w:r w:rsidR="00C655B7">
        <w:rPr>
          <w:rFonts w:ascii="Times New Roman" w:eastAsia="Times New Roman" w:hAnsi="Times New Roman" w:cs="Times New Roman"/>
          <w:color w:val="000000"/>
          <w:sz w:val="28"/>
        </w:rPr>
        <w:t>Sektoru atbalsta jomā 2021.</w:t>
      </w:r>
      <w:r w:rsidRPr="00BC3C19">
        <w:rPr>
          <w:rFonts w:ascii="Times New Roman" w:eastAsia="Times New Roman" w:hAnsi="Times New Roman" w:cs="Times New Roman"/>
          <w:color w:val="000000"/>
          <w:sz w:val="28"/>
        </w:rPr>
        <w:t>gadā tiek paredzēts turpināt atsevišķus atbalsta pasākumus veselības, izglītības un zinātnes, iekšlietu un kultūras jomās, tomēr arī šos atbalsta pasākumus ir pa</w:t>
      </w:r>
      <w:r w:rsidR="00C655B7">
        <w:rPr>
          <w:rFonts w:ascii="Times New Roman" w:eastAsia="Times New Roman" w:hAnsi="Times New Roman" w:cs="Times New Roman"/>
          <w:color w:val="000000"/>
          <w:sz w:val="28"/>
        </w:rPr>
        <w:t>redzēts pārtraukt līdz ar 2022.</w:t>
      </w:r>
      <w:r w:rsidRPr="00BC3C19">
        <w:rPr>
          <w:rFonts w:ascii="Times New Roman" w:eastAsia="Times New Roman" w:hAnsi="Times New Roman" w:cs="Times New Roman"/>
          <w:color w:val="000000"/>
          <w:sz w:val="28"/>
        </w:rPr>
        <w:t>gadu. Kopumā tiek secināts, ka Covid-19 atbalsta pasākumi nerada draudus publisko finanšu ilgtspējai.</w:t>
      </w:r>
    </w:p>
    <w:p w14:paraId="4C66A422" w14:textId="3FADF9ED" w:rsidR="009A71A1" w:rsidRDefault="00BC3C19" w:rsidP="003D0245">
      <w:pPr>
        <w:widowControl w:val="0"/>
        <w:ind w:firstLine="720"/>
        <w:jc w:val="both"/>
        <w:rPr>
          <w:rFonts w:ascii="Times New Roman" w:eastAsia="Times New Roman" w:hAnsi="Times New Roman" w:cs="Times New Roman"/>
          <w:color w:val="000000"/>
          <w:sz w:val="28"/>
        </w:rPr>
      </w:pPr>
      <w:r w:rsidRPr="00BC3C19">
        <w:rPr>
          <w:rFonts w:ascii="Times New Roman" w:eastAsia="Times New Roman" w:hAnsi="Times New Roman" w:cs="Times New Roman"/>
          <w:color w:val="000000"/>
          <w:sz w:val="28"/>
        </w:rPr>
        <w:t xml:space="preserve">Attiecībā uz otro politikas lēmumu bloku. Būtiskākie </w:t>
      </w:r>
      <w:r w:rsidR="00C655B7">
        <w:rPr>
          <w:rFonts w:ascii="Times New Roman" w:eastAsia="Times New Roman" w:hAnsi="Times New Roman" w:cs="Times New Roman"/>
          <w:color w:val="000000"/>
          <w:sz w:val="28"/>
        </w:rPr>
        <w:t>VTBIL 2021., 2022. un 2023.gadam</w:t>
      </w:r>
      <w:r w:rsidRPr="00BC3C19">
        <w:rPr>
          <w:rFonts w:ascii="Times New Roman" w:eastAsia="Times New Roman" w:hAnsi="Times New Roman" w:cs="Times New Roman"/>
          <w:color w:val="000000"/>
          <w:sz w:val="28"/>
        </w:rPr>
        <w:t xml:space="preserve"> sagatavošanas laikā pieņemtie lēmumi</w:t>
      </w:r>
      <w:r w:rsidR="00C655B7">
        <w:rPr>
          <w:rFonts w:ascii="Times New Roman" w:eastAsia="Times New Roman" w:hAnsi="Times New Roman" w:cs="Times New Roman"/>
          <w:color w:val="000000"/>
          <w:sz w:val="28"/>
        </w:rPr>
        <w:t xml:space="preserve"> uzskaitīti 2.6. un 2.7.tabulā</w:t>
      </w:r>
      <w:r w:rsidRPr="00BC3C19">
        <w:rPr>
          <w:rFonts w:ascii="Times New Roman" w:eastAsia="Times New Roman" w:hAnsi="Times New Roman" w:cs="Times New Roman"/>
          <w:color w:val="000000"/>
          <w:sz w:val="28"/>
        </w:rPr>
        <w:t>. Vienlaikus, izvērtējot šo pasākumu ilgtermiņa ietekmi uz vispārējās valdības finansēm, tika secināts, ka nav tādi pasākumi, kuri rada risku publisko finanšu ilgtspējai, jo MK pieņēma lēmumu tikai par tādiem pasākumiem, kuriem ir vienreizējs raksturs vai arī tie ir ar bāzes efektu uz turpmākajiem gadiem, bet to apmērs nominā</w:t>
      </w:r>
      <w:r w:rsidR="00FD5F28">
        <w:rPr>
          <w:rFonts w:ascii="Times New Roman" w:eastAsia="Times New Roman" w:hAnsi="Times New Roman" w:cs="Times New Roman"/>
          <w:color w:val="000000"/>
          <w:sz w:val="28"/>
        </w:rPr>
        <w:t>lā izteiksmē laikā ir nemainīgs.</w:t>
      </w:r>
    </w:p>
    <w:p w14:paraId="4EC9A0E0" w14:textId="3A69E910" w:rsidR="009A71A1" w:rsidRPr="00FD5F28" w:rsidRDefault="009A71A1" w:rsidP="003D0245">
      <w:pPr>
        <w:widowControl w:val="0"/>
        <w:jc w:val="both"/>
        <w:rPr>
          <w:rFonts w:ascii="Times New Roman" w:eastAsia="Times New Roman" w:hAnsi="Times New Roman" w:cs="Times New Roman"/>
          <w:color w:val="000000"/>
          <w:sz w:val="28"/>
        </w:rPr>
      </w:pPr>
    </w:p>
    <w:p w14:paraId="3226C9A8" w14:textId="7962124D" w:rsidR="003F3FCD" w:rsidRDefault="000548A5" w:rsidP="00FB2B77">
      <w:pPr>
        <w:pStyle w:val="Heading1"/>
        <w:numPr>
          <w:ilvl w:val="0"/>
          <w:numId w:val="14"/>
        </w:numPr>
        <w:spacing w:before="0"/>
        <w:jc w:val="center"/>
        <w:rPr>
          <w:rFonts w:eastAsia="Times New Roman" w:cs="Times New Roman"/>
        </w:rPr>
      </w:pPr>
      <w:bookmarkStart w:id="63" w:name="_Toc53154113"/>
      <w:r w:rsidRPr="00AC087C">
        <w:rPr>
          <w:rFonts w:eastAsia="Times New Roman" w:cs="Times New Roman"/>
        </w:rPr>
        <w:t>Kopbudžeta nodokļu</w:t>
      </w:r>
      <w:r w:rsidR="00AC087C" w:rsidRPr="00AC087C">
        <w:rPr>
          <w:rFonts w:eastAsia="Times New Roman" w:cs="Times New Roman"/>
          <w:vertAlign w:val="superscript"/>
        </w:rPr>
        <w:footnoteReference w:id="15"/>
      </w:r>
      <w:r w:rsidRPr="00AC087C">
        <w:rPr>
          <w:rFonts w:eastAsia="Times New Roman" w:cs="Times New Roman"/>
        </w:rPr>
        <w:t xml:space="preserve"> un nenodokļu ieņēmumu prognozes</w:t>
      </w:r>
      <w:bookmarkEnd w:id="63"/>
    </w:p>
    <w:p w14:paraId="4264FB00" w14:textId="77777777" w:rsidR="00FD5F28" w:rsidRPr="00FD5F28" w:rsidRDefault="00FD5F28" w:rsidP="00FD5F28"/>
    <w:p w14:paraId="1512FDDD" w14:textId="546080CC" w:rsidR="003F3FCD" w:rsidRPr="00AC087C" w:rsidRDefault="000548A5" w:rsidP="00401A5B">
      <w:pPr>
        <w:pStyle w:val="Heading2"/>
        <w:numPr>
          <w:ilvl w:val="0"/>
          <w:numId w:val="0"/>
        </w:numPr>
        <w:spacing w:before="0"/>
        <w:ind w:firstLine="567"/>
        <w:jc w:val="center"/>
        <w:rPr>
          <w:rFonts w:ascii="Times New Roman" w:eastAsia="Times New Roman" w:hAnsi="Times New Roman" w:cs="Times New Roman"/>
          <w:sz w:val="32"/>
          <w:szCs w:val="32"/>
        </w:rPr>
      </w:pPr>
      <w:bookmarkStart w:id="64" w:name="_Toc53154114"/>
      <w:r w:rsidRPr="00AC087C">
        <w:rPr>
          <w:rFonts w:ascii="Times New Roman" w:eastAsia="Times New Roman" w:hAnsi="Times New Roman" w:cs="Times New Roman"/>
          <w:sz w:val="32"/>
          <w:szCs w:val="32"/>
        </w:rPr>
        <w:t>3.1. Nodokļu politikas aktualitātes</w:t>
      </w:r>
      <w:bookmarkEnd w:id="64"/>
    </w:p>
    <w:p w14:paraId="14A1B3DF" w14:textId="77777777" w:rsidR="003F3FCD" w:rsidRDefault="003F3FCD" w:rsidP="00401A5B">
      <w:pPr>
        <w:keepNext/>
        <w:keepLines/>
        <w:widowControl w:val="0"/>
        <w:ind w:left="576"/>
        <w:rPr>
          <w:rFonts w:ascii="Times New Roman" w:eastAsia="Times New Roman" w:hAnsi="Times New Roman" w:cs="Times New Roman"/>
          <w:b/>
          <w:color w:val="000000"/>
          <w:sz w:val="32"/>
        </w:rPr>
      </w:pPr>
    </w:p>
    <w:p w14:paraId="192A1AD4" w14:textId="01EE7D80" w:rsidR="00E76C8B" w:rsidRPr="00E76C8B" w:rsidRDefault="00E76C8B" w:rsidP="00401A5B">
      <w:pPr>
        <w:ind w:right="-1"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VTBIL 2021., 2022. un 2023. gadam projektu </w:t>
      </w:r>
      <w:r w:rsidRPr="00E76C8B">
        <w:rPr>
          <w:rFonts w:ascii="Times New Roman" w:eastAsia="Times New Roman" w:hAnsi="Times New Roman" w:cs="Times New Roman"/>
          <w:sz w:val="28"/>
          <w:szCs w:val="24"/>
        </w:rPr>
        <w:t xml:space="preserve">pakā pamatā tiek virzītas </w:t>
      </w:r>
      <w:r w:rsidRPr="00E76C8B">
        <w:rPr>
          <w:rFonts w:ascii="Times New Roman" w:eastAsia="Times New Roman" w:hAnsi="Times New Roman" w:cs="Times New Roman"/>
          <w:sz w:val="28"/>
          <w:szCs w:val="20"/>
          <w:lang w:eastAsia="en-US"/>
        </w:rPr>
        <w:t>informatīvajā ziņojumā "Par nodokļu politikas attīstības virzieniem, valsts sociālās un veselības apdrošināšanas ilgtspējas veicināšanai" norādītās nodokļu politikas izmaiņas, kas saistās ar identificētām problēmām saistībā ar sociālo un veselības nodrošinājuma nepietiekamību nodarbinātām personām risināšanu</w:t>
      </w:r>
      <w:r w:rsidRPr="00E76C8B">
        <w:rPr>
          <w:rFonts w:ascii="Times New Roman" w:eastAsia="Times New Roman" w:hAnsi="Times New Roman" w:cs="Times New Roman"/>
          <w:sz w:val="28"/>
          <w:szCs w:val="20"/>
        </w:rPr>
        <w:t xml:space="preserve">, kā arī vienlaikus risinot citus nodokļu </w:t>
      </w:r>
      <w:r w:rsidRPr="00E76C8B">
        <w:rPr>
          <w:rFonts w:ascii="Times New Roman" w:eastAsia="Times New Roman" w:hAnsi="Times New Roman" w:cs="Times New Roman"/>
          <w:sz w:val="28"/>
          <w:szCs w:val="24"/>
        </w:rPr>
        <w:t>politikas jautājumus:</w:t>
      </w:r>
    </w:p>
    <w:p w14:paraId="7F54046A" w14:textId="1F7BEA29"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en-US"/>
        </w:rPr>
        <w:t>VSAOI</w:t>
      </w:r>
      <w:r w:rsidRPr="00E76C8B">
        <w:rPr>
          <w:rFonts w:ascii="Times New Roman" w:eastAsia="Times New Roman" w:hAnsi="Times New Roman" w:cs="Times New Roman"/>
          <w:noProof/>
          <w:sz w:val="28"/>
          <w:szCs w:val="24"/>
          <w:lang w:eastAsia="en-US"/>
        </w:rPr>
        <w:t xml:space="preserve"> likmes samazināšana no 35,09 </w:t>
      </w:r>
      <w:r>
        <w:rPr>
          <w:rFonts w:ascii="Times New Roman" w:eastAsia="Times New Roman" w:hAnsi="Times New Roman" w:cs="Times New Roman"/>
          <w:noProof/>
          <w:sz w:val="28"/>
          <w:szCs w:val="24"/>
          <w:lang w:eastAsia="en-US"/>
        </w:rPr>
        <w:t>%</w:t>
      </w:r>
      <w:r w:rsidRPr="00E76C8B">
        <w:rPr>
          <w:rFonts w:ascii="Times New Roman" w:eastAsia="Times New Roman" w:hAnsi="Times New Roman" w:cs="Times New Roman"/>
          <w:noProof/>
          <w:sz w:val="28"/>
          <w:szCs w:val="24"/>
          <w:lang w:eastAsia="en-US"/>
        </w:rPr>
        <w:t xml:space="preserve"> uz 34,09 </w:t>
      </w:r>
      <w:r>
        <w:rPr>
          <w:rFonts w:ascii="Times New Roman" w:eastAsia="Times New Roman" w:hAnsi="Times New Roman" w:cs="Times New Roman"/>
          <w:noProof/>
          <w:sz w:val="28"/>
          <w:szCs w:val="24"/>
          <w:lang w:eastAsia="en-US"/>
        </w:rPr>
        <w:t>%</w:t>
      </w:r>
      <w:r w:rsidRPr="00E76C8B">
        <w:rPr>
          <w:rFonts w:ascii="Times New Roman" w:eastAsia="Times New Roman" w:hAnsi="Times New Roman" w:cs="Times New Roman"/>
          <w:sz w:val="28"/>
          <w:szCs w:val="24"/>
        </w:rPr>
        <w:t>;</w:t>
      </w:r>
    </w:p>
    <w:p w14:paraId="553A48B3" w14:textId="77777777"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noProof/>
          <w:sz w:val="28"/>
          <w:szCs w:val="24"/>
          <w:lang w:eastAsia="en-US"/>
        </w:rPr>
        <w:t>minimālā VSAOI apmēra ieviešana un alternatīvo nodokļu režīmu reorganizācija</w:t>
      </w:r>
      <w:r w:rsidRPr="00E76C8B">
        <w:rPr>
          <w:rFonts w:ascii="Times New Roman" w:eastAsia="Times New Roman" w:hAnsi="Times New Roman" w:cs="Times New Roman"/>
          <w:sz w:val="28"/>
          <w:szCs w:val="24"/>
        </w:rPr>
        <w:t>;</w:t>
      </w:r>
    </w:p>
    <w:p w14:paraId="3803CDF9" w14:textId="77777777"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noProof/>
          <w:sz w:val="28"/>
          <w:szCs w:val="24"/>
          <w:lang w:eastAsia="en-US"/>
        </w:rPr>
        <w:t>iedzīvotāju ienākuma nodokļa diferencētā neapliekamā minimuma</w:t>
      </w:r>
      <w:r w:rsidRPr="00E76C8B">
        <w:rPr>
          <w:rFonts w:ascii="Times New Roman" w:eastAsia="Calibri" w:hAnsi="Times New Roman" w:cs="Times New Roman"/>
          <w:noProof/>
          <w:sz w:val="28"/>
          <w:szCs w:val="24"/>
        </w:rPr>
        <w:t xml:space="preserve"> sliekšņa paaugstināšana līdz 1 800 </w:t>
      </w:r>
      <w:r w:rsidRPr="00E76C8B">
        <w:rPr>
          <w:rFonts w:ascii="Times New Roman" w:eastAsia="Calibri" w:hAnsi="Times New Roman" w:cs="Times New Roman"/>
          <w:i/>
          <w:noProof/>
          <w:sz w:val="28"/>
          <w:szCs w:val="24"/>
        </w:rPr>
        <w:t>euro</w:t>
      </w:r>
      <w:r w:rsidRPr="00E76C8B">
        <w:rPr>
          <w:rFonts w:ascii="Times New Roman" w:eastAsia="Calibri" w:hAnsi="Times New Roman" w:cs="Times New Roman"/>
          <w:noProof/>
          <w:sz w:val="28"/>
          <w:szCs w:val="24"/>
        </w:rPr>
        <w:t xml:space="preserve"> mēnesī;</w:t>
      </w:r>
    </w:p>
    <w:p w14:paraId="0501A639" w14:textId="0AA76FA0"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noProof/>
          <w:sz w:val="28"/>
          <w:szCs w:val="24"/>
          <w:lang w:eastAsia="en-US"/>
        </w:rPr>
        <w:t>iedzīvotāju ienākuma nodokļa</w:t>
      </w:r>
      <w:r w:rsidRPr="00E76C8B">
        <w:rPr>
          <w:rFonts w:ascii="Times New Roman" w:eastAsia="Times New Roman" w:hAnsi="Times New Roman" w:cs="Times New Roman"/>
          <w:sz w:val="28"/>
          <w:szCs w:val="24"/>
          <w:lang w:eastAsia="en-US"/>
        </w:rPr>
        <w:t xml:space="preserve"> pārdale pašvaldību budžetam no 80 </w:t>
      </w:r>
      <w:r>
        <w:rPr>
          <w:rFonts w:ascii="Times New Roman" w:eastAsia="Times New Roman" w:hAnsi="Times New Roman" w:cs="Times New Roman"/>
          <w:noProof/>
          <w:sz w:val="28"/>
          <w:szCs w:val="24"/>
          <w:lang w:eastAsia="en-US"/>
        </w:rPr>
        <w:t>%</w:t>
      </w:r>
      <w:r w:rsidRPr="00E76C8B">
        <w:rPr>
          <w:rFonts w:ascii="Times New Roman" w:eastAsia="Times New Roman" w:hAnsi="Times New Roman" w:cs="Times New Roman"/>
          <w:sz w:val="28"/>
          <w:szCs w:val="24"/>
          <w:lang w:eastAsia="en-US"/>
        </w:rPr>
        <w:t xml:space="preserve"> uz 75 </w:t>
      </w:r>
      <w:r>
        <w:rPr>
          <w:rFonts w:ascii="Times New Roman" w:eastAsia="Times New Roman" w:hAnsi="Times New Roman" w:cs="Times New Roman"/>
          <w:noProof/>
          <w:sz w:val="28"/>
          <w:szCs w:val="24"/>
          <w:lang w:eastAsia="en-US"/>
        </w:rPr>
        <w:t>%</w:t>
      </w:r>
      <w:r w:rsidRPr="00E76C8B">
        <w:rPr>
          <w:rFonts w:ascii="Times New Roman" w:eastAsia="Times New Roman" w:hAnsi="Times New Roman" w:cs="Times New Roman"/>
          <w:sz w:val="28"/>
          <w:szCs w:val="24"/>
          <w:lang w:eastAsia="en-US"/>
        </w:rPr>
        <w:t xml:space="preserve"> un valsts pamatbudžetu no 20 </w:t>
      </w:r>
      <w:r>
        <w:rPr>
          <w:rFonts w:ascii="Times New Roman" w:eastAsia="Times New Roman" w:hAnsi="Times New Roman" w:cs="Times New Roman"/>
          <w:noProof/>
          <w:sz w:val="28"/>
          <w:szCs w:val="24"/>
          <w:lang w:eastAsia="en-US"/>
        </w:rPr>
        <w:t>%</w:t>
      </w:r>
      <w:r w:rsidRPr="00E76C8B">
        <w:rPr>
          <w:rFonts w:ascii="Times New Roman" w:eastAsia="Times New Roman" w:hAnsi="Times New Roman" w:cs="Times New Roman"/>
          <w:sz w:val="28"/>
          <w:szCs w:val="24"/>
          <w:lang w:eastAsia="en-US"/>
        </w:rPr>
        <w:t xml:space="preserve"> uz 25 </w:t>
      </w:r>
      <w:r>
        <w:rPr>
          <w:rFonts w:ascii="Times New Roman" w:eastAsia="Times New Roman" w:hAnsi="Times New Roman" w:cs="Times New Roman"/>
          <w:noProof/>
          <w:sz w:val="28"/>
          <w:szCs w:val="24"/>
          <w:lang w:eastAsia="en-US"/>
        </w:rPr>
        <w:t>%</w:t>
      </w:r>
      <w:r w:rsidRPr="00E76C8B">
        <w:rPr>
          <w:rFonts w:ascii="Times New Roman" w:eastAsia="Times New Roman" w:hAnsi="Times New Roman" w:cs="Times New Roman"/>
          <w:noProof/>
          <w:sz w:val="28"/>
          <w:szCs w:val="24"/>
          <w:lang w:eastAsia="en-US"/>
        </w:rPr>
        <w:t>;</w:t>
      </w:r>
    </w:p>
    <w:p w14:paraId="2B52873D" w14:textId="0E2C0073" w:rsidR="00E76C8B" w:rsidRPr="00E76C8B" w:rsidRDefault="00C404D5" w:rsidP="00FB2B77">
      <w:pPr>
        <w:numPr>
          <w:ilvl w:val="0"/>
          <w:numId w:val="21"/>
        </w:numPr>
        <w:ind w:right="-1"/>
        <w:contextualSpacing/>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en-US"/>
        </w:rPr>
        <w:t>akcīzes nodokļu likmju tabak</w:t>
      </w:r>
      <w:r w:rsidR="00E76C8B" w:rsidRPr="00E76C8B">
        <w:rPr>
          <w:rFonts w:ascii="Times New Roman" w:eastAsia="Times New Roman" w:hAnsi="Times New Roman" w:cs="Times New Roman"/>
          <w:noProof/>
          <w:sz w:val="28"/>
          <w:szCs w:val="24"/>
          <w:lang w:eastAsia="en-US"/>
        </w:rPr>
        <w:t>as izstrādājumiem paaugstināšana;</w:t>
      </w:r>
    </w:p>
    <w:p w14:paraId="181B0149" w14:textId="3693BCC1"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noProof/>
          <w:sz w:val="28"/>
          <w:szCs w:val="24"/>
          <w:lang w:eastAsia="en-US"/>
        </w:rPr>
        <w:t>izmaiņas uzņēmumu v</w:t>
      </w:r>
      <w:r w:rsidR="00831E9C">
        <w:rPr>
          <w:rFonts w:ascii="Times New Roman" w:eastAsia="Times New Roman" w:hAnsi="Times New Roman" w:cs="Times New Roman"/>
          <w:noProof/>
          <w:sz w:val="28"/>
          <w:szCs w:val="24"/>
          <w:lang w:eastAsia="en-US"/>
        </w:rPr>
        <w:t>ieglo transportlīdzekļu nodoklī.</w:t>
      </w:r>
    </w:p>
    <w:p w14:paraId="115F0324" w14:textId="77777777" w:rsidR="00E76C8B" w:rsidRPr="00E76C8B" w:rsidRDefault="00E76C8B" w:rsidP="00401A5B">
      <w:pPr>
        <w:ind w:firstLine="709"/>
        <w:jc w:val="both"/>
        <w:rPr>
          <w:rFonts w:ascii="Times New Roman" w:eastAsia="Calibri" w:hAnsi="Times New Roman" w:cs="Times New Roman"/>
          <w:bCs/>
          <w:sz w:val="28"/>
          <w:szCs w:val="24"/>
        </w:rPr>
      </w:pPr>
      <w:r w:rsidRPr="00E76C8B">
        <w:rPr>
          <w:rFonts w:ascii="Times New Roman" w:eastAsia="Calibri" w:hAnsi="Times New Roman" w:cs="Times New Roman"/>
          <w:bCs/>
          <w:sz w:val="28"/>
          <w:szCs w:val="24"/>
        </w:rPr>
        <w:t>Tāpat, lai īstenotu nepieciešamās izmaiņas nodokļu politikas jautājumos, kā arī sakārtotu nodokļu likumdošanu, vidēja termiņa nodokļu ieņēmumus ietekmēs arī iepriekš pieņemtie nodokļu pasākumi:</w:t>
      </w:r>
    </w:p>
    <w:p w14:paraId="050823B8" w14:textId="6B837BCB"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sz w:val="28"/>
          <w:szCs w:val="24"/>
        </w:rPr>
        <w:t xml:space="preserve">minimālās mēneša darba algas paaugstināšana </w:t>
      </w:r>
      <w:r w:rsidR="00E00EF2">
        <w:rPr>
          <w:rFonts w:ascii="Times New Roman" w:eastAsia="Times New Roman" w:hAnsi="Times New Roman" w:cs="Times New Roman"/>
          <w:sz w:val="28"/>
          <w:szCs w:val="24"/>
        </w:rPr>
        <w:t>ar</w:t>
      </w:r>
      <w:r w:rsidRPr="00E76C8B">
        <w:rPr>
          <w:rFonts w:ascii="Times New Roman" w:eastAsia="Times New Roman" w:hAnsi="Times New Roman" w:cs="Times New Roman"/>
          <w:sz w:val="28"/>
          <w:szCs w:val="24"/>
        </w:rPr>
        <w:t xml:space="preserve"> 2021.gadu;</w:t>
      </w:r>
    </w:p>
    <w:p w14:paraId="244F00B1" w14:textId="77777777"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sz w:val="28"/>
          <w:szCs w:val="24"/>
          <w:lang w:eastAsia="en-US"/>
        </w:rPr>
        <w:t xml:space="preserve">neapliekamā minimuma pensionāriem </w:t>
      </w:r>
      <w:r w:rsidRPr="00E76C8B">
        <w:rPr>
          <w:rFonts w:ascii="Times New Roman" w:eastAsia="Times New Roman" w:hAnsi="Times New Roman" w:cs="Times New Roman"/>
          <w:noProof/>
          <w:sz w:val="28"/>
          <w:szCs w:val="24"/>
          <w:lang w:eastAsia="en-US"/>
        </w:rPr>
        <w:t>palielināšana</w:t>
      </w:r>
      <w:r w:rsidRPr="00E76C8B">
        <w:rPr>
          <w:rFonts w:ascii="Times New Roman" w:eastAsia="Times New Roman" w:hAnsi="Times New Roman" w:cs="Times New Roman"/>
          <w:sz w:val="28"/>
          <w:szCs w:val="24"/>
          <w:lang w:eastAsia="en-US"/>
        </w:rPr>
        <w:t xml:space="preserve"> 2021.gadā;</w:t>
      </w:r>
    </w:p>
    <w:p w14:paraId="05DA5EA5" w14:textId="77777777"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sz w:val="28"/>
          <w:szCs w:val="24"/>
        </w:rPr>
        <w:t xml:space="preserve">nodokļu atbalsta pasākumi saistībā ar </w:t>
      </w:r>
      <w:r w:rsidRPr="00E76C8B">
        <w:rPr>
          <w:rFonts w:ascii="Times New Roman" w:eastAsia="Times New Roman" w:hAnsi="Times New Roman" w:cs="Times New Roman"/>
          <w:sz w:val="28"/>
          <w:szCs w:val="24"/>
          <w:lang w:eastAsia="en-US"/>
        </w:rPr>
        <w:t xml:space="preserve">Covid-19 (termiņpagarinājumu uz trim gadiem piešķiršana; </w:t>
      </w:r>
      <w:r w:rsidRPr="00E76C8B">
        <w:rPr>
          <w:rFonts w:ascii="Times New Roman" w:eastAsia="Times New Roman" w:hAnsi="Times New Roman" w:cs="Times New Roman"/>
          <w:noProof/>
          <w:sz w:val="28"/>
          <w:szCs w:val="24"/>
          <w:lang w:eastAsia="en-US"/>
        </w:rPr>
        <w:t>iedzīvotāju ienākuma nodokļa</w:t>
      </w:r>
      <w:r w:rsidRPr="00E76C8B">
        <w:rPr>
          <w:rFonts w:ascii="Times New Roman" w:eastAsia="Times New Roman" w:hAnsi="Times New Roman" w:cs="Times New Roman"/>
          <w:sz w:val="28"/>
          <w:szCs w:val="24"/>
          <w:lang w:eastAsia="en-US"/>
        </w:rPr>
        <w:t xml:space="preserve"> obligāto avansa maksājumu atcelšana saimnieciskās darbības veicējiem; nekustamā īpašuma nodokļa samaksas termiņu pagarināšana; pārmaksātā </w:t>
      </w:r>
      <w:r w:rsidRPr="00E76C8B">
        <w:rPr>
          <w:rFonts w:ascii="Times New Roman" w:eastAsia="Times New Roman" w:hAnsi="Times New Roman" w:cs="Times New Roman"/>
          <w:noProof/>
          <w:sz w:val="28"/>
          <w:szCs w:val="24"/>
          <w:lang w:eastAsia="en-US"/>
        </w:rPr>
        <w:t>pievienotās vērtības nodokļa</w:t>
      </w:r>
      <w:r w:rsidRPr="00E76C8B">
        <w:rPr>
          <w:rFonts w:ascii="Times New Roman" w:eastAsia="Times New Roman" w:hAnsi="Times New Roman" w:cs="Times New Roman"/>
          <w:sz w:val="28"/>
          <w:szCs w:val="24"/>
          <w:lang w:eastAsia="en-US"/>
        </w:rPr>
        <w:t xml:space="preserve"> atmaksa 30 dienu laikā)</w:t>
      </w:r>
      <w:r w:rsidRPr="00E76C8B">
        <w:rPr>
          <w:rFonts w:ascii="Times New Roman" w:eastAsia="Times New Roman" w:hAnsi="Times New Roman" w:cs="Times New Roman"/>
          <w:sz w:val="28"/>
          <w:szCs w:val="24"/>
        </w:rPr>
        <w:t>.</w:t>
      </w:r>
    </w:p>
    <w:p w14:paraId="256D9957" w14:textId="2C7C9F9B" w:rsidR="00E76C8B" w:rsidRPr="00E76C8B" w:rsidRDefault="00E76C8B" w:rsidP="00401A5B">
      <w:pPr>
        <w:ind w:firstLine="709"/>
        <w:jc w:val="both"/>
        <w:rPr>
          <w:rFonts w:ascii="Times New Roman" w:eastAsia="Calibri" w:hAnsi="Times New Roman" w:cs="Times New Roman"/>
          <w:bCs/>
          <w:sz w:val="28"/>
          <w:szCs w:val="24"/>
        </w:rPr>
      </w:pPr>
      <w:r w:rsidRPr="00E76C8B">
        <w:rPr>
          <w:rFonts w:ascii="Times New Roman" w:eastAsia="Calibri" w:hAnsi="Times New Roman" w:cs="Times New Roman"/>
          <w:bCs/>
          <w:sz w:val="28"/>
          <w:szCs w:val="24"/>
        </w:rPr>
        <w:t xml:space="preserve">Papildus minētajam nodokļu ieņēmumus 2021.-2023.gadā ietekmēs arī </w:t>
      </w:r>
      <w:r>
        <w:rPr>
          <w:rFonts w:ascii="Times New Roman" w:eastAsia="Calibri" w:hAnsi="Times New Roman" w:cs="Times New Roman"/>
          <w:bCs/>
          <w:sz w:val="28"/>
          <w:szCs w:val="24"/>
        </w:rPr>
        <w:t>MK</w:t>
      </w:r>
      <w:r w:rsidRPr="00E76C8B">
        <w:rPr>
          <w:rFonts w:ascii="Times New Roman" w:eastAsia="Calibri" w:hAnsi="Times New Roman" w:cs="Times New Roman"/>
          <w:bCs/>
          <w:sz w:val="28"/>
          <w:szCs w:val="24"/>
        </w:rPr>
        <w:t xml:space="preserve"> atbalstītie pasākumi likumprojekta “Par valsts budžetu 2021.gadam” izstrādes gaitā:</w:t>
      </w:r>
    </w:p>
    <w:p w14:paraId="78A05753" w14:textId="77777777"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noProof/>
          <w:sz w:val="28"/>
          <w:szCs w:val="24"/>
          <w:lang w:eastAsia="en-US"/>
        </w:rPr>
        <w:t>pievienotās vērtības nodokļa piemērošanas noteikumu vienkāršošana e-komercijas jomā</w:t>
      </w:r>
      <w:r w:rsidRPr="00E76C8B">
        <w:rPr>
          <w:rFonts w:ascii="Times New Roman" w:eastAsia="Times New Roman" w:hAnsi="Times New Roman" w:cs="Times New Roman"/>
          <w:sz w:val="28"/>
          <w:szCs w:val="24"/>
        </w:rPr>
        <w:t>;</w:t>
      </w:r>
    </w:p>
    <w:p w14:paraId="3A42F840" w14:textId="499914F6"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sz w:val="28"/>
          <w:szCs w:val="24"/>
        </w:rPr>
        <w:t xml:space="preserve">grozījumi </w:t>
      </w:r>
      <w:r>
        <w:rPr>
          <w:rFonts w:ascii="Times New Roman" w:eastAsia="Times New Roman" w:hAnsi="Times New Roman" w:cs="Times New Roman"/>
          <w:sz w:val="28"/>
          <w:szCs w:val="24"/>
        </w:rPr>
        <w:t>likumā “Čeku loterijas likums”</w:t>
      </w:r>
      <w:r w:rsidRPr="00E76C8B">
        <w:rPr>
          <w:rFonts w:ascii="Times New Roman" w:eastAsia="Times New Roman" w:hAnsi="Times New Roman" w:cs="Times New Roman"/>
          <w:sz w:val="28"/>
          <w:szCs w:val="24"/>
        </w:rPr>
        <w:t xml:space="preserve">, paredzot </w:t>
      </w:r>
      <w:r w:rsidRPr="00E76C8B">
        <w:rPr>
          <w:rFonts w:ascii="Times New Roman" w:eastAsia="Times New Roman" w:hAnsi="Times New Roman" w:cs="Times New Roman"/>
          <w:sz w:val="28"/>
          <w:szCs w:val="24"/>
          <w:lang w:eastAsia="en-US"/>
        </w:rPr>
        <w:t>reģistrēt dalībai čeku loterijā arī rēķinus par saņemtas preces vai pakalpojuma samaksu</w:t>
      </w:r>
      <w:r w:rsidRPr="00E76C8B">
        <w:rPr>
          <w:rFonts w:ascii="Times New Roman" w:eastAsia="Times New Roman" w:hAnsi="Times New Roman" w:cs="Times New Roman"/>
          <w:sz w:val="28"/>
          <w:szCs w:val="24"/>
        </w:rPr>
        <w:t>;</w:t>
      </w:r>
    </w:p>
    <w:p w14:paraId="363A74B6" w14:textId="77777777"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sz w:val="28"/>
          <w:szCs w:val="24"/>
          <w:lang w:eastAsia="en-US"/>
        </w:rPr>
        <w:t>pievienotās vērtības nodokļa samazinātās piecu procentu likmes saglabāšanu augļiem, ogām un dārzeņiem no 2021.gada 1.janvāra līdz 2023.gada 31.decembrim;</w:t>
      </w:r>
    </w:p>
    <w:p w14:paraId="7B9C2C33" w14:textId="77777777" w:rsidR="00E76C8B" w:rsidRP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sz w:val="28"/>
          <w:szCs w:val="24"/>
        </w:rPr>
        <w:t>dabas resursu nodokļa likmju paaugstināšana atsevišķiem objektiem;</w:t>
      </w:r>
    </w:p>
    <w:p w14:paraId="3158A8AC" w14:textId="342C8120" w:rsidR="00E76C8B" w:rsidRDefault="00E76C8B" w:rsidP="00FB2B77">
      <w:pPr>
        <w:numPr>
          <w:ilvl w:val="0"/>
          <w:numId w:val="21"/>
        </w:numPr>
        <w:ind w:right="-1"/>
        <w:contextualSpacing/>
        <w:jc w:val="both"/>
        <w:rPr>
          <w:rFonts w:ascii="Times New Roman" w:eastAsia="Times New Roman" w:hAnsi="Times New Roman" w:cs="Times New Roman"/>
          <w:sz w:val="28"/>
          <w:szCs w:val="24"/>
        </w:rPr>
      </w:pPr>
      <w:r w:rsidRPr="00E76C8B">
        <w:rPr>
          <w:rFonts w:ascii="Times New Roman" w:eastAsia="Times New Roman" w:hAnsi="Times New Roman" w:cs="Times New Roman"/>
          <w:noProof/>
          <w:sz w:val="28"/>
          <w:szCs w:val="24"/>
          <w:lang w:eastAsia="en-US"/>
        </w:rPr>
        <w:t>pārmaksātā iedzīvotāju ienākuma nodokļa atmaksu neveikšana, ja nav iesniegta deklarācija, par kādu no iepriekšējiem gadiem.</w:t>
      </w:r>
    </w:p>
    <w:p w14:paraId="2A627295" w14:textId="77777777" w:rsidR="002A0A3A" w:rsidRPr="00E76C8B" w:rsidRDefault="002A0A3A" w:rsidP="002A0A3A">
      <w:pPr>
        <w:ind w:left="1440" w:right="-1"/>
        <w:contextualSpacing/>
        <w:jc w:val="both"/>
        <w:rPr>
          <w:rFonts w:ascii="Times New Roman" w:eastAsia="Times New Roman" w:hAnsi="Times New Roman" w:cs="Times New Roman"/>
          <w:sz w:val="28"/>
          <w:szCs w:val="24"/>
        </w:rPr>
      </w:pPr>
    </w:p>
    <w:p w14:paraId="4C6318BF" w14:textId="77F025E9" w:rsidR="003F3FCD" w:rsidRPr="00AC087C" w:rsidRDefault="000548A5" w:rsidP="00401A5B">
      <w:pPr>
        <w:pStyle w:val="Heading2"/>
        <w:numPr>
          <w:ilvl w:val="0"/>
          <w:numId w:val="0"/>
        </w:numPr>
        <w:spacing w:before="0"/>
        <w:ind w:left="567"/>
        <w:jc w:val="center"/>
        <w:rPr>
          <w:rFonts w:ascii="Times New Roman" w:eastAsia="Times New Roman" w:hAnsi="Times New Roman" w:cs="Times New Roman"/>
          <w:color w:val="000000"/>
          <w:sz w:val="32"/>
        </w:rPr>
      </w:pPr>
      <w:bookmarkStart w:id="65" w:name="_Toc53154115"/>
      <w:r w:rsidRPr="00AC087C">
        <w:rPr>
          <w:rFonts w:ascii="Times New Roman" w:eastAsia="Times New Roman" w:hAnsi="Times New Roman" w:cs="Times New Roman"/>
          <w:color w:val="000000"/>
          <w:sz w:val="32"/>
        </w:rPr>
        <w:t>3.2. Kopbudžeta nodokļu ieņēmumi</w:t>
      </w:r>
      <w:bookmarkEnd w:id="65"/>
    </w:p>
    <w:p w14:paraId="10B9478F" w14:textId="77777777" w:rsidR="003F3FCD" w:rsidRDefault="003F3FCD" w:rsidP="00401A5B">
      <w:pPr>
        <w:keepNext/>
        <w:keepLines/>
        <w:widowControl w:val="0"/>
        <w:jc w:val="center"/>
        <w:rPr>
          <w:rFonts w:ascii="Times New Roman" w:eastAsia="Times New Roman" w:hAnsi="Times New Roman" w:cs="Times New Roman"/>
          <w:b/>
          <w:color w:val="000000"/>
          <w:sz w:val="32"/>
        </w:rPr>
      </w:pPr>
    </w:p>
    <w:p w14:paraId="4E754433" w14:textId="701F1E0A" w:rsidR="00DB596B" w:rsidRPr="00DB596B" w:rsidRDefault="00DB596B" w:rsidP="00401A5B">
      <w:pPr>
        <w:ind w:firstLine="720"/>
        <w:jc w:val="both"/>
        <w:rPr>
          <w:rFonts w:ascii="Times New Roman" w:eastAsia="Times New Roman" w:hAnsi="Times New Roman" w:cs="Times New Roman"/>
          <w:sz w:val="28"/>
          <w:szCs w:val="24"/>
        </w:rPr>
      </w:pPr>
      <w:r w:rsidRPr="00DB596B">
        <w:rPr>
          <w:rFonts w:ascii="Times New Roman" w:eastAsia="Calibri" w:hAnsi="Times New Roman" w:cs="Times New Roman"/>
          <w:sz w:val="28"/>
          <w:szCs w:val="28"/>
        </w:rPr>
        <w:t>2020.gada pirmajā pusgadā kopbudžeta nodokļu ieņēmumi bija 4 171,1 </w:t>
      </w:r>
      <w:r w:rsidRPr="00DB596B">
        <w:rPr>
          <w:rFonts w:ascii="Times New Roman" w:eastAsia="Calibri" w:hAnsi="Times New Roman" w:cs="Times New Roman"/>
          <w:noProof/>
          <w:sz w:val="28"/>
          <w:szCs w:val="28"/>
        </w:rPr>
        <w:t>milj. </w:t>
      </w:r>
      <w:r w:rsidRPr="00DB596B">
        <w:rPr>
          <w:rFonts w:ascii="Times New Roman" w:eastAsia="Calibri" w:hAnsi="Times New Roman" w:cs="Times New Roman"/>
          <w:i/>
          <w:noProof/>
          <w:sz w:val="28"/>
          <w:szCs w:val="28"/>
        </w:rPr>
        <w:t>euro</w:t>
      </w:r>
      <w:r w:rsidRPr="00DB596B">
        <w:rPr>
          <w:rFonts w:ascii="Times New Roman" w:eastAsia="Calibri" w:hAnsi="Times New Roman" w:cs="Times New Roman"/>
          <w:noProof/>
          <w:sz w:val="28"/>
          <w:szCs w:val="28"/>
        </w:rPr>
        <w:t xml:space="preserve">, kas </w:t>
      </w:r>
      <w:r w:rsidRPr="00DB596B">
        <w:rPr>
          <w:rFonts w:ascii="Times New Roman" w:eastAsia="Times New Roman" w:hAnsi="Times New Roman" w:cs="Times New Roman"/>
          <w:noProof/>
          <w:sz w:val="28"/>
          <w:szCs w:val="20"/>
        </w:rPr>
        <w:t>salīdzinot ar likumā “Par valsts budžetu 2020.gadam” noteikto plānu, ir par 426,6 milj. </w:t>
      </w:r>
      <w:r w:rsidRPr="00DB596B">
        <w:rPr>
          <w:rFonts w:ascii="Times New Roman" w:eastAsia="Times New Roman" w:hAnsi="Times New Roman" w:cs="Times New Roman"/>
          <w:i/>
          <w:noProof/>
          <w:sz w:val="28"/>
          <w:szCs w:val="20"/>
        </w:rPr>
        <w:t>euro</w:t>
      </w:r>
      <w:r w:rsidRPr="00DB596B">
        <w:rPr>
          <w:rFonts w:ascii="Times New Roman" w:eastAsia="Times New Roman" w:hAnsi="Times New Roman" w:cs="Times New Roman"/>
          <w:noProof/>
          <w:sz w:val="28"/>
          <w:szCs w:val="20"/>
        </w:rPr>
        <w:t xml:space="preserve"> jeb 9,3% mazāk. To ietekmēja </w:t>
      </w:r>
      <w:r w:rsidRPr="00DB596B">
        <w:rPr>
          <w:rFonts w:ascii="Times New Roman" w:eastAsia="Times New Roman" w:hAnsi="Times New Roman" w:cs="Times New Roman"/>
          <w:sz w:val="28"/>
          <w:szCs w:val="20"/>
          <w:lang w:eastAsia="en-US"/>
        </w:rPr>
        <w:t xml:space="preserve">Covid-19 </w:t>
      </w:r>
      <w:r w:rsidRPr="00DB596B">
        <w:rPr>
          <w:rFonts w:ascii="Times New Roman" w:eastAsia="Times New Roman" w:hAnsi="Times New Roman" w:cs="Times New Roman"/>
          <w:noProof/>
          <w:sz w:val="28"/>
          <w:szCs w:val="20"/>
        </w:rPr>
        <w:t>izraisītās ekonomiskās krīzes sekas, kā rezultātā samazinājās ieņēmumi gandrīz visās nodokļu kategorijās</w:t>
      </w:r>
      <w:r w:rsidRPr="00DB596B">
        <w:rPr>
          <w:rFonts w:ascii="Times New Roman" w:eastAsia="Times New Roman" w:hAnsi="Times New Roman" w:cs="Times New Roman"/>
          <w:sz w:val="28"/>
          <w:szCs w:val="24"/>
          <w:lang w:eastAsia="en-US"/>
        </w:rPr>
        <w:t>. Pozitīva izpilde</w:t>
      </w:r>
      <w:r>
        <w:rPr>
          <w:rFonts w:ascii="Times New Roman" w:eastAsia="Times New Roman" w:hAnsi="Times New Roman" w:cs="Times New Roman"/>
          <w:sz w:val="28"/>
          <w:szCs w:val="24"/>
          <w:lang w:eastAsia="en-US"/>
        </w:rPr>
        <w:t xml:space="preserve"> bija vien iedzīvotāju ienākuma</w:t>
      </w:r>
      <w:r w:rsidRPr="00DB596B">
        <w:rPr>
          <w:rFonts w:ascii="Times New Roman" w:eastAsia="Times New Roman" w:hAnsi="Times New Roman" w:cs="Times New Roman"/>
          <w:sz w:val="28"/>
          <w:szCs w:val="24"/>
          <w:lang w:eastAsia="en-US"/>
        </w:rPr>
        <w:t xml:space="preserve"> nodoklim, kam pamatā ir būtiskā plāna pārpilde gada pirmajos divos mēnešos</w:t>
      </w:r>
      <w:r w:rsidRPr="00DB596B">
        <w:rPr>
          <w:rFonts w:ascii="Times New Roman" w:eastAsia="Times New Roman" w:hAnsi="Times New Roman" w:cs="Times New Roman"/>
          <w:sz w:val="28"/>
          <w:szCs w:val="24"/>
        </w:rPr>
        <w:t>.</w:t>
      </w:r>
    </w:p>
    <w:p w14:paraId="6833330A" w14:textId="6DDD7D0F" w:rsidR="00DB596B" w:rsidRPr="00DB596B" w:rsidRDefault="00DB596B" w:rsidP="00401A5B">
      <w:pPr>
        <w:ind w:firstLine="720"/>
        <w:jc w:val="both"/>
        <w:rPr>
          <w:rFonts w:ascii="Times New Roman" w:eastAsia="Times New Roman" w:hAnsi="Times New Roman" w:cs="Times New Roman"/>
          <w:noProof/>
          <w:sz w:val="28"/>
          <w:szCs w:val="20"/>
        </w:rPr>
      </w:pPr>
      <w:r w:rsidRPr="00DB596B">
        <w:rPr>
          <w:rFonts w:ascii="Times New Roman" w:eastAsia="Calibri" w:hAnsi="Times New Roman" w:cs="Times New Roman"/>
          <w:noProof/>
          <w:sz w:val="28"/>
          <w:szCs w:val="28"/>
        </w:rPr>
        <w:t xml:space="preserve">Krīzes rezultātātā, salīdzinot ar 2019.gada pirmo pusgadu, kopbudžeta nodokļu ieņēmumi </w:t>
      </w:r>
      <w:r w:rsidRPr="00DB596B">
        <w:rPr>
          <w:rFonts w:ascii="Times New Roman" w:eastAsia="Calibri" w:hAnsi="Times New Roman" w:cs="Times New Roman"/>
          <w:sz w:val="28"/>
          <w:szCs w:val="28"/>
        </w:rPr>
        <w:t xml:space="preserve">2020.gada pirmajā pusgadā </w:t>
      </w:r>
      <w:r w:rsidRPr="00DB596B">
        <w:rPr>
          <w:rFonts w:ascii="Times New Roman" w:eastAsia="Calibri" w:hAnsi="Times New Roman" w:cs="Times New Roman"/>
          <w:noProof/>
          <w:sz w:val="28"/>
          <w:szCs w:val="28"/>
        </w:rPr>
        <w:t xml:space="preserve">tika </w:t>
      </w:r>
      <w:r>
        <w:rPr>
          <w:rFonts w:ascii="Times New Roman" w:eastAsia="Calibri" w:hAnsi="Times New Roman" w:cs="Times New Roman"/>
          <w:noProof/>
          <w:sz w:val="28"/>
          <w:szCs w:val="28"/>
        </w:rPr>
        <w:t>iekasēti</w:t>
      </w:r>
      <w:r w:rsidRPr="00DB596B">
        <w:rPr>
          <w:rFonts w:ascii="Times New Roman" w:eastAsia="Calibri" w:hAnsi="Times New Roman" w:cs="Times New Roman"/>
          <w:noProof/>
          <w:sz w:val="28"/>
          <w:szCs w:val="28"/>
        </w:rPr>
        <w:t xml:space="preserve"> par 98,8 milj. </w:t>
      </w:r>
      <w:r w:rsidRPr="00DB596B">
        <w:rPr>
          <w:rFonts w:ascii="Times New Roman" w:eastAsia="Calibri" w:hAnsi="Times New Roman" w:cs="Times New Roman"/>
          <w:i/>
          <w:noProof/>
          <w:sz w:val="28"/>
          <w:szCs w:val="28"/>
        </w:rPr>
        <w:t>euro</w:t>
      </w:r>
      <w:r w:rsidRPr="00DB596B">
        <w:rPr>
          <w:rFonts w:ascii="Times New Roman" w:eastAsia="Calibri" w:hAnsi="Times New Roman" w:cs="Times New Roman"/>
          <w:noProof/>
          <w:sz w:val="28"/>
          <w:szCs w:val="28"/>
        </w:rPr>
        <w:t xml:space="preserve"> jeb 2,3% mazāk</w:t>
      </w:r>
      <w:r w:rsidRPr="00DB596B">
        <w:rPr>
          <w:rFonts w:ascii="Times New Roman" w:eastAsia="Times New Roman" w:hAnsi="Times New Roman" w:cs="Times New Roman"/>
          <w:noProof/>
          <w:sz w:val="28"/>
          <w:szCs w:val="20"/>
        </w:rPr>
        <w:t xml:space="preserve">. </w:t>
      </w:r>
      <w:r w:rsidRPr="00DB596B">
        <w:rPr>
          <w:rFonts w:ascii="Times New Roman" w:eastAsia="Times New Roman" w:hAnsi="Times New Roman" w:cs="Times New Roman"/>
          <w:sz w:val="28"/>
          <w:szCs w:val="20"/>
          <w:lang w:eastAsia="en-US"/>
        </w:rPr>
        <w:t>Ņemot vērā makroekonomisko rādītāju prognozes un pirmā pusgada izpildi, 2020.gada</w:t>
      </w:r>
      <w:r w:rsidRPr="00DB596B">
        <w:rPr>
          <w:rFonts w:ascii="Times New Roman" w:eastAsia="Calibri" w:hAnsi="Times New Roman" w:cs="Times New Roman"/>
          <w:sz w:val="28"/>
          <w:szCs w:val="28"/>
        </w:rPr>
        <w:t xml:space="preserve"> kopbudžeta nodokļu ieņēmumu</w:t>
      </w:r>
      <w:r w:rsidRPr="00DB596B">
        <w:rPr>
          <w:rFonts w:ascii="Times New Roman" w:eastAsia="Times New Roman" w:hAnsi="Times New Roman" w:cs="Times New Roman"/>
          <w:sz w:val="28"/>
          <w:szCs w:val="20"/>
          <w:lang w:eastAsia="en-US"/>
        </w:rPr>
        <w:t xml:space="preserve"> prognoze tika samazināta par 1 016,2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xml:space="preserve"> jeb par 10,5%, salīdzinot ar plānu.</w:t>
      </w:r>
    </w:p>
    <w:p w14:paraId="0F39F0A9" w14:textId="7FAE9553" w:rsidR="00DB596B" w:rsidRPr="00DB596B" w:rsidRDefault="00DB596B" w:rsidP="00401A5B">
      <w:pPr>
        <w:ind w:firstLine="709"/>
        <w:jc w:val="both"/>
        <w:rPr>
          <w:rFonts w:ascii="Times New Roman" w:eastAsia="Times New Roman" w:hAnsi="Times New Roman" w:cs="Times New Roman"/>
          <w:sz w:val="28"/>
          <w:szCs w:val="24"/>
          <w:lang w:eastAsia="en-US"/>
        </w:rPr>
      </w:pPr>
      <w:r w:rsidRPr="00DB596B">
        <w:rPr>
          <w:rFonts w:ascii="Times New Roman" w:eastAsia="Times New Roman" w:hAnsi="Times New Roman" w:cs="Times New Roman"/>
          <w:sz w:val="28"/>
          <w:szCs w:val="24"/>
          <w:lang w:eastAsia="en-US"/>
        </w:rPr>
        <w:t xml:space="preserve">Saskaņā ar </w:t>
      </w:r>
      <w:r>
        <w:rPr>
          <w:rFonts w:ascii="Times New Roman" w:eastAsia="Times New Roman" w:hAnsi="Times New Roman" w:cs="Times New Roman"/>
          <w:sz w:val="28"/>
          <w:szCs w:val="24"/>
          <w:lang w:eastAsia="en-US"/>
        </w:rPr>
        <w:t xml:space="preserve">VTBIL 2021., 2022. un 2023.gadam projektu </w:t>
      </w:r>
      <w:r w:rsidRPr="00DB596B">
        <w:rPr>
          <w:rFonts w:ascii="Times New Roman" w:eastAsia="Times New Roman" w:hAnsi="Times New Roman" w:cs="Times New Roman"/>
          <w:sz w:val="28"/>
          <w:szCs w:val="24"/>
          <w:lang w:eastAsia="en-US"/>
        </w:rPr>
        <w:t xml:space="preserve">2021.gadā kopbudžeta nodokļu ieņēmumi tiek plānoti </w:t>
      </w:r>
      <w:r w:rsidR="00831E9C" w:rsidRPr="00831E9C">
        <w:rPr>
          <w:rFonts w:ascii="Times New Roman" w:eastAsia="Times New Roman" w:hAnsi="Times New Roman" w:cs="Times New Roman"/>
          <w:sz w:val="28"/>
          <w:szCs w:val="24"/>
          <w:lang w:eastAsia="en-US"/>
        </w:rPr>
        <w:t xml:space="preserve">9 340,5 milj. </w:t>
      </w:r>
      <w:r w:rsidR="00831E9C" w:rsidRPr="00831E9C">
        <w:rPr>
          <w:rFonts w:ascii="Times New Roman" w:eastAsia="Times New Roman" w:hAnsi="Times New Roman" w:cs="Times New Roman"/>
          <w:i/>
          <w:sz w:val="28"/>
          <w:szCs w:val="24"/>
          <w:lang w:eastAsia="en-US"/>
        </w:rPr>
        <w:t>euro</w:t>
      </w:r>
      <w:r w:rsidR="00831E9C" w:rsidRPr="00831E9C">
        <w:rPr>
          <w:rFonts w:ascii="Times New Roman" w:eastAsia="Times New Roman" w:hAnsi="Times New Roman" w:cs="Times New Roman"/>
          <w:sz w:val="28"/>
          <w:szCs w:val="24"/>
          <w:lang w:eastAsia="en-US"/>
        </w:rPr>
        <w:t xml:space="preserve">, 2022.gadā 9 986,9 milj. </w:t>
      </w:r>
      <w:r w:rsidR="00831E9C" w:rsidRPr="00831E9C">
        <w:rPr>
          <w:rFonts w:ascii="Times New Roman" w:eastAsia="Times New Roman" w:hAnsi="Times New Roman" w:cs="Times New Roman"/>
          <w:i/>
          <w:sz w:val="28"/>
          <w:szCs w:val="24"/>
          <w:lang w:eastAsia="en-US"/>
        </w:rPr>
        <w:t>euro</w:t>
      </w:r>
      <w:r w:rsidR="00831E9C" w:rsidRPr="00831E9C">
        <w:rPr>
          <w:rFonts w:ascii="Times New Roman" w:eastAsia="Times New Roman" w:hAnsi="Times New Roman" w:cs="Times New Roman"/>
          <w:sz w:val="28"/>
          <w:szCs w:val="24"/>
          <w:lang w:eastAsia="en-US"/>
        </w:rPr>
        <w:t xml:space="preserve"> un 2023.gadā 10 510,3 milj. </w:t>
      </w:r>
      <w:r w:rsidR="00831E9C" w:rsidRPr="00831E9C">
        <w:rPr>
          <w:rFonts w:ascii="Times New Roman" w:eastAsia="Times New Roman" w:hAnsi="Times New Roman" w:cs="Times New Roman"/>
          <w:i/>
          <w:sz w:val="28"/>
          <w:szCs w:val="24"/>
          <w:lang w:eastAsia="en-US"/>
        </w:rPr>
        <w:t>euro</w:t>
      </w:r>
      <w:r w:rsidR="00831E9C">
        <w:rPr>
          <w:rFonts w:ascii="Times New Roman" w:eastAsia="Times New Roman" w:hAnsi="Times New Roman" w:cs="Times New Roman"/>
          <w:sz w:val="28"/>
          <w:szCs w:val="24"/>
          <w:lang w:eastAsia="en-US"/>
        </w:rPr>
        <w:t xml:space="preserve"> apmērā</w:t>
      </w:r>
      <w:r>
        <w:rPr>
          <w:rFonts w:ascii="Times New Roman" w:eastAsia="Times New Roman" w:hAnsi="Times New Roman" w:cs="Times New Roman"/>
          <w:sz w:val="28"/>
          <w:szCs w:val="24"/>
          <w:lang w:eastAsia="en-US"/>
        </w:rPr>
        <w:t xml:space="preserve"> (skat 3.1.tabulu).</w:t>
      </w:r>
    </w:p>
    <w:p w14:paraId="67AF7942" w14:textId="77777777" w:rsidR="00DB596B" w:rsidRPr="00DB596B" w:rsidRDefault="00DB596B" w:rsidP="00401A5B">
      <w:pPr>
        <w:ind w:firstLine="709"/>
        <w:jc w:val="center"/>
        <w:rPr>
          <w:rFonts w:ascii="Times New Roman" w:eastAsia="Times New Roman" w:hAnsi="Times New Roman" w:cs="Times New Roman"/>
          <w:b/>
          <w:i/>
          <w:sz w:val="24"/>
          <w:szCs w:val="24"/>
          <w:lang w:eastAsia="en-US"/>
        </w:rPr>
      </w:pPr>
    </w:p>
    <w:p w14:paraId="51CBD1C3" w14:textId="77777777" w:rsidR="00DB596B" w:rsidRPr="00DB596B" w:rsidRDefault="00DB596B" w:rsidP="00401A5B">
      <w:pPr>
        <w:ind w:firstLine="709"/>
        <w:jc w:val="right"/>
        <w:rPr>
          <w:rFonts w:ascii="Times New Roman" w:eastAsia="Times New Roman" w:hAnsi="Times New Roman" w:cs="Times New Roman"/>
          <w:b/>
          <w:i/>
          <w:sz w:val="24"/>
          <w:szCs w:val="24"/>
          <w:lang w:eastAsia="en-US"/>
        </w:rPr>
      </w:pPr>
      <w:r w:rsidRPr="00DB596B">
        <w:rPr>
          <w:rFonts w:ascii="Times New Roman" w:eastAsia="Times New Roman" w:hAnsi="Times New Roman" w:cs="Times New Roman"/>
          <w:b/>
          <w:i/>
          <w:sz w:val="24"/>
          <w:szCs w:val="24"/>
          <w:lang w:eastAsia="en-US"/>
        </w:rPr>
        <w:t>3.1. tabula. Kopbudžeta nodokļu ieņēmumi</w:t>
      </w:r>
    </w:p>
    <w:tbl>
      <w:tblPr>
        <w:tblW w:w="9072" w:type="dxa"/>
        <w:tblInd w:w="-10" w:type="dxa"/>
        <w:tblLook w:val="04A0" w:firstRow="1" w:lastRow="0" w:firstColumn="1" w:lastColumn="0" w:noHBand="0" w:noVBand="1"/>
      </w:tblPr>
      <w:tblGrid>
        <w:gridCol w:w="4395"/>
        <w:gridCol w:w="1134"/>
        <w:gridCol w:w="1275"/>
        <w:gridCol w:w="1114"/>
        <w:gridCol w:w="1154"/>
      </w:tblGrid>
      <w:tr w:rsidR="00DB596B" w:rsidRPr="00831E9C" w14:paraId="2D104E73" w14:textId="77777777" w:rsidTr="00831E9C">
        <w:trPr>
          <w:trHeight w:val="330"/>
        </w:trPr>
        <w:tc>
          <w:tcPr>
            <w:tcW w:w="4395"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14:paraId="133AF830" w14:textId="77777777" w:rsidR="00DB596B" w:rsidRPr="00831E9C" w:rsidRDefault="00DB596B" w:rsidP="00401A5B">
            <w:pPr>
              <w:rPr>
                <w:rFonts w:ascii="Times New Roman" w:eastAsia="Times New Roman" w:hAnsi="Times New Roman" w:cs="Times New Roman"/>
                <w:color w:val="000000"/>
                <w:sz w:val="20"/>
                <w:szCs w:val="20"/>
              </w:rPr>
            </w:pPr>
            <w:r w:rsidRPr="00831E9C">
              <w:rPr>
                <w:rFonts w:ascii="Times New Roman" w:eastAsia="Times New Roman" w:hAnsi="Times New Roman" w:cs="Times New Roman"/>
                <w:color w:val="000000"/>
                <w:sz w:val="20"/>
                <w:szCs w:val="20"/>
              </w:rPr>
              <w:t> </w:t>
            </w:r>
          </w:p>
        </w:tc>
        <w:tc>
          <w:tcPr>
            <w:tcW w:w="1134" w:type="dxa"/>
            <w:tcBorders>
              <w:top w:val="single" w:sz="8" w:space="0" w:color="auto"/>
              <w:left w:val="nil"/>
              <w:bottom w:val="single" w:sz="8" w:space="0" w:color="auto"/>
              <w:right w:val="single" w:sz="8" w:space="0" w:color="000000"/>
            </w:tcBorders>
            <w:shd w:val="clear" w:color="auto" w:fill="DEEAF6" w:themeFill="accent1" w:themeFillTint="33"/>
            <w:vAlign w:val="center"/>
            <w:hideMark/>
          </w:tcPr>
          <w:p w14:paraId="585014D0" w14:textId="77777777" w:rsidR="00DB596B" w:rsidRPr="00831E9C" w:rsidRDefault="00DB596B" w:rsidP="00401A5B">
            <w:pPr>
              <w:jc w:val="center"/>
              <w:rPr>
                <w:rFonts w:ascii="Times New Roman" w:eastAsia="Times New Roman" w:hAnsi="Times New Roman" w:cs="Times New Roman"/>
                <w:b/>
                <w:bCs/>
                <w:color w:val="000000"/>
                <w:sz w:val="20"/>
                <w:szCs w:val="20"/>
              </w:rPr>
            </w:pPr>
            <w:r w:rsidRPr="00831E9C">
              <w:rPr>
                <w:rFonts w:ascii="Times New Roman" w:eastAsia="Times New Roman" w:hAnsi="Times New Roman" w:cs="Times New Roman"/>
                <w:b/>
                <w:bCs/>
                <w:color w:val="000000"/>
                <w:sz w:val="20"/>
                <w:szCs w:val="20"/>
              </w:rPr>
              <w:t>2020</w:t>
            </w:r>
          </w:p>
        </w:tc>
        <w:tc>
          <w:tcPr>
            <w:tcW w:w="1275" w:type="dxa"/>
            <w:tcBorders>
              <w:top w:val="single" w:sz="8" w:space="0" w:color="auto"/>
              <w:left w:val="nil"/>
              <w:bottom w:val="single" w:sz="8" w:space="0" w:color="auto"/>
              <w:right w:val="single" w:sz="8" w:space="0" w:color="000000"/>
            </w:tcBorders>
            <w:shd w:val="clear" w:color="auto" w:fill="DEEAF6" w:themeFill="accent1" w:themeFillTint="33"/>
            <w:vAlign w:val="center"/>
            <w:hideMark/>
          </w:tcPr>
          <w:p w14:paraId="133B656E" w14:textId="77777777" w:rsidR="00DB596B" w:rsidRPr="00831E9C" w:rsidRDefault="00DB596B" w:rsidP="00401A5B">
            <w:pPr>
              <w:jc w:val="center"/>
              <w:rPr>
                <w:rFonts w:ascii="Times New Roman" w:eastAsia="Times New Roman" w:hAnsi="Times New Roman" w:cs="Times New Roman"/>
                <w:b/>
                <w:bCs/>
                <w:color w:val="000000"/>
                <w:sz w:val="20"/>
                <w:szCs w:val="20"/>
              </w:rPr>
            </w:pPr>
            <w:r w:rsidRPr="00831E9C">
              <w:rPr>
                <w:rFonts w:ascii="Times New Roman" w:eastAsia="Times New Roman" w:hAnsi="Times New Roman" w:cs="Times New Roman"/>
                <w:b/>
                <w:bCs/>
                <w:color w:val="000000"/>
                <w:sz w:val="20"/>
                <w:szCs w:val="20"/>
              </w:rPr>
              <w:t>2021</w:t>
            </w:r>
          </w:p>
        </w:tc>
        <w:tc>
          <w:tcPr>
            <w:tcW w:w="1114" w:type="dxa"/>
            <w:tcBorders>
              <w:top w:val="single" w:sz="8" w:space="0" w:color="auto"/>
              <w:left w:val="nil"/>
              <w:bottom w:val="single" w:sz="8" w:space="0" w:color="auto"/>
              <w:right w:val="single" w:sz="8" w:space="0" w:color="000000"/>
            </w:tcBorders>
            <w:shd w:val="clear" w:color="auto" w:fill="DEEAF6" w:themeFill="accent1" w:themeFillTint="33"/>
            <w:vAlign w:val="center"/>
            <w:hideMark/>
          </w:tcPr>
          <w:p w14:paraId="68AED5B8" w14:textId="77777777" w:rsidR="00DB596B" w:rsidRPr="00831E9C" w:rsidRDefault="00DB596B" w:rsidP="00401A5B">
            <w:pPr>
              <w:jc w:val="center"/>
              <w:rPr>
                <w:rFonts w:ascii="Times New Roman" w:eastAsia="Times New Roman" w:hAnsi="Times New Roman" w:cs="Times New Roman"/>
                <w:b/>
                <w:bCs/>
                <w:color w:val="000000"/>
                <w:sz w:val="20"/>
                <w:szCs w:val="20"/>
              </w:rPr>
            </w:pPr>
            <w:r w:rsidRPr="00831E9C">
              <w:rPr>
                <w:rFonts w:ascii="Times New Roman" w:eastAsia="Times New Roman" w:hAnsi="Times New Roman" w:cs="Times New Roman"/>
                <w:b/>
                <w:bCs/>
                <w:color w:val="000000"/>
                <w:sz w:val="20"/>
                <w:szCs w:val="20"/>
              </w:rPr>
              <w:t>2022</w:t>
            </w:r>
          </w:p>
        </w:tc>
        <w:tc>
          <w:tcPr>
            <w:tcW w:w="1154"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1649ECDB" w14:textId="77777777" w:rsidR="00DB596B" w:rsidRPr="00831E9C" w:rsidRDefault="00DB596B" w:rsidP="00401A5B">
            <w:pPr>
              <w:jc w:val="center"/>
              <w:rPr>
                <w:rFonts w:ascii="Times New Roman" w:eastAsia="Times New Roman" w:hAnsi="Times New Roman" w:cs="Times New Roman"/>
                <w:b/>
                <w:bCs/>
                <w:color w:val="000000"/>
                <w:sz w:val="20"/>
                <w:szCs w:val="20"/>
              </w:rPr>
            </w:pPr>
            <w:r w:rsidRPr="00831E9C">
              <w:rPr>
                <w:rFonts w:ascii="Times New Roman" w:eastAsia="Times New Roman" w:hAnsi="Times New Roman" w:cs="Times New Roman"/>
                <w:b/>
                <w:bCs/>
                <w:color w:val="000000"/>
                <w:sz w:val="20"/>
                <w:szCs w:val="20"/>
              </w:rPr>
              <w:t>2023</w:t>
            </w:r>
          </w:p>
        </w:tc>
      </w:tr>
      <w:tr w:rsidR="00831E9C" w:rsidRPr="00831E9C" w14:paraId="4C700DC6" w14:textId="77777777" w:rsidTr="00831E9C">
        <w:trPr>
          <w:trHeight w:val="389"/>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59E50CA" w14:textId="77777777" w:rsidR="00831E9C" w:rsidRPr="00831E9C" w:rsidRDefault="00831E9C" w:rsidP="00831E9C">
            <w:pPr>
              <w:rPr>
                <w:rFonts w:ascii="Times New Roman" w:eastAsia="Times New Roman" w:hAnsi="Times New Roman" w:cs="Times New Roman"/>
                <w:bCs/>
                <w:color w:val="000000"/>
                <w:sz w:val="20"/>
                <w:szCs w:val="20"/>
              </w:rPr>
            </w:pPr>
            <w:r w:rsidRPr="00831E9C">
              <w:rPr>
                <w:rFonts w:ascii="Times New Roman" w:eastAsia="Times New Roman" w:hAnsi="Times New Roman" w:cs="Times New Roman"/>
                <w:bCs/>
                <w:color w:val="000000"/>
                <w:sz w:val="20"/>
                <w:szCs w:val="20"/>
              </w:rPr>
              <w:t>Kopbudžeta nodokļu ieņēmumu prognozes saskaņā ar likumprojektu „Par vidēja termiņa budžeta ietvaru 2021., 2022. un 2023.gadam”, milj. euro</w:t>
            </w:r>
          </w:p>
        </w:tc>
        <w:tc>
          <w:tcPr>
            <w:tcW w:w="1134" w:type="dxa"/>
            <w:tcBorders>
              <w:top w:val="nil"/>
              <w:left w:val="nil"/>
              <w:bottom w:val="single" w:sz="8" w:space="0" w:color="auto"/>
              <w:right w:val="single" w:sz="8" w:space="0" w:color="auto"/>
            </w:tcBorders>
            <w:shd w:val="clear" w:color="auto" w:fill="auto"/>
            <w:noWrap/>
            <w:vAlign w:val="center"/>
          </w:tcPr>
          <w:p w14:paraId="058E4C5F" w14:textId="0CFA2636"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eastAsia="Times New Roman" w:hAnsi="Times New Roman" w:cs="Times New Roman"/>
                <w:b/>
                <w:bCs/>
                <w:color w:val="000000"/>
                <w:sz w:val="20"/>
                <w:szCs w:val="20"/>
              </w:rPr>
              <w:t>8 665,7*</w:t>
            </w:r>
          </w:p>
        </w:tc>
        <w:tc>
          <w:tcPr>
            <w:tcW w:w="1275" w:type="dxa"/>
            <w:tcBorders>
              <w:top w:val="nil"/>
              <w:left w:val="nil"/>
              <w:bottom w:val="single" w:sz="8" w:space="0" w:color="auto"/>
              <w:right w:val="single" w:sz="8" w:space="0" w:color="auto"/>
            </w:tcBorders>
            <w:shd w:val="clear" w:color="auto" w:fill="auto"/>
            <w:noWrap/>
          </w:tcPr>
          <w:p w14:paraId="7398ABAC" w14:textId="77777777" w:rsidR="00831E9C" w:rsidRDefault="00831E9C" w:rsidP="00831E9C">
            <w:pPr>
              <w:ind w:firstLine="206"/>
              <w:jc w:val="center"/>
              <w:rPr>
                <w:rFonts w:ascii="Times New Roman" w:hAnsi="Times New Roman" w:cs="Times New Roman"/>
                <w:sz w:val="20"/>
                <w:szCs w:val="20"/>
              </w:rPr>
            </w:pPr>
          </w:p>
          <w:p w14:paraId="3F149D12" w14:textId="42FEDF51"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9 340,5</w:t>
            </w:r>
          </w:p>
        </w:tc>
        <w:tc>
          <w:tcPr>
            <w:tcW w:w="1114" w:type="dxa"/>
            <w:tcBorders>
              <w:top w:val="nil"/>
              <w:left w:val="nil"/>
              <w:bottom w:val="single" w:sz="8" w:space="0" w:color="auto"/>
              <w:right w:val="single" w:sz="8" w:space="0" w:color="auto"/>
            </w:tcBorders>
            <w:shd w:val="clear" w:color="auto" w:fill="auto"/>
            <w:noWrap/>
          </w:tcPr>
          <w:p w14:paraId="46CA0DC0" w14:textId="77777777" w:rsidR="00831E9C" w:rsidRDefault="00831E9C" w:rsidP="00831E9C">
            <w:pPr>
              <w:ind w:firstLine="206"/>
              <w:jc w:val="center"/>
              <w:rPr>
                <w:rFonts w:ascii="Times New Roman" w:hAnsi="Times New Roman" w:cs="Times New Roman"/>
                <w:sz w:val="20"/>
                <w:szCs w:val="20"/>
              </w:rPr>
            </w:pPr>
          </w:p>
          <w:p w14:paraId="14DA9D19" w14:textId="507E6B18"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9 986,9</w:t>
            </w:r>
          </w:p>
        </w:tc>
        <w:tc>
          <w:tcPr>
            <w:tcW w:w="1154" w:type="dxa"/>
            <w:tcBorders>
              <w:top w:val="nil"/>
              <w:left w:val="nil"/>
              <w:bottom w:val="single" w:sz="8" w:space="0" w:color="auto"/>
              <w:right w:val="single" w:sz="8" w:space="0" w:color="auto"/>
            </w:tcBorders>
            <w:shd w:val="clear" w:color="auto" w:fill="auto"/>
            <w:noWrap/>
          </w:tcPr>
          <w:p w14:paraId="1CDF6A96" w14:textId="77777777" w:rsidR="00831E9C" w:rsidRDefault="00831E9C" w:rsidP="00831E9C">
            <w:pPr>
              <w:ind w:firstLine="56"/>
              <w:jc w:val="center"/>
              <w:rPr>
                <w:rFonts w:ascii="Times New Roman" w:hAnsi="Times New Roman" w:cs="Times New Roman"/>
                <w:sz w:val="20"/>
                <w:szCs w:val="20"/>
              </w:rPr>
            </w:pPr>
          </w:p>
          <w:p w14:paraId="21C98E97" w14:textId="4208C16D"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10 510,3</w:t>
            </w:r>
          </w:p>
        </w:tc>
      </w:tr>
      <w:tr w:rsidR="00831E9C" w:rsidRPr="00831E9C" w14:paraId="3319DFE9" w14:textId="77777777" w:rsidTr="00831E9C">
        <w:trPr>
          <w:trHeight w:val="622"/>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01CD3362" w14:textId="77777777" w:rsidR="00831E9C" w:rsidRPr="00831E9C" w:rsidRDefault="00831E9C" w:rsidP="00831E9C">
            <w:pPr>
              <w:rPr>
                <w:rFonts w:ascii="Times New Roman" w:eastAsia="Times New Roman" w:hAnsi="Times New Roman" w:cs="Times New Roman"/>
                <w:bCs/>
                <w:color w:val="000000"/>
                <w:sz w:val="20"/>
                <w:szCs w:val="20"/>
              </w:rPr>
            </w:pPr>
            <w:r w:rsidRPr="00831E9C">
              <w:rPr>
                <w:rFonts w:ascii="Times New Roman" w:eastAsia="Times New Roman" w:hAnsi="Times New Roman" w:cs="Times New Roman"/>
                <w:bCs/>
                <w:color w:val="000000"/>
                <w:sz w:val="20"/>
                <w:szCs w:val="20"/>
              </w:rPr>
              <w:t>Kopbudžeta nodokļu ieņēmumi saskaņā ar likumu „Par vidēja termiņa budžeta ietvaru 2020., 2021. un 2022.gadam”, milj. euro</w:t>
            </w:r>
          </w:p>
        </w:tc>
        <w:tc>
          <w:tcPr>
            <w:tcW w:w="1134" w:type="dxa"/>
            <w:tcBorders>
              <w:top w:val="nil"/>
              <w:left w:val="nil"/>
              <w:bottom w:val="single" w:sz="8" w:space="0" w:color="auto"/>
              <w:right w:val="single" w:sz="8" w:space="0" w:color="auto"/>
            </w:tcBorders>
            <w:shd w:val="clear" w:color="auto" w:fill="auto"/>
            <w:noWrap/>
            <w:vAlign w:val="center"/>
          </w:tcPr>
          <w:p w14:paraId="3838F0E6" w14:textId="64F150A1"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eastAsia="Times New Roman" w:hAnsi="Times New Roman" w:cs="Times New Roman"/>
                <w:color w:val="000000"/>
                <w:sz w:val="20"/>
                <w:szCs w:val="20"/>
              </w:rPr>
              <w:t>9 681,9</w:t>
            </w:r>
          </w:p>
        </w:tc>
        <w:tc>
          <w:tcPr>
            <w:tcW w:w="1275" w:type="dxa"/>
            <w:tcBorders>
              <w:top w:val="nil"/>
              <w:left w:val="nil"/>
              <w:bottom w:val="single" w:sz="8" w:space="0" w:color="auto"/>
              <w:right w:val="single" w:sz="8" w:space="0" w:color="auto"/>
            </w:tcBorders>
            <w:shd w:val="clear" w:color="auto" w:fill="auto"/>
            <w:noWrap/>
          </w:tcPr>
          <w:p w14:paraId="18AF2F1F" w14:textId="77777777" w:rsidR="00831E9C" w:rsidRDefault="00831E9C" w:rsidP="00831E9C">
            <w:pPr>
              <w:ind w:firstLine="90"/>
              <w:jc w:val="center"/>
              <w:rPr>
                <w:rFonts w:ascii="Times New Roman" w:hAnsi="Times New Roman" w:cs="Times New Roman"/>
                <w:sz w:val="20"/>
                <w:szCs w:val="20"/>
              </w:rPr>
            </w:pPr>
          </w:p>
          <w:p w14:paraId="7B7E672B" w14:textId="13AF6AB1"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10</w:t>
            </w:r>
            <w:r>
              <w:rPr>
                <w:rFonts w:ascii="Times New Roman" w:hAnsi="Times New Roman" w:cs="Times New Roman"/>
                <w:sz w:val="20"/>
                <w:szCs w:val="20"/>
              </w:rPr>
              <w:t xml:space="preserve"> </w:t>
            </w:r>
            <w:r w:rsidRPr="00831E9C">
              <w:rPr>
                <w:rFonts w:ascii="Times New Roman" w:hAnsi="Times New Roman" w:cs="Times New Roman"/>
                <w:sz w:val="20"/>
                <w:szCs w:val="20"/>
              </w:rPr>
              <w:t>220,9</w:t>
            </w:r>
          </w:p>
        </w:tc>
        <w:tc>
          <w:tcPr>
            <w:tcW w:w="1114" w:type="dxa"/>
            <w:tcBorders>
              <w:top w:val="nil"/>
              <w:left w:val="nil"/>
              <w:bottom w:val="single" w:sz="8" w:space="0" w:color="auto"/>
              <w:right w:val="single" w:sz="8" w:space="0" w:color="auto"/>
            </w:tcBorders>
            <w:shd w:val="clear" w:color="auto" w:fill="auto"/>
            <w:noWrap/>
          </w:tcPr>
          <w:p w14:paraId="4B9CC524" w14:textId="77777777" w:rsidR="00831E9C" w:rsidRDefault="00831E9C" w:rsidP="00831E9C">
            <w:pPr>
              <w:ind w:firstLine="2"/>
              <w:jc w:val="center"/>
              <w:rPr>
                <w:rFonts w:ascii="Times New Roman" w:hAnsi="Times New Roman" w:cs="Times New Roman"/>
                <w:sz w:val="20"/>
                <w:szCs w:val="20"/>
              </w:rPr>
            </w:pPr>
          </w:p>
          <w:p w14:paraId="3B48D5A2" w14:textId="5843E2CC"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10</w:t>
            </w:r>
            <w:r>
              <w:rPr>
                <w:rFonts w:ascii="Times New Roman" w:hAnsi="Times New Roman" w:cs="Times New Roman"/>
                <w:sz w:val="20"/>
                <w:szCs w:val="20"/>
              </w:rPr>
              <w:t xml:space="preserve"> </w:t>
            </w:r>
            <w:r w:rsidRPr="00831E9C">
              <w:rPr>
                <w:rFonts w:ascii="Times New Roman" w:hAnsi="Times New Roman" w:cs="Times New Roman"/>
                <w:sz w:val="20"/>
                <w:szCs w:val="20"/>
              </w:rPr>
              <w:t>732,5</w:t>
            </w:r>
          </w:p>
        </w:tc>
        <w:tc>
          <w:tcPr>
            <w:tcW w:w="1154" w:type="dxa"/>
            <w:tcBorders>
              <w:top w:val="nil"/>
              <w:left w:val="nil"/>
              <w:bottom w:val="single" w:sz="8" w:space="0" w:color="auto"/>
              <w:right w:val="single" w:sz="8" w:space="0" w:color="auto"/>
            </w:tcBorders>
            <w:shd w:val="clear" w:color="auto" w:fill="auto"/>
            <w:noWrap/>
          </w:tcPr>
          <w:p w14:paraId="743868D0" w14:textId="3F609B74"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w:t>
            </w:r>
          </w:p>
        </w:tc>
      </w:tr>
      <w:tr w:rsidR="00831E9C" w:rsidRPr="00831E9C" w14:paraId="7B01AFB3" w14:textId="77777777" w:rsidTr="00831E9C">
        <w:trPr>
          <w:trHeight w:val="618"/>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02AFBA4D" w14:textId="77777777" w:rsidR="00831E9C" w:rsidRPr="00831E9C" w:rsidRDefault="00831E9C" w:rsidP="00831E9C">
            <w:pPr>
              <w:rPr>
                <w:rFonts w:ascii="Times New Roman" w:eastAsia="Times New Roman" w:hAnsi="Times New Roman" w:cs="Times New Roman"/>
                <w:bCs/>
                <w:color w:val="000000"/>
                <w:sz w:val="20"/>
                <w:szCs w:val="20"/>
              </w:rPr>
            </w:pPr>
            <w:r w:rsidRPr="00831E9C">
              <w:rPr>
                <w:rFonts w:ascii="Times New Roman" w:eastAsia="Times New Roman" w:hAnsi="Times New Roman" w:cs="Times New Roman"/>
                <w:bCs/>
                <w:color w:val="000000"/>
                <w:sz w:val="20"/>
                <w:szCs w:val="20"/>
              </w:rPr>
              <w:t>pieaugums, salīdzinot ar likumu „Par vidēja termiņa budžeta ietvaru 2020., 2021. un 2022.gadam”, milj. euro</w:t>
            </w:r>
          </w:p>
        </w:tc>
        <w:tc>
          <w:tcPr>
            <w:tcW w:w="1134" w:type="dxa"/>
            <w:tcBorders>
              <w:top w:val="nil"/>
              <w:left w:val="nil"/>
              <w:bottom w:val="single" w:sz="8" w:space="0" w:color="auto"/>
              <w:right w:val="single" w:sz="8" w:space="0" w:color="auto"/>
            </w:tcBorders>
            <w:shd w:val="clear" w:color="auto" w:fill="auto"/>
            <w:noWrap/>
            <w:vAlign w:val="center"/>
          </w:tcPr>
          <w:p w14:paraId="2A8AC87B" w14:textId="783887D4"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eastAsia="Times New Roman" w:hAnsi="Times New Roman" w:cs="Times New Roman"/>
                <w:sz w:val="20"/>
                <w:szCs w:val="20"/>
                <w:lang w:eastAsia="en-US"/>
              </w:rPr>
              <w:t>-1 016,2</w:t>
            </w:r>
          </w:p>
        </w:tc>
        <w:tc>
          <w:tcPr>
            <w:tcW w:w="1275" w:type="dxa"/>
            <w:tcBorders>
              <w:top w:val="nil"/>
              <w:left w:val="nil"/>
              <w:bottom w:val="single" w:sz="8" w:space="0" w:color="auto"/>
              <w:right w:val="single" w:sz="8" w:space="0" w:color="auto"/>
            </w:tcBorders>
            <w:shd w:val="clear" w:color="auto" w:fill="auto"/>
            <w:noWrap/>
          </w:tcPr>
          <w:p w14:paraId="2BBFD64A" w14:textId="77777777" w:rsidR="00831E9C" w:rsidRDefault="00831E9C" w:rsidP="00831E9C">
            <w:pPr>
              <w:ind w:firstLine="206"/>
              <w:jc w:val="center"/>
              <w:rPr>
                <w:rFonts w:ascii="Times New Roman" w:hAnsi="Times New Roman" w:cs="Times New Roman"/>
                <w:sz w:val="20"/>
                <w:szCs w:val="20"/>
              </w:rPr>
            </w:pPr>
          </w:p>
          <w:p w14:paraId="2939EC7B" w14:textId="798C9B89"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-880,4</w:t>
            </w:r>
          </w:p>
        </w:tc>
        <w:tc>
          <w:tcPr>
            <w:tcW w:w="1114" w:type="dxa"/>
            <w:tcBorders>
              <w:top w:val="nil"/>
              <w:left w:val="nil"/>
              <w:bottom w:val="single" w:sz="8" w:space="0" w:color="auto"/>
              <w:right w:val="single" w:sz="8" w:space="0" w:color="auto"/>
            </w:tcBorders>
            <w:shd w:val="clear" w:color="auto" w:fill="auto"/>
            <w:noWrap/>
          </w:tcPr>
          <w:p w14:paraId="2237E1FD" w14:textId="77777777" w:rsidR="00831E9C" w:rsidRDefault="00831E9C" w:rsidP="00831E9C">
            <w:pPr>
              <w:ind w:firstLine="206"/>
              <w:jc w:val="center"/>
              <w:rPr>
                <w:rFonts w:ascii="Times New Roman" w:hAnsi="Times New Roman" w:cs="Times New Roman"/>
                <w:sz w:val="20"/>
                <w:szCs w:val="20"/>
              </w:rPr>
            </w:pPr>
          </w:p>
          <w:p w14:paraId="2E31F457" w14:textId="54E56D44"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-745,7</w:t>
            </w:r>
          </w:p>
        </w:tc>
        <w:tc>
          <w:tcPr>
            <w:tcW w:w="1154" w:type="dxa"/>
            <w:tcBorders>
              <w:top w:val="nil"/>
              <w:left w:val="nil"/>
              <w:bottom w:val="single" w:sz="8" w:space="0" w:color="auto"/>
              <w:right w:val="single" w:sz="8" w:space="0" w:color="auto"/>
            </w:tcBorders>
            <w:shd w:val="clear" w:color="auto" w:fill="auto"/>
            <w:noWrap/>
          </w:tcPr>
          <w:p w14:paraId="4D777649" w14:textId="009DB90D"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w:t>
            </w:r>
          </w:p>
        </w:tc>
      </w:tr>
      <w:tr w:rsidR="00831E9C" w:rsidRPr="00831E9C" w14:paraId="6D84C85D" w14:textId="77777777" w:rsidTr="00831E9C">
        <w:trPr>
          <w:trHeight w:val="472"/>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0ABE566C" w14:textId="77777777" w:rsidR="00831E9C" w:rsidRPr="00831E9C" w:rsidRDefault="00831E9C" w:rsidP="00831E9C">
            <w:pPr>
              <w:rPr>
                <w:rFonts w:ascii="Times New Roman" w:eastAsia="Times New Roman" w:hAnsi="Times New Roman" w:cs="Times New Roman"/>
                <w:bCs/>
                <w:color w:val="000000"/>
                <w:sz w:val="20"/>
                <w:szCs w:val="20"/>
              </w:rPr>
            </w:pPr>
            <w:r w:rsidRPr="00831E9C">
              <w:rPr>
                <w:rFonts w:ascii="Times New Roman" w:eastAsia="Times New Roman" w:hAnsi="Times New Roman" w:cs="Times New Roman"/>
                <w:bCs/>
                <w:color w:val="000000"/>
                <w:sz w:val="20"/>
                <w:szCs w:val="20"/>
              </w:rPr>
              <w:t>pieaugums, salīdzinot ar likumu „Par vidēja termiņa budžeta ietvaru 2020., 2021. un 2022.gadam”, %</w:t>
            </w:r>
          </w:p>
        </w:tc>
        <w:tc>
          <w:tcPr>
            <w:tcW w:w="1134" w:type="dxa"/>
            <w:tcBorders>
              <w:top w:val="nil"/>
              <w:left w:val="nil"/>
              <w:bottom w:val="single" w:sz="8" w:space="0" w:color="auto"/>
              <w:right w:val="single" w:sz="8" w:space="0" w:color="auto"/>
            </w:tcBorders>
            <w:shd w:val="clear" w:color="auto" w:fill="auto"/>
            <w:noWrap/>
            <w:vAlign w:val="center"/>
          </w:tcPr>
          <w:p w14:paraId="43063265" w14:textId="3DD0D80D"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eastAsia="Times New Roman" w:hAnsi="Times New Roman" w:cs="Times New Roman"/>
                <w:sz w:val="20"/>
                <w:szCs w:val="20"/>
                <w:lang w:eastAsia="en-US"/>
              </w:rPr>
              <w:t>-10,5</w:t>
            </w:r>
          </w:p>
        </w:tc>
        <w:tc>
          <w:tcPr>
            <w:tcW w:w="1275" w:type="dxa"/>
            <w:tcBorders>
              <w:top w:val="nil"/>
              <w:left w:val="nil"/>
              <w:bottom w:val="single" w:sz="8" w:space="0" w:color="auto"/>
              <w:right w:val="single" w:sz="8" w:space="0" w:color="auto"/>
            </w:tcBorders>
            <w:shd w:val="clear" w:color="auto" w:fill="auto"/>
            <w:noWrap/>
          </w:tcPr>
          <w:p w14:paraId="5FC81944" w14:textId="18E8C9F0"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-8,6%</w:t>
            </w:r>
          </w:p>
        </w:tc>
        <w:tc>
          <w:tcPr>
            <w:tcW w:w="1114" w:type="dxa"/>
            <w:tcBorders>
              <w:top w:val="nil"/>
              <w:left w:val="nil"/>
              <w:bottom w:val="single" w:sz="8" w:space="0" w:color="auto"/>
              <w:right w:val="single" w:sz="8" w:space="0" w:color="auto"/>
            </w:tcBorders>
            <w:shd w:val="clear" w:color="auto" w:fill="auto"/>
            <w:noWrap/>
          </w:tcPr>
          <w:p w14:paraId="1A7E37F9" w14:textId="0324FAFA"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-6,9%</w:t>
            </w:r>
          </w:p>
        </w:tc>
        <w:tc>
          <w:tcPr>
            <w:tcW w:w="1154" w:type="dxa"/>
            <w:tcBorders>
              <w:top w:val="nil"/>
              <w:left w:val="nil"/>
              <w:bottom w:val="single" w:sz="8" w:space="0" w:color="auto"/>
              <w:right w:val="single" w:sz="8" w:space="0" w:color="auto"/>
            </w:tcBorders>
            <w:shd w:val="clear" w:color="auto" w:fill="auto"/>
            <w:noWrap/>
          </w:tcPr>
          <w:p w14:paraId="7735FF01" w14:textId="3CBCFF4B"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w:t>
            </w:r>
          </w:p>
        </w:tc>
      </w:tr>
      <w:tr w:rsidR="00831E9C" w:rsidRPr="00831E9C" w14:paraId="23A09F36" w14:textId="77777777" w:rsidTr="00831E9C">
        <w:trPr>
          <w:trHeight w:val="246"/>
        </w:trPr>
        <w:tc>
          <w:tcPr>
            <w:tcW w:w="4395" w:type="dxa"/>
            <w:tcBorders>
              <w:top w:val="nil"/>
              <w:left w:val="single" w:sz="8" w:space="0" w:color="auto"/>
              <w:bottom w:val="single" w:sz="8" w:space="0" w:color="auto"/>
              <w:right w:val="single" w:sz="8" w:space="0" w:color="auto"/>
            </w:tcBorders>
            <w:shd w:val="clear" w:color="auto" w:fill="auto"/>
            <w:noWrap/>
            <w:vAlign w:val="center"/>
            <w:hideMark/>
          </w:tcPr>
          <w:p w14:paraId="1A07937F" w14:textId="77777777" w:rsidR="00831E9C" w:rsidRPr="00831E9C" w:rsidRDefault="00831E9C" w:rsidP="00831E9C">
            <w:pPr>
              <w:rPr>
                <w:rFonts w:ascii="Times New Roman" w:eastAsia="Times New Roman" w:hAnsi="Times New Roman" w:cs="Times New Roman"/>
                <w:bCs/>
                <w:color w:val="000000"/>
                <w:sz w:val="20"/>
                <w:szCs w:val="20"/>
              </w:rPr>
            </w:pPr>
            <w:r w:rsidRPr="00831E9C">
              <w:rPr>
                <w:rFonts w:ascii="Times New Roman" w:eastAsia="Times New Roman" w:hAnsi="Times New Roman" w:cs="Times New Roman"/>
                <w:bCs/>
                <w:color w:val="000000"/>
                <w:sz w:val="20"/>
                <w:szCs w:val="20"/>
              </w:rPr>
              <w:t>% no IKP</w:t>
            </w:r>
          </w:p>
        </w:tc>
        <w:tc>
          <w:tcPr>
            <w:tcW w:w="1134" w:type="dxa"/>
            <w:tcBorders>
              <w:top w:val="nil"/>
              <w:left w:val="nil"/>
              <w:bottom w:val="single" w:sz="8" w:space="0" w:color="auto"/>
              <w:right w:val="single" w:sz="8" w:space="0" w:color="auto"/>
            </w:tcBorders>
            <w:shd w:val="clear" w:color="auto" w:fill="auto"/>
            <w:noWrap/>
            <w:vAlign w:val="center"/>
          </w:tcPr>
          <w:p w14:paraId="2FB21E6B" w14:textId="399ABC1C"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eastAsia="Times New Roman" w:hAnsi="Times New Roman" w:cs="Times New Roman"/>
                <w:color w:val="000000"/>
                <w:sz w:val="20"/>
                <w:szCs w:val="20"/>
              </w:rPr>
              <w:t>30,7</w:t>
            </w:r>
          </w:p>
        </w:tc>
        <w:tc>
          <w:tcPr>
            <w:tcW w:w="1275" w:type="dxa"/>
            <w:tcBorders>
              <w:top w:val="nil"/>
              <w:left w:val="nil"/>
              <w:bottom w:val="single" w:sz="8" w:space="0" w:color="auto"/>
              <w:right w:val="single" w:sz="8" w:space="0" w:color="auto"/>
            </w:tcBorders>
            <w:shd w:val="clear" w:color="auto" w:fill="auto"/>
            <w:noWrap/>
          </w:tcPr>
          <w:p w14:paraId="5F45B9F3" w14:textId="002F632E"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31,1</w:t>
            </w:r>
          </w:p>
        </w:tc>
        <w:tc>
          <w:tcPr>
            <w:tcW w:w="1114" w:type="dxa"/>
            <w:tcBorders>
              <w:top w:val="nil"/>
              <w:left w:val="nil"/>
              <w:bottom w:val="single" w:sz="8" w:space="0" w:color="auto"/>
              <w:right w:val="single" w:sz="8" w:space="0" w:color="auto"/>
            </w:tcBorders>
            <w:shd w:val="clear" w:color="auto" w:fill="auto"/>
            <w:noWrap/>
          </w:tcPr>
          <w:p w14:paraId="10FB7945" w14:textId="34FC897E"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31,6</w:t>
            </w:r>
          </w:p>
        </w:tc>
        <w:tc>
          <w:tcPr>
            <w:tcW w:w="1154" w:type="dxa"/>
            <w:tcBorders>
              <w:top w:val="nil"/>
              <w:left w:val="nil"/>
              <w:bottom w:val="single" w:sz="8" w:space="0" w:color="auto"/>
              <w:right w:val="single" w:sz="8" w:space="0" w:color="auto"/>
            </w:tcBorders>
            <w:shd w:val="clear" w:color="auto" w:fill="auto"/>
            <w:noWrap/>
          </w:tcPr>
          <w:p w14:paraId="1A680550" w14:textId="57337FF0" w:rsidR="00831E9C" w:rsidRPr="00831E9C" w:rsidRDefault="00831E9C" w:rsidP="00831E9C">
            <w:pPr>
              <w:jc w:val="center"/>
              <w:rPr>
                <w:rFonts w:ascii="Times New Roman" w:eastAsia="Times New Roman" w:hAnsi="Times New Roman" w:cs="Times New Roman"/>
                <w:b/>
                <w:bCs/>
                <w:color w:val="000000"/>
                <w:sz w:val="20"/>
                <w:szCs w:val="20"/>
              </w:rPr>
            </w:pPr>
            <w:r w:rsidRPr="00831E9C">
              <w:rPr>
                <w:rFonts w:ascii="Times New Roman" w:hAnsi="Times New Roman" w:cs="Times New Roman"/>
                <w:sz w:val="20"/>
                <w:szCs w:val="20"/>
              </w:rPr>
              <w:t>31,6</w:t>
            </w:r>
          </w:p>
        </w:tc>
      </w:tr>
    </w:tbl>
    <w:p w14:paraId="6408A997" w14:textId="6ABA4342" w:rsidR="00DB596B" w:rsidRPr="00831E9C" w:rsidRDefault="00DB596B" w:rsidP="00831E9C">
      <w:pPr>
        <w:rPr>
          <w:rFonts w:ascii="Times New Roman" w:eastAsia="Times New Roman" w:hAnsi="Times New Roman" w:cs="Times New Roman"/>
          <w:bCs/>
          <w:color w:val="000000"/>
          <w:sz w:val="20"/>
          <w:szCs w:val="20"/>
        </w:rPr>
      </w:pPr>
      <w:r w:rsidRPr="00831E9C">
        <w:rPr>
          <w:rFonts w:ascii="Times New Roman" w:eastAsia="Times New Roman" w:hAnsi="Times New Roman" w:cs="Times New Roman"/>
          <w:bCs/>
          <w:color w:val="000000"/>
          <w:sz w:val="20"/>
          <w:szCs w:val="20"/>
        </w:rPr>
        <w:t xml:space="preserve">      *Prognoze 24.07.2020.</w:t>
      </w:r>
    </w:p>
    <w:p w14:paraId="06B3356A" w14:textId="77777777" w:rsidR="00831E9C" w:rsidRDefault="00831E9C" w:rsidP="00401A5B">
      <w:pPr>
        <w:jc w:val="both"/>
        <w:rPr>
          <w:rFonts w:ascii="Times New Roman" w:eastAsia="Times New Roman" w:hAnsi="Times New Roman" w:cs="Times New Roman"/>
          <w:sz w:val="20"/>
          <w:szCs w:val="18"/>
          <w:lang w:eastAsia="en-US"/>
        </w:rPr>
      </w:pPr>
    </w:p>
    <w:p w14:paraId="12C24DD2" w14:textId="7EA426E4" w:rsidR="00DB596B" w:rsidRPr="00DB596B" w:rsidRDefault="00DB596B" w:rsidP="00401A5B">
      <w:pPr>
        <w:ind w:firstLine="720"/>
        <w:contextualSpacing/>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Ieņēmumu plāns izstrādāts, par pamatu ņemot 2020.gada 1.pusgada nodokļu ieņēmumu izpildes rezultātus, kā arī šajā ziņojumā aprakstītās makroekonomisko rādītāju prognozes. Papildus ieņēmumu plāna iz</w:t>
      </w:r>
      <w:r>
        <w:rPr>
          <w:rFonts w:ascii="Times New Roman" w:eastAsia="Times New Roman" w:hAnsi="Times New Roman" w:cs="Times New Roman"/>
          <w:sz w:val="28"/>
          <w:szCs w:val="20"/>
          <w:lang w:eastAsia="en-US"/>
        </w:rPr>
        <w:t>strādē tika ņemti vērā arī 3.1.</w:t>
      </w:r>
      <w:r w:rsidRPr="00DB596B">
        <w:rPr>
          <w:rFonts w:ascii="Times New Roman" w:eastAsia="Times New Roman" w:hAnsi="Times New Roman" w:cs="Times New Roman"/>
          <w:sz w:val="28"/>
          <w:szCs w:val="20"/>
          <w:lang w:eastAsia="en-US"/>
        </w:rPr>
        <w:t>sadaļā minētie pasākumi.</w:t>
      </w:r>
    </w:p>
    <w:p w14:paraId="444DA397" w14:textId="463F680B" w:rsidR="00DB596B" w:rsidRDefault="00DB596B" w:rsidP="00401A5B">
      <w:pPr>
        <w:ind w:firstLine="709"/>
        <w:jc w:val="both"/>
        <w:rPr>
          <w:rFonts w:ascii="Times New Roman" w:eastAsia="Times New Roman" w:hAnsi="Times New Roman" w:cs="Times New Roman"/>
          <w:sz w:val="28"/>
          <w:szCs w:val="24"/>
          <w:lang w:eastAsia="en-US"/>
        </w:rPr>
      </w:pPr>
      <w:r w:rsidRPr="00DB596B">
        <w:rPr>
          <w:rFonts w:ascii="Times New Roman" w:eastAsia="Times New Roman" w:hAnsi="Times New Roman" w:cs="Times New Roman"/>
          <w:sz w:val="28"/>
          <w:szCs w:val="24"/>
          <w:lang w:eastAsia="en-US"/>
        </w:rPr>
        <w:t>Kopbudžeta nodokļu ieņēmumi sadalījumā pa veidiem laika periodā no 2020. līdz 2023</w:t>
      </w:r>
      <w:r>
        <w:rPr>
          <w:rFonts w:ascii="Times New Roman" w:eastAsia="Times New Roman" w:hAnsi="Times New Roman" w:cs="Times New Roman"/>
          <w:sz w:val="28"/>
          <w:szCs w:val="24"/>
          <w:lang w:eastAsia="en-US"/>
        </w:rPr>
        <w:t>.gadam ir sniegti 3.2.</w:t>
      </w:r>
      <w:r w:rsidRPr="00DB596B">
        <w:rPr>
          <w:rFonts w:ascii="Times New Roman" w:eastAsia="Times New Roman" w:hAnsi="Times New Roman" w:cs="Times New Roman"/>
          <w:sz w:val="28"/>
          <w:szCs w:val="24"/>
          <w:lang w:eastAsia="en-US"/>
        </w:rPr>
        <w:t>tabulā.</w:t>
      </w:r>
    </w:p>
    <w:p w14:paraId="4FAAC995" w14:textId="77777777" w:rsidR="00DB596B" w:rsidRPr="00DB596B" w:rsidRDefault="00DB596B" w:rsidP="00401A5B">
      <w:pPr>
        <w:ind w:firstLine="709"/>
        <w:jc w:val="both"/>
        <w:rPr>
          <w:rFonts w:ascii="Times New Roman" w:eastAsia="Times New Roman" w:hAnsi="Times New Roman" w:cs="Times New Roman"/>
          <w:sz w:val="28"/>
          <w:szCs w:val="24"/>
          <w:lang w:eastAsia="en-US"/>
        </w:rPr>
      </w:pPr>
    </w:p>
    <w:p w14:paraId="7189BC7B" w14:textId="77777777" w:rsidR="00DB596B" w:rsidRPr="00DB596B" w:rsidRDefault="00DB596B" w:rsidP="00401A5B">
      <w:pPr>
        <w:keepNext/>
        <w:jc w:val="right"/>
        <w:rPr>
          <w:rFonts w:ascii="Times New Roman" w:eastAsia="Calibri" w:hAnsi="Times New Roman" w:cs="Times New Roman"/>
          <w:sz w:val="24"/>
          <w:szCs w:val="24"/>
          <w:lang w:eastAsia="en-US"/>
        </w:rPr>
      </w:pPr>
      <w:r w:rsidRPr="00DB596B">
        <w:rPr>
          <w:rFonts w:ascii="Times New Roman" w:eastAsia="Times New Roman" w:hAnsi="Times New Roman" w:cs="Times New Roman"/>
          <w:b/>
          <w:i/>
          <w:sz w:val="24"/>
          <w:szCs w:val="24"/>
          <w:lang w:eastAsia="en-US"/>
        </w:rPr>
        <w:t>3.2. tabula. Kopbudžeta nodokļu ieņēmumi, milj. euro</w:t>
      </w:r>
      <w:r w:rsidRPr="00DB596B">
        <w:rPr>
          <w:rFonts w:ascii="Times New Roman" w:eastAsia="Times New Roman" w:hAnsi="Times New Roman" w:cs="Times New Roman"/>
          <w:b/>
          <w:i/>
          <w:sz w:val="24"/>
          <w:szCs w:val="24"/>
          <w:lang w:eastAsia="en-US"/>
        </w:rPr>
        <w:fldChar w:fldCharType="begin"/>
      </w:r>
      <w:r w:rsidRPr="00DB596B">
        <w:rPr>
          <w:rFonts w:ascii="Times New Roman" w:eastAsia="Times New Roman" w:hAnsi="Times New Roman" w:cs="Times New Roman"/>
          <w:b/>
          <w:i/>
          <w:sz w:val="24"/>
          <w:szCs w:val="24"/>
          <w:lang w:eastAsia="en-US"/>
        </w:rPr>
        <w:instrText xml:space="preserve"> LINK Excel.Sheet.12 C:\\Users\\Līga\\Desktop\\Grafiki_nodokli_vid.termi.xlsx tabula_nodokli!R4K2:R20K9 \a \f 4 \h  \* MERGEFORMAT </w:instrText>
      </w:r>
      <w:r w:rsidRPr="00DB596B">
        <w:rPr>
          <w:rFonts w:ascii="Times New Roman" w:eastAsia="Times New Roman" w:hAnsi="Times New Roman" w:cs="Times New Roman"/>
          <w:b/>
          <w:i/>
          <w:sz w:val="24"/>
          <w:szCs w:val="24"/>
          <w:lang w:eastAsia="en-US"/>
        </w:rPr>
        <w:fldChar w:fldCharType="separate"/>
      </w:r>
    </w:p>
    <w:tbl>
      <w:tblPr>
        <w:tblW w:w="8998" w:type="dxa"/>
        <w:tblInd w:w="-10" w:type="dxa"/>
        <w:tblLook w:val="04A0" w:firstRow="1" w:lastRow="0" w:firstColumn="1" w:lastColumn="0" w:noHBand="0" w:noVBand="1"/>
      </w:tblPr>
      <w:tblGrid>
        <w:gridCol w:w="4678"/>
        <w:gridCol w:w="1080"/>
        <w:gridCol w:w="1080"/>
        <w:gridCol w:w="1080"/>
        <w:gridCol w:w="1080"/>
      </w:tblGrid>
      <w:tr w:rsidR="00DB596B" w:rsidRPr="00401A5B" w14:paraId="150DC79C" w14:textId="77777777" w:rsidTr="00DB596B">
        <w:trPr>
          <w:trHeight w:val="330"/>
        </w:trPr>
        <w:tc>
          <w:tcPr>
            <w:tcW w:w="4678" w:type="dxa"/>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14:paraId="4C10B8B6" w14:textId="77777777" w:rsidR="00DB596B" w:rsidRPr="00401A5B" w:rsidRDefault="00DB596B" w:rsidP="00401A5B">
            <w:pPr>
              <w:jc w:val="center"/>
              <w:rPr>
                <w:rFonts w:ascii="Times New Roman" w:eastAsia="Times New Roman" w:hAnsi="Times New Roman" w:cs="Times New Roman"/>
                <w:b/>
                <w:bCs/>
                <w:color w:val="000000"/>
                <w:sz w:val="20"/>
                <w:szCs w:val="20"/>
              </w:rPr>
            </w:pPr>
            <w:r w:rsidRPr="00401A5B">
              <w:rPr>
                <w:rFonts w:ascii="Times New Roman" w:eastAsia="Times New Roman" w:hAnsi="Times New Roman" w:cs="Times New Roman"/>
                <w:b/>
                <w:bCs/>
                <w:color w:val="000000"/>
                <w:sz w:val="20"/>
                <w:szCs w:val="20"/>
              </w:rPr>
              <w:t>Nodokļa veids</w:t>
            </w:r>
          </w:p>
        </w:tc>
        <w:tc>
          <w:tcPr>
            <w:tcW w:w="1080" w:type="dxa"/>
            <w:tcBorders>
              <w:top w:val="single" w:sz="8" w:space="0" w:color="auto"/>
              <w:left w:val="nil"/>
              <w:bottom w:val="single" w:sz="8" w:space="0" w:color="auto"/>
              <w:right w:val="single" w:sz="8" w:space="0" w:color="000000"/>
            </w:tcBorders>
            <w:shd w:val="clear" w:color="auto" w:fill="DEEAF6" w:themeFill="accent1" w:themeFillTint="33"/>
            <w:vAlign w:val="center"/>
            <w:hideMark/>
          </w:tcPr>
          <w:p w14:paraId="388B0C0A" w14:textId="77777777" w:rsidR="00DB596B" w:rsidRPr="00401A5B" w:rsidRDefault="00DB596B" w:rsidP="00401A5B">
            <w:pPr>
              <w:jc w:val="center"/>
              <w:rPr>
                <w:rFonts w:ascii="Times New Roman" w:eastAsia="Times New Roman" w:hAnsi="Times New Roman" w:cs="Times New Roman"/>
                <w:b/>
                <w:bCs/>
                <w:color w:val="000000"/>
                <w:sz w:val="20"/>
                <w:szCs w:val="20"/>
              </w:rPr>
            </w:pPr>
            <w:r w:rsidRPr="00401A5B">
              <w:rPr>
                <w:rFonts w:ascii="Times New Roman" w:eastAsia="Times New Roman" w:hAnsi="Times New Roman" w:cs="Times New Roman"/>
                <w:b/>
                <w:bCs/>
                <w:color w:val="000000"/>
                <w:sz w:val="20"/>
                <w:szCs w:val="20"/>
              </w:rPr>
              <w:t>2020*</w:t>
            </w:r>
          </w:p>
        </w:tc>
        <w:tc>
          <w:tcPr>
            <w:tcW w:w="1080" w:type="dxa"/>
            <w:tcBorders>
              <w:top w:val="single" w:sz="8" w:space="0" w:color="auto"/>
              <w:left w:val="nil"/>
              <w:bottom w:val="single" w:sz="8" w:space="0" w:color="auto"/>
              <w:right w:val="single" w:sz="8" w:space="0" w:color="000000"/>
            </w:tcBorders>
            <w:shd w:val="clear" w:color="auto" w:fill="DEEAF6" w:themeFill="accent1" w:themeFillTint="33"/>
            <w:vAlign w:val="center"/>
            <w:hideMark/>
          </w:tcPr>
          <w:p w14:paraId="4959A104" w14:textId="77777777" w:rsidR="00DB596B" w:rsidRPr="00401A5B" w:rsidRDefault="00DB596B" w:rsidP="00401A5B">
            <w:pPr>
              <w:jc w:val="center"/>
              <w:rPr>
                <w:rFonts w:ascii="Times New Roman" w:eastAsia="Times New Roman" w:hAnsi="Times New Roman" w:cs="Times New Roman"/>
                <w:b/>
                <w:bCs/>
                <w:color w:val="000000"/>
                <w:sz w:val="20"/>
                <w:szCs w:val="20"/>
              </w:rPr>
            </w:pPr>
            <w:r w:rsidRPr="00401A5B">
              <w:rPr>
                <w:rFonts w:ascii="Times New Roman" w:eastAsia="Times New Roman" w:hAnsi="Times New Roman" w:cs="Times New Roman"/>
                <w:b/>
                <w:bCs/>
                <w:color w:val="000000"/>
                <w:sz w:val="20"/>
                <w:szCs w:val="20"/>
              </w:rPr>
              <w:t>2021</w:t>
            </w:r>
          </w:p>
        </w:tc>
        <w:tc>
          <w:tcPr>
            <w:tcW w:w="1080" w:type="dxa"/>
            <w:tcBorders>
              <w:top w:val="single" w:sz="8" w:space="0" w:color="auto"/>
              <w:left w:val="nil"/>
              <w:bottom w:val="single" w:sz="8" w:space="0" w:color="auto"/>
              <w:right w:val="single" w:sz="8" w:space="0" w:color="000000"/>
            </w:tcBorders>
            <w:shd w:val="clear" w:color="auto" w:fill="DEEAF6" w:themeFill="accent1" w:themeFillTint="33"/>
            <w:vAlign w:val="center"/>
            <w:hideMark/>
          </w:tcPr>
          <w:p w14:paraId="0E82F7F0" w14:textId="77777777" w:rsidR="00DB596B" w:rsidRPr="00401A5B" w:rsidRDefault="00DB596B" w:rsidP="00401A5B">
            <w:pPr>
              <w:jc w:val="center"/>
              <w:rPr>
                <w:rFonts w:ascii="Times New Roman" w:eastAsia="Times New Roman" w:hAnsi="Times New Roman" w:cs="Times New Roman"/>
                <w:b/>
                <w:bCs/>
                <w:color w:val="000000"/>
                <w:sz w:val="20"/>
                <w:szCs w:val="20"/>
              </w:rPr>
            </w:pPr>
            <w:r w:rsidRPr="00401A5B">
              <w:rPr>
                <w:rFonts w:ascii="Times New Roman" w:eastAsia="Times New Roman" w:hAnsi="Times New Roman" w:cs="Times New Roman"/>
                <w:b/>
                <w:bCs/>
                <w:color w:val="000000"/>
                <w:sz w:val="20"/>
                <w:szCs w:val="20"/>
              </w:rPr>
              <w:t>2022</w:t>
            </w:r>
          </w:p>
        </w:tc>
        <w:tc>
          <w:tcPr>
            <w:tcW w:w="1080"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516E71BA" w14:textId="77777777" w:rsidR="00DB596B" w:rsidRPr="00401A5B" w:rsidRDefault="00DB596B" w:rsidP="00401A5B">
            <w:pPr>
              <w:jc w:val="center"/>
              <w:rPr>
                <w:rFonts w:ascii="Times New Roman" w:eastAsia="Times New Roman" w:hAnsi="Times New Roman" w:cs="Times New Roman"/>
                <w:b/>
                <w:bCs/>
                <w:color w:val="000000"/>
                <w:sz w:val="20"/>
                <w:szCs w:val="20"/>
              </w:rPr>
            </w:pPr>
            <w:r w:rsidRPr="00401A5B">
              <w:rPr>
                <w:rFonts w:ascii="Times New Roman" w:eastAsia="Times New Roman" w:hAnsi="Times New Roman" w:cs="Times New Roman"/>
                <w:b/>
                <w:bCs/>
                <w:color w:val="000000"/>
                <w:sz w:val="20"/>
                <w:szCs w:val="20"/>
              </w:rPr>
              <w:t>2023</w:t>
            </w:r>
          </w:p>
        </w:tc>
      </w:tr>
      <w:tr w:rsidR="00DB596B" w:rsidRPr="00401A5B" w14:paraId="60AC3344" w14:textId="77777777" w:rsidTr="00DB596B">
        <w:trPr>
          <w:trHeight w:val="525"/>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4CAF79BF"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Sociālās apdrošināšanas iemaksas (valsts speciālajā budžetā)</w:t>
            </w:r>
          </w:p>
        </w:tc>
        <w:tc>
          <w:tcPr>
            <w:tcW w:w="1080" w:type="dxa"/>
            <w:tcBorders>
              <w:top w:val="nil"/>
              <w:left w:val="nil"/>
              <w:bottom w:val="single" w:sz="8" w:space="0" w:color="auto"/>
              <w:right w:val="single" w:sz="8" w:space="0" w:color="auto"/>
            </w:tcBorders>
            <w:shd w:val="clear" w:color="auto" w:fill="auto"/>
            <w:vAlign w:val="center"/>
            <w:hideMark/>
          </w:tcPr>
          <w:p w14:paraId="02DE7892"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2 664,5</w:t>
            </w:r>
          </w:p>
        </w:tc>
        <w:tc>
          <w:tcPr>
            <w:tcW w:w="1080" w:type="dxa"/>
            <w:tcBorders>
              <w:top w:val="nil"/>
              <w:left w:val="nil"/>
              <w:bottom w:val="single" w:sz="8" w:space="0" w:color="auto"/>
              <w:right w:val="single" w:sz="8" w:space="0" w:color="auto"/>
            </w:tcBorders>
            <w:shd w:val="clear" w:color="auto" w:fill="auto"/>
            <w:vAlign w:val="center"/>
            <w:hideMark/>
          </w:tcPr>
          <w:p w14:paraId="2BC426E6"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2 840,4</w:t>
            </w:r>
          </w:p>
        </w:tc>
        <w:tc>
          <w:tcPr>
            <w:tcW w:w="1080" w:type="dxa"/>
            <w:tcBorders>
              <w:top w:val="nil"/>
              <w:left w:val="nil"/>
              <w:bottom w:val="single" w:sz="8" w:space="0" w:color="auto"/>
              <w:right w:val="single" w:sz="8" w:space="0" w:color="auto"/>
            </w:tcBorders>
            <w:shd w:val="clear" w:color="auto" w:fill="auto"/>
            <w:vAlign w:val="center"/>
            <w:hideMark/>
          </w:tcPr>
          <w:p w14:paraId="1F14FF54"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3 084,7</w:t>
            </w:r>
          </w:p>
        </w:tc>
        <w:tc>
          <w:tcPr>
            <w:tcW w:w="1080" w:type="dxa"/>
            <w:tcBorders>
              <w:top w:val="nil"/>
              <w:left w:val="nil"/>
              <w:bottom w:val="single" w:sz="8" w:space="0" w:color="auto"/>
              <w:right w:val="single" w:sz="8" w:space="0" w:color="auto"/>
            </w:tcBorders>
            <w:shd w:val="clear" w:color="auto" w:fill="auto"/>
            <w:vAlign w:val="center"/>
            <w:hideMark/>
          </w:tcPr>
          <w:p w14:paraId="039405B9"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3 255,8</w:t>
            </w:r>
          </w:p>
        </w:tc>
      </w:tr>
      <w:tr w:rsidR="00DB596B" w:rsidRPr="00401A5B" w14:paraId="28B052C2"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4937A639"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Pievienotās vērtības nodoklis</w:t>
            </w:r>
          </w:p>
        </w:tc>
        <w:tc>
          <w:tcPr>
            <w:tcW w:w="1080" w:type="dxa"/>
            <w:tcBorders>
              <w:top w:val="nil"/>
              <w:left w:val="nil"/>
              <w:bottom w:val="single" w:sz="8" w:space="0" w:color="auto"/>
              <w:right w:val="single" w:sz="8" w:space="0" w:color="auto"/>
            </w:tcBorders>
            <w:shd w:val="clear" w:color="auto" w:fill="auto"/>
            <w:vAlign w:val="center"/>
            <w:hideMark/>
          </w:tcPr>
          <w:p w14:paraId="76F0AF79"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2 498,8</w:t>
            </w:r>
          </w:p>
        </w:tc>
        <w:tc>
          <w:tcPr>
            <w:tcW w:w="1080" w:type="dxa"/>
            <w:tcBorders>
              <w:top w:val="nil"/>
              <w:left w:val="nil"/>
              <w:bottom w:val="single" w:sz="8" w:space="0" w:color="auto"/>
              <w:right w:val="single" w:sz="8" w:space="0" w:color="auto"/>
            </w:tcBorders>
            <w:shd w:val="clear" w:color="auto" w:fill="auto"/>
            <w:vAlign w:val="center"/>
            <w:hideMark/>
          </w:tcPr>
          <w:p w14:paraId="0A889BD6"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2 735,3</w:t>
            </w:r>
          </w:p>
        </w:tc>
        <w:tc>
          <w:tcPr>
            <w:tcW w:w="1080" w:type="dxa"/>
            <w:tcBorders>
              <w:top w:val="nil"/>
              <w:left w:val="nil"/>
              <w:bottom w:val="single" w:sz="8" w:space="0" w:color="auto"/>
              <w:right w:val="single" w:sz="8" w:space="0" w:color="auto"/>
            </w:tcBorders>
            <w:shd w:val="clear" w:color="auto" w:fill="auto"/>
            <w:vAlign w:val="center"/>
            <w:hideMark/>
          </w:tcPr>
          <w:p w14:paraId="35CF235B"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2 925,9</w:t>
            </w:r>
          </w:p>
        </w:tc>
        <w:tc>
          <w:tcPr>
            <w:tcW w:w="1080" w:type="dxa"/>
            <w:tcBorders>
              <w:top w:val="nil"/>
              <w:left w:val="nil"/>
              <w:bottom w:val="single" w:sz="8" w:space="0" w:color="auto"/>
              <w:right w:val="single" w:sz="8" w:space="0" w:color="auto"/>
            </w:tcBorders>
            <w:shd w:val="clear" w:color="auto" w:fill="auto"/>
            <w:vAlign w:val="center"/>
            <w:hideMark/>
          </w:tcPr>
          <w:p w14:paraId="668C1FE4"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3 117,8</w:t>
            </w:r>
          </w:p>
        </w:tc>
      </w:tr>
      <w:tr w:rsidR="00DB596B" w:rsidRPr="00401A5B" w14:paraId="071B0EF5"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0F63A9A8"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Iedzīvotāju ienākuma nodoklis</w:t>
            </w:r>
          </w:p>
        </w:tc>
        <w:tc>
          <w:tcPr>
            <w:tcW w:w="1080" w:type="dxa"/>
            <w:tcBorders>
              <w:top w:val="nil"/>
              <w:left w:val="nil"/>
              <w:bottom w:val="single" w:sz="8" w:space="0" w:color="auto"/>
              <w:right w:val="single" w:sz="8" w:space="0" w:color="auto"/>
            </w:tcBorders>
            <w:shd w:val="clear" w:color="auto" w:fill="auto"/>
            <w:vAlign w:val="center"/>
            <w:hideMark/>
          </w:tcPr>
          <w:p w14:paraId="7D7048F3"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1 697,8</w:t>
            </w:r>
          </w:p>
        </w:tc>
        <w:tc>
          <w:tcPr>
            <w:tcW w:w="1080" w:type="dxa"/>
            <w:tcBorders>
              <w:top w:val="nil"/>
              <w:left w:val="nil"/>
              <w:bottom w:val="single" w:sz="8" w:space="0" w:color="auto"/>
              <w:right w:val="single" w:sz="8" w:space="0" w:color="auto"/>
            </w:tcBorders>
            <w:shd w:val="clear" w:color="auto" w:fill="auto"/>
            <w:vAlign w:val="center"/>
            <w:hideMark/>
          </w:tcPr>
          <w:p w14:paraId="57AB97F3"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1 778,7</w:t>
            </w:r>
          </w:p>
        </w:tc>
        <w:tc>
          <w:tcPr>
            <w:tcW w:w="1080" w:type="dxa"/>
            <w:tcBorders>
              <w:top w:val="nil"/>
              <w:left w:val="nil"/>
              <w:bottom w:val="single" w:sz="8" w:space="0" w:color="auto"/>
              <w:right w:val="single" w:sz="8" w:space="0" w:color="auto"/>
            </w:tcBorders>
            <w:shd w:val="clear" w:color="auto" w:fill="auto"/>
            <w:vAlign w:val="center"/>
            <w:hideMark/>
          </w:tcPr>
          <w:p w14:paraId="6CF120EA"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1 881,3</w:t>
            </w:r>
          </w:p>
        </w:tc>
        <w:tc>
          <w:tcPr>
            <w:tcW w:w="1080" w:type="dxa"/>
            <w:tcBorders>
              <w:top w:val="nil"/>
              <w:left w:val="nil"/>
              <w:bottom w:val="single" w:sz="8" w:space="0" w:color="auto"/>
              <w:right w:val="single" w:sz="8" w:space="0" w:color="auto"/>
            </w:tcBorders>
            <w:shd w:val="clear" w:color="auto" w:fill="auto"/>
            <w:vAlign w:val="center"/>
            <w:hideMark/>
          </w:tcPr>
          <w:p w14:paraId="79889077"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1 979,3</w:t>
            </w:r>
          </w:p>
        </w:tc>
      </w:tr>
      <w:tr w:rsidR="00DB596B" w:rsidRPr="00401A5B" w14:paraId="5EA3F4A7"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34198BDF"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Uzņēmumu ienākuma nodoklis</w:t>
            </w:r>
          </w:p>
        </w:tc>
        <w:tc>
          <w:tcPr>
            <w:tcW w:w="1080" w:type="dxa"/>
            <w:tcBorders>
              <w:top w:val="nil"/>
              <w:left w:val="nil"/>
              <w:bottom w:val="single" w:sz="8" w:space="0" w:color="auto"/>
              <w:right w:val="single" w:sz="8" w:space="0" w:color="auto"/>
            </w:tcBorders>
            <w:shd w:val="clear" w:color="auto" w:fill="auto"/>
            <w:vAlign w:val="center"/>
            <w:hideMark/>
          </w:tcPr>
          <w:p w14:paraId="5317ACB2"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200,0</w:t>
            </w:r>
          </w:p>
        </w:tc>
        <w:tc>
          <w:tcPr>
            <w:tcW w:w="1080" w:type="dxa"/>
            <w:tcBorders>
              <w:top w:val="nil"/>
              <w:left w:val="nil"/>
              <w:bottom w:val="single" w:sz="8" w:space="0" w:color="auto"/>
              <w:right w:val="single" w:sz="8" w:space="0" w:color="auto"/>
            </w:tcBorders>
            <w:shd w:val="clear" w:color="auto" w:fill="auto"/>
            <w:vAlign w:val="center"/>
            <w:hideMark/>
          </w:tcPr>
          <w:p w14:paraId="4E491BD4"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263,2</w:t>
            </w:r>
          </w:p>
        </w:tc>
        <w:tc>
          <w:tcPr>
            <w:tcW w:w="1080" w:type="dxa"/>
            <w:tcBorders>
              <w:top w:val="nil"/>
              <w:left w:val="nil"/>
              <w:bottom w:val="single" w:sz="8" w:space="0" w:color="auto"/>
              <w:right w:val="single" w:sz="8" w:space="0" w:color="auto"/>
            </w:tcBorders>
            <w:shd w:val="clear" w:color="auto" w:fill="auto"/>
            <w:vAlign w:val="center"/>
            <w:hideMark/>
          </w:tcPr>
          <w:p w14:paraId="65BD74D2"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308,1</w:t>
            </w:r>
          </w:p>
        </w:tc>
        <w:tc>
          <w:tcPr>
            <w:tcW w:w="1080" w:type="dxa"/>
            <w:tcBorders>
              <w:top w:val="nil"/>
              <w:left w:val="nil"/>
              <w:bottom w:val="single" w:sz="8" w:space="0" w:color="auto"/>
              <w:right w:val="single" w:sz="8" w:space="0" w:color="auto"/>
            </w:tcBorders>
            <w:shd w:val="clear" w:color="auto" w:fill="auto"/>
            <w:vAlign w:val="center"/>
            <w:hideMark/>
          </w:tcPr>
          <w:p w14:paraId="30379034"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314,8</w:t>
            </w:r>
          </w:p>
        </w:tc>
      </w:tr>
      <w:tr w:rsidR="00DB596B" w:rsidRPr="00401A5B" w14:paraId="5077EA91"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52ED9BBC"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Veselības maksājums</w:t>
            </w:r>
          </w:p>
        </w:tc>
        <w:tc>
          <w:tcPr>
            <w:tcW w:w="1080" w:type="dxa"/>
            <w:tcBorders>
              <w:top w:val="nil"/>
              <w:left w:val="nil"/>
              <w:bottom w:val="single" w:sz="8" w:space="0" w:color="auto"/>
              <w:right w:val="single" w:sz="8" w:space="0" w:color="auto"/>
            </w:tcBorders>
            <w:shd w:val="clear" w:color="auto" w:fill="auto"/>
            <w:vAlign w:val="center"/>
            <w:hideMark/>
          </w:tcPr>
          <w:p w14:paraId="007C58D0"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92,0</w:t>
            </w:r>
          </w:p>
        </w:tc>
        <w:tc>
          <w:tcPr>
            <w:tcW w:w="1080" w:type="dxa"/>
            <w:tcBorders>
              <w:top w:val="nil"/>
              <w:left w:val="nil"/>
              <w:bottom w:val="single" w:sz="8" w:space="0" w:color="auto"/>
              <w:right w:val="single" w:sz="8" w:space="0" w:color="auto"/>
            </w:tcBorders>
            <w:shd w:val="clear" w:color="auto" w:fill="auto"/>
            <w:vAlign w:val="center"/>
            <w:hideMark/>
          </w:tcPr>
          <w:p w14:paraId="3D67CB0D"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97,7</w:t>
            </w:r>
          </w:p>
        </w:tc>
        <w:tc>
          <w:tcPr>
            <w:tcW w:w="1080" w:type="dxa"/>
            <w:tcBorders>
              <w:top w:val="nil"/>
              <w:left w:val="nil"/>
              <w:bottom w:val="single" w:sz="8" w:space="0" w:color="auto"/>
              <w:right w:val="single" w:sz="8" w:space="0" w:color="auto"/>
            </w:tcBorders>
            <w:shd w:val="clear" w:color="auto" w:fill="auto"/>
            <w:vAlign w:val="center"/>
            <w:hideMark/>
          </w:tcPr>
          <w:p w14:paraId="51E580FF"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106,5</w:t>
            </w:r>
          </w:p>
        </w:tc>
        <w:tc>
          <w:tcPr>
            <w:tcW w:w="1080" w:type="dxa"/>
            <w:tcBorders>
              <w:top w:val="nil"/>
              <w:left w:val="nil"/>
              <w:bottom w:val="single" w:sz="8" w:space="0" w:color="auto"/>
              <w:right w:val="single" w:sz="8" w:space="0" w:color="auto"/>
            </w:tcBorders>
            <w:shd w:val="clear" w:color="auto" w:fill="auto"/>
            <w:vAlign w:val="center"/>
            <w:hideMark/>
          </w:tcPr>
          <w:p w14:paraId="6C92A2AE"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112,1</w:t>
            </w:r>
          </w:p>
        </w:tc>
      </w:tr>
      <w:tr w:rsidR="00DB596B" w:rsidRPr="00401A5B" w14:paraId="4BD314B5"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236E922C"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Akcīzes nodoklis</w:t>
            </w:r>
          </w:p>
        </w:tc>
        <w:tc>
          <w:tcPr>
            <w:tcW w:w="1080" w:type="dxa"/>
            <w:tcBorders>
              <w:top w:val="nil"/>
              <w:left w:val="nil"/>
              <w:bottom w:val="single" w:sz="8" w:space="0" w:color="auto"/>
              <w:right w:val="single" w:sz="8" w:space="0" w:color="auto"/>
            </w:tcBorders>
            <w:shd w:val="clear" w:color="auto" w:fill="auto"/>
            <w:vAlign w:val="center"/>
            <w:hideMark/>
          </w:tcPr>
          <w:p w14:paraId="63EA5F20"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1 043,0</w:t>
            </w:r>
          </w:p>
        </w:tc>
        <w:tc>
          <w:tcPr>
            <w:tcW w:w="1080" w:type="dxa"/>
            <w:tcBorders>
              <w:top w:val="nil"/>
              <w:left w:val="nil"/>
              <w:bottom w:val="single" w:sz="8" w:space="0" w:color="auto"/>
              <w:right w:val="single" w:sz="8" w:space="0" w:color="auto"/>
            </w:tcBorders>
            <w:shd w:val="clear" w:color="auto" w:fill="auto"/>
            <w:vAlign w:val="center"/>
            <w:hideMark/>
          </w:tcPr>
          <w:p w14:paraId="315030DB"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1 114,5</w:t>
            </w:r>
          </w:p>
        </w:tc>
        <w:tc>
          <w:tcPr>
            <w:tcW w:w="1080" w:type="dxa"/>
            <w:tcBorders>
              <w:top w:val="nil"/>
              <w:left w:val="nil"/>
              <w:bottom w:val="single" w:sz="8" w:space="0" w:color="auto"/>
              <w:right w:val="single" w:sz="8" w:space="0" w:color="auto"/>
            </w:tcBorders>
            <w:shd w:val="clear" w:color="auto" w:fill="auto"/>
            <w:vAlign w:val="center"/>
            <w:hideMark/>
          </w:tcPr>
          <w:p w14:paraId="6C6F206A"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1 159,5</w:t>
            </w:r>
          </w:p>
        </w:tc>
        <w:tc>
          <w:tcPr>
            <w:tcW w:w="1080" w:type="dxa"/>
            <w:tcBorders>
              <w:top w:val="nil"/>
              <w:left w:val="nil"/>
              <w:bottom w:val="single" w:sz="8" w:space="0" w:color="auto"/>
              <w:right w:val="single" w:sz="8" w:space="0" w:color="auto"/>
            </w:tcBorders>
            <w:shd w:val="clear" w:color="auto" w:fill="auto"/>
            <w:vAlign w:val="center"/>
            <w:hideMark/>
          </w:tcPr>
          <w:p w14:paraId="7E3B810F"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1 196,1</w:t>
            </w:r>
          </w:p>
        </w:tc>
      </w:tr>
      <w:tr w:rsidR="00DB596B" w:rsidRPr="00401A5B" w14:paraId="634A3716"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7BCE521F"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Nekustamā īpašuma nodoklis</w:t>
            </w:r>
          </w:p>
        </w:tc>
        <w:tc>
          <w:tcPr>
            <w:tcW w:w="1080" w:type="dxa"/>
            <w:tcBorders>
              <w:top w:val="nil"/>
              <w:left w:val="nil"/>
              <w:bottom w:val="single" w:sz="8" w:space="0" w:color="auto"/>
              <w:right w:val="single" w:sz="8" w:space="0" w:color="auto"/>
            </w:tcBorders>
            <w:shd w:val="clear" w:color="auto" w:fill="auto"/>
            <w:vAlign w:val="center"/>
            <w:hideMark/>
          </w:tcPr>
          <w:p w14:paraId="35315E75"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223,1</w:t>
            </w:r>
          </w:p>
        </w:tc>
        <w:tc>
          <w:tcPr>
            <w:tcW w:w="1080" w:type="dxa"/>
            <w:tcBorders>
              <w:top w:val="nil"/>
              <w:left w:val="nil"/>
              <w:bottom w:val="single" w:sz="8" w:space="0" w:color="auto"/>
              <w:right w:val="single" w:sz="8" w:space="0" w:color="auto"/>
            </w:tcBorders>
            <w:shd w:val="clear" w:color="auto" w:fill="auto"/>
            <w:vAlign w:val="center"/>
            <w:hideMark/>
          </w:tcPr>
          <w:p w14:paraId="42017742"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230,7</w:t>
            </w:r>
          </w:p>
        </w:tc>
        <w:tc>
          <w:tcPr>
            <w:tcW w:w="1080" w:type="dxa"/>
            <w:tcBorders>
              <w:top w:val="nil"/>
              <w:left w:val="nil"/>
              <w:bottom w:val="single" w:sz="8" w:space="0" w:color="auto"/>
              <w:right w:val="single" w:sz="8" w:space="0" w:color="auto"/>
            </w:tcBorders>
            <w:shd w:val="clear" w:color="auto" w:fill="auto"/>
            <w:vAlign w:val="center"/>
            <w:hideMark/>
          </w:tcPr>
          <w:p w14:paraId="4D490720"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234,2</w:t>
            </w:r>
          </w:p>
        </w:tc>
        <w:tc>
          <w:tcPr>
            <w:tcW w:w="1080" w:type="dxa"/>
            <w:tcBorders>
              <w:top w:val="nil"/>
              <w:left w:val="nil"/>
              <w:bottom w:val="single" w:sz="8" w:space="0" w:color="auto"/>
              <w:right w:val="single" w:sz="8" w:space="0" w:color="auto"/>
            </w:tcBorders>
            <w:shd w:val="clear" w:color="auto" w:fill="auto"/>
            <w:vAlign w:val="center"/>
            <w:hideMark/>
          </w:tcPr>
          <w:p w14:paraId="05A342E6"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237,7</w:t>
            </w:r>
          </w:p>
        </w:tc>
      </w:tr>
      <w:tr w:rsidR="00DB596B" w:rsidRPr="00401A5B" w14:paraId="17D80B41"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31303669"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Transportlīdzekļu ekspluatācijas nodoklis</w:t>
            </w:r>
          </w:p>
        </w:tc>
        <w:tc>
          <w:tcPr>
            <w:tcW w:w="1080" w:type="dxa"/>
            <w:tcBorders>
              <w:top w:val="nil"/>
              <w:left w:val="nil"/>
              <w:bottom w:val="single" w:sz="8" w:space="0" w:color="auto"/>
              <w:right w:val="single" w:sz="8" w:space="0" w:color="auto"/>
            </w:tcBorders>
            <w:shd w:val="clear" w:color="auto" w:fill="auto"/>
            <w:vAlign w:val="center"/>
            <w:hideMark/>
          </w:tcPr>
          <w:p w14:paraId="21A437CF"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96,6</w:t>
            </w:r>
          </w:p>
        </w:tc>
        <w:tc>
          <w:tcPr>
            <w:tcW w:w="1080" w:type="dxa"/>
            <w:tcBorders>
              <w:top w:val="nil"/>
              <w:left w:val="nil"/>
              <w:bottom w:val="single" w:sz="8" w:space="0" w:color="auto"/>
              <w:right w:val="single" w:sz="8" w:space="0" w:color="auto"/>
            </w:tcBorders>
            <w:shd w:val="clear" w:color="auto" w:fill="auto"/>
            <w:vAlign w:val="center"/>
            <w:hideMark/>
          </w:tcPr>
          <w:p w14:paraId="33FDB5A0" w14:textId="55B4E55D" w:rsidR="00DB596B" w:rsidRPr="00401A5B" w:rsidRDefault="00831E9C" w:rsidP="00401A5B">
            <w:pPr>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103,7</w:t>
            </w:r>
          </w:p>
        </w:tc>
        <w:tc>
          <w:tcPr>
            <w:tcW w:w="1080" w:type="dxa"/>
            <w:tcBorders>
              <w:top w:val="nil"/>
              <w:left w:val="nil"/>
              <w:bottom w:val="single" w:sz="8" w:space="0" w:color="auto"/>
              <w:right w:val="single" w:sz="8" w:space="0" w:color="auto"/>
            </w:tcBorders>
            <w:shd w:val="clear" w:color="auto" w:fill="auto"/>
            <w:vAlign w:val="center"/>
            <w:hideMark/>
          </w:tcPr>
          <w:p w14:paraId="272D8229" w14:textId="26C28CA1" w:rsidR="00DB596B" w:rsidRPr="00401A5B" w:rsidRDefault="00831E9C" w:rsidP="00401A5B">
            <w:pPr>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106,1</w:t>
            </w:r>
          </w:p>
        </w:tc>
        <w:tc>
          <w:tcPr>
            <w:tcW w:w="1080" w:type="dxa"/>
            <w:tcBorders>
              <w:top w:val="nil"/>
              <w:left w:val="nil"/>
              <w:bottom w:val="single" w:sz="8" w:space="0" w:color="auto"/>
              <w:right w:val="single" w:sz="8" w:space="0" w:color="auto"/>
            </w:tcBorders>
            <w:shd w:val="clear" w:color="auto" w:fill="auto"/>
            <w:vAlign w:val="center"/>
            <w:hideMark/>
          </w:tcPr>
          <w:p w14:paraId="17E719DE" w14:textId="2665143C" w:rsidR="00DB596B" w:rsidRPr="00401A5B" w:rsidRDefault="00831E9C" w:rsidP="00401A5B">
            <w:pPr>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108,7</w:t>
            </w:r>
          </w:p>
        </w:tc>
      </w:tr>
      <w:tr w:rsidR="00DB596B" w:rsidRPr="00401A5B" w14:paraId="572F8C82" w14:textId="77777777" w:rsidTr="00DB596B">
        <w:trPr>
          <w:trHeight w:val="286"/>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56347987"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Uzņēmumu vieglo transportlīdzekļu nodoklis</w:t>
            </w:r>
          </w:p>
        </w:tc>
        <w:tc>
          <w:tcPr>
            <w:tcW w:w="1080" w:type="dxa"/>
            <w:tcBorders>
              <w:top w:val="nil"/>
              <w:left w:val="nil"/>
              <w:bottom w:val="single" w:sz="8" w:space="0" w:color="auto"/>
              <w:right w:val="single" w:sz="8" w:space="0" w:color="auto"/>
            </w:tcBorders>
            <w:shd w:val="clear" w:color="auto" w:fill="auto"/>
            <w:vAlign w:val="center"/>
            <w:hideMark/>
          </w:tcPr>
          <w:p w14:paraId="362723BC"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21,5</w:t>
            </w:r>
          </w:p>
        </w:tc>
        <w:tc>
          <w:tcPr>
            <w:tcW w:w="1080" w:type="dxa"/>
            <w:tcBorders>
              <w:top w:val="nil"/>
              <w:left w:val="nil"/>
              <w:bottom w:val="single" w:sz="8" w:space="0" w:color="auto"/>
              <w:right w:val="single" w:sz="8" w:space="0" w:color="auto"/>
            </w:tcBorders>
            <w:shd w:val="clear" w:color="auto" w:fill="auto"/>
            <w:vAlign w:val="center"/>
            <w:hideMark/>
          </w:tcPr>
          <w:p w14:paraId="1692A829"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23,2</w:t>
            </w:r>
          </w:p>
        </w:tc>
        <w:tc>
          <w:tcPr>
            <w:tcW w:w="1080" w:type="dxa"/>
            <w:tcBorders>
              <w:top w:val="nil"/>
              <w:left w:val="nil"/>
              <w:bottom w:val="single" w:sz="8" w:space="0" w:color="auto"/>
              <w:right w:val="single" w:sz="8" w:space="0" w:color="auto"/>
            </w:tcBorders>
            <w:shd w:val="clear" w:color="auto" w:fill="auto"/>
            <w:vAlign w:val="center"/>
            <w:hideMark/>
          </w:tcPr>
          <w:p w14:paraId="1349DD9A"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23,2</w:t>
            </w:r>
          </w:p>
        </w:tc>
        <w:tc>
          <w:tcPr>
            <w:tcW w:w="1080" w:type="dxa"/>
            <w:tcBorders>
              <w:top w:val="nil"/>
              <w:left w:val="nil"/>
              <w:bottom w:val="single" w:sz="8" w:space="0" w:color="auto"/>
              <w:right w:val="single" w:sz="8" w:space="0" w:color="auto"/>
            </w:tcBorders>
            <w:shd w:val="clear" w:color="auto" w:fill="auto"/>
            <w:vAlign w:val="center"/>
            <w:hideMark/>
          </w:tcPr>
          <w:p w14:paraId="13C712F9"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23,2</w:t>
            </w:r>
          </w:p>
        </w:tc>
      </w:tr>
      <w:tr w:rsidR="00DB596B" w:rsidRPr="00401A5B" w14:paraId="616AD1A6"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562E3DF4"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Muitas nodoklis</w:t>
            </w:r>
          </w:p>
        </w:tc>
        <w:tc>
          <w:tcPr>
            <w:tcW w:w="1080" w:type="dxa"/>
            <w:tcBorders>
              <w:top w:val="nil"/>
              <w:left w:val="nil"/>
              <w:bottom w:val="single" w:sz="8" w:space="0" w:color="auto"/>
              <w:right w:val="single" w:sz="8" w:space="0" w:color="auto"/>
            </w:tcBorders>
            <w:shd w:val="clear" w:color="auto" w:fill="auto"/>
            <w:vAlign w:val="center"/>
            <w:hideMark/>
          </w:tcPr>
          <w:p w14:paraId="470B949A"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50,7</w:t>
            </w:r>
          </w:p>
        </w:tc>
        <w:tc>
          <w:tcPr>
            <w:tcW w:w="1080" w:type="dxa"/>
            <w:tcBorders>
              <w:top w:val="nil"/>
              <w:left w:val="nil"/>
              <w:bottom w:val="single" w:sz="8" w:space="0" w:color="auto"/>
              <w:right w:val="single" w:sz="8" w:space="0" w:color="auto"/>
            </w:tcBorders>
            <w:shd w:val="clear" w:color="auto" w:fill="auto"/>
            <w:vAlign w:val="center"/>
            <w:hideMark/>
          </w:tcPr>
          <w:p w14:paraId="2250C56B"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55,9</w:t>
            </w:r>
          </w:p>
        </w:tc>
        <w:tc>
          <w:tcPr>
            <w:tcW w:w="1080" w:type="dxa"/>
            <w:tcBorders>
              <w:top w:val="nil"/>
              <w:left w:val="nil"/>
              <w:bottom w:val="single" w:sz="8" w:space="0" w:color="auto"/>
              <w:right w:val="single" w:sz="8" w:space="0" w:color="auto"/>
            </w:tcBorders>
            <w:shd w:val="clear" w:color="auto" w:fill="auto"/>
            <w:vAlign w:val="center"/>
            <w:hideMark/>
          </w:tcPr>
          <w:p w14:paraId="0FB25BD0"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58,8</w:t>
            </w:r>
          </w:p>
        </w:tc>
        <w:tc>
          <w:tcPr>
            <w:tcW w:w="1080" w:type="dxa"/>
            <w:tcBorders>
              <w:top w:val="nil"/>
              <w:left w:val="nil"/>
              <w:bottom w:val="single" w:sz="8" w:space="0" w:color="auto"/>
              <w:right w:val="single" w:sz="8" w:space="0" w:color="auto"/>
            </w:tcBorders>
            <w:shd w:val="clear" w:color="auto" w:fill="auto"/>
            <w:vAlign w:val="center"/>
            <w:hideMark/>
          </w:tcPr>
          <w:p w14:paraId="4878E80B"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62,3</w:t>
            </w:r>
          </w:p>
        </w:tc>
      </w:tr>
      <w:tr w:rsidR="00DB596B" w:rsidRPr="00401A5B" w14:paraId="476AC074"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59F9BD79"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Izložu un azartspēļu nodoklis</w:t>
            </w:r>
          </w:p>
        </w:tc>
        <w:tc>
          <w:tcPr>
            <w:tcW w:w="1080" w:type="dxa"/>
            <w:tcBorders>
              <w:top w:val="nil"/>
              <w:left w:val="nil"/>
              <w:bottom w:val="single" w:sz="8" w:space="0" w:color="auto"/>
              <w:right w:val="single" w:sz="8" w:space="0" w:color="auto"/>
            </w:tcBorders>
            <w:shd w:val="clear" w:color="auto" w:fill="auto"/>
            <w:vAlign w:val="center"/>
            <w:hideMark/>
          </w:tcPr>
          <w:p w14:paraId="5CE6A193"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41,2</w:t>
            </w:r>
          </w:p>
        </w:tc>
        <w:tc>
          <w:tcPr>
            <w:tcW w:w="1080" w:type="dxa"/>
            <w:tcBorders>
              <w:top w:val="nil"/>
              <w:left w:val="nil"/>
              <w:bottom w:val="single" w:sz="8" w:space="0" w:color="auto"/>
              <w:right w:val="single" w:sz="8" w:space="0" w:color="auto"/>
            </w:tcBorders>
            <w:shd w:val="clear" w:color="auto" w:fill="auto"/>
            <w:vAlign w:val="center"/>
            <w:hideMark/>
          </w:tcPr>
          <w:p w14:paraId="16D15D58"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53,4</w:t>
            </w:r>
          </w:p>
        </w:tc>
        <w:tc>
          <w:tcPr>
            <w:tcW w:w="1080" w:type="dxa"/>
            <w:tcBorders>
              <w:top w:val="nil"/>
              <w:left w:val="nil"/>
              <w:bottom w:val="single" w:sz="8" w:space="0" w:color="auto"/>
              <w:right w:val="single" w:sz="8" w:space="0" w:color="auto"/>
            </w:tcBorders>
            <w:shd w:val="clear" w:color="auto" w:fill="auto"/>
            <w:vAlign w:val="center"/>
            <w:hideMark/>
          </w:tcPr>
          <w:p w14:paraId="78F6C3BE"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49,1</w:t>
            </w:r>
          </w:p>
        </w:tc>
        <w:tc>
          <w:tcPr>
            <w:tcW w:w="1080" w:type="dxa"/>
            <w:tcBorders>
              <w:top w:val="nil"/>
              <w:left w:val="nil"/>
              <w:bottom w:val="single" w:sz="8" w:space="0" w:color="auto"/>
              <w:right w:val="single" w:sz="8" w:space="0" w:color="auto"/>
            </w:tcBorders>
            <w:shd w:val="clear" w:color="auto" w:fill="auto"/>
            <w:vAlign w:val="center"/>
            <w:hideMark/>
          </w:tcPr>
          <w:p w14:paraId="2DC05ADE"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49,2</w:t>
            </w:r>
          </w:p>
        </w:tc>
      </w:tr>
      <w:tr w:rsidR="00DB596B" w:rsidRPr="00401A5B" w14:paraId="783F5365"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6565F8C1"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Dabas resursu nodoklis</w:t>
            </w:r>
          </w:p>
        </w:tc>
        <w:tc>
          <w:tcPr>
            <w:tcW w:w="1080" w:type="dxa"/>
            <w:tcBorders>
              <w:top w:val="nil"/>
              <w:left w:val="nil"/>
              <w:bottom w:val="single" w:sz="8" w:space="0" w:color="auto"/>
              <w:right w:val="single" w:sz="8" w:space="0" w:color="auto"/>
            </w:tcBorders>
            <w:shd w:val="clear" w:color="auto" w:fill="auto"/>
            <w:vAlign w:val="center"/>
            <w:hideMark/>
          </w:tcPr>
          <w:p w14:paraId="1405036B"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31,8</w:t>
            </w:r>
          </w:p>
        </w:tc>
        <w:tc>
          <w:tcPr>
            <w:tcW w:w="1080" w:type="dxa"/>
            <w:tcBorders>
              <w:top w:val="nil"/>
              <w:left w:val="nil"/>
              <w:bottom w:val="single" w:sz="8" w:space="0" w:color="auto"/>
              <w:right w:val="single" w:sz="8" w:space="0" w:color="auto"/>
            </w:tcBorders>
            <w:shd w:val="clear" w:color="auto" w:fill="auto"/>
            <w:vAlign w:val="center"/>
            <w:hideMark/>
          </w:tcPr>
          <w:p w14:paraId="1F60EAA7"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38,9</w:t>
            </w:r>
          </w:p>
        </w:tc>
        <w:tc>
          <w:tcPr>
            <w:tcW w:w="1080" w:type="dxa"/>
            <w:tcBorders>
              <w:top w:val="nil"/>
              <w:left w:val="nil"/>
              <w:bottom w:val="single" w:sz="8" w:space="0" w:color="auto"/>
              <w:right w:val="single" w:sz="8" w:space="0" w:color="auto"/>
            </w:tcBorders>
            <w:shd w:val="clear" w:color="auto" w:fill="auto"/>
            <w:vAlign w:val="center"/>
            <w:hideMark/>
          </w:tcPr>
          <w:p w14:paraId="6416C6C8"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44,5</w:t>
            </w:r>
          </w:p>
        </w:tc>
        <w:tc>
          <w:tcPr>
            <w:tcW w:w="1080" w:type="dxa"/>
            <w:tcBorders>
              <w:top w:val="nil"/>
              <w:left w:val="nil"/>
              <w:bottom w:val="single" w:sz="8" w:space="0" w:color="auto"/>
              <w:right w:val="single" w:sz="8" w:space="0" w:color="auto"/>
            </w:tcBorders>
            <w:shd w:val="clear" w:color="auto" w:fill="auto"/>
            <w:vAlign w:val="center"/>
            <w:hideMark/>
          </w:tcPr>
          <w:p w14:paraId="58D4D6BF"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48,4</w:t>
            </w:r>
          </w:p>
        </w:tc>
      </w:tr>
      <w:tr w:rsidR="00DB596B" w:rsidRPr="00401A5B" w14:paraId="03BC75BA" w14:textId="77777777" w:rsidTr="00DB596B">
        <w:trPr>
          <w:trHeight w:val="330"/>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306F4D1E" w14:textId="77777777" w:rsidR="00DB596B" w:rsidRPr="00401A5B" w:rsidRDefault="00DB596B" w:rsidP="00401A5B">
            <w:pPr>
              <w:rPr>
                <w:rFonts w:ascii="Times New Roman" w:eastAsia="Times New Roman" w:hAnsi="Times New Roman" w:cs="Times New Roman"/>
                <w:color w:val="000000"/>
                <w:sz w:val="20"/>
                <w:szCs w:val="20"/>
              </w:rPr>
            </w:pPr>
            <w:r w:rsidRPr="00401A5B">
              <w:rPr>
                <w:rFonts w:ascii="Times New Roman" w:eastAsia="Times New Roman" w:hAnsi="Times New Roman" w:cs="Times New Roman"/>
                <w:color w:val="000000"/>
                <w:sz w:val="20"/>
                <w:szCs w:val="20"/>
              </w:rPr>
              <w:t>Elektroenerģijas nodoklis</w:t>
            </w:r>
          </w:p>
        </w:tc>
        <w:tc>
          <w:tcPr>
            <w:tcW w:w="1080" w:type="dxa"/>
            <w:tcBorders>
              <w:top w:val="nil"/>
              <w:left w:val="nil"/>
              <w:bottom w:val="single" w:sz="8" w:space="0" w:color="auto"/>
              <w:right w:val="single" w:sz="8" w:space="0" w:color="auto"/>
            </w:tcBorders>
            <w:shd w:val="clear" w:color="auto" w:fill="auto"/>
            <w:vAlign w:val="center"/>
            <w:hideMark/>
          </w:tcPr>
          <w:p w14:paraId="38EE4274"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4,8</w:t>
            </w:r>
          </w:p>
        </w:tc>
        <w:tc>
          <w:tcPr>
            <w:tcW w:w="1080" w:type="dxa"/>
            <w:tcBorders>
              <w:top w:val="nil"/>
              <w:left w:val="nil"/>
              <w:bottom w:val="single" w:sz="8" w:space="0" w:color="auto"/>
              <w:right w:val="single" w:sz="8" w:space="0" w:color="auto"/>
            </w:tcBorders>
            <w:shd w:val="clear" w:color="auto" w:fill="auto"/>
            <w:vAlign w:val="center"/>
            <w:hideMark/>
          </w:tcPr>
          <w:p w14:paraId="27782BB7"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4,8</w:t>
            </w:r>
          </w:p>
        </w:tc>
        <w:tc>
          <w:tcPr>
            <w:tcW w:w="1080" w:type="dxa"/>
            <w:tcBorders>
              <w:top w:val="nil"/>
              <w:left w:val="nil"/>
              <w:bottom w:val="single" w:sz="8" w:space="0" w:color="auto"/>
              <w:right w:val="single" w:sz="8" w:space="0" w:color="auto"/>
            </w:tcBorders>
            <w:shd w:val="clear" w:color="auto" w:fill="auto"/>
            <w:vAlign w:val="center"/>
            <w:hideMark/>
          </w:tcPr>
          <w:p w14:paraId="4831E193"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4,9</w:t>
            </w:r>
          </w:p>
        </w:tc>
        <w:tc>
          <w:tcPr>
            <w:tcW w:w="1080" w:type="dxa"/>
            <w:tcBorders>
              <w:top w:val="nil"/>
              <w:left w:val="nil"/>
              <w:bottom w:val="single" w:sz="8" w:space="0" w:color="auto"/>
              <w:right w:val="single" w:sz="8" w:space="0" w:color="auto"/>
            </w:tcBorders>
            <w:shd w:val="clear" w:color="auto" w:fill="auto"/>
            <w:vAlign w:val="center"/>
            <w:hideMark/>
          </w:tcPr>
          <w:p w14:paraId="3CA792ED" w14:textId="77777777" w:rsidR="00DB596B" w:rsidRPr="00401A5B" w:rsidRDefault="00DB596B" w:rsidP="00401A5B">
            <w:pPr>
              <w:jc w:val="center"/>
              <w:rPr>
                <w:rFonts w:ascii="Times New Roman" w:eastAsia="Times New Roman" w:hAnsi="Times New Roman" w:cs="Times New Roman"/>
                <w:sz w:val="20"/>
                <w:szCs w:val="20"/>
                <w:lang w:eastAsia="en-US"/>
              </w:rPr>
            </w:pPr>
            <w:r w:rsidRPr="00401A5B">
              <w:rPr>
                <w:rFonts w:ascii="Times New Roman" w:eastAsia="Times New Roman" w:hAnsi="Times New Roman" w:cs="Times New Roman"/>
                <w:sz w:val="20"/>
                <w:szCs w:val="20"/>
                <w:lang w:eastAsia="en-US"/>
              </w:rPr>
              <w:t>4,9</w:t>
            </w:r>
          </w:p>
        </w:tc>
      </w:tr>
    </w:tbl>
    <w:p w14:paraId="5C2A7431" w14:textId="28FE46E4" w:rsidR="00DB596B" w:rsidRPr="00FD5F28" w:rsidRDefault="00DB596B" w:rsidP="00FD5F28">
      <w:pPr>
        <w:jc w:val="both"/>
        <w:rPr>
          <w:rFonts w:ascii="Times New Roman" w:eastAsia="Times New Roman" w:hAnsi="Times New Roman" w:cs="Times New Roman"/>
          <w:sz w:val="24"/>
          <w:szCs w:val="24"/>
          <w:lang w:eastAsia="en-US"/>
        </w:rPr>
      </w:pPr>
      <w:r w:rsidRPr="00DB596B">
        <w:rPr>
          <w:rFonts w:ascii="Times New Roman" w:eastAsia="Times New Roman" w:hAnsi="Times New Roman" w:cs="Times New Roman"/>
          <w:sz w:val="24"/>
          <w:szCs w:val="24"/>
          <w:lang w:eastAsia="en-US"/>
        </w:rPr>
        <w:fldChar w:fldCharType="end"/>
      </w:r>
      <w:bookmarkStart w:id="66" w:name="_Toc103590594"/>
      <w:r w:rsidRPr="00DB596B">
        <w:rPr>
          <w:rFonts w:ascii="Times New Roman" w:eastAsia="Times New Roman" w:hAnsi="Times New Roman" w:cs="Times New Roman"/>
          <w:sz w:val="24"/>
          <w:szCs w:val="24"/>
          <w:lang w:eastAsia="en-US"/>
        </w:rPr>
        <w:t>* Prognoze 24.07.2020.</w:t>
      </w:r>
      <w:bookmarkEnd w:id="66"/>
    </w:p>
    <w:p w14:paraId="083D02CB" w14:textId="77777777" w:rsidR="002A0A3A" w:rsidRDefault="002A0A3A" w:rsidP="00401A5B">
      <w:pPr>
        <w:ind w:firstLine="720"/>
        <w:jc w:val="both"/>
        <w:rPr>
          <w:rFonts w:ascii="Times New Roman" w:eastAsia="Times New Roman" w:hAnsi="Times New Roman" w:cs="Times New Roman"/>
          <w:sz w:val="28"/>
          <w:szCs w:val="20"/>
          <w:lang w:eastAsia="en-US"/>
        </w:rPr>
      </w:pPr>
    </w:p>
    <w:p w14:paraId="4AB27AB5" w14:textId="570A70FB" w:rsidR="002A0A3A" w:rsidRPr="002A0A3A" w:rsidRDefault="002A0A3A" w:rsidP="002A0A3A">
      <w:pPr>
        <w:ind w:firstLine="720"/>
        <w:jc w:val="center"/>
        <w:rPr>
          <w:rFonts w:ascii="Times New Roman" w:eastAsia="Times New Roman" w:hAnsi="Times New Roman" w:cs="Times New Roman"/>
          <w:b/>
          <w:sz w:val="28"/>
          <w:szCs w:val="20"/>
          <w:lang w:eastAsia="en-US"/>
        </w:rPr>
      </w:pPr>
      <w:r w:rsidRPr="002A0A3A">
        <w:rPr>
          <w:rFonts w:ascii="Times New Roman" w:eastAsia="Times New Roman" w:hAnsi="Times New Roman" w:cs="Times New Roman"/>
          <w:b/>
          <w:sz w:val="28"/>
          <w:szCs w:val="20"/>
          <w:lang w:eastAsia="en-US"/>
        </w:rPr>
        <w:t>Sociālās apdrošināšanas iemaksas</w:t>
      </w:r>
    </w:p>
    <w:p w14:paraId="469D3CAE" w14:textId="77777777" w:rsidR="002A0A3A" w:rsidRDefault="002A0A3A" w:rsidP="002A0A3A">
      <w:pPr>
        <w:ind w:firstLine="720"/>
        <w:jc w:val="center"/>
        <w:rPr>
          <w:rFonts w:ascii="Times New Roman" w:eastAsia="Times New Roman" w:hAnsi="Times New Roman" w:cs="Times New Roman"/>
          <w:sz w:val="28"/>
          <w:szCs w:val="20"/>
          <w:lang w:eastAsia="en-US"/>
        </w:rPr>
      </w:pPr>
    </w:p>
    <w:p w14:paraId="63B868AB" w14:textId="21681072" w:rsidR="00DB596B" w:rsidRPr="00DB596B" w:rsidRDefault="00DB596B" w:rsidP="00401A5B">
      <w:pPr>
        <w:ind w:firstLine="720"/>
        <w:jc w:val="both"/>
        <w:rPr>
          <w:rFonts w:ascii="Times New Roman" w:eastAsia="Times New Roman" w:hAnsi="Times New Roman" w:cs="Times New Roman"/>
          <w:sz w:val="28"/>
          <w:szCs w:val="24"/>
          <w:lang w:eastAsia="en-US"/>
        </w:rPr>
      </w:pPr>
      <w:r w:rsidRPr="00DB596B">
        <w:rPr>
          <w:rFonts w:ascii="Times New Roman" w:eastAsia="Times New Roman" w:hAnsi="Times New Roman" w:cs="Times New Roman"/>
          <w:sz w:val="28"/>
          <w:szCs w:val="20"/>
          <w:lang w:eastAsia="en-US"/>
        </w:rPr>
        <w:t>Sociālās apdrošināšanas iemaksu</w:t>
      </w:r>
      <w:r w:rsidRPr="00DB596B">
        <w:rPr>
          <w:rFonts w:ascii="Times New Roman" w:eastAsia="Times New Roman" w:hAnsi="Times New Roman" w:cs="Times New Roman"/>
          <w:sz w:val="28"/>
          <w:szCs w:val="20"/>
          <w:vertAlign w:val="superscript"/>
          <w:lang w:eastAsia="en-US"/>
        </w:rPr>
        <w:footnoteReference w:id="16"/>
      </w:r>
      <w:r w:rsidRPr="00DB596B">
        <w:rPr>
          <w:rFonts w:ascii="Times New Roman" w:eastAsia="Times New Roman" w:hAnsi="Times New Roman" w:cs="Times New Roman"/>
          <w:sz w:val="28"/>
          <w:szCs w:val="24"/>
          <w:lang w:eastAsia="en-US"/>
        </w:rPr>
        <w:t xml:space="preserve"> likme kopš 2018.gada ir 35,09% (11% darba ņēmēja un 24,09% – darba devēja daļa). 2018.gadā </w:t>
      </w:r>
      <w:r w:rsidRPr="00DB596B">
        <w:rPr>
          <w:rFonts w:ascii="Times New Roman" w:eastAsia="Times New Roman" w:hAnsi="Times New Roman" w:cs="Times New Roman"/>
          <w:sz w:val="28"/>
          <w:szCs w:val="20"/>
          <w:lang w:eastAsia="en-US"/>
        </w:rPr>
        <w:t>valsts sociālās apdrošināšanas obligāto iema</w:t>
      </w:r>
      <w:r>
        <w:rPr>
          <w:rFonts w:ascii="Times New Roman" w:eastAsia="Times New Roman" w:hAnsi="Times New Roman" w:cs="Times New Roman"/>
          <w:sz w:val="28"/>
          <w:szCs w:val="20"/>
          <w:lang w:eastAsia="en-US"/>
        </w:rPr>
        <w:t>ksu likme tika palielināta par vienu</w:t>
      </w:r>
      <w:r w:rsidRPr="00DB596B">
        <w:rPr>
          <w:rFonts w:ascii="Times New Roman" w:eastAsia="Times New Roman" w:hAnsi="Times New Roman" w:cs="Times New Roman"/>
          <w:sz w:val="28"/>
          <w:szCs w:val="20"/>
          <w:lang w:eastAsia="en-US"/>
        </w:rPr>
        <w:t xml:space="preserve"> procentpunktu, </w:t>
      </w:r>
      <w:r w:rsidRPr="00DB596B">
        <w:rPr>
          <w:rFonts w:ascii="Times New Roman" w:eastAsia="Times New Roman" w:hAnsi="Times New Roman" w:cs="Times New Roman"/>
          <w:color w:val="000000"/>
          <w:spacing w:val="-2"/>
          <w:sz w:val="28"/>
          <w:szCs w:val="20"/>
          <w:lang w:eastAsia="en-US"/>
        </w:rPr>
        <w:t xml:space="preserve">novirzot to </w:t>
      </w:r>
      <w:r w:rsidRPr="00DB596B">
        <w:rPr>
          <w:rFonts w:ascii="Times New Roman" w:eastAsia="Times New Roman" w:hAnsi="Times New Roman" w:cs="Times New Roman"/>
          <w:sz w:val="28"/>
          <w:szCs w:val="20"/>
          <w:lang w:eastAsia="en-US"/>
        </w:rPr>
        <w:t>pamatbudžetā veselības aprūpes finansēšanai</w:t>
      </w:r>
      <w:r w:rsidRPr="00DB596B">
        <w:rPr>
          <w:rFonts w:ascii="Times New Roman" w:eastAsia="Times New Roman" w:hAnsi="Times New Roman" w:cs="Times New Roman"/>
          <w:color w:val="000000"/>
          <w:spacing w:val="-2"/>
          <w:sz w:val="28"/>
          <w:szCs w:val="20"/>
          <w:lang w:eastAsia="en-US"/>
        </w:rPr>
        <w:t xml:space="preserve">. </w:t>
      </w:r>
      <w:r w:rsidRPr="00DB596B">
        <w:rPr>
          <w:rFonts w:ascii="Times New Roman" w:eastAsia="Times New Roman" w:hAnsi="Times New Roman" w:cs="Times New Roman"/>
          <w:sz w:val="28"/>
          <w:szCs w:val="24"/>
          <w:lang w:eastAsia="en-US"/>
        </w:rPr>
        <w:t xml:space="preserve">Valsts sociālās apdrošināšanas obligātās iemaksas piemēro ienākumu daļai līdz noteiktam maksimālajam objektam, kas 2018.gadā bija 55 000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xml:space="preserve">, bet </w:t>
      </w:r>
      <w:r w:rsidR="00E00EF2">
        <w:rPr>
          <w:rFonts w:ascii="Times New Roman" w:eastAsia="Times New Roman" w:hAnsi="Times New Roman" w:cs="Times New Roman"/>
          <w:sz w:val="28"/>
          <w:szCs w:val="20"/>
          <w:lang w:eastAsia="en-US"/>
        </w:rPr>
        <w:t>ar</w:t>
      </w:r>
      <w:r w:rsidRPr="00DB596B">
        <w:rPr>
          <w:rFonts w:ascii="Times New Roman" w:eastAsia="Times New Roman" w:hAnsi="Times New Roman" w:cs="Times New Roman"/>
          <w:sz w:val="28"/>
          <w:szCs w:val="20"/>
          <w:lang w:eastAsia="en-US"/>
        </w:rPr>
        <w:t xml:space="preserve"> 2019.gadu ir 62 800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w:t>
      </w:r>
    </w:p>
    <w:p w14:paraId="34946567" w14:textId="7A91014F" w:rsidR="00DB596B" w:rsidRPr="00DB596B" w:rsidRDefault="00E00EF2" w:rsidP="00401A5B">
      <w:pPr>
        <w:ind w:firstLine="709"/>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z w:val="28"/>
          <w:szCs w:val="28"/>
        </w:rPr>
        <w:t>Ar</w:t>
      </w:r>
      <w:r w:rsidR="00DB596B" w:rsidRPr="00DB596B">
        <w:rPr>
          <w:rFonts w:ascii="Times New Roman" w:eastAsia="Times New Roman" w:hAnsi="Times New Roman" w:cs="Times New Roman"/>
          <w:sz w:val="28"/>
          <w:szCs w:val="28"/>
        </w:rPr>
        <w:t xml:space="preserve"> 2019.gada 3.janvāri stājās spēkā solidaritātes nodokļa grozījumi, kas paredz, ka solidaritātes nodokļa likme ir 25,5%, ko piemēro ienākumiem</w:t>
      </w:r>
      <w:r w:rsidR="00DB596B" w:rsidRPr="00DB596B">
        <w:rPr>
          <w:rFonts w:ascii="Times New Roman" w:eastAsia="Times New Roman" w:hAnsi="Times New Roman" w:cs="Times New Roman"/>
          <w:sz w:val="28"/>
          <w:szCs w:val="20"/>
          <w:lang w:eastAsia="en-US"/>
        </w:rPr>
        <w:t>, kas pārsniedz 62 800 </w:t>
      </w:r>
      <w:r w:rsidR="00DB596B" w:rsidRPr="00DB596B">
        <w:rPr>
          <w:rFonts w:ascii="Times New Roman" w:eastAsia="Times New Roman" w:hAnsi="Times New Roman" w:cs="Times New Roman"/>
          <w:i/>
          <w:sz w:val="28"/>
          <w:szCs w:val="20"/>
          <w:lang w:eastAsia="en-US"/>
        </w:rPr>
        <w:t>euro</w:t>
      </w:r>
      <w:r w:rsidR="00DB596B" w:rsidRPr="00DB596B">
        <w:rPr>
          <w:rFonts w:ascii="Times New Roman" w:eastAsia="Times New Roman" w:hAnsi="Times New Roman" w:cs="Times New Roman"/>
          <w:sz w:val="28"/>
          <w:szCs w:val="20"/>
          <w:lang w:eastAsia="en-US"/>
        </w:rPr>
        <w:t xml:space="preserve"> gadā</w:t>
      </w:r>
      <w:r w:rsidR="00DB596B" w:rsidRPr="00DB596B">
        <w:rPr>
          <w:rFonts w:ascii="Times New Roman" w:eastAsia="Times New Roman" w:hAnsi="Times New Roman" w:cs="Times New Roman"/>
          <w:sz w:val="28"/>
          <w:szCs w:val="28"/>
        </w:rPr>
        <w:t xml:space="preserve">. Taksācijas periodā solidaritātes nodokļa objektam piemēro tādu pašu likmi, kādu </w:t>
      </w:r>
      <w:r w:rsidR="00DB596B">
        <w:rPr>
          <w:rFonts w:ascii="Times New Roman" w:eastAsia="Times New Roman" w:hAnsi="Times New Roman" w:cs="Times New Roman"/>
          <w:sz w:val="28"/>
          <w:szCs w:val="28"/>
        </w:rPr>
        <w:t>VSAOI</w:t>
      </w:r>
      <w:r w:rsidR="00DB596B" w:rsidRPr="00DB596B">
        <w:rPr>
          <w:rFonts w:ascii="Times New Roman" w:eastAsia="Times New Roman" w:hAnsi="Times New Roman" w:cs="Times New Roman"/>
          <w:sz w:val="28"/>
          <w:szCs w:val="28"/>
        </w:rPr>
        <w:t xml:space="preserve"> objektam, un Valsts ieņēmumu dienests līdz pēctaksācijas gada 1.septembrim rezumējošā kārtībā veic pārmaksātā solidaritātes nodokļa atmaksu (starpību starp taksācijas periodā samaksāto solidaritātes nodokli, kas aprēķināts, piemērojot augstāku </w:t>
      </w:r>
      <w:r w:rsidR="00401A5B">
        <w:rPr>
          <w:rFonts w:ascii="Times New Roman" w:eastAsia="Times New Roman" w:hAnsi="Times New Roman" w:cs="Times New Roman"/>
          <w:sz w:val="28"/>
          <w:szCs w:val="28"/>
        </w:rPr>
        <w:t>VSAOI</w:t>
      </w:r>
      <w:r w:rsidR="00DB596B" w:rsidRPr="00DB596B">
        <w:rPr>
          <w:rFonts w:ascii="Times New Roman" w:eastAsia="Times New Roman" w:hAnsi="Times New Roman" w:cs="Times New Roman"/>
          <w:sz w:val="28"/>
          <w:szCs w:val="28"/>
        </w:rPr>
        <w:t xml:space="preserve"> likmi, un rezumējošā kārtībā aprēķināto solidaritātes nodokli, kas aprēķināts, piemērojot solidaritātes nodokļa likmi (25,5%)). </w:t>
      </w:r>
      <w:r>
        <w:rPr>
          <w:rFonts w:ascii="Times New Roman" w:eastAsia="Times New Roman" w:hAnsi="Times New Roman" w:cs="Times New Roman"/>
          <w:sz w:val="28"/>
          <w:szCs w:val="28"/>
        </w:rPr>
        <w:t>Ar</w:t>
      </w:r>
      <w:r w:rsidR="00DB596B" w:rsidRPr="00DB596B">
        <w:rPr>
          <w:rFonts w:ascii="Times New Roman" w:eastAsia="Times New Roman" w:hAnsi="Times New Roman" w:cs="Times New Roman"/>
          <w:sz w:val="28"/>
          <w:szCs w:val="28"/>
        </w:rPr>
        <w:t xml:space="preserve"> 2019.gada 3.janvāri arī ir noteikta jauna solidaritātes nodokļa sadalīšanas secība</w:t>
      </w:r>
      <w:r w:rsidR="00DB596B" w:rsidRPr="00DB596B">
        <w:rPr>
          <w:rFonts w:ascii="Times New Roman" w:eastAsia="Times New Roman" w:hAnsi="Times New Roman" w:cs="Times New Roman"/>
          <w:spacing w:val="-2"/>
          <w:sz w:val="28"/>
          <w:szCs w:val="28"/>
          <w:lang w:eastAsia="en-US"/>
        </w:rPr>
        <w:t>, prioritāti piešķirot ar solidaritāti saistītām sadaļām:</w:t>
      </w:r>
    </w:p>
    <w:p w14:paraId="3C02EEDE" w14:textId="7D2414AC" w:rsidR="00DB596B" w:rsidRPr="00DB596B" w:rsidRDefault="00401A5B" w:rsidP="00FB2B77">
      <w:pPr>
        <w:numPr>
          <w:ilvl w:val="2"/>
          <w:numId w:val="26"/>
        </w:numPr>
        <w:ind w:left="1418" w:right="142" w:hanging="426"/>
        <w:contextualSpacing/>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pacing w:val="-2"/>
          <w:sz w:val="28"/>
          <w:szCs w:val="28"/>
          <w:lang w:eastAsia="en-US"/>
        </w:rPr>
        <w:t>viena</w:t>
      </w:r>
      <w:r w:rsidR="00DB596B" w:rsidRPr="00DB596B">
        <w:rPr>
          <w:rFonts w:ascii="Times New Roman" w:eastAsia="Times New Roman" w:hAnsi="Times New Roman" w:cs="Times New Roman"/>
          <w:spacing w:val="-2"/>
          <w:sz w:val="28"/>
          <w:szCs w:val="28"/>
          <w:lang w:eastAsia="en-US"/>
        </w:rPr>
        <w:t xml:space="preserve"> procentpunkta apmērā veselības aprūpes pakal</w:t>
      </w:r>
      <w:r>
        <w:rPr>
          <w:rFonts w:ascii="Times New Roman" w:eastAsia="Times New Roman" w:hAnsi="Times New Roman" w:cs="Times New Roman"/>
          <w:spacing w:val="-2"/>
          <w:sz w:val="28"/>
          <w:szCs w:val="28"/>
          <w:lang w:eastAsia="en-US"/>
        </w:rPr>
        <w:t>pojumu finansēšanai (2018.gadā viens</w:t>
      </w:r>
      <w:r w:rsidR="00DB596B" w:rsidRPr="00DB596B">
        <w:rPr>
          <w:rFonts w:ascii="Times New Roman" w:eastAsia="Times New Roman" w:hAnsi="Times New Roman" w:cs="Times New Roman"/>
          <w:spacing w:val="-2"/>
          <w:sz w:val="28"/>
          <w:szCs w:val="28"/>
          <w:lang w:eastAsia="en-US"/>
        </w:rPr>
        <w:t xml:space="preserve"> procentpunkts);</w:t>
      </w:r>
    </w:p>
    <w:p w14:paraId="57929B4E" w14:textId="77777777" w:rsidR="00DB596B" w:rsidRPr="00DB596B" w:rsidRDefault="00DB596B" w:rsidP="00FB2B77">
      <w:pPr>
        <w:numPr>
          <w:ilvl w:val="2"/>
          <w:numId w:val="26"/>
        </w:numPr>
        <w:ind w:left="1418" w:right="142" w:hanging="426"/>
        <w:contextualSpacing/>
        <w:jc w:val="both"/>
        <w:rPr>
          <w:rFonts w:ascii="Times New Roman" w:eastAsia="Times New Roman" w:hAnsi="Times New Roman" w:cs="Times New Roman"/>
          <w:spacing w:val="-2"/>
          <w:sz w:val="28"/>
          <w:szCs w:val="28"/>
          <w:lang w:eastAsia="en-US"/>
        </w:rPr>
      </w:pPr>
      <w:r w:rsidRPr="00DB596B">
        <w:rPr>
          <w:rFonts w:ascii="Times New Roman" w:eastAsia="Times New Roman" w:hAnsi="Times New Roman" w:cs="Times New Roman"/>
          <w:spacing w:val="-2"/>
          <w:sz w:val="28"/>
          <w:szCs w:val="28"/>
          <w:lang w:eastAsia="en-US"/>
        </w:rPr>
        <w:t>14 procentpunktu apmērā valsts pensiju speciālajā budžetā (2018.gadā 13,59 procentpunkti);</w:t>
      </w:r>
    </w:p>
    <w:p w14:paraId="3CD61012" w14:textId="03D304AE" w:rsidR="00DB596B" w:rsidRPr="00401A5B" w:rsidRDefault="00DB596B" w:rsidP="00FB2B77">
      <w:pPr>
        <w:numPr>
          <w:ilvl w:val="2"/>
          <w:numId w:val="26"/>
        </w:numPr>
        <w:ind w:left="1418" w:right="142" w:hanging="426"/>
        <w:contextualSpacing/>
        <w:jc w:val="both"/>
        <w:rPr>
          <w:rFonts w:ascii="Times New Roman" w:eastAsia="Times New Roman" w:hAnsi="Times New Roman" w:cs="Times New Roman"/>
          <w:spacing w:val="-2"/>
          <w:sz w:val="28"/>
          <w:szCs w:val="28"/>
          <w:lang w:eastAsia="en-US"/>
        </w:rPr>
      </w:pPr>
      <w:r w:rsidRPr="00DB596B">
        <w:rPr>
          <w:rFonts w:ascii="Times New Roman" w:eastAsia="Times New Roman" w:hAnsi="Times New Roman" w:cs="Times New Roman"/>
          <w:spacing w:val="-2"/>
          <w:sz w:val="28"/>
          <w:szCs w:val="28"/>
          <w:lang w:eastAsia="en-US"/>
        </w:rPr>
        <w:t>10,5 procentpunktu apmērā iedzīvotāju ienākuma nodokļa kontā (2018.gadā 10,5 procentpunkti).</w:t>
      </w:r>
      <w:r w:rsidRPr="00DB596B" w:rsidDel="00765998">
        <w:rPr>
          <w:rFonts w:ascii="Times New Roman" w:eastAsia="Times New Roman" w:hAnsi="Times New Roman" w:cs="Times New Roman"/>
          <w:spacing w:val="-2"/>
          <w:sz w:val="28"/>
          <w:szCs w:val="28"/>
          <w:lang w:eastAsia="en-US"/>
        </w:rPr>
        <w:t xml:space="preserve"> </w:t>
      </w:r>
    </w:p>
    <w:p w14:paraId="7B334C7D" w14:textId="77777777" w:rsidR="00DB596B" w:rsidRPr="00DB596B" w:rsidRDefault="00DB596B" w:rsidP="00401A5B">
      <w:pPr>
        <w:ind w:firstLine="709"/>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 xml:space="preserve">Ņemot vērā iepriekš minēto, turpmāk sociālās apdrošināšanas iemaksas norādītas ieskaitot solidaritātes nodokļa daļu, ko ieskaita </w:t>
      </w:r>
      <w:r w:rsidRPr="00DB596B">
        <w:rPr>
          <w:rFonts w:ascii="Times New Roman" w:eastAsia="Times New Roman" w:hAnsi="Times New Roman" w:cs="Times New Roman"/>
          <w:sz w:val="28"/>
          <w:szCs w:val="24"/>
          <w:lang w:eastAsia="en-US"/>
        </w:rPr>
        <w:t>valsts pensiju speciālā budžeta ieņēmumos</w:t>
      </w:r>
      <w:r w:rsidRPr="00DB596B">
        <w:rPr>
          <w:rFonts w:ascii="Times New Roman" w:eastAsia="Times New Roman" w:hAnsi="Times New Roman" w:cs="Times New Roman"/>
          <w:sz w:val="28"/>
          <w:szCs w:val="20"/>
          <w:lang w:eastAsia="en-US"/>
        </w:rPr>
        <w:t>.</w:t>
      </w:r>
    </w:p>
    <w:p w14:paraId="7A0A6253" w14:textId="77777777" w:rsidR="00DB596B" w:rsidRPr="00DB596B" w:rsidRDefault="00DB596B" w:rsidP="00401A5B">
      <w:pPr>
        <w:ind w:firstLine="709"/>
        <w:jc w:val="both"/>
        <w:rPr>
          <w:rFonts w:ascii="Times New Roman" w:eastAsia="Times New Roman" w:hAnsi="Times New Roman" w:cs="Times New Roman"/>
          <w:sz w:val="28"/>
          <w:szCs w:val="20"/>
          <w:highlight w:val="yellow"/>
          <w:lang w:eastAsia="en-US"/>
        </w:rPr>
      </w:pPr>
      <w:r w:rsidRPr="00DB596B">
        <w:rPr>
          <w:rFonts w:ascii="Times New Roman" w:eastAsia="Times New Roman" w:hAnsi="Times New Roman" w:cs="Times New Roman"/>
          <w:sz w:val="28"/>
          <w:szCs w:val="20"/>
          <w:lang w:eastAsia="en-US"/>
        </w:rPr>
        <w:t>Sociālās apdrošināšanas iemaksas 2020.gada sešos mēnešos veidoja 31,3% no kopbudžeta nodokļu ieņēmumiem, un tās valsts speciālajā budžetā bija 1 306,5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kas salīdzinājumā ar 2019.gada sešiem mēnešiem ir par 21,7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xml:space="preserve"> jeb 1,6% mazāk. 2020.gada sešos mēnešos valsts sociālās apdrošināšanas iemaksu ieņēmumi valsts pamatbudžetā veselības finansēšanai bija 46,0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kas ir par 1,9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xml:space="preserve"> jeb 3,9% mazāk nekā pērn attiecīgajā periodā.</w:t>
      </w:r>
    </w:p>
    <w:p w14:paraId="7B6B015C" w14:textId="060E843B" w:rsidR="00DB596B" w:rsidRPr="00DB596B" w:rsidRDefault="00DB596B" w:rsidP="00401A5B">
      <w:pPr>
        <w:ind w:firstLine="709"/>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 xml:space="preserve">Pēc informācijas iesniegtajos darba devēju ziņojumos par </w:t>
      </w:r>
      <w:r w:rsidR="00401A5B">
        <w:rPr>
          <w:rFonts w:ascii="Times New Roman" w:eastAsia="Times New Roman" w:hAnsi="Times New Roman" w:cs="Times New Roman"/>
          <w:sz w:val="28"/>
          <w:szCs w:val="20"/>
          <w:lang w:eastAsia="en-US"/>
        </w:rPr>
        <w:t>VSAOI</w:t>
      </w:r>
      <w:r w:rsidRPr="00DB596B">
        <w:rPr>
          <w:rFonts w:ascii="Times New Roman" w:eastAsia="Times New Roman" w:hAnsi="Times New Roman" w:cs="Times New Roman"/>
          <w:sz w:val="28"/>
          <w:szCs w:val="20"/>
          <w:lang w:eastAsia="en-US"/>
        </w:rPr>
        <w:t xml:space="preserve"> un iedzīvotāju ienākuma nodokli, 2020.gada pārskata periodā (2019.gada decembrī un 2020.gada piecos mēnešos) nodarbināto vidējie mēneša ienākumi valstī bija 1 102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kas, salīdzinot ar 2019.gada attiecīgo pārskata periodu, ir palielinājušies par 5,5</w:t>
      </w:r>
      <w:r w:rsidR="00401A5B">
        <w:rPr>
          <w:rFonts w:ascii="Times New Roman" w:eastAsia="Times New Roman" w:hAnsi="Times New Roman" w:cs="Times New Roman"/>
          <w:sz w:val="28"/>
          <w:szCs w:val="20"/>
          <w:lang w:eastAsia="en-US"/>
        </w:rPr>
        <w:t>%</w:t>
      </w:r>
      <w:r w:rsidRPr="00DB596B">
        <w:rPr>
          <w:rFonts w:ascii="Times New Roman" w:eastAsia="Times New Roman" w:hAnsi="Times New Roman" w:cs="Times New Roman"/>
          <w:sz w:val="28"/>
          <w:szCs w:val="20"/>
          <w:lang w:eastAsia="en-US"/>
        </w:rPr>
        <w:t>.</w:t>
      </w:r>
    </w:p>
    <w:p w14:paraId="53202653" w14:textId="271A1849" w:rsidR="00DB596B" w:rsidRPr="00DB596B" w:rsidRDefault="00DB596B" w:rsidP="00401A5B">
      <w:pPr>
        <w:ind w:firstLine="709"/>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 xml:space="preserve">2020.gada sešu mēnešu sociālās apdrošināšanas iemaksas nesasniedza plānu par 101,1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xml:space="preserve"> jeb plāna izpilde bija 92,8%, sociālās apdrošināšanas iemaksu samazinājumu ietekmēja ne tikai makroekonomiskā situācija, kuru ietekmēja uz laiku noteiktā ārkārtējā situācija Covid-19 izplatības dēļ, bet arī likumā “Par valsts apdraudējuma un tā seku novēršanas un pārvarēšanas pasākumiem sakarā ar Covid-19 izplatību” un </w:t>
      </w:r>
      <w:r w:rsidR="00401A5B">
        <w:rPr>
          <w:rFonts w:ascii="Times New Roman" w:eastAsia="Times New Roman" w:hAnsi="Times New Roman" w:cs="Times New Roman"/>
          <w:sz w:val="28"/>
          <w:szCs w:val="20"/>
          <w:lang w:eastAsia="en-US"/>
        </w:rPr>
        <w:t xml:space="preserve">likumā </w:t>
      </w:r>
      <w:r w:rsidRPr="00DB596B">
        <w:rPr>
          <w:rFonts w:ascii="Times New Roman" w:eastAsia="Times New Roman" w:hAnsi="Times New Roman" w:cs="Times New Roman"/>
          <w:sz w:val="28"/>
          <w:szCs w:val="20"/>
          <w:lang w:eastAsia="en-US"/>
        </w:rPr>
        <w:t>“Covid-19 infekcijas izplatības seku pārvarēšanas likums” ietvertie atbalsta un saimnieciskās darbības ierobežojošie pasākumi:</w:t>
      </w:r>
    </w:p>
    <w:p w14:paraId="136B1A64" w14:textId="77777777" w:rsidR="00DB596B" w:rsidRPr="00DB596B" w:rsidRDefault="00DB596B" w:rsidP="00FB2B77">
      <w:pPr>
        <w:numPr>
          <w:ilvl w:val="0"/>
          <w:numId w:val="30"/>
        </w:numPr>
        <w:spacing w:line="259" w:lineRule="auto"/>
        <w:ind w:left="1418"/>
        <w:contextualSpacing/>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nodokļu samaksas termiņa pagarinājums līdz trim gadiem, ja termiņa kavējums radies Covid-19 izplatības dēļ;</w:t>
      </w:r>
    </w:p>
    <w:p w14:paraId="4AF025CE" w14:textId="58D8DD29" w:rsidR="00DB596B" w:rsidRPr="003D0245" w:rsidRDefault="00DB596B" w:rsidP="003D0245">
      <w:pPr>
        <w:numPr>
          <w:ilvl w:val="0"/>
          <w:numId w:val="30"/>
        </w:numPr>
        <w:autoSpaceDE w:val="0"/>
        <w:autoSpaceDN w:val="0"/>
        <w:adjustRightInd w:val="0"/>
        <w:ind w:left="1418"/>
        <w:contextualSpacing/>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dīkstāves pabalsta piešķiršana līdz 75% no iepriekšējo sešu mēnešu vidējās atlīdzības apmēra, bet ne vairāk kā 700 </w:t>
      </w:r>
      <w:r w:rsidRPr="00DB596B">
        <w:rPr>
          <w:rFonts w:ascii="Times New Roman" w:eastAsia="Times New Roman" w:hAnsi="Times New Roman" w:cs="Times New Roman"/>
          <w:bCs/>
          <w:i/>
          <w:sz w:val="28"/>
          <w:szCs w:val="20"/>
          <w:lang w:eastAsia="en-US"/>
        </w:rPr>
        <w:t>euro</w:t>
      </w:r>
      <w:r w:rsidRPr="00DB596B">
        <w:rPr>
          <w:rFonts w:ascii="Times New Roman" w:eastAsia="Times New Roman" w:hAnsi="Times New Roman" w:cs="Times New Roman"/>
          <w:sz w:val="28"/>
          <w:szCs w:val="20"/>
          <w:lang w:eastAsia="en-US"/>
        </w:rPr>
        <w:t xml:space="preserve"> par kalendāro mēnesi, ja krīzes skarto nozaru darba devējs nenodarbina darbinieku vai neveic darbinieka saistības izpildījuma pieņemšanai nepieciešamās darbības (dīkstāve). Dīkstāve</w:t>
      </w:r>
      <w:r w:rsidR="00401A5B">
        <w:rPr>
          <w:rFonts w:ascii="Times New Roman" w:eastAsia="Times New Roman" w:hAnsi="Times New Roman" w:cs="Times New Roman"/>
          <w:sz w:val="28"/>
          <w:szCs w:val="20"/>
          <w:lang w:eastAsia="en-US"/>
        </w:rPr>
        <w:t xml:space="preserve">s pabalsts netiek aplikts ar iedzīvotāju ienākumu nodokli un sociālajām </w:t>
      </w:r>
      <w:r w:rsidRPr="00DB596B">
        <w:rPr>
          <w:rFonts w:ascii="Times New Roman" w:eastAsia="Times New Roman" w:hAnsi="Times New Roman" w:cs="Times New Roman"/>
          <w:sz w:val="28"/>
          <w:szCs w:val="20"/>
          <w:lang w:eastAsia="en-US"/>
        </w:rPr>
        <w:t>iemaksām.</w:t>
      </w:r>
    </w:p>
    <w:p w14:paraId="79E72A0C" w14:textId="77777777" w:rsidR="00DB596B" w:rsidRPr="00DB596B" w:rsidRDefault="00DB596B" w:rsidP="00401A5B">
      <w:pPr>
        <w:ind w:firstLine="709"/>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Ņemot vērā darba samaksas fonda makroekonomiskās prognozes un plāna neizpildi, 2020.gada sociālās apdrošināšanas iemaksu prognoze tika samazināta par 293,2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xml:space="preserve"> jeb par 9,9%, salīdzinot ar plānu. Sagatavojot vidēja termiņa valsts sociālās apdrošināšanas iemaksu ieņēmumu </w:t>
      </w:r>
      <w:r w:rsidRPr="00DB596B">
        <w:rPr>
          <w:rFonts w:ascii="Times New Roman" w:eastAsia="Times New Roman" w:hAnsi="Times New Roman" w:cs="Times New Roman"/>
          <w:color w:val="000000"/>
          <w:sz w:val="28"/>
          <w:szCs w:val="20"/>
          <w:lang w:eastAsia="en-US"/>
        </w:rPr>
        <w:t>plānu</w:t>
      </w:r>
      <w:r w:rsidRPr="00DB596B">
        <w:rPr>
          <w:rFonts w:ascii="Times New Roman" w:eastAsia="Times New Roman" w:hAnsi="Times New Roman" w:cs="Times New Roman"/>
          <w:sz w:val="28"/>
          <w:szCs w:val="20"/>
          <w:lang w:eastAsia="en-US"/>
        </w:rPr>
        <w:t>, tika ņemts vērā:</w:t>
      </w:r>
    </w:p>
    <w:p w14:paraId="344502E0" w14:textId="77777777" w:rsidR="00DB596B" w:rsidRPr="00DB596B" w:rsidRDefault="00DB596B" w:rsidP="00FB2B77">
      <w:pPr>
        <w:numPr>
          <w:ilvl w:val="0"/>
          <w:numId w:val="38"/>
        </w:numPr>
        <w:contextualSpacing/>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prognozētais darba samaksas fonda pieauguma temps;</w:t>
      </w:r>
    </w:p>
    <w:p w14:paraId="568C103C" w14:textId="77777777" w:rsidR="00DB596B" w:rsidRPr="00DB596B" w:rsidRDefault="00DB596B" w:rsidP="00FB2B77">
      <w:pPr>
        <w:numPr>
          <w:ilvl w:val="0"/>
          <w:numId w:val="38"/>
        </w:numPr>
        <w:contextualSpacing/>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 xml:space="preserve">prognozētās 2020.gada sociālās apdrošināšanas iemaksas; </w:t>
      </w:r>
    </w:p>
    <w:p w14:paraId="5657A4DD" w14:textId="77777777" w:rsidR="00DB596B" w:rsidRPr="00DB596B" w:rsidRDefault="00DB596B" w:rsidP="00FB2B77">
      <w:pPr>
        <w:numPr>
          <w:ilvl w:val="0"/>
          <w:numId w:val="38"/>
        </w:numPr>
        <w:contextualSpacing/>
        <w:jc w:val="both"/>
        <w:rPr>
          <w:rFonts w:ascii="Times New Roman" w:eastAsia="Times New Roman" w:hAnsi="Times New Roman" w:cs="Times New Roman"/>
          <w:sz w:val="28"/>
          <w:szCs w:val="24"/>
          <w:lang w:eastAsia="en-US"/>
        </w:rPr>
      </w:pPr>
      <w:r w:rsidRPr="00DB596B">
        <w:rPr>
          <w:rFonts w:ascii="Times New Roman" w:eastAsia="Times New Roman" w:hAnsi="Times New Roman" w:cs="Times New Roman"/>
          <w:sz w:val="28"/>
          <w:szCs w:val="20"/>
          <w:lang w:eastAsia="en-US"/>
        </w:rPr>
        <w:t xml:space="preserve">izmaiņas normatīvajos aktos; </w:t>
      </w:r>
    </w:p>
    <w:p w14:paraId="28DA34E7" w14:textId="645EFEC3" w:rsidR="00DB596B" w:rsidRPr="00401A5B" w:rsidRDefault="00401A5B" w:rsidP="00FB2B77">
      <w:pPr>
        <w:numPr>
          <w:ilvl w:val="0"/>
          <w:numId w:val="38"/>
        </w:numPr>
        <w:contextualSpacing/>
        <w:jc w:val="both"/>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20"/>
          <w:lang w:eastAsia="en-US"/>
        </w:rPr>
        <w:t>MK</w:t>
      </w:r>
      <w:r w:rsidR="00DB596B" w:rsidRPr="00DB596B">
        <w:rPr>
          <w:rFonts w:ascii="Times New Roman" w:eastAsia="Times New Roman" w:hAnsi="Times New Roman" w:cs="Times New Roman"/>
          <w:sz w:val="28"/>
          <w:szCs w:val="20"/>
          <w:lang w:eastAsia="en-US"/>
        </w:rPr>
        <w:t xml:space="preserve"> </w:t>
      </w:r>
      <w:r w:rsidR="00DB596B" w:rsidRPr="00DB596B">
        <w:rPr>
          <w:rFonts w:ascii="Times New Roman" w:eastAsia="Times New Roman" w:hAnsi="Times New Roman" w:cs="Times New Roman"/>
          <w:sz w:val="28"/>
          <w:szCs w:val="24"/>
          <w:lang w:eastAsia="en-US"/>
        </w:rPr>
        <w:t xml:space="preserve">2020.gada 22.septembrī atbalstītie pasākumi, tostarp </w:t>
      </w:r>
      <w:r w:rsidR="00DB596B" w:rsidRPr="00DB596B">
        <w:rPr>
          <w:rFonts w:ascii="Times New Roman" w:eastAsia="Times New Roman" w:hAnsi="Times New Roman" w:cs="Times New Roman"/>
          <w:sz w:val="28"/>
          <w:szCs w:val="20"/>
          <w:lang w:eastAsia="en-US"/>
        </w:rPr>
        <w:t>informatīvajā ziņojumā "Par nodokļu politikas attīstības virzieniem, valsts sociālās un veselības apdrošināšanas ilgtspējas veicināšanai" norādītās izmaiņas</w:t>
      </w:r>
      <w:r w:rsidR="00DB596B" w:rsidRPr="00DB596B">
        <w:rPr>
          <w:rFonts w:ascii="Times New Roman" w:eastAsia="Times New Roman" w:hAnsi="Times New Roman" w:cs="Times New Roman"/>
          <w:sz w:val="28"/>
          <w:szCs w:val="24"/>
          <w:lang w:eastAsia="en-US"/>
        </w:rPr>
        <w:t xml:space="preserve">. </w:t>
      </w:r>
    </w:p>
    <w:p w14:paraId="562C4248" w14:textId="5DC78B67" w:rsidR="00DB596B" w:rsidRPr="00DB596B" w:rsidRDefault="00DB596B" w:rsidP="00401A5B">
      <w:pPr>
        <w:ind w:firstLine="709"/>
        <w:jc w:val="both"/>
        <w:rPr>
          <w:rFonts w:ascii="Times New Roman" w:eastAsia="Times New Roman" w:hAnsi="Times New Roman" w:cs="Times New Roman"/>
          <w:noProof/>
          <w:sz w:val="28"/>
          <w:szCs w:val="24"/>
          <w:lang w:eastAsia="en-US"/>
        </w:rPr>
      </w:pPr>
      <w:r w:rsidRPr="00DB596B">
        <w:rPr>
          <w:rFonts w:ascii="Times New Roman" w:eastAsia="Times New Roman" w:hAnsi="Times New Roman" w:cs="Times New Roman"/>
          <w:sz w:val="28"/>
          <w:szCs w:val="20"/>
          <w:lang w:eastAsia="en-US"/>
        </w:rPr>
        <w:t xml:space="preserve">Covid-19 izraisītā krīze identificēja nepilnības strādājošo sociālās aizsardzības jomā, līdz ar to informatīvajā ziņojumā „Par nodokļu politikas attīstības virzieniem, valsts sociālās ilgtspējas un ekonomikas konkurētspējas veicināšanai” tika ietverts pasākums, kas paredz </w:t>
      </w:r>
      <w:r w:rsidRPr="00DB596B">
        <w:rPr>
          <w:rFonts w:ascii="Times New Roman" w:eastAsia="Times New Roman" w:hAnsi="Times New Roman" w:cs="Times New Roman"/>
          <w:sz w:val="28"/>
          <w:szCs w:val="24"/>
          <w:lang w:eastAsia="en-US"/>
        </w:rPr>
        <w:t>minimālo obligāto iemaksu ieviešanu. Šī pasākuma mērķis ir nodrošināt ilgtspējīgu valsts sociālās apdrošināšanas politiku, paredzot, ka par visiem nodokļu maksātājiem, kuri aktīvi piedalās ekonomiskajā dzīvē, obligātās iemaksas tiktu veiktas vismaz minimālu obligāto iemaksu līmenī (t.i. no objekta mēnesī, kas vienāds ar minimālo algu valstī), un novērst dažādo nodokļu režīmu izņēmuma modeļa izmantošanu nodokļu optimizācijas nolūkā. Lai veicinātu valsts sociālās apdrošināšanas sistēmas ilgtspēju un uzlabotu plašas iedzīvotāju grupas sociālo nodrošinājumu, paredzēts ieviest regulējumu, kas noteiktu, ka, ja netiek izmaksāta alga līdz minimālās algas</w:t>
      </w:r>
      <w:r w:rsidR="00401A5B">
        <w:rPr>
          <w:rFonts w:ascii="Times New Roman" w:eastAsia="Times New Roman" w:hAnsi="Times New Roman" w:cs="Times New Roman"/>
          <w:sz w:val="28"/>
          <w:szCs w:val="24"/>
          <w:lang w:eastAsia="en-US"/>
        </w:rPr>
        <w:t xml:space="preserve"> apmēram, darba devējam (t.sk.</w:t>
      </w:r>
      <w:r w:rsidRPr="00DB596B">
        <w:rPr>
          <w:rFonts w:ascii="Times New Roman" w:eastAsia="Times New Roman" w:hAnsi="Times New Roman" w:cs="Times New Roman"/>
          <w:sz w:val="28"/>
          <w:szCs w:val="24"/>
          <w:lang w:eastAsia="en-US"/>
        </w:rPr>
        <w:t xml:space="preserve"> pašnodarbinātajām personām un mikrouzņēmuma nodokļa maksātājam), par darba ņēmējiem jānodrošina minimālais obligāto iemaksu maksājums.</w:t>
      </w:r>
    </w:p>
    <w:p w14:paraId="7AF79F1E" w14:textId="13163DC7" w:rsidR="00DB596B" w:rsidRPr="00DB596B" w:rsidRDefault="00DB596B" w:rsidP="00401A5B">
      <w:pPr>
        <w:ind w:firstLine="709"/>
        <w:jc w:val="both"/>
        <w:rPr>
          <w:rFonts w:ascii="Times New Roman" w:eastAsia="Times New Roman" w:hAnsi="Times New Roman" w:cs="Times New Roman"/>
          <w:sz w:val="28"/>
          <w:szCs w:val="28"/>
        </w:rPr>
      </w:pPr>
      <w:r w:rsidRPr="00DB596B">
        <w:rPr>
          <w:rFonts w:ascii="Times New Roman" w:eastAsia="Times New Roman" w:hAnsi="Times New Roman" w:cs="Times New Roman"/>
          <w:sz w:val="28"/>
          <w:szCs w:val="24"/>
          <w:lang w:eastAsia="en-US"/>
        </w:rPr>
        <w:t xml:space="preserve">Būtiskākās izmaiņas </w:t>
      </w:r>
      <w:r w:rsidRPr="00DB596B">
        <w:rPr>
          <w:rFonts w:ascii="Times New Roman" w:eastAsia="Times New Roman" w:hAnsi="Times New Roman" w:cs="Times New Roman"/>
          <w:iCs/>
          <w:color w:val="000000"/>
          <w:sz w:val="28"/>
          <w:szCs w:val="24"/>
        </w:rPr>
        <w:t>(</w:t>
      </w:r>
      <w:r w:rsidR="00401A5B">
        <w:rPr>
          <w:rFonts w:ascii="Times New Roman" w:eastAsia="Times New Roman" w:hAnsi="Times New Roman" w:cs="Times New Roman"/>
          <w:iCs/>
          <w:color w:val="000000"/>
          <w:sz w:val="28"/>
          <w:szCs w:val="24"/>
        </w:rPr>
        <w:t>LM</w:t>
      </w:r>
      <w:r w:rsidRPr="00DB596B">
        <w:rPr>
          <w:rFonts w:ascii="Times New Roman" w:eastAsia="Times New Roman" w:hAnsi="Times New Roman" w:cs="Times New Roman"/>
          <w:iCs/>
          <w:color w:val="000000"/>
          <w:sz w:val="28"/>
          <w:szCs w:val="24"/>
        </w:rPr>
        <w:t xml:space="preserve"> izstrādātie grozījumi likumā “Par valsts sociālo apdrošināšanu”, pamatojoties uz </w:t>
      </w:r>
      <w:r w:rsidR="00401A5B">
        <w:rPr>
          <w:rFonts w:ascii="Times New Roman" w:eastAsia="Times New Roman" w:hAnsi="Times New Roman" w:cs="Times New Roman"/>
          <w:iCs/>
          <w:color w:val="000000"/>
          <w:sz w:val="28"/>
          <w:szCs w:val="24"/>
        </w:rPr>
        <w:t>MK</w:t>
      </w:r>
      <w:r w:rsidRPr="00DB596B">
        <w:rPr>
          <w:rFonts w:ascii="Times New Roman" w:eastAsia="Times New Roman" w:hAnsi="Times New Roman" w:cs="Times New Roman"/>
          <w:iCs/>
          <w:color w:val="000000"/>
          <w:sz w:val="28"/>
          <w:szCs w:val="24"/>
        </w:rPr>
        <w:t xml:space="preserve"> 2020.gada 2.septembra </w:t>
      </w:r>
      <w:r w:rsidR="00900F58">
        <w:rPr>
          <w:rFonts w:ascii="Times New Roman" w:eastAsia="Times New Roman" w:hAnsi="Times New Roman" w:cs="Times New Roman"/>
          <w:iCs/>
          <w:color w:val="000000"/>
          <w:sz w:val="28"/>
          <w:szCs w:val="24"/>
        </w:rPr>
        <w:t>sēdes protokola Nr.51 45.§ 2.1.</w:t>
      </w:r>
      <w:r w:rsidRPr="00DB596B">
        <w:rPr>
          <w:rFonts w:ascii="Times New Roman" w:eastAsia="Times New Roman" w:hAnsi="Times New Roman" w:cs="Times New Roman"/>
          <w:iCs/>
          <w:color w:val="000000"/>
          <w:sz w:val="28"/>
          <w:szCs w:val="24"/>
        </w:rPr>
        <w:t>apakšpunktu)</w:t>
      </w:r>
      <w:r w:rsidRPr="00DB596B">
        <w:rPr>
          <w:rFonts w:ascii="Times New Roman" w:eastAsia="Times New Roman" w:hAnsi="Times New Roman" w:cs="Times New Roman"/>
          <w:sz w:val="28"/>
          <w:szCs w:val="24"/>
          <w:lang w:eastAsia="en-US"/>
        </w:rPr>
        <w:t>:</w:t>
      </w:r>
      <w:r w:rsidRPr="00DB596B">
        <w:rPr>
          <w:rFonts w:ascii="Times New Roman" w:eastAsia="Times New Roman" w:hAnsi="Times New Roman" w:cs="Times New Roman"/>
          <w:sz w:val="28"/>
          <w:szCs w:val="28"/>
        </w:rPr>
        <w:t xml:space="preserve"> </w:t>
      </w:r>
    </w:p>
    <w:p w14:paraId="08A02F5F" w14:textId="4393DA10" w:rsidR="00DB596B" w:rsidRPr="00DB596B" w:rsidRDefault="00900F58" w:rsidP="00FB2B77">
      <w:pPr>
        <w:numPr>
          <w:ilvl w:val="0"/>
          <w:numId w:val="37"/>
        </w:numPr>
        <w:contextualSpacing/>
        <w:jc w:val="both"/>
        <w:rPr>
          <w:rFonts w:ascii="Times New Roman" w:eastAsia="Times New Roman" w:hAnsi="Times New Roman" w:cs="Times New Roman"/>
          <w:sz w:val="28"/>
          <w:szCs w:val="20"/>
          <w:lang w:eastAsia="en-US"/>
        </w:rPr>
      </w:pPr>
      <w:r>
        <w:rPr>
          <w:rFonts w:ascii="Times New Roman" w:eastAsia="Times New Roman" w:hAnsi="Times New Roman" w:cs="Times New Roman"/>
          <w:noProof/>
          <w:sz w:val="28"/>
          <w:szCs w:val="24"/>
          <w:lang w:eastAsia="en-US"/>
        </w:rPr>
        <w:t>VSAOI likmes samazināšana par vienu</w:t>
      </w:r>
      <w:r w:rsidR="00DB596B" w:rsidRPr="00DB596B">
        <w:rPr>
          <w:rFonts w:ascii="Times New Roman" w:eastAsia="Times New Roman" w:hAnsi="Times New Roman" w:cs="Times New Roman"/>
          <w:noProof/>
          <w:sz w:val="28"/>
          <w:szCs w:val="24"/>
          <w:lang w:eastAsia="en-US"/>
        </w:rPr>
        <w:t xml:space="preserve"> procentpunktu no 35,09% uz 34,09% (samazinot par 0,5% gan </w:t>
      </w:r>
      <w:r w:rsidR="00DB596B" w:rsidRPr="00DB596B">
        <w:rPr>
          <w:rFonts w:ascii="Times New Roman" w:eastAsia="Times New Roman" w:hAnsi="Times New Roman" w:cs="Times New Roman"/>
          <w:sz w:val="28"/>
          <w:szCs w:val="24"/>
          <w:lang w:eastAsia="en-US"/>
        </w:rPr>
        <w:t>darba ņēmēja, gan darba devēja daļu</w:t>
      </w:r>
      <w:r w:rsidR="00DB596B" w:rsidRPr="00DB596B">
        <w:rPr>
          <w:rFonts w:ascii="Times New Roman" w:eastAsia="Times New Roman" w:hAnsi="Times New Roman" w:cs="Times New Roman"/>
          <w:noProof/>
          <w:sz w:val="28"/>
          <w:szCs w:val="24"/>
          <w:lang w:eastAsia="en-US"/>
        </w:rPr>
        <w:t xml:space="preserve">), papildus </w:t>
      </w:r>
      <w:r w:rsidR="00DB596B" w:rsidRPr="00DB596B">
        <w:rPr>
          <w:rFonts w:ascii="Times New Roman" w:eastAsia="Times New Roman" w:hAnsi="Times New Roman" w:cs="Times New Roman"/>
          <w:sz w:val="28"/>
          <w:szCs w:val="24"/>
        </w:rPr>
        <w:t>ietverot solidaritātes nodokļa likmes samazināšanu no 25,5% līdz 25,0% un solidaritātes nodokļa ieņēmumu sadalījuma maiņu. Iedzīvotāju ienākuma nodokļa kontā Valsts kasē tiks ieskaiti solidaritātes nodokļa ieņēmumi 10 procentpunktu apmērā līdzšinējo 10,5 procentpunktu vietā,</w:t>
      </w:r>
      <w:r w:rsidR="00DB596B" w:rsidRPr="00DB596B">
        <w:rPr>
          <w:rFonts w:ascii="Times New Roman" w:eastAsia="Times New Roman" w:hAnsi="Times New Roman" w:cs="Times New Roman"/>
          <w:noProof/>
          <w:sz w:val="28"/>
          <w:szCs w:val="24"/>
          <w:lang w:eastAsia="en-US"/>
        </w:rPr>
        <w:t xml:space="preserve"> </w:t>
      </w:r>
      <w:r w:rsidR="00DB596B" w:rsidRPr="00DB596B">
        <w:rPr>
          <w:rFonts w:ascii="Times New Roman" w:eastAsia="Times New Roman" w:hAnsi="Times New Roman" w:cs="Times New Roman"/>
          <w:sz w:val="28"/>
          <w:szCs w:val="20"/>
          <w:lang w:eastAsia="en-US"/>
        </w:rPr>
        <w:t>(fiskālā ietekme 2021.gadā valsts speciālajā budžetā -75,5 milj. </w:t>
      </w:r>
      <w:r w:rsidR="00DB596B" w:rsidRPr="00DB596B">
        <w:rPr>
          <w:rFonts w:ascii="Times New Roman" w:eastAsia="Times New Roman" w:hAnsi="Times New Roman" w:cs="Times New Roman"/>
          <w:i/>
          <w:sz w:val="28"/>
          <w:szCs w:val="20"/>
          <w:lang w:eastAsia="en-US"/>
        </w:rPr>
        <w:t>euro</w:t>
      </w:r>
      <w:r w:rsidR="00DB596B" w:rsidRPr="00DB596B">
        <w:rPr>
          <w:rFonts w:ascii="Times New Roman" w:eastAsia="Times New Roman" w:hAnsi="Times New Roman" w:cs="Times New Roman"/>
          <w:sz w:val="28"/>
          <w:szCs w:val="20"/>
          <w:lang w:eastAsia="en-US"/>
        </w:rPr>
        <w:t>, 2022. un 2023.gadā -82,3 milj. </w:t>
      </w:r>
      <w:r w:rsidR="00DB596B" w:rsidRPr="00DB596B">
        <w:rPr>
          <w:rFonts w:ascii="Times New Roman" w:eastAsia="Times New Roman" w:hAnsi="Times New Roman" w:cs="Times New Roman"/>
          <w:i/>
          <w:sz w:val="28"/>
          <w:szCs w:val="20"/>
          <w:lang w:eastAsia="en-US"/>
        </w:rPr>
        <w:t>euro</w:t>
      </w:r>
      <w:r w:rsidR="00DB596B" w:rsidRPr="00DB596B">
        <w:rPr>
          <w:rFonts w:ascii="Times New Roman" w:eastAsia="Times New Roman" w:hAnsi="Times New Roman" w:cs="Times New Roman"/>
          <w:sz w:val="28"/>
          <w:szCs w:val="20"/>
          <w:lang w:eastAsia="en-US"/>
        </w:rPr>
        <w:t>);</w:t>
      </w:r>
    </w:p>
    <w:p w14:paraId="0F1B1C7F" w14:textId="72E8E907" w:rsidR="00DB596B" w:rsidRPr="00900F58" w:rsidRDefault="00DB596B" w:rsidP="00FB2B77">
      <w:pPr>
        <w:numPr>
          <w:ilvl w:val="0"/>
          <w:numId w:val="37"/>
        </w:numPr>
        <w:contextualSpacing/>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noProof/>
          <w:sz w:val="28"/>
          <w:szCs w:val="24"/>
          <w:lang w:eastAsia="en-US"/>
        </w:rPr>
        <w:t>alternatīvo nodokļu režīmu reorganizācija</w:t>
      </w:r>
      <w:r w:rsidRPr="00DB596B">
        <w:rPr>
          <w:rFonts w:ascii="Times New Roman" w:eastAsia="Times New Roman" w:hAnsi="Times New Roman" w:cs="Times New Roman"/>
          <w:sz w:val="28"/>
          <w:szCs w:val="20"/>
          <w:lang w:eastAsia="en-US"/>
        </w:rPr>
        <w:t xml:space="preserve"> un minimālā </w:t>
      </w:r>
      <w:r w:rsidRPr="00DB596B">
        <w:rPr>
          <w:rFonts w:ascii="Times New Roman" w:eastAsia="Times New Roman" w:hAnsi="Times New Roman" w:cs="Times New Roman"/>
          <w:noProof/>
          <w:sz w:val="28"/>
          <w:szCs w:val="24"/>
          <w:lang w:eastAsia="en-US"/>
        </w:rPr>
        <w:t>valsts sociālās apdrošināšanas obligāto iemaksu ieviešana</w:t>
      </w:r>
      <w:r w:rsidRPr="00DB596B">
        <w:rPr>
          <w:rFonts w:ascii="Times New Roman" w:eastAsia="Times New Roman" w:hAnsi="Times New Roman" w:cs="Times New Roman"/>
          <w:sz w:val="28"/>
          <w:szCs w:val="20"/>
          <w:lang w:eastAsia="en-US"/>
        </w:rPr>
        <w:t xml:space="preserve"> (fiskālā ietekme 2021.gadā valsts speciālajā budžetā +59,2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valsts pamatbudžetā veselības finansēšanai +1,9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w:t>
      </w:r>
      <w:r w:rsidRPr="00DB596B">
        <w:rPr>
          <w:rFonts w:ascii="Times New Roman" w:eastAsia="Times New Roman" w:hAnsi="Times New Roman" w:cs="Times New Roman"/>
          <w:i/>
          <w:sz w:val="28"/>
          <w:szCs w:val="20"/>
          <w:lang w:eastAsia="en-US"/>
        </w:rPr>
        <w:t xml:space="preserve"> </w:t>
      </w:r>
      <w:r w:rsidRPr="00DB596B">
        <w:rPr>
          <w:rFonts w:ascii="Times New Roman" w:eastAsia="Times New Roman" w:hAnsi="Times New Roman" w:cs="Times New Roman"/>
          <w:sz w:val="28"/>
          <w:szCs w:val="20"/>
          <w:lang w:eastAsia="en-US"/>
        </w:rPr>
        <w:t>2022.gadā valsts speciālajā budžetā +126,6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valsts pamatbudžetā veselības finansēšanai +4,6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xml:space="preserve"> un 2023.gadā valsts speciālajā budžetā +128,3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valsts pamatbudžetā veselības finansēšanai +4,6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w:t>
      </w:r>
    </w:p>
    <w:p w14:paraId="1E20ED4F" w14:textId="2B189B42" w:rsidR="00DB596B" w:rsidRPr="00DB596B" w:rsidRDefault="00DB596B" w:rsidP="00401A5B">
      <w:pPr>
        <w:ind w:firstLine="709"/>
        <w:jc w:val="both"/>
        <w:rPr>
          <w:rFonts w:ascii="Times New Roman" w:eastAsia="Times New Roman" w:hAnsi="Times New Roman" w:cs="Times New Roman"/>
          <w:sz w:val="28"/>
          <w:szCs w:val="28"/>
        </w:rPr>
      </w:pPr>
      <w:r w:rsidRPr="00DB596B">
        <w:rPr>
          <w:rFonts w:ascii="Times New Roman" w:eastAsia="Times New Roman" w:hAnsi="Times New Roman" w:cs="Times New Roman"/>
          <w:sz w:val="28"/>
          <w:szCs w:val="20"/>
          <w:lang w:eastAsia="en-US"/>
        </w:rPr>
        <w:t>Valsts sociālās apdrošināšanas iemaksu ieņēmumus ietekmēs arī šādi</w:t>
      </w:r>
      <w:r w:rsidRPr="00DB596B">
        <w:rPr>
          <w:rFonts w:ascii="Times New Roman" w:eastAsia="Times New Roman" w:hAnsi="Times New Roman" w:cs="Times New Roman"/>
          <w:sz w:val="28"/>
          <w:szCs w:val="28"/>
        </w:rPr>
        <w:t xml:space="preserve"> </w:t>
      </w:r>
      <w:r w:rsidR="00900F58">
        <w:rPr>
          <w:rFonts w:ascii="Times New Roman" w:eastAsia="Times New Roman" w:hAnsi="Times New Roman" w:cs="Times New Roman"/>
          <w:sz w:val="28"/>
          <w:szCs w:val="28"/>
        </w:rPr>
        <w:t>MK</w:t>
      </w:r>
      <w:r w:rsidRPr="00DB596B">
        <w:rPr>
          <w:rFonts w:ascii="Times New Roman" w:eastAsia="Times New Roman" w:hAnsi="Times New Roman" w:cs="Times New Roman"/>
          <w:sz w:val="28"/>
          <w:szCs w:val="28"/>
        </w:rPr>
        <w:t xml:space="preserve"> atbalstītie pasākumi likumprojekta “Par valsts budžetu 2021.gadam” izstrā</w:t>
      </w:r>
      <w:r w:rsidR="00900F58">
        <w:rPr>
          <w:rFonts w:ascii="Times New Roman" w:eastAsia="Times New Roman" w:hAnsi="Times New Roman" w:cs="Times New Roman"/>
          <w:sz w:val="28"/>
          <w:szCs w:val="28"/>
        </w:rPr>
        <w:t>des gaitā, kas stāsies spēkā 2021.gada 1.janvārī</w:t>
      </w:r>
      <w:r w:rsidRPr="00DB596B">
        <w:rPr>
          <w:rFonts w:ascii="Times New Roman" w:eastAsia="Times New Roman" w:hAnsi="Times New Roman" w:cs="Times New Roman"/>
          <w:sz w:val="28"/>
          <w:szCs w:val="28"/>
        </w:rPr>
        <w:t xml:space="preserve">: </w:t>
      </w:r>
    </w:p>
    <w:p w14:paraId="703CB9E0" w14:textId="77777777" w:rsidR="00DB596B" w:rsidRPr="00DB596B" w:rsidRDefault="00DB596B" w:rsidP="00FB2B77">
      <w:pPr>
        <w:numPr>
          <w:ilvl w:val="1"/>
          <w:numId w:val="31"/>
        </w:numPr>
        <w:contextualSpacing/>
        <w:jc w:val="both"/>
        <w:rPr>
          <w:rFonts w:ascii="Times New Roman" w:eastAsia="Times New Roman" w:hAnsi="Times New Roman" w:cs="Times New Roman"/>
          <w:sz w:val="28"/>
          <w:szCs w:val="28"/>
        </w:rPr>
      </w:pPr>
      <w:r w:rsidRPr="00DB596B">
        <w:rPr>
          <w:rFonts w:ascii="Times New Roman" w:eastAsia="Times New Roman" w:hAnsi="Times New Roman" w:cs="Times New Roman"/>
          <w:sz w:val="28"/>
          <w:szCs w:val="28"/>
        </w:rPr>
        <w:t xml:space="preserve">grozījumi “Čeku loterijas likumā”, kas paredz </w:t>
      </w:r>
      <w:r w:rsidRPr="00DB596B">
        <w:rPr>
          <w:rFonts w:ascii="Times New Roman" w:eastAsia="Times New Roman" w:hAnsi="Times New Roman" w:cs="Times New Roman"/>
          <w:iCs/>
          <w:color w:val="000000"/>
          <w:sz w:val="28"/>
          <w:szCs w:val="20"/>
          <w:lang w:eastAsia="en-US"/>
        </w:rPr>
        <w:t>paplašināt noteikto darījumu apliecinošo dokumentu veidus, kas reģistrējami dalībai čeku loterijā, ieviešot</w:t>
      </w:r>
      <w:r w:rsidRPr="00DB596B">
        <w:rPr>
          <w:rFonts w:ascii="Times New Roman" w:eastAsia="Times New Roman" w:hAnsi="Times New Roman" w:cs="Times New Roman"/>
          <w:color w:val="1F497D"/>
          <w:sz w:val="28"/>
          <w:szCs w:val="20"/>
          <w:lang w:eastAsia="en-US"/>
        </w:rPr>
        <w:t xml:space="preserve"> </w:t>
      </w:r>
      <w:r w:rsidRPr="00DB596B">
        <w:rPr>
          <w:rFonts w:ascii="Times New Roman" w:eastAsia="Times New Roman" w:hAnsi="Times New Roman" w:cs="Times New Roman"/>
          <w:color w:val="000000"/>
          <w:sz w:val="28"/>
          <w:szCs w:val="20"/>
          <w:lang w:eastAsia="en-US"/>
        </w:rPr>
        <w:t xml:space="preserve">maksāšanai izsniegtu dokumentu </w:t>
      </w:r>
      <w:r w:rsidRPr="00DB596B">
        <w:rPr>
          <w:rFonts w:ascii="Times New Roman" w:eastAsia="Times New Roman" w:hAnsi="Times New Roman" w:cs="Times New Roman"/>
          <w:iCs/>
          <w:color w:val="000000"/>
          <w:sz w:val="28"/>
          <w:szCs w:val="20"/>
          <w:lang w:eastAsia="en-US"/>
        </w:rPr>
        <w:t>par saņemtām precēm vai pakalpojumiem reģistrēšanu</w:t>
      </w:r>
      <w:r w:rsidRPr="00DB596B">
        <w:rPr>
          <w:rFonts w:ascii="Times New Roman" w:eastAsia="Times New Roman" w:hAnsi="Times New Roman" w:cs="Times New Roman"/>
          <w:sz w:val="28"/>
          <w:szCs w:val="24"/>
        </w:rPr>
        <w:t xml:space="preserve"> </w:t>
      </w:r>
      <w:r w:rsidRPr="00DB596B">
        <w:rPr>
          <w:rFonts w:ascii="Times New Roman" w:eastAsia="Times New Roman" w:hAnsi="Times New Roman" w:cs="Times New Roman"/>
          <w:sz w:val="28"/>
          <w:szCs w:val="20"/>
          <w:lang w:eastAsia="en-US"/>
        </w:rPr>
        <w:t>(fiskālā ietekme 2021., 2022. un 2023.gadā valsts speciālajā budžetā +0,02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w:t>
      </w:r>
    </w:p>
    <w:p w14:paraId="5ED33926" w14:textId="0A6F0F20" w:rsidR="00DB596B" w:rsidRPr="00900F58" w:rsidRDefault="00DB596B" w:rsidP="00FB2B77">
      <w:pPr>
        <w:numPr>
          <w:ilvl w:val="1"/>
          <w:numId w:val="31"/>
        </w:numPr>
        <w:contextualSpacing/>
        <w:jc w:val="both"/>
        <w:rPr>
          <w:rFonts w:ascii="Times New Roman" w:eastAsia="Times New Roman" w:hAnsi="Times New Roman" w:cs="Times New Roman"/>
          <w:sz w:val="28"/>
          <w:szCs w:val="28"/>
        </w:rPr>
      </w:pPr>
      <w:r w:rsidRPr="00DB596B">
        <w:rPr>
          <w:rFonts w:ascii="Times New Roman" w:eastAsia="Times New Roman" w:hAnsi="Times New Roman" w:cs="Times New Roman"/>
          <w:sz w:val="28"/>
          <w:szCs w:val="28"/>
        </w:rPr>
        <w:t xml:space="preserve">atgriezeniskais efekts no algu palielināšanas veselības un izglītības jomā </w:t>
      </w:r>
      <w:r w:rsidRPr="00DB596B">
        <w:rPr>
          <w:rFonts w:ascii="Times New Roman" w:eastAsia="Times New Roman" w:hAnsi="Times New Roman" w:cs="Times New Roman"/>
          <w:sz w:val="28"/>
          <w:szCs w:val="20"/>
          <w:lang w:eastAsia="en-US"/>
        </w:rPr>
        <w:t>(fiskālā ietekme valsts speciālajā budžetā 2021.gadā +55,8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2022.gadā +63,3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xml:space="preserve"> un 2023.gadā +70,4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w:t>
      </w:r>
    </w:p>
    <w:p w14:paraId="684460C9" w14:textId="77777777" w:rsidR="00DB596B" w:rsidRPr="00DB596B" w:rsidRDefault="00DB596B" w:rsidP="00401A5B">
      <w:pPr>
        <w:ind w:firstLine="709"/>
        <w:jc w:val="both"/>
        <w:rPr>
          <w:rFonts w:ascii="Times New Roman" w:eastAsia="Calibri" w:hAnsi="Times New Roman" w:cs="Times New Roman"/>
          <w:bCs/>
          <w:sz w:val="28"/>
          <w:szCs w:val="24"/>
        </w:rPr>
      </w:pPr>
      <w:r w:rsidRPr="00DB596B">
        <w:rPr>
          <w:rFonts w:ascii="Times New Roman" w:eastAsia="Calibri" w:hAnsi="Times New Roman" w:cs="Times New Roman"/>
          <w:bCs/>
          <w:sz w:val="28"/>
          <w:szCs w:val="24"/>
        </w:rPr>
        <w:t xml:space="preserve">Tāpat </w:t>
      </w:r>
      <w:r w:rsidRPr="00DB596B">
        <w:rPr>
          <w:rFonts w:ascii="Times New Roman" w:eastAsia="Times New Roman" w:hAnsi="Times New Roman" w:cs="Times New Roman"/>
          <w:bCs/>
          <w:sz w:val="28"/>
          <w:szCs w:val="20"/>
          <w:lang w:eastAsia="en-US"/>
        </w:rPr>
        <w:t xml:space="preserve">valsts sociālās apdrošināšanas iemaksu ieņēmumus </w:t>
      </w:r>
      <w:r w:rsidRPr="00DB596B">
        <w:rPr>
          <w:rFonts w:ascii="Times New Roman" w:eastAsia="Calibri" w:hAnsi="Times New Roman" w:cs="Times New Roman"/>
          <w:bCs/>
          <w:sz w:val="28"/>
          <w:szCs w:val="24"/>
        </w:rPr>
        <w:t>ietekmēs arī iepriekš pieņemtās izmaiņas normatīvajos aktos:</w:t>
      </w:r>
    </w:p>
    <w:p w14:paraId="2241F422" w14:textId="77777777" w:rsidR="00DB596B" w:rsidRPr="00DB596B" w:rsidRDefault="00DB596B" w:rsidP="00FB2B77">
      <w:pPr>
        <w:numPr>
          <w:ilvl w:val="0"/>
          <w:numId w:val="21"/>
        </w:numPr>
        <w:ind w:left="1434" w:hanging="357"/>
        <w:contextualSpacing/>
        <w:jc w:val="both"/>
        <w:rPr>
          <w:rFonts w:ascii="Times New Roman" w:eastAsia="Times New Roman" w:hAnsi="Times New Roman" w:cs="Times New Roman"/>
          <w:sz w:val="28"/>
          <w:szCs w:val="24"/>
        </w:rPr>
      </w:pPr>
      <w:r w:rsidRPr="00DB596B">
        <w:rPr>
          <w:rFonts w:ascii="Times New Roman" w:eastAsia="Calibri" w:hAnsi="Times New Roman" w:cs="Times New Roman"/>
          <w:color w:val="000000"/>
          <w:sz w:val="28"/>
          <w:szCs w:val="24"/>
        </w:rPr>
        <w:t>minimālās mēneša darba algas paaugstināšana ar 2021.gadu līdz 500 </w:t>
      </w:r>
      <w:r w:rsidRPr="00DB596B">
        <w:rPr>
          <w:rFonts w:ascii="Times New Roman" w:eastAsia="Calibri" w:hAnsi="Times New Roman" w:cs="Times New Roman"/>
          <w:i/>
          <w:color w:val="000000"/>
          <w:sz w:val="28"/>
          <w:szCs w:val="24"/>
        </w:rPr>
        <w:t>euro</w:t>
      </w:r>
      <w:r w:rsidRPr="00DB596B">
        <w:rPr>
          <w:rFonts w:ascii="Times New Roman" w:eastAsia="Calibri" w:hAnsi="Times New Roman" w:cs="Times New Roman"/>
          <w:color w:val="000000"/>
          <w:sz w:val="28"/>
          <w:szCs w:val="24"/>
        </w:rPr>
        <w:t xml:space="preserve">/mēnesī </w:t>
      </w:r>
      <w:r w:rsidRPr="00DB596B">
        <w:rPr>
          <w:rFonts w:ascii="Times New Roman" w:eastAsia="Times New Roman" w:hAnsi="Times New Roman" w:cs="Times New Roman"/>
          <w:sz w:val="28"/>
          <w:szCs w:val="24"/>
          <w:lang w:eastAsia="en-US"/>
        </w:rPr>
        <w:t>(</w:t>
      </w:r>
      <w:r w:rsidRPr="00DB596B">
        <w:rPr>
          <w:rFonts w:ascii="Times New Roman" w:eastAsia="Times New Roman" w:hAnsi="Times New Roman" w:cs="Times New Roman"/>
          <w:sz w:val="28"/>
          <w:szCs w:val="20"/>
          <w:lang w:eastAsia="en-US"/>
        </w:rPr>
        <w:t>fiskālā ietekme 2021.gadā un turpmāk valsts speciālajā budžetā +21,6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valsts pamatbudžetā veselības finansēšanai +0,8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4"/>
          <w:lang w:eastAsia="en-US"/>
        </w:rPr>
        <w:t>);</w:t>
      </w:r>
    </w:p>
    <w:p w14:paraId="3CE4CDCF" w14:textId="595C0F29" w:rsidR="00DB596B" w:rsidRPr="00900F58" w:rsidRDefault="00DB596B" w:rsidP="00FB2B77">
      <w:pPr>
        <w:numPr>
          <w:ilvl w:val="0"/>
          <w:numId w:val="21"/>
        </w:numPr>
        <w:spacing w:line="259" w:lineRule="auto"/>
        <w:ind w:left="1434" w:hanging="357"/>
        <w:contextualSpacing/>
        <w:jc w:val="both"/>
        <w:rPr>
          <w:rFonts w:ascii="Times New Roman" w:eastAsia="Times New Roman" w:hAnsi="Times New Roman" w:cs="Times New Roman"/>
          <w:sz w:val="28"/>
          <w:szCs w:val="24"/>
        </w:rPr>
      </w:pPr>
      <w:r w:rsidRPr="00DB596B">
        <w:rPr>
          <w:rFonts w:ascii="Times New Roman" w:eastAsia="Times New Roman" w:hAnsi="Times New Roman" w:cs="Times New Roman"/>
          <w:sz w:val="28"/>
          <w:szCs w:val="20"/>
          <w:lang w:eastAsia="en-US"/>
        </w:rPr>
        <w:t xml:space="preserve">nodokļu samaksas termiņa pagarinājumi līdz trim gadiem, ja termiņa kavējums radies Covid-19 izplatības dēļ </w:t>
      </w:r>
      <w:r w:rsidRPr="00DB596B">
        <w:rPr>
          <w:rFonts w:ascii="Times New Roman" w:eastAsia="Times New Roman" w:hAnsi="Times New Roman" w:cs="Times New Roman"/>
          <w:sz w:val="28"/>
          <w:szCs w:val="24"/>
          <w:lang w:eastAsia="en-US"/>
        </w:rPr>
        <w:t>(</w:t>
      </w:r>
      <w:r w:rsidRPr="00DB596B">
        <w:rPr>
          <w:rFonts w:ascii="Times New Roman" w:eastAsia="Times New Roman" w:hAnsi="Times New Roman" w:cs="Times New Roman"/>
          <w:sz w:val="28"/>
          <w:szCs w:val="20"/>
          <w:lang w:eastAsia="en-US"/>
        </w:rPr>
        <w:t>fiskālā ietekme 2021.gadā valsts speciālajā budžetā +5,2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valsts pamatbudžetā veselības finansēšanai +0,2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w:t>
      </w:r>
      <w:r w:rsidRPr="00DB596B">
        <w:rPr>
          <w:rFonts w:ascii="Times New Roman" w:eastAsia="Times New Roman" w:hAnsi="Times New Roman" w:cs="Times New Roman"/>
          <w:i/>
          <w:sz w:val="28"/>
          <w:szCs w:val="20"/>
          <w:lang w:eastAsia="en-US"/>
        </w:rPr>
        <w:t xml:space="preserve"> </w:t>
      </w:r>
      <w:r w:rsidRPr="00DB596B">
        <w:rPr>
          <w:rFonts w:ascii="Times New Roman" w:eastAsia="Times New Roman" w:hAnsi="Times New Roman" w:cs="Times New Roman"/>
          <w:sz w:val="28"/>
          <w:szCs w:val="20"/>
          <w:lang w:eastAsia="en-US"/>
        </w:rPr>
        <w:t>2022.gadā valsts speciālajā budžetā +10,5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valsts pamatbudžetā veselības finansēšanai +0,4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2023.gadā valsts speciālajā budžetā +21,0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valsts pamatbudžetā veselības finansēšanai +0,7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4"/>
          <w:lang w:eastAsia="en-US"/>
        </w:rPr>
        <w:t>).</w:t>
      </w:r>
    </w:p>
    <w:p w14:paraId="2C8918A0" w14:textId="6EEF0604" w:rsidR="00DB596B" w:rsidRPr="003D0245" w:rsidRDefault="00DB596B" w:rsidP="003D0245">
      <w:pPr>
        <w:ind w:firstLine="720"/>
        <w:jc w:val="both"/>
        <w:rPr>
          <w:rFonts w:ascii="Times New Roman" w:eastAsia="Times New Roman" w:hAnsi="Times New Roman" w:cs="Times New Roman"/>
          <w:sz w:val="28"/>
          <w:szCs w:val="20"/>
          <w:lang w:eastAsia="en-US"/>
        </w:rPr>
      </w:pPr>
      <w:r w:rsidRPr="00DB596B">
        <w:rPr>
          <w:rFonts w:ascii="Times New Roman" w:eastAsia="Times New Roman" w:hAnsi="Times New Roman" w:cs="Times New Roman"/>
          <w:sz w:val="28"/>
          <w:szCs w:val="20"/>
          <w:lang w:eastAsia="en-US"/>
        </w:rPr>
        <w:t xml:space="preserve">Saskaņā ar </w:t>
      </w:r>
      <w:r w:rsidR="00900F58">
        <w:rPr>
          <w:rFonts w:ascii="Times New Roman" w:eastAsia="Times New Roman" w:hAnsi="Times New Roman" w:cs="Times New Roman"/>
          <w:sz w:val="28"/>
          <w:szCs w:val="20"/>
          <w:lang w:eastAsia="en-US"/>
        </w:rPr>
        <w:t>VTBIL 2021., 2022. un 2023.gadam projektu</w:t>
      </w:r>
      <w:r w:rsidRPr="00DB596B">
        <w:rPr>
          <w:rFonts w:ascii="Times New Roman" w:eastAsia="Times New Roman" w:hAnsi="Times New Roman" w:cs="Times New Roman"/>
          <w:sz w:val="28"/>
          <w:szCs w:val="20"/>
          <w:lang w:eastAsia="en-US"/>
        </w:rPr>
        <w:t xml:space="preserve"> 2021.gadā sociālās apdrošināšanas iemaksu ieņēmumi tiek plānoti 2 840,4</w:t>
      </w:r>
      <w:r w:rsidRPr="00DB596B">
        <w:rPr>
          <w:rFonts w:ascii="Times New Roman" w:eastAsia="Times New Roman" w:hAnsi="Times New Roman" w:cs="Times New Roman"/>
          <w:b/>
          <w:bCs/>
          <w:color w:val="000000"/>
          <w:szCs w:val="20"/>
        </w:rPr>
        <w:t> </w:t>
      </w:r>
      <w:r w:rsidRPr="00DB596B">
        <w:rPr>
          <w:rFonts w:ascii="Times New Roman" w:eastAsia="Times New Roman" w:hAnsi="Times New Roman" w:cs="Times New Roman"/>
          <w:sz w:val="28"/>
          <w:szCs w:val="20"/>
          <w:lang w:eastAsia="en-US"/>
        </w:rPr>
        <w:t>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2022.gadā 3 084,7 milj. </w:t>
      </w:r>
      <w:r w:rsidRPr="00DB596B">
        <w:rPr>
          <w:rFonts w:ascii="Times New Roman" w:eastAsia="Times New Roman" w:hAnsi="Times New Roman" w:cs="Times New Roman"/>
          <w:i/>
          <w:sz w:val="28"/>
          <w:szCs w:val="20"/>
          <w:lang w:eastAsia="en-US"/>
        </w:rPr>
        <w:t>euro</w:t>
      </w:r>
      <w:r w:rsidRPr="00DB596B">
        <w:rPr>
          <w:rFonts w:ascii="Times New Roman" w:eastAsia="Times New Roman" w:hAnsi="Times New Roman" w:cs="Times New Roman"/>
          <w:sz w:val="28"/>
          <w:szCs w:val="20"/>
          <w:lang w:eastAsia="en-US"/>
        </w:rPr>
        <w:t xml:space="preserve"> un 2023.gadā 3 255,8 milj. </w:t>
      </w:r>
      <w:r w:rsidRPr="00DB596B">
        <w:rPr>
          <w:rFonts w:ascii="Times New Roman" w:eastAsia="Times New Roman" w:hAnsi="Times New Roman" w:cs="Times New Roman"/>
          <w:i/>
          <w:spacing w:val="-6"/>
          <w:sz w:val="28"/>
          <w:szCs w:val="20"/>
          <w:lang w:eastAsia="en-US"/>
        </w:rPr>
        <w:t>euro</w:t>
      </w:r>
      <w:r w:rsidR="00900F58">
        <w:rPr>
          <w:rFonts w:ascii="Times New Roman" w:eastAsia="Times New Roman" w:hAnsi="Times New Roman" w:cs="Times New Roman"/>
          <w:sz w:val="28"/>
          <w:szCs w:val="20"/>
          <w:lang w:eastAsia="en-US"/>
        </w:rPr>
        <w:t xml:space="preserve"> apmērā (skat. 3.3.tabulu).</w:t>
      </w:r>
    </w:p>
    <w:p w14:paraId="22826AA0" w14:textId="77777777" w:rsidR="00DB596B" w:rsidRPr="00DB596B" w:rsidRDefault="00DB596B" w:rsidP="00900F58">
      <w:pPr>
        <w:keepNext/>
        <w:jc w:val="right"/>
        <w:rPr>
          <w:rFonts w:ascii="Times New Roman" w:eastAsia="Times New Roman" w:hAnsi="Times New Roman" w:cs="Times New Roman"/>
          <w:b/>
          <w:i/>
          <w:sz w:val="24"/>
          <w:szCs w:val="24"/>
          <w:lang w:eastAsia="en-US"/>
        </w:rPr>
      </w:pPr>
      <w:r w:rsidRPr="00DB596B">
        <w:rPr>
          <w:rFonts w:ascii="Times New Roman" w:eastAsia="Times New Roman" w:hAnsi="Times New Roman" w:cs="Times New Roman"/>
          <w:b/>
          <w:i/>
          <w:sz w:val="24"/>
          <w:szCs w:val="24"/>
          <w:lang w:eastAsia="en-US"/>
        </w:rPr>
        <w:t>3.3. tabula. Valsts sociālās apdrošināšanas iemaksu ieņēmumi speciālajā budžetā</w:t>
      </w:r>
    </w:p>
    <w:tbl>
      <w:tblPr>
        <w:tblStyle w:val="TableGrid1"/>
        <w:tblW w:w="9215" w:type="dxa"/>
        <w:tblLayout w:type="fixed"/>
        <w:tblLook w:val="04A0" w:firstRow="1" w:lastRow="0" w:firstColumn="1" w:lastColumn="0" w:noHBand="0" w:noVBand="1"/>
      </w:tblPr>
      <w:tblGrid>
        <w:gridCol w:w="4815"/>
        <w:gridCol w:w="1134"/>
        <w:gridCol w:w="1134"/>
        <w:gridCol w:w="1134"/>
        <w:gridCol w:w="998"/>
      </w:tblGrid>
      <w:tr w:rsidR="00DB596B" w:rsidRPr="00900F58" w14:paraId="695BC9B7" w14:textId="77777777" w:rsidTr="00900F58">
        <w:trPr>
          <w:trHeight w:val="199"/>
        </w:trPr>
        <w:tc>
          <w:tcPr>
            <w:tcW w:w="4815" w:type="dxa"/>
            <w:shd w:val="clear" w:color="auto" w:fill="DEEAF6" w:themeFill="accent1" w:themeFillTint="33"/>
          </w:tcPr>
          <w:p w14:paraId="00412DF5" w14:textId="77777777" w:rsidR="00DB596B" w:rsidRPr="00900F58" w:rsidRDefault="00DB596B" w:rsidP="00401A5B">
            <w:pPr>
              <w:keepNext/>
              <w:rPr>
                <w:sz w:val="20"/>
                <w:szCs w:val="20"/>
                <w:lang w:eastAsia="en-US"/>
              </w:rPr>
            </w:pPr>
          </w:p>
        </w:tc>
        <w:tc>
          <w:tcPr>
            <w:tcW w:w="1134" w:type="dxa"/>
            <w:tcBorders>
              <w:bottom w:val="single" w:sz="4" w:space="0" w:color="auto"/>
            </w:tcBorders>
            <w:shd w:val="clear" w:color="auto" w:fill="DEEAF6" w:themeFill="accent1" w:themeFillTint="33"/>
            <w:vAlign w:val="center"/>
          </w:tcPr>
          <w:p w14:paraId="5F8CBB76" w14:textId="77777777" w:rsidR="00DB596B" w:rsidRPr="00900F58" w:rsidRDefault="00DB596B" w:rsidP="00401A5B">
            <w:pPr>
              <w:keepNext/>
              <w:jc w:val="center"/>
              <w:rPr>
                <w:b/>
                <w:sz w:val="20"/>
                <w:szCs w:val="20"/>
                <w:lang w:eastAsia="en-US"/>
              </w:rPr>
            </w:pPr>
            <w:r w:rsidRPr="00900F58">
              <w:rPr>
                <w:b/>
                <w:sz w:val="20"/>
                <w:szCs w:val="20"/>
                <w:lang w:eastAsia="en-US"/>
              </w:rPr>
              <w:t>2020</w:t>
            </w:r>
          </w:p>
        </w:tc>
        <w:tc>
          <w:tcPr>
            <w:tcW w:w="1134" w:type="dxa"/>
            <w:tcBorders>
              <w:bottom w:val="single" w:sz="4" w:space="0" w:color="auto"/>
            </w:tcBorders>
            <w:shd w:val="clear" w:color="auto" w:fill="DEEAF6" w:themeFill="accent1" w:themeFillTint="33"/>
            <w:vAlign w:val="center"/>
          </w:tcPr>
          <w:p w14:paraId="35008532" w14:textId="77777777" w:rsidR="00DB596B" w:rsidRPr="00900F58" w:rsidRDefault="00DB596B" w:rsidP="00401A5B">
            <w:pPr>
              <w:keepNext/>
              <w:jc w:val="center"/>
              <w:rPr>
                <w:b/>
                <w:sz w:val="20"/>
                <w:szCs w:val="20"/>
                <w:lang w:eastAsia="en-US"/>
              </w:rPr>
            </w:pPr>
            <w:r w:rsidRPr="00900F58">
              <w:rPr>
                <w:b/>
                <w:color w:val="000000"/>
                <w:sz w:val="20"/>
                <w:szCs w:val="20"/>
              </w:rPr>
              <w:t>2021</w:t>
            </w:r>
          </w:p>
        </w:tc>
        <w:tc>
          <w:tcPr>
            <w:tcW w:w="1134" w:type="dxa"/>
            <w:tcBorders>
              <w:bottom w:val="single" w:sz="4" w:space="0" w:color="auto"/>
            </w:tcBorders>
            <w:shd w:val="clear" w:color="auto" w:fill="DEEAF6" w:themeFill="accent1" w:themeFillTint="33"/>
            <w:vAlign w:val="center"/>
          </w:tcPr>
          <w:p w14:paraId="7002A388" w14:textId="77777777" w:rsidR="00DB596B" w:rsidRPr="00900F58" w:rsidRDefault="00DB596B" w:rsidP="00401A5B">
            <w:pPr>
              <w:keepNext/>
              <w:jc w:val="center"/>
              <w:rPr>
                <w:b/>
                <w:sz w:val="20"/>
                <w:szCs w:val="20"/>
                <w:lang w:eastAsia="en-US"/>
              </w:rPr>
            </w:pPr>
            <w:r w:rsidRPr="00900F58">
              <w:rPr>
                <w:b/>
                <w:color w:val="000000"/>
                <w:sz w:val="20"/>
                <w:szCs w:val="20"/>
              </w:rPr>
              <w:t>2022</w:t>
            </w:r>
          </w:p>
        </w:tc>
        <w:tc>
          <w:tcPr>
            <w:tcW w:w="998" w:type="dxa"/>
            <w:shd w:val="clear" w:color="auto" w:fill="DEEAF6" w:themeFill="accent1" w:themeFillTint="33"/>
            <w:vAlign w:val="center"/>
          </w:tcPr>
          <w:p w14:paraId="3048867A" w14:textId="77777777" w:rsidR="00DB596B" w:rsidRPr="00900F58" w:rsidRDefault="00DB596B" w:rsidP="00401A5B">
            <w:pPr>
              <w:keepNext/>
              <w:jc w:val="center"/>
              <w:rPr>
                <w:b/>
                <w:sz w:val="20"/>
                <w:szCs w:val="20"/>
                <w:lang w:eastAsia="en-US"/>
              </w:rPr>
            </w:pPr>
            <w:r w:rsidRPr="00900F58">
              <w:rPr>
                <w:b/>
                <w:color w:val="000000"/>
                <w:sz w:val="20"/>
                <w:szCs w:val="20"/>
              </w:rPr>
              <w:t>2023</w:t>
            </w:r>
          </w:p>
        </w:tc>
      </w:tr>
      <w:tr w:rsidR="00DB596B" w:rsidRPr="00900F58" w14:paraId="6F557F3D" w14:textId="77777777" w:rsidTr="00900F58">
        <w:trPr>
          <w:trHeight w:val="845"/>
        </w:trPr>
        <w:tc>
          <w:tcPr>
            <w:tcW w:w="4815" w:type="dxa"/>
          </w:tcPr>
          <w:p w14:paraId="015651B1" w14:textId="27E0F763" w:rsidR="00DB596B" w:rsidRPr="00900F58" w:rsidRDefault="00DB596B" w:rsidP="00080F5D">
            <w:pPr>
              <w:keepNext/>
              <w:jc w:val="both"/>
              <w:rPr>
                <w:sz w:val="20"/>
                <w:szCs w:val="20"/>
                <w:lang w:eastAsia="en-US"/>
              </w:rPr>
            </w:pPr>
            <w:r w:rsidRPr="00900F58">
              <w:rPr>
                <w:b/>
                <w:color w:val="000000"/>
                <w:sz w:val="20"/>
                <w:szCs w:val="20"/>
              </w:rPr>
              <w:t xml:space="preserve">Valsts sociālās apdrošināšanas iemaksas speciālajā budžetā </w:t>
            </w:r>
            <w:r w:rsidRPr="00900F58">
              <w:rPr>
                <w:color w:val="000000"/>
                <w:sz w:val="20"/>
                <w:szCs w:val="20"/>
              </w:rPr>
              <w:t xml:space="preserve">saskaņā ar </w:t>
            </w:r>
            <w:r w:rsidR="00080F5D">
              <w:rPr>
                <w:color w:val="000000"/>
                <w:sz w:val="20"/>
                <w:szCs w:val="20"/>
              </w:rPr>
              <w:t>VTBIL 2021., 2022. un 2023.gadam projektu</w:t>
            </w:r>
            <w:r w:rsidRPr="00900F58">
              <w:rPr>
                <w:color w:val="000000"/>
                <w:sz w:val="20"/>
                <w:szCs w:val="20"/>
              </w:rPr>
              <w:t>, milj. </w:t>
            </w:r>
            <w:r w:rsidRPr="00900F58">
              <w:rPr>
                <w:i/>
                <w:color w:val="000000"/>
                <w:sz w:val="20"/>
                <w:szCs w:val="20"/>
              </w:rPr>
              <w:t>euro</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88AF77" w14:textId="77777777" w:rsidR="00DB596B" w:rsidRPr="00900F58" w:rsidRDefault="00DB596B" w:rsidP="00401A5B">
            <w:pPr>
              <w:jc w:val="center"/>
              <w:rPr>
                <w:b/>
                <w:color w:val="000000"/>
                <w:sz w:val="20"/>
                <w:szCs w:val="20"/>
              </w:rPr>
            </w:pPr>
            <w:r w:rsidRPr="00900F58">
              <w:rPr>
                <w:b/>
                <w:color w:val="000000"/>
                <w:sz w:val="20"/>
                <w:szCs w:val="20"/>
              </w:rPr>
              <w:t>2 664,5*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C062F8" w14:textId="77777777" w:rsidR="00DB596B" w:rsidRPr="00900F58" w:rsidRDefault="00DB596B" w:rsidP="00401A5B">
            <w:pPr>
              <w:jc w:val="center"/>
              <w:rPr>
                <w:b/>
                <w:color w:val="000000"/>
                <w:sz w:val="20"/>
                <w:szCs w:val="20"/>
              </w:rPr>
            </w:pPr>
            <w:r w:rsidRPr="00900F58">
              <w:rPr>
                <w:b/>
                <w:color w:val="000000"/>
                <w:sz w:val="20"/>
                <w:szCs w:val="20"/>
              </w:rPr>
              <w:t>2 840,4</w:t>
            </w:r>
          </w:p>
        </w:tc>
        <w:tc>
          <w:tcPr>
            <w:tcW w:w="1134" w:type="dxa"/>
            <w:tcBorders>
              <w:top w:val="single" w:sz="4" w:space="0" w:color="auto"/>
              <w:left w:val="single" w:sz="4" w:space="0" w:color="auto"/>
              <w:bottom w:val="single" w:sz="4" w:space="0" w:color="auto"/>
              <w:right w:val="nil"/>
            </w:tcBorders>
            <w:shd w:val="clear" w:color="auto" w:fill="auto"/>
            <w:vAlign w:val="center"/>
          </w:tcPr>
          <w:p w14:paraId="4CA170E7" w14:textId="77777777" w:rsidR="00DB596B" w:rsidRPr="00900F58" w:rsidRDefault="00DB596B" w:rsidP="00401A5B">
            <w:pPr>
              <w:jc w:val="center"/>
              <w:rPr>
                <w:b/>
                <w:color w:val="000000"/>
                <w:sz w:val="20"/>
                <w:szCs w:val="20"/>
              </w:rPr>
            </w:pPr>
            <w:r w:rsidRPr="00900F58">
              <w:rPr>
                <w:b/>
                <w:color w:val="000000"/>
                <w:sz w:val="20"/>
                <w:szCs w:val="20"/>
              </w:rPr>
              <w:t>3 084,7</w:t>
            </w:r>
          </w:p>
        </w:tc>
        <w:tc>
          <w:tcPr>
            <w:tcW w:w="998" w:type="dxa"/>
            <w:vAlign w:val="center"/>
          </w:tcPr>
          <w:p w14:paraId="68751939" w14:textId="77777777" w:rsidR="00DB596B" w:rsidRPr="00900F58" w:rsidRDefault="00DB596B" w:rsidP="00401A5B">
            <w:pPr>
              <w:jc w:val="center"/>
              <w:rPr>
                <w:b/>
                <w:color w:val="000000"/>
                <w:sz w:val="20"/>
                <w:szCs w:val="20"/>
              </w:rPr>
            </w:pPr>
            <w:r w:rsidRPr="00900F58">
              <w:rPr>
                <w:b/>
                <w:color w:val="000000"/>
                <w:sz w:val="20"/>
                <w:szCs w:val="20"/>
              </w:rPr>
              <w:t>3 255,8</w:t>
            </w:r>
          </w:p>
        </w:tc>
      </w:tr>
      <w:tr w:rsidR="00DB596B" w:rsidRPr="00900F58" w14:paraId="4E86ABAF" w14:textId="77777777" w:rsidTr="00900F58">
        <w:trPr>
          <w:trHeight w:val="499"/>
        </w:trPr>
        <w:tc>
          <w:tcPr>
            <w:tcW w:w="4815" w:type="dxa"/>
          </w:tcPr>
          <w:p w14:paraId="3DFF37B4" w14:textId="68042409" w:rsidR="00DB596B" w:rsidRPr="00900F58" w:rsidRDefault="00DB596B" w:rsidP="00080F5D">
            <w:pPr>
              <w:keepNext/>
              <w:jc w:val="both"/>
              <w:rPr>
                <w:i/>
                <w:iCs/>
                <w:color w:val="000000"/>
                <w:sz w:val="20"/>
                <w:szCs w:val="20"/>
              </w:rPr>
            </w:pPr>
            <w:r w:rsidRPr="00900F58">
              <w:rPr>
                <w:b/>
                <w:color w:val="000000"/>
                <w:sz w:val="20"/>
                <w:szCs w:val="20"/>
              </w:rPr>
              <w:t xml:space="preserve">Valsts sociālās apdrošināšanas iemaksas speciālajā budžetā </w:t>
            </w:r>
            <w:r w:rsidRPr="00900F58">
              <w:rPr>
                <w:iCs/>
                <w:color w:val="000000"/>
                <w:sz w:val="20"/>
                <w:szCs w:val="20"/>
              </w:rPr>
              <w:t xml:space="preserve">saskaņā </w:t>
            </w:r>
            <w:r w:rsidR="00080F5D">
              <w:rPr>
                <w:iCs/>
                <w:color w:val="000000"/>
                <w:sz w:val="20"/>
                <w:szCs w:val="20"/>
              </w:rPr>
              <w:t>VTBIL</w:t>
            </w:r>
            <w:r w:rsidRPr="00900F58">
              <w:rPr>
                <w:iCs/>
                <w:color w:val="000000"/>
                <w:sz w:val="20"/>
                <w:szCs w:val="20"/>
              </w:rPr>
              <w:t xml:space="preserve"> 2020., 2021. un 2022.gadam”</w:t>
            </w:r>
            <w:r w:rsidRPr="00900F58">
              <w:rPr>
                <w:color w:val="000000"/>
                <w:sz w:val="20"/>
                <w:szCs w:val="20"/>
              </w:rPr>
              <w:t>, milj. </w:t>
            </w:r>
            <w:r w:rsidRPr="00900F58">
              <w:rPr>
                <w:i/>
                <w:color w:val="000000"/>
                <w:sz w:val="20"/>
                <w:szCs w:val="20"/>
              </w:rPr>
              <w:t>euro</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08C7A4" w14:textId="77777777" w:rsidR="00DB596B" w:rsidRPr="00900F58" w:rsidRDefault="00DB596B" w:rsidP="00401A5B">
            <w:pPr>
              <w:keepNext/>
              <w:jc w:val="center"/>
              <w:rPr>
                <w:b/>
                <w:sz w:val="20"/>
                <w:szCs w:val="20"/>
                <w:lang w:eastAsia="en-US"/>
              </w:rPr>
            </w:pPr>
            <w:r w:rsidRPr="00900F58">
              <w:rPr>
                <w:b/>
                <w:sz w:val="20"/>
                <w:szCs w:val="20"/>
                <w:lang w:eastAsia="en-US"/>
              </w:rPr>
              <w:t>2 957,7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DF8A7D" w14:textId="77777777" w:rsidR="00DB596B" w:rsidRPr="00900F58" w:rsidRDefault="00DB596B" w:rsidP="00401A5B">
            <w:pPr>
              <w:keepNext/>
              <w:jc w:val="center"/>
              <w:rPr>
                <w:b/>
                <w:sz w:val="20"/>
                <w:szCs w:val="20"/>
                <w:lang w:eastAsia="en-US"/>
              </w:rPr>
            </w:pPr>
            <w:r w:rsidRPr="00900F58">
              <w:rPr>
                <w:b/>
                <w:sz w:val="20"/>
                <w:szCs w:val="20"/>
                <w:lang w:eastAsia="en-US"/>
              </w:rPr>
              <w:t>3 140,2</w:t>
            </w:r>
          </w:p>
        </w:tc>
        <w:tc>
          <w:tcPr>
            <w:tcW w:w="1134" w:type="dxa"/>
            <w:tcBorders>
              <w:top w:val="single" w:sz="4" w:space="0" w:color="auto"/>
              <w:left w:val="single" w:sz="4" w:space="0" w:color="auto"/>
              <w:bottom w:val="single" w:sz="4" w:space="0" w:color="auto"/>
              <w:right w:val="nil"/>
            </w:tcBorders>
            <w:shd w:val="clear" w:color="auto" w:fill="auto"/>
            <w:vAlign w:val="center"/>
          </w:tcPr>
          <w:p w14:paraId="54D0A1D2" w14:textId="77777777" w:rsidR="00DB596B" w:rsidRPr="00900F58" w:rsidRDefault="00DB596B" w:rsidP="00401A5B">
            <w:pPr>
              <w:keepNext/>
              <w:jc w:val="center"/>
              <w:rPr>
                <w:b/>
                <w:sz w:val="20"/>
                <w:szCs w:val="20"/>
                <w:lang w:eastAsia="en-US"/>
              </w:rPr>
            </w:pPr>
            <w:r w:rsidRPr="00900F58">
              <w:rPr>
                <w:b/>
                <w:sz w:val="20"/>
                <w:szCs w:val="20"/>
                <w:lang w:eastAsia="en-US"/>
              </w:rPr>
              <w:t>3 297,5</w:t>
            </w:r>
          </w:p>
        </w:tc>
        <w:tc>
          <w:tcPr>
            <w:tcW w:w="998" w:type="dxa"/>
            <w:vAlign w:val="center"/>
          </w:tcPr>
          <w:p w14:paraId="62DCDFE8" w14:textId="77777777" w:rsidR="00DB596B" w:rsidRPr="00900F58" w:rsidRDefault="00DB596B" w:rsidP="00401A5B">
            <w:pPr>
              <w:keepNext/>
              <w:jc w:val="center"/>
              <w:rPr>
                <w:b/>
                <w:sz w:val="20"/>
                <w:szCs w:val="20"/>
                <w:lang w:eastAsia="en-US"/>
              </w:rPr>
            </w:pPr>
          </w:p>
        </w:tc>
      </w:tr>
      <w:tr w:rsidR="00DB596B" w:rsidRPr="00900F58" w14:paraId="5BB133F1" w14:textId="77777777" w:rsidTr="00900F58">
        <w:trPr>
          <w:trHeight w:val="499"/>
        </w:trPr>
        <w:tc>
          <w:tcPr>
            <w:tcW w:w="4815" w:type="dxa"/>
          </w:tcPr>
          <w:p w14:paraId="1F7541B3" w14:textId="02CE0AB3" w:rsidR="00DB596B" w:rsidRPr="00900F58" w:rsidRDefault="00DB596B" w:rsidP="00080F5D">
            <w:pPr>
              <w:keepNext/>
              <w:jc w:val="both"/>
              <w:rPr>
                <w:b/>
                <w:color w:val="000000"/>
                <w:sz w:val="20"/>
                <w:szCs w:val="20"/>
              </w:rPr>
            </w:pPr>
            <w:r w:rsidRPr="00900F58">
              <w:rPr>
                <w:i/>
                <w:iCs/>
                <w:color w:val="000000"/>
                <w:sz w:val="20"/>
                <w:szCs w:val="20"/>
              </w:rPr>
              <w:t xml:space="preserve">pieaugums, salīdzinot ar </w:t>
            </w:r>
            <w:r w:rsidR="00080F5D">
              <w:rPr>
                <w:i/>
                <w:iCs/>
                <w:color w:val="000000"/>
                <w:sz w:val="20"/>
                <w:szCs w:val="20"/>
              </w:rPr>
              <w:t>VTBIL</w:t>
            </w:r>
            <w:r w:rsidR="00080F5D">
              <w:rPr>
                <w:iCs/>
                <w:color w:val="000000"/>
                <w:sz w:val="20"/>
                <w:szCs w:val="20"/>
              </w:rPr>
              <w:t xml:space="preserve"> 2020., 2021. un 2022.gadam</w:t>
            </w:r>
            <w:r w:rsidRPr="00900F58">
              <w:rPr>
                <w:iCs/>
                <w:color w:val="000000"/>
                <w:sz w:val="20"/>
                <w:szCs w:val="20"/>
              </w:rPr>
              <w:t>,</w:t>
            </w:r>
            <w:r w:rsidRPr="00900F58">
              <w:rPr>
                <w:i/>
                <w:iCs/>
                <w:color w:val="000000"/>
                <w:sz w:val="20"/>
                <w:szCs w:val="20"/>
              </w:rPr>
              <w:t xml:space="preserve"> milj. </w:t>
            </w:r>
            <w:r w:rsidRPr="00900F58">
              <w:rPr>
                <w:i/>
                <w:iCs/>
                <w:color w:val="000000"/>
                <w:spacing w:val="-6"/>
                <w:sz w:val="20"/>
                <w:szCs w:val="20"/>
              </w:rPr>
              <w:t>euro</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6643CB" w14:textId="77777777" w:rsidR="00DB596B" w:rsidRPr="00900F58" w:rsidRDefault="00DB596B" w:rsidP="00401A5B">
            <w:pPr>
              <w:keepNext/>
              <w:jc w:val="center"/>
              <w:rPr>
                <w:i/>
                <w:sz w:val="20"/>
                <w:szCs w:val="20"/>
                <w:lang w:eastAsia="en-US"/>
              </w:rPr>
            </w:pPr>
            <w:r w:rsidRPr="00900F58">
              <w:rPr>
                <w:i/>
                <w:sz w:val="20"/>
                <w:szCs w:val="20"/>
                <w:lang w:eastAsia="en-US"/>
              </w:rPr>
              <w:t>-293,2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43C5CC" w14:textId="77777777" w:rsidR="00DB596B" w:rsidRPr="00900F58" w:rsidRDefault="00DB596B" w:rsidP="00401A5B">
            <w:pPr>
              <w:keepNext/>
              <w:jc w:val="center"/>
              <w:rPr>
                <w:i/>
                <w:sz w:val="20"/>
                <w:szCs w:val="20"/>
                <w:lang w:eastAsia="en-US"/>
              </w:rPr>
            </w:pPr>
            <w:r w:rsidRPr="00900F58">
              <w:rPr>
                <w:i/>
                <w:sz w:val="20"/>
                <w:szCs w:val="20"/>
                <w:lang w:eastAsia="en-US"/>
              </w:rPr>
              <w:t>-299,8</w:t>
            </w:r>
          </w:p>
        </w:tc>
        <w:tc>
          <w:tcPr>
            <w:tcW w:w="1134" w:type="dxa"/>
            <w:tcBorders>
              <w:top w:val="single" w:sz="4" w:space="0" w:color="auto"/>
              <w:left w:val="single" w:sz="4" w:space="0" w:color="auto"/>
              <w:bottom w:val="single" w:sz="4" w:space="0" w:color="auto"/>
              <w:right w:val="nil"/>
            </w:tcBorders>
            <w:shd w:val="clear" w:color="auto" w:fill="auto"/>
            <w:vAlign w:val="center"/>
          </w:tcPr>
          <w:p w14:paraId="2907F11D" w14:textId="77777777" w:rsidR="00DB596B" w:rsidRPr="00900F58" w:rsidRDefault="00DB596B" w:rsidP="00401A5B">
            <w:pPr>
              <w:keepNext/>
              <w:jc w:val="center"/>
              <w:rPr>
                <w:i/>
                <w:sz w:val="20"/>
                <w:szCs w:val="20"/>
                <w:lang w:eastAsia="en-US"/>
              </w:rPr>
            </w:pPr>
            <w:r w:rsidRPr="00900F58">
              <w:rPr>
                <w:i/>
                <w:sz w:val="20"/>
                <w:szCs w:val="20"/>
                <w:lang w:eastAsia="en-US"/>
              </w:rPr>
              <w:t>-212,8</w:t>
            </w:r>
          </w:p>
        </w:tc>
        <w:tc>
          <w:tcPr>
            <w:tcW w:w="998" w:type="dxa"/>
            <w:vAlign w:val="center"/>
          </w:tcPr>
          <w:p w14:paraId="30B99C62" w14:textId="77777777" w:rsidR="00DB596B" w:rsidRPr="00900F58" w:rsidRDefault="00DB596B" w:rsidP="00401A5B">
            <w:pPr>
              <w:keepNext/>
              <w:jc w:val="center"/>
              <w:rPr>
                <w:i/>
                <w:sz w:val="20"/>
                <w:szCs w:val="20"/>
                <w:lang w:eastAsia="en-US"/>
              </w:rPr>
            </w:pPr>
          </w:p>
        </w:tc>
      </w:tr>
      <w:tr w:rsidR="00DB596B" w:rsidRPr="00900F58" w14:paraId="4DA30D31" w14:textId="77777777" w:rsidTr="00900F58">
        <w:trPr>
          <w:trHeight w:val="499"/>
        </w:trPr>
        <w:tc>
          <w:tcPr>
            <w:tcW w:w="4815" w:type="dxa"/>
          </w:tcPr>
          <w:p w14:paraId="3822844F" w14:textId="7B1B0A4F" w:rsidR="00DB596B" w:rsidRPr="00900F58" w:rsidRDefault="00DB596B" w:rsidP="00080F5D">
            <w:pPr>
              <w:keepNext/>
              <w:jc w:val="both"/>
              <w:rPr>
                <w:i/>
                <w:iCs/>
                <w:color w:val="000000"/>
                <w:sz w:val="20"/>
                <w:szCs w:val="20"/>
              </w:rPr>
            </w:pPr>
            <w:r w:rsidRPr="00900F58">
              <w:rPr>
                <w:i/>
                <w:iCs/>
                <w:color w:val="000000"/>
                <w:sz w:val="20"/>
                <w:szCs w:val="20"/>
              </w:rPr>
              <w:t xml:space="preserve">pieaugums, salīdzinot ar </w:t>
            </w:r>
            <w:r w:rsidR="00080F5D">
              <w:rPr>
                <w:i/>
                <w:iCs/>
                <w:color w:val="000000"/>
                <w:sz w:val="20"/>
                <w:szCs w:val="20"/>
              </w:rPr>
              <w:t>VTBIL</w:t>
            </w:r>
            <w:r w:rsidRPr="00900F58">
              <w:rPr>
                <w:iCs/>
                <w:color w:val="000000"/>
                <w:sz w:val="20"/>
                <w:szCs w:val="20"/>
              </w:rPr>
              <w:t xml:space="preserve"> 2020., 2021. un 2022.gadam</w:t>
            </w:r>
            <w:r w:rsidRPr="00900F58">
              <w:rPr>
                <w:i/>
                <w:iCs/>
                <w:color w:val="000000"/>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3AA9C9" w14:textId="77777777" w:rsidR="00DB596B" w:rsidRPr="00900F58" w:rsidRDefault="00DB596B" w:rsidP="00401A5B">
            <w:pPr>
              <w:keepNext/>
              <w:jc w:val="center"/>
              <w:rPr>
                <w:i/>
                <w:sz w:val="20"/>
                <w:szCs w:val="20"/>
                <w:lang w:eastAsia="en-US"/>
              </w:rPr>
            </w:pPr>
            <w:r w:rsidRPr="00900F58">
              <w:rPr>
                <w:i/>
                <w:sz w:val="20"/>
                <w:szCs w:val="20"/>
                <w:lang w:eastAsia="en-US"/>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904AC1" w14:textId="77777777" w:rsidR="00DB596B" w:rsidRPr="00900F58" w:rsidRDefault="00DB596B" w:rsidP="00401A5B">
            <w:pPr>
              <w:keepNext/>
              <w:jc w:val="center"/>
              <w:rPr>
                <w:i/>
                <w:sz w:val="20"/>
                <w:szCs w:val="20"/>
                <w:lang w:eastAsia="en-US"/>
              </w:rPr>
            </w:pPr>
            <w:r w:rsidRPr="00900F58">
              <w:rPr>
                <w:i/>
                <w:sz w:val="20"/>
                <w:szCs w:val="20"/>
                <w:lang w:eastAsia="en-US"/>
              </w:rPr>
              <w:t>-9,5</w:t>
            </w:r>
          </w:p>
        </w:tc>
        <w:tc>
          <w:tcPr>
            <w:tcW w:w="1134" w:type="dxa"/>
            <w:tcBorders>
              <w:top w:val="single" w:sz="4" w:space="0" w:color="auto"/>
              <w:left w:val="single" w:sz="4" w:space="0" w:color="auto"/>
              <w:bottom w:val="single" w:sz="4" w:space="0" w:color="auto"/>
              <w:right w:val="nil"/>
            </w:tcBorders>
            <w:shd w:val="clear" w:color="auto" w:fill="auto"/>
            <w:vAlign w:val="center"/>
          </w:tcPr>
          <w:p w14:paraId="42909392" w14:textId="77777777" w:rsidR="00DB596B" w:rsidRPr="00900F58" w:rsidRDefault="00DB596B" w:rsidP="00401A5B">
            <w:pPr>
              <w:keepNext/>
              <w:jc w:val="center"/>
              <w:rPr>
                <w:i/>
                <w:sz w:val="20"/>
                <w:szCs w:val="20"/>
                <w:lang w:eastAsia="en-US"/>
              </w:rPr>
            </w:pPr>
            <w:r w:rsidRPr="00900F58">
              <w:rPr>
                <w:i/>
                <w:sz w:val="20"/>
                <w:szCs w:val="20"/>
                <w:lang w:eastAsia="en-US"/>
              </w:rPr>
              <w:t>-6,5</w:t>
            </w:r>
          </w:p>
        </w:tc>
        <w:tc>
          <w:tcPr>
            <w:tcW w:w="998" w:type="dxa"/>
            <w:vAlign w:val="center"/>
          </w:tcPr>
          <w:p w14:paraId="3F7A307D" w14:textId="77777777" w:rsidR="00DB596B" w:rsidRPr="00900F58" w:rsidRDefault="00DB596B" w:rsidP="00401A5B">
            <w:pPr>
              <w:keepNext/>
              <w:jc w:val="center"/>
              <w:rPr>
                <w:i/>
                <w:sz w:val="20"/>
                <w:szCs w:val="20"/>
                <w:lang w:eastAsia="en-US"/>
              </w:rPr>
            </w:pPr>
          </w:p>
        </w:tc>
      </w:tr>
      <w:tr w:rsidR="00DB596B" w:rsidRPr="00900F58" w14:paraId="12918232" w14:textId="77777777" w:rsidTr="00900F58">
        <w:trPr>
          <w:trHeight w:val="311"/>
        </w:trPr>
        <w:tc>
          <w:tcPr>
            <w:tcW w:w="4815" w:type="dxa"/>
          </w:tcPr>
          <w:p w14:paraId="033DEC38" w14:textId="77777777" w:rsidR="00DB596B" w:rsidRPr="00900F58" w:rsidRDefault="00DB596B" w:rsidP="00401A5B">
            <w:pPr>
              <w:keepNext/>
              <w:jc w:val="both"/>
              <w:rPr>
                <w:i/>
                <w:iCs/>
                <w:color w:val="000000"/>
                <w:sz w:val="20"/>
                <w:szCs w:val="20"/>
              </w:rPr>
            </w:pPr>
            <w:r w:rsidRPr="00900F58">
              <w:rPr>
                <w:i/>
                <w:iCs/>
                <w:color w:val="000000"/>
                <w:sz w:val="20"/>
                <w:szCs w:val="20"/>
              </w:rPr>
              <w:t>% no IKP</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9BC488" w14:textId="77777777" w:rsidR="00DB596B" w:rsidRPr="00900F58" w:rsidRDefault="00DB596B" w:rsidP="00401A5B">
            <w:pPr>
              <w:keepNext/>
              <w:jc w:val="center"/>
              <w:rPr>
                <w:i/>
                <w:sz w:val="20"/>
                <w:szCs w:val="20"/>
                <w:lang w:eastAsia="en-US"/>
              </w:rPr>
            </w:pPr>
            <w:r w:rsidRPr="00900F58">
              <w:rPr>
                <w:i/>
                <w:sz w:val="20"/>
                <w:szCs w:val="20"/>
                <w:lang w:eastAsia="en-US"/>
              </w:rPr>
              <w:t>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CF8B58" w14:textId="77777777" w:rsidR="00DB596B" w:rsidRPr="00900F58" w:rsidRDefault="00DB596B" w:rsidP="00401A5B">
            <w:pPr>
              <w:keepNext/>
              <w:jc w:val="center"/>
              <w:rPr>
                <w:i/>
                <w:sz w:val="20"/>
                <w:szCs w:val="20"/>
                <w:lang w:eastAsia="en-US"/>
              </w:rPr>
            </w:pPr>
            <w:r w:rsidRPr="00900F58">
              <w:rPr>
                <w:i/>
                <w:sz w:val="20"/>
                <w:szCs w:val="20"/>
                <w:lang w:eastAsia="en-US"/>
              </w:rPr>
              <w:t>9,5</w:t>
            </w:r>
          </w:p>
        </w:tc>
        <w:tc>
          <w:tcPr>
            <w:tcW w:w="1134" w:type="dxa"/>
            <w:tcBorders>
              <w:top w:val="single" w:sz="4" w:space="0" w:color="auto"/>
              <w:left w:val="single" w:sz="4" w:space="0" w:color="auto"/>
              <w:bottom w:val="single" w:sz="4" w:space="0" w:color="auto"/>
              <w:right w:val="nil"/>
            </w:tcBorders>
            <w:shd w:val="clear" w:color="auto" w:fill="auto"/>
            <w:vAlign w:val="center"/>
          </w:tcPr>
          <w:p w14:paraId="20219C24" w14:textId="77777777" w:rsidR="00DB596B" w:rsidRPr="00900F58" w:rsidRDefault="00DB596B" w:rsidP="00401A5B">
            <w:pPr>
              <w:keepNext/>
              <w:jc w:val="center"/>
              <w:rPr>
                <w:i/>
                <w:sz w:val="20"/>
                <w:szCs w:val="20"/>
                <w:lang w:eastAsia="en-US"/>
              </w:rPr>
            </w:pPr>
            <w:r w:rsidRPr="00900F58">
              <w:rPr>
                <w:i/>
                <w:sz w:val="20"/>
                <w:szCs w:val="20"/>
                <w:lang w:eastAsia="en-US"/>
              </w:rPr>
              <w:t>9,8</w:t>
            </w:r>
          </w:p>
        </w:tc>
        <w:tc>
          <w:tcPr>
            <w:tcW w:w="998" w:type="dxa"/>
            <w:vAlign w:val="center"/>
          </w:tcPr>
          <w:p w14:paraId="446FDD81" w14:textId="77777777" w:rsidR="00DB596B" w:rsidRPr="00900F58" w:rsidRDefault="00DB596B" w:rsidP="00401A5B">
            <w:pPr>
              <w:keepNext/>
              <w:jc w:val="center"/>
              <w:rPr>
                <w:i/>
                <w:sz w:val="20"/>
                <w:szCs w:val="20"/>
                <w:lang w:eastAsia="en-US"/>
              </w:rPr>
            </w:pPr>
            <w:r w:rsidRPr="00900F58">
              <w:rPr>
                <w:i/>
                <w:sz w:val="20"/>
                <w:szCs w:val="20"/>
                <w:lang w:eastAsia="en-US"/>
              </w:rPr>
              <w:t>9,8</w:t>
            </w:r>
          </w:p>
        </w:tc>
      </w:tr>
    </w:tbl>
    <w:p w14:paraId="733C73F4" w14:textId="77777777" w:rsidR="00DB596B" w:rsidRPr="00900F58" w:rsidRDefault="00DB596B" w:rsidP="00401A5B">
      <w:pPr>
        <w:rPr>
          <w:rFonts w:ascii="Times New Roman" w:eastAsia="Times New Roman" w:hAnsi="Times New Roman" w:cs="Times New Roman"/>
          <w:sz w:val="20"/>
          <w:szCs w:val="18"/>
          <w:lang w:eastAsia="en-US"/>
        </w:rPr>
      </w:pPr>
      <w:r w:rsidRPr="00900F58">
        <w:rPr>
          <w:rFonts w:ascii="Times New Roman" w:eastAsia="Times New Roman" w:hAnsi="Times New Roman" w:cs="Times New Roman"/>
          <w:sz w:val="20"/>
          <w:szCs w:val="18"/>
          <w:lang w:eastAsia="en-US"/>
        </w:rPr>
        <w:t>*prognoze</w:t>
      </w:r>
    </w:p>
    <w:p w14:paraId="713955E4" w14:textId="77777777" w:rsidR="00DB596B" w:rsidRPr="00DB596B" w:rsidRDefault="00DB596B" w:rsidP="00401A5B">
      <w:pPr>
        <w:rPr>
          <w:rFonts w:ascii="Times New Roman" w:eastAsia="Times New Roman" w:hAnsi="Times New Roman" w:cs="Times New Roman"/>
          <w:sz w:val="18"/>
          <w:szCs w:val="18"/>
          <w:lang w:eastAsia="en-US"/>
        </w:rPr>
      </w:pPr>
    </w:p>
    <w:p w14:paraId="787DD74E" w14:textId="6A24DAE5" w:rsidR="00DB596B" w:rsidRPr="00900F58" w:rsidRDefault="00DB596B" w:rsidP="00900F58">
      <w:pPr>
        <w:ind w:firstLine="709"/>
        <w:jc w:val="both"/>
        <w:rPr>
          <w:rFonts w:ascii="Times New Roman" w:eastAsia="Times New Roman" w:hAnsi="Times New Roman" w:cs="Times New Roman"/>
          <w:sz w:val="28"/>
          <w:szCs w:val="20"/>
          <w:lang w:eastAsia="en-US"/>
        </w:rPr>
      </w:pPr>
      <w:r w:rsidRPr="00900F58">
        <w:rPr>
          <w:rFonts w:ascii="Times New Roman" w:eastAsia="Times New Roman" w:hAnsi="Times New Roman" w:cs="Times New Roman"/>
          <w:sz w:val="28"/>
          <w:szCs w:val="20"/>
          <w:lang w:eastAsia="en-US"/>
        </w:rPr>
        <w:t>Valsts sociālās apdrošināšanas iemaksas pamatbudžetā veselības finansēšanai 2021.gadā tiek plānotas 97,7 milj. </w:t>
      </w:r>
      <w:r w:rsidRPr="00900F58">
        <w:rPr>
          <w:rFonts w:ascii="Times New Roman" w:eastAsia="Times New Roman" w:hAnsi="Times New Roman" w:cs="Times New Roman"/>
          <w:i/>
          <w:sz w:val="28"/>
          <w:szCs w:val="20"/>
          <w:lang w:eastAsia="en-US"/>
        </w:rPr>
        <w:t xml:space="preserve">euro </w:t>
      </w:r>
      <w:r w:rsidRPr="00900F58">
        <w:rPr>
          <w:rFonts w:ascii="Times New Roman" w:eastAsia="Times New Roman" w:hAnsi="Times New Roman" w:cs="Times New Roman"/>
          <w:sz w:val="28"/>
          <w:szCs w:val="20"/>
          <w:lang w:eastAsia="en-US"/>
        </w:rPr>
        <w:t>apmērā, 2022.gadā 106,5 milj. </w:t>
      </w:r>
      <w:r w:rsidRPr="00900F58">
        <w:rPr>
          <w:rFonts w:ascii="Times New Roman" w:eastAsia="Times New Roman" w:hAnsi="Times New Roman" w:cs="Times New Roman"/>
          <w:i/>
          <w:sz w:val="28"/>
          <w:szCs w:val="20"/>
          <w:lang w:eastAsia="en-US"/>
        </w:rPr>
        <w:t>euro</w:t>
      </w:r>
      <w:r w:rsidRPr="00900F58">
        <w:rPr>
          <w:rFonts w:ascii="Times New Roman" w:eastAsia="Times New Roman" w:hAnsi="Times New Roman" w:cs="Times New Roman"/>
          <w:sz w:val="28"/>
          <w:szCs w:val="20"/>
          <w:lang w:eastAsia="en-US"/>
        </w:rPr>
        <w:t xml:space="preserve"> un 2023.gadā 112,1 milj. </w:t>
      </w:r>
      <w:r w:rsidRPr="00900F58">
        <w:rPr>
          <w:rFonts w:ascii="Times New Roman" w:eastAsia="Times New Roman" w:hAnsi="Times New Roman" w:cs="Times New Roman"/>
          <w:i/>
          <w:sz w:val="28"/>
          <w:szCs w:val="20"/>
          <w:lang w:eastAsia="en-US"/>
        </w:rPr>
        <w:t>euro</w:t>
      </w:r>
      <w:r w:rsidRPr="00900F58">
        <w:rPr>
          <w:rFonts w:ascii="Times New Roman" w:eastAsia="Times New Roman" w:hAnsi="Times New Roman" w:cs="Times New Roman"/>
          <w:sz w:val="28"/>
          <w:szCs w:val="20"/>
          <w:lang w:eastAsia="en-US"/>
        </w:rPr>
        <w:t>.</w:t>
      </w:r>
    </w:p>
    <w:p w14:paraId="036D3638" w14:textId="77777777" w:rsidR="002A0A3A" w:rsidRPr="002A0A3A" w:rsidRDefault="002A0A3A" w:rsidP="002A0A3A">
      <w:pPr>
        <w:ind w:firstLine="720"/>
        <w:jc w:val="center"/>
        <w:rPr>
          <w:rFonts w:ascii="Times New Roman" w:eastAsia="Times New Roman" w:hAnsi="Times New Roman" w:cs="Times New Roman"/>
          <w:b/>
          <w:sz w:val="28"/>
          <w:szCs w:val="24"/>
          <w:lang w:eastAsia="en-US"/>
        </w:rPr>
      </w:pPr>
    </w:p>
    <w:p w14:paraId="2E23F4CC" w14:textId="189F5B61" w:rsidR="002A0A3A" w:rsidRDefault="00080F5D" w:rsidP="002A0A3A">
      <w:pPr>
        <w:ind w:firstLine="720"/>
        <w:jc w:val="center"/>
        <w:rPr>
          <w:rFonts w:ascii="Times New Roman" w:eastAsia="Times New Roman" w:hAnsi="Times New Roman" w:cs="Times New Roman"/>
          <w:b/>
          <w:sz w:val="28"/>
          <w:szCs w:val="24"/>
          <w:lang w:eastAsia="en-US"/>
        </w:rPr>
      </w:pPr>
      <w:r>
        <w:rPr>
          <w:rFonts w:ascii="Times New Roman" w:eastAsia="Times New Roman" w:hAnsi="Times New Roman" w:cs="Times New Roman"/>
          <w:b/>
          <w:sz w:val="28"/>
          <w:szCs w:val="24"/>
          <w:lang w:eastAsia="en-US"/>
        </w:rPr>
        <w:t>IIN</w:t>
      </w:r>
    </w:p>
    <w:p w14:paraId="7801467E" w14:textId="77777777" w:rsidR="002A0A3A" w:rsidRPr="002A0A3A" w:rsidRDefault="002A0A3A" w:rsidP="002A0A3A">
      <w:pPr>
        <w:ind w:firstLine="720"/>
        <w:jc w:val="center"/>
        <w:rPr>
          <w:rFonts w:ascii="Times New Roman" w:eastAsia="Times New Roman" w:hAnsi="Times New Roman" w:cs="Times New Roman"/>
          <w:b/>
          <w:sz w:val="28"/>
          <w:szCs w:val="24"/>
          <w:lang w:eastAsia="en-US"/>
        </w:rPr>
      </w:pPr>
    </w:p>
    <w:p w14:paraId="0EB9C88B" w14:textId="5E884322" w:rsidR="00DB596B" w:rsidRPr="00900F58" w:rsidRDefault="00080F5D" w:rsidP="00401A5B">
      <w:pPr>
        <w:ind w:firstLine="720"/>
        <w:jc w:val="both"/>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24"/>
          <w:lang w:eastAsia="en-US"/>
        </w:rPr>
        <w:t>IIN</w:t>
      </w:r>
      <w:r w:rsidR="00DB596B" w:rsidRPr="00900F58">
        <w:rPr>
          <w:rFonts w:ascii="Times New Roman" w:eastAsia="Times New Roman" w:hAnsi="Times New Roman" w:cs="Times New Roman"/>
          <w:sz w:val="28"/>
          <w:szCs w:val="24"/>
          <w:lang w:eastAsia="en-US"/>
        </w:rPr>
        <w:t xml:space="preserve"> ieņēmumus galvenokārt ietekmē tautsaimniecībā nodarbināto skaits, nodarbināto ienākumi, atvieglojumu apmērs, kā arī minimālā darba alga.</w:t>
      </w:r>
    </w:p>
    <w:p w14:paraId="084F440E" w14:textId="5AB85916" w:rsidR="00DB596B" w:rsidRPr="00900F58" w:rsidRDefault="00DB596B" w:rsidP="00401A5B">
      <w:pPr>
        <w:ind w:firstLine="720"/>
        <w:jc w:val="both"/>
        <w:rPr>
          <w:rFonts w:ascii="Times New Roman" w:eastAsia="Times New Roman" w:hAnsi="Times New Roman" w:cs="Times New Roman"/>
          <w:bCs/>
          <w:sz w:val="28"/>
          <w:szCs w:val="24"/>
          <w:lang w:eastAsia="en-US"/>
        </w:rPr>
      </w:pPr>
      <w:r w:rsidRPr="00900F58">
        <w:rPr>
          <w:rFonts w:ascii="Times New Roman" w:eastAsia="Times New Roman" w:hAnsi="Times New Roman" w:cs="Times New Roman"/>
          <w:sz w:val="28"/>
          <w:szCs w:val="24"/>
          <w:lang w:eastAsia="en-US"/>
        </w:rPr>
        <w:t xml:space="preserve">Kopējie </w:t>
      </w:r>
      <w:r w:rsidR="00080F5D">
        <w:rPr>
          <w:rFonts w:ascii="Times New Roman" w:eastAsia="Times New Roman" w:hAnsi="Times New Roman" w:cs="Times New Roman"/>
          <w:sz w:val="28"/>
          <w:szCs w:val="24"/>
          <w:lang w:eastAsia="en-US"/>
        </w:rPr>
        <w:t>IIN</w:t>
      </w:r>
      <w:r w:rsidRPr="00900F58">
        <w:rPr>
          <w:rFonts w:ascii="Times New Roman" w:eastAsia="Times New Roman" w:hAnsi="Times New Roman" w:cs="Times New Roman"/>
          <w:sz w:val="28"/>
          <w:szCs w:val="24"/>
          <w:lang w:eastAsia="en-US"/>
        </w:rPr>
        <w:t xml:space="preserve"> ieņēmumi 2020.gada 1.pusgadā bija 837,3 milj. </w:t>
      </w:r>
      <w:r w:rsidRPr="00900F58">
        <w:rPr>
          <w:rFonts w:ascii="Times New Roman" w:eastAsia="Times New Roman" w:hAnsi="Times New Roman" w:cs="Times New Roman"/>
          <w:i/>
          <w:sz w:val="28"/>
          <w:szCs w:val="24"/>
          <w:lang w:eastAsia="en-US"/>
        </w:rPr>
        <w:t>euro</w:t>
      </w:r>
      <w:r w:rsidRPr="00900F58">
        <w:rPr>
          <w:rFonts w:ascii="Times New Roman" w:eastAsia="Times New Roman" w:hAnsi="Times New Roman" w:cs="Times New Roman"/>
          <w:sz w:val="28"/>
          <w:szCs w:val="24"/>
          <w:lang w:eastAsia="en-US"/>
        </w:rPr>
        <w:t>, par 7,0 milj. </w:t>
      </w:r>
      <w:r w:rsidRPr="00900F58">
        <w:rPr>
          <w:rFonts w:ascii="Times New Roman" w:eastAsia="Times New Roman" w:hAnsi="Times New Roman" w:cs="Times New Roman"/>
          <w:i/>
          <w:sz w:val="28"/>
          <w:szCs w:val="24"/>
          <w:lang w:eastAsia="en-US"/>
        </w:rPr>
        <w:t>euro</w:t>
      </w:r>
      <w:r w:rsidRPr="00900F58">
        <w:rPr>
          <w:rFonts w:ascii="Times New Roman" w:eastAsia="Times New Roman" w:hAnsi="Times New Roman" w:cs="Times New Roman"/>
          <w:sz w:val="28"/>
          <w:szCs w:val="24"/>
          <w:lang w:eastAsia="en-US"/>
        </w:rPr>
        <w:t xml:space="preserve"> jeb 0,8% mazāk kā 2019.gada attiecīgajā periodā. Ieņēmumu kritums pret iepriekšējo gadu pamatā saistās ar </w:t>
      </w:r>
      <w:r w:rsidRPr="00900F58">
        <w:rPr>
          <w:rFonts w:ascii="Times New Roman" w:eastAsia="Times New Roman" w:hAnsi="Times New Roman" w:cs="Times New Roman"/>
          <w:sz w:val="28"/>
          <w:szCs w:val="20"/>
          <w:lang w:eastAsia="en-US"/>
        </w:rPr>
        <w:t xml:space="preserve">Covid-19 </w:t>
      </w:r>
      <w:r w:rsidRPr="00900F58">
        <w:rPr>
          <w:rFonts w:ascii="Times New Roman" w:eastAsia="Times New Roman" w:hAnsi="Times New Roman" w:cs="Times New Roman"/>
          <w:sz w:val="28"/>
          <w:szCs w:val="24"/>
          <w:lang w:eastAsia="en-US"/>
        </w:rPr>
        <w:t xml:space="preserve">krīzes izraisītajām sekām, tāpat to papildus ietekmēja arī atvieglojumu apmēru pieaugums. Nodarbināto skaita, kā arī darba samaksas fonda apmēra kritums bija vērojams no aprīļa mēneša. Savukārt </w:t>
      </w:r>
      <w:r w:rsidRPr="00900F58">
        <w:rPr>
          <w:rFonts w:ascii="Times New Roman" w:eastAsia="Times New Roman" w:hAnsi="Times New Roman" w:cs="Times New Roman"/>
          <w:bCs/>
          <w:sz w:val="28"/>
          <w:szCs w:val="24"/>
          <w:lang w:eastAsia="en-US"/>
        </w:rPr>
        <w:t xml:space="preserve">pusgada plāns ir pārsniegts par </w:t>
      </w:r>
      <w:r w:rsidRPr="00900F58">
        <w:rPr>
          <w:rFonts w:ascii="Times New Roman" w:eastAsia="Times New Roman" w:hAnsi="Times New Roman" w:cs="Times New Roman"/>
          <w:sz w:val="28"/>
          <w:szCs w:val="24"/>
          <w:lang w:eastAsia="en-US"/>
        </w:rPr>
        <w:t>35,3 milj. </w:t>
      </w:r>
      <w:r w:rsidRPr="00900F58">
        <w:rPr>
          <w:rFonts w:ascii="Times New Roman" w:eastAsia="Times New Roman" w:hAnsi="Times New Roman" w:cs="Times New Roman"/>
          <w:i/>
          <w:sz w:val="28"/>
          <w:szCs w:val="24"/>
          <w:lang w:eastAsia="en-US"/>
        </w:rPr>
        <w:t>euro</w:t>
      </w:r>
      <w:r w:rsidRPr="00900F58">
        <w:rPr>
          <w:rFonts w:ascii="Times New Roman" w:eastAsia="Times New Roman" w:hAnsi="Times New Roman" w:cs="Times New Roman"/>
          <w:bCs/>
          <w:sz w:val="28"/>
          <w:szCs w:val="24"/>
          <w:lang w:eastAsia="en-US"/>
        </w:rPr>
        <w:t xml:space="preserve"> jeb 4,4%, ko </w:t>
      </w:r>
      <w:r w:rsidRPr="00900F58">
        <w:rPr>
          <w:rFonts w:ascii="Times New Roman" w:eastAsia="Times New Roman" w:hAnsi="Times New Roman" w:cs="Times New Roman"/>
          <w:sz w:val="28"/>
          <w:szCs w:val="24"/>
          <w:lang w:eastAsia="en-US"/>
        </w:rPr>
        <w:t xml:space="preserve">nodrošināja plāna pārpilde gada pirmajos divos mēnešos. Tam par iemeslu bija </w:t>
      </w:r>
      <w:r w:rsidRPr="00900F58">
        <w:rPr>
          <w:rFonts w:ascii="Times New Roman" w:eastAsia="Times New Roman" w:hAnsi="Times New Roman" w:cs="Times New Roman"/>
          <w:sz w:val="28"/>
          <w:szCs w:val="20"/>
          <w:lang w:eastAsia="en-US"/>
        </w:rPr>
        <w:t>ienākumu pieaugums no algota darba ienākumiem, kā arī daļa no ieturētā nodokļa par decembrī izmaksātajām dividendēm tika pārskaitīts budžetā janvāra sākumā</w:t>
      </w:r>
      <w:r w:rsidRPr="00900F58">
        <w:rPr>
          <w:rFonts w:ascii="Times New Roman" w:eastAsia="Times New Roman" w:hAnsi="Times New Roman" w:cs="Times New Roman"/>
          <w:sz w:val="28"/>
          <w:szCs w:val="24"/>
          <w:lang w:eastAsia="en-US"/>
        </w:rPr>
        <w:t xml:space="preserve">. </w:t>
      </w:r>
      <w:r w:rsidRPr="00900F58">
        <w:rPr>
          <w:rFonts w:ascii="Times New Roman" w:eastAsia="Times New Roman" w:hAnsi="Times New Roman" w:cs="Times New Roman"/>
          <w:sz w:val="28"/>
          <w:szCs w:val="20"/>
          <w:lang w:eastAsia="en-US"/>
        </w:rPr>
        <w:t xml:space="preserve">Ņemot vērā darba samaksas fonda makroekonomiskās prognozes, 2020.gada </w:t>
      </w:r>
      <w:r w:rsidR="00080F5D">
        <w:rPr>
          <w:rFonts w:ascii="Times New Roman" w:eastAsia="Times New Roman" w:hAnsi="Times New Roman" w:cs="Times New Roman"/>
          <w:sz w:val="28"/>
          <w:szCs w:val="20"/>
          <w:lang w:eastAsia="en-US"/>
        </w:rPr>
        <w:t>IIN</w:t>
      </w:r>
      <w:r w:rsidRPr="00900F58">
        <w:rPr>
          <w:rFonts w:ascii="Times New Roman" w:eastAsia="Times New Roman" w:hAnsi="Times New Roman" w:cs="Times New Roman"/>
          <w:sz w:val="28"/>
          <w:szCs w:val="20"/>
          <w:lang w:eastAsia="en-US"/>
        </w:rPr>
        <w:t xml:space="preserve"> prognoze tika samazināta par 60,5 milj. </w:t>
      </w:r>
      <w:r w:rsidRPr="00900F58">
        <w:rPr>
          <w:rFonts w:ascii="Times New Roman" w:eastAsia="Times New Roman" w:hAnsi="Times New Roman" w:cs="Times New Roman"/>
          <w:i/>
          <w:sz w:val="28"/>
          <w:szCs w:val="20"/>
          <w:lang w:eastAsia="en-US"/>
        </w:rPr>
        <w:t>euro</w:t>
      </w:r>
      <w:r w:rsidRPr="00900F58">
        <w:rPr>
          <w:rFonts w:ascii="Times New Roman" w:eastAsia="Times New Roman" w:hAnsi="Times New Roman" w:cs="Times New Roman"/>
          <w:sz w:val="28"/>
          <w:szCs w:val="20"/>
          <w:lang w:eastAsia="en-US"/>
        </w:rPr>
        <w:t xml:space="preserve"> jeb par 3,4%, salīdzinot ar plānu.</w:t>
      </w:r>
    </w:p>
    <w:p w14:paraId="6BE9E713" w14:textId="04D6193D" w:rsidR="00DB596B" w:rsidRPr="00900F58" w:rsidRDefault="00DB596B" w:rsidP="00900F58">
      <w:pPr>
        <w:ind w:firstLine="720"/>
        <w:jc w:val="both"/>
        <w:rPr>
          <w:rFonts w:ascii="Times New Roman" w:eastAsia="Times New Roman" w:hAnsi="Times New Roman" w:cs="Times New Roman"/>
          <w:sz w:val="28"/>
          <w:szCs w:val="24"/>
          <w:lang w:eastAsia="en-US"/>
        </w:rPr>
      </w:pPr>
      <w:r w:rsidRPr="00900F58">
        <w:rPr>
          <w:rFonts w:ascii="Times New Roman" w:eastAsia="Times New Roman" w:hAnsi="Times New Roman" w:cs="Times New Roman"/>
          <w:sz w:val="28"/>
          <w:szCs w:val="24"/>
          <w:lang w:eastAsia="en-US"/>
        </w:rPr>
        <w:t xml:space="preserve"> Pēc </w:t>
      </w:r>
      <w:r w:rsidR="00900F58">
        <w:rPr>
          <w:rFonts w:ascii="Times New Roman" w:eastAsia="Times New Roman" w:hAnsi="Times New Roman" w:cs="Times New Roman"/>
          <w:sz w:val="28"/>
          <w:szCs w:val="24"/>
          <w:lang w:eastAsia="en-US"/>
        </w:rPr>
        <w:t>CSP</w:t>
      </w:r>
      <w:r w:rsidRPr="00900F58">
        <w:rPr>
          <w:rFonts w:ascii="Times New Roman" w:eastAsia="Times New Roman" w:hAnsi="Times New Roman" w:cs="Times New Roman"/>
          <w:sz w:val="28"/>
          <w:szCs w:val="24"/>
          <w:lang w:eastAsia="en-US"/>
        </w:rPr>
        <w:t xml:space="preserve"> datiem 2020.gada jūnijā strādājošo mēneša vidējā bruto darba samaksa bija 1 134 </w:t>
      </w:r>
      <w:r w:rsidRPr="00900F58">
        <w:rPr>
          <w:rFonts w:ascii="Times New Roman" w:eastAsia="Times New Roman" w:hAnsi="Times New Roman" w:cs="Times New Roman"/>
          <w:i/>
          <w:sz w:val="28"/>
          <w:szCs w:val="24"/>
          <w:lang w:eastAsia="en-US"/>
        </w:rPr>
        <w:t>euro</w:t>
      </w:r>
      <w:r w:rsidRPr="00900F58">
        <w:rPr>
          <w:rFonts w:ascii="Times New Roman" w:eastAsia="Times New Roman" w:hAnsi="Times New Roman" w:cs="Times New Roman"/>
          <w:sz w:val="28"/>
          <w:szCs w:val="24"/>
          <w:lang w:eastAsia="en-US"/>
        </w:rPr>
        <w:t xml:space="preserve"> jeb par 5,6% lielāka nekā 2019.gada attiecīgajā mēnesī.</w:t>
      </w:r>
      <w:r w:rsidR="00900F58">
        <w:rPr>
          <w:rFonts w:ascii="Times New Roman" w:eastAsia="Times New Roman" w:hAnsi="Times New Roman" w:cs="Times New Roman"/>
          <w:sz w:val="28"/>
          <w:szCs w:val="24"/>
          <w:lang w:eastAsia="en-US"/>
        </w:rPr>
        <w:t xml:space="preserve"> </w:t>
      </w:r>
      <w:r w:rsidRPr="00900F58">
        <w:rPr>
          <w:rFonts w:ascii="Times New Roman" w:eastAsia="Times New Roman" w:hAnsi="Times New Roman" w:cs="Times New Roman"/>
          <w:sz w:val="28"/>
          <w:szCs w:val="24"/>
          <w:lang w:eastAsia="en-US"/>
        </w:rPr>
        <w:t xml:space="preserve">Saskaņā ar </w:t>
      </w:r>
      <w:r w:rsidR="00900F58">
        <w:rPr>
          <w:rFonts w:ascii="Times New Roman" w:eastAsia="Times New Roman" w:hAnsi="Times New Roman" w:cs="Times New Roman"/>
          <w:sz w:val="28"/>
          <w:szCs w:val="24"/>
          <w:lang w:eastAsia="en-US"/>
        </w:rPr>
        <w:t>NVA</w:t>
      </w:r>
      <w:r w:rsidRPr="00900F58">
        <w:rPr>
          <w:rFonts w:ascii="Times New Roman" w:eastAsia="Times New Roman" w:hAnsi="Times New Roman" w:cs="Times New Roman"/>
          <w:sz w:val="28"/>
          <w:szCs w:val="24"/>
          <w:lang w:eastAsia="en-US"/>
        </w:rPr>
        <w:t xml:space="preserve"> informāciju reģistrētā bezdarba līmenis 2020.gada jūnijā bija 8,6%, kas salīdzinājumā ar iepriekšējā gada attiecīgo mēnesi ir par 2,6 procentpunktiem vairāk. </w:t>
      </w:r>
    </w:p>
    <w:p w14:paraId="0752A9CF" w14:textId="7CF799C2" w:rsidR="00DB596B" w:rsidRPr="00900F58" w:rsidRDefault="00DB596B" w:rsidP="00401A5B">
      <w:pPr>
        <w:ind w:firstLine="720"/>
        <w:jc w:val="both"/>
        <w:rPr>
          <w:rFonts w:ascii="Times New Roman" w:eastAsia="Times New Roman" w:hAnsi="Times New Roman" w:cs="Times New Roman"/>
          <w:sz w:val="28"/>
          <w:szCs w:val="24"/>
          <w:lang w:eastAsia="en-US"/>
        </w:rPr>
      </w:pPr>
      <w:r w:rsidRPr="00900F58">
        <w:rPr>
          <w:rFonts w:ascii="Times New Roman" w:eastAsia="Times New Roman" w:hAnsi="Times New Roman" w:cs="Times New Roman"/>
          <w:sz w:val="28"/>
          <w:szCs w:val="24"/>
          <w:lang w:eastAsia="en-US"/>
        </w:rPr>
        <w:t xml:space="preserve">Pēc informācijas iesniegtajos darba devēju ziņojumos par </w:t>
      </w:r>
      <w:r w:rsidR="00900F58">
        <w:rPr>
          <w:rFonts w:ascii="Times New Roman" w:eastAsia="Times New Roman" w:hAnsi="Times New Roman" w:cs="Times New Roman"/>
          <w:sz w:val="28"/>
          <w:szCs w:val="24"/>
          <w:lang w:eastAsia="en-US"/>
        </w:rPr>
        <w:t>VSAOI</w:t>
      </w:r>
      <w:r w:rsidRPr="00900F58">
        <w:rPr>
          <w:rFonts w:ascii="Times New Roman" w:eastAsia="Times New Roman" w:hAnsi="Times New Roman" w:cs="Times New Roman"/>
          <w:sz w:val="28"/>
          <w:szCs w:val="24"/>
          <w:lang w:eastAsia="en-US"/>
        </w:rPr>
        <w:t xml:space="preserve"> un </w:t>
      </w:r>
      <w:r w:rsidR="00E00EF2">
        <w:rPr>
          <w:rFonts w:ascii="Times New Roman" w:eastAsia="Times New Roman" w:hAnsi="Times New Roman" w:cs="Times New Roman"/>
          <w:sz w:val="28"/>
          <w:szCs w:val="24"/>
          <w:lang w:eastAsia="en-US"/>
        </w:rPr>
        <w:t>IIN</w:t>
      </w:r>
      <w:r w:rsidRPr="00900F58">
        <w:rPr>
          <w:rFonts w:ascii="Times New Roman" w:eastAsia="Times New Roman" w:hAnsi="Times New Roman" w:cs="Times New Roman"/>
          <w:sz w:val="28"/>
          <w:szCs w:val="24"/>
          <w:lang w:eastAsia="en-US"/>
        </w:rPr>
        <w:t>, 2020.gada 1.pusgadā ienākumus virs valstī noteiktās minimālās darba algas saņēma 74,0% darba ņēmēju un to īpatsvars, salīdzinot ar 2019.gada attiecīgo periodu, samazinājies par pusi procentpunkta. To pamatā veicināja darbinieku skaita, kuriem alga bija nulle, pieaugums krīzes periodā.</w:t>
      </w:r>
    </w:p>
    <w:p w14:paraId="55324573" w14:textId="721CFFC8" w:rsidR="00DB596B" w:rsidRPr="00900F58" w:rsidRDefault="00DB596B" w:rsidP="00900F58">
      <w:pPr>
        <w:ind w:firstLine="720"/>
        <w:jc w:val="both"/>
        <w:rPr>
          <w:rFonts w:ascii="Times New Roman" w:eastAsia="Times New Roman" w:hAnsi="Times New Roman" w:cs="Times New Roman"/>
          <w:sz w:val="28"/>
          <w:szCs w:val="24"/>
          <w:lang w:eastAsia="en-US"/>
        </w:rPr>
      </w:pPr>
      <w:r w:rsidRPr="00900F58">
        <w:rPr>
          <w:rFonts w:ascii="Times New Roman" w:eastAsia="Times New Roman" w:hAnsi="Times New Roman" w:cs="Times New Roman"/>
          <w:sz w:val="28"/>
          <w:szCs w:val="20"/>
          <w:lang w:eastAsia="en-US"/>
        </w:rPr>
        <w:t xml:space="preserve">Saskaņā ar </w:t>
      </w:r>
      <w:r w:rsidR="00900F58">
        <w:rPr>
          <w:rFonts w:ascii="Times New Roman" w:eastAsia="Times New Roman" w:hAnsi="Times New Roman" w:cs="Times New Roman"/>
          <w:sz w:val="28"/>
          <w:szCs w:val="20"/>
          <w:lang w:eastAsia="en-US"/>
        </w:rPr>
        <w:t xml:space="preserve">VTBIL 2021., 2022. un 2023.gadam projektu </w:t>
      </w:r>
      <w:r w:rsidRPr="00900F58">
        <w:rPr>
          <w:rFonts w:ascii="Times New Roman" w:eastAsia="Times New Roman" w:hAnsi="Times New Roman" w:cs="Times New Roman"/>
          <w:sz w:val="28"/>
          <w:szCs w:val="20"/>
          <w:lang w:eastAsia="en-US"/>
        </w:rPr>
        <w:t xml:space="preserve">2021.gadā </w:t>
      </w:r>
      <w:r w:rsidR="00E00EF2">
        <w:rPr>
          <w:rFonts w:ascii="Times New Roman" w:eastAsia="Times New Roman" w:hAnsi="Times New Roman" w:cs="Times New Roman"/>
          <w:sz w:val="28"/>
          <w:szCs w:val="24"/>
          <w:lang w:eastAsia="en-US"/>
        </w:rPr>
        <w:t>IIN</w:t>
      </w:r>
      <w:r w:rsidRPr="00900F58">
        <w:rPr>
          <w:rFonts w:ascii="Times New Roman" w:eastAsia="Times New Roman" w:hAnsi="Times New Roman" w:cs="Times New Roman"/>
          <w:sz w:val="28"/>
          <w:szCs w:val="20"/>
          <w:lang w:eastAsia="en-US"/>
        </w:rPr>
        <w:t xml:space="preserve"> ieņēmumi tiek plānoti 1 778,7 milj. </w:t>
      </w:r>
      <w:r w:rsidRPr="00900F58">
        <w:rPr>
          <w:rFonts w:ascii="Times New Roman" w:eastAsia="Times New Roman" w:hAnsi="Times New Roman" w:cs="Times New Roman"/>
          <w:i/>
          <w:sz w:val="28"/>
          <w:szCs w:val="20"/>
          <w:lang w:eastAsia="en-US"/>
        </w:rPr>
        <w:t>euro</w:t>
      </w:r>
      <w:r w:rsidRPr="00900F58">
        <w:rPr>
          <w:rFonts w:ascii="Times New Roman" w:eastAsia="Times New Roman" w:hAnsi="Times New Roman" w:cs="Times New Roman"/>
          <w:sz w:val="28"/>
          <w:szCs w:val="20"/>
          <w:lang w:eastAsia="en-US"/>
        </w:rPr>
        <w:t>, 2022.gadā 1 881,3 milj. </w:t>
      </w:r>
      <w:r w:rsidRPr="00900F58">
        <w:rPr>
          <w:rFonts w:ascii="Times New Roman" w:eastAsia="Times New Roman" w:hAnsi="Times New Roman" w:cs="Times New Roman"/>
          <w:i/>
          <w:sz w:val="28"/>
          <w:szCs w:val="20"/>
          <w:lang w:eastAsia="en-US"/>
        </w:rPr>
        <w:t>euro</w:t>
      </w:r>
      <w:r w:rsidRPr="00900F58">
        <w:rPr>
          <w:rFonts w:ascii="Times New Roman" w:eastAsia="Times New Roman" w:hAnsi="Times New Roman" w:cs="Times New Roman"/>
          <w:sz w:val="28"/>
          <w:szCs w:val="20"/>
          <w:lang w:eastAsia="en-US"/>
        </w:rPr>
        <w:t xml:space="preserve"> un 2023.gadā 1 979,3 milj. </w:t>
      </w:r>
      <w:r w:rsidRPr="00900F58">
        <w:rPr>
          <w:rFonts w:ascii="Times New Roman" w:eastAsia="Times New Roman" w:hAnsi="Times New Roman" w:cs="Times New Roman"/>
          <w:i/>
          <w:spacing w:val="-6"/>
          <w:sz w:val="28"/>
          <w:szCs w:val="20"/>
          <w:lang w:eastAsia="en-US"/>
        </w:rPr>
        <w:t>euro</w:t>
      </w:r>
      <w:r w:rsidRPr="00900F58">
        <w:rPr>
          <w:rFonts w:ascii="Times New Roman" w:eastAsia="Times New Roman" w:hAnsi="Times New Roman" w:cs="Times New Roman"/>
          <w:sz w:val="28"/>
          <w:szCs w:val="20"/>
          <w:lang w:eastAsia="en-US"/>
        </w:rPr>
        <w:t xml:space="preserve"> apmērā.</w:t>
      </w:r>
      <w:r w:rsidR="00900F58">
        <w:rPr>
          <w:rFonts w:ascii="Times New Roman" w:eastAsia="Times New Roman" w:hAnsi="Times New Roman" w:cs="Times New Roman"/>
          <w:sz w:val="28"/>
          <w:szCs w:val="24"/>
          <w:lang w:eastAsia="en-US"/>
        </w:rPr>
        <w:t xml:space="preserve"> </w:t>
      </w:r>
      <w:r w:rsidRPr="00900F58">
        <w:rPr>
          <w:rFonts w:ascii="Times New Roman" w:eastAsia="Times New Roman" w:hAnsi="Times New Roman" w:cs="Times New Roman"/>
          <w:sz w:val="28"/>
          <w:szCs w:val="24"/>
          <w:lang w:eastAsia="en-US"/>
        </w:rPr>
        <w:t>Iedzīvotāju ienākuma nodokļa 2021.-2023.gadam ieņēmumu plānu ietekmēs prognozētais darba samaksas fonda pieauguma temps, 2020.gada pirmā pusgada izpilde, kā arī</w:t>
      </w:r>
      <w:r w:rsidR="00E00EF2">
        <w:rPr>
          <w:rFonts w:ascii="Times New Roman" w:eastAsia="Times New Roman" w:hAnsi="Times New Roman" w:cs="Times New Roman"/>
          <w:sz w:val="28"/>
          <w:szCs w:val="24"/>
        </w:rPr>
        <w:t xml:space="preserve"> 3.1.</w:t>
      </w:r>
      <w:r w:rsidRPr="00900F58">
        <w:rPr>
          <w:rFonts w:ascii="Times New Roman" w:eastAsia="Times New Roman" w:hAnsi="Times New Roman" w:cs="Times New Roman"/>
          <w:sz w:val="28"/>
          <w:szCs w:val="24"/>
        </w:rPr>
        <w:t>sadaļā minētie pasākumi</w:t>
      </w:r>
      <w:r w:rsidRPr="00900F58">
        <w:rPr>
          <w:rFonts w:ascii="Times New Roman" w:eastAsia="Times New Roman" w:hAnsi="Times New Roman" w:cs="Times New Roman"/>
          <w:sz w:val="28"/>
          <w:szCs w:val="24"/>
          <w:lang w:eastAsia="en-US"/>
        </w:rPr>
        <w:t>.</w:t>
      </w:r>
    </w:p>
    <w:p w14:paraId="049F30F6" w14:textId="18063863" w:rsidR="00DB596B" w:rsidRPr="00900F58" w:rsidRDefault="00DB596B" w:rsidP="00401A5B">
      <w:pPr>
        <w:ind w:right="-1" w:firstLine="720"/>
        <w:jc w:val="both"/>
        <w:rPr>
          <w:rFonts w:ascii="Times New Roman" w:eastAsia="Times New Roman" w:hAnsi="Times New Roman" w:cs="Times New Roman"/>
          <w:sz w:val="28"/>
          <w:szCs w:val="24"/>
        </w:rPr>
      </w:pPr>
      <w:r w:rsidRPr="00900F58">
        <w:rPr>
          <w:rFonts w:ascii="Times New Roman" w:eastAsia="Times New Roman" w:hAnsi="Times New Roman" w:cs="Times New Roman"/>
          <w:sz w:val="28"/>
          <w:szCs w:val="20"/>
          <w:lang w:eastAsia="en-US"/>
        </w:rPr>
        <w:t>Informatīvajā ziņojumā "Par nodokļu politikas attīstības virzieniem, valsts sociālās un veselības apdrošināšanas ilgtspējas veicināšanai" norādītās nodokļu politikas izmaiņas:</w:t>
      </w:r>
    </w:p>
    <w:p w14:paraId="6A25FB39" w14:textId="30056073" w:rsidR="00DB596B" w:rsidRPr="00900F58" w:rsidRDefault="00900F58" w:rsidP="00FB2B77">
      <w:pPr>
        <w:numPr>
          <w:ilvl w:val="0"/>
          <w:numId w:val="21"/>
        </w:numPr>
        <w:ind w:right="-1"/>
        <w:contextualSpacing/>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en-US"/>
        </w:rPr>
        <w:t>VSAOI</w:t>
      </w:r>
      <w:r w:rsidR="00DB596B" w:rsidRPr="00900F58">
        <w:rPr>
          <w:rFonts w:ascii="Times New Roman" w:eastAsia="Times New Roman" w:hAnsi="Times New Roman" w:cs="Times New Roman"/>
          <w:noProof/>
          <w:sz w:val="28"/>
          <w:szCs w:val="24"/>
          <w:lang w:eastAsia="en-US"/>
        </w:rPr>
        <w:t xml:space="preserve"> likmes samazināšana no 35,09 </w:t>
      </w:r>
      <w:r>
        <w:rPr>
          <w:rFonts w:ascii="Times New Roman" w:eastAsia="Times New Roman" w:hAnsi="Times New Roman" w:cs="Times New Roman"/>
          <w:noProof/>
          <w:sz w:val="28"/>
          <w:szCs w:val="24"/>
          <w:lang w:eastAsia="en-US"/>
        </w:rPr>
        <w:t>%</w:t>
      </w:r>
      <w:r w:rsidR="00DB596B" w:rsidRPr="00900F58">
        <w:rPr>
          <w:rFonts w:ascii="Times New Roman" w:eastAsia="Times New Roman" w:hAnsi="Times New Roman" w:cs="Times New Roman"/>
          <w:noProof/>
          <w:sz w:val="28"/>
          <w:szCs w:val="24"/>
          <w:lang w:eastAsia="en-US"/>
        </w:rPr>
        <w:t xml:space="preserve"> uz 34,09 </w:t>
      </w:r>
      <w:r>
        <w:rPr>
          <w:rFonts w:ascii="Times New Roman" w:eastAsia="Times New Roman" w:hAnsi="Times New Roman" w:cs="Times New Roman"/>
          <w:noProof/>
          <w:sz w:val="28"/>
          <w:szCs w:val="24"/>
          <w:lang w:eastAsia="en-US"/>
        </w:rPr>
        <w:t>%</w:t>
      </w:r>
      <w:r w:rsidR="00DB596B" w:rsidRPr="00900F58">
        <w:rPr>
          <w:rFonts w:ascii="Times New Roman" w:eastAsia="Times New Roman" w:hAnsi="Times New Roman" w:cs="Times New Roman"/>
          <w:noProof/>
          <w:sz w:val="28"/>
          <w:szCs w:val="24"/>
          <w:lang w:eastAsia="en-US"/>
        </w:rPr>
        <w:t xml:space="preserve"> </w:t>
      </w:r>
      <w:r w:rsidR="00DB596B" w:rsidRPr="00900F58">
        <w:rPr>
          <w:rFonts w:ascii="Times New Roman" w:eastAsia="Times New Roman" w:hAnsi="Times New Roman" w:cs="Times New Roman"/>
          <w:sz w:val="28"/>
          <w:szCs w:val="24"/>
          <w:lang w:eastAsia="en-US"/>
        </w:rPr>
        <w:t>(</w:t>
      </w:r>
      <w:r w:rsidR="00DB596B" w:rsidRPr="00900F58">
        <w:rPr>
          <w:rFonts w:ascii="Times New Roman" w:eastAsia="Times New Roman" w:hAnsi="Times New Roman" w:cs="Times New Roman"/>
          <w:sz w:val="28"/>
          <w:szCs w:val="24"/>
        </w:rPr>
        <w:t>fiskālā ietekme 2021.gadā</w:t>
      </w:r>
      <w:r w:rsidR="00DB596B" w:rsidRPr="00900F58">
        <w:rPr>
          <w:rFonts w:ascii="Times New Roman" w:eastAsia="Times New Roman" w:hAnsi="Times New Roman" w:cs="Times New Roman"/>
          <w:sz w:val="28"/>
          <w:szCs w:val="24"/>
          <w:lang w:eastAsia="en-US"/>
        </w:rPr>
        <w:t xml:space="preserve"> +6,1 milj. </w:t>
      </w:r>
      <w:r w:rsidR="00DB596B" w:rsidRPr="00900F58">
        <w:rPr>
          <w:rFonts w:ascii="Times New Roman" w:eastAsia="Times New Roman" w:hAnsi="Times New Roman" w:cs="Times New Roman"/>
          <w:i/>
          <w:spacing w:val="-6"/>
          <w:sz w:val="28"/>
          <w:szCs w:val="24"/>
          <w:lang w:eastAsia="en-US"/>
        </w:rPr>
        <w:t>euro</w:t>
      </w:r>
      <w:r>
        <w:rPr>
          <w:rFonts w:ascii="Times New Roman" w:eastAsia="Times New Roman" w:hAnsi="Times New Roman" w:cs="Times New Roman"/>
          <w:sz w:val="28"/>
          <w:szCs w:val="24"/>
          <w:lang w:eastAsia="en-US"/>
        </w:rPr>
        <w:t xml:space="preserve"> (t.sk.</w:t>
      </w:r>
      <w:r w:rsidR="00DB596B" w:rsidRPr="00900F58">
        <w:rPr>
          <w:rFonts w:ascii="Times New Roman" w:eastAsia="Times New Roman" w:hAnsi="Times New Roman" w:cs="Times New Roman"/>
          <w:sz w:val="28"/>
          <w:szCs w:val="24"/>
          <w:lang w:eastAsia="en-US"/>
        </w:rPr>
        <w:t xml:space="preserve"> valsts budžetā +1,5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 pašvaldību budžetā +4,6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 xml:space="preserve">), </w:t>
      </w:r>
      <w:r w:rsidR="00DB596B" w:rsidRPr="00900F58">
        <w:rPr>
          <w:rFonts w:ascii="Times New Roman" w:eastAsia="Times New Roman" w:hAnsi="Times New Roman" w:cs="Times New Roman"/>
          <w:sz w:val="28"/>
          <w:szCs w:val="24"/>
        </w:rPr>
        <w:t>2022. un 2023.gadā</w:t>
      </w:r>
      <w:r w:rsidR="00DB596B" w:rsidRPr="00900F58">
        <w:rPr>
          <w:rFonts w:ascii="Times New Roman" w:eastAsia="Times New Roman" w:hAnsi="Times New Roman" w:cs="Times New Roman"/>
          <w:sz w:val="28"/>
          <w:szCs w:val="24"/>
          <w:lang w:eastAsia="en-US"/>
        </w:rPr>
        <w:t xml:space="preserve"> +6,7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 xml:space="preserve"> (t.sk. valsts budžetā +1,7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 pašvaldību budžetā +5,0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w:t>
      </w:r>
      <w:r w:rsidR="00DB596B" w:rsidRPr="00900F58">
        <w:rPr>
          <w:rFonts w:ascii="Times New Roman" w:eastAsia="Times New Roman" w:hAnsi="Times New Roman" w:cs="Times New Roman"/>
          <w:sz w:val="28"/>
          <w:szCs w:val="24"/>
        </w:rPr>
        <w:t>;</w:t>
      </w:r>
    </w:p>
    <w:p w14:paraId="4E2399D7" w14:textId="38D7BD66" w:rsidR="00DB596B" w:rsidRPr="00900F58" w:rsidRDefault="00DB596B" w:rsidP="00FB2B77">
      <w:pPr>
        <w:numPr>
          <w:ilvl w:val="0"/>
          <w:numId w:val="21"/>
        </w:numPr>
        <w:ind w:right="-1"/>
        <w:contextualSpacing/>
        <w:jc w:val="both"/>
        <w:rPr>
          <w:rFonts w:ascii="Times New Roman" w:eastAsia="Times New Roman" w:hAnsi="Times New Roman" w:cs="Times New Roman"/>
          <w:sz w:val="28"/>
          <w:szCs w:val="24"/>
        </w:rPr>
      </w:pPr>
      <w:r w:rsidRPr="00900F58">
        <w:rPr>
          <w:rFonts w:ascii="Times New Roman" w:eastAsia="Times New Roman" w:hAnsi="Times New Roman" w:cs="Times New Roman"/>
          <w:noProof/>
          <w:sz w:val="28"/>
          <w:szCs w:val="24"/>
          <w:lang w:eastAsia="en-US"/>
        </w:rPr>
        <w:t xml:space="preserve">minimālā VSAOI apmēra </w:t>
      </w:r>
      <w:r w:rsidR="00C404D5">
        <w:rPr>
          <w:rFonts w:ascii="Times New Roman" w:eastAsia="Times New Roman" w:hAnsi="Times New Roman" w:cs="Times New Roman"/>
          <w:noProof/>
          <w:sz w:val="28"/>
          <w:szCs w:val="24"/>
          <w:lang w:eastAsia="en-US"/>
        </w:rPr>
        <w:t xml:space="preserve"> un </w:t>
      </w:r>
      <w:r w:rsidR="00C404D5" w:rsidRPr="00900F58">
        <w:rPr>
          <w:rFonts w:ascii="Times New Roman" w:eastAsia="Times New Roman" w:hAnsi="Times New Roman" w:cs="Times New Roman"/>
          <w:noProof/>
          <w:sz w:val="28"/>
          <w:szCs w:val="24"/>
          <w:lang w:eastAsia="en-US"/>
        </w:rPr>
        <w:t xml:space="preserve">alternatīvo nodokļu režīmu </w:t>
      </w:r>
      <w:r w:rsidR="00C404D5">
        <w:rPr>
          <w:rFonts w:ascii="Times New Roman" w:eastAsia="Times New Roman" w:hAnsi="Times New Roman" w:cs="Times New Roman"/>
          <w:noProof/>
          <w:sz w:val="28"/>
          <w:szCs w:val="24"/>
          <w:lang w:eastAsia="en-US"/>
        </w:rPr>
        <w:t>ieviešana</w:t>
      </w:r>
      <w:r w:rsidRPr="00900F58">
        <w:rPr>
          <w:rFonts w:ascii="Times New Roman" w:eastAsia="Times New Roman" w:hAnsi="Times New Roman" w:cs="Times New Roman"/>
          <w:noProof/>
          <w:sz w:val="28"/>
          <w:szCs w:val="24"/>
          <w:lang w:eastAsia="en-US"/>
        </w:rPr>
        <w:t xml:space="preserve"> </w:t>
      </w:r>
      <w:r w:rsidRPr="00900F58">
        <w:rPr>
          <w:rFonts w:ascii="Times New Roman" w:eastAsia="Times New Roman" w:hAnsi="Times New Roman" w:cs="Times New Roman"/>
          <w:sz w:val="28"/>
          <w:szCs w:val="24"/>
          <w:lang w:eastAsia="en-US"/>
        </w:rPr>
        <w:t>(</w:t>
      </w:r>
      <w:r w:rsidRPr="00900F58">
        <w:rPr>
          <w:rFonts w:ascii="Times New Roman" w:eastAsia="Times New Roman" w:hAnsi="Times New Roman" w:cs="Times New Roman"/>
          <w:sz w:val="28"/>
          <w:szCs w:val="24"/>
        </w:rPr>
        <w:t>fiskālā ietekme 2021.gadā</w:t>
      </w:r>
      <w:r w:rsidRPr="00900F58">
        <w:rPr>
          <w:rFonts w:ascii="Times New Roman" w:eastAsia="Times New Roman" w:hAnsi="Times New Roman" w:cs="Times New Roman"/>
          <w:sz w:val="28"/>
          <w:szCs w:val="24"/>
          <w:lang w:eastAsia="en-US"/>
        </w:rPr>
        <w:t xml:space="preserve"> +12,9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xml:space="preserve"> (t.sk., valsts budžetā +3,2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+9,7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xml:space="preserve">), </w:t>
      </w:r>
      <w:r w:rsidRPr="00900F58">
        <w:rPr>
          <w:rFonts w:ascii="Times New Roman" w:eastAsia="Times New Roman" w:hAnsi="Times New Roman" w:cs="Times New Roman"/>
          <w:sz w:val="28"/>
          <w:szCs w:val="24"/>
        </w:rPr>
        <w:t>2022. un 2023.gadā</w:t>
      </w:r>
      <w:r w:rsidRPr="00900F58">
        <w:rPr>
          <w:rFonts w:ascii="Times New Roman" w:eastAsia="Times New Roman" w:hAnsi="Times New Roman" w:cs="Times New Roman"/>
          <w:sz w:val="28"/>
          <w:szCs w:val="24"/>
          <w:lang w:eastAsia="en-US"/>
        </w:rPr>
        <w:t xml:space="preserve"> +17,2 milj. </w:t>
      </w:r>
      <w:r w:rsidRPr="00900F58">
        <w:rPr>
          <w:rFonts w:ascii="Times New Roman" w:eastAsia="Times New Roman" w:hAnsi="Times New Roman" w:cs="Times New Roman"/>
          <w:i/>
          <w:spacing w:val="-6"/>
          <w:sz w:val="28"/>
          <w:szCs w:val="24"/>
          <w:lang w:eastAsia="en-US"/>
        </w:rPr>
        <w:t>euro</w:t>
      </w:r>
      <w:r w:rsidR="00900F58">
        <w:rPr>
          <w:rFonts w:ascii="Times New Roman" w:eastAsia="Times New Roman" w:hAnsi="Times New Roman" w:cs="Times New Roman"/>
          <w:sz w:val="28"/>
          <w:szCs w:val="24"/>
          <w:lang w:eastAsia="en-US"/>
        </w:rPr>
        <w:t xml:space="preserve"> (t.sk.</w:t>
      </w:r>
      <w:r w:rsidRPr="00900F58">
        <w:rPr>
          <w:rFonts w:ascii="Times New Roman" w:eastAsia="Times New Roman" w:hAnsi="Times New Roman" w:cs="Times New Roman"/>
          <w:sz w:val="28"/>
          <w:szCs w:val="24"/>
          <w:lang w:eastAsia="en-US"/>
        </w:rPr>
        <w:t xml:space="preserve"> valsts budžetā +4,3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+12,9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w:t>
      </w:r>
      <w:r w:rsidRPr="00900F58">
        <w:rPr>
          <w:rFonts w:ascii="Times New Roman" w:eastAsia="Times New Roman" w:hAnsi="Times New Roman" w:cs="Times New Roman"/>
          <w:sz w:val="28"/>
          <w:szCs w:val="24"/>
        </w:rPr>
        <w:t>;</w:t>
      </w:r>
    </w:p>
    <w:p w14:paraId="46D1A8AB" w14:textId="447167B2" w:rsidR="00DB596B" w:rsidRPr="00900F58" w:rsidRDefault="00E00EF2" w:rsidP="00FB2B77">
      <w:pPr>
        <w:numPr>
          <w:ilvl w:val="0"/>
          <w:numId w:val="21"/>
        </w:numPr>
        <w:ind w:right="-1"/>
        <w:contextualSpacing/>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en-US"/>
        </w:rPr>
        <w:t>IIN</w:t>
      </w:r>
      <w:r w:rsidR="00DB596B" w:rsidRPr="00900F58">
        <w:rPr>
          <w:rFonts w:ascii="Times New Roman" w:eastAsia="Times New Roman" w:hAnsi="Times New Roman" w:cs="Times New Roman"/>
          <w:noProof/>
          <w:sz w:val="28"/>
          <w:szCs w:val="24"/>
          <w:lang w:eastAsia="en-US"/>
        </w:rPr>
        <w:t xml:space="preserve"> diferencētā neapliekamā minimuma</w:t>
      </w:r>
      <w:r w:rsidR="00DB596B" w:rsidRPr="00900F58">
        <w:rPr>
          <w:rFonts w:ascii="Times New Roman" w:eastAsia="Calibri" w:hAnsi="Times New Roman" w:cs="Times New Roman"/>
          <w:noProof/>
          <w:sz w:val="28"/>
          <w:szCs w:val="24"/>
        </w:rPr>
        <w:t xml:space="preserve"> sliekšņa paaugstināšana līdz 1 800 </w:t>
      </w:r>
      <w:r w:rsidR="00DB596B" w:rsidRPr="002A0A3A">
        <w:rPr>
          <w:rFonts w:ascii="Times New Roman" w:eastAsia="Calibri" w:hAnsi="Times New Roman" w:cs="Times New Roman"/>
          <w:i/>
          <w:noProof/>
          <w:sz w:val="28"/>
          <w:szCs w:val="24"/>
        </w:rPr>
        <w:t>euro</w:t>
      </w:r>
      <w:r w:rsidR="00DB596B" w:rsidRPr="00900F58">
        <w:rPr>
          <w:rFonts w:ascii="Times New Roman" w:eastAsia="Calibri" w:hAnsi="Times New Roman" w:cs="Times New Roman"/>
          <w:noProof/>
          <w:sz w:val="28"/>
          <w:szCs w:val="24"/>
        </w:rPr>
        <w:t xml:space="preserve"> mēnesī </w:t>
      </w:r>
      <w:r w:rsidR="00DB596B" w:rsidRPr="00900F58">
        <w:rPr>
          <w:rFonts w:ascii="Times New Roman" w:eastAsia="Times New Roman" w:hAnsi="Times New Roman" w:cs="Times New Roman"/>
          <w:sz w:val="28"/>
          <w:szCs w:val="24"/>
          <w:lang w:eastAsia="en-US"/>
        </w:rPr>
        <w:t>(</w:t>
      </w:r>
      <w:r w:rsidR="00DB596B" w:rsidRPr="00900F58">
        <w:rPr>
          <w:rFonts w:ascii="Times New Roman" w:eastAsia="Times New Roman" w:hAnsi="Times New Roman" w:cs="Times New Roman"/>
          <w:sz w:val="28"/>
          <w:szCs w:val="24"/>
        </w:rPr>
        <w:t>fiskālā ietekme 2021.gadā</w:t>
      </w:r>
      <w:r w:rsidR="00DB596B" w:rsidRPr="00900F58">
        <w:rPr>
          <w:rFonts w:ascii="Times New Roman" w:eastAsia="Times New Roman" w:hAnsi="Times New Roman" w:cs="Times New Roman"/>
          <w:sz w:val="28"/>
          <w:szCs w:val="24"/>
          <w:lang w:eastAsia="en-US"/>
        </w:rPr>
        <w:t xml:space="preserve"> -38,1 milj. </w:t>
      </w:r>
      <w:r w:rsidR="00DB596B" w:rsidRPr="00900F58">
        <w:rPr>
          <w:rFonts w:ascii="Times New Roman" w:eastAsia="Times New Roman" w:hAnsi="Times New Roman" w:cs="Times New Roman"/>
          <w:i/>
          <w:spacing w:val="-6"/>
          <w:sz w:val="28"/>
          <w:szCs w:val="24"/>
          <w:lang w:eastAsia="en-US"/>
        </w:rPr>
        <w:t>euro</w:t>
      </w:r>
      <w:r w:rsidR="002A0A3A">
        <w:rPr>
          <w:rFonts w:ascii="Times New Roman" w:eastAsia="Times New Roman" w:hAnsi="Times New Roman" w:cs="Times New Roman"/>
          <w:sz w:val="28"/>
          <w:szCs w:val="24"/>
          <w:lang w:eastAsia="en-US"/>
        </w:rPr>
        <w:t xml:space="preserve"> (t.sk.</w:t>
      </w:r>
      <w:r w:rsidR="00DB596B" w:rsidRPr="00900F58">
        <w:rPr>
          <w:rFonts w:ascii="Times New Roman" w:eastAsia="Times New Roman" w:hAnsi="Times New Roman" w:cs="Times New Roman"/>
          <w:sz w:val="28"/>
          <w:szCs w:val="24"/>
          <w:lang w:eastAsia="en-US"/>
        </w:rPr>
        <w:t xml:space="preserve"> valsts budžetā -9,5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 pašvaldību budžetā -28,6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 xml:space="preserve">), </w:t>
      </w:r>
      <w:r w:rsidR="00DB596B" w:rsidRPr="00900F58">
        <w:rPr>
          <w:rFonts w:ascii="Times New Roman" w:eastAsia="Times New Roman" w:hAnsi="Times New Roman" w:cs="Times New Roman"/>
          <w:sz w:val="28"/>
          <w:szCs w:val="24"/>
        </w:rPr>
        <w:t>2022. un 2023.gadā</w:t>
      </w:r>
      <w:r w:rsidR="00DB596B" w:rsidRPr="00900F58">
        <w:rPr>
          <w:rFonts w:ascii="Times New Roman" w:eastAsia="Times New Roman" w:hAnsi="Times New Roman" w:cs="Times New Roman"/>
          <w:sz w:val="28"/>
          <w:szCs w:val="24"/>
          <w:lang w:eastAsia="en-US"/>
        </w:rPr>
        <w:t xml:space="preserve"> -41,6 milj. </w:t>
      </w:r>
      <w:r w:rsidR="00DB596B" w:rsidRPr="00900F58">
        <w:rPr>
          <w:rFonts w:ascii="Times New Roman" w:eastAsia="Times New Roman" w:hAnsi="Times New Roman" w:cs="Times New Roman"/>
          <w:i/>
          <w:spacing w:val="-6"/>
          <w:sz w:val="28"/>
          <w:szCs w:val="24"/>
          <w:lang w:eastAsia="en-US"/>
        </w:rPr>
        <w:t>euro</w:t>
      </w:r>
      <w:r w:rsidR="002A0A3A">
        <w:rPr>
          <w:rFonts w:ascii="Times New Roman" w:eastAsia="Times New Roman" w:hAnsi="Times New Roman" w:cs="Times New Roman"/>
          <w:sz w:val="28"/>
          <w:szCs w:val="24"/>
          <w:lang w:eastAsia="en-US"/>
        </w:rPr>
        <w:t xml:space="preserve"> (t.sk.</w:t>
      </w:r>
      <w:r w:rsidR="00DB596B" w:rsidRPr="00900F58">
        <w:rPr>
          <w:rFonts w:ascii="Times New Roman" w:eastAsia="Times New Roman" w:hAnsi="Times New Roman" w:cs="Times New Roman"/>
          <w:sz w:val="28"/>
          <w:szCs w:val="24"/>
          <w:lang w:eastAsia="en-US"/>
        </w:rPr>
        <w:t xml:space="preserve"> valsts budžetā -10,4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 pašvaldību budžetā -31,2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w:t>
      </w:r>
      <w:r w:rsidR="00DB596B" w:rsidRPr="00900F58">
        <w:rPr>
          <w:rFonts w:ascii="Times New Roman" w:eastAsia="Calibri" w:hAnsi="Times New Roman" w:cs="Times New Roman"/>
          <w:noProof/>
          <w:sz w:val="28"/>
          <w:szCs w:val="24"/>
        </w:rPr>
        <w:t>;</w:t>
      </w:r>
    </w:p>
    <w:p w14:paraId="7440809C" w14:textId="38930266" w:rsidR="00DB596B" w:rsidRPr="00900F58" w:rsidRDefault="00E00EF2" w:rsidP="00FB2B77">
      <w:pPr>
        <w:numPr>
          <w:ilvl w:val="0"/>
          <w:numId w:val="21"/>
        </w:numPr>
        <w:ind w:right="-1"/>
        <w:contextualSpacing/>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en-US"/>
        </w:rPr>
        <w:t>IIN</w:t>
      </w:r>
      <w:r w:rsidR="00DB596B" w:rsidRPr="00900F58">
        <w:rPr>
          <w:rFonts w:ascii="Times New Roman" w:eastAsia="Times New Roman" w:hAnsi="Times New Roman" w:cs="Times New Roman"/>
          <w:sz w:val="28"/>
          <w:szCs w:val="24"/>
          <w:lang w:eastAsia="en-US"/>
        </w:rPr>
        <w:t xml:space="preserve"> pārdale pašvaldību budžetam no 80 </w:t>
      </w:r>
      <w:r w:rsidR="002A0A3A">
        <w:rPr>
          <w:rFonts w:ascii="Times New Roman" w:eastAsia="Times New Roman" w:hAnsi="Times New Roman" w:cs="Times New Roman"/>
          <w:noProof/>
          <w:sz w:val="28"/>
          <w:szCs w:val="24"/>
          <w:lang w:eastAsia="en-US"/>
        </w:rPr>
        <w:t>%</w:t>
      </w:r>
      <w:r w:rsidR="00DB596B" w:rsidRPr="00900F58">
        <w:rPr>
          <w:rFonts w:ascii="Times New Roman" w:eastAsia="Times New Roman" w:hAnsi="Times New Roman" w:cs="Times New Roman"/>
          <w:sz w:val="28"/>
          <w:szCs w:val="24"/>
          <w:lang w:eastAsia="en-US"/>
        </w:rPr>
        <w:t xml:space="preserve"> uz 75 </w:t>
      </w:r>
      <w:r w:rsidR="002A0A3A">
        <w:rPr>
          <w:rFonts w:ascii="Times New Roman" w:eastAsia="Times New Roman" w:hAnsi="Times New Roman" w:cs="Times New Roman"/>
          <w:noProof/>
          <w:sz w:val="28"/>
          <w:szCs w:val="24"/>
          <w:lang w:eastAsia="en-US"/>
        </w:rPr>
        <w:t>%</w:t>
      </w:r>
      <w:r w:rsidR="00DB596B" w:rsidRPr="00900F58">
        <w:rPr>
          <w:rFonts w:ascii="Times New Roman" w:eastAsia="Times New Roman" w:hAnsi="Times New Roman" w:cs="Times New Roman"/>
          <w:sz w:val="28"/>
          <w:szCs w:val="24"/>
          <w:lang w:eastAsia="en-US"/>
        </w:rPr>
        <w:t xml:space="preserve"> un valsts pamatbudžetu no 20 </w:t>
      </w:r>
      <w:r w:rsidR="002A0A3A">
        <w:rPr>
          <w:rFonts w:ascii="Times New Roman" w:eastAsia="Times New Roman" w:hAnsi="Times New Roman" w:cs="Times New Roman"/>
          <w:noProof/>
          <w:sz w:val="28"/>
          <w:szCs w:val="24"/>
          <w:lang w:eastAsia="en-US"/>
        </w:rPr>
        <w:t>%</w:t>
      </w:r>
      <w:r w:rsidR="00DB596B" w:rsidRPr="00900F58">
        <w:rPr>
          <w:rFonts w:ascii="Times New Roman" w:eastAsia="Times New Roman" w:hAnsi="Times New Roman" w:cs="Times New Roman"/>
          <w:sz w:val="28"/>
          <w:szCs w:val="24"/>
          <w:lang w:eastAsia="en-US"/>
        </w:rPr>
        <w:t xml:space="preserve"> uz 25 </w:t>
      </w:r>
      <w:r w:rsidR="002A0A3A">
        <w:rPr>
          <w:rFonts w:ascii="Times New Roman" w:eastAsia="Times New Roman" w:hAnsi="Times New Roman" w:cs="Times New Roman"/>
          <w:noProof/>
          <w:sz w:val="28"/>
          <w:szCs w:val="24"/>
          <w:lang w:eastAsia="en-US"/>
        </w:rPr>
        <w:t>%</w:t>
      </w:r>
      <w:r w:rsidR="00DB596B" w:rsidRPr="00900F58">
        <w:rPr>
          <w:rFonts w:ascii="Times New Roman" w:eastAsia="Times New Roman" w:hAnsi="Times New Roman" w:cs="Times New Roman"/>
          <w:noProof/>
          <w:sz w:val="28"/>
          <w:szCs w:val="24"/>
          <w:lang w:eastAsia="en-US"/>
        </w:rPr>
        <w:t xml:space="preserve"> </w:t>
      </w:r>
      <w:r w:rsidR="00DB596B" w:rsidRPr="00900F58">
        <w:rPr>
          <w:rFonts w:ascii="Times New Roman" w:eastAsia="Times New Roman" w:hAnsi="Times New Roman" w:cs="Times New Roman"/>
          <w:sz w:val="28"/>
          <w:szCs w:val="24"/>
          <w:lang w:eastAsia="en-US"/>
        </w:rPr>
        <w:t xml:space="preserve">(kopējā </w:t>
      </w:r>
      <w:r w:rsidR="00DB596B" w:rsidRPr="00900F58">
        <w:rPr>
          <w:rFonts w:ascii="Times New Roman" w:eastAsia="Times New Roman" w:hAnsi="Times New Roman" w:cs="Times New Roman"/>
          <w:sz w:val="28"/>
          <w:szCs w:val="24"/>
        </w:rPr>
        <w:t>fiskālā ietekme 2021., 2022. un 2023.gadā</w:t>
      </w:r>
      <w:r w:rsidR="00DB596B" w:rsidRPr="00900F58">
        <w:rPr>
          <w:rFonts w:ascii="Times New Roman" w:eastAsia="Times New Roman" w:hAnsi="Times New Roman" w:cs="Times New Roman"/>
          <w:sz w:val="28"/>
          <w:szCs w:val="24"/>
          <w:lang w:eastAsia="en-US"/>
        </w:rPr>
        <w:t xml:space="preserve"> neitrāla, bet attiecīgi valsts budžetā +90,9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 xml:space="preserve"> un pašvaldību budžetā -90,9 milj. </w:t>
      </w:r>
      <w:r w:rsidR="00DB596B" w:rsidRPr="00900F58">
        <w:rPr>
          <w:rFonts w:ascii="Times New Roman" w:eastAsia="Times New Roman" w:hAnsi="Times New Roman" w:cs="Times New Roman"/>
          <w:i/>
          <w:spacing w:val="-6"/>
          <w:sz w:val="28"/>
          <w:szCs w:val="24"/>
          <w:lang w:eastAsia="en-US"/>
        </w:rPr>
        <w:t>euro</w:t>
      </w:r>
      <w:r w:rsidR="00DB596B" w:rsidRPr="00900F58">
        <w:rPr>
          <w:rFonts w:ascii="Times New Roman" w:eastAsia="Times New Roman" w:hAnsi="Times New Roman" w:cs="Times New Roman"/>
          <w:sz w:val="28"/>
          <w:szCs w:val="24"/>
          <w:lang w:eastAsia="en-US"/>
        </w:rPr>
        <w:t>)</w:t>
      </w:r>
      <w:r w:rsidR="00DB596B" w:rsidRPr="00900F58">
        <w:rPr>
          <w:rFonts w:ascii="Times New Roman" w:eastAsia="Times New Roman" w:hAnsi="Times New Roman" w:cs="Times New Roman"/>
          <w:noProof/>
          <w:sz w:val="28"/>
          <w:szCs w:val="24"/>
          <w:lang w:eastAsia="en-US"/>
        </w:rPr>
        <w:t>.</w:t>
      </w:r>
    </w:p>
    <w:p w14:paraId="6992CE5D" w14:textId="51029D93" w:rsidR="00DB596B" w:rsidRPr="00900F58" w:rsidRDefault="00DB596B" w:rsidP="00401A5B">
      <w:pPr>
        <w:ind w:firstLine="709"/>
        <w:jc w:val="both"/>
        <w:rPr>
          <w:rFonts w:ascii="Times New Roman" w:eastAsia="Calibri" w:hAnsi="Times New Roman" w:cs="Times New Roman"/>
          <w:bCs/>
          <w:sz w:val="28"/>
          <w:szCs w:val="24"/>
        </w:rPr>
      </w:pPr>
      <w:r w:rsidRPr="00900F58">
        <w:rPr>
          <w:rFonts w:ascii="Times New Roman" w:eastAsia="Calibri" w:hAnsi="Times New Roman" w:cs="Times New Roman"/>
          <w:bCs/>
          <w:sz w:val="28"/>
          <w:szCs w:val="24"/>
        </w:rPr>
        <w:t xml:space="preserve">Tāpat </w:t>
      </w:r>
      <w:r w:rsidR="00E00EF2">
        <w:rPr>
          <w:rFonts w:ascii="Times New Roman" w:eastAsia="Times New Roman" w:hAnsi="Times New Roman" w:cs="Times New Roman"/>
          <w:bCs/>
          <w:sz w:val="28"/>
          <w:szCs w:val="24"/>
          <w:lang w:eastAsia="en-US"/>
        </w:rPr>
        <w:t>IIN</w:t>
      </w:r>
      <w:r w:rsidRPr="00900F58">
        <w:rPr>
          <w:rFonts w:ascii="Times New Roman" w:eastAsia="Times New Roman" w:hAnsi="Times New Roman" w:cs="Times New Roman"/>
          <w:bCs/>
          <w:sz w:val="28"/>
          <w:szCs w:val="24"/>
          <w:lang w:eastAsia="en-US"/>
        </w:rPr>
        <w:t xml:space="preserve"> ieņēmumus </w:t>
      </w:r>
      <w:r w:rsidRPr="00900F58">
        <w:rPr>
          <w:rFonts w:ascii="Times New Roman" w:eastAsia="Calibri" w:hAnsi="Times New Roman" w:cs="Times New Roman"/>
          <w:bCs/>
          <w:sz w:val="28"/>
          <w:szCs w:val="24"/>
        </w:rPr>
        <w:t>ietekmēs arī iepriekš un 2020.gadā pieņemtie nodokļu pasākumi:</w:t>
      </w:r>
    </w:p>
    <w:p w14:paraId="4003C2FE" w14:textId="01D90026" w:rsidR="00DB596B" w:rsidRPr="00900F58" w:rsidRDefault="00DB596B" w:rsidP="00FB2B77">
      <w:pPr>
        <w:numPr>
          <w:ilvl w:val="0"/>
          <w:numId w:val="21"/>
        </w:numPr>
        <w:ind w:right="-1"/>
        <w:contextualSpacing/>
        <w:jc w:val="both"/>
        <w:rPr>
          <w:rFonts w:ascii="Times New Roman" w:eastAsia="Times New Roman" w:hAnsi="Times New Roman" w:cs="Times New Roman"/>
          <w:sz w:val="28"/>
          <w:szCs w:val="24"/>
        </w:rPr>
      </w:pPr>
      <w:r w:rsidRPr="00900F58">
        <w:rPr>
          <w:rFonts w:ascii="Times New Roman" w:eastAsia="Calibri" w:hAnsi="Times New Roman" w:cs="Times New Roman"/>
          <w:color w:val="000000"/>
          <w:sz w:val="28"/>
          <w:szCs w:val="24"/>
        </w:rPr>
        <w:t>minimālās mēneša darba algas paaugstināšana līdz 500 </w:t>
      </w:r>
      <w:r w:rsidRPr="00900F58">
        <w:rPr>
          <w:rFonts w:ascii="Times New Roman" w:eastAsia="Calibri" w:hAnsi="Times New Roman" w:cs="Times New Roman"/>
          <w:i/>
          <w:color w:val="000000"/>
          <w:sz w:val="28"/>
          <w:szCs w:val="24"/>
        </w:rPr>
        <w:t>euro</w:t>
      </w:r>
      <w:r w:rsidR="002A0A3A">
        <w:rPr>
          <w:rFonts w:ascii="Times New Roman" w:eastAsia="Calibri" w:hAnsi="Times New Roman" w:cs="Times New Roman"/>
          <w:color w:val="000000"/>
          <w:sz w:val="28"/>
          <w:szCs w:val="24"/>
        </w:rPr>
        <w:t xml:space="preserve"> </w:t>
      </w:r>
      <w:r w:rsidRPr="00900F58">
        <w:rPr>
          <w:rFonts w:ascii="Times New Roman" w:eastAsia="Calibri" w:hAnsi="Times New Roman" w:cs="Times New Roman"/>
          <w:color w:val="000000"/>
          <w:sz w:val="28"/>
          <w:szCs w:val="24"/>
        </w:rPr>
        <w:t xml:space="preserve">mēnesī </w:t>
      </w:r>
      <w:r w:rsidR="00E00EF2">
        <w:rPr>
          <w:rFonts w:ascii="Times New Roman" w:eastAsia="Calibri" w:hAnsi="Times New Roman" w:cs="Times New Roman"/>
          <w:color w:val="000000"/>
          <w:sz w:val="28"/>
          <w:szCs w:val="24"/>
        </w:rPr>
        <w:t>ar</w:t>
      </w:r>
      <w:r w:rsidRPr="00900F58">
        <w:rPr>
          <w:rFonts w:ascii="Times New Roman" w:eastAsia="Calibri" w:hAnsi="Times New Roman" w:cs="Times New Roman"/>
          <w:color w:val="000000"/>
          <w:sz w:val="28"/>
          <w:szCs w:val="24"/>
        </w:rPr>
        <w:t xml:space="preserve"> 2021.gadu </w:t>
      </w:r>
      <w:r w:rsidRPr="00900F58">
        <w:rPr>
          <w:rFonts w:ascii="Times New Roman" w:eastAsia="Times New Roman" w:hAnsi="Times New Roman" w:cs="Times New Roman"/>
          <w:sz w:val="28"/>
          <w:szCs w:val="24"/>
          <w:lang w:eastAsia="en-US"/>
        </w:rPr>
        <w:t>(</w:t>
      </w:r>
      <w:r w:rsidRPr="00900F58">
        <w:rPr>
          <w:rFonts w:ascii="Times New Roman" w:eastAsia="Times New Roman" w:hAnsi="Times New Roman" w:cs="Times New Roman"/>
          <w:sz w:val="28"/>
          <w:szCs w:val="24"/>
        </w:rPr>
        <w:t>fiskālā ietekme 2021.,2022. un 2023.gadā</w:t>
      </w:r>
      <w:r w:rsidRPr="00900F58">
        <w:rPr>
          <w:rFonts w:ascii="Times New Roman" w:eastAsia="Times New Roman" w:hAnsi="Times New Roman" w:cs="Times New Roman"/>
          <w:sz w:val="28"/>
          <w:szCs w:val="24"/>
          <w:lang w:eastAsia="en-US"/>
        </w:rPr>
        <w:t xml:space="preserve"> +11,9 milj. </w:t>
      </w:r>
      <w:r w:rsidRPr="00900F58">
        <w:rPr>
          <w:rFonts w:ascii="Times New Roman" w:eastAsia="Times New Roman" w:hAnsi="Times New Roman" w:cs="Times New Roman"/>
          <w:i/>
          <w:spacing w:val="-6"/>
          <w:sz w:val="28"/>
          <w:szCs w:val="24"/>
          <w:lang w:eastAsia="en-US"/>
        </w:rPr>
        <w:t>euro</w:t>
      </w:r>
      <w:r w:rsidR="002A0A3A">
        <w:rPr>
          <w:rFonts w:ascii="Times New Roman" w:eastAsia="Times New Roman" w:hAnsi="Times New Roman" w:cs="Times New Roman"/>
          <w:sz w:val="28"/>
          <w:szCs w:val="24"/>
          <w:lang w:eastAsia="en-US"/>
        </w:rPr>
        <w:t xml:space="preserve"> (t.sk.</w:t>
      </w:r>
      <w:r w:rsidRPr="00900F58">
        <w:rPr>
          <w:rFonts w:ascii="Times New Roman" w:eastAsia="Times New Roman" w:hAnsi="Times New Roman" w:cs="Times New Roman"/>
          <w:sz w:val="28"/>
          <w:szCs w:val="24"/>
          <w:lang w:eastAsia="en-US"/>
        </w:rPr>
        <w:t xml:space="preserve"> valsts budžetā +2,4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+9,5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w:t>
      </w:r>
      <w:r w:rsidRPr="00900F58">
        <w:rPr>
          <w:rFonts w:ascii="Times New Roman" w:eastAsia="Times New Roman" w:hAnsi="Times New Roman" w:cs="Times New Roman"/>
          <w:sz w:val="28"/>
          <w:szCs w:val="24"/>
        </w:rPr>
        <w:t>;</w:t>
      </w:r>
    </w:p>
    <w:p w14:paraId="6B5C51C1" w14:textId="24AEA678" w:rsidR="00DB596B" w:rsidRPr="00900F58" w:rsidRDefault="00DB596B" w:rsidP="00FB2B77">
      <w:pPr>
        <w:numPr>
          <w:ilvl w:val="0"/>
          <w:numId w:val="21"/>
        </w:numPr>
        <w:ind w:right="-1"/>
        <w:contextualSpacing/>
        <w:jc w:val="both"/>
        <w:rPr>
          <w:rFonts w:ascii="Times New Roman" w:eastAsia="Times New Roman" w:hAnsi="Times New Roman" w:cs="Times New Roman"/>
          <w:sz w:val="28"/>
          <w:szCs w:val="24"/>
        </w:rPr>
      </w:pPr>
      <w:r w:rsidRPr="00900F58">
        <w:rPr>
          <w:rFonts w:ascii="Times New Roman" w:eastAsia="Times New Roman" w:hAnsi="Times New Roman" w:cs="Times New Roman"/>
          <w:sz w:val="28"/>
          <w:szCs w:val="24"/>
          <w:lang w:eastAsia="en-US"/>
        </w:rPr>
        <w:t xml:space="preserve">neapliekamā minimuma pensionāriem </w:t>
      </w:r>
      <w:r w:rsidRPr="00900F58">
        <w:rPr>
          <w:rFonts w:ascii="Times New Roman" w:eastAsia="Times New Roman" w:hAnsi="Times New Roman" w:cs="Times New Roman"/>
          <w:noProof/>
          <w:sz w:val="28"/>
          <w:szCs w:val="24"/>
          <w:lang w:eastAsia="en-US"/>
        </w:rPr>
        <w:t>palielināšana</w:t>
      </w:r>
      <w:r w:rsidR="002A0A3A">
        <w:rPr>
          <w:rFonts w:ascii="Times New Roman" w:eastAsia="Times New Roman" w:hAnsi="Times New Roman" w:cs="Times New Roman"/>
          <w:sz w:val="28"/>
          <w:szCs w:val="24"/>
          <w:lang w:eastAsia="en-US"/>
        </w:rPr>
        <w:t xml:space="preserve"> 2021.gadā </w:t>
      </w:r>
      <w:r w:rsidRPr="00900F58">
        <w:rPr>
          <w:rFonts w:ascii="Times New Roman" w:eastAsia="Times New Roman" w:hAnsi="Times New Roman" w:cs="Times New Roman"/>
          <w:sz w:val="28"/>
          <w:szCs w:val="24"/>
          <w:lang w:eastAsia="en-US"/>
        </w:rPr>
        <w:t>līdz 330 </w:t>
      </w:r>
      <w:r w:rsidRPr="00900F58">
        <w:rPr>
          <w:rFonts w:ascii="Times New Roman" w:eastAsia="Times New Roman" w:hAnsi="Times New Roman" w:cs="Times New Roman"/>
          <w:i/>
          <w:sz w:val="28"/>
          <w:szCs w:val="24"/>
          <w:lang w:eastAsia="en-US"/>
        </w:rPr>
        <w:t>euro</w:t>
      </w:r>
      <w:r w:rsidRPr="00900F58">
        <w:rPr>
          <w:rFonts w:ascii="Times New Roman" w:eastAsia="Times New Roman" w:hAnsi="Times New Roman" w:cs="Times New Roman"/>
          <w:sz w:val="28"/>
          <w:szCs w:val="24"/>
          <w:lang w:eastAsia="en-US"/>
        </w:rPr>
        <w:t> mēnesī (</w:t>
      </w:r>
      <w:r w:rsidRPr="00900F58">
        <w:rPr>
          <w:rFonts w:ascii="Times New Roman" w:eastAsia="Times New Roman" w:hAnsi="Times New Roman" w:cs="Times New Roman"/>
          <w:sz w:val="28"/>
          <w:szCs w:val="24"/>
        </w:rPr>
        <w:t>fiskālā ietekme 2021.,2022. un 2023.gadā</w:t>
      </w:r>
      <w:r w:rsidRPr="00900F58">
        <w:rPr>
          <w:rFonts w:ascii="Times New Roman" w:eastAsia="Times New Roman" w:hAnsi="Times New Roman" w:cs="Times New Roman"/>
          <w:sz w:val="28"/>
          <w:szCs w:val="24"/>
          <w:lang w:eastAsia="en-US"/>
        </w:rPr>
        <w:t xml:space="preserve"> -11,8 milj. </w:t>
      </w:r>
      <w:r w:rsidRPr="00900F58">
        <w:rPr>
          <w:rFonts w:ascii="Times New Roman" w:eastAsia="Times New Roman" w:hAnsi="Times New Roman" w:cs="Times New Roman"/>
          <w:i/>
          <w:spacing w:val="-6"/>
          <w:sz w:val="28"/>
          <w:szCs w:val="24"/>
          <w:lang w:eastAsia="en-US"/>
        </w:rPr>
        <w:t>euro</w:t>
      </w:r>
      <w:r w:rsidR="002A0A3A">
        <w:rPr>
          <w:rFonts w:ascii="Times New Roman" w:eastAsia="Times New Roman" w:hAnsi="Times New Roman" w:cs="Times New Roman"/>
          <w:sz w:val="28"/>
          <w:szCs w:val="24"/>
          <w:lang w:eastAsia="en-US"/>
        </w:rPr>
        <w:t xml:space="preserve"> (t.sk.</w:t>
      </w:r>
      <w:r w:rsidRPr="00900F58">
        <w:rPr>
          <w:rFonts w:ascii="Times New Roman" w:eastAsia="Times New Roman" w:hAnsi="Times New Roman" w:cs="Times New Roman"/>
          <w:sz w:val="28"/>
          <w:szCs w:val="24"/>
          <w:lang w:eastAsia="en-US"/>
        </w:rPr>
        <w:t xml:space="preserve"> valsts budžetā -2,4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-9,4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w:t>
      </w:r>
    </w:p>
    <w:p w14:paraId="4FB93DE4" w14:textId="30D5AFDB" w:rsidR="00DB596B" w:rsidRPr="00900F58" w:rsidRDefault="00DB596B" w:rsidP="00FB2B77">
      <w:pPr>
        <w:numPr>
          <w:ilvl w:val="0"/>
          <w:numId w:val="21"/>
        </w:numPr>
        <w:ind w:right="-1"/>
        <w:contextualSpacing/>
        <w:jc w:val="both"/>
        <w:rPr>
          <w:rFonts w:ascii="Times New Roman" w:eastAsia="Times New Roman" w:hAnsi="Times New Roman" w:cs="Times New Roman"/>
          <w:sz w:val="28"/>
          <w:szCs w:val="24"/>
        </w:rPr>
      </w:pPr>
      <w:r w:rsidRPr="00900F58">
        <w:rPr>
          <w:rFonts w:ascii="Times New Roman" w:eastAsia="Times New Roman" w:hAnsi="Times New Roman" w:cs="Times New Roman"/>
          <w:sz w:val="28"/>
          <w:szCs w:val="24"/>
          <w:lang w:eastAsia="en-US"/>
        </w:rPr>
        <w:t xml:space="preserve">nodokļu maksājumu samaksas sadalei termiņos vai atlikšanai uz laiku līdz trim gadiem, kas stājās spēkā ar </w:t>
      </w:r>
      <w:r w:rsidR="002A0A3A">
        <w:rPr>
          <w:rFonts w:ascii="Times New Roman" w:eastAsia="Times New Roman" w:hAnsi="Times New Roman" w:cs="Times New Roman"/>
          <w:sz w:val="28"/>
          <w:szCs w:val="24"/>
          <w:lang w:eastAsia="en-US"/>
        </w:rPr>
        <w:t xml:space="preserve">2020.gada 28.martu </w:t>
      </w:r>
      <w:r w:rsidRPr="00900F58">
        <w:rPr>
          <w:rFonts w:ascii="Times New Roman" w:eastAsia="Times New Roman" w:hAnsi="Times New Roman" w:cs="Times New Roman"/>
          <w:sz w:val="28"/>
          <w:szCs w:val="24"/>
          <w:lang w:eastAsia="en-US"/>
        </w:rPr>
        <w:t>(</w:t>
      </w:r>
      <w:r w:rsidRPr="00900F58">
        <w:rPr>
          <w:rFonts w:ascii="Times New Roman" w:eastAsia="Times New Roman" w:hAnsi="Times New Roman" w:cs="Times New Roman"/>
          <w:sz w:val="28"/>
          <w:szCs w:val="24"/>
        </w:rPr>
        <w:t>fiskālā ietekme 2021.gadā</w:t>
      </w:r>
      <w:r w:rsidRPr="00900F58">
        <w:rPr>
          <w:rFonts w:ascii="Times New Roman" w:eastAsia="Times New Roman" w:hAnsi="Times New Roman" w:cs="Times New Roman"/>
          <w:sz w:val="28"/>
          <w:szCs w:val="24"/>
          <w:lang w:eastAsia="en-US"/>
        </w:rPr>
        <w:t xml:space="preserve"> +1,6 milj. </w:t>
      </w:r>
      <w:r w:rsidRPr="00900F58">
        <w:rPr>
          <w:rFonts w:ascii="Times New Roman" w:eastAsia="Times New Roman" w:hAnsi="Times New Roman" w:cs="Times New Roman"/>
          <w:i/>
          <w:spacing w:val="-6"/>
          <w:sz w:val="28"/>
          <w:szCs w:val="24"/>
          <w:lang w:eastAsia="en-US"/>
        </w:rPr>
        <w:t>euro</w:t>
      </w:r>
      <w:r w:rsidR="002A0A3A">
        <w:rPr>
          <w:rFonts w:ascii="Times New Roman" w:eastAsia="Times New Roman" w:hAnsi="Times New Roman" w:cs="Times New Roman"/>
          <w:sz w:val="28"/>
          <w:szCs w:val="24"/>
          <w:lang w:eastAsia="en-US"/>
        </w:rPr>
        <w:t xml:space="preserve"> (t.sk.</w:t>
      </w:r>
      <w:r w:rsidRPr="00900F58">
        <w:rPr>
          <w:rFonts w:ascii="Times New Roman" w:eastAsia="Times New Roman" w:hAnsi="Times New Roman" w:cs="Times New Roman"/>
          <w:sz w:val="28"/>
          <w:szCs w:val="24"/>
          <w:lang w:eastAsia="en-US"/>
        </w:rPr>
        <w:t xml:space="preserve"> valsts budžetā +0,3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+1,3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xml:space="preserve">), </w:t>
      </w:r>
      <w:r w:rsidRPr="00900F58">
        <w:rPr>
          <w:rFonts w:ascii="Times New Roman" w:eastAsia="Times New Roman" w:hAnsi="Times New Roman" w:cs="Times New Roman"/>
          <w:sz w:val="28"/>
          <w:szCs w:val="24"/>
        </w:rPr>
        <w:t>2022.gadā</w:t>
      </w:r>
      <w:r w:rsidRPr="00900F58">
        <w:rPr>
          <w:rFonts w:ascii="Times New Roman" w:eastAsia="Times New Roman" w:hAnsi="Times New Roman" w:cs="Times New Roman"/>
          <w:sz w:val="28"/>
          <w:szCs w:val="24"/>
          <w:lang w:eastAsia="en-US"/>
        </w:rPr>
        <w:t xml:space="preserve"> +3,3 milj. </w:t>
      </w:r>
      <w:r w:rsidRPr="00900F58">
        <w:rPr>
          <w:rFonts w:ascii="Times New Roman" w:eastAsia="Times New Roman" w:hAnsi="Times New Roman" w:cs="Times New Roman"/>
          <w:i/>
          <w:spacing w:val="-6"/>
          <w:sz w:val="28"/>
          <w:szCs w:val="24"/>
          <w:lang w:eastAsia="en-US"/>
        </w:rPr>
        <w:t>euro</w:t>
      </w:r>
      <w:r w:rsidR="002A0A3A">
        <w:rPr>
          <w:rFonts w:ascii="Times New Roman" w:eastAsia="Times New Roman" w:hAnsi="Times New Roman" w:cs="Times New Roman"/>
          <w:sz w:val="28"/>
          <w:szCs w:val="24"/>
          <w:lang w:eastAsia="en-US"/>
        </w:rPr>
        <w:t xml:space="preserve"> (t.sk.</w:t>
      </w:r>
      <w:r w:rsidRPr="00900F58">
        <w:rPr>
          <w:rFonts w:ascii="Times New Roman" w:eastAsia="Times New Roman" w:hAnsi="Times New Roman" w:cs="Times New Roman"/>
          <w:sz w:val="28"/>
          <w:szCs w:val="24"/>
          <w:lang w:eastAsia="en-US"/>
        </w:rPr>
        <w:t xml:space="preserve"> valsts budžetā +0,7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+2,6 milj. </w:t>
      </w:r>
      <w:r w:rsidRPr="00900F58">
        <w:rPr>
          <w:rFonts w:ascii="Times New Roman" w:eastAsia="Times New Roman" w:hAnsi="Times New Roman" w:cs="Times New Roman"/>
          <w:i/>
          <w:spacing w:val="-6"/>
          <w:sz w:val="28"/>
          <w:szCs w:val="24"/>
          <w:lang w:eastAsia="en-US"/>
        </w:rPr>
        <w:t xml:space="preserve">euro) </w:t>
      </w:r>
      <w:r w:rsidRPr="00900F58">
        <w:rPr>
          <w:rFonts w:ascii="Times New Roman" w:eastAsia="Times New Roman" w:hAnsi="Times New Roman" w:cs="Times New Roman"/>
          <w:spacing w:val="-6"/>
          <w:sz w:val="28"/>
          <w:szCs w:val="24"/>
          <w:lang w:eastAsia="en-US"/>
        </w:rPr>
        <w:t xml:space="preserve">un </w:t>
      </w:r>
      <w:r w:rsidRPr="00900F58">
        <w:rPr>
          <w:rFonts w:ascii="Times New Roman" w:eastAsia="Times New Roman" w:hAnsi="Times New Roman" w:cs="Times New Roman"/>
          <w:sz w:val="28"/>
          <w:szCs w:val="24"/>
        </w:rPr>
        <w:t>2023.gadā</w:t>
      </w:r>
      <w:r w:rsidRPr="00900F58">
        <w:rPr>
          <w:rFonts w:ascii="Times New Roman" w:eastAsia="Times New Roman" w:hAnsi="Times New Roman" w:cs="Times New Roman"/>
          <w:sz w:val="28"/>
          <w:szCs w:val="24"/>
          <w:lang w:eastAsia="en-US"/>
        </w:rPr>
        <w:t xml:space="preserve"> +6,6 milj. </w:t>
      </w:r>
      <w:r w:rsidRPr="00900F58">
        <w:rPr>
          <w:rFonts w:ascii="Times New Roman" w:eastAsia="Times New Roman" w:hAnsi="Times New Roman" w:cs="Times New Roman"/>
          <w:i/>
          <w:spacing w:val="-6"/>
          <w:sz w:val="28"/>
          <w:szCs w:val="24"/>
          <w:lang w:eastAsia="en-US"/>
        </w:rPr>
        <w:t>euro</w:t>
      </w:r>
      <w:r w:rsidR="002A0A3A">
        <w:rPr>
          <w:rFonts w:ascii="Times New Roman" w:eastAsia="Times New Roman" w:hAnsi="Times New Roman" w:cs="Times New Roman"/>
          <w:sz w:val="28"/>
          <w:szCs w:val="24"/>
          <w:lang w:eastAsia="en-US"/>
        </w:rPr>
        <w:t xml:space="preserve"> (t.sk.</w:t>
      </w:r>
      <w:r w:rsidRPr="00900F58">
        <w:rPr>
          <w:rFonts w:ascii="Times New Roman" w:eastAsia="Times New Roman" w:hAnsi="Times New Roman" w:cs="Times New Roman"/>
          <w:sz w:val="28"/>
          <w:szCs w:val="24"/>
          <w:lang w:eastAsia="en-US"/>
        </w:rPr>
        <w:t xml:space="preserve"> valsts budžetā +1,3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+5,3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w:t>
      </w:r>
    </w:p>
    <w:p w14:paraId="10883982" w14:textId="492AE6CA" w:rsidR="00DB596B" w:rsidRPr="00900F58" w:rsidRDefault="00DB596B" w:rsidP="00FB2B77">
      <w:pPr>
        <w:numPr>
          <w:ilvl w:val="0"/>
          <w:numId w:val="21"/>
        </w:numPr>
        <w:ind w:right="-1"/>
        <w:contextualSpacing/>
        <w:jc w:val="both"/>
        <w:rPr>
          <w:rFonts w:ascii="Times New Roman" w:eastAsia="Times New Roman" w:hAnsi="Times New Roman" w:cs="Times New Roman"/>
          <w:sz w:val="28"/>
          <w:szCs w:val="24"/>
        </w:rPr>
      </w:pPr>
      <w:r w:rsidRPr="00900F58">
        <w:rPr>
          <w:rFonts w:ascii="Times New Roman" w:eastAsia="Times New Roman" w:hAnsi="Times New Roman" w:cs="Times New Roman"/>
          <w:sz w:val="28"/>
          <w:szCs w:val="24"/>
        </w:rPr>
        <w:t xml:space="preserve">obligāto avansu maksājumu atcelšana saimnieciskās darbības veicējiem </w:t>
      </w:r>
      <w:r w:rsidRPr="00900F58">
        <w:rPr>
          <w:rFonts w:ascii="Times New Roman" w:eastAsia="Times New Roman" w:hAnsi="Times New Roman" w:cs="Times New Roman"/>
          <w:sz w:val="28"/>
          <w:szCs w:val="24"/>
          <w:lang w:eastAsia="en-US"/>
        </w:rPr>
        <w:t>(fiskālā ietekme 2021.gadā +35,0 milj. </w:t>
      </w:r>
      <w:r w:rsidRPr="00900F58">
        <w:rPr>
          <w:rFonts w:ascii="Times New Roman" w:eastAsia="Times New Roman" w:hAnsi="Times New Roman" w:cs="Times New Roman"/>
          <w:i/>
          <w:sz w:val="28"/>
          <w:szCs w:val="24"/>
          <w:lang w:eastAsia="en-US"/>
        </w:rPr>
        <w:t xml:space="preserve">euro </w:t>
      </w:r>
      <w:r w:rsidR="002A0A3A">
        <w:rPr>
          <w:rFonts w:ascii="Times New Roman" w:eastAsia="Times New Roman" w:hAnsi="Times New Roman" w:cs="Times New Roman"/>
          <w:sz w:val="28"/>
          <w:szCs w:val="24"/>
          <w:lang w:eastAsia="en-US"/>
        </w:rPr>
        <w:t>(t.sk.</w:t>
      </w:r>
      <w:r w:rsidRPr="00900F58">
        <w:rPr>
          <w:rFonts w:ascii="Times New Roman" w:eastAsia="Times New Roman" w:hAnsi="Times New Roman" w:cs="Times New Roman"/>
          <w:sz w:val="28"/>
          <w:szCs w:val="24"/>
          <w:lang w:eastAsia="en-US"/>
        </w:rPr>
        <w:t xml:space="preserve"> valsts budžetā +7,0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+28,0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w:t>
      </w:r>
    </w:p>
    <w:p w14:paraId="5512F65C" w14:textId="026F51CD" w:rsidR="00DB596B" w:rsidRPr="00900F58" w:rsidRDefault="00DB596B" w:rsidP="00401A5B">
      <w:pPr>
        <w:ind w:firstLine="709"/>
        <w:jc w:val="both"/>
        <w:rPr>
          <w:rFonts w:ascii="Times New Roman" w:eastAsia="Calibri" w:hAnsi="Times New Roman" w:cs="Times New Roman"/>
          <w:bCs/>
          <w:sz w:val="28"/>
          <w:szCs w:val="24"/>
        </w:rPr>
      </w:pPr>
      <w:r w:rsidRPr="00900F58">
        <w:rPr>
          <w:rFonts w:ascii="Times New Roman" w:eastAsia="Calibri" w:hAnsi="Times New Roman" w:cs="Times New Roman"/>
          <w:bCs/>
          <w:sz w:val="28"/>
          <w:szCs w:val="24"/>
        </w:rPr>
        <w:t xml:space="preserve">Papildus minētajam </w:t>
      </w:r>
      <w:r w:rsidRPr="00900F58">
        <w:rPr>
          <w:rFonts w:ascii="Times New Roman" w:eastAsia="Times New Roman" w:hAnsi="Times New Roman" w:cs="Times New Roman"/>
          <w:bCs/>
          <w:sz w:val="28"/>
          <w:szCs w:val="24"/>
          <w:lang w:eastAsia="en-US"/>
        </w:rPr>
        <w:t xml:space="preserve">iedzīvotāju ienākuma </w:t>
      </w:r>
      <w:r w:rsidRPr="00900F58">
        <w:rPr>
          <w:rFonts w:ascii="Times New Roman" w:eastAsia="Calibri" w:hAnsi="Times New Roman" w:cs="Times New Roman"/>
          <w:bCs/>
          <w:sz w:val="28"/>
          <w:szCs w:val="24"/>
        </w:rPr>
        <w:t xml:space="preserve">nodokļu ieņēmumus 2021.-2023.gadā ietekmēs arī </w:t>
      </w:r>
      <w:r w:rsidR="002A0A3A">
        <w:rPr>
          <w:rFonts w:ascii="Times New Roman" w:eastAsia="Calibri" w:hAnsi="Times New Roman" w:cs="Times New Roman"/>
          <w:bCs/>
          <w:sz w:val="28"/>
          <w:szCs w:val="24"/>
        </w:rPr>
        <w:t>MK</w:t>
      </w:r>
      <w:r w:rsidRPr="00900F58">
        <w:rPr>
          <w:rFonts w:ascii="Times New Roman" w:eastAsia="Calibri" w:hAnsi="Times New Roman" w:cs="Times New Roman"/>
          <w:bCs/>
          <w:sz w:val="28"/>
          <w:szCs w:val="24"/>
        </w:rPr>
        <w:t xml:space="preserve"> atbalstītie pasākumi likumprojekta “Par valsts budžetu 2021.gadam” izstrādes gaitā:</w:t>
      </w:r>
    </w:p>
    <w:p w14:paraId="538201DC" w14:textId="1589A7A5" w:rsidR="00DB596B" w:rsidRPr="00900F58" w:rsidRDefault="00DB596B" w:rsidP="00FB2B77">
      <w:pPr>
        <w:numPr>
          <w:ilvl w:val="0"/>
          <w:numId w:val="21"/>
        </w:numPr>
        <w:ind w:right="-1"/>
        <w:contextualSpacing/>
        <w:jc w:val="both"/>
        <w:rPr>
          <w:rFonts w:ascii="Times New Roman" w:eastAsia="Calibri" w:hAnsi="Times New Roman" w:cs="Times New Roman"/>
          <w:color w:val="000000"/>
          <w:sz w:val="28"/>
          <w:szCs w:val="24"/>
        </w:rPr>
      </w:pPr>
      <w:r w:rsidRPr="00900F58">
        <w:rPr>
          <w:rFonts w:ascii="Times New Roman" w:eastAsia="Times New Roman" w:hAnsi="Times New Roman" w:cs="Times New Roman"/>
          <w:sz w:val="28"/>
          <w:szCs w:val="24"/>
        </w:rPr>
        <w:t xml:space="preserve">grozījumi </w:t>
      </w:r>
      <w:r w:rsidR="002A0A3A">
        <w:rPr>
          <w:rFonts w:ascii="Times New Roman" w:eastAsia="Times New Roman" w:hAnsi="Times New Roman" w:cs="Times New Roman"/>
          <w:sz w:val="28"/>
          <w:szCs w:val="24"/>
        </w:rPr>
        <w:t>likumā “Čeku loterijas likums”</w:t>
      </w:r>
      <w:r w:rsidRPr="00900F58">
        <w:rPr>
          <w:rFonts w:ascii="Times New Roman" w:eastAsia="Times New Roman" w:hAnsi="Times New Roman" w:cs="Times New Roman"/>
          <w:sz w:val="28"/>
          <w:szCs w:val="24"/>
        </w:rPr>
        <w:t xml:space="preserve"> </w:t>
      </w:r>
      <w:r w:rsidRPr="00900F58">
        <w:rPr>
          <w:rFonts w:ascii="Times New Roman" w:eastAsia="Times New Roman" w:hAnsi="Times New Roman" w:cs="Times New Roman"/>
          <w:sz w:val="28"/>
          <w:szCs w:val="24"/>
          <w:lang w:eastAsia="en-US"/>
        </w:rPr>
        <w:t>(</w:t>
      </w:r>
      <w:r w:rsidRPr="00900F58">
        <w:rPr>
          <w:rFonts w:ascii="Times New Roman" w:eastAsia="Times New Roman" w:hAnsi="Times New Roman" w:cs="Times New Roman"/>
          <w:sz w:val="28"/>
          <w:szCs w:val="24"/>
        </w:rPr>
        <w:t>fiskālā ietekme 2021.,2022. un 2023.gadā</w:t>
      </w:r>
      <w:r w:rsidRPr="00900F58">
        <w:rPr>
          <w:rFonts w:ascii="Times New Roman" w:eastAsia="Times New Roman" w:hAnsi="Times New Roman" w:cs="Times New Roman"/>
          <w:sz w:val="28"/>
          <w:szCs w:val="24"/>
          <w:lang w:eastAsia="en-US"/>
        </w:rPr>
        <w:t xml:space="preserve"> +4,2 tūkst. </w:t>
      </w:r>
      <w:r w:rsidRPr="00900F58">
        <w:rPr>
          <w:rFonts w:ascii="Times New Roman" w:eastAsia="Times New Roman" w:hAnsi="Times New Roman" w:cs="Times New Roman"/>
          <w:i/>
          <w:spacing w:val="-6"/>
          <w:sz w:val="28"/>
          <w:szCs w:val="24"/>
          <w:lang w:eastAsia="en-US"/>
        </w:rPr>
        <w:t>euro</w:t>
      </w:r>
      <w:r w:rsidR="002A0A3A">
        <w:rPr>
          <w:rFonts w:ascii="Times New Roman" w:eastAsia="Times New Roman" w:hAnsi="Times New Roman" w:cs="Times New Roman"/>
          <w:sz w:val="28"/>
          <w:szCs w:val="24"/>
          <w:lang w:eastAsia="en-US"/>
        </w:rPr>
        <w:t xml:space="preserve"> (t.sk.</w:t>
      </w:r>
      <w:r w:rsidRPr="00900F58">
        <w:rPr>
          <w:rFonts w:ascii="Times New Roman" w:eastAsia="Times New Roman" w:hAnsi="Times New Roman" w:cs="Times New Roman"/>
          <w:sz w:val="28"/>
          <w:szCs w:val="24"/>
          <w:lang w:eastAsia="en-US"/>
        </w:rPr>
        <w:t xml:space="preserve"> valsts budžetā +0,8 tūkst.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+3,4 tūkst.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w:t>
      </w:r>
      <w:r w:rsidRPr="00900F58">
        <w:rPr>
          <w:rFonts w:ascii="Times New Roman" w:eastAsia="Times New Roman" w:hAnsi="Times New Roman" w:cs="Times New Roman"/>
          <w:sz w:val="28"/>
          <w:szCs w:val="24"/>
        </w:rPr>
        <w:t>;</w:t>
      </w:r>
    </w:p>
    <w:p w14:paraId="3D8E37FA" w14:textId="24893373" w:rsidR="00DB596B" w:rsidRPr="00900F58" w:rsidRDefault="00DB596B" w:rsidP="00FB2B77">
      <w:pPr>
        <w:numPr>
          <w:ilvl w:val="0"/>
          <w:numId w:val="21"/>
        </w:numPr>
        <w:ind w:right="-1"/>
        <w:contextualSpacing/>
        <w:jc w:val="both"/>
        <w:rPr>
          <w:rFonts w:ascii="Times New Roman" w:eastAsia="Calibri" w:hAnsi="Times New Roman" w:cs="Times New Roman"/>
          <w:color w:val="000000"/>
          <w:sz w:val="28"/>
          <w:szCs w:val="24"/>
        </w:rPr>
      </w:pPr>
      <w:r w:rsidRPr="00900F58">
        <w:rPr>
          <w:rFonts w:ascii="Times New Roman" w:eastAsia="Times New Roman" w:hAnsi="Times New Roman" w:cs="Times New Roman"/>
          <w:noProof/>
          <w:sz w:val="28"/>
          <w:szCs w:val="24"/>
          <w:lang w:eastAsia="en-US"/>
        </w:rPr>
        <w:t xml:space="preserve">pārmaksātā </w:t>
      </w:r>
      <w:r w:rsidR="00E00EF2">
        <w:rPr>
          <w:rFonts w:ascii="Times New Roman" w:eastAsia="Times New Roman" w:hAnsi="Times New Roman" w:cs="Times New Roman"/>
          <w:noProof/>
          <w:sz w:val="28"/>
          <w:szCs w:val="24"/>
          <w:lang w:eastAsia="en-US"/>
        </w:rPr>
        <w:t>IIN</w:t>
      </w:r>
      <w:r w:rsidRPr="00900F58">
        <w:rPr>
          <w:rFonts w:ascii="Times New Roman" w:eastAsia="Times New Roman" w:hAnsi="Times New Roman" w:cs="Times New Roman"/>
          <w:noProof/>
          <w:sz w:val="28"/>
          <w:szCs w:val="24"/>
          <w:lang w:eastAsia="en-US"/>
        </w:rPr>
        <w:t xml:space="preserve"> atmaksu neveikšana, ja nav iesniegta deklarācija, par kādu no iepriekšējiem gadiem </w:t>
      </w:r>
      <w:r w:rsidRPr="00900F58">
        <w:rPr>
          <w:rFonts w:ascii="Times New Roman" w:eastAsia="Times New Roman" w:hAnsi="Times New Roman" w:cs="Times New Roman"/>
          <w:sz w:val="28"/>
          <w:szCs w:val="24"/>
        </w:rPr>
        <w:t xml:space="preserve">likumā </w:t>
      </w:r>
      <w:r w:rsidRPr="00900F58">
        <w:rPr>
          <w:rFonts w:ascii="Times New Roman" w:eastAsia="Times New Roman" w:hAnsi="Times New Roman" w:cs="Times New Roman"/>
          <w:sz w:val="28"/>
          <w:szCs w:val="24"/>
          <w:lang w:eastAsia="en-US"/>
        </w:rPr>
        <w:t>(</w:t>
      </w:r>
      <w:r w:rsidRPr="00900F58">
        <w:rPr>
          <w:rFonts w:ascii="Times New Roman" w:eastAsia="Times New Roman" w:hAnsi="Times New Roman" w:cs="Times New Roman"/>
          <w:sz w:val="28"/>
          <w:szCs w:val="24"/>
        </w:rPr>
        <w:t>fiskālā ietekme 2021.,2022. un 2023.gadā</w:t>
      </w:r>
      <w:r w:rsidRPr="00900F58">
        <w:rPr>
          <w:rFonts w:ascii="Times New Roman" w:eastAsia="Times New Roman" w:hAnsi="Times New Roman" w:cs="Times New Roman"/>
          <w:sz w:val="28"/>
          <w:szCs w:val="24"/>
          <w:lang w:eastAsia="en-US"/>
        </w:rPr>
        <w:t xml:space="preserve"> +1,0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xml:space="preserve"> (t.sk., valsts budžetā +0,25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+0,75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w:t>
      </w:r>
    </w:p>
    <w:p w14:paraId="1406509C" w14:textId="77777777" w:rsidR="00DB596B" w:rsidRPr="00900F58" w:rsidRDefault="00DB596B" w:rsidP="00FB2B77">
      <w:pPr>
        <w:numPr>
          <w:ilvl w:val="0"/>
          <w:numId w:val="21"/>
        </w:numPr>
        <w:ind w:right="-1"/>
        <w:contextualSpacing/>
        <w:jc w:val="both"/>
        <w:rPr>
          <w:rFonts w:ascii="Times New Roman" w:eastAsia="Calibri" w:hAnsi="Times New Roman" w:cs="Times New Roman"/>
          <w:color w:val="000000"/>
          <w:sz w:val="28"/>
          <w:szCs w:val="24"/>
        </w:rPr>
      </w:pPr>
      <w:r w:rsidRPr="00900F58">
        <w:rPr>
          <w:rFonts w:ascii="Times New Roman" w:eastAsia="Times New Roman" w:hAnsi="Times New Roman" w:cs="Times New Roman"/>
          <w:sz w:val="28"/>
          <w:szCs w:val="24"/>
        </w:rPr>
        <w:t xml:space="preserve">atgriezeniskais efekts no algu palielināšanas veselības un izglītības jomā </w:t>
      </w:r>
      <w:r w:rsidRPr="00900F58">
        <w:rPr>
          <w:rFonts w:ascii="Times New Roman" w:eastAsia="Times New Roman" w:hAnsi="Times New Roman" w:cs="Times New Roman"/>
          <w:sz w:val="28"/>
          <w:szCs w:val="24"/>
          <w:lang w:eastAsia="en-US"/>
        </w:rPr>
        <w:t>(</w:t>
      </w:r>
      <w:r w:rsidRPr="00900F58">
        <w:rPr>
          <w:rFonts w:ascii="Times New Roman" w:eastAsia="Times New Roman" w:hAnsi="Times New Roman" w:cs="Times New Roman"/>
          <w:sz w:val="28"/>
          <w:szCs w:val="24"/>
        </w:rPr>
        <w:t xml:space="preserve">fiskālā ietekme </w:t>
      </w:r>
      <w:r w:rsidRPr="00900F58">
        <w:rPr>
          <w:rFonts w:ascii="Times New Roman" w:eastAsia="Times New Roman" w:hAnsi="Times New Roman" w:cs="Times New Roman"/>
          <w:sz w:val="28"/>
          <w:szCs w:val="24"/>
          <w:lang w:eastAsia="en-US"/>
        </w:rPr>
        <w:t>2021.gadā</w:t>
      </w:r>
      <w:r w:rsidRPr="00900F58">
        <w:rPr>
          <w:rFonts w:ascii="Times New Roman" w:eastAsia="Times New Roman" w:hAnsi="Times New Roman" w:cs="Times New Roman"/>
          <w:sz w:val="28"/>
          <w:szCs w:val="24"/>
        </w:rPr>
        <w:t xml:space="preserve"> </w:t>
      </w:r>
      <w:r w:rsidRPr="00900F58">
        <w:rPr>
          <w:rFonts w:ascii="Times New Roman" w:eastAsia="Times New Roman" w:hAnsi="Times New Roman" w:cs="Times New Roman"/>
          <w:sz w:val="28"/>
          <w:szCs w:val="24"/>
          <w:lang w:eastAsia="en-US"/>
        </w:rPr>
        <w:t>+32,1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xml:space="preserve"> (t.sk., valsts budžetā +6,4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+25,7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xml:space="preserve">), </w:t>
      </w:r>
      <w:r w:rsidRPr="00900F58">
        <w:rPr>
          <w:rFonts w:ascii="Times New Roman" w:eastAsia="Times New Roman" w:hAnsi="Times New Roman" w:cs="Times New Roman"/>
          <w:sz w:val="28"/>
          <w:szCs w:val="24"/>
        </w:rPr>
        <w:t>2022.gadā</w:t>
      </w:r>
      <w:r w:rsidRPr="00900F58">
        <w:rPr>
          <w:rFonts w:ascii="Times New Roman" w:eastAsia="Times New Roman" w:hAnsi="Times New Roman" w:cs="Times New Roman"/>
          <w:sz w:val="28"/>
          <w:szCs w:val="24"/>
          <w:lang w:eastAsia="en-US"/>
        </w:rPr>
        <w:t xml:space="preserve"> +36,4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xml:space="preserve"> (t.sk., valsts budžetā +7,3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+29,1 milj. </w:t>
      </w:r>
      <w:r w:rsidRPr="00900F58">
        <w:rPr>
          <w:rFonts w:ascii="Times New Roman" w:eastAsia="Times New Roman" w:hAnsi="Times New Roman" w:cs="Times New Roman"/>
          <w:i/>
          <w:spacing w:val="-6"/>
          <w:sz w:val="28"/>
          <w:szCs w:val="24"/>
          <w:lang w:eastAsia="en-US"/>
        </w:rPr>
        <w:t xml:space="preserve">euro) </w:t>
      </w:r>
      <w:r w:rsidRPr="00900F58">
        <w:rPr>
          <w:rFonts w:ascii="Times New Roman" w:eastAsia="Times New Roman" w:hAnsi="Times New Roman" w:cs="Times New Roman"/>
          <w:spacing w:val="-6"/>
          <w:sz w:val="28"/>
          <w:szCs w:val="24"/>
          <w:lang w:eastAsia="en-US"/>
        </w:rPr>
        <w:t xml:space="preserve">un </w:t>
      </w:r>
      <w:r w:rsidRPr="00900F58">
        <w:rPr>
          <w:rFonts w:ascii="Times New Roman" w:eastAsia="Times New Roman" w:hAnsi="Times New Roman" w:cs="Times New Roman"/>
          <w:sz w:val="28"/>
          <w:szCs w:val="24"/>
        </w:rPr>
        <w:t>2023.gadā</w:t>
      </w:r>
      <w:r w:rsidRPr="00900F58">
        <w:rPr>
          <w:rFonts w:ascii="Times New Roman" w:eastAsia="Times New Roman" w:hAnsi="Times New Roman" w:cs="Times New Roman"/>
          <w:sz w:val="28"/>
          <w:szCs w:val="24"/>
          <w:lang w:eastAsia="en-US"/>
        </w:rPr>
        <w:t xml:space="preserve"> +40,5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xml:space="preserve"> (t.sk., valsts budžetā +8,1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 pašvaldību budžetā +32,4 milj. </w:t>
      </w:r>
      <w:r w:rsidRPr="00900F58">
        <w:rPr>
          <w:rFonts w:ascii="Times New Roman" w:eastAsia="Times New Roman" w:hAnsi="Times New Roman" w:cs="Times New Roman"/>
          <w:i/>
          <w:spacing w:val="-6"/>
          <w:sz w:val="28"/>
          <w:szCs w:val="24"/>
          <w:lang w:eastAsia="en-US"/>
        </w:rPr>
        <w:t>euro</w:t>
      </w:r>
      <w:r w:rsidRPr="00900F58">
        <w:rPr>
          <w:rFonts w:ascii="Times New Roman" w:eastAsia="Times New Roman" w:hAnsi="Times New Roman" w:cs="Times New Roman"/>
          <w:sz w:val="28"/>
          <w:szCs w:val="24"/>
          <w:lang w:eastAsia="en-US"/>
        </w:rPr>
        <w:t>)).</w:t>
      </w:r>
    </w:p>
    <w:p w14:paraId="514F1B88" w14:textId="77777777" w:rsidR="00DB596B" w:rsidRPr="00DB596B" w:rsidRDefault="00DB596B" w:rsidP="00401A5B">
      <w:pPr>
        <w:ind w:left="1440" w:right="-1"/>
        <w:contextualSpacing/>
        <w:jc w:val="both"/>
        <w:rPr>
          <w:rFonts w:ascii="Times New Roman" w:eastAsia="Calibri" w:hAnsi="Times New Roman" w:cs="Times New Roman"/>
          <w:color w:val="000000"/>
          <w:sz w:val="24"/>
          <w:szCs w:val="24"/>
        </w:rPr>
      </w:pPr>
    </w:p>
    <w:p w14:paraId="62E00659" w14:textId="77777777" w:rsidR="00DB596B" w:rsidRPr="00DB596B" w:rsidRDefault="00DB596B" w:rsidP="002A0A3A">
      <w:pPr>
        <w:ind w:firstLine="720"/>
        <w:jc w:val="right"/>
        <w:rPr>
          <w:rFonts w:ascii="Times New Roman" w:eastAsia="Times New Roman" w:hAnsi="Times New Roman" w:cs="Times New Roman"/>
          <w:b/>
          <w:i/>
          <w:sz w:val="24"/>
          <w:szCs w:val="20"/>
          <w:lang w:eastAsia="en-US"/>
        </w:rPr>
      </w:pPr>
      <w:r w:rsidRPr="00DB596B">
        <w:rPr>
          <w:rFonts w:ascii="Times New Roman" w:eastAsia="Times New Roman" w:hAnsi="Times New Roman" w:cs="Times New Roman"/>
          <w:b/>
          <w:i/>
          <w:sz w:val="24"/>
          <w:szCs w:val="20"/>
          <w:lang w:eastAsia="en-US"/>
        </w:rPr>
        <w:t>3.4. tabula. Iedzīvotāju ienākuma nodokļa ieņēmumi</w:t>
      </w:r>
    </w:p>
    <w:tbl>
      <w:tblPr>
        <w:tblStyle w:val="TableGrid1"/>
        <w:tblW w:w="0" w:type="auto"/>
        <w:jc w:val="center"/>
        <w:tblLayout w:type="fixed"/>
        <w:tblLook w:val="04A0" w:firstRow="1" w:lastRow="0" w:firstColumn="1" w:lastColumn="0" w:noHBand="0" w:noVBand="1"/>
      </w:tblPr>
      <w:tblGrid>
        <w:gridCol w:w="4258"/>
        <w:gridCol w:w="993"/>
        <w:gridCol w:w="992"/>
        <w:gridCol w:w="992"/>
        <w:gridCol w:w="1554"/>
      </w:tblGrid>
      <w:tr w:rsidR="00DB596B" w:rsidRPr="002A0A3A" w14:paraId="628B3084" w14:textId="77777777" w:rsidTr="002A0A3A">
        <w:trPr>
          <w:jc w:val="center"/>
        </w:trPr>
        <w:tc>
          <w:tcPr>
            <w:tcW w:w="4258" w:type="dxa"/>
            <w:shd w:val="clear" w:color="auto" w:fill="DEEAF6" w:themeFill="accent1" w:themeFillTint="33"/>
          </w:tcPr>
          <w:p w14:paraId="47606B49" w14:textId="77777777" w:rsidR="00DB596B" w:rsidRPr="002A0A3A" w:rsidRDefault="00DB596B" w:rsidP="00401A5B">
            <w:pPr>
              <w:keepNext/>
              <w:jc w:val="both"/>
              <w:rPr>
                <w:sz w:val="20"/>
                <w:szCs w:val="18"/>
                <w:lang w:eastAsia="en-US"/>
              </w:rPr>
            </w:pPr>
          </w:p>
        </w:tc>
        <w:tc>
          <w:tcPr>
            <w:tcW w:w="993" w:type="dxa"/>
            <w:shd w:val="clear" w:color="auto" w:fill="DEEAF6" w:themeFill="accent1" w:themeFillTint="33"/>
            <w:vAlign w:val="center"/>
          </w:tcPr>
          <w:p w14:paraId="59009906" w14:textId="77777777" w:rsidR="00DB596B" w:rsidRPr="002A0A3A" w:rsidRDefault="00DB596B" w:rsidP="00401A5B">
            <w:pPr>
              <w:keepNext/>
              <w:jc w:val="center"/>
              <w:rPr>
                <w:b/>
                <w:sz w:val="20"/>
                <w:szCs w:val="18"/>
                <w:lang w:eastAsia="en-US"/>
              </w:rPr>
            </w:pPr>
            <w:r w:rsidRPr="002A0A3A">
              <w:rPr>
                <w:b/>
                <w:sz w:val="20"/>
                <w:szCs w:val="18"/>
                <w:lang w:eastAsia="en-US"/>
              </w:rPr>
              <w:t>2020</w:t>
            </w:r>
          </w:p>
        </w:tc>
        <w:tc>
          <w:tcPr>
            <w:tcW w:w="992" w:type="dxa"/>
            <w:shd w:val="clear" w:color="auto" w:fill="DEEAF6" w:themeFill="accent1" w:themeFillTint="33"/>
            <w:vAlign w:val="center"/>
          </w:tcPr>
          <w:p w14:paraId="06FB5C4A" w14:textId="77777777" w:rsidR="00DB596B" w:rsidRPr="002A0A3A" w:rsidRDefault="00DB596B" w:rsidP="00401A5B">
            <w:pPr>
              <w:keepNext/>
              <w:jc w:val="center"/>
              <w:rPr>
                <w:b/>
                <w:sz w:val="20"/>
                <w:szCs w:val="18"/>
                <w:lang w:eastAsia="en-US"/>
              </w:rPr>
            </w:pPr>
            <w:r w:rsidRPr="002A0A3A">
              <w:rPr>
                <w:b/>
                <w:color w:val="000000"/>
                <w:sz w:val="20"/>
                <w:szCs w:val="18"/>
              </w:rPr>
              <w:t>2021</w:t>
            </w:r>
          </w:p>
        </w:tc>
        <w:tc>
          <w:tcPr>
            <w:tcW w:w="992" w:type="dxa"/>
            <w:shd w:val="clear" w:color="auto" w:fill="DEEAF6" w:themeFill="accent1" w:themeFillTint="33"/>
            <w:vAlign w:val="center"/>
          </w:tcPr>
          <w:p w14:paraId="741045F1" w14:textId="77777777" w:rsidR="00DB596B" w:rsidRPr="002A0A3A" w:rsidRDefault="00DB596B" w:rsidP="00401A5B">
            <w:pPr>
              <w:keepNext/>
              <w:jc w:val="center"/>
              <w:rPr>
                <w:b/>
                <w:sz w:val="20"/>
                <w:szCs w:val="18"/>
                <w:lang w:eastAsia="en-US"/>
              </w:rPr>
            </w:pPr>
            <w:r w:rsidRPr="002A0A3A">
              <w:rPr>
                <w:b/>
                <w:color w:val="000000"/>
                <w:sz w:val="20"/>
                <w:szCs w:val="18"/>
              </w:rPr>
              <w:t>2022</w:t>
            </w:r>
          </w:p>
        </w:tc>
        <w:tc>
          <w:tcPr>
            <w:tcW w:w="1554" w:type="dxa"/>
            <w:shd w:val="clear" w:color="auto" w:fill="DEEAF6" w:themeFill="accent1" w:themeFillTint="33"/>
            <w:vAlign w:val="center"/>
          </w:tcPr>
          <w:p w14:paraId="2F581E32" w14:textId="77777777" w:rsidR="00DB596B" w:rsidRPr="002A0A3A" w:rsidRDefault="00DB596B" w:rsidP="00401A5B">
            <w:pPr>
              <w:keepNext/>
              <w:jc w:val="center"/>
              <w:rPr>
                <w:b/>
                <w:sz w:val="20"/>
                <w:szCs w:val="18"/>
                <w:lang w:eastAsia="en-US"/>
              </w:rPr>
            </w:pPr>
            <w:r w:rsidRPr="002A0A3A">
              <w:rPr>
                <w:b/>
                <w:color w:val="000000"/>
                <w:sz w:val="20"/>
                <w:szCs w:val="18"/>
              </w:rPr>
              <w:t>2023</w:t>
            </w:r>
          </w:p>
        </w:tc>
      </w:tr>
      <w:tr w:rsidR="00DB596B" w:rsidRPr="002A0A3A" w14:paraId="65BACA8A" w14:textId="77777777" w:rsidTr="002A0A3A">
        <w:trPr>
          <w:jc w:val="center"/>
        </w:trPr>
        <w:tc>
          <w:tcPr>
            <w:tcW w:w="4258" w:type="dxa"/>
          </w:tcPr>
          <w:p w14:paraId="10D11551" w14:textId="5980F239" w:rsidR="00DB596B" w:rsidRPr="002A0A3A" w:rsidRDefault="00E00EF2" w:rsidP="00E00EF2">
            <w:pPr>
              <w:keepNext/>
              <w:jc w:val="both"/>
              <w:rPr>
                <w:sz w:val="20"/>
                <w:szCs w:val="18"/>
                <w:lang w:eastAsia="en-US"/>
              </w:rPr>
            </w:pPr>
            <w:r>
              <w:rPr>
                <w:b/>
                <w:color w:val="000000"/>
                <w:sz w:val="20"/>
                <w:szCs w:val="18"/>
              </w:rPr>
              <w:t>IIN</w:t>
            </w:r>
            <w:r w:rsidR="00DB596B" w:rsidRPr="002A0A3A">
              <w:rPr>
                <w:i/>
                <w:color w:val="000000"/>
                <w:sz w:val="20"/>
                <w:szCs w:val="18"/>
              </w:rPr>
              <w:t xml:space="preserve"> </w:t>
            </w:r>
            <w:r w:rsidR="00DB596B" w:rsidRPr="002A0A3A">
              <w:rPr>
                <w:color w:val="000000"/>
                <w:sz w:val="20"/>
                <w:szCs w:val="18"/>
              </w:rPr>
              <w:t>saskaņā ar</w:t>
            </w:r>
            <w:r>
              <w:rPr>
                <w:color w:val="000000"/>
                <w:sz w:val="20"/>
                <w:szCs w:val="18"/>
              </w:rPr>
              <w:t xml:space="preserve"> VTBIL 2021., 2022. un 2023.gadam projektu</w:t>
            </w:r>
            <w:r w:rsidR="00DB596B" w:rsidRPr="002A0A3A">
              <w:rPr>
                <w:color w:val="000000"/>
                <w:sz w:val="20"/>
                <w:szCs w:val="18"/>
              </w:rPr>
              <w:t>, milj. </w:t>
            </w:r>
            <w:r w:rsidR="00DB596B" w:rsidRPr="002A0A3A">
              <w:rPr>
                <w:i/>
                <w:color w:val="000000"/>
                <w:sz w:val="20"/>
                <w:szCs w:val="18"/>
              </w:rPr>
              <w:t>euro</w:t>
            </w:r>
          </w:p>
        </w:tc>
        <w:tc>
          <w:tcPr>
            <w:tcW w:w="993" w:type="dxa"/>
            <w:vAlign w:val="center"/>
          </w:tcPr>
          <w:p w14:paraId="402B8457" w14:textId="77777777" w:rsidR="00DB596B" w:rsidRPr="002A0A3A" w:rsidRDefault="00DB596B" w:rsidP="00401A5B">
            <w:pPr>
              <w:jc w:val="center"/>
              <w:rPr>
                <w:b/>
                <w:sz w:val="20"/>
                <w:szCs w:val="18"/>
                <w:lang w:eastAsia="en-US"/>
              </w:rPr>
            </w:pPr>
            <w:r w:rsidRPr="002A0A3A">
              <w:rPr>
                <w:b/>
                <w:sz w:val="20"/>
                <w:szCs w:val="18"/>
                <w:lang w:eastAsia="en-US"/>
              </w:rPr>
              <w:t>1 697,8*</w:t>
            </w:r>
          </w:p>
        </w:tc>
        <w:tc>
          <w:tcPr>
            <w:tcW w:w="992" w:type="dxa"/>
            <w:vAlign w:val="center"/>
          </w:tcPr>
          <w:p w14:paraId="6080D51F" w14:textId="77777777" w:rsidR="00DB596B" w:rsidRPr="002A0A3A" w:rsidRDefault="00DB596B" w:rsidP="00401A5B">
            <w:pPr>
              <w:ind w:firstLine="26"/>
              <w:jc w:val="center"/>
              <w:rPr>
                <w:b/>
                <w:sz w:val="20"/>
                <w:szCs w:val="18"/>
                <w:lang w:eastAsia="en-US"/>
              </w:rPr>
            </w:pPr>
            <w:r w:rsidRPr="002A0A3A">
              <w:rPr>
                <w:b/>
                <w:sz w:val="20"/>
                <w:szCs w:val="18"/>
                <w:lang w:eastAsia="en-US"/>
              </w:rPr>
              <w:t>1 778,7</w:t>
            </w:r>
          </w:p>
        </w:tc>
        <w:tc>
          <w:tcPr>
            <w:tcW w:w="992" w:type="dxa"/>
            <w:vAlign w:val="center"/>
          </w:tcPr>
          <w:p w14:paraId="497CE618" w14:textId="77777777" w:rsidR="00DB596B" w:rsidRPr="002A0A3A" w:rsidRDefault="00DB596B" w:rsidP="00401A5B">
            <w:pPr>
              <w:ind w:firstLine="26"/>
              <w:jc w:val="center"/>
              <w:rPr>
                <w:b/>
                <w:sz w:val="20"/>
                <w:szCs w:val="18"/>
                <w:lang w:eastAsia="en-US"/>
              </w:rPr>
            </w:pPr>
            <w:r w:rsidRPr="002A0A3A">
              <w:rPr>
                <w:b/>
                <w:sz w:val="20"/>
                <w:szCs w:val="18"/>
                <w:lang w:eastAsia="en-US"/>
              </w:rPr>
              <w:t>1 881,3</w:t>
            </w:r>
          </w:p>
        </w:tc>
        <w:tc>
          <w:tcPr>
            <w:tcW w:w="1554" w:type="dxa"/>
            <w:vAlign w:val="center"/>
          </w:tcPr>
          <w:p w14:paraId="57940CC5" w14:textId="77777777" w:rsidR="00DB596B" w:rsidRPr="002A0A3A" w:rsidRDefault="00DB596B" w:rsidP="00401A5B">
            <w:pPr>
              <w:ind w:firstLine="26"/>
              <w:jc w:val="center"/>
              <w:rPr>
                <w:b/>
                <w:sz w:val="20"/>
                <w:szCs w:val="18"/>
                <w:lang w:eastAsia="en-US"/>
              </w:rPr>
            </w:pPr>
            <w:r w:rsidRPr="002A0A3A">
              <w:rPr>
                <w:b/>
                <w:sz w:val="20"/>
                <w:szCs w:val="18"/>
                <w:lang w:eastAsia="en-US"/>
              </w:rPr>
              <w:t>1 979,3</w:t>
            </w:r>
          </w:p>
        </w:tc>
      </w:tr>
      <w:tr w:rsidR="00DB596B" w:rsidRPr="002A0A3A" w14:paraId="0B484889" w14:textId="77777777" w:rsidTr="002A0A3A">
        <w:trPr>
          <w:trHeight w:val="487"/>
          <w:jc w:val="center"/>
        </w:trPr>
        <w:tc>
          <w:tcPr>
            <w:tcW w:w="4258" w:type="dxa"/>
          </w:tcPr>
          <w:p w14:paraId="49F8FC54" w14:textId="1E0A0181" w:rsidR="00DB596B" w:rsidRPr="002A0A3A" w:rsidRDefault="00E00EF2" w:rsidP="00E00EF2">
            <w:pPr>
              <w:keepNext/>
              <w:jc w:val="both"/>
              <w:rPr>
                <w:i/>
                <w:iCs/>
                <w:color w:val="000000"/>
                <w:sz w:val="20"/>
                <w:szCs w:val="18"/>
              </w:rPr>
            </w:pPr>
            <w:r>
              <w:rPr>
                <w:b/>
                <w:color w:val="000000"/>
                <w:sz w:val="20"/>
                <w:szCs w:val="18"/>
              </w:rPr>
              <w:t>IIN</w:t>
            </w:r>
            <w:r w:rsidR="00DB596B" w:rsidRPr="002A0A3A">
              <w:rPr>
                <w:i/>
                <w:iCs/>
                <w:color w:val="000000"/>
                <w:sz w:val="20"/>
                <w:szCs w:val="18"/>
              </w:rPr>
              <w:t xml:space="preserve"> </w:t>
            </w:r>
            <w:r w:rsidR="00DB596B" w:rsidRPr="002A0A3A">
              <w:rPr>
                <w:iCs/>
                <w:color w:val="000000"/>
                <w:sz w:val="20"/>
                <w:szCs w:val="18"/>
              </w:rPr>
              <w:t xml:space="preserve">saskaņā ar likumu </w:t>
            </w:r>
            <w:r>
              <w:rPr>
                <w:iCs/>
                <w:color w:val="000000"/>
                <w:sz w:val="20"/>
                <w:szCs w:val="18"/>
              </w:rPr>
              <w:t>VTBIL</w:t>
            </w:r>
            <w:r w:rsidR="00DB596B" w:rsidRPr="002A0A3A">
              <w:rPr>
                <w:iCs/>
                <w:color w:val="000000"/>
                <w:sz w:val="20"/>
                <w:szCs w:val="18"/>
              </w:rPr>
              <w:t xml:space="preserve"> 2020., 2021. un 2022.gadam”</w:t>
            </w:r>
            <w:r w:rsidR="00DB596B" w:rsidRPr="002A0A3A">
              <w:rPr>
                <w:color w:val="000000"/>
                <w:sz w:val="20"/>
                <w:szCs w:val="18"/>
              </w:rPr>
              <w:t>, milj. </w:t>
            </w:r>
            <w:r w:rsidR="00DB596B" w:rsidRPr="002A0A3A">
              <w:rPr>
                <w:i/>
                <w:color w:val="000000"/>
                <w:sz w:val="20"/>
                <w:szCs w:val="18"/>
              </w:rPr>
              <w:t>euro</w:t>
            </w:r>
          </w:p>
        </w:tc>
        <w:tc>
          <w:tcPr>
            <w:tcW w:w="993" w:type="dxa"/>
            <w:vAlign w:val="center"/>
          </w:tcPr>
          <w:p w14:paraId="6FF50771" w14:textId="77777777" w:rsidR="00DB596B" w:rsidRPr="002A0A3A" w:rsidRDefault="00DB596B" w:rsidP="00401A5B">
            <w:pPr>
              <w:keepNext/>
              <w:jc w:val="center"/>
              <w:rPr>
                <w:b/>
                <w:sz w:val="20"/>
                <w:szCs w:val="18"/>
                <w:lang w:eastAsia="en-US"/>
              </w:rPr>
            </w:pPr>
            <w:r w:rsidRPr="002A0A3A">
              <w:rPr>
                <w:b/>
                <w:sz w:val="20"/>
                <w:szCs w:val="18"/>
                <w:lang w:eastAsia="en-US"/>
              </w:rPr>
              <w:t>1 758,3</w:t>
            </w:r>
          </w:p>
        </w:tc>
        <w:tc>
          <w:tcPr>
            <w:tcW w:w="992" w:type="dxa"/>
            <w:vAlign w:val="center"/>
          </w:tcPr>
          <w:p w14:paraId="262B6D98" w14:textId="77777777" w:rsidR="00DB596B" w:rsidRPr="002A0A3A" w:rsidRDefault="00DB596B" w:rsidP="00401A5B">
            <w:pPr>
              <w:ind w:firstLine="26"/>
              <w:jc w:val="center"/>
              <w:rPr>
                <w:b/>
                <w:sz w:val="20"/>
                <w:szCs w:val="18"/>
                <w:lang w:eastAsia="en-US"/>
              </w:rPr>
            </w:pPr>
            <w:r w:rsidRPr="002A0A3A">
              <w:rPr>
                <w:b/>
                <w:sz w:val="20"/>
                <w:szCs w:val="18"/>
                <w:lang w:eastAsia="en-US"/>
              </w:rPr>
              <w:t>1 845,5</w:t>
            </w:r>
          </w:p>
        </w:tc>
        <w:tc>
          <w:tcPr>
            <w:tcW w:w="992" w:type="dxa"/>
            <w:vAlign w:val="center"/>
          </w:tcPr>
          <w:p w14:paraId="6B18174A" w14:textId="77777777" w:rsidR="00DB596B" w:rsidRPr="002A0A3A" w:rsidRDefault="00DB596B" w:rsidP="00401A5B">
            <w:pPr>
              <w:ind w:firstLine="26"/>
              <w:jc w:val="center"/>
              <w:rPr>
                <w:b/>
                <w:sz w:val="20"/>
                <w:szCs w:val="18"/>
                <w:lang w:eastAsia="en-US"/>
              </w:rPr>
            </w:pPr>
            <w:r w:rsidRPr="002A0A3A">
              <w:rPr>
                <w:b/>
                <w:sz w:val="20"/>
                <w:szCs w:val="18"/>
                <w:lang w:eastAsia="en-US"/>
              </w:rPr>
              <w:t>1 937,0</w:t>
            </w:r>
          </w:p>
        </w:tc>
        <w:tc>
          <w:tcPr>
            <w:tcW w:w="1554" w:type="dxa"/>
            <w:vAlign w:val="center"/>
          </w:tcPr>
          <w:p w14:paraId="16425F22" w14:textId="77777777" w:rsidR="00DB596B" w:rsidRPr="002A0A3A" w:rsidRDefault="00DB596B" w:rsidP="00401A5B">
            <w:pPr>
              <w:ind w:firstLine="26"/>
              <w:jc w:val="center"/>
              <w:rPr>
                <w:b/>
                <w:sz w:val="20"/>
                <w:szCs w:val="18"/>
                <w:lang w:eastAsia="en-US"/>
              </w:rPr>
            </w:pPr>
            <w:r w:rsidRPr="002A0A3A">
              <w:rPr>
                <w:b/>
                <w:sz w:val="20"/>
                <w:szCs w:val="18"/>
                <w:lang w:eastAsia="en-US"/>
              </w:rPr>
              <w:t>-</w:t>
            </w:r>
          </w:p>
        </w:tc>
      </w:tr>
      <w:tr w:rsidR="00DB596B" w:rsidRPr="002A0A3A" w14:paraId="0A903E2E" w14:textId="77777777" w:rsidTr="002A0A3A">
        <w:trPr>
          <w:jc w:val="center"/>
        </w:trPr>
        <w:tc>
          <w:tcPr>
            <w:tcW w:w="4258" w:type="dxa"/>
          </w:tcPr>
          <w:p w14:paraId="6F13778C" w14:textId="55FF6780" w:rsidR="00DB596B" w:rsidRPr="002A0A3A" w:rsidRDefault="00DB596B" w:rsidP="00E00EF2">
            <w:pPr>
              <w:keepNext/>
              <w:jc w:val="both"/>
              <w:rPr>
                <w:sz w:val="20"/>
                <w:szCs w:val="18"/>
                <w:lang w:eastAsia="en-US"/>
              </w:rPr>
            </w:pPr>
            <w:r w:rsidRPr="002A0A3A">
              <w:rPr>
                <w:i/>
                <w:iCs/>
                <w:color w:val="000000"/>
                <w:sz w:val="20"/>
                <w:szCs w:val="18"/>
              </w:rPr>
              <w:t xml:space="preserve">pieaugums, salīdzinot ar </w:t>
            </w:r>
            <w:r w:rsidR="00E00EF2">
              <w:rPr>
                <w:i/>
                <w:iCs/>
                <w:color w:val="000000"/>
                <w:sz w:val="20"/>
                <w:szCs w:val="18"/>
              </w:rPr>
              <w:t>VTBIL</w:t>
            </w:r>
            <w:r w:rsidRPr="002A0A3A">
              <w:rPr>
                <w:i/>
                <w:iCs/>
                <w:color w:val="000000"/>
                <w:sz w:val="20"/>
                <w:szCs w:val="18"/>
              </w:rPr>
              <w:t xml:space="preserve"> 2020., 2021. un 2022.gadam”, milj. </w:t>
            </w:r>
            <w:r w:rsidRPr="002A0A3A">
              <w:rPr>
                <w:i/>
                <w:iCs/>
                <w:color w:val="000000"/>
                <w:spacing w:val="-6"/>
                <w:sz w:val="20"/>
                <w:szCs w:val="18"/>
              </w:rPr>
              <w:t>euro</w:t>
            </w:r>
          </w:p>
        </w:tc>
        <w:tc>
          <w:tcPr>
            <w:tcW w:w="993" w:type="dxa"/>
            <w:vAlign w:val="center"/>
          </w:tcPr>
          <w:p w14:paraId="58DE3683" w14:textId="77777777" w:rsidR="00DB596B" w:rsidRPr="002A0A3A" w:rsidRDefault="00DB596B" w:rsidP="00401A5B">
            <w:pPr>
              <w:jc w:val="center"/>
              <w:rPr>
                <w:sz w:val="20"/>
                <w:szCs w:val="18"/>
                <w:lang w:eastAsia="en-US"/>
              </w:rPr>
            </w:pPr>
            <w:r w:rsidRPr="002A0A3A">
              <w:rPr>
                <w:sz w:val="20"/>
                <w:szCs w:val="18"/>
                <w:lang w:eastAsia="en-US"/>
              </w:rPr>
              <w:t>-60,5</w:t>
            </w:r>
          </w:p>
        </w:tc>
        <w:tc>
          <w:tcPr>
            <w:tcW w:w="992" w:type="dxa"/>
            <w:vAlign w:val="center"/>
          </w:tcPr>
          <w:p w14:paraId="5FDE14C8" w14:textId="77777777" w:rsidR="00DB596B" w:rsidRPr="002A0A3A" w:rsidRDefault="00DB596B" w:rsidP="00401A5B">
            <w:pPr>
              <w:ind w:firstLine="26"/>
              <w:jc w:val="center"/>
              <w:rPr>
                <w:sz w:val="20"/>
                <w:szCs w:val="18"/>
                <w:lang w:eastAsia="en-US"/>
              </w:rPr>
            </w:pPr>
            <w:r w:rsidRPr="002A0A3A">
              <w:rPr>
                <w:sz w:val="20"/>
                <w:szCs w:val="18"/>
                <w:lang w:eastAsia="en-US"/>
              </w:rPr>
              <w:t>-66,8</w:t>
            </w:r>
          </w:p>
        </w:tc>
        <w:tc>
          <w:tcPr>
            <w:tcW w:w="992" w:type="dxa"/>
            <w:vAlign w:val="center"/>
          </w:tcPr>
          <w:p w14:paraId="65D02AA6" w14:textId="77777777" w:rsidR="00DB596B" w:rsidRPr="002A0A3A" w:rsidRDefault="00DB596B" w:rsidP="00401A5B">
            <w:pPr>
              <w:ind w:firstLine="26"/>
              <w:jc w:val="center"/>
              <w:rPr>
                <w:sz w:val="20"/>
                <w:szCs w:val="18"/>
                <w:lang w:eastAsia="en-US"/>
              </w:rPr>
            </w:pPr>
            <w:r w:rsidRPr="002A0A3A">
              <w:rPr>
                <w:sz w:val="20"/>
                <w:szCs w:val="18"/>
                <w:lang w:eastAsia="en-US"/>
              </w:rPr>
              <w:t>-55,7</w:t>
            </w:r>
          </w:p>
        </w:tc>
        <w:tc>
          <w:tcPr>
            <w:tcW w:w="1554" w:type="dxa"/>
            <w:vAlign w:val="center"/>
          </w:tcPr>
          <w:p w14:paraId="7E011504" w14:textId="77777777" w:rsidR="00DB596B" w:rsidRPr="002A0A3A" w:rsidRDefault="00DB596B" w:rsidP="00401A5B">
            <w:pPr>
              <w:ind w:firstLine="26"/>
              <w:jc w:val="center"/>
              <w:rPr>
                <w:sz w:val="20"/>
                <w:szCs w:val="18"/>
                <w:lang w:eastAsia="en-US"/>
              </w:rPr>
            </w:pPr>
            <w:r w:rsidRPr="002A0A3A">
              <w:rPr>
                <w:sz w:val="20"/>
                <w:szCs w:val="18"/>
                <w:lang w:eastAsia="en-US"/>
              </w:rPr>
              <w:t>-</w:t>
            </w:r>
          </w:p>
        </w:tc>
      </w:tr>
      <w:tr w:rsidR="00DB596B" w:rsidRPr="002A0A3A" w14:paraId="66750FCC" w14:textId="77777777" w:rsidTr="002A0A3A">
        <w:trPr>
          <w:jc w:val="center"/>
        </w:trPr>
        <w:tc>
          <w:tcPr>
            <w:tcW w:w="4258" w:type="dxa"/>
          </w:tcPr>
          <w:p w14:paraId="5AAE2AC6" w14:textId="0C61D955" w:rsidR="00DB596B" w:rsidRPr="002A0A3A" w:rsidRDefault="00DB596B" w:rsidP="00E00EF2">
            <w:pPr>
              <w:keepNext/>
              <w:jc w:val="both"/>
              <w:rPr>
                <w:sz w:val="20"/>
                <w:szCs w:val="18"/>
                <w:lang w:eastAsia="en-US"/>
              </w:rPr>
            </w:pPr>
            <w:r w:rsidRPr="002A0A3A">
              <w:rPr>
                <w:i/>
                <w:iCs/>
                <w:color w:val="000000"/>
                <w:sz w:val="20"/>
                <w:szCs w:val="18"/>
              </w:rPr>
              <w:t xml:space="preserve">pieaugums, salīdzinot ar </w:t>
            </w:r>
            <w:r w:rsidR="00E00EF2">
              <w:rPr>
                <w:i/>
                <w:iCs/>
                <w:color w:val="000000"/>
                <w:sz w:val="20"/>
                <w:szCs w:val="18"/>
              </w:rPr>
              <w:t>VTBIL</w:t>
            </w:r>
            <w:r w:rsidRPr="002A0A3A">
              <w:rPr>
                <w:i/>
                <w:iCs/>
                <w:color w:val="000000"/>
                <w:sz w:val="20"/>
                <w:szCs w:val="18"/>
              </w:rPr>
              <w:t xml:space="preserve"> 2020., 2021. un 2022.gadam”, %</w:t>
            </w:r>
          </w:p>
        </w:tc>
        <w:tc>
          <w:tcPr>
            <w:tcW w:w="993" w:type="dxa"/>
            <w:vAlign w:val="center"/>
          </w:tcPr>
          <w:p w14:paraId="66ABD361" w14:textId="77777777" w:rsidR="00DB596B" w:rsidRPr="002A0A3A" w:rsidRDefault="00DB596B" w:rsidP="00401A5B">
            <w:pPr>
              <w:jc w:val="center"/>
              <w:rPr>
                <w:sz w:val="20"/>
                <w:szCs w:val="18"/>
                <w:lang w:eastAsia="en-US"/>
              </w:rPr>
            </w:pPr>
            <w:r w:rsidRPr="002A0A3A">
              <w:rPr>
                <w:sz w:val="20"/>
                <w:szCs w:val="18"/>
                <w:lang w:eastAsia="en-US"/>
              </w:rPr>
              <w:t>-3,4%</w:t>
            </w:r>
          </w:p>
        </w:tc>
        <w:tc>
          <w:tcPr>
            <w:tcW w:w="992" w:type="dxa"/>
            <w:vAlign w:val="center"/>
          </w:tcPr>
          <w:p w14:paraId="68D92E31" w14:textId="77777777" w:rsidR="00DB596B" w:rsidRPr="002A0A3A" w:rsidRDefault="00DB596B" w:rsidP="00401A5B">
            <w:pPr>
              <w:ind w:firstLine="26"/>
              <w:jc w:val="center"/>
              <w:rPr>
                <w:sz w:val="20"/>
                <w:szCs w:val="18"/>
                <w:lang w:eastAsia="en-US"/>
              </w:rPr>
            </w:pPr>
            <w:r w:rsidRPr="002A0A3A">
              <w:rPr>
                <w:sz w:val="20"/>
                <w:szCs w:val="18"/>
                <w:lang w:eastAsia="en-US"/>
              </w:rPr>
              <w:t>-3,6</w:t>
            </w:r>
          </w:p>
        </w:tc>
        <w:tc>
          <w:tcPr>
            <w:tcW w:w="992" w:type="dxa"/>
            <w:vAlign w:val="center"/>
          </w:tcPr>
          <w:p w14:paraId="6ECDF49A" w14:textId="77777777" w:rsidR="00DB596B" w:rsidRPr="002A0A3A" w:rsidRDefault="00DB596B" w:rsidP="00401A5B">
            <w:pPr>
              <w:ind w:firstLine="26"/>
              <w:jc w:val="center"/>
              <w:rPr>
                <w:sz w:val="20"/>
                <w:szCs w:val="18"/>
                <w:lang w:eastAsia="en-US"/>
              </w:rPr>
            </w:pPr>
            <w:r w:rsidRPr="002A0A3A">
              <w:rPr>
                <w:sz w:val="20"/>
                <w:szCs w:val="18"/>
                <w:lang w:eastAsia="en-US"/>
              </w:rPr>
              <w:t>-2,9</w:t>
            </w:r>
          </w:p>
        </w:tc>
        <w:tc>
          <w:tcPr>
            <w:tcW w:w="1554" w:type="dxa"/>
            <w:vAlign w:val="center"/>
          </w:tcPr>
          <w:p w14:paraId="6E2D99E0" w14:textId="77777777" w:rsidR="00DB596B" w:rsidRPr="002A0A3A" w:rsidRDefault="00DB596B" w:rsidP="00401A5B">
            <w:pPr>
              <w:ind w:firstLine="26"/>
              <w:jc w:val="center"/>
              <w:rPr>
                <w:sz w:val="20"/>
                <w:szCs w:val="18"/>
                <w:lang w:eastAsia="en-US"/>
              </w:rPr>
            </w:pPr>
            <w:r w:rsidRPr="002A0A3A">
              <w:rPr>
                <w:sz w:val="20"/>
                <w:szCs w:val="18"/>
                <w:lang w:eastAsia="en-US"/>
              </w:rPr>
              <w:t>-</w:t>
            </w:r>
          </w:p>
        </w:tc>
      </w:tr>
      <w:tr w:rsidR="00DB596B" w:rsidRPr="002A0A3A" w14:paraId="65888A8A" w14:textId="77777777" w:rsidTr="002A0A3A">
        <w:trPr>
          <w:jc w:val="center"/>
        </w:trPr>
        <w:tc>
          <w:tcPr>
            <w:tcW w:w="4258" w:type="dxa"/>
          </w:tcPr>
          <w:p w14:paraId="33EBF4D4" w14:textId="77777777" w:rsidR="00DB596B" w:rsidRPr="002A0A3A" w:rsidRDefault="00DB596B" w:rsidP="00401A5B">
            <w:pPr>
              <w:keepNext/>
              <w:jc w:val="both"/>
              <w:rPr>
                <w:i/>
                <w:iCs/>
                <w:color w:val="000000"/>
                <w:sz w:val="20"/>
                <w:szCs w:val="18"/>
              </w:rPr>
            </w:pPr>
            <w:r w:rsidRPr="002A0A3A">
              <w:rPr>
                <w:i/>
                <w:iCs/>
                <w:color w:val="000000"/>
                <w:sz w:val="20"/>
                <w:szCs w:val="18"/>
              </w:rPr>
              <w:t>% no IKP</w:t>
            </w:r>
          </w:p>
        </w:tc>
        <w:tc>
          <w:tcPr>
            <w:tcW w:w="993" w:type="dxa"/>
            <w:vAlign w:val="center"/>
          </w:tcPr>
          <w:p w14:paraId="7E1C3C2F" w14:textId="77777777" w:rsidR="00DB596B" w:rsidRPr="002A0A3A" w:rsidRDefault="00DB596B" w:rsidP="00401A5B">
            <w:pPr>
              <w:keepNext/>
              <w:jc w:val="center"/>
              <w:rPr>
                <w:i/>
                <w:sz w:val="20"/>
                <w:szCs w:val="18"/>
                <w:lang w:eastAsia="en-US"/>
              </w:rPr>
            </w:pPr>
            <w:r w:rsidRPr="002A0A3A">
              <w:rPr>
                <w:i/>
                <w:sz w:val="20"/>
                <w:szCs w:val="18"/>
                <w:lang w:eastAsia="en-US"/>
              </w:rPr>
              <w:t>6,0</w:t>
            </w:r>
          </w:p>
        </w:tc>
        <w:tc>
          <w:tcPr>
            <w:tcW w:w="992" w:type="dxa"/>
            <w:vAlign w:val="center"/>
          </w:tcPr>
          <w:p w14:paraId="1C3DC8BE" w14:textId="77777777" w:rsidR="00DB596B" w:rsidRPr="002A0A3A" w:rsidRDefault="00DB596B" w:rsidP="00401A5B">
            <w:pPr>
              <w:ind w:firstLine="26"/>
              <w:jc w:val="center"/>
              <w:rPr>
                <w:sz w:val="20"/>
                <w:szCs w:val="18"/>
                <w:lang w:eastAsia="en-US"/>
              </w:rPr>
            </w:pPr>
            <w:r w:rsidRPr="002A0A3A">
              <w:rPr>
                <w:sz w:val="20"/>
                <w:szCs w:val="18"/>
                <w:lang w:eastAsia="en-US"/>
              </w:rPr>
              <w:t>5,9</w:t>
            </w:r>
          </w:p>
        </w:tc>
        <w:tc>
          <w:tcPr>
            <w:tcW w:w="992" w:type="dxa"/>
            <w:vAlign w:val="center"/>
          </w:tcPr>
          <w:p w14:paraId="094AE9A2" w14:textId="77777777" w:rsidR="00DB596B" w:rsidRPr="002A0A3A" w:rsidRDefault="00DB596B" w:rsidP="00401A5B">
            <w:pPr>
              <w:ind w:firstLine="26"/>
              <w:jc w:val="center"/>
              <w:rPr>
                <w:sz w:val="20"/>
                <w:szCs w:val="18"/>
                <w:lang w:eastAsia="en-US"/>
              </w:rPr>
            </w:pPr>
            <w:r w:rsidRPr="002A0A3A">
              <w:rPr>
                <w:sz w:val="20"/>
                <w:szCs w:val="18"/>
                <w:lang w:eastAsia="en-US"/>
              </w:rPr>
              <w:t>6,0</w:t>
            </w:r>
          </w:p>
        </w:tc>
        <w:tc>
          <w:tcPr>
            <w:tcW w:w="1554" w:type="dxa"/>
            <w:vAlign w:val="center"/>
          </w:tcPr>
          <w:p w14:paraId="19F19FB4" w14:textId="77777777" w:rsidR="00DB596B" w:rsidRPr="002A0A3A" w:rsidRDefault="00DB596B" w:rsidP="00401A5B">
            <w:pPr>
              <w:ind w:firstLine="26"/>
              <w:jc w:val="center"/>
              <w:rPr>
                <w:sz w:val="20"/>
                <w:szCs w:val="18"/>
                <w:lang w:eastAsia="en-US"/>
              </w:rPr>
            </w:pPr>
            <w:r w:rsidRPr="002A0A3A">
              <w:rPr>
                <w:sz w:val="20"/>
                <w:szCs w:val="18"/>
                <w:lang w:eastAsia="en-US"/>
              </w:rPr>
              <w:t>6,0</w:t>
            </w:r>
          </w:p>
        </w:tc>
      </w:tr>
    </w:tbl>
    <w:p w14:paraId="4237BB48" w14:textId="77777777" w:rsidR="00DB596B" w:rsidRPr="002A0A3A" w:rsidRDefault="00DB596B" w:rsidP="00401A5B">
      <w:pPr>
        <w:jc w:val="both"/>
        <w:rPr>
          <w:rFonts w:ascii="Times New Roman" w:eastAsia="Times New Roman" w:hAnsi="Times New Roman" w:cs="Times New Roman"/>
          <w:sz w:val="20"/>
          <w:szCs w:val="20"/>
          <w:lang w:eastAsia="en-US"/>
        </w:rPr>
      </w:pPr>
      <w:r w:rsidRPr="00DB596B">
        <w:rPr>
          <w:rFonts w:ascii="Times New Roman" w:eastAsia="Times New Roman" w:hAnsi="Times New Roman" w:cs="Times New Roman"/>
          <w:sz w:val="16"/>
          <w:szCs w:val="16"/>
          <w:lang w:eastAsia="en-US"/>
        </w:rPr>
        <w:t xml:space="preserve">           </w:t>
      </w:r>
      <w:r w:rsidRPr="002A0A3A">
        <w:rPr>
          <w:rFonts w:ascii="Times New Roman" w:eastAsia="Times New Roman" w:hAnsi="Times New Roman" w:cs="Times New Roman"/>
          <w:sz w:val="20"/>
          <w:szCs w:val="20"/>
          <w:lang w:eastAsia="en-US"/>
        </w:rPr>
        <w:t xml:space="preserve"> *Prognoze 24.07.2020.</w:t>
      </w:r>
    </w:p>
    <w:p w14:paraId="30B519CC" w14:textId="4DB6EB93" w:rsidR="002A0A3A" w:rsidRDefault="002A0A3A" w:rsidP="00E00EF2">
      <w:pPr>
        <w:jc w:val="both"/>
        <w:rPr>
          <w:rFonts w:ascii="Times New Roman" w:eastAsia="Times New Roman" w:hAnsi="Times New Roman" w:cs="Times New Roman"/>
          <w:sz w:val="28"/>
          <w:szCs w:val="28"/>
          <w:lang w:eastAsia="en-US"/>
        </w:rPr>
      </w:pPr>
    </w:p>
    <w:p w14:paraId="6242587A" w14:textId="53265118" w:rsidR="002A0A3A" w:rsidRPr="002A0A3A" w:rsidRDefault="00080F5D" w:rsidP="002A0A3A">
      <w:pPr>
        <w:ind w:firstLine="720"/>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UIN</w:t>
      </w:r>
    </w:p>
    <w:p w14:paraId="6DA80270" w14:textId="77777777" w:rsidR="002A0A3A" w:rsidRDefault="002A0A3A" w:rsidP="002A0A3A">
      <w:pPr>
        <w:ind w:firstLine="720"/>
        <w:jc w:val="center"/>
        <w:rPr>
          <w:rFonts w:ascii="Times New Roman" w:eastAsia="Times New Roman" w:hAnsi="Times New Roman" w:cs="Times New Roman"/>
          <w:sz w:val="28"/>
          <w:szCs w:val="28"/>
          <w:lang w:eastAsia="en-US"/>
        </w:rPr>
      </w:pPr>
    </w:p>
    <w:p w14:paraId="1B566320" w14:textId="563367D7" w:rsidR="00DB596B" w:rsidRPr="002A0A3A" w:rsidRDefault="00080F5D" w:rsidP="00401A5B">
      <w:pPr>
        <w:ind w:firstLine="72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UIN</w:t>
      </w:r>
      <w:r w:rsidR="00DB596B" w:rsidRPr="002A0A3A">
        <w:rPr>
          <w:rFonts w:ascii="Times New Roman" w:eastAsia="Times New Roman" w:hAnsi="Times New Roman" w:cs="Times New Roman"/>
          <w:sz w:val="28"/>
          <w:szCs w:val="28"/>
          <w:lang w:eastAsia="en-US"/>
        </w:rPr>
        <w:t xml:space="preserve"> ieņēmumi 2020.gada 1.pusgadā bija 110,3 milj. </w:t>
      </w:r>
      <w:r w:rsidR="00DB596B" w:rsidRPr="002A0A3A">
        <w:rPr>
          <w:rFonts w:ascii="Times New Roman" w:eastAsia="Times New Roman" w:hAnsi="Times New Roman" w:cs="Times New Roman"/>
          <w:i/>
          <w:sz w:val="28"/>
          <w:szCs w:val="28"/>
          <w:lang w:eastAsia="en-US"/>
        </w:rPr>
        <w:t>euro</w:t>
      </w:r>
      <w:r w:rsidR="00DB596B" w:rsidRPr="002A0A3A">
        <w:rPr>
          <w:rFonts w:ascii="Times New Roman" w:eastAsia="Times New Roman" w:hAnsi="Times New Roman" w:cs="Times New Roman"/>
          <w:sz w:val="28"/>
          <w:szCs w:val="28"/>
          <w:lang w:eastAsia="en-US"/>
        </w:rPr>
        <w:t>, kas salīdzinājumā ar 2019.gada attiecīgo periodu ieņēmumi ir palielinājušies par 101,0 milj. </w:t>
      </w:r>
      <w:r w:rsidR="00DB596B" w:rsidRPr="002A0A3A">
        <w:rPr>
          <w:rFonts w:ascii="Times New Roman" w:eastAsia="Times New Roman" w:hAnsi="Times New Roman" w:cs="Times New Roman"/>
          <w:i/>
          <w:sz w:val="28"/>
          <w:szCs w:val="28"/>
          <w:lang w:eastAsia="en-US"/>
        </w:rPr>
        <w:t>euro</w:t>
      </w:r>
      <w:r w:rsidR="00DB596B" w:rsidRPr="002A0A3A">
        <w:rPr>
          <w:rFonts w:ascii="Times New Roman" w:eastAsia="Times New Roman" w:hAnsi="Times New Roman" w:cs="Times New Roman"/>
          <w:sz w:val="28"/>
          <w:szCs w:val="28"/>
          <w:lang w:eastAsia="en-US"/>
        </w:rPr>
        <w:t xml:space="preserve"> jeb vairāk kā desmitkārtīgi. Ieņēmumu palielinājums </w:t>
      </w:r>
      <w:r w:rsidR="00DB596B" w:rsidRPr="002A0A3A">
        <w:rPr>
          <w:rFonts w:ascii="Times New Roman" w:eastAsia="Times New Roman" w:hAnsi="Times New Roman" w:cs="Times New Roman"/>
          <w:bCs/>
          <w:sz w:val="28"/>
          <w:szCs w:val="28"/>
          <w:lang w:eastAsia="en-US"/>
        </w:rPr>
        <w:t>skaidrojams ar būtisku nodokļa atmaksu samazinājumu, kuras bija izveidojušās 2018.gada pirmajā pusgadā, uzņēmumiem turpinot veikt nodokļa avansa maksājumus</w:t>
      </w:r>
      <w:r w:rsidR="00DB596B" w:rsidRPr="002A0A3A">
        <w:rPr>
          <w:rFonts w:ascii="Times New Roman" w:eastAsia="Times New Roman" w:hAnsi="Times New Roman" w:cs="Times New Roman"/>
          <w:sz w:val="28"/>
          <w:szCs w:val="28"/>
          <w:lang w:eastAsia="en-US"/>
        </w:rPr>
        <w:t xml:space="preserve">. Vienlaikus pieaug arī nodokļa ieņēmumi no dividenžu izmaksas. Savukārt ieņēmumi no </w:t>
      </w:r>
      <w:r w:rsidR="00DB596B" w:rsidRPr="002A0A3A">
        <w:rPr>
          <w:rFonts w:ascii="Times New Roman" w:eastAsia="Times New Roman" w:hAnsi="Times New Roman" w:cs="Times New Roman"/>
          <w:bCs/>
          <w:sz w:val="28"/>
          <w:szCs w:val="28"/>
          <w:lang w:eastAsia="en-US"/>
        </w:rPr>
        <w:t xml:space="preserve">pusgada plāna atpaliek par </w:t>
      </w:r>
      <w:r w:rsidR="00DB596B" w:rsidRPr="002A0A3A">
        <w:rPr>
          <w:rFonts w:ascii="Times New Roman" w:eastAsia="Times New Roman" w:hAnsi="Times New Roman" w:cs="Times New Roman"/>
          <w:sz w:val="28"/>
          <w:szCs w:val="28"/>
          <w:lang w:eastAsia="en-US"/>
        </w:rPr>
        <w:t>42,7 milj. </w:t>
      </w:r>
      <w:r w:rsidR="00DB596B" w:rsidRPr="002A0A3A">
        <w:rPr>
          <w:rFonts w:ascii="Times New Roman" w:eastAsia="Times New Roman" w:hAnsi="Times New Roman" w:cs="Times New Roman"/>
          <w:i/>
          <w:sz w:val="28"/>
          <w:szCs w:val="28"/>
          <w:lang w:eastAsia="en-US"/>
        </w:rPr>
        <w:t>euro</w:t>
      </w:r>
      <w:r w:rsidR="00DB596B" w:rsidRPr="002A0A3A">
        <w:rPr>
          <w:rFonts w:ascii="Times New Roman" w:eastAsia="Times New Roman" w:hAnsi="Times New Roman" w:cs="Times New Roman"/>
          <w:bCs/>
          <w:sz w:val="28"/>
          <w:szCs w:val="28"/>
          <w:lang w:eastAsia="en-US"/>
        </w:rPr>
        <w:t xml:space="preserve"> jeb 27,9</w:t>
      </w:r>
      <w:r w:rsidR="00DB596B" w:rsidRPr="002A0A3A">
        <w:rPr>
          <w:rFonts w:ascii="Times New Roman" w:eastAsia="Times New Roman" w:hAnsi="Times New Roman" w:cs="Times New Roman"/>
          <w:noProof/>
          <w:sz w:val="28"/>
          <w:szCs w:val="28"/>
          <w:lang w:eastAsia="en-US"/>
        </w:rPr>
        <w:t>%</w:t>
      </w:r>
      <w:r w:rsidR="00DB596B" w:rsidRPr="002A0A3A">
        <w:rPr>
          <w:rFonts w:ascii="Times New Roman" w:eastAsia="Times New Roman" w:hAnsi="Times New Roman" w:cs="Times New Roman"/>
          <w:bCs/>
          <w:sz w:val="28"/>
          <w:szCs w:val="28"/>
          <w:lang w:eastAsia="en-US"/>
        </w:rPr>
        <w:t>, kā iemeslu minot joprojām augsto iepriekšējo gadu peļņas apmēru (par kuras sadali nodoklis netiek piemērots)</w:t>
      </w:r>
      <w:r w:rsidR="00DB596B" w:rsidRPr="002A0A3A">
        <w:rPr>
          <w:rFonts w:ascii="Times New Roman" w:eastAsia="Times New Roman" w:hAnsi="Times New Roman" w:cs="Times New Roman"/>
          <w:sz w:val="28"/>
          <w:szCs w:val="28"/>
          <w:lang w:eastAsia="en-US"/>
        </w:rPr>
        <w:t>. Ņemot vērā pirmā pusgada izpildi un makroekonomisko rādītāju izmaiņas, 2020.gada uzņēmumu ienākuma nodokļa prognoze tika samazināta par 61,0 milj. </w:t>
      </w:r>
      <w:r w:rsidR="00DB596B" w:rsidRPr="002A0A3A">
        <w:rPr>
          <w:rFonts w:ascii="Times New Roman" w:eastAsia="Times New Roman" w:hAnsi="Times New Roman" w:cs="Times New Roman"/>
          <w:i/>
          <w:sz w:val="28"/>
          <w:szCs w:val="28"/>
          <w:lang w:eastAsia="en-US"/>
        </w:rPr>
        <w:t>euro</w:t>
      </w:r>
      <w:r w:rsidR="00DB596B" w:rsidRPr="002A0A3A">
        <w:rPr>
          <w:rFonts w:ascii="Times New Roman" w:eastAsia="Times New Roman" w:hAnsi="Times New Roman" w:cs="Times New Roman"/>
          <w:sz w:val="28"/>
          <w:szCs w:val="28"/>
          <w:lang w:eastAsia="en-US"/>
        </w:rPr>
        <w:t xml:space="preserve"> jeb par 23,4%, salīdzinot ar plānu.</w:t>
      </w:r>
    </w:p>
    <w:p w14:paraId="23EB9839" w14:textId="1F019B34" w:rsidR="00DB596B" w:rsidRPr="002A0A3A" w:rsidRDefault="00DB596B" w:rsidP="002A0A3A">
      <w:pPr>
        <w:ind w:firstLine="720"/>
        <w:jc w:val="both"/>
        <w:rPr>
          <w:rFonts w:ascii="Times New Roman" w:eastAsia="Times New Roman" w:hAnsi="Times New Roman" w:cs="Times New Roman"/>
          <w:sz w:val="28"/>
          <w:szCs w:val="28"/>
          <w:lang w:eastAsia="en-US"/>
        </w:rPr>
      </w:pPr>
      <w:r w:rsidRPr="002A0A3A">
        <w:rPr>
          <w:rFonts w:ascii="Times New Roman" w:eastAsia="Times New Roman" w:hAnsi="Times New Roman" w:cs="Times New Roman"/>
          <w:sz w:val="28"/>
          <w:szCs w:val="28"/>
          <w:lang w:eastAsia="en-US"/>
        </w:rPr>
        <w:t xml:space="preserve">Kopš 2018.gada </w:t>
      </w:r>
      <w:r w:rsidR="00080F5D">
        <w:rPr>
          <w:rFonts w:ascii="Times New Roman" w:eastAsia="Times New Roman" w:hAnsi="Times New Roman" w:cs="Times New Roman"/>
          <w:sz w:val="28"/>
          <w:szCs w:val="28"/>
          <w:lang w:eastAsia="en-US"/>
        </w:rPr>
        <w:t>UIN</w:t>
      </w:r>
      <w:r w:rsidRPr="002A0A3A">
        <w:rPr>
          <w:rFonts w:ascii="Times New Roman" w:eastAsia="Times New Roman" w:hAnsi="Times New Roman" w:cs="Times New Roman"/>
          <w:sz w:val="28"/>
          <w:szCs w:val="28"/>
          <w:lang w:eastAsia="en-US"/>
        </w:rPr>
        <w:t xml:space="preserve"> piedzīvoja būtiskas pārmaiņas, kā rezultātā nodoklis tiek maksāts peļņas sadales un tai pielīdzināmos gadījumos.</w:t>
      </w:r>
      <w:r w:rsidR="002A0A3A">
        <w:rPr>
          <w:rFonts w:ascii="Times New Roman" w:eastAsia="Times New Roman" w:hAnsi="Times New Roman" w:cs="Times New Roman"/>
          <w:sz w:val="28"/>
          <w:szCs w:val="28"/>
          <w:lang w:eastAsia="en-US"/>
        </w:rPr>
        <w:t xml:space="preserve"> </w:t>
      </w:r>
      <w:r w:rsidR="00E00EF2">
        <w:rPr>
          <w:rFonts w:ascii="Times New Roman" w:eastAsia="Times New Roman" w:hAnsi="Times New Roman" w:cs="Times New Roman"/>
          <w:color w:val="000000"/>
          <w:sz w:val="28"/>
          <w:szCs w:val="28"/>
        </w:rPr>
        <w:t>Ar</w:t>
      </w:r>
      <w:r w:rsidRPr="002A0A3A">
        <w:rPr>
          <w:rFonts w:ascii="Times New Roman" w:eastAsia="Times New Roman" w:hAnsi="Times New Roman" w:cs="Times New Roman"/>
          <w:color w:val="000000"/>
          <w:sz w:val="28"/>
          <w:szCs w:val="28"/>
        </w:rPr>
        <w:t xml:space="preserve"> 2018.gada jūliju, ir būtiski mainījusies deklarācijas iesniegšanas kārtība – tā ir jāiesniedz par katru mēnesi, ja tajā ir izveidojušies ar nodokli apliekami ienākumi. </w:t>
      </w:r>
      <w:r w:rsidRPr="002A0A3A">
        <w:rPr>
          <w:rFonts w:ascii="Times New Roman" w:eastAsia="Times New Roman" w:hAnsi="Times New Roman" w:cs="Times New Roman"/>
          <w:bCs/>
          <w:color w:val="000000"/>
          <w:sz w:val="28"/>
          <w:szCs w:val="28"/>
        </w:rPr>
        <w:t xml:space="preserve">2020.gada. pirmajā pusgadā </w:t>
      </w:r>
      <w:r w:rsidRPr="002A0A3A">
        <w:rPr>
          <w:rFonts w:ascii="Times New Roman" w:eastAsia="Times New Roman" w:hAnsi="Times New Roman" w:cs="Times New Roman"/>
          <w:color w:val="000000"/>
          <w:sz w:val="28"/>
          <w:szCs w:val="28"/>
        </w:rPr>
        <w:t>visvairāk deklarētas dividendes vai dividendēm pielīdzinātas izmaksas 778,7 milj. </w:t>
      </w:r>
      <w:r w:rsidRPr="002A0A3A">
        <w:rPr>
          <w:rFonts w:ascii="Times New Roman" w:eastAsia="Times New Roman" w:hAnsi="Times New Roman" w:cs="Times New Roman"/>
          <w:bCs/>
          <w:i/>
          <w:color w:val="000000"/>
          <w:sz w:val="28"/>
          <w:szCs w:val="28"/>
        </w:rPr>
        <w:t>euro</w:t>
      </w:r>
      <w:r w:rsidRPr="002A0A3A">
        <w:rPr>
          <w:rFonts w:ascii="Times New Roman" w:eastAsia="Times New Roman" w:hAnsi="Times New Roman" w:cs="Times New Roman"/>
          <w:color w:val="000000"/>
          <w:sz w:val="28"/>
          <w:szCs w:val="28"/>
        </w:rPr>
        <w:t>, bet nosacīti sadalītā peļņa 40,7 milj. </w:t>
      </w:r>
      <w:r w:rsidRPr="002A0A3A">
        <w:rPr>
          <w:rFonts w:ascii="Times New Roman" w:eastAsia="Times New Roman" w:hAnsi="Times New Roman" w:cs="Times New Roman"/>
          <w:bCs/>
          <w:i/>
          <w:color w:val="000000"/>
          <w:sz w:val="28"/>
          <w:szCs w:val="28"/>
        </w:rPr>
        <w:t xml:space="preserve">euro </w:t>
      </w:r>
      <w:r w:rsidRPr="002A0A3A">
        <w:rPr>
          <w:rFonts w:ascii="Times New Roman" w:eastAsia="Times New Roman" w:hAnsi="Times New Roman" w:cs="Times New Roman"/>
          <w:bCs/>
          <w:color w:val="000000"/>
          <w:sz w:val="28"/>
          <w:szCs w:val="28"/>
        </w:rPr>
        <w:t>apmērā</w:t>
      </w:r>
      <w:r w:rsidRPr="002A0A3A">
        <w:rPr>
          <w:rFonts w:ascii="Times New Roman" w:eastAsia="Times New Roman" w:hAnsi="Times New Roman" w:cs="Times New Roman"/>
          <w:color w:val="000000"/>
          <w:sz w:val="28"/>
          <w:szCs w:val="28"/>
        </w:rPr>
        <w:t xml:space="preserve">. Jāpiebilst, ka, salīdzinot ar 2019.gada </w:t>
      </w:r>
      <w:r w:rsidRPr="002A0A3A">
        <w:rPr>
          <w:rFonts w:ascii="Times New Roman" w:eastAsia="Times New Roman" w:hAnsi="Times New Roman" w:cs="Times New Roman"/>
          <w:bCs/>
          <w:color w:val="000000"/>
          <w:sz w:val="28"/>
          <w:szCs w:val="28"/>
        </w:rPr>
        <w:t>pirmo pusgadu</w:t>
      </w:r>
      <w:r w:rsidRPr="002A0A3A">
        <w:rPr>
          <w:rFonts w:ascii="Times New Roman" w:eastAsia="Times New Roman" w:hAnsi="Times New Roman" w:cs="Times New Roman"/>
          <w:color w:val="000000"/>
          <w:sz w:val="28"/>
          <w:szCs w:val="28"/>
        </w:rPr>
        <w:t>, dividenžu izmaksas pieaugušas 58,8</w:t>
      </w:r>
      <w:r w:rsidRPr="002A0A3A">
        <w:rPr>
          <w:rFonts w:ascii="Times New Roman" w:eastAsia="Times New Roman" w:hAnsi="Times New Roman" w:cs="Times New Roman"/>
          <w:noProof/>
          <w:color w:val="000000"/>
          <w:sz w:val="28"/>
          <w:szCs w:val="28"/>
        </w:rPr>
        <w:t>%</w:t>
      </w:r>
      <w:r w:rsidRPr="002A0A3A">
        <w:rPr>
          <w:rFonts w:ascii="Times New Roman" w:eastAsia="Times New Roman" w:hAnsi="Times New Roman" w:cs="Times New Roman"/>
          <w:color w:val="000000"/>
          <w:sz w:val="28"/>
          <w:szCs w:val="28"/>
        </w:rPr>
        <w:t>, bet nosacīti sadalītā peļņa ir samazinājusies par 4,0</w:t>
      </w:r>
      <w:r w:rsidRPr="002A0A3A">
        <w:rPr>
          <w:rFonts w:ascii="Times New Roman" w:eastAsia="Times New Roman" w:hAnsi="Times New Roman" w:cs="Times New Roman"/>
          <w:noProof/>
          <w:color w:val="000000"/>
          <w:sz w:val="28"/>
          <w:szCs w:val="28"/>
        </w:rPr>
        <w:t> procentiem</w:t>
      </w:r>
      <w:r w:rsidRPr="002A0A3A">
        <w:rPr>
          <w:rFonts w:ascii="Times New Roman" w:eastAsia="Times New Roman" w:hAnsi="Times New Roman" w:cs="Times New Roman"/>
          <w:color w:val="000000"/>
          <w:sz w:val="28"/>
          <w:szCs w:val="28"/>
        </w:rPr>
        <w:t>.</w:t>
      </w:r>
    </w:p>
    <w:p w14:paraId="203B8BEA" w14:textId="3B1DF3E2" w:rsidR="00DB596B" w:rsidRPr="002A0A3A" w:rsidRDefault="00080F5D" w:rsidP="00401A5B">
      <w:pPr>
        <w:ind w:firstLine="720"/>
        <w:jc w:val="both"/>
        <w:rPr>
          <w:rFonts w:ascii="Times New Roman" w:eastAsia="Times New Roman" w:hAnsi="Times New Roman" w:cs="Times New Roman"/>
          <w:noProof/>
          <w:sz w:val="28"/>
          <w:szCs w:val="28"/>
        </w:rPr>
      </w:pPr>
      <w:r>
        <w:rPr>
          <w:rFonts w:ascii="Times New Roman" w:eastAsia="Times New Roman" w:hAnsi="Times New Roman" w:cs="Times New Roman"/>
          <w:bCs/>
          <w:sz w:val="28"/>
          <w:szCs w:val="28"/>
          <w:lang w:eastAsia="en-US"/>
        </w:rPr>
        <w:t>UIN</w:t>
      </w:r>
      <w:r w:rsidR="00DB596B" w:rsidRPr="002A0A3A">
        <w:rPr>
          <w:rFonts w:ascii="Times New Roman" w:eastAsia="Times New Roman" w:hAnsi="Times New Roman" w:cs="Times New Roman"/>
          <w:bCs/>
          <w:sz w:val="28"/>
          <w:szCs w:val="28"/>
          <w:lang w:eastAsia="en-US"/>
        </w:rPr>
        <w:t xml:space="preserve"> iema</w:t>
      </w:r>
      <w:r w:rsidR="002A0A3A">
        <w:rPr>
          <w:rFonts w:ascii="Times New Roman" w:eastAsia="Times New Roman" w:hAnsi="Times New Roman" w:cs="Times New Roman"/>
          <w:bCs/>
          <w:sz w:val="28"/>
          <w:szCs w:val="28"/>
          <w:lang w:eastAsia="en-US"/>
        </w:rPr>
        <w:t>ksas, salīdzinot ar pērnā gada sešiem</w:t>
      </w:r>
      <w:r w:rsidR="00DB596B" w:rsidRPr="002A0A3A">
        <w:rPr>
          <w:rFonts w:ascii="Times New Roman" w:eastAsia="Times New Roman" w:hAnsi="Times New Roman" w:cs="Times New Roman"/>
          <w:bCs/>
          <w:sz w:val="28"/>
          <w:szCs w:val="28"/>
          <w:lang w:eastAsia="en-US"/>
        </w:rPr>
        <w:t xml:space="preserve"> mēnešiem pieaugušas par 38,2 milj. </w:t>
      </w:r>
      <w:r w:rsidR="00DB596B" w:rsidRPr="002A0A3A">
        <w:rPr>
          <w:rFonts w:ascii="Times New Roman" w:eastAsia="Times New Roman" w:hAnsi="Times New Roman" w:cs="Times New Roman"/>
          <w:bCs/>
          <w:i/>
          <w:sz w:val="28"/>
          <w:szCs w:val="28"/>
          <w:lang w:eastAsia="en-US"/>
        </w:rPr>
        <w:t xml:space="preserve">euro </w:t>
      </w:r>
      <w:r w:rsidR="00DB596B" w:rsidRPr="002A0A3A">
        <w:rPr>
          <w:rFonts w:ascii="Times New Roman" w:eastAsia="Times New Roman" w:hAnsi="Times New Roman" w:cs="Times New Roman"/>
          <w:bCs/>
          <w:sz w:val="28"/>
          <w:szCs w:val="28"/>
          <w:lang w:eastAsia="en-US"/>
        </w:rPr>
        <w:t>jeb 38,5</w:t>
      </w:r>
      <w:r w:rsidR="00DB596B" w:rsidRPr="002A0A3A">
        <w:rPr>
          <w:rFonts w:ascii="Times New Roman" w:eastAsia="Times New Roman" w:hAnsi="Times New Roman" w:cs="Times New Roman"/>
          <w:noProof/>
          <w:sz w:val="28"/>
          <w:szCs w:val="28"/>
          <w:lang w:eastAsia="en-US"/>
        </w:rPr>
        <w:t>%</w:t>
      </w:r>
      <w:r w:rsidR="00DB596B" w:rsidRPr="002A0A3A">
        <w:rPr>
          <w:rFonts w:ascii="Times New Roman" w:eastAsia="Times New Roman" w:hAnsi="Times New Roman" w:cs="Times New Roman"/>
          <w:bCs/>
          <w:sz w:val="28"/>
          <w:szCs w:val="28"/>
          <w:lang w:eastAsia="en-US"/>
        </w:rPr>
        <w:t xml:space="preserve">, bet atmaksas samazinājušās par 62,8 milj. </w:t>
      </w:r>
      <w:r w:rsidR="00DB596B" w:rsidRPr="002A0A3A">
        <w:rPr>
          <w:rFonts w:ascii="Times New Roman" w:eastAsia="Times New Roman" w:hAnsi="Times New Roman" w:cs="Times New Roman"/>
          <w:bCs/>
          <w:i/>
          <w:sz w:val="28"/>
          <w:szCs w:val="28"/>
          <w:lang w:eastAsia="en-US"/>
        </w:rPr>
        <w:t>euro</w:t>
      </w:r>
      <w:r w:rsidR="00DB596B" w:rsidRPr="002A0A3A">
        <w:rPr>
          <w:rFonts w:ascii="Times New Roman" w:eastAsia="Times New Roman" w:hAnsi="Times New Roman" w:cs="Times New Roman"/>
          <w:bCs/>
          <w:sz w:val="28"/>
          <w:szCs w:val="28"/>
          <w:lang w:eastAsia="en-US"/>
        </w:rPr>
        <w:t xml:space="preserve"> jeb 70,0 </w:t>
      </w:r>
      <w:r w:rsidR="00DB596B" w:rsidRPr="002A0A3A">
        <w:rPr>
          <w:rFonts w:ascii="Times New Roman" w:eastAsia="Times New Roman" w:hAnsi="Times New Roman" w:cs="Times New Roman"/>
          <w:noProof/>
          <w:sz w:val="28"/>
          <w:szCs w:val="28"/>
          <w:lang w:eastAsia="en-US"/>
        </w:rPr>
        <w:t>procentiem</w:t>
      </w:r>
      <w:r w:rsidR="00DB596B" w:rsidRPr="002A0A3A">
        <w:rPr>
          <w:rFonts w:ascii="Times New Roman" w:eastAsia="Times New Roman" w:hAnsi="Times New Roman" w:cs="Times New Roman"/>
          <w:bCs/>
          <w:sz w:val="28"/>
          <w:szCs w:val="28"/>
          <w:lang w:eastAsia="en-US"/>
        </w:rPr>
        <w:t>.</w:t>
      </w:r>
      <w:r w:rsidR="00DB596B" w:rsidRPr="002A0A3A">
        <w:rPr>
          <w:rFonts w:ascii="Times New Roman" w:eastAsia="Times New Roman" w:hAnsi="Times New Roman" w:cs="Times New Roman"/>
          <w:sz w:val="28"/>
          <w:szCs w:val="28"/>
          <w:lang w:eastAsia="en-US"/>
        </w:rPr>
        <w:t xml:space="preserve"> </w:t>
      </w:r>
    </w:p>
    <w:p w14:paraId="0E99FF12" w14:textId="67A15CB9" w:rsidR="00DB596B" w:rsidRPr="002A0A3A" w:rsidRDefault="00080F5D" w:rsidP="00E00EF2">
      <w:pPr>
        <w:ind w:firstLine="72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UIN</w:t>
      </w:r>
      <w:r w:rsidR="00DB596B" w:rsidRPr="002A0A3A">
        <w:rPr>
          <w:rFonts w:ascii="Times New Roman" w:eastAsia="Times New Roman" w:hAnsi="Times New Roman" w:cs="Times New Roman"/>
          <w:sz w:val="28"/>
          <w:szCs w:val="28"/>
          <w:lang w:eastAsia="en-US"/>
        </w:rPr>
        <w:t xml:space="preserve"> pārmaksa 2020.gada jūnija beigās bija 49,5 milj. </w:t>
      </w:r>
      <w:r w:rsidR="00DB596B" w:rsidRPr="002A0A3A">
        <w:rPr>
          <w:rFonts w:ascii="Times New Roman" w:eastAsia="Times New Roman" w:hAnsi="Times New Roman" w:cs="Times New Roman"/>
          <w:bCs/>
          <w:i/>
          <w:sz w:val="28"/>
          <w:szCs w:val="28"/>
          <w:lang w:eastAsia="en-US"/>
        </w:rPr>
        <w:t>euro</w:t>
      </w:r>
      <w:r w:rsidR="00DB596B" w:rsidRPr="002A0A3A">
        <w:rPr>
          <w:rFonts w:ascii="Times New Roman" w:eastAsia="Times New Roman" w:hAnsi="Times New Roman" w:cs="Times New Roman"/>
          <w:sz w:val="28"/>
          <w:szCs w:val="28"/>
          <w:lang w:eastAsia="en-US"/>
        </w:rPr>
        <w:t>. Salīdzinot ar 2019.gada jūnija beigām, tā ir samazinājusies par 69,4 milj. </w:t>
      </w:r>
      <w:r w:rsidR="00DB596B" w:rsidRPr="002A0A3A">
        <w:rPr>
          <w:rFonts w:ascii="Times New Roman" w:eastAsia="Times New Roman" w:hAnsi="Times New Roman" w:cs="Times New Roman"/>
          <w:bCs/>
          <w:i/>
          <w:sz w:val="28"/>
          <w:szCs w:val="28"/>
          <w:lang w:eastAsia="en-US"/>
        </w:rPr>
        <w:t>euro</w:t>
      </w:r>
      <w:r w:rsidR="00DB596B" w:rsidRPr="002A0A3A">
        <w:rPr>
          <w:rFonts w:ascii="Times New Roman" w:eastAsia="Times New Roman" w:hAnsi="Times New Roman" w:cs="Times New Roman"/>
          <w:sz w:val="28"/>
          <w:szCs w:val="28"/>
          <w:lang w:eastAsia="en-US"/>
        </w:rPr>
        <w:t xml:space="preserve"> jeb 58,4 </w:t>
      </w:r>
      <w:r w:rsidR="00DB596B" w:rsidRPr="002A0A3A">
        <w:rPr>
          <w:rFonts w:ascii="Times New Roman" w:eastAsia="Times New Roman" w:hAnsi="Times New Roman" w:cs="Times New Roman"/>
          <w:noProof/>
          <w:sz w:val="28"/>
          <w:szCs w:val="28"/>
          <w:lang w:eastAsia="en-US"/>
        </w:rPr>
        <w:t>%</w:t>
      </w:r>
      <w:r w:rsidR="00DB596B" w:rsidRPr="002A0A3A">
        <w:rPr>
          <w:rFonts w:ascii="Times New Roman" w:eastAsia="Times New Roman" w:hAnsi="Times New Roman" w:cs="Times New Roman"/>
          <w:sz w:val="28"/>
          <w:szCs w:val="28"/>
          <w:lang w:eastAsia="en-US"/>
        </w:rPr>
        <w:t>, bet, salīdzinot ar 2019.gada beigām, tā ir samazinājusies par 30,0 milj. </w:t>
      </w:r>
      <w:r w:rsidR="00DB596B" w:rsidRPr="002A0A3A">
        <w:rPr>
          <w:rFonts w:ascii="Times New Roman" w:eastAsia="Times New Roman" w:hAnsi="Times New Roman" w:cs="Times New Roman"/>
          <w:bCs/>
          <w:i/>
          <w:sz w:val="28"/>
          <w:szCs w:val="28"/>
          <w:lang w:eastAsia="en-US"/>
        </w:rPr>
        <w:t>euro</w:t>
      </w:r>
      <w:r w:rsidR="00DB596B" w:rsidRPr="002A0A3A">
        <w:rPr>
          <w:rFonts w:ascii="Times New Roman" w:eastAsia="Times New Roman" w:hAnsi="Times New Roman" w:cs="Times New Roman"/>
          <w:sz w:val="28"/>
          <w:szCs w:val="28"/>
          <w:lang w:eastAsia="en-US"/>
        </w:rPr>
        <w:t xml:space="preserve"> jeb 37,7 </w:t>
      </w:r>
      <w:r w:rsidR="00DB596B" w:rsidRPr="002A0A3A">
        <w:rPr>
          <w:rFonts w:ascii="Times New Roman" w:eastAsia="Times New Roman" w:hAnsi="Times New Roman" w:cs="Times New Roman"/>
          <w:noProof/>
          <w:sz w:val="28"/>
          <w:szCs w:val="28"/>
          <w:lang w:eastAsia="en-US"/>
        </w:rPr>
        <w:t>procentiem</w:t>
      </w:r>
      <w:r w:rsidR="00DB596B" w:rsidRPr="002A0A3A">
        <w:rPr>
          <w:rFonts w:ascii="Times New Roman" w:eastAsia="Times New Roman" w:hAnsi="Times New Roman" w:cs="Times New Roman"/>
          <w:i/>
          <w:sz w:val="28"/>
          <w:szCs w:val="28"/>
          <w:lang w:eastAsia="en-US"/>
        </w:rPr>
        <w:t xml:space="preserve">. </w:t>
      </w:r>
      <w:r w:rsidR="00DB596B" w:rsidRPr="002A0A3A">
        <w:rPr>
          <w:rFonts w:ascii="Times New Roman" w:eastAsia="Times New Roman" w:hAnsi="Times New Roman" w:cs="Times New Roman"/>
          <w:sz w:val="28"/>
          <w:szCs w:val="28"/>
          <w:lang w:eastAsia="en-US"/>
        </w:rPr>
        <w:t>Savukārt nozaru griezumā lielākā pārmaksa (12,7 milj. </w:t>
      </w:r>
      <w:r w:rsidR="00DB596B" w:rsidRPr="002A0A3A">
        <w:rPr>
          <w:rFonts w:ascii="Times New Roman" w:eastAsia="Times New Roman" w:hAnsi="Times New Roman" w:cs="Times New Roman"/>
          <w:bCs/>
          <w:i/>
          <w:sz w:val="28"/>
          <w:szCs w:val="28"/>
          <w:lang w:eastAsia="en-US"/>
        </w:rPr>
        <w:t>euro</w:t>
      </w:r>
      <w:r w:rsidR="00DB596B" w:rsidRPr="002A0A3A">
        <w:rPr>
          <w:rFonts w:ascii="Times New Roman" w:eastAsia="Times New Roman" w:hAnsi="Times New Roman" w:cs="Times New Roman"/>
          <w:sz w:val="28"/>
          <w:szCs w:val="28"/>
          <w:lang w:eastAsia="en-US"/>
        </w:rPr>
        <w:t xml:space="preserve"> jeb 25,7</w:t>
      </w:r>
      <w:r w:rsidR="00DB596B" w:rsidRPr="002A0A3A">
        <w:rPr>
          <w:rFonts w:ascii="Times New Roman" w:eastAsia="Times New Roman" w:hAnsi="Times New Roman" w:cs="Times New Roman"/>
          <w:noProof/>
          <w:sz w:val="28"/>
          <w:szCs w:val="28"/>
          <w:lang w:eastAsia="en-US"/>
        </w:rPr>
        <w:t>%</w:t>
      </w:r>
      <w:r w:rsidR="00DB596B" w:rsidRPr="002A0A3A">
        <w:rPr>
          <w:rFonts w:ascii="Times New Roman" w:eastAsia="Times New Roman" w:hAnsi="Times New Roman" w:cs="Times New Roman"/>
          <w:sz w:val="28"/>
          <w:szCs w:val="28"/>
          <w:lang w:eastAsia="en-US"/>
        </w:rPr>
        <w:t xml:space="preserve"> no kopējās pārmaksu summas) ir finanšu un apdrošināšanas darbību nozares nodokļu maksātājiem, kam seko vairumtirdzniecības un mazumtirdzniecības; automobiļu un motociklu remonta nozares nodokļu maksātāji (23,2</w:t>
      </w:r>
      <w:r w:rsidR="00DB596B" w:rsidRPr="002A0A3A">
        <w:rPr>
          <w:rFonts w:ascii="Times New Roman" w:eastAsia="Times New Roman" w:hAnsi="Times New Roman" w:cs="Times New Roman"/>
          <w:noProof/>
          <w:sz w:val="28"/>
          <w:szCs w:val="28"/>
          <w:lang w:eastAsia="en-US"/>
        </w:rPr>
        <w:t>%</w:t>
      </w:r>
      <w:r w:rsidR="00DB596B" w:rsidRPr="002A0A3A">
        <w:rPr>
          <w:rFonts w:ascii="Times New Roman" w:eastAsia="Times New Roman" w:hAnsi="Times New Roman" w:cs="Times New Roman"/>
          <w:sz w:val="28"/>
          <w:szCs w:val="28"/>
          <w:lang w:eastAsia="en-US"/>
        </w:rPr>
        <w:t>) un apstrādes nozares nodokļu maksātāji (12,0</w:t>
      </w:r>
      <w:r w:rsidR="00DB596B" w:rsidRPr="002A0A3A">
        <w:rPr>
          <w:rFonts w:ascii="Times New Roman" w:eastAsia="Times New Roman" w:hAnsi="Times New Roman" w:cs="Times New Roman"/>
          <w:noProof/>
          <w:sz w:val="28"/>
          <w:szCs w:val="28"/>
          <w:lang w:eastAsia="en-US"/>
        </w:rPr>
        <w:t>%</w:t>
      </w:r>
      <w:r w:rsidR="00DB596B" w:rsidRPr="002A0A3A">
        <w:rPr>
          <w:rFonts w:ascii="Times New Roman" w:eastAsia="Times New Roman" w:hAnsi="Times New Roman" w:cs="Times New Roman"/>
          <w:sz w:val="28"/>
          <w:szCs w:val="28"/>
          <w:lang w:eastAsia="en-US"/>
        </w:rPr>
        <w:t xml:space="preserve">). Būtiskais pārmaksu kāpums bija vērojams 2018.gada 2.pusgadā un ir saistāms ar </w:t>
      </w:r>
      <w:r>
        <w:rPr>
          <w:rFonts w:ascii="Times New Roman" w:eastAsia="Times New Roman" w:hAnsi="Times New Roman" w:cs="Times New Roman"/>
          <w:sz w:val="28"/>
          <w:szCs w:val="28"/>
          <w:lang w:eastAsia="en-US"/>
        </w:rPr>
        <w:t>UIN</w:t>
      </w:r>
      <w:r w:rsidR="00DB596B" w:rsidRPr="002A0A3A">
        <w:rPr>
          <w:rFonts w:ascii="Times New Roman" w:eastAsia="Times New Roman" w:hAnsi="Times New Roman" w:cs="Times New Roman"/>
          <w:sz w:val="28"/>
          <w:szCs w:val="28"/>
          <w:lang w:eastAsia="en-US"/>
        </w:rPr>
        <w:t xml:space="preserve"> reformu – 2018.gada 1.pusgadā vēl tika veikti nodokļa avansa maksājumi, savukārt līdz 2018.gada 20.jūlijam bija jāiesniedz deklarācijas par 2018.gada 1.pusgadu. Pēc tām tika aprēķināta nodokļa summa, kas izrādījās būtiski mazāka par veiktajiem avansa maksājumiem, veidojot ievērojamu nodokļa pārmaksu. Pēc tam pārmaksu apmērs ir pakāpeniski samazinājies.</w:t>
      </w:r>
    </w:p>
    <w:p w14:paraId="44DB1D52" w14:textId="6ABF2BF6" w:rsidR="00DB596B" w:rsidRPr="002A0A3A" w:rsidRDefault="00DB596B" w:rsidP="00401A5B">
      <w:pPr>
        <w:ind w:firstLine="720"/>
        <w:jc w:val="both"/>
        <w:rPr>
          <w:rFonts w:ascii="Times New Roman" w:eastAsia="Times New Roman" w:hAnsi="Times New Roman" w:cs="Times New Roman"/>
          <w:sz w:val="28"/>
          <w:szCs w:val="28"/>
          <w:lang w:eastAsia="en-US"/>
        </w:rPr>
      </w:pPr>
      <w:r w:rsidRPr="002A0A3A">
        <w:rPr>
          <w:rFonts w:ascii="Times New Roman" w:eastAsia="Times New Roman" w:hAnsi="Times New Roman" w:cs="Times New Roman"/>
          <w:sz w:val="28"/>
          <w:szCs w:val="28"/>
          <w:lang w:eastAsia="en-US"/>
        </w:rPr>
        <w:t xml:space="preserve">Saskaņā ar </w:t>
      </w:r>
      <w:r w:rsidR="00080F5D">
        <w:rPr>
          <w:rFonts w:ascii="Times New Roman" w:eastAsia="Times New Roman" w:hAnsi="Times New Roman" w:cs="Times New Roman"/>
          <w:sz w:val="28"/>
          <w:szCs w:val="28"/>
          <w:lang w:eastAsia="en-US"/>
        </w:rPr>
        <w:t>VTBIL 2021., 2022. un 2023.gadam projektu</w:t>
      </w:r>
      <w:r w:rsidRPr="002A0A3A">
        <w:rPr>
          <w:rFonts w:ascii="Times New Roman" w:eastAsia="Times New Roman" w:hAnsi="Times New Roman" w:cs="Times New Roman"/>
          <w:sz w:val="28"/>
          <w:szCs w:val="28"/>
          <w:lang w:eastAsia="en-US"/>
        </w:rPr>
        <w:t xml:space="preserve"> 2021.gadā </w:t>
      </w:r>
      <w:r w:rsidR="00080F5D">
        <w:rPr>
          <w:rFonts w:ascii="Times New Roman" w:eastAsia="Times New Roman" w:hAnsi="Times New Roman" w:cs="Times New Roman"/>
          <w:sz w:val="28"/>
          <w:szCs w:val="28"/>
          <w:lang w:eastAsia="en-US"/>
        </w:rPr>
        <w:t>UIN</w:t>
      </w:r>
      <w:r w:rsidRPr="002A0A3A">
        <w:rPr>
          <w:rFonts w:ascii="Times New Roman" w:eastAsia="Times New Roman" w:hAnsi="Times New Roman" w:cs="Times New Roman"/>
          <w:sz w:val="28"/>
          <w:szCs w:val="28"/>
          <w:lang w:eastAsia="en-US"/>
        </w:rPr>
        <w:t xml:space="preserve"> ieņēmumi tiek plānoti 263,2 milj. </w:t>
      </w:r>
      <w:r w:rsidRPr="002A0A3A">
        <w:rPr>
          <w:rFonts w:ascii="Times New Roman" w:eastAsia="Times New Roman" w:hAnsi="Times New Roman" w:cs="Times New Roman"/>
          <w:i/>
          <w:sz w:val="28"/>
          <w:szCs w:val="28"/>
          <w:lang w:eastAsia="en-US"/>
        </w:rPr>
        <w:t>euro</w:t>
      </w:r>
      <w:r w:rsidRPr="002A0A3A">
        <w:rPr>
          <w:rFonts w:ascii="Times New Roman" w:eastAsia="Times New Roman" w:hAnsi="Times New Roman" w:cs="Times New Roman"/>
          <w:sz w:val="28"/>
          <w:szCs w:val="28"/>
          <w:lang w:eastAsia="en-US"/>
        </w:rPr>
        <w:t>, 2022.gadā 308,1 milj. </w:t>
      </w:r>
      <w:r w:rsidRPr="002A0A3A">
        <w:rPr>
          <w:rFonts w:ascii="Times New Roman" w:eastAsia="Times New Roman" w:hAnsi="Times New Roman" w:cs="Times New Roman"/>
          <w:i/>
          <w:sz w:val="28"/>
          <w:szCs w:val="28"/>
          <w:lang w:eastAsia="en-US"/>
        </w:rPr>
        <w:t>euro</w:t>
      </w:r>
      <w:r w:rsidRPr="002A0A3A">
        <w:rPr>
          <w:rFonts w:ascii="Times New Roman" w:eastAsia="Times New Roman" w:hAnsi="Times New Roman" w:cs="Times New Roman"/>
          <w:sz w:val="28"/>
          <w:szCs w:val="28"/>
          <w:lang w:eastAsia="en-US"/>
        </w:rPr>
        <w:t xml:space="preserve"> un 2023.gadā 314,8 milj. </w:t>
      </w:r>
      <w:r w:rsidRPr="002A0A3A">
        <w:rPr>
          <w:rFonts w:ascii="Times New Roman" w:eastAsia="Times New Roman" w:hAnsi="Times New Roman" w:cs="Times New Roman"/>
          <w:i/>
          <w:spacing w:val="-6"/>
          <w:sz w:val="28"/>
          <w:szCs w:val="28"/>
          <w:lang w:eastAsia="en-US"/>
        </w:rPr>
        <w:t>euro</w:t>
      </w:r>
      <w:r w:rsidRPr="002A0A3A">
        <w:rPr>
          <w:rFonts w:ascii="Times New Roman" w:eastAsia="Times New Roman" w:hAnsi="Times New Roman" w:cs="Times New Roman"/>
          <w:sz w:val="28"/>
          <w:szCs w:val="28"/>
          <w:lang w:eastAsia="en-US"/>
        </w:rPr>
        <w:t xml:space="preserve"> apmērā.</w:t>
      </w:r>
    </w:p>
    <w:p w14:paraId="2500AD14" w14:textId="6F5CC61C" w:rsidR="00DB596B" w:rsidRPr="002A0A3A" w:rsidRDefault="00080F5D" w:rsidP="00401A5B">
      <w:pPr>
        <w:ind w:firstLine="72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UIN</w:t>
      </w:r>
      <w:r w:rsidR="00DB596B" w:rsidRPr="002A0A3A">
        <w:rPr>
          <w:rFonts w:ascii="Times New Roman" w:eastAsia="Times New Roman" w:hAnsi="Times New Roman" w:cs="Times New Roman"/>
          <w:sz w:val="28"/>
          <w:szCs w:val="28"/>
          <w:lang w:eastAsia="en-US"/>
        </w:rPr>
        <w:t xml:space="preserve"> 2021.-2023.gadam ieņēmumu plānu galvenokārt ietekmēs nodokļa apmēra par peļņas sadali pieauguma tendences, 2020.gada pirmā pusgada izpilde, kā arī</w:t>
      </w:r>
      <w:r>
        <w:rPr>
          <w:rFonts w:ascii="Times New Roman" w:eastAsia="Times New Roman" w:hAnsi="Times New Roman" w:cs="Times New Roman"/>
          <w:sz w:val="28"/>
          <w:szCs w:val="28"/>
        </w:rPr>
        <w:t xml:space="preserve"> 3.1.</w:t>
      </w:r>
      <w:r w:rsidR="00DB596B" w:rsidRPr="002A0A3A">
        <w:rPr>
          <w:rFonts w:ascii="Times New Roman" w:eastAsia="Times New Roman" w:hAnsi="Times New Roman" w:cs="Times New Roman"/>
          <w:sz w:val="28"/>
          <w:szCs w:val="28"/>
        </w:rPr>
        <w:t>sadaļā minētie pasākumi</w:t>
      </w:r>
      <w:r w:rsidR="00DB596B" w:rsidRPr="002A0A3A">
        <w:rPr>
          <w:rFonts w:ascii="Times New Roman" w:eastAsia="Times New Roman" w:hAnsi="Times New Roman" w:cs="Times New Roman"/>
          <w:sz w:val="28"/>
          <w:szCs w:val="28"/>
          <w:lang w:eastAsia="en-US"/>
        </w:rPr>
        <w:t>.</w:t>
      </w:r>
    </w:p>
    <w:p w14:paraId="25FCAD63" w14:textId="7112EE05" w:rsidR="00DB596B" w:rsidRPr="002A0A3A" w:rsidRDefault="00DB596B" w:rsidP="00401A5B">
      <w:pPr>
        <w:ind w:firstLine="567"/>
        <w:jc w:val="both"/>
        <w:rPr>
          <w:rFonts w:ascii="Times New Roman" w:eastAsia="Times New Roman" w:hAnsi="Times New Roman" w:cs="Times New Roman"/>
          <w:sz w:val="28"/>
          <w:szCs w:val="28"/>
          <w:lang w:eastAsia="en-US"/>
        </w:rPr>
      </w:pPr>
      <w:r w:rsidRPr="002A0A3A">
        <w:rPr>
          <w:rFonts w:ascii="Times New Roman" w:eastAsia="Calibri" w:hAnsi="Times New Roman" w:cs="Times New Roman"/>
          <w:sz w:val="28"/>
          <w:szCs w:val="28"/>
        </w:rPr>
        <w:t xml:space="preserve">Netieši </w:t>
      </w:r>
      <w:r w:rsidR="00080F5D" w:rsidRPr="002A0A3A">
        <w:rPr>
          <w:rFonts w:ascii="Times New Roman" w:eastAsia="Times New Roman" w:hAnsi="Times New Roman" w:cs="Times New Roman"/>
          <w:sz w:val="28"/>
          <w:szCs w:val="28"/>
          <w:lang w:eastAsia="en-US"/>
        </w:rPr>
        <w:t xml:space="preserve">ieņēmumu plānu </w:t>
      </w:r>
      <w:r w:rsidR="00080F5D">
        <w:rPr>
          <w:rFonts w:ascii="Times New Roman" w:eastAsia="Calibri" w:hAnsi="Times New Roman" w:cs="Times New Roman"/>
          <w:sz w:val="28"/>
          <w:szCs w:val="28"/>
        </w:rPr>
        <w:t>ietekmēs</w:t>
      </w:r>
      <w:r w:rsidRPr="002A0A3A">
        <w:rPr>
          <w:rFonts w:ascii="Times New Roman" w:eastAsia="Calibri" w:hAnsi="Times New Roman" w:cs="Times New Roman"/>
          <w:sz w:val="28"/>
          <w:szCs w:val="28"/>
        </w:rPr>
        <w:t xml:space="preserve"> lēmumi saistībā ar valsts kapitālsabiedrību dividendēs izmaksājamās daļas palielināšanu, kas </w:t>
      </w:r>
      <w:r w:rsidR="00080F5D">
        <w:rPr>
          <w:rFonts w:ascii="Times New Roman" w:eastAsia="Calibri" w:hAnsi="Times New Roman" w:cs="Times New Roman"/>
          <w:sz w:val="28"/>
          <w:szCs w:val="28"/>
        </w:rPr>
        <w:t>MK</w:t>
      </w:r>
      <w:r w:rsidRPr="002A0A3A">
        <w:rPr>
          <w:rFonts w:ascii="Times New Roman" w:eastAsia="Calibri" w:hAnsi="Times New Roman" w:cs="Times New Roman"/>
          <w:sz w:val="28"/>
          <w:szCs w:val="28"/>
        </w:rPr>
        <w:t xml:space="preserve"> atbalstīti likumprojekta “Par valsts budžetu 2021.gadam” izstrādes gaitā:</w:t>
      </w:r>
    </w:p>
    <w:p w14:paraId="69946FA0" w14:textId="0AEA4795" w:rsidR="00DB596B" w:rsidRPr="002A0A3A" w:rsidRDefault="00080F5D" w:rsidP="00FB2B77">
      <w:pPr>
        <w:numPr>
          <w:ilvl w:val="0"/>
          <w:numId w:val="25"/>
        </w:numPr>
        <w:ind w:left="1418" w:hanging="425"/>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palielināt VAS</w:t>
      </w:r>
      <w:r w:rsidR="00DB596B" w:rsidRPr="002A0A3A">
        <w:rPr>
          <w:rFonts w:ascii="Times New Roman" w:eastAsia="Times New Roman" w:hAnsi="Times New Roman" w:cs="Times New Roman"/>
          <w:sz w:val="28"/>
          <w:szCs w:val="28"/>
          <w:lang w:eastAsia="en-US"/>
        </w:rPr>
        <w:t xml:space="preserve"> "Latvijas valsts meži" dividendēs izmaksājamo peļņas daļu (fiskālā ietekme 2021.gadā +3,6 milj. </w:t>
      </w:r>
      <w:r w:rsidR="00DB596B" w:rsidRPr="002A0A3A">
        <w:rPr>
          <w:rFonts w:ascii="Times New Roman" w:eastAsia="Times New Roman" w:hAnsi="Times New Roman" w:cs="Times New Roman"/>
          <w:i/>
          <w:spacing w:val="-6"/>
          <w:sz w:val="28"/>
          <w:szCs w:val="28"/>
          <w:lang w:eastAsia="en-US"/>
        </w:rPr>
        <w:t xml:space="preserve">euro, </w:t>
      </w:r>
      <w:r w:rsidR="00DB596B" w:rsidRPr="002A0A3A">
        <w:rPr>
          <w:rFonts w:ascii="Times New Roman" w:eastAsia="Times New Roman" w:hAnsi="Times New Roman" w:cs="Times New Roman"/>
          <w:sz w:val="28"/>
          <w:szCs w:val="28"/>
          <w:lang w:eastAsia="en-US"/>
        </w:rPr>
        <w:t>2022.gadā +0,6 milj. </w:t>
      </w:r>
      <w:r w:rsidR="00DB596B" w:rsidRPr="002A0A3A">
        <w:rPr>
          <w:rFonts w:ascii="Times New Roman" w:eastAsia="Times New Roman" w:hAnsi="Times New Roman" w:cs="Times New Roman"/>
          <w:i/>
          <w:spacing w:val="-6"/>
          <w:sz w:val="28"/>
          <w:szCs w:val="28"/>
          <w:lang w:eastAsia="en-US"/>
        </w:rPr>
        <w:t xml:space="preserve">euro </w:t>
      </w:r>
      <w:r w:rsidR="00DB596B" w:rsidRPr="002A0A3A">
        <w:rPr>
          <w:rFonts w:ascii="Times New Roman" w:eastAsia="Times New Roman" w:hAnsi="Times New Roman" w:cs="Times New Roman"/>
          <w:spacing w:val="-6"/>
          <w:sz w:val="28"/>
          <w:szCs w:val="28"/>
          <w:lang w:eastAsia="en-US"/>
        </w:rPr>
        <w:t>un</w:t>
      </w:r>
      <w:r w:rsidR="00DB596B" w:rsidRPr="002A0A3A">
        <w:rPr>
          <w:rFonts w:ascii="Times New Roman" w:eastAsia="Times New Roman" w:hAnsi="Times New Roman" w:cs="Times New Roman"/>
          <w:i/>
          <w:spacing w:val="-6"/>
          <w:sz w:val="28"/>
          <w:szCs w:val="28"/>
          <w:lang w:eastAsia="en-US"/>
        </w:rPr>
        <w:t xml:space="preserve"> </w:t>
      </w:r>
      <w:r w:rsidR="00DB596B" w:rsidRPr="002A0A3A">
        <w:rPr>
          <w:rFonts w:ascii="Times New Roman" w:eastAsia="Times New Roman" w:hAnsi="Times New Roman" w:cs="Times New Roman"/>
          <w:sz w:val="28"/>
          <w:szCs w:val="28"/>
          <w:lang w:eastAsia="en-US"/>
        </w:rPr>
        <w:t>2023.gadā +0,6 milj. </w:t>
      </w:r>
      <w:r w:rsidR="00DB596B" w:rsidRPr="002A0A3A">
        <w:rPr>
          <w:rFonts w:ascii="Times New Roman" w:eastAsia="Times New Roman" w:hAnsi="Times New Roman" w:cs="Times New Roman"/>
          <w:i/>
          <w:spacing w:val="-6"/>
          <w:sz w:val="28"/>
          <w:szCs w:val="28"/>
          <w:lang w:eastAsia="en-US"/>
        </w:rPr>
        <w:t>euro</w:t>
      </w:r>
      <w:r w:rsidR="00DB596B" w:rsidRPr="002A0A3A">
        <w:rPr>
          <w:rFonts w:ascii="Times New Roman" w:eastAsia="Times New Roman" w:hAnsi="Times New Roman" w:cs="Times New Roman"/>
          <w:spacing w:val="-6"/>
          <w:sz w:val="28"/>
          <w:szCs w:val="28"/>
          <w:lang w:eastAsia="en-US"/>
        </w:rPr>
        <w:t>)</w:t>
      </w:r>
      <w:r w:rsidR="00DB596B" w:rsidRPr="002A0A3A">
        <w:rPr>
          <w:rFonts w:ascii="Times New Roman" w:eastAsia="Times New Roman" w:hAnsi="Times New Roman" w:cs="Times New Roman"/>
          <w:sz w:val="28"/>
          <w:szCs w:val="28"/>
          <w:lang w:eastAsia="en-US"/>
        </w:rPr>
        <w:t>;</w:t>
      </w:r>
    </w:p>
    <w:p w14:paraId="7E8B43F5" w14:textId="2DD06AFB" w:rsidR="00DB596B" w:rsidRPr="00080F5D" w:rsidRDefault="00DB596B" w:rsidP="00FB2B77">
      <w:pPr>
        <w:numPr>
          <w:ilvl w:val="0"/>
          <w:numId w:val="25"/>
        </w:numPr>
        <w:ind w:left="1418"/>
        <w:contextualSpacing/>
        <w:jc w:val="both"/>
        <w:rPr>
          <w:rFonts w:ascii="Times New Roman" w:eastAsia="Times New Roman" w:hAnsi="Times New Roman" w:cs="Times New Roman"/>
          <w:sz w:val="24"/>
          <w:szCs w:val="24"/>
          <w:lang w:eastAsia="en-US"/>
        </w:rPr>
      </w:pPr>
      <w:r w:rsidRPr="002A0A3A">
        <w:rPr>
          <w:rFonts w:ascii="Times New Roman" w:eastAsia="Times New Roman" w:hAnsi="Times New Roman" w:cs="Times New Roman"/>
          <w:sz w:val="28"/>
          <w:szCs w:val="28"/>
          <w:lang w:eastAsia="en-US"/>
        </w:rPr>
        <w:t xml:space="preserve">palielināt </w:t>
      </w:r>
      <w:r w:rsidR="00080F5D">
        <w:rPr>
          <w:rFonts w:ascii="Times New Roman" w:eastAsia="Times New Roman" w:hAnsi="Times New Roman" w:cs="Times New Roman"/>
          <w:sz w:val="28"/>
          <w:szCs w:val="28"/>
          <w:lang w:eastAsia="en-US"/>
        </w:rPr>
        <w:t>AS</w:t>
      </w:r>
      <w:r w:rsidRPr="002A0A3A">
        <w:rPr>
          <w:rFonts w:ascii="Times New Roman" w:eastAsia="Times New Roman" w:hAnsi="Times New Roman" w:cs="Times New Roman"/>
          <w:sz w:val="28"/>
          <w:szCs w:val="28"/>
          <w:lang w:eastAsia="en-US"/>
        </w:rPr>
        <w:t xml:space="preserve"> "Latvenergo" dividendēs izmaksājamo peļņas daļu (fiskālā ietekme 2021.gadā +19,6 milj. </w:t>
      </w:r>
      <w:r w:rsidRPr="002A0A3A">
        <w:rPr>
          <w:rFonts w:ascii="Times New Roman" w:eastAsia="Times New Roman" w:hAnsi="Times New Roman" w:cs="Times New Roman"/>
          <w:i/>
          <w:spacing w:val="-6"/>
          <w:sz w:val="28"/>
          <w:szCs w:val="28"/>
          <w:lang w:eastAsia="en-US"/>
        </w:rPr>
        <w:t xml:space="preserve">euro, </w:t>
      </w:r>
      <w:r w:rsidRPr="002A0A3A">
        <w:rPr>
          <w:rFonts w:ascii="Times New Roman" w:eastAsia="Times New Roman" w:hAnsi="Times New Roman" w:cs="Times New Roman"/>
          <w:sz w:val="28"/>
          <w:szCs w:val="28"/>
          <w:lang w:eastAsia="en-US"/>
        </w:rPr>
        <w:t>2022.gadā +17,5 milj. </w:t>
      </w:r>
      <w:r w:rsidRPr="002A0A3A">
        <w:rPr>
          <w:rFonts w:ascii="Times New Roman" w:eastAsia="Times New Roman" w:hAnsi="Times New Roman" w:cs="Times New Roman"/>
          <w:i/>
          <w:spacing w:val="-6"/>
          <w:sz w:val="28"/>
          <w:szCs w:val="28"/>
          <w:lang w:eastAsia="en-US"/>
        </w:rPr>
        <w:t xml:space="preserve">euro </w:t>
      </w:r>
      <w:r w:rsidRPr="002A0A3A">
        <w:rPr>
          <w:rFonts w:ascii="Times New Roman" w:eastAsia="Times New Roman" w:hAnsi="Times New Roman" w:cs="Times New Roman"/>
          <w:spacing w:val="-6"/>
          <w:sz w:val="28"/>
          <w:szCs w:val="28"/>
          <w:lang w:eastAsia="en-US"/>
        </w:rPr>
        <w:t>un</w:t>
      </w:r>
      <w:r w:rsidRPr="002A0A3A">
        <w:rPr>
          <w:rFonts w:ascii="Times New Roman" w:eastAsia="Times New Roman" w:hAnsi="Times New Roman" w:cs="Times New Roman"/>
          <w:i/>
          <w:spacing w:val="-6"/>
          <w:sz w:val="28"/>
          <w:szCs w:val="28"/>
          <w:lang w:eastAsia="en-US"/>
        </w:rPr>
        <w:t xml:space="preserve"> </w:t>
      </w:r>
      <w:r w:rsidRPr="002A0A3A">
        <w:rPr>
          <w:rFonts w:ascii="Times New Roman" w:eastAsia="Times New Roman" w:hAnsi="Times New Roman" w:cs="Times New Roman"/>
          <w:sz w:val="28"/>
          <w:szCs w:val="28"/>
          <w:lang w:eastAsia="en-US"/>
        </w:rPr>
        <w:t>2023.gadā +14,2 milj. </w:t>
      </w:r>
      <w:r w:rsidRPr="002A0A3A">
        <w:rPr>
          <w:rFonts w:ascii="Times New Roman" w:eastAsia="Times New Roman" w:hAnsi="Times New Roman" w:cs="Times New Roman"/>
          <w:i/>
          <w:spacing w:val="-6"/>
          <w:sz w:val="28"/>
          <w:szCs w:val="28"/>
          <w:lang w:eastAsia="en-US"/>
        </w:rPr>
        <w:t>euro</w:t>
      </w:r>
      <w:r w:rsidRPr="002A0A3A">
        <w:rPr>
          <w:rFonts w:ascii="Times New Roman" w:eastAsia="Times New Roman" w:hAnsi="Times New Roman" w:cs="Times New Roman"/>
          <w:spacing w:val="-6"/>
          <w:sz w:val="28"/>
          <w:szCs w:val="28"/>
          <w:lang w:eastAsia="en-US"/>
        </w:rPr>
        <w:t>).</w:t>
      </w:r>
    </w:p>
    <w:p w14:paraId="2FA4EE02" w14:textId="77777777" w:rsidR="00080F5D" w:rsidRPr="00DB596B" w:rsidRDefault="00080F5D" w:rsidP="00080F5D">
      <w:pPr>
        <w:ind w:left="1418"/>
        <w:contextualSpacing/>
        <w:jc w:val="both"/>
        <w:rPr>
          <w:rFonts w:ascii="Times New Roman" w:eastAsia="Times New Roman" w:hAnsi="Times New Roman" w:cs="Times New Roman"/>
          <w:sz w:val="24"/>
          <w:szCs w:val="24"/>
          <w:lang w:eastAsia="en-US"/>
        </w:rPr>
      </w:pPr>
    </w:p>
    <w:p w14:paraId="3FBB115B" w14:textId="43E568B8" w:rsidR="00DB596B" w:rsidRPr="00DB596B" w:rsidRDefault="00DB596B" w:rsidP="00080F5D">
      <w:pPr>
        <w:jc w:val="right"/>
        <w:rPr>
          <w:rFonts w:ascii="Times New Roman" w:eastAsia="Times New Roman" w:hAnsi="Times New Roman" w:cs="Times New Roman"/>
          <w:b/>
          <w:i/>
          <w:sz w:val="24"/>
          <w:szCs w:val="24"/>
          <w:lang w:eastAsia="en-US"/>
        </w:rPr>
      </w:pPr>
      <w:r w:rsidRPr="00DB596B">
        <w:rPr>
          <w:rFonts w:ascii="Times New Roman" w:eastAsia="Times New Roman" w:hAnsi="Times New Roman" w:cs="Times New Roman"/>
          <w:b/>
          <w:i/>
          <w:sz w:val="24"/>
          <w:szCs w:val="24"/>
          <w:lang w:eastAsia="en-US"/>
        </w:rPr>
        <w:t xml:space="preserve">3.5. tabula. </w:t>
      </w:r>
      <w:r w:rsidR="00080F5D">
        <w:rPr>
          <w:rFonts w:ascii="Times New Roman" w:eastAsia="Times New Roman" w:hAnsi="Times New Roman" w:cs="Times New Roman"/>
          <w:b/>
          <w:i/>
          <w:sz w:val="24"/>
          <w:szCs w:val="24"/>
          <w:lang w:eastAsia="en-US"/>
        </w:rPr>
        <w:t>UIN</w:t>
      </w:r>
      <w:r w:rsidRPr="00DB596B">
        <w:rPr>
          <w:rFonts w:ascii="Times New Roman" w:eastAsia="Times New Roman" w:hAnsi="Times New Roman" w:cs="Times New Roman"/>
          <w:b/>
          <w:i/>
          <w:sz w:val="24"/>
          <w:szCs w:val="24"/>
          <w:lang w:eastAsia="en-US"/>
        </w:rPr>
        <w:t xml:space="preserve"> ieņēmumi</w:t>
      </w:r>
    </w:p>
    <w:tbl>
      <w:tblPr>
        <w:tblW w:w="9083" w:type="dxa"/>
        <w:jc w:val="center"/>
        <w:tblLook w:val="04A0" w:firstRow="1" w:lastRow="0" w:firstColumn="1" w:lastColumn="0" w:noHBand="0" w:noVBand="1"/>
      </w:tblPr>
      <w:tblGrid>
        <w:gridCol w:w="5117"/>
        <w:gridCol w:w="1053"/>
        <w:gridCol w:w="971"/>
        <w:gridCol w:w="971"/>
        <w:gridCol w:w="971"/>
      </w:tblGrid>
      <w:tr w:rsidR="00DB596B" w:rsidRPr="00080F5D" w14:paraId="77F944D0" w14:textId="77777777" w:rsidTr="00080F5D">
        <w:trPr>
          <w:trHeight w:val="148"/>
          <w:jc w:val="center"/>
        </w:trPr>
        <w:tc>
          <w:tcPr>
            <w:tcW w:w="511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6959393" w14:textId="77777777" w:rsidR="00DB596B" w:rsidRPr="00080F5D" w:rsidRDefault="00DB596B" w:rsidP="00401A5B">
            <w:pPr>
              <w:jc w:val="center"/>
              <w:rPr>
                <w:rFonts w:ascii="Times New Roman" w:eastAsia="Times New Roman" w:hAnsi="Times New Roman" w:cs="Times New Roman"/>
                <w:color w:val="000000"/>
                <w:sz w:val="20"/>
                <w:szCs w:val="20"/>
              </w:rPr>
            </w:pPr>
          </w:p>
        </w:tc>
        <w:tc>
          <w:tcPr>
            <w:tcW w:w="1053"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334B14C4" w14:textId="77777777" w:rsidR="00DB596B" w:rsidRPr="00080F5D" w:rsidRDefault="00DB596B" w:rsidP="00401A5B">
            <w:pPr>
              <w:jc w:val="center"/>
              <w:rPr>
                <w:rFonts w:ascii="Times New Roman" w:eastAsia="Times New Roman" w:hAnsi="Times New Roman" w:cs="Times New Roman"/>
                <w:b/>
                <w:color w:val="000000"/>
                <w:sz w:val="20"/>
                <w:szCs w:val="20"/>
              </w:rPr>
            </w:pPr>
            <w:r w:rsidRPr="00080F5D">
              <w:rPr>
                <w:rFonts w:ascii="Times New Roman" w:eastAsia="Times New Roman" w:hAnsi="Times New Roman" w:cs="Times New Roman"/>
                <w:b/>
                <w:color w:val="000000"/>
                <w:sz w:val="20"/>
                <w:szCs w:val="20"/>
              </w:rPr>
              <w:t>2020</w:t>
            </w:r>
          </w:p>
        </w:tc>
        <w:tc>
          <w:tcPr>
            <w:tcW w:w="971"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62687D0A" w14:textId="77777777" w:rsidR="00DB596B" w:rsidRPr="00080F5D" w:rsidRDefault="00DB596B" w:rsidP="00401A5B">
            <w:pPr>
              <w:jc w:val="center"/>
              <w:rPr>
                <w:rFonts w:ascii="Times New Roman" w:eastAsia="Times New Roman" w:hAnsi="Times New Roman" w:cs="Times New Roman"/>
                <w:b/>
                <w:color w:val="000000"/>
                <w:sz w:val="20"/>
                <w:szCs w:val="20"/>
              </w:rPr>
            </w:pPr>
            <w:r w:rsidRPr="00080F5D">
              <w:rPr>
                <w:rFonts w:ascii="Times New Roman" w:eastAsia="Times New Roman" w:hAnsi="Times New Roman" w:cs="Times New Roman"/>
                <w:b/>
                <w:color w:val="000000"/>
                <w:sz w:val="20"/>
                <w:szCs w:val="20"/>
              </w:rPr>
              <w:t>2021</w:t>
            </w:r>
          </w:p>
        </w:tc>
        <w:tc>
          <w:tcPr>
            <w:tcW w:w="971"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5D91E0AB" w14:textId="77777777" w:rsidR="00DB596B" w:rsidRPr="00080F5D" w:rsidRDefault="00DB596B" w:rsidP="00401A5B">
            <w:pPr>
              <w:jc w:val="center"/>
              <w:rPr>
                <w:rFonts w:ascii="Times New Roman" w:eastAsia="Times New Roman" w:hAnsi="Times New Roman" w:cs="Times New Roman"/>
                <w:b/>
                <w:color w:val="000000"/>
                <w:sz w:val="20"/>
                <w:szCs w:val="20"/>
              </w:rPr>
            </w:pPr>
            <w:r w:rsidRPr="00080F5D">
              <w:rPr>
                <w:rFonts w:ascii="Times New Roman" w:eastAsia="Times New Roman" w:hAnsi="Times New Roman" w:cs="Times New Roman"/>
                <w:b/>
                <w:color w:val="000000"/>
                <w:sz w:val="20"/>
                <w:szCs w:val="20"/>
              </w:rPr>
              <w:t>2022</w:t>
            </w:r>
          </w:p>
        </w:tc>
        <w:tc>
          <w:tcPr>
            <w:tcW w:w="97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064D983" w14:textId="77777777" w:rsidR="00DB596B" w:rsidRPr="00080F5D" w:rsidRDefault="00DB596B" w:rsidP="00401A5B">
            <w:pPr>
              <w:jc w:val="center"/>
              <w:rPr>
                <w:rFonts w:ascii="Times New Roman" w:eastAsia="Times New Roman" w:hAnsi="Times New Roman" w:cs="Times New Roman"/>
                <w:b/>
                <w:color w:val="000000"/>
                <w:sz w:val="20"/>
                <w:szCs w:val="20"/>
              </w:rPr>
            </w:pPr>
            <w:r w:rsidRPr="00080F5D">
              <w:rPr>
                <w:rFonts w:ascii="Times New Roman" w:eastAsia="Times New Roman" w:hAnsi="Times New Roman" w:cs="Times New Roman"/>
                <w:b/>
                <w:color w:val="000000"/>
                <w:sz w:val="20"/>
                <w:szCs w:val="20"/>
              </w:rPr>
              <w:t>2023</w:t>
            </w:r>
          </w:p>
        </w:tc>
      </w:tr>
      <w:tr w:rsidR="00DB596B" w:rsidRPr="00080F5D" w14:paraId="43489633" w14:textId="77777777" w:rsidTr="00080F5D">
        <w:trPr>
          <w:trHeight w:val="140"/>
          <w:jc w:val="center"/>
        </w:trPr>
        <w:tc>
          <w:tcPr>
            <w:tcW w:w="5117" w:type="dxa"/>
            <w:tcBorders>
              <w:top w:val="nil"/>
              <w:left w:val="single" w:sz="4" w:space="0" w:color="auto"/>
              <w:bottom w:val="single" w:sz="4" w:space="0" w:color="auto"/>
              <w:right w:val="single" w:sz="4" w:space="0" w:color="auto"/>
            </w:tcBorders>
            <w:shd w:val="clear" w:color="auto" w:fill="auto"/>
            <w:vAlign w:val="center"/>
            <w:hideMark/>
          </w:tcPr>
          <w:p w14:paraId="30D1D1AE" w14:textId="55A743F9" w:rsidR="00DB596B" w:rsidRPr="00080F5D" w:rsidRDefault="00080F5D" w:rsidP="00080F5D">
            <w:pP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UIN</w:t>
            </w:r>
            <w:r w:rsidR="00DB596B" w:rsidRPr="00080F5D">
              <w:rPr>
                <w:rFonts w:ascii="Times New Roman" w:eastAsia="Times New Roman" w:hAnsi="Times New Roman" w:cs="Times New Roman"/>
                <w:color w:val="000000"/>
                <w:sz w:val="20"/>
                <w:szCs w:val="20"/>
              </w:rPr>
              <w:t xml:space="preserve"> saskaņā ar </w:t>
            </w:r>
            <w:r>
              <w:rPr>
                <w:rFonts w:ascii="Times New Roman" w:eastAsia="Times New Roman" w:hAnsi="Times New Roman" w:cs="Times New Roman"/>
                <w:color w:val="000000"/>
                <w:sz w:val="20"/>
                <w:szCs w:val="20"/>
              </w:rPr>
              <w:t>VTBIL 2021., 2022. un 2023.gadam</w:t>
            </w:r>
            <w:r w:rsidR="00DB596B" w:rsidRPr="00080F5D">
              <w:rPr>
                <w:rFonts w:ascii="Times New Roman" w:eastAsia="Times New Roman" w:hAnsi="Times New Roman" w:cs="Times New Roman"/>
                <w:color w:val="000000"/>
                <w:sz w:val="20"/>
                <w:szCs w:val="20"/>
              </w:rPr>
              <w:t>, milj. </w:t>
            </w:r>
            <w:r w:rsidR="00DB596B" w:rsidRPr="00080F5D">
              <w:rPr>
                <w:rFonts w:ascii="Times New Roman" w:eastAsia="Times New Roman" w:hAnsi="Times New Roman" w:cs="Times New Roman"/>
                <w:i/>
                <w:color w:val="000000"/>
                <w:sz w:val="20"/>
                <w:szCs w:val="20"/>
              </w:rPr>
              <w:t>euro</w:t>
            </w:r>
          </w:p>
        </w:tc>
        <w:tc>
          <w:tcPr>
            <w:tcW w:w="1053" w:type="dxa"/>
            <w:tcBorders>
              <w:top w:val="nil"/>
              <w:left w:val="nil"/>
              <w:bottom w:val="single" w:sz="4" w:space="0" w:color="auto"/>
              <w:right w:val="single" w:sz="4" w:space="0" w:color="auto"/>
            </w:tcBorders>
            <w:shd w:val="clear" w:color="auto" w:fill="auto"/>
            <w:noWrap/>
            <w:vAlign w:val="center"/>
            <w:hideMark/>
          </w:tcPr>
          <w:p w14:paraId="7C65CC43" w14:textId="77777777" w:rsidR="00DB596B" w:rsidRPr="00080F5D" w:rsidRDefault="00DB596B" w:rsidP="00401A5B">
            <w:pPr>
              <w:jc w:val="center"/>
              <w:rPr>
                <w:rFonts w:ascii="Times New Roman" w:eastAsia="Times New Roman" w:hAnsi="Times New Roman" w:cs="Times New Roman"/>
                <w:b/>
                <w:sz w:val="20"/>
                <w:szCs w:val="20"/>
                <w:lang w:eastAsia="en-US"/>
              </w:rPr>
            </w:pPr>
            <w:r w:rsidRPr="00080F5D">
              <w:rPr>
                <w:rFonts w:ascii="Times New Roman" w:eastAsia="Times New Roman" w:hAnsi="Times New Roman" w:cs="Times New Roman"/>
                <w:b/>
                <w:sz w:val="20"/>
                <w:szCs w:val="20"/>
                <w:lang w:eastAsia="en-US"/>
              </w:rPr>
              <w:t>200,0*</w:t>
            </w:r>
          </w:p>
        </w:tc>
        <w:tc>
          <w:tcPr>
            <w:tcW w:w="971" w:type="dxa"/>
            <w:tcBorders>
              <w:top w:val="nil"/>
              <w:left w:val="nil"/>
              <w:bottom w:val="single" w:sz="4" w:space="0" w:color="auto"/>
              <w:right w:val="single" w:sz="4" w:space="0" w:color="auto"/>
            </w:tcBorders>
            <w:shd w:val="clear" w:color="auto" w:fill="auto"/>
            <w:noWrap/>
            <w:vAlign w:val="center"/>
            <w:hideMark/>
          </w:tcPr>
          <w:p w14:paraId="685A0E30" w14:textId="77777777" w:rsidR="00DB596B" w:rsidRPr="00080F5D" w:rsidRDefault="00DB596B" w:rsidP="00401A5B">
            <w:pPr>
              <w:ind w:firstLine="295"/>
              <w:jc w:val="center"/>
              <w:rPr>
                <w:rFonts w:ascii="Times New Roman" w:eastAsia="Times New Roman" w:hAnsi="Times New Roman" w:cs="Times New Roman"/>
                <w:b/>
                <w:sz w:val="20"/>
                <w:szCs w:val="20"/>
                <w:lang w:eastAsia="en-US"/>
              </w:rPr>
            </w:pPr>
            <w:r w:rsidRPr="00080F5D">
              <w:rPr>
                <w:rFonts w:ascii="Times New Roman" w:eastAsia="Times New Roman" w:hAnsi="Times New Roman" w:cs="Times New Roman"/>
                <w:b/>
                <w:sz w:val="20"/>
                <w:szCs w:val="20"/>
                <w:lang w:eastAsia="en-US"/>
              </w:rPr>
              <w:t>263,2</w:t>
            </w:r>
          </w:p>
        </w:tc>
        <w:tc>
          <w:tcPr>
            <w:tcW w:w="971" w:type="dxa"/>
            <w:tcBorders>
              <w:top w:val="nil"/>
              <w:left w:val="nil"/>
              <w:bottom w:val="single" w:sz="4" w:space="0" w:color="auto"/>
              <w:right w:val="single" w:sz="4" w:space="0" w:color="auto"/>
            </w:tcBorders>
            <w:shd w:val="clear" w:color="auto" w:fill="auto"/>
            <w:noWrap/>
            <w:vAlign w:val="center"/>
            <w:hideMark/>
          </w:tcPr>
          <w:p w14:paraId="61DF3E59" w14:textId="77777777" w:rsidR="00DB596B" w:rsidRPr="00080F5D" w:rsidRDefault="00DB596B" w:rsidP="00401A5B">
            <w:pPr>
              <w:ind w:firstLine="295"/>
              <w:jc w:val="center"/>
              <w:rPr>
                <w:rFonts w:ascii="Times New Roman" w:eastAsia="Times New Roman" w:hAnsi="Times New Roman" w:cs="Times New Roman"/>
                <w:b/>
                <w:sz w:val="20"/>
                <w:szCs w:val="20"/>
                <w:lang w:eastAsia="en-US"/>
              </w:rPr>
            </w:pPr>
            <w:r w:rsidRPr="00080F5D">
              <w:rPr>
                <w:rFonts w:ascii="Times New Roman" w:eastAsia="Times New Roman" w:hAnsi="Times New Roman" w:cs="Times New Roman"/>
                <w:b/>
                <w:sz w:val="20"/>
                <w:szCs w:val="20"/>
                <w:lang w:eastAsia="en-US"/>
              </w:rPr>
              <w:t>308,1</w:t>
            </w:r>
          </w:p>
        </w:tc>
        <w:tc>
          <w:tcPr>
            <w:tcW w:w="971" w:type="dxa"/>
            <w:tcBorders>
              <w:top w:val="nil"/>
              <w:left w:val="nil"/>
              <w:bottom w:val="single" w:sz="4" w:space="0" w:color="auto"/>
              <w:right w:val="single" w:sz="4" w:space="0" w:color="auto"/>
            </w:tcBorders>
            <w:shd w:val="clear" w:color="auto" w:fill="auto"/>
            <w:noWrap/>
            <w:vAlign w:val="center"/>
            <w:hideMark/>
          </w:tcPr>
          <w:p w14:paraId="4C67C049" w14:textId="77777777" w:rsidR="00DB596B" w:rsidRPr="00080F5D" w:rsidRDefault="00DB596B" w:rsidP="00401A5B">
            <w:pPr>
              <w:ind w:firstLine="295"/>
              <w:jc w:val="center"/>
              <w:rPr>
                <w:rFonts w:ascii="Times New Roman" w:eastAsia="Times New Roman" w:hAnsi="Times New Roman" w:cs="Times New Roman"/>
                <w:b/>
                <w:sz w:val="20"/>
                <w:szCs w:val="20"/>
                <w:lang w:eastAsia="en-US"/>
              </w:rPr>
            </w:pPr>
            <w:r w:rsidRPr="00080F5D">
              <w:rPr>
                <w:rFonts w:ascii="Times New Roman" w:eastAsia="Times New Roman" w:hAnsi="Times New Roman" w:cs="Times New Roman"/>
                <w:b/>
                <w:sz w:val="20"/>
                <w:szCs w:val="20"/>
                <w:lang w:eastAsia="en-US"/>
              </w:rPr>
              <w:t>314,8</w:t>
            </w:r>
          </w:p>
        </w:tc>
      </w:tr>
      <w:tr w:rsidR="00DB596B" w:rsidRPr="00080F5D" w14:paraId="56EDE3A2" w14:textId="77777777" w:rsidTr="00080F5D">
        <w:trPr>
          <w:trHeight w:val="349"/>
          <w:jc w:val="center"/>
        </w:trPr>
        <w:tc>
          <w:tcPr>
            <w:tcW w:w="5117" w:type="dxa"/>
            <w:tcBorders>
              <w:top w:val="nil"/>
              <w:left w:val="single" w:sz="4" w:space="0" w:color="auto"/>
              <w:bottom w:val="single" w:sz="4" w:space="0" w:color="auto"/>
              <w:right w:val="single" w:sz="4" w:space="0" w:color="auto"/>
            </w:tcBorders>
            <w:shd w:val="clear" w:color="auto" w:fill="auto"/>
            <w:vAlign w:val="center"/>
          </w:tcPr>
          <w:p w14:paraId="52B6E8A9" w14:textId="392AFF79" w:rsidR="00DB596B" w:rsidRPr="00080F5D" w:rsidRDefault="00080F5D" w:rsidP="00080F5D">
            <w:pPr>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UIN</w:t>
            </w:r>
            <w:r w:rsidR="00DB596B" w:rsidRPr="00080F5D">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Cs/>
                <w:color w:val="000000"/>
                <w:sz w:val="20"/>
                <w:szCs w:val="20"/>
              </w:rPr>
              <w:t>saskaņā ar</w:t>
            </w:r>
            <w:r w:rsidR="00DB596B" w:rsidRPr="00080F5D">
              <w:rPr>
                <w:rFonts w:ascii="Times New Roman" w:eastAsia="Times New Roman" w:hAnsi="Times New Roman" w:cs="Times New Roman"/>
                <w:iCs/>
                <w:color w:val="000000"/>
                <w:sz w:val="20"/>
                <w:szCs w:val="20"/>
              </w:rPr>
              <w:t xml:space="preserve"> </w:t>
            </w:r>
            <w:r>
              <w:rPr>
                <w:rFonts w:ascii="Times New Roman" w:eastAsia="Times New Roman" w:hAnsi="Times New Roman" w:cs="Times New Roman"/>
                <w:iCs/>
                <w:color w:val="000000"/>
                <w:sz w:val="20"/>
                <w:szCs w:val="20"/>
              </w:rPr>
              <w:t>VTBIL 2020., 2021. un 2022.gadam projektu</w:t>
            </w:r>
            <w:r w:rsidR="00DB596B" w:rsidRPr="00080F5D">
              <w:rPr>
                <w:rFonts w:ascii="Times New Roman" w:eastAsia="Times New Roman" w:hAnsi="Times New Roman" w:cs="Times New Roman"/>
                <w:color w:val="000000"/>
                <w:sz w:val="20"/>
                <w:szCs w:val="20"/>
              </w:rPr>
              <w:t>, milj. </w:t>
            </w:r>
            <w:r w:rsidR="00DB596B" w:rsidRPr="00080F5D">
              <w:rPr>
                <w:rFonts w:ascii="Times New Roman" w:eastAsia="Times New Roman" w:hAnsi="Times New Roman" w:cs="Times New Roman"/>
                <w:i/>
                <w:color w:val="000000"/>
                <w:sz w:val="20"/>
                <w:szCs w:val="20"/>
              </w:rPr>
              <w:t>euro</w:t>
            </w:r>
          </w:p>
        </w:tc>
        <w:tc>
          <w:tcPr>
            <w:tcW w:w="1053" w:type="dxa"/>
            <w:tcBorders>
              <w:top w:val="nil"/>
              <w:left w:val="nil"/>
              <w:bottom w:val="single" w:sz="4" w:space="0" w:color="auto"/>
              <w:right w:val="single" w:sz="4" w:space="0" w:color="auto"/>
            </w:tcBorders>
            <w:shd w:val="clear" w:color="auto" w:fill="auto"/>
            <w:noWrap/>
            <w:vAlign w:val="center"/>
          </w:tcPr>
          <w:p w14:paraId="4E0875D5" w14:textId="77777777" w:rsidR="00DB596B" w:rsidRPr="00080F5D" w:rsidRDefault="00DB596B" w:rsidP="00401A5B">
            <w:pPr>
              <w:jc w:val="center"/>
              <w:rPr>
                <w:rFonts w:ascii="Times New Roman" w:eastAsia="Times New Roman" w:hAnsi="Times New Roman" w:cs="Times New Roman"/>
                <w:color w:val="000000"/>
                <w:sz w:val="20"/>
                <w:szCs w:val="20"/>
              </w:rPr>
            </w:pPr>
            <w:r w:rsidRPr="00080F5D">
              <w:rPr>
                <w:rFonts w:ascii="Times New Roman" w:eastAsia="Times New Roman" w:hAnsi="Times New Roman" w:cs="Times New Roman"/>
                <w:b/>
                <w:color w:val="000000"/>
                <w:sz w:val="20"/>
                <w:szCs w:val="20"/>
              </w:rPr>
              <w:t>261,0</w:t>
            </w:r>
          </w:p>
        </w:tc>
        <w:tc>
          <w:tcPr>
            <w:tcW w:w="971" w:type="dxa"/>
            <w:tcBorders>
              <w:top w:val="nil"/>
              <w:left w:val="nil"/>
              <w:bottom w:val="single" w:sz="4" w:space="0" w:color="auto"/>
              <w:right w:val="single" w:sz="4" w:space="0" w:color="auto"/>
            </w:tcBorders>
            <w:shd w:val="clear" w:color="auto" w:fill="auto"/>
            <w:noWrap/>
            <w:vAlign w:val="center"/>
          </w:tcPr>
          <w:p w14:paraId="359D4F6F" w14:textId="77777777" w:rsidR="00DB596B" w:rsidRPr="00080F5D" w:rsidRDefault="00DB596B" w:rsidP="00401A5B">
            <w:pPr>
              <w:ind w:firstLine="295"/>
              <w:jc w:val="center"/>
              <w:rPr>
                <w:rFonts w:ascii="Times New Roman" w:eastAsia="Times New Roman" w:hAnsi="Times New Roman" w:cs="Times New Roman"/>
                <w:b/>
                <w:sz w:val="20"/>
                <w:szCs w:val="20"/>
                <w:lang w:eastAsia="en-US"/>
              </w:rPr>
            </w:pPr>
            <w:r w:rsidRPr="00080F5D">
              <w:rPr>
                <w:rFonts w:ascii="Times New Roman" w:eastAsia="Times New Roman" w:hAnsi="Times New Roman" w:cs="Times New Roman"/>
                <w:b/>
                <w:sz w:val="20"/>
                <w:szCs w:val="20"/>
                <w:lang w:eastAsia="en-US"/>
              </w:rPr>
              <w:t>300,0</w:t>
            </w:r>
          </w:p>
        </w:tc>
        <w:tc>
          <w:tcPr>
            <w:tcW w:w="971" w:type="dxa"/>
            <w:tcBorders>
              <w:top w:val="nil"/>
              <w:left w:val="nil"/>
              <w:bottom w:val="single" w:sz="4" w:space="0" w:color="auto"/>
              <w:right w:val="single" w:sz="4" w:space="0" w:color="auto"/>
            </w:tcBorders>
            <w:shd w:val="clear" w:color="auto" w:fill="auto"/>
            <w:noWrap/>
            <w:vAlign w:val="center"/>
          </w:tcPr>
          <w:p w14:paraId="6EFD341B" w14:textId="77777777" w:rsidR="00DB596B" w:rsidRPr="00080F5D" w:rsidRDefault="00DB596B" w:rsidP="00401A5B">
            <w:pPr>
              <w:ind w:firstLine="295"/>
              <w:jc w:val="center"/>
              <w:rPr>
                <w:rFonts w:ascii="Times New Roman" w:eastAsia="Times New Roman" w:hAnsi="Times New Roman" w:cs="Times New Roman"/>
                <w:b/>
                <w:sz w:val="20"/>
                <w:szCs w:val="20"/>
                <w:lang w:eastAsia="en-US"/>
              </w:rPr>
            </w:pPr>
            <w:r w:rsidRPr="00080F5D">
              <w:rPr>
                <w:rFonts w:ascii="Times New Roman" w:eastAsia="Times New Roman" w:hAnsi="Times New Roman" w:cs="Times New Roman"/>
                <w:b/>
                <w:sz w:val="20"/>
                <w:szCs w:val="20"/>
                <w:lang w:eastAsia="en-US"/>
              </w:rPr>
              <w:t>315,0</w:t>
            </w:r>
          </w:p>
        </w:tc>
        <w:tc>
          <w:tcPr>
            <w:tcW w:w="971" w:type="dxa"/>
            <w:tcBorders>
              <w:top w:val="nil"/>
              <w:left w:val="nil"/>
              <w:bottom w:val="single" w:sz="4" w:space="0" w:color="auto"/>
              <w:right w:val="single" w:sz="4" w:space="0" w:color="auto"/>
            </w:tcBorders>
            <w:shd w:val="clear" w:color="auto" w:fill="auto"/>
            <w:noWrap/>
            <w:vAlign w:val="center"/>
          </w:tcPr>
          <w:p w14:paraId="02C4E766" w14:textId="77777777" w:rsidR="00DB596B" w:rsidRPr="00080F5D" w:rsidRDefault="00DB596B" w:rsidP="00401A5B">
            <w:pPr>
              <w:ind w:firstLine="295"/>
              <w:jc w:val="center"/>
              <w:rPr>
                <w:rFonts w:ascii="Times New Roman" w:eastAsia="Times New Roman" w:hAnsi="Times New Roman" w:cs="Times New Roman"/>
                <w:b/>
                <w:sz w:val="20"/>
                <w:szCs w:val="20"/>
                <w:lang w:eastAsia="en-US"/>
              </w:rPr>
            </w:pPr>
            <w:r w:rsidRPr="00080F5D">
              <w:rPr>
                <w:rFonts w:ascii="Times New Roman" w:eastAsia="Times New Roman" w:hAnsi="Times New Roman" w:cs="Times New Roman"/>
                <w:b/>
                <w:sz w:val="20"/>
                <w:szCs w:val="20"/>
                <w:lang w:eastAsia="en-US"/>
              </w:rPr>
              <w:t>-</w:t>
            </w:r>
          </w:p>
        </w:tc>
      </w:tr>
      <w:tr w:rsidR="00DB596B" w:rsidRPr="00080F5D" w14:paraId="11862285" w14:textId="77777777" w:rsidTr="00080F5D">
        <w:trPr>
          <w:trHeight w:val="349"/>
          <w:jc w:val="center"/>
        </w:trPr>
        <w:tc>
          <w:tcPr>
            <w:tcW w:w="5117" w:type="dxa"/>
            <w:tcBorders>
              <w:top w:val="nil"/>
              <w:left w:val="single" w:sz="4" w:space="0" w:color="auto"/>
              <w:bottom w:val="single" w:sz="4" w:space="0" w:color="auto"/>
              <w:right w:val="single" w:sz="4" w:space="0" w:color="auto"/>
            </w:tcBorders>
            <w:shd w:val="clear" w:color="auto" w:fill="auto"/>
            <w:hideMark/>
          </w:tcPr>
          <w:p w14:paraId="7F42A4CD" w14:textId="77777777" w:rsidR="00DB596B" w:rsidRPr="00080F5D" w:rsidRDefault="00DB596B" w:rsidP="00401A5B">
            <w:pPr>
              <w:keepNext/>
              <w:jc w:val="both"/>
              <w:rPr>
                <w:rFonts w:ascii="Times New Roman" w:eastAsia="Times New Roman" w:hAnsi="Times New Roman" w:cs="Times New Roman"/>
                <w:sz w:val="20"/>
                <w:szCs w:val="20"/>
                <w:lang w:eastAsia="en-US"/>
              </w:rPr>
            </w:pPr>
            <w:r w:rsidRPr="00080F5D">
              <w:rPr>
                <w:rFonts w:ascii="Times New Roman" w:eastAsia="Times New Roman" w:hAnsi="Times New Roman" w:cs="Times New Roman"/>
                <w:i/>
                <w:iCs/>
                <w:color w:val="000000"/>
                <w:sz w:val="20"/>
                <w:szCs w:val="20"/>
              </w:rPr>
              <w:t>pieaugums, salīdzinot ar likumprojektu „Par vidēja termiņa budžeta ietvaru 2020., 2021. un 2022.gadam”, milj. euro</w:t>
            </w:r>
          </w:p>
        </w:tc>
        <w:tc>
          <w:tcPr>
            <w:tcW w:w="1053" w:type="dxa"/>
            <w:tcBorders>
              <w:top w:val="nil"/>
              <w:left w:val="nil"/>
              <w:bottom w:val="single" w:sz="4" w:space="0" w:color="auto"/>
              <w:right w:val="single" w:sz="4" w:space="0" w:color="auto"/>
            </w:tcBorders>
            <w:shd w:val="clear" w:color="auto" w:fill="auto"/>
            <w:noWrap/>
            <w:vAlign w:val="center"/>
            <w:hideMark/>
          </w:tcPr>
          <w:p w14:paraId="3AB95358" w14:textId="77777777" w:rsidR="00DB596B" w:rsidRPr="00080F5D" w:rsidRDefault="00DB596B" w:rsidP="00401A5B">
            <w:pPr>
              <w:ind w:firstLine="19"/>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-61,0</w:t>
            </w:r>
          </w:p>
        </w:tc>
        <w:tc>
          <w:tcPr>
            <w:tcW w:w="971" w:type="dxa"/>
            <w:tcBorders>
              <w:top w:val="nil"/>
              <w:left w:val="nil"/>
              <w:bottom w:val="single" w:sz="4" w:space="0" w:color="auto"/>
              <w:right w:val="single" w:sz="4" w:space="0" w:color="auto"/>
            </w:tcBorders>
            <w:shd w:val="clear" w:color="auto" w:fill="auto"/>
            <w:noWrap/>
            <w:vAlign w:val="center"/>
            <w:hideMark/>
          </w:tcPr>
          <w:p w14:paraId="72BF2F02" w14:textId="77777777" w:rsidR="00DB596B" w:rsidRPr="00080F5D" w:rsidRDefault="00DB596B" w:rsidP="00401A5B">
            <w:pPr>
              <w:ind w:firstLine="295"/>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-36,8</w:t>
            </w:r>
          </w:p>
        </w:tc>
        <w:tc>
          <w:tcPr>
            <w:tcW w:w="971" w:type="dxa"/>
            <w:tcBorders>
              <w:top w:val="nil"/>
              <w:left w:val="nil"/>
              <w:bottom w:val="single" w:sz="4" w:space="0" w:color="auto"/>
              <w:right w:val="single" w:sz="4" w:space="0" w:color="auto"/>
            </w:tcBorders>
            <w:shd w:val="clear" w:color="auto" w:fill="auto"/>
            <w:noWrap/>
            <w:vAlign w:val="center"/>
            <w:hideMark/>
          </w:tcPr>
          <w:p w14:paraId="2B7B49FA" w14:textId="77777777" w:rsidR="00DB596B" w:rsidRPr="00080F5D" w:rsidRDefault="00DB596B" w:rsidP="00401A5B">
            <w:pPr>
              <w:ind w:firstLine="295"/>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-6,9</w:t>
            </w:r>
          </w:p>
        </w:tc>
        <w:tc>
          <w:tcPr>
            <w:tcW w:w="971" w:type="dxa"/>
            <w:tcBorders>
              <w:top w:val="nil"/>
              <w:left w:val="nil"/>
              <w:bottom w:val="single" w:sz="4" w:space="0" w:color="auto"/>
              <w:right w:val="single" w:sz="4" w:space="0" w:color="auto"/>
            </w:tcBorders>
            <w:shd w:val="clear" w:color="auto" w:fill="auto"/>
            <w:noWrap/>
            <w:vAlign w:val="center"/>
            <w:hideMark/>
          </w:tcPr>
          <w:p w14:paraId="33D1C52D" w14:textId="77777777" w:rsidR="00DB596B" w:rsidRPr="00080F5D" w:rsidRDefault="00DB596B" w:rsidP="00401A5B">
            <w:pPr>
              <w:ind w:firstLine="295"/>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w:t>
            </w:r>
          </w:p>
        </w:tc>
      </w:tr>
      <w:tr w:rsidR="00DB596B" w:rsidRPr="00080F5D" w14:paraId="2D63AA14" w14:textId="77777777" w:rsidTr="00080F5D">
        <w:trPr>
          <w:trHeight w:val="329"/>
          <w:jc w:val="center"/>
        </w:trPr>
        <w:tc>
          <w:tcPr>
            <w:tcW w:w="5117" w:type="dxa"/>
            <w:tcBorders>
              <w:top w:val="nil"/>
              <w:left w:val="single" w:sz="4" w:space="0" w:color="auto"/>
              <w:bottom w:val="single" w:sz="4" w:space="0" w:color="auto"/>
              <w:right w:val="single" w:sz="4" w:space="0" w:color="auto"/>
            </w:tcBorders>
            <w:shd w:val="clear" w:color="auto" w:fill="auto"/>
            <w:hideMark/>
          </w:tcPr>
          <w:p w14:paraId="61E7139E" w14:textId="77777777" w:rsidR="00DB596B" w:rsidRPr="00080F5D" w:rsidRDefault="00DB596B" w:rsidP="00401A5B">
            <w:pPr>
              <w:keepNext/>
              <w:jc w:val="both"/>
              <w:rPr>
                <w:rFonts w:ascii="Times New Roman" w:eastAsia="Times New Roman" w:hAnsi="Times New Roman" w:cs="Times New Roman"/>
                <w:sz w:val="20"/>
                <w:szCs w:val="20"/>
                <w:lang w:eastAsia="en-US"/>
              </w:rPr>
            </w:pPr>
            <w:r w:rsidRPr="00080F5D">
              <w:rPr>
                <w:rFonts w:ascii="Times New Roman" w:eastAsia="Times New Roman" w:hAnsi="Times New Roman" w:cs="Times New Roman"/>
                <w:i/>
                <w:iCs/>
                <w:color w:val="000000"/>
                <w:sz w:val="20"/>
                <w:szCs w:val="20"/>
              </w:rPr>
              <w:t>pieaugums, salīdzinot ar likumprojektu „Par vidēja termiņa budžeta ietvaru 2020., 2021. un 2022.gadam”, %</w:t>
            </w:r>
          </w:p>
        </w:tc>
        <w:tc>
          <w:tcPr>
            <w:tcW w:w="1053" w:type="dxa"/>
            <w:tcBorders>
              <w:top w:val="nil"/>
              <w:left w:val="nil"/>
              <w:bottom w:val="single" w:sz="4" w:space="0" w:color="auto"/>
              <w:right w:val="single" w:sz="4" w:space="0" w:color="auto"/>
            </w:tcBorders>
            <w:shd w:val="clear" w:color="auto" w:fill="auto"/>
            <w:noWrap/>
            <w:vAlign w:val="center"/>
            <w:hideMark/>
          </w:tcPr>
          <w:p w14:paraId="78E8834A" w14:textId="77777777" w:rsidR="00DB596B" w:rsidRPr="00080F5D" w:rsidRDefault="00DB596B" w:rsidP="00401A5B">
            <w:pPr>
              <w:ind w:firstLine="19"/>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-23,4</w:t>
            </w:r>
          </w:p>
        </w:tc>
        <w:tc>
          <w:tcPr>
            <w:tcW w:w="971" w:type="dxa"/>
            <w:tcBorders>
              <w:top w:val="nil"/>
              <w:left w:val="nil"/>
              <w:bottom w:val="single" w:sz="4" w:space="0" w:color="auto"/>
              <w:right w:val="single" w:sz="4" w:space="0" w:color="auto"/>
            </w:tcBorders>
            <w:shd w:val="clear" w:color="auto" w:fill="auto"/>
            <w:noWrap/>
            <w:vAlign w:val="center"/>
            <w:hideMark/>
          </w:tcPr>
          <w:p w14:paraId="0B01A77F" w14:textId="77777777" w:rsidR="00DB596B" w:rsidRPr="00080F5D" w:rsidRDefault="00DB596B" w:rsidP="00401A5B">
            <w:pPr>
              <w:ind w:firstLine="295"/>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-12,3</w:t>
            </w:r>
          </w:p>
        </w:tc>
        <w:tc>
          <w:tcPr>
            <w:tcW w:w="971" w:type="dxa"/>
            <w:tcBorders>
              <w:top w:val="nil"/>
              <w:left w:val="nil"/>
              <w:bottom w:val="single" w:sz="4" w:space="0" w:color="auto"/>
              <w:right w:val="single" w:sz="4" w:space="0" w:color="auto"/>
            </w:tcBorders>
            <w:shd w:val="clear" w:color="auto" w:fill="auto"/>
            <w:noWrap/>
            <w:vAlign w:val="center"/>
            <w:hideMark/>
          </w:tcPr>
          <w:p w14:paraId="59835F1E" w14:textId="77777777" w:rsidR="00DB596B" w:rsidRPr="00080F5D" w:rsidRDefault="00DB596B" w:rsidP="00401A5B">
            <w:pPr>
              <w:ind w:firstLine="295"/>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-2,2</w:t>
            </w:r>
          </w:p>
        </w:tc>
        <w:tc>
          <w:tcPr>
            <w:tcW w:w="971" w:type="dxa"/>
            <w:tcBorders>
              <w:top w:val="nil"/>
              <w:left w:val="nil"/>
              <w:bottom w:val="single" w:sz="4" w:space="0" w:color="auto"/>
              <w:right w:val="single" w:sz="4" w:space="0" w:color="auto"/>
            </w:tcBorders>
            <w:shd w:val="clear" w:color="auto" w:fill="auto"/>
            <w:noWrap/>
            <w:vAlign w:val="center"/>
            <w:hideMark/>
          </w:tcPr>
          <w:p w14:paraId="1FE4F3A4" w14:textId="77777777" w:rsidR="00DB596B" w:rsidRPr="00080F5D" w:rsidRDefault="00DB596B" w:rsidP="00401A5B">
            <w:pPr>
              <w:ind w:firstLine="295"/>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w:t>
            </w:r>
          </w:p>
        </w:tc>
      </w:tr>
      <w:tr w:rsidR="00DB596B" w:rsidRPr="00080F5D" w14:paraId="438E0161" w14:textId="77777777" w:rsidTr="00080F5D">
        <w:trPr>
          <w:trHeight w:val="174"/>
          <w:jc w:val="center"/>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63809063" w14:textId="77777777" w:rsidR="00DB596B" w:rsidRPr="00080F5D" w:rsidRDefault="00DB596B" w:rsidP="00401A5B">
            <w:pPr>
              <w:rPr>
                <w:rFonts w:ascii="Times New Roman" w:eastAsia="Times New Roman" w:hAnsi="Times New Roman" w:cs="Times New Roman"/>
                <w:color w:val="000000"/>
                <w:sz w:val="20"/>
                <w:szCs w:val="20"/>
              </w:rPr>
            </w:pPr>
            <w:r w:rsidRPr="00080F5D">
              <w:rPr>
                <w:rFonts w:ascii="Times New Roman" w:eastAsia="Times New Roman" w:hAnsi="Times New Roman" w:cs="Times New Roman"/>
                <w:color w:val="000000"/>
                <w:sz w:val="20"/>
                <w:szCs w:val="20"/>
              </w:rPr>
              <w:t>% no IKP</w:t>
            </w:r>
          </w:p>
        </w:tc>
        <w:tc>
          <w:tcPr>
            <w:tcW w:w="1053" w:type="dxa"/>
            <w:tcBorders>
              <w:top w:val="nil"/>
              <w:left w:val="nil"/>
              <w:bottom w:val="single" w:sz="4" w:space="0" w:color="auto"/>
              <w:right w:val="single" w:sz="4" w:space="0" w:color="auto"/>
            </w:tcBorders>
            <w:shd w:val="clear" w:color="auto" w:fill="auto"/>
            <w:noWrap/>
            <w:vAlign w:val="center"/>
            <w:hideMark/>
          </w:tcPr>
          <w:p w14:paraId="56301EF9" w14:textId="77777777" w:rsidR="00DB596B" w:rsidRPr="00080F5D" w:rsidRDefault="00DB596B" w:rsidP="00401A5B">
            <w:pPr>
              <w:jc w:val="center"/>
              <w:rPr>
                <w:rFonts w:ascii="Times New Roman" w:eastAsia="Times New Roman" w:hAnsi="Times New Roman" w:cs="Times New Roman"/>
                <w:color w:val="000000"/>
                <w:sz w:val="20"/>
                <w:szCs w:val="20"/>
              </w:rPr>
            </w:pPr>
            <w:r w:rsidRPr="00080F5D">
              <w:rPr>
                <w:rFonts w:ascii="Times New Roman" w:eastAsia="Times New Roman" w:hAnsi="Times New Roman" w:cs="Times New Roman"/>
                <w:color w:val="000000"/>
                <w:sz w:val="20"/>
                <w:szCs w:val="20"/>
              </w:rPr>
              <w:t>0,7</w:t>
            </w:r>
          </w:p>
        </w:tc>
        <w:tc>
          <w:tcPr>
            <w:tcW w:w="971" w:type="dxa"/>
            <w:tcBorders>
              <w:top w:val="nil"/>
              <w:left w:val="nil"/>
              <w:bottom w:val="single" w:sz="4" w:space="0" w:color="auto"/>
              <w:right w:val="single" w:sz="4" w:space="0" w:color="auto"/>
            </w:tcBorders>
            <w:shd w:val="clear" w:color="auto" w:fill="auto"/>
            <w:noWrap/>
            <w:vAlign w:val="center"/>
            <w:hideMark/>
          </w:tcPr>
          <w:p w14:paraId="0F211DB6" w14:textId="77777777" w:rsidR="00DB596B" w:rsidRPr="00080F5D" w:rsidRDefault="00DB596B" w:rsidP="00401A5B">
            <w:pPr>
              <w:ind w:firstLine="295"/>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0,9</w:t>
            </w:r>
          </w:p>
        </w:tc>
        <w:tc>
          <w:tcPr>
            <w:tcW w:w="971" w:type="dxa"/>
            <w:tcBorders>
              <w:top w:val="nil"/>
              <w:left w:val="nil"/>
              <w:bottom w:val="single" w:sz="4" w:space="0" w:color="auto"/>
              <w:right w:val="single" w:sz="4" w:space="0" w:color="auto"/>
            </w:tcBorders>
            <w:shd w:val="clear" w:color="auto" w:fill="auto"/>
            <w:noWrap/>
            <w:vAlign w:val="center"/>
            <w:hideMark/>
          </w:tcPr>
          <w:p w14:paraId="047D8E23" w14:textId="77777777" w:rsidR="00DB596B" w:rsidRPr="00080F5D" w:rsidRDefault="00DB596B" w:rsidP="00401A5B">
            <w:pPr>
              <w:ind w:firstLine="295"/>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1,0</w:t>
            </w:r>
          </w:p>
        </w:tc>
        <w:tc>
          <w:tcPr>
            <w:tcW w:w="971" w:type="dxa"/>
            <w:tcBorders>
              <w:top w:val="nil"/>
              <w:left w:val="nil"/>
              <w:bottom w:val="single" w:sz="4" w:space="0" w:color="auto"/>
              <w:right w:val="single" w:sz="4" w:space="0" w:color="auto"/>
            </w:tcBorders>
            <w:shd w:val="clear" w:color="auto" w:fill="auto"/>
            <w:noWrap/>
            <w:vAlign w:val="center"/>
            <w:hideMark/>
          </w:tcPr>
          <w:p w14:paraId="5FC27EF9" w14:textId="77777777" w:rsidR="00DB596B" w:rsidRPr="00080F5D" w:rsidRDefault="00DB596B" w:rsidP="00401A5B">
            <w:pPr>
              <w:ind w:firstLine="295"/>
              <w:jc w:val="center"/>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0,9</w:t>
            </w:r>
          </w:p>
        </w:tc>
      </w:tr>
    </w:tbl>
    <w:p w14:paraId="39D7C7CC" w14:textId="77777777" w:rsidR="00DB596B" w:rsidRPr="00080F5D" w:rsidRDefault="00DB596B" w:rsidP="00401A5B">
      <w:pPr>
        <w:jc w:val="both"/>
        <w:rPr>
          <w:rFonts w:ascii="Times New Roman" w:eastAsia="Times New Roman" w:hAnsi="Times New Roman" w:cs="Times New Roman"/>
          <w:sz w:val="20"/>
          <w:szCs w:val="20"/>
          <w:lang w:eastAsia="en-US"/>
        </w:rPr>
      </w:pPr>
      <w:r w:rsidRPr="00080F5D">
        <w:rPr>
          <w:rFonts w:ascii="Times New Roman" w:eastAsia="Times New Roman" w:hAnsi="Times New Roman" w:cs="Times New Roman"/>
          <w:sz w:val="20"/>
          <w:szCs w:val="20"/>
          <w:lang w:eastAsia="en-US"/>
        </w:rPr>
        <w:t xml:space="preserve">      *Prognoze 24.07.2020.</w:t>
      </w:r>
    </w:p>
    <w:p w14:paraId="2618A39E" w14:textId="644051E4" w:rsidR="00DB596B" w:rsidRDefault="00DB596B" w:rsidP="00401A5B">
      <w:pPr>
        <w:jc w:val="both"/>
        <w:rPr>
          <w:rFonts w:ascii="Times New Roman" w:eastAsia="Times New Roman" w:hAnsi="Times New Roman" w:cs="Times New Roman"/>
          <w:sz w:val="16"/>
          <w:szCs w:val="16"/>
          <w:highlight w:val="yellow"/>
          <w:lang w:eastAsia="en-US"/>
        </w:rPr>
      </w:pPr>
    </w:p>
    <w:p w14:paraId="12927365" w14:textId="79AD58FC" w:rsidR="00080F5D" w:rsidRDefault="00080F5D" w:rsidP="00080F5D">
      <w:pPr>
        <w:jc w:val="center"/>
        <w:rPr>
          <w:rFonts w:ascii="Times New Roman" w:eastAsia="Times New Roman" w:hAnsi="Times New Roman" w:cs="Times New Roman"/>
          <w:b/>
          <w:sz w:val="28"/>
          <w:szCs w:val="16"/>
          <w:lang w:eastAsia="en-US"/>
        </w:rPr>
      </w:pPr>
      <w:r>
        <w:rPr>
          <w:rFonts w:ascii="Times New Roman" w:eastAsia="Times New Roman" w:hAnsi="Times New Roman" w:cs="Times New Roman"/>
          <w:b/>
          <w:sz w:val="28"/>
          <w:szCs w:val="16"/>
          <w:lang w:eastAsia="en-US"/>
        </w:rPr>
        <w:t>PVN</w:t>
      </w:r>
    </w:p>
    <w:p w14:paraId="173CAD95" w14:textId="77777777" w:rsidR="00080F5D" w:rsidRPr="00080F5D" w:rsidRDefault="00080F5D" w:rsidP="00080F5D">
      <w:pPr>
        <w:jc w:val="center"/>
        <w:rPr>
          <w:rFonts w:ascii="Times New Roman" w:eastAsia="Times New Roman" w:hAnsi="Times New Roman" w:cs="Times New Roman"/>
          <w:b/>
          <w:sz w:val="28"/>
          <w:szCs w:val="16"/>
          <w:highlight w:val="yellow"/>
          <w:lang w:eastAsia="en-US"/>
        </w:rPr>
      </w:pPr>
    </w:p>
    <w:p w14:paraId="1A49BB51" w14:textId="3E470B0A" w:rsidR="00DB596B" w:rsidRPr="00080F5D" w:rsidRDefault="00080F5D" w:rsidP="00080F5D">
      <w:pPr>
        <w:ind w:firstLine="720"/>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PVN</w:t>
      </w:r>
      <w:r w:rsidR="00DB596B" w:rsidRPr="00080F5D">
        <w:rPr>
          <w:rFonts w:ascii="Times New Roman" w:eastAsia="Times New Roman" w:hAnsi="Times New Roman" w:cs="Times New Roman"/>
          <w:color w:val="000000"/>
          <w:sz w:val="28"/>
          <w:szCs w:val="28"/>
          <w:lang w:eastAsia="en-US"/>
        </w:rPr>
        <w:t xml:space="preserve"> ieņēmumi ir lielākais valsts pamatbudžeta nodokļu ieņēmumu avots, kas 2020.gada sešos mēnešos veidoja 54,8% no valsts pamatbudžeta nodokļu ieņēmumiem.</w:t>
      </w:r>
    </w:p>
    <w:p w14:paraId="19A3E0E1" w14:textId="77777777" w:rsidR="00DB596B" w:rsidRPr="00080F5D" w:rsidRDefault="00DB596B" w:rsidP="00401A5B">
      <w:pPr>
        <w:ind w:firstLine="720"/>
        <w:jc w:val="both"/>
        <w:rPr>
          <w:rFonts w:ascii="Times New Roman" w:eastAsia="Times New Roman" w:hAnsi="Times New Roman" w:cs="Times New Roman"/>
          <w:color w:val="000000"/>
          <w:sz w:val="28"/>
          <w:szCs w:val="28"/>
          <w:highlight w:val="yellow"/>
          <w:lang w:eastAsia="en-US"/>
        </w:rPr>
      </w:pPr>
      <w:r w:rsidRPr="00080F5D">
        <w:rPr>
          <w:rFonts w:ascii="Times New Roman" w:eastAsia="Times New Roman" w:hAnsi="Times New Roman" w:cs="Times New Roman"/>
          <w:color w:val="000000"/>
          <w:sz w:val="28"/>
          <w:szCs w:val="28"/>
          <w:lang w:eastAsia="en-US"/>
        </w:rPr>
        <w:t>Pievienotās vērtības nodokļa ieņēmumi 2020.gada sešos mēnešos bija 1 128,6 milj. </w:t>
      </w:r>
      <w:r w:rsidRPr="00080F5D">
        <w:rPr>
          <w:rFonts w:ascii="Times New Roman" w:eastAsia="Times New Roman" w:hAnsi="Times New Roman" w:cs="Times New Roman"/>
          <w:i/>
          <w:color w:val="000000"/>
          <w:sz w:val="28"/>
          <w:szCs w:val="28"/>
          <w:lang w:eastAsia="en-US"/>
        </w:rPr>
        <w:t>euro</w:t>
      </w:r>
      <w:r w:rsidRPr="00080F5D">
        <w:rPr>
          <w:rFonts w:ascii="Times New Roman" w:eastAsia="Times New Roman" w:hAnsi="Times New Roman" w:cs="Times New Roman"/>
          <w:color w:val="000000"/>
          <w:sz w:val="28"/>
          <w:szCs w:val="28"/>
          <w:lang w:eastAsia="en-US"/>
        </w:rPr>
        <w:t>, kas salīdzinājumā ar 2019.gada pirmo pusgadu ir par 109,6 milj. </w:t>
      </w:r>
      <w:r w:rsidRPr="00080F5D">
        <w:rPr>
          <w:rFonts w:ascii="Times New Roman" w:eastAsia="Times New Roman" w:hAnsi="Times New Roman" w:cs="Times New Roman"/>
          <w:i/>
          <w:color w:val="000000"/>
          <w:sz w:val="28"/>
          <w:szCs w:val="28"/>
          <w:lang w:eastAsia="en-US"/>
        </w:rPr>
        <w:t>euro</w:t>
      </w:r>
      <w:r w:rsidRPr="00080F5D">
        <w:rPr>
          <w:rFonts w:ascii="Times New Roman" w:eastAsia="Times New Roman" w:hAnsi="Times New Roman" w:cs="Times New Roman"/>
          <w:color w:val="000000"/>
          <w:sz w:val="28"/>
          <w:szCs w:val="28"/>
          <w:lang w:eastAsia="en-US"/>
        </w:rPr>
        <w:t xml:space="preserve"> jeb 8,8% mazāk. Tāpat arī 2020.gada sešu mēnešu izpilde par 196,4 milj. </w:t>
      </w:r>
      <w:r w:rsidRPr="00080F5D">
        <w:rPr>
          <w:rFonts w:ascii="Times New Roman" w:eastAsia="Times New Roman" w:hAnsi="Times New Roman" w:cs="Times New Roman"/>
          <w:i/>
          <w:color w:val="000000"/>
          <w:sz w:val="28"/>
          <w:szCs w:val="28"/>
          <w:lang w:eastAsia="en-US"/>
        </w:rPr>
        <w:t>euro</w:t>
      </w:r>
      <w:r w:rsidRPr="00080F5D">
        <w:rPr>
          <w:rFonts w:ascii="Times New Roman" w:eastAsia="Times New Roman" w:hAnsi="Times New Roman" w:cs="Times New Roman"/>
          <w:color w:val="000000"/>
          <w:sz w:val="28"/>
          <w:szCs w:val="28"/>
          <w:lang w:eastAsia="en-US"/>
        </w:rPr>
        <w:t xml:space="preserve"> jeb 14,8% atpaliek no plānotās, līdz ar ko tika samazināta 2020.gada pievienotās vērtības nodokļa ieņēmumu prognoze, uz kuras bāzes ir prognozēti ieņēmumi 2021., 2022. un 2023.gadam.</w:t>
      </w:r>
    </w:p>
    <w:p w14:paraId="3EF6D208" w14:textId="61F3358D" w:rsidR="00DB596B" w:rsidRPr="00080F5D" w:rsidRDefault="00DB596B" w:rsidP="00401A5B">
      <w:pPr>
        <w:ind w:firstLine="720"/>
        <w:jc w:val="both"/>
        <w:rPr>
          <w:rFonts w:ascii="Times New Roman" w:eastAsia="Times New Roman" w:hAnsi="Times New Roman" w:cs="Times New Roman"/>
          <w:bCs/>
          <w:sz w:val="28"/>
          <w:szCs w:val="28"/>
          <w:lang w:eastAsia="en-US"/>
        </w:rPr>
      </w:pPr>
      <w:r w:rsidRPr="00080F5D">
        <w:rPr>
          <w:rFonts w:ascii="Times New Roman" w:eastAsia="Times New Roman" w:hAnsi="Times New Roman" w:cs="Times New Roman"/>
          <w:bCs/>
          <w:sz w:val="28"/>
          <w:szCs w:val="28"/>
          <w:lang w:eastAsia="en-US"/>
        </w:rPr>
        <w:t xml:space="preserve">Kopš marta </w:t>
      </w:r>
      <w:r w:rsidR="00E00EF2">
        <w:rPr>
          <w:rFonts w:ascii="Times New Roman" w:eastAsia="Times New Roman" w:hAnsi="Times New Roman" w:cs="Times New Roman"/>
          <w:color w:val="000000"/>
          <w:sz w:val="28"/>
          <w:szCs w:val="28"/>
          <w:lang w:eastAsia="en-US"/>
        </w:rPr>
        <w:t>PVN</w:t>
      </w:r>
      <w:r w:rsidRPr="00080F5D">
        <w:rPr>
          <w:rFonts w:ascii="Times New Roman" w:eastAsia="Times New Roman" w:hAnsi="Times New Roman" w:cs="Times New Roman"/>
          <w:color w:val="000000"/>
          <w:sz w:val="28"/>
          <w:szCs w:val="28"/>
          <w:lang w:eastAsia="en-US"/>
        </w:rPr>
        <w:t xml:space="preserve"> </w:t>
      </w:r>
      <w:r w:rsidRPr="00080F5D">
        <w:rPr>
          <w:rFonts w:ascii="Times New Roman" w:eastAsia="Times New Roman" w:hAnsi="Times New Roman" w:cs="Times New Roman"/>
          <w:bCs/>
          <w:sz w:val="28"/>
          <w:szCs w:val="28"/>
          <w:lang w:eastAsia="en-US"/>
        </w:rPr>
        <w:t>ieņēmumu plāna neizpildē atspoguļojas ekonomikas sabremzēšanās, ko noteicis ārkārtas stāvoklis valstī Covid</w:t>
      </w:r>
      <w:r w:rsidRPr="00080F5D">
        <w:rPr>
          <w:rFonts w:ascii="Times New Roman" w:eastAsia="Times New Roman" w:hAnsi="Times New Roman" w:cs="Times New Roman"/>
          <w:bCs/>
          <w:sz w:val="28"/>
          <w:szCs w:val="28"/>
          <w:lang w:eastAsia="en-US"/>
        </w:rPr>
        <w:noBreakHyphen/>
        <w:t xml:space="preserve">19 krīzes rezultātā, kā arī </w:t>
      </w:r>
      <w:r w:rsidR="00E00EF2">
        <w:rPr>
          <w:rFonts w:ascii="Times New Roman" w:eastAsia="Times New Roman" w:hAnsi="Times New Roman" w:cs="Times New Roman"/>
          <w:color w:val="000000"/>
          <w:sz w:val="28"/>
          <w:szCs w:val="28"/>
          <w:lang w:eastAsia="en-US"/>
        </w:rPr>
        <w:t>PVN</w:t>
      </w:r>
      <w:r w:rsidRPr="00080F5D">
        <w:rPr>
          <w:rFonts w:ascii="Times New Roman" w:eastAsia="Times New Roman" w:hAnsi="Times New Roman" w:cs="Times New Roman"/>
          <w:color w:val="000000"/>
          <w:sz w:val="28"/>
          <w:szCs w:val="28"/>
          <w:lang w:eastAsia="en-US"/>
        </w:rPr>
        <w:t xml:space="preserve"> </w:t>
      </w:r>
      <w:r w:rsidRPr="00080F5D">
        <w:rPr>
          <w:rFonts w:ascii="Times New Roman" w:eastAsia="Times New Roman" w:hAnsi="Times New Roman" w:cs="Times New Roman"/>
          <w:bCs/>
          <w:sz w:val="28"/>
          <w:szCs w:val="28"/>
          <w:lang w:eastAsia="en-US"/>
        </w:rPr>
        <w:t>ieņēmumus ietekmējošie atbalsta pasākumi: nodokļu samaksas termiņa pagarinājumi un pievienotās vērtības nodokļa pārmaksas atmaksa 30 dienu laikā.</w:t>
      </w:r>
    </w:p>
    <w:p w14:paraId="1DE462E3" w14:textId="23CF3BC6" w:rsidR="00DB596B" w:rsidRPr="00080F5D" w:rsidRDefault="00E00EF2" w:rsidP="00401A5B">
      <w:pPr>
        <w:ind w:firstLine="720"/>
        <w:jc w:val="both"/>
        <w:rPr>
          <w:rFonts w:ascii="Times New Roman" w:eastAsia="Times New Roman" w:hAnsi="Times New Roman" w:cs="Times New Roman"/>
          <w:bCs/>
          <w:color w:val="000000"/>
          <w:sz w:val="28"/>
          <w:szCs w:val="28"/>
          <w:lang w:eastAsia="en-US"/>
        </w:rPr>
      </w:pPr>
      <w:r>
        <w:rPr>
          <w:rFonts w:ascii="Times New Roman" w:eastAsia="Times New Roman" w:hAnsi="Times New Roman" w:cs="Times New Roman"/>
          <w:color w:val="000000"/>
          <w:sz w:val="28"/>
          <w:szCs w:val="28"/>
          <w:lang w:eastAsia="en-US"/>
        </w:rPr>
        <w:t>PVN</w:t>
      </w:r>
      <w:r w:rsidR="00DB596B" w:rsidRPr="00080F5D">
        <w:rPr>
          <w:rFonts w:ascii="Times New Roman" w:eastAsia="Times New Roman" w:hAnsi="Times New Roman" w:cs="Times New Roman"/>
          <w:color w:val="000000"/>
          <w:sz w:val="28"/>
          <w:szCs w:val="28"/>
          <w:lang w:eastAsia="en-US"/>
        </w:rPr>
        <w:t xml:space="preserve"> bruto iemaksas 2020.gada sešos mēnešos bija 1 596,7 milj. </w:t>
      </w:r>
      <w:r w:rsidR="00DB596B" w:rsidRPr="00080F5D">
        <w:rPr>
          <w:rFonts w:ascii="Times New Roman" w:eastAsia="Times New Roman" w:hAnsi="Times New Roman" w:cs="Times New Roman"/>
          <w:i/>
          <w:color w:val="000000"/>
          <w:sz w:val="28"/>
          <w:szCs w:val="28"/>
          <w:lang w:eastAsia="en-US"/>
        </w:rPr>
        <w:t>euro</w:t>
      </w:r>
      <w:r w:rsidR="00DB596B" w:rsidRPr="00080F5D">
        <w:rPr>
          <w:rFonts w:ascii="Times New Roman" w:eastAsia="Times New Roman" w:hAnsi="Times New Roman" w:cs="Times New Roman"/>
          <w:color w:val="000000"/>
          <w:sz w:val="28"/>
          <w:szCs w:val="28"/>
          <w:lang w:eastAsia="en-US"/>
        </w:rPr>
        <w:t>, kas ir par 94,5 milj. </w:t>
      </w:r>
      <w:r w:rsidR="00DB596B" w:rsidRPr="00080F5D">
        <w:rPr>
          <w:rFonts w:ascii="Times New Roman" w:eastAsia="Times New Roman" w:hAnsi="Times New Roman" w:cs="Times New Roman"/>
          <w:i/>
          <w:color w:val="000000"/>
          <w:sz w:val="28"/>
          <w:szCs w:val="28"/>
          <w:lang w:eastAsia="en-US"/>
        </w:rPr>
        <w:t>euro</w:t>
      </w:r>
      <w:r w:rsidR="00DB596B" w:rsidRPr="00080F5D">
        <w:rPr>
          <w:rFonts w:ascii="Times New Roman" w:eastAsia="Times New Roman" w:hAnsi="Times New Roman" w:cs="Times New Roman"/>
          <w:color w:val="000000"/>
          <w:sz w:val="28"/>
          <w:szCs w:val="28"/>
          <w:lang w:eastAsia="en-US"/>
        </w:rPr>
        <w:t xml:space="preserve"> jeb 5,6% mazāk nekā 2019.gada sešos mēnešos. 2019.gada otrajā pusē sagaidāms, ka iemaksas sāks palielināties salīdzinājumā ar 2019.gada atbilstošo mēnesi, kas būs saistīts ar kopējās ekonomikas atkopšanos no Covid</w:t>
      </w:r>
      <w:r w:rsidR="00DB596B" w:rsidRPr="00080F5D">
        <w:rPr>
          <w:rFonts w:ascii="Times New Roman" w:eastAsia="Times New Roman" w:hAnsi="Times New Roman" w:cs="Times New Roman"/>
          <w:color w:val="000000"/>
          <w:sz w:val="28"/>
          <w:szCs w:val="28"/>
          <w:lang w:eastAsia="en-US"/>
        </w:rPr>
        <w:noBreakHyphen/>
        <w:t xml:space="preserve">19 krīzes. </w:t>
      </w:r>
    </w:p>
    <w:p w14:paraId="5DB25A1B" w14:textId="5E0856BE" w:rsidR="00DB596B" w:rsidRPr="00080F5D" w:rsidRDefault="00DB596B" w:rsidP="00401A5B">
      <w:pPr>
        <w:ind w:firstLine="720"/>
        <w:jc w:val="both"/>
        <w:rPr>
          <w:rFonts w:ascii="Times New Roman" w:eastAsia="Times New Roman" w:hAnsi="Times New Roman" w:cs="Times New Roman"/>
          <w:color w:val="000000"/>
          <w:sz w:val="28"/>
          <w:szCs w:val="28"/>
          <w:lang w:eastAsia="en-US"/>
        </w:rPr>
      </w:pPr>
      <w:r w:rsidRPr="00080F5D">
        <w:rPr>
          <w:rFonts w:ascii="Times New Roman" w:eastAsia="Times New Roman" w:hAnsi="Times New Roman" w:cs="Times New Roman"/>
          <w:color w:val="000000"/>
          <w:sz w:val="28"/>
          <w:szCs w:val="28"/>
          <w:lang w:eastAsia="en-US"/>
        </w:rPr>
        <w:t>Salīdzinot ar 2019.gada 1.pusgada ieņēmumiem, iekšzemē iekasētā pievienotās vērtības nodokļa ieņēmumi samazinājušies par 111,5 milj. </w:t>
      </w:r>
      <w:r w:rsidRPr="00080F5D">
        <w:rPr>
          <w:rFonts w:ascii="Times New Roman" w:eastAsia="Times New Roman" w:hAnsi="Times New Roman" w:cs="Times New Roman"/>
          <w:i/>
          <w:color w:val="000000"/>
          <w:sz w:val="28"/>
          <w:szCs w:val="28"/>
          <w:lang w:eastAsia="en-US"/>
        </w:rPr>
        <w:t>euro</w:t>
      </w:r>
      <w:r w:rsidRPr="00080F5D">
        <w:rPr>
          <w:rFonts w:ascii="Times New Roman" w:eastAsia="Times New Roman" w:hAnsi="Times New Roman" w:cs="Times New Roman"/>
          <w:color w:val="000000"/>
          <w:sz w:val="28"/>
          <w:szCs w:val="28"/>
          <w:lang w:eastAsia="en-US"/>
        </w:rPr>
        <w:t xml:space="preserve"> jeb 9,3% un </w:t>
      </w:r>
      <w:r w:rsidR="00E00EF2">
        <w:rPr>
          <w:rFonts w:ascii="Times New Roman" w:eastAsia="Times New Roman" w:hAnsi="Times New Roman" w:cs="Times New Roman"/>
          <w:color w:val="000000"/>
          <w:sz w:val="28"/>
          <w:szCs w:val="28"/>
          <w:lang w:eastAsia="en-US"/>
        </w:rPr>
        <w:t>PVN</w:t>
      </w:r>
      <w:r w:rsidRPr="00080F5D">
        <w:rPr>
          <w:rFonts w:ascii="Times New Roman" w:eastAsia="Times New Roman" w:hAnsi="Times New Roman" w:cs="Times New Roman"/>
          <w:color w:val="000000"/>
          <w:sz w:val="28"/>
          <w:szCs w:val="28"/>
          <w:lang w:eastAsia="en-US"/>
        </w:rPr>
        <w:t xml:space="preserve"> ieņēmumi, izlaižot preces brīvam apgrozījumam, palielinājušies par 0,6 milj. </w:t>
      </w:r>
      <w:r w:rsidRPr="00080F5D">
        <w:rPr>
          <w:rFonts w:ascii="Times New Roman" w:eastAsia="Times New Roman" w:hAnsi="Times New Roman" w:cs="Times New Roman"/>
          <w:i/>
          <w:color w:val="000000"/>
          <w:sz w:val="28"/>
          <w:szCs w:val="28"/>
          <w:lang w:eastAsia="en-US"/>
        </w:rPr>
        <w:t>euro</w:t>
      </w:r>
      <w:r w:rsidRPr="00080F5D">
        <w:rPr>
          <w:rFonts w:ascii="Times New Roman" w:eastAsia="Times New Roman" w:hAnsi="Times New Roman" w:cs="Times New Roman"/>
          <w:color w:val="000000"/>
          <w:sz w:val="28"/>
          <w:szCs w:val="28"/>
          <w:lang w:eastAsia="en-US"/>
        </w:rPr>
        <w:t xml:space="preserve"> jeb 1,9 procentiem.</w:t>
      </w:r>
    </w:p>
    <w:p w14:paraId="1E37AE21" w14:textId="0D68D2FC" w:rsidR="00DB596B" w:rsidRPr="00080F5D" w:rsidRDefault="00DB596B" w:rsidP="00401A5B">
      <w:pPr>
        <w:ind w:firstLine="709"/>
        <w:jc w:val="both"/>
        <w:rPr>
          <w:rFonts w:ascii="Times New Roman" w:eastAsia="Times New Roman" w:hAnsi="Times New Roman" w:cs="Times New Roman"/>
          <w:color w:val="000000"/>
          <w:sz w:val="28"/>
          <w:szCs w:val="28"/>
          <w:lang w:eastAsia="en-US"/>
        </w:rPr>
      </w:pPr>
      <w:r w:rsidRPr="00080F5D">
        <w:rPr>
          <w:rFonts w:ascii="Times New Roman" w:eastAsia="Times New Roman" w:hAnsi="Times New Roman" w:cs="Times New Roman"/>
          <w:sz w:val="28"/>
          <w:szCs w:val="28"/>
          <w:lang w:eastAsia="en-US"/>
        </w:rPr>
        <w:t xml:space="preserve">Saskaņā ar </w:t>
      </w:r>
      <w:r w:rsidR="00E00EF2">
        <w:rPr>
          <w:rFonts w:ascii="Times New Roman" w:eastAsia="Times New Roman" w:hAnsi="Times New Roman" w:cs="Times New Roman"/>
          <w:sz w:val="28"/>
          <w:szCs w:val="28"/>
          <w:lang w:eastAsia="en-US"/>
        </w:rPr>
        <w:t>VTBIL</w:t>
      </w:r>
      <w:r w:rsidRPr="00080F5D">
        <w:rPr>
          <w:rFonts w:ascii="Times New Roman" w:eastAsia="Times New Roman" w:hAnsi="Times New Roman" w:cs="Times New Roman"/>
          <w:sz w:val="28"/>
          <w:szCs w:val="28"/>
          <w:lang w:eastAsia="en-US"/>
        </w:rPr>
        <w:t xml:space="preserve"> 2021., 2</w:t>
      </w:r>
      <w:r w:rsidR="00E00EF2">
        <w:rPr>
          <w:rFonts w:ascii="Times New Roman" w:eastAsia="Times New Roman" w:hAnsi="Times New Roman" w:cs="Times New Roman"/>
          <w:sz w:val="28"/>
          <w:szCs w:val="28"/>
          <w:lang w:eastAsia="en-US"/>
        </w:rPr>
        <w:t>022. un 2023.gadam projektu</w:t>
      </w:r>
      <w:r w:rsidRPr="00080F5D">
        <w:rPr>
          <w:rFonts w:ascii="Times New Roman" w:eastAsia="Times New Roman" w:hAnsi="Times New Roman" w:cs="Times New Roman"/>
          <w:sz w:val="28"/>
          <w:szCs w:val="28"/>
          <w:lang w:eastAsia="en-US"/>
        </w:rPr>
        <w:t xml:space="preserve"> 2021.gadā </w:t>
      </w:r>
      <w:r w:rsidR="00E00EF2">
        <w:rPr>
          <w:rFonts w:ascii="Times New Roman" w:eastAsia="Times New Roman" w:hAnsi="Times New Roman" w:cs="Times New Roman"/>
          <w:sz w:val="28"/>
          <w:szCs w:val="28"/>
          <w:lang w:eastAsia="en-US"/>
        </w:rPr>
        <w:t>PVN</w:t>
      </w:r>
      <w:r w:rsidRPr="00080F5D">
        <w:rPr>
          <w:rFonts w:ascii="Times New Roman" w:eastAsia="Times New Roman" w:hAnsi="Times New Roman" w:cs="Times New Roman"/>
          <w:sz w:val="28"/>
          <w:szCs w:val="28"/>
          <w:lang w:eastAsia="en-US"/>
        </w:rPr>
        <w:t xml:space="preserve"> ieņēmumi tiek plānoti </w:t>
      </w:r>
      <w:r w:rsidRPr="00080F5D">
        <w:rPr>
          <w:rFonts w:ascii="Times New Roman" w:eastAsia="Times New Roman" w:hAnsi="Times New Roman" w:cs="Times New Roman"/>
          <w:color w:val="000000"/>
          <w:sz w:val="28"/>
          <w:szCs w:val="28"/>
          <w:lang w:eastAsia="en-US"/>
        </w:rPr>
        <w:t>2 735,3 </w:t>
      </w:r>
      <w:r w:rsidRPr="00080F5D">
        <w:rPr>
          <w:rFonts w:ascii="Times New Roman" w:eastAsia="Times New Roman" w:hAnsi="Times New Roman" w:cs="Times New Roman"/>
          <w:sz w:val="28"/>
          <w:szCs w:val="28"/>
          <w:lang w:eastAsia="en-US"/>
        </w:rPr>
        <w:t>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 xml:space="preserve">, 2022.gadā </w:t>
      </w:r>
      <w:r w:rsidRPr="00080F5D">
        <w:rPr>
          <w:rFonts w:ascii="Times New Roman" w:eastAsia="Times New Roman" w:hAnsi="Times New Roman" w:cs="Times New Roman"/>
          <w:color w:val="000000"/>
          <w:sz w:val="28"/>
          <w:szCs w:val="28"/>
          <w:lang w:eastAsia="en-US"/>
        </w:rPr>
        <w:t>2 925,9 </w:t>
      </w:r>
      <w:r w:rsidRPr="00080F5D">
        <w:rPr>
          <w:rFonts w:ascii="Times New Roman" w:eastAsia="Times New Roman" w:hAnsi="Times New Roman" w:cs="Times New Roman"/>
          <w:sz w:val="28"/>
          <w:szCs w:val="28"/>
          <w:lang w:eastAsia="en-US"/>
        </w:rPr>
        <w:t>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 xml:space="preserve"> un 2023.gadā </w:t>
      </w:r>
      <w:r w:rsidRPr="00080F5D">
        <w:rPr>
          <w:rFonts w:ascii="Times New Roman" w:eastAsia="Times New Roman" w:hAnsi="Times New Roman" w:cs="Times New Roman"/>
          <w:color w:val="000000"/>
          <w:sz w:val="28"/>
          <w:szCs w:val="28"/>
          <w:lang w:eastAsia="en-US"/>
        </w:rPr>
        <w:t>3 117,8 </w:t>
      </w:r>
      <w:r w:rsidRPr="00080F5D">
        <w:rPr>
          <w:rFonts w:ascii="Times New Roman" w:eastAsia="Times New Roman" w:hAnsi="Times New Roman" w:cs="Times New Roman"/>
          <w:sz w:val="28"/>
          <w:szCs w:val="28"/>
          <w:lang w:eastAsia="en-US"/>
        </w:rPr>
        <w:t>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 xml:space="preserve"> apmērā.</w:t>
      </w:r>
      <w:r w:rsidRPr="00080F5D">
        <w:rPr>
          <w:rFonts w:ascii="Times New Roman" w:eastAsia="Times New Roman" w:hAnsi="Times New Roman" w:cs="Times New Roman"/>
          <w:color w:val="000000"/>
          <w:sz w:val="28"/>
          <w:szCs w:val="28"/>
          <w:lang w:eastAsia="en-US"/>
        </w:rPr>
        <w:t xml:space="preserve"> </w:t>
      </w:r>
    </w:p>
    <w:p w14:paraId="591FE62D" w14:textId="29D66CEC" w:rsidR="00DB596B" w:rsidRPr="00080F5D" w:rsidRDefault="00DB596B" w:rsidP="00401A5B">
      <w:pPr>
        <w:ind w:firstLine="709"/>
        <w:jc w:val="both"/>
        <w:rPr>
          <w:rFonts w:ascii="Times New Roman" w:eastAsia="Times New Roman" w:hAnsi="Times New Roman" w:cs="Times New Roman"/>
          <w:color w:val="000000"/>
          <w:sz w:val="28"/>
          <w:szCs w:val="28"/>
          <w:lang w:eastAsia="en-US"/>
        </w:rPr>
      </w:pPr>
      <w:r w:rsidRPr="00080F5D">
        <w:rPr>
          <w:rFonts w:ascii="Times New Roman" w:eastAsia="Times New Roman" w:hAnsi="Times New Roman" w:cs="Times New Roman"/>
          <w:color w:val="000000"/>
          <w:sz w:val="28"/>
          <w:szCs w:val="28"/>
          <w:lang w:eastAsia="en-US"/>
        </w:rPr>
        <w:t xml:space="preserve">2021. – 2023.gadā </w:t>
      </w:r>
      <w:r w:rsidR="00E00EF2">
        <w:rPr>
          <w:rFonts w:ascii="Times New Roman" w:eastAsia="Times New Roman" w:hAnsi="Times New Roman" w:cs="Times New Roman"/>
          <w:color w:val="000000"/>
          <w:sz w:val="28"/>
          <w:szCs w:val="28"/>
          <w:lang w:eastAsia="en-US"/>
        </w:rPr>
        <w:t>PVN</w:t>
      </w:r>
      <w:r w:rsidRPr="00080F5D">
        <w:rPr>
          <w:rFonts w:ascii="Times New Roman" w:eastAsia="Times New Roman" w:hAnsi="Times New Roman" w:cs="Times New Roman"/>
          <w:color w:val="000000"/>
          <w:sz w:val="28"/>
          <w:szCs w:val="28"/>
          <w:lang w:eastAsia="en-US"/>
        </w:rPr>
        <w:t xml:space="preserve"> ieņēmumu dinamiku nosaka privātais patēriņš, kas saskaņā ar prognozēm 2021.gadā pieaugs par 5,8%, 2022. un 2023.gadā – par 5,1 procentiem. Inflācijas līmenis 2021. – 2023.gadā pakāpeniski palielināsies līdz 2% līmenim no prognozētiem 0,2% 2020.gadā – prognozētais inflācijas līmenis 2021.gadā ir 1,2%, 2022. un 2023.gadā – 2,0% apmērā.</w:t>
      </w:r>
    </w:p>
    <w:p w14:paraId="37CE4369" w14:textId="3EEA700E" w:rsidR="00DB596B" w:rsidRPr="00080F5D" w:rsidRDefault="00E00EF2" w:rsidP="00401A5B">
      <w:pPr>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PVN</w:t>
      </w:r>
      <w:r w:rsidR="00DB596B" w:rsidRPr="00080F5D">
        <w:rPr>
          <w:rFonts w:ascii="Times New Roman" w:eastAsia="Times New Roman" w:hAnsi="Times New Roman" w:cs="Times New Roman"/>
          <w:sz w:val="28"/>
          <w:szCs w:val="28"/>
          <w:lang w:eastAsia="en-US"/>
        </w:rPr>
        <w:t xml:space="preserve"> ieņēmumu prognozes 2021. – 2023.gadam ir sagatavotas, ņemot vērā </w:t>
      </w:r>
      <w:r w:rsidR="00DB596B" w:rsidRPr="00080F5D">
        <w:rPr>
          <w:rFonts w:ascii="Times New Roman" w:eastAsia="Times New Roman" w:hAnsi="Times New Roman" w:cs="Times New Roman"/>
          <w:color w:val="000000"/>
          <w:sz w:val="28"/>
          <w:szCs w:val="28"/>
          <w:lang w:eastAsia="en-US"/>
        </w:rPr>
        <w:t>pievienotās vērtības nodokļa ieņēmumu pieaugumu 2020.gada sešos mēnešos,</w:t>
      </w:r>
      <w:r w:rsidR="00DB596B" w:rsidRPr="00080F5D">
        <w:rPr>
          <w:rFonts w:ascii="Times New Roman" w:eastAsia="Times New Roman" w:hAnsi="Times New Roman" w:cs="Times New Roman"/>
          <w:sz w:val="28"/>
          <w:szCs w:val="28"/>
          <w:lang w:eastAsia="en-US"/>
        </w:rPr>
        <w:t xml:space="preserve"> prognozētās tautsaimniecības attīstības tendences, kā arī iepriekšējos gados pieņemtās likumdošanas izmaiņas un </w:t>
      </w:r>
      <w:r>
        <w:rPr>
          <w:rFonts w:ascii="Times New Roman" w:eastAsia="Times New Roman" w:hAnsi="Times New Roman" w:cs="Times New Roman"/>
          <w:sz w:val="28"/>
          <w:szCs w:val="28"/>
          <w:lang w:eastAsia="en-US"/>
        </w:rPr>
        <w:t>MK</w:t>
      </w:r>
      <w:r w:rsidR="00DB596B" w:rsidRPr="00080F5D">
        <w:rPr>
          <w:rFonts w:ascii="Times New Roman" w:eastAsia="Times New Roman" w:hAnsi="Times New Roman" w:cs="Times New Roman"/>
          <w:sz w:val="28"/>
          <w:szCs w:val="28"/>
          <w:lang w:eastAsia="en-US"/>
        </w:rPr>
        <w:t xml:space="preserve"> apstiprinātie papildus pasākumi.</w:t>
      </w:r>
    </w:p>
    <w:p w14:paraId="7EFCDEAB" w14:textId="6F4B4F9C" w:rsidR="00DB596B" w:rsidRPr="00080F5D" w:rsidRDefault="00DB596B" w:rsidP="00401A5B">
      <w:pPr>
        <w:ind w:firstLine="720"/>
        <w:jc w:val="both"/>
        <w:rPr>
          <w:rFonts w:ascii="Times New Roman" w:eastAsia="Times New Roman" w:hAnsi="Times New Roman" w:cs="Times New Roman"/>
          <w:sz w:val="28"/>
          <w:szCs w:val="28"/>
          <w:lang w:eastAsia="en-US"/>
        </w:rPr>
      </w:pPr>
      <w:r w:rsidRPr="00080F5D">
        <w:rPr>
          <w:rFonts w:ascii="Times New Roman" w:eastAsia="Times New Roman" w:hAnsi="Times New Roman" w:cs="Times New Roman"/>
          <w:sz w:val="28"/>
          <w:szCs w:val="28"/>
          <w:lang w:eastAsia="en-US"/>
        </w:rPr>
        <w:t xml:space="preserve">2020.gadā pieņemtās un jau spēkā stājušās izmaiņas, kas ietekmējušas </w:t>
      </w:r>
      <w:r w:rsidR="00E00EF2">
        <w:rPr>
          <w:rFonts w:ascii="Times New Roman" w:eastAsia="Times New Roman" w:hAnsi="Times New Roman" w:cs="Times New Roman"/>
          <w:sz w:val="28"/>
          <w:szCs w:val="28"/>
          <w:lang w:eastAsia="en-US"/>
        </w:rPr>
        <w:t>PVN</w:t>
      </w:r>
      <w:r w:rsidRPr="00080F5D">
        <w:rPr>
          <w:rFonts w:ascii="Times New Roman" w:eastAsia="Times New Roman" w:hAnsi="Times New Roman" w:cs="Times New Roman"/>
          <w:sz w:val="28"/>
          <w:szCs w:val="28"/>
          <w:lang w:eastAsia="en-US"/>
        </w:rPr>
        <w:t xml:space="preserve"> prognozi 2020.gadam un līdz ar to arī 2021. – 2023.gadam:</w:t>
      </w:r>
    </w:p>
    <w:p w14:paraId="45F749EC" w14:textId="1964264A" w:rsidR="00DB596B" w:rsidRPr="00080F5D" w:rsidRDefault="00E00EF2" w:rsidP="00FB2B77">
      <w:pPr>
        <w:numPr>
          <w:ilvl w:val="0"/>
          <w:numId w:val="27"/>
        </w:numPr>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s</w:t>
      </w:r>
      <w:r w:rsidR="00DB596B" w:rsidRPr="00080F5D">
        <w:rPr>
          <w:rFonts w:ascii="Times New Roman" w:eastAsia="Times New Roman" w:hAnsi="Times New Roman" w:cs="Times New Roman"/>
          <w:sz w:val="28"/>
          <w:szCs w:val="28"/>
          <w:lang w:eastAsia="en-US"/>
        </w:rPr>
        <w:t xml:space="preserve">tarpproduktu definīcijas precizēšana akcīzes nodoklim no alkoholiskajiem dzērieniem, </w:t>
      </w:r>
      <w:r>
        <w:rPr>
          <w:rFonts w:ascii="Times New Roman" w:eastAsia="Times New Roman" w:hAnsi="Times New Roman" w:cs="Times New Roman"/>
          <w:sz w:val="28"/>
          <w:szCs w:val="28"/>
          <w:lang w:eastAsia="en-US"/>
        </w:rPr>
        <w:t>ar 2020.gada 1.maiju</w:t>
      </w:r>
      <w:r w:rsidR="00DB596B" w:rsidRPr="00080F5D">
        <w:rPr>
          <w:rFonts w:ascii="Times New Roman" w:eastAsia="Times New Roman" w:hAnsi="Times New Roman" w:cs="Times New Roman"/>
          <w:sz w:val="28"/>
          <w:szCs w:val="28"/>
          <w:lang w:eastAsia="en-US"/>
        </w:rPr>
        <w:t xml:space="preserve"> (fiskālā ietekme 2021.gadā +0,7 milj. </w:t>
      </w:r>
      <w:r w:rsidR="00DB596B" w:rsidRPr="00080F5D">
        <w:rPr>
          <w:rFonts w:ascii="Times New Roman" w:eastAsia="Times New Roman" w:hAnsi="Times New Roman" w:cs="Times New Roman"/>
          <w:i/>
          <w:sz w:val="28"/>
          <w:szCs w:val="28"/>
          <w:lang w:eastAsia="en-US"/>
        </w:rPr>
        <w:t>euro</w:t>
      </w:r>
      <w:r w:rsidR="00DB596B" w:rsidRPr="00080F5D">
        <w:rPr>
          <w:rFonts w:ascii="Times New Roman" w:eastAsia="Times New Roman" w:hAnsi="Times New Roman" w:cs="Times New Roman"/>
          <w:sz w:val="28"/>
          <w:szCs w:val="28"/>
          <w:lang w:eastAsia="en-US"/>
        </w:rPr>
        <w:t>);</w:t>
      </w:r>
    </w:p>
    <w:p w14:paraId="3ADBA9B1" w14:textId="34574304" w:rsidR="00DB596B" w:rsidRPr="00080F5D" w:rsidRDefault="00E00EF2" w:rsidP="00FB2B77">
      <w:pPr>
        <w:numPr>
          <w:ilvl w:val="0"/>
          <w:numId w:val="27"/>
        </w:numPr>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w:t>
      </w:r>
      <w:r w:rsidR="00DB596B" w:rsidRPr="00080F5D">
        <w:rPr>
          <w:rFonts w:ascii="Times New Roman" w:eastAsia="Times New Roman" w:hAnsi="Times New Roman" w:cs="Times New Roman"/>
          <w:sz w:val="28"/>
          <w:szCs w:val="28"/>
          <w:lang w:eastAsia="en-US"/>
        </w:rPr>
        <w:t xml:space="preserve">kcīzes nodokļa atbrīvojumu atcelšana dabasgāzei, ko izmanto lauksaimniecībā izmantojamās zemes segto platību (siltumnīcu) siltumapgādei un rūpniecisko mājputnu novietņu (kūts) un inkubatoru siltumapgādei </w:t>
      </w:r>
      <w:r>
        <w:rPr>
          <w:rFonts w:ascii="Times New Roman" w:eastAsia="Times New Roman" w:hAnsi="Times New Roman" w:cs="Times New Roman"/>
          <w:sz w:val="28"/>
          <w:szCs w:val="28"/>
          <w:lang w:eastAsia="en-US"/>
        </w:rPr>
        <w:t xml:space="preserve">ar 2022.gada 1.janvāri </w:t>
      </w:r>
      <w:r w:rsidR="00DB596B" w:rsidRPr="00080F5D">
        <w:rPr>
          <w:rFonts w:ascii="Times New Roman" w:eastAsia="Times New Roman" w:hAnsi="Times New Roman" w:cs="Times New Roman"/>
          <w:sz w:val="28"/>
          <w:szCs w:val="28"/>
          <w:lang w:eastAsia="en-US"/>
        </w:rPr>
        <w:t>(fiskālā ietekme 2022.gadā +0,02 milj. </w:t>
      </w:r>
      <w:r w:rsidR="00DB596B" w:rsidRPr="00080F5D">
        <w:rPr>
          <w:rFonts w:ascii="Times New Roman" w:eastAsia="Times New Roman" w:hAnsi="Times New Roman" w:cs="Times New Roman"/>
          <w:i/>
          <w:sz w:val="28"/>
          <w:szCs w:val="28"/>
          <w:lang w:eastAsia="en-US"/>
        </w:rPr>
        <w:t>euro</w:t>
      </w:r>
      <w:r w:rsidR="00DB596B" w:rsidRPr="00080F5D">
        <w:rPr>
          <w:rFonts w:ascii="Times New Roman" w:eastAsia="Times New Roman" w:hAnsi="Times New Roman" w:cs="Times New Roman"/>
          <w:sz w:val="28"/>
          <w:szCs w:val="28"/>
          <w:lang w:eastAsia="en-US"/>
        </w:rPr>
        <w:t>);</w:t>
      </w:r>
    </w:p>
    <w:p w14:paraId="1809C5AB" w14:textId="4C76959F" w:rsidR="00DB596B" w:rsidRPr="00080F5D" w:rsidRDefault="00E00EF2" w:rsidP="00FB2B77">
      <w:pPr>
        <w:numPr>
          <w:ilvl w:val="0"/>
          <w:numId w:val="27"/>
        </w:numPr>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n</w:t>
      </w:r>
      <w:r w:rsidR="00DB596B" w:rsidRPr="00080F5D">
        <w:rPr>
          <w:rFonts w:ascii="Times New Roman" w:eastAsia="Times New Roman" w:hAnsi="Times New Roman" w:cs="Times New Roman"/>
          <w:sz w:val="28"/>
          <w:szCs w:val="28"/>
          <w:lang w:eastAsia="en-US"/>
        </w:rPr>
        <w:t xml:space="preserve">odokļu maksājumu samaksas sadalei termiņos vai atlikšanai uz laiku līdz trim gadiem, kas stājās spēkā ar </w:t>
      </w:r>
      <w:r>
        <w:rPr>
          <w:rFonts w:ascii="Times New Roman" w:eastAsia="Times New Roman" w:hAnsi="Times New Roman" w:cs="Times New Roman"/>
          <w:sz w:val="28"/>
          <w:szCs w:val="28"/>
          <w:lang w:eastAsia="en-US"/>
        </w:rPr>
        <w:t xml:space="preserve">2020.gada 28.martā </w:t>
      </w:r>
      <w:r w:rsidR="00DB596B" w:rsidRPr="00080F5D">
        <w:rPr>
          <w:rFonts w:ascii="Times New Roman" w:eastAsia="Times New Roman" w:hAnsi="Times New Roman" w:cs="Times New Roman"/>
          <w:sz w:val="28"/>
          <w:szCs w:val="28"/>
          <w:lang w:eastAsia="en-US"/>
        </w:rPr>
        <w:t>(fiskālā ietekme 2021.gadā +5,5 milj. </w:t>
      </w:r>
      <w:r w:rsidR="00DB596B" w:rsidRPr="00080F5D">
        <w:rPr>
          <w:rFonts w:ascii="Times New Roman" w:eastAsia="Times New Roman" w:hAnsi="Times New Roman" w:cs="Times New Roman"/>
          <w:i/>
          <w:sz w:val="28"/>
          <w:szCs w:val="28"/>
          <w:lang w:eastAsia="en-US"/>
        </w:rPr>
        <w:t>euro</w:t>
      </w:r>
      <w:r w:rsidR="00DB596B" w:rsidRPr="00080F5D">
        <w:rPr>
          <w:rFonts w:ascii="Times New Roman" w:eastAsia="Times New Roman" w:hAnsi="Times New Roman" w:cs="Times New Roman"/>
          <w:sz w:val="28"/>
          <w:szCs w:val="28"/>
          <w:lang w:eastAsia="en-US"/>
        </w:rPr>
        <w:t>, 2022.gadā +11,1 milj. </w:t>
      </w:r>
      <w:r w:rsidR="00DB596B" w:rsidRPr="00080F5D">
        <w:rPr>
          <w:rFonts w:ascii="Times New Roman" w:eastAsia="Times New Roman" w:hAnsi="Times New Roman" w:cs="Times New Roman"/>
          <w:i/>
          <w:sz w:val="28"/>
          <w:szCs w:val="28"/>
          <w:lang w:eastAsia="en-US"/>
        </w:rPr>
        <w:t>euro</w:t>
      </w:r>
      <w:r w:rsidR="00DB596B" w:rsidRPr="00080F5D">
        <w:rPr>
          <w:rFonts w:ascii="Times New Roman" w:eastAsia="Times New Roman" w:hAnsi="Times New Roman" w:cs="Times New Roman"/>
          <w:sz w:val="28"/>
          <w:szCs w:val="28"/>
          <w:lang w:eastAsia="en-US"/>
        </w:rPr>
        <w:t>, 2023.gadā +22,1 milj. </w:t>
      </w:r>
      <w:r w:rsidR="00DB596B" w:rsidRPr="00080F5D">
        <w:rPr>
          <w:rFonts w:ascii="Times New Roman" w:eastAsia="Times New Roman" w:hAnsi="Times New Roman" w:cs="Times New Roman"/>
          <w:i/>
          <w:sz w:val="28"/>
          <w:szCs w:val="28"/>
          <w:lang w:eastAsia="en-US"/>
        </w:rPr>
        <w:t>euro</w:t>
      </w:r>
      <w:r w:rsidR="00DB596B" w:rsidRPr="00080F5D">
        <w:rPr>
          <w:rFonts w:ascii="Times New Roman" w:eastAsia="Times New Roman" w:hAnsi="Times New Roman" w:cs="Times New Roman"/>
          <w:sz w:val="28"/>
          <w:szCs w:val="28"/>
          <w:lang w:eastAsia="en-US"/>
        </w:rPr>
        <w:t>).</w:t>
      </w:r>
    </w:p>
    <w:p w14:paraId="49F0E6D8" w14:textId="77777777" w:rsidR="00DB596B" w:rsidRPr="00080F5D" w:rsidRDefault="00DB596B" w:rsidP="00401A5B">
      <w:pPr>
        <w:ind w:firstLine="720"/>
        <w:jc w:val="both"/>
        <w:rPr>
          <w:rFonts w:ascii="Times New Roman" w:eastAsia="Times New Roman" w:hAnsi="Times New Roman" w:cs="Times New Roman"/>
          <w:sz w:val="28"/>
          <w:szCs w:val="28"/>
          <w:lang w:eastAsia="en-US"/>
        </w:rPr>
      </w:pPr>
      <w:r w:rsidRPr="00080F5D">
        <w:rPr>
          <w:rFonts w:ascii="Times New Roman" w:eastAsia="Times New Roman" w:hAnsi="Times New Roman" w:cs="Times New Roman"/>
          <w:sz w:val="28"/>
          <w:szCs w:val="28"/>
          <w:lang w:eastAsia="en-US"/>
        </w:rPr>
        <w:t>Iepriekšējos gados un 2020.gadā pieņemtās likumdošanas izmaiņas, kas stāsies spēkā ar 2021.gadu:</w:t>
      </w:r>
    </w:p>
    <w:p w14:paraId="39D4CF60" w14:textId="320768A8" w:rsidR="00DB596B" w:rsidRPr="00080F5D" w:rsidRDefault="00DB596B" w:rsidP="00FB2B77">
      <w:pPr>
        <w:numPr>
          <w:ilvl w:val="0"/>
          <w:numId w:val="27"/>
        </w:numPr>
        <w:jc w:val="both"/>
        <w:rPr>
          <w:rFonts w:ascii="Times New Roman" w:eastAsia="Times New Roman" w:hAnsi="Times New Roman" w:cs="Times New Roman"/>
          <w:sz w:val="28"/>
          <w:szCs w:val="28"/>
          <w:lang w:eastAsia="en-US"/>
        </w:rPr>
      </w:pPr>
      <w:r w:rsidRPr="00080F5D">
        <w:rPr>
          <w:rFonts w:ascii="Times New Roman" w:eastAsia="Times New Roman" w:hAnsi="Times New Roman" w:cs="Times New Roman"/>
          <w:sz w:val="28"/>
          <w:szCs w:val="28"/>
          <w:lang w:eastAsia="en-US"/>
        </w:rPr>
        <w:t xml:space="preserve">5% </w:t>
      </w:r>
      <w:r w:rsidR="00E00EF2">
        <w:rPr>
          <w:rFonts w:ascii="Times New Roman" w:eastAsia="Times New Roman" w:hAnsi="Times New Roman" w:cs="Times New Roman"/>
          <w:sz w:val="28"/>
          <w:szCs w:val="28"/>
          <w:lang w:eastAsia="en-US"/>
        </w:rPr>
        <w:t>PVN</w:t>
      </w:r>
      <w:r w:rsidRPr="00080F5D">
        <w:rPr>
          <w:rFonts w:ascii="Times New Roman" w:eastAsia="Times New Roman" w:hAnsi="Times New Roman" w:cs="Times New Roman"/>
          <w:sz w:val="28"/>
          <w:szCs w:val="28"/>
          <w:lang w:eastAsia="en-US"/>
        </w:rPr>
        <w:t xml:space="preserve"> likmes saglabāšana Latvijai raksturīgiem svaigiem augļiem, ogām un dārzeņiem līdz 2023.gada 31.decembrim (fiskālā ietekme </w:t>
      </w:r>
      <w:r w:rsidRPr="00080F5D">
        <w:rPr>
          <w:rFonts w:ascii="Times New Roman" w:eastAsia="Times New Roman" w:hAnsi="Times New Roman" w:cs="Times New Roman"/>
          <w:sz w:val="28"/>
          <w:szCs w:val="28"/>
          <w:lang w:eastAsia="en-US"/>
        </w:rPr>
        <w:noBreakHyphen/>
        <w:t>3,0 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 xml:space="preserve"> ik gadu);</w:t>
      </w:r>
    </w:p>
    <w:p w14:paraId="342466B9" w14:textId="77777777" w:rsidR="00DB596B" w:rsidRPr="00080F5D" w:rsidRDefault="00DB596B" w:rsidP="00FB2B77">
      <w:pPr>
        <w:numPr>
          <w:ilvl w:val="0"/>
          <w:numId w:val="27"/>
        </w:numPr>
        <w:jc w:val="both"/>
        <w:rPr>
          <w:rFonts w:ascii="Times New Roman" w:eastAsia="Times New Roman" w:hAnsi="Times New Roman" w:cs="Times New Roman"/>
          <w:sz w:val="28"/>
          <w:szCs w:val="28"/>
          <w:lang w:eastAsia="en-US"/>
        </w:rPr>
      </w:pPr>
      <w:r w:rsidRPr="00080F5D">
        <w:rPr>
          <w:rFonts w:ascii="Times New Roman" w:eastAsia="Times New Roman" w:hAnsi="Times New Roman" w:cs="Times New Roman"/>
          <w:sz w:val="28"/>
          <w:szCs w:val="28"/>
          <w:lang w:eastAsia="en-US"/>
        </w:rPr>
        <w:t>PVN piemērošanas vienkāršošanas noteikumi e</w:t>
      </w:r>
      <w:r w:rsidRPr="00080F5D">
        <w:rPr>
          <w:rFonts w:ascii="Times New Roman" w:eastAsia="Times New Roman" w:hAnsi="Times New Roman" w:cs="Times New Roman"/>
          <w:sz w:val="28"/>
          <w:szCs w:val="28"/>
          <w:lang w:eastAsia="en-US"/>
        </w:rPr>
        <w:noBreakHyphen/>
        <w:t>komercijas jomā: ar 2021.gadu tiks paplašināts īpašā PVN režīma piemērošanas tvērums, radot iespēju reģistrēties vienā dalībvalstī un veikt PVN samaksu par jebkādiem darījumiem, kas veikti e-vidē īpašā PVN režīma ietvaros; papildus tam ar 2021.gadu tiks atcelts PVN atbrīvojums mazās vērtības preču sūtījumiem 22 eiro apmērā. (fiskālā ietekme 2021., 2022. un 2023.gadā +10,4 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 xml:space="preserve"> ik gadu);</w:t>
      </w:r>
    </w:p>
    <w:p w14:paraId="7385A0AB" w14:textId="3B760BD1" w:rsidR="00DB596B" w:rsidRPr="00080F5D" w:rsidRDefault="00E00EF2" w:rsidP="00FB2B77">
      <w:pPr>
        <w:numPr>
          <w:ilvl w:val="0"/>
          <w:numId w:val="27"/>
        </w:numPr>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MK rīkojums</w:t>
      </w:r>
      <w:r w:rsidR="00DB596B" w:rsidRPr="00080F5D">
        <w:rPr>
          <w:rFonts w:ascii="Times New Roman" w:eastAsia="Times New Roman" w:hAnsi="Times New Roman" w:cs="Times New Roman"/>
          <w:sz w:val="28"/>
          <w:szCs w:val="28"/>
          <w:lang w:eastAsia="en-US"/>
        </w:rPr>
        <w:t xml:space="preserve"> “Par </w:t>
      </w:r>
      <w:r w:rsidR="00AC361B">
        <w:rPr>
          <w:rFonts w:ascii="Times New Roman" w:eastAsia="Times New Roman" w:hAnsi="Times New Roman" w:cs="Times New Roman"/>
          <w:sz w:val="28"/>
          <w:szCs w:val="28"/>
          <w:lang w:eastAsia="en-US"/>
        </w:rPr>
        <w:t>SM</w:t>
      </w:r>
      <w:r w:rsidR="00DB596B" w:rsidRPr="00080F5D">
        <w:rPr>
          <w:rFonts w:ascii="Times New Roman" w:eastAsia="Times New Roman" w:hAnsi="Times New Roman" w:cs="Times New Roman"/>
          <w:sz w:val="28"/>
          <w:szCs w:val="28"/>
          <w:lang w:eastAsia="en-US"/>
        </w:rPr>
        <w:t xml:space="preserve"> ilgtermiņa saistībām valsts galvenā autoceļa “E67/A7 Ķekavas apvedceļš” publiskās un privātās partnerības projekta īstenošanai” (fiskālā ietekme 2021.gadā +8,3 milj. </w:t>
      </w:r>
      <w:r w:rsidR="00DB596B" w:rsidRPr="00080F5D">
        <w:rPr>
          <w:rFonts w:ascii="Times New Roman" w:eastAsia="Times New Roman" w:hAnsi="Times New Roman" w:cs="Times New Roman"/>
          <w:i/>
          <w:sz w:val="28"/>
          <w:szCs w:val="28"/>
          <w:lang w:eastAsia="en-US"/>
        </w:rPr>
        <w:t>euro</w:t>
      </w:r>
      <w:r w:rsidR="00DB596B" w:rsidRPr="00080F5D">
        <w:rPr>
          <w:rFonts w:ascii="Times New Roman" w:eastAsia="Times New Roman" w:hAnsi="Times New Roman" w:cs="Times New Roman"/>
          <w:sz w:val="28"/>
          <w:szCs w:val="28"/>
          <w:lang w:eastAsia="en-US"/>
        </w:rPr>
        <w:t>, 2022.gadā +12,6 milj. euro, 2023.gadā +5,1 milj. </w:t>
      </w:r>
      <w:r w:rsidR="00DB596B" w:rsidRPr="00080F5D">
        <w:rPr>
          <w:rFonts w:ascii="Times New Roman" w:eastAsia="Times New Roman" w:hAnsi="Times New Roman" w:cs="Times New Roman"/>
          <w:i/>
          <w:sz w:val="28"/>
          <w:szCs w:val="28"/>
          <w:lang w:eastAsia="en-US"/>
        </w:rPr>
        <w:t>euro</w:t>
      </w:r>
      <w:r w:rsidR="00DB596B" w:rsidRPr="00080F5D">
        <w:rPr>
          <w:rFonts w:ascii="Times New Roman" w:eastAsia="Times New Roman" w:hAnsi="Times New Roman" w:cs="Times New Roman"/>
          <w:sz w:val="28"/>
          <w:szCs w:val="28"/>
          <w:lang w:eastAsia="en-US"/>
        </w:rPr>
        <w:t>);</w:t>
      </w:r>
    </w:p>
    <w:p w14:paraId="6871BBAD" w14:textId="30FB0B47" w:rsidR="00DB596B" w:rsidRPr="00080F5D" w:rsidRDefault="00DB596B" w:rsidP="00FB2B77">
      <w:pPr>
        <w:numPr>
          <w:ilvl w:val="0"/>
          <w:numId w:val="27"/>
        </w:numPr>
        <w:jc w:val="both"/>
        <w:rPr>
          <w:rFonts w:ascii="Times New Roman" w:eastAsia="Times New Roman" w:hAnsi="Times New Roman" w:cs="Times New Roman"/>
          <w:sz w:val="28"/>
          <w:szCs w:val="28"/>
          <w:lang w:eastAsia="en-US"/>
        </w:rPr>
      </w:pPr>
      <w:r w:rsidRPr="00080F5D">
        <w:rPr>
          <w:rFonts w:ascii="Times New Roman" w:eastAsia="Times New Roman" w:hAnsi="Times New Roman" w:cs="Times New Roman"/>
          <w:sz w:val="28"/>
          <w:szCs w:val="28"/>
          <w:lang w:eastAsia="en-US"/>
        </w:rPr>
        <w:t>Grozījumi</w:t>
      </w:r>
      <w:r w:rsidR="00E00EF2">
        <w:rPr>
          <w:rFonts w:ascii="Times New Roman" w:eastAsia="Times New Roman" w:hAnsi="Times New Roman" w:cs="Times New Roman"/>
          <w:sz w:val="28"/>
          <w:szCs w:val="28"/>
          <w:lang w:eastAsia="en-US"/>
        </w:rPr>
        <w:t xml:space="preserve"> likumā “Čeku loterijas likums”</w:t>
      </w:r>
      <w:r w:rsidRPr="00080F5D">
        <w:rPr>
          <w:rFonts w:ascii="Times New Roman" w:eastAsia="Times New Roman" w:hAnsi="Times New Roman" w:cs="Times New Roman"/>
          <w:sz w:val="28"/>
          <w:szCs w:val="28"/>
          <w:lang w:eastAsia="en-US"/>
        </w:rPr>
        <w:t xml:space="preserve"> (fiskālā ietekme +0,7 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 xml:space="preserve"> ik gadu);</w:t>
      </w:r>
    </w:p>
    <w:p w14:paraId="6E39C9EA" w14:textId="77777777" w:rsidR="00DB596B" w:rsidRPr="00080F5D" w:rsidRDefault="00DB596B" w:rsidP="00FB2B77">
      <w:pPr>
        <w:numPr>
          <w:ilvl w:val="0"/>
          <w:numId w:val="27"/>
        </w:numPr>
        <w:jc w:val="both"/>
        <w:rPr>
          <w:rFonts w:ascii="Times New Roman" w:eastAsia="Times New Roman" w:hAnsi="Times New Roman" w:cs="Times New Roman"/>
          <w:sz w:val="28"/>
          <w:szCs w:val="28"/>
          <w:lang w:eastAsia="en-US"/>
        </w:rPr>
      </w:pPr>
      <w:r w:rsidRPr="00080F5D">
        <w:rPr>
          <w:rFonts w:ascii="Times New Roman" w:eastAsia="Times New Roman" w:hAnsi="Times New Roman" w:cs="Times New Roman"/>
          <w:sz w:val="28"/>
          <w:szCs w:val="28"/>
          <w:lang w:eastAsia="en-US"/>
        </w:rPr>
        <w:t>atgriezeniskais efekts no algu palielināšanas veselības un izglītības jomā (fiskālā ietekme 2021.gadā +25,7 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 2022.gadā +29,1 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 +2023.gadā 32,4 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w:t>
      </w:r>
    </w:p>
    <w:p w14:paraId="3A040FB1" w14:textId="77777777" w:rsidR="00DB596B" w:rsidRPr="00080F5D" w:rsidRDefault="00DB596B" w:rsidP="00FB2B77">
      <w:pPr>
        <w:numPr>
          <w:ilvl w:val="0"/>
          <w:numId w:val="27"/>
        </w:numPr>
        <w:jc w:val="both"/>
        <w:rPr>
          <w:rFonts w:ascii="Times New Roman" w:eastAsia="Times New Roman" w:hAnsi="Times New Roman" w:cs="Times New Roman"/>
          <w:sz w:val="28"/>
          <w:szCs w:val="28"/>
          <w:lang w:eastAsia="en-US"/>
        </w:rPr>
      </w:pPr>
      <w:r w:rsidRPr="00080F5D">
        <w:rPr>
          <w:rFonts w:ascii="Times New Roman" w:eastAsia="Times New Roman" w:hAnsi="Times New Roman" w:cs="Times New Roman"/>
          <w:sz w:val="28"/>
          <w:szCs w:val="28"/>
          <w:lang w:eastAsia="en-US"/>
        </w:rPr>
        <w:t>Akcīzes nodokļa likmju tabakas izstrādājumiem paaugstināšana (fiskālā ietekme 2021.gadā +0,9 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 2022.gadā +1,9 milj. euro, 2023.gadā +2,5 milj. </w:t>
      </w:r>
      <w:r w:rsidRPr="00080F5D">
        <w:rPr>
          <w:rFonts w:ascii="Times New Roman" w:eastAsia="Times New Roman" w:hAnsi="Times New Roman" w:cs="Times New Roman"/>
          <w:i/>
          <w:sz w:val="28"/>
          <w:szCs w:val="28"/>
          <w:lang w:eastAsia="en-US"/>
        </w:rPr>
        <w:t>euro</w:t>
      </w:r>
      <w:r w:rsidRPr="00080F5D">
        <w:rPr>
          <w:rFonts w:ascii="Times New Roman" w:eastAsia="Times New Roman" w:hAnsi="Times New Roman" w:cs="Times New Roman"/>
          <w:sz w:val="28"/>
          <w:szCs w:val="28"/>
          <w:lang w:eastAsia="en-US"/>
        </w:rPr>
        <w:t>).</w:t>
      </w:r>
    </w:p>
    <w:p w14:paraId="48DAD28A" w14:textId="77777777" w:rsidR="00DB596B" w:rsidRPr="00DB596B" w:rsidRDefault="00DB596B" w:rsidP="00401A5B">
      <w:pPr>
        <w:ind w:firstLine="720"/>
        <w:jc w:val="both"/>
        <w:rPr>
          <w:rFonts w:ascii="Times New Roman" w:eastAsia="Times New Roman" w:hAnsi="Times New Roman" w:cs="Times New Roman"/>
          <w:sz w:val="28"/>
          <w:szCs w:val="28"/>
          <w:lang w:eastAsia="en-US"/>
        </w:rPr>
      </w:pPr>
    </w:p>
    <w:p w14:paraId="0DCBDECA" w14:textId="77777777" w:rsidR="00DB596B" w:rsidRPr="00DB596B" w:rsidRDefault="00DB596B" w:rsidP="00401A5B">
      <w:pPr>
        <w:keepNext/>
        <w:jc w:val="right"/>
        <w:rPr>
          <w:rFonts w:ascii="Times New Roman" w:eastAsia="Times New Roman" w:hAnsi="Times New Roman" w:cs="Times New Roman"/>
          <w:b/>
          <w:i/>
          <w:sz w:val="24"/>
          <w:szCs w:val="20"/>
          <w:lang w:eastAsia="en-US"/>
        </w:rPr>
      </w:pPr>
      <w:r w:rsidRPr="00DB596B">
        <w:rPr>
          <w:rFonts w:ascii="Times New Roman" w:eastAsia="Times New Roman" w:hAnsi="Times New Roman" w:cs="Times New Roman"/>
          <w:b/>
          <w:i/>
          <w:sz w:val="24"/>
          <w:szCs w:val="20"/>
          <w:lang w:eastAsia="en-US"/>
        </w:rPr>
        <w:t>3.6. tabula. Pievienotās vērtības nodokļa ieņēmumi</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57"/>
        <w:gridCol w:w="1026"/>
        <w:gridCol w:w="1028"/>
        <w:gridCol w:w="1028"/>
        <w:gridCol w:w="1026"/>
      </w:tblGrid>
      <w:tr w:rsidR="00DB596B" w:rsidRPr="00E00EF2" w14:paraId="588E33F9" w14:textId="77777777" w:rsidTr="00F266F7">
        <w:trPr>
          <w:cantSplit/>
          <w:trHeight w:hRule="exact" w:val="397"/>
          <w:tblHeader/>
          <w:jc w:val="center"/>
        </w:trPr>
        <w:tc>
          <w:tcPr>
            <w:tcW w:w="2734" w:type="pct"/>
            <w:shd w:val="clear" w:color="auto" w:fill="DEEAF6" w:themeFill="accent1" w:themeFillTint="33"/>
            <w:noWrap/>
            <w:vAlign w:val="center"/>
            <w:hideMark/>
          </w:tcPr>
          <w:p w14:paraId="612E9903" w14:textId="77777777" w:rsidR="00DB596B" w:rsidRPr="00E00EF2" w:rsidRDefault="00DB596B" w:rsidP="00401A5B">
            <w:pPr>
              <w:keepNext/>
              <w:jc w:val="center"/>
              <w:rPr>
                <w:rFonts w:ascii="Times New Roman" w:eastAsia="Times New Roman" w:hAnsi="Times New Roman" w:cs="Times New Roman"/>
                <w:color w:val="000000"/>
                <w:sz w:val="20"/>
                <w:szCs w:val="20"/>
              </w:rPr>
            </w:pPr>
          </w:p>
        </w:tc>
        <w:tc>
          <w:tcPr>
            <w:tcW w:w="566" w:type="pct"/>
            <w:shd w:val="clear" w:color="auto" w:fill="DEEAF6" w:themeFill="accent1" w:themeFillTint="33"/>
            <w:vAlign w:val="center"/>
          </w:tcPr>
          <w:p w14:paraId="53B0F9AE" w14:textId="77777777" w:rsidR="00DB596B" w:rsidRPr="00E00EF2" w:rsidRDefault="00DB596B" w:rsidP="00401A5B">
            <w:pPr>
              <w:keepNext/>
              <w:jc w:val="center"/>
              <w:rPr>
                <w:rFonts w:ascii="Times New Roman" w:eastAsia="Times New Roman" w:hAnsi="Times New Roman" w:cs="Times New Roman"/>
                <w:b/>
                <w:color w:val="000000"/>
                <w:sz w:val="20"/>
                <w:szCs w:val="20"/>
              </w:rPr>
            </w:pPr>
            <w:r w:rsidRPr="00E00EF2">
              <w:rPr>
                <w:rFonts w:ascii="Times New Roman" w:eastAsia="Times New Roman" w:hAnsi="Times New Roman" w:cs="Times New Roman"/>
                <w:b/>
                <w:color w:val="000000"/>
                <w:sz w:val="20"/>
                <w:szCs w:val="20"/>
              </w:rPr>
              <w:t>2020</w:t>
            </w:r>
          </w:p>
        </w:tc>
        <w:tc>
          <w:tcPr>
            <w:tcW w:w="567" w:type="pct"/>
            <w:shd w:val="clear" w:color="auto" w:fill="DEEAF6" w:themeFill="accent1" w:themeFillTint="33"/>
            <w:vAlign w:val="center"/>
          </w:tcPr>
          <w:p w14:paraId="47677023" w14:textId="77777777" w:rsidR="00DB596B" w:rsidRPr="00E00EF2" w:rsidRDefault="00DB596B" w:rsidP="00401A5B">
            <w:pPr>
              <w:keepNext/>
              <w:jc w:val="center"/>
              <w:rPr>
                <w:rFonts w:ascii="Times New Roman" w:eastAsia="Times New Roman" w:hAnsi="Times New Roman" w:cs="Times New Roman"/>
                <w:b/>
                <w:color w:val="000000"/>
                <w:sz w:val="20"/>
                <w:szCs w:val="20"/>
              </w:rPr>
            </w:pPr>
            <w:r w:rsidRPr="00E00EF2">
              <w:rPr>
                <w:rFonts w:ascii="Times New Roman" w:eastAsia="Times New Roman" w:hAnsi="Times New Roman" w:cs="Times New Roman"/>
                <w:b/>
                <w:color w:val="000000"/>
                <w:sz w:val="20"/>
                <w:szCs w:val="20"/>
              </w:rPr>
              <w:t>2021</w:t>
            </w:r>
          </w:p>
        </w:tc>
        <w:tc>
          <w:tcPr>
            <w:tcW w:w="567" w:type="pct"/>
            <w:shd w:val="clear" w:color="auto" w:fill="DEEAF6" w:themeFill="accent1" w:themeFillTint="33"/>
            <w:noWrap/>
            <w:vAlign w:val="center"/>
            <w:hideMark/>
          </w:tcPr>
          <w:p w14:paraId="6645C614" w14:textId="77777777" w:rsidR="00DB596B" w:rsidRPr="00E00EF2" w:rsidRDefault="00DB596B" w:rsidP="00401A5B">
            <w:pPr>
              <w:keepNext/>
              <w:jc w:val="center"/>
              <w:rPr>
                <w:rFonts w:ascii="Times New Roman" w:eastAsia="Times New Roman" w:hAnsi="Times New Roman" w:cs="Times New Roman"/>
                <w:b/>
                <w:color w:val="000000"/>
                <w:sz w:val="20"/>
                <w:szCs w:val="20"/>
              </w:rPr>
            </w:pPr>
            <w:r w:rsidRPr="00E00EF2">
              <w:rPr>
                <w:rFonts w:ascii="Times New Roman" w:eastAsia="Times New Roman" w:hAnsi="Times New Roman" w:cs="Times New Roman"/>
                <w:b/>
                <w:color w:val="000000"/>
                <w:sz w:val="20"/>
                <w:szCs w:val="20"/>
              </w:rPr>
              <w:t>2022</w:t>
            </w:r>
          </w:p>
        </w:tc>
        <w:tc>
          <w:tcPr>
            <w:tcW w:w="567" w:type="pct"/>
            <w:shd w:val="clear" w:color="auto" w:fill="DEEAF6" w:themeFill="accent1" w:themeFillTint="33"/>
            <w:vAlign w:val="center"/>
          </w:tcPr>
          <w:p w14:paraId="1DCCE587" w14:textId="77777777" w:rsidR="00DB596B" w:rsidRPr="00E00EF2" w:rsidRDefault="00DB596B" w:rsidP="00401A5B">
            <w:pPr>
              <w:keepNext/>
              <w:jc w:val="center"/>
              <w:rPr>
                <w:rFonts w:ascii="Times New Roman" w:eastAsia="Times New Roman" w:hAnsi="Times New Roman" w:cs="Times New Roman"/>
                <w:b/>
                <w:color w:val="000000"/>
                <w:sz w:val="20"/>
                <w:szCs w:val="20"/>
              </w:rPr>
            </w:pPr>
            <w:r w:rsidRPr="00E00EF2">
              <w:rPr>
                <w:rFonts w:ascii="Times New Roman" w:eastAsia="Times New Roman" w:hAnsi="Times New Roman" w:cs="Times New Roman"/>
                <w:b/>
                <w:color w:val="000000"/>
                <w:sz w:val="20"/>
                <w:szCs w:val="20"/>
              </w:rPr>
              <w:t>2023</w:t>
            </w:r>
          </w:p>
        </w:tc>
      </w:tr>
      <w:tr w:rsidR="00DB596B" w:rsidRPr="00E00EF2" w14:paraId="6A41E29D" w14:textId="77777777" w:rsidTr="00DB596B">
        <w:trPr>
          <w:cantSplit/>
          <w:trHeight w:val="136"/>
          <w:jc w:val="center"/>
        </w:trPr>
        <w:tc>
          <w:tcPr>
            <w:tcW w:w="2734" w:type="pct"/>
            <w:shd w:val="clear" w:color="auto" w:fill="auto"/>
            <w:vAlign w:val="center"/>
            <w:hideMark/>
          </w:tcPr>
          <w:p w14:paraId="626CBFAE" w14:textId="602A00D9" w:rsidR="00DB596B" w:rsidRPr="00E00EF2" w:rsidRDefault="00F266F7" w:rsidP="00401A5B">
            <w:pPr>
              <w:keepNex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PVN</w:t>
            </w:r>
            <w:r w:rsidR="00DB596B" w:rsidRPr="00E00EF2">
              <w:rPr>
                <w:rFonts w:ascii="Times New Roman" w:eastAsia="Times New Roman" w:hAnsi="Times New Roman" w:cs="Times New Roman"/>
                <w:color w:val="000000"/>
                <w:sz w:val="20"/>
                <w:szCs w:val="20"/>
              </w:rPr>
              <w:t xml:space="preserve"> saskaņā ar likumprojektu „Par vidēja termiņa budžeta ietvaru 2021., 2022. un 2023. gadam”, milj. </w:t>
            </w:r>
            <w:r w:rsidR="00DB596B" w:rsidRPr="00E00EF2">
              <w:rPr>
                <w:rFonts w:ascii="Times New Roman" w:eastAsia="Times New Roman" w:hAnsi="Times New Roman" w:cs="Times New Roman"/>
                <w:i/>
                <w:color w:val="000000"/>
                <w:sz w:val="20"/>
                <w:szCs w:val="20"/>
              </w:rPr>
              <w:t>euro</w:t>
            </w:r>
          </w:p>
        </w:tc>
        <w:tc>
          <w:tcPr>
            <w:tcW w:w="566" w:type="pct"/>
            <w:shd w:val="clear" w:color="auto" w:fill="auto"/>
            <w:noWrap/>
            <w:vAlign w:val="center"/>
          </w:tcPr>
          <w:p w14:paraId="01026974" w14:textId="77777777" w:rsidR="00DB596B" w:rsidRPr="00E00EF2" w:rsidRDefault="00DB596B" w:rsidP="00401A5B">
            <w:pPr>
              <w:keepNext/>
              <w:tabs>
                <w:tab w:val="decimal" w:pos="468"/>
              </w:tabs>
              <w:rPr>
                <w:rFonts w:ascii="Times New Roman" w:eastAsia="Times New Roman" w:hAnsi="Times New Roman" w:cs="Times New Roman"/>
                <w:b/>
                <w:color w:val="000000"/>
                <w:sz w:val="20"/>
                <w:szCs w:val="20"/>
                <w:lang w:eastAsia="en-US"/>
              </w:rPr>
            </w:pPr>
            <w:r w:rsidRPr="00E00EF2">
              <w:rPr>
                <w:rFonts w:ascii="Times New Roman" w:eastAsia="Times New Roman" w:hAnsi="Times New Roman" w:cs="Times New Roman"/>
                <w:b/>
                <w:color w:val="000000"/>
                <w:sz w:val="20"/>
                <w:szCs w:val="20"/>
                <w:lang w:eastAsia="en-US"/>
              </w:rPr>
              <w:t>2 498,8*</w:t>
            </w:r>
          </w:p>
        </w:tc>
        <w:tc>
          <w:tcPr>
            <w:tcW w:w="567" w:type="pct"/>
            <w:shd w:val="clear" w:color="auto" w:fill="auto"/>
            <w:noWrap/>
            <w:vAlign w:val="center"/>
          </w:tcPr>
          <w:p w14:paraId="5494488D" w14:textId="77777777" w:rsidR="00DB596B" w:rsidRPr="00E00EF2" w:rsidRDefault="00DB596B" w:rsidP="00401A5B">
            <w:pPr>
              <w:keepNext/>
              <w:tabs>
                <w:tab w:val="decimal" w:pos="468"/>
              </w:tabs>
              <w:rPr>
                <w:rFonts w:ascii="Times New Roman" w:eastAsia="Times New Roman" w:hAnsi="Times New Roman" w:cs="Times New Roman"/>
                <w:b/>
                <w:color w:val="000000"/>
                <w:sz w:val="20"/>
                <w:szCs w:val="20"/>
                <w:lang w:eastAsia="en-US"/>
              </w:rPr>
            </w:pPr>
            <w:r w:rsidRPr="00E00EF2">
              <w:rPr>
                <w:rFonts w:ascii="Times New Roman" w:eastAsia="Times New Roman" w:hAnsi="Times New Roman" w:cs="Times New Roman"/>
                <w:b/>
                <w:color w:val="000000"/>
                <w:sz w:val="20"/>
                <w:szCs w:val="20"/>
                <w:lang w:eastAsia="en-US"/>
              </w:rPr>
              <w:t>2 735,3</w:t>
            </w:r>
          </w:p>
        </w:tc>
        <w:tc>
          <w:tcPr>
            <w:tcW w:w="567" w:type="pct"/>
            <w:shd w:val="clear" w:color="auto" w:fill="auto"/>
            <w:noWrap/>
            <w:vAlign w:val="center"/>
          </w:tcPr>
          <w:p w14:paraId="57B03904" w14:textId="77777777" w:rsidR="00DB596B" w:rsidRPr="00E00EF2" w:rsidRDefault="00DB596B" w:rsidP="00401A5B">
            <w:pPr>
              <w:keepNext/>
              <w:tabs>
                <w:tab w:val="decimal" w:pos="468"/>
              </w:tabs>
              <w:rPr>
                <w:rFonts w:ascii="Times New Roman" w:eastAsia="Times New Roman" w:hAnsi="Times New Roman" w:cs="Times New Roman"/>
                <w:b/>
                <w:color w:val="000000"/>
                <w:sz w:val="20"/>
                <w:szCs w:val="20"/>
                <w:lang w:eastAsia="en-US"/>
              </w:rPr>
            </w:pPr>
            <w:r w:rsidRPr="00E00EF2">
              <w:rPr>
                <w:rFonts w:ascii="Times New Roman" w:eastAsia="Times New Roman" w:hAnsi="Times New Roman" w:cs="Times New Roman"/>
                <w:b/>
                <w:color w:val="000000"/>
                <w:sz w:val="20"/>
                <w:szCs w:val="20"/>
                <w:lang w:eastAsia="en-US"/>
              </w:rPr>
              <w:t>2 925,9</w:t>
            </w:r>
          </w:p>
        </w:tc>
        <w:tc>
          <w:tcPr>
            <w:tcW w:w="567" w:type="pct"/>
            <w:vAlign w:val="center"/>
          </w:tcPr>
          <w:p w14:paraId="1E88340F" w14:textId="77777777" w:rsidR="00DB596B" w:rsidRPr="00E00EF2" w:rsidRDefault="00DB596B" w:rsidP="00401A5B">
            <w:pPr>
              <w:keepNext/>
              <w:tabs>
                <w:tab w:val="decimal" w:pos="468"/>
              </w:tabs>
              <w:rPr>
                <w:rFonts w:ascii="Times New Roman" w:eastAsia="Times New Roman" w:hAnsi="Times New Roman" w:cs="Times New Roman"/>
                <w:b/>
                <w:color w:val="000000"/>
                <w:sz w:val="20"/>
                <w:szCs w:val="20"/>
                <w:lang w:eastAsia="en-US"/>
              </w:rPr>
            </w:pPr>
            <w:r w:rsidRPr="00E00EF2">
              <w:rPr>
                <w:rFonts w:ascii="Times New Roman" w:eastAsia="Times New Roman" w:hAnsi="Times New Roman" w:cs="Times New Roman"/>
                <w:b/>
                <w:color w:val="000000"/>
                <w:sz w:val="20"/>
                <w:szCs w:val="20"/>
                <w:lang w:eastAsia="en-US"/>
              </w:rPr>
              <w:t>3 117,8</w:t>
            </w:r>
          </w:p>
        </w:tc>
      </w:tr>
      <w:tr w:rsidR="00DB596B" w:rsidRPr="00E00EF2" w14:paraId="13F3FDC4" w14:textId="77777777" w:rsidTr="00DB596B">
        <w:trPr>
          <w:cantSplit/>
          <w:trHeight w:val="338"/>
          <w:jc w:val="center"/>
        </w:trPr>
        <w:tc>
          <w:tcPr>
            <w:tcW w:w="2734" w:type="pct"/>
            <w:shd w:val="clear" w:color="auto" w:fill="auto"/>
            <w:vAlign w:val="center"/>
          </w:tcPr>
          <w:p w14:paraId="7C9F7F97" w14:textId="212655BD" w:rsidR="00DB596B" w:rsidRPr="00E00EF2" w:rsidRDefault="00F266F7" w:rsidP="00401A5B">
            <w:pPr>
              <w:keepNext/>
              <w:rPr>
                <w:rFonts w:ascii="Times New Roman" w:eastAsia="Times New Roman" w:hAnsi="Times New Roman" w:cs="Times New Roman"/>
                <w:i/>
                <w:sz w:val="20"/>
                <w:szCs w:val="20"/>
              </w:rPr>
            </w:pPr>
            <w:r>
              <w:rPr>
                <w:rFonts w:ascii="Times New Roman" w:eastAsia="Times New Roman" w:hAnsi="Times New Roman" w:cs="Times New Roman"/>
                <w:b/>
                <w:sz w:val="20"/>
                <w:szCs w:val="20"/>
              </w:rPr>
              <w:t>PVN</w:t>
            </w:r>
            <w:r w:rsidR="00DB596B" w:rsidRPr="00E00EF2">
              <w:rPr>
                <w:rFonts w:ascii="Times New Roman" w:eastAsia="Times New Roman" w:hAnsi="Times New Roman" w:cs="Times New Roman"/>
                <w:i/>
                <w:sz w:val="20"/>
                <w:szCs w:val="20"/>
              </w:rPr>
              <w:t xml:space="preserve"> </w:t>
            </w:r>
            <w:r w:rsidR="00DB596B" w:rsidRPr="00E00EF2">
              <w:rPr>
                <w:rFonts w:ascii="Times New Roman" w:eastAsia="Times New Roman" w:hAnsi="Times New Roman" w:cs="Times New Roman"/>
                <w:sz w:val="20"/>
                <w:szCs w:val="20"/>
              </w:rPr>
              <w:t xml:space="preserve">saskaņā ar likumu </w:t>
            </w:r>
            <w:r w:rsidR="00DB596B" w:rsidRPr="00E00EF2">
              <w:rPr>
                <w:rFonts w:ascii="Times New Roman" w:eastAsia="Times New Roman" w:hAnsi="Times New Roman" w:cs="Times New Roman"/>
                <w:color w:val="000000"/>
                <w:sz w:val="20"/>
                <w:szCs w:val="20"/>
              </w:rPr>
              <w:t>„Par vidēja termiņa budžeta ietvaru 2020., 2021. un 2022. gadam”, milj. </w:t>
            </w:r>
            <w:r w:rsidR="00DB596B" w:rsidRPr="00E00EF2">
              <w:rPr>
                <w:rFonts w:ascii="Times New Roman" w:eastAsia="Times New Roman" w:hAnsi="Times New Roman" w:cs="Times New Roman"/>
                <w:i/>
                <w:color w:val="000000"/>
                <w:sz w:val="20"/>
                <w:szCs w:val="20"/>
              </w:rPr>
              <w:t>euro</w:t>
            </w:r>
          </w:p>
        </w:tc>
        <w:tc>
          <w:tcPr>
            <w:tcW w:w="566" w:type="pct"/>
            <w:shd w:val="clear" w:color="auto" w:fill="auto"/>
            <w:noWrap/>
            <w:vAlign w:val="center"/>
          </w:tcPr>
          <w:p w14:paraId="0DEECCE7" w14:textId="77777777" w:rsidR="00DB596B" w:rsidRPr="00E00EF2" w:rsidRDefault="00DB596B" w:rsidP="00401A5B">
            <w:pPr>
              <w:keepNext/>
              <w:tabs>
                <w:tab w:val="decimal" w:pos="468"/>
              </w:tabs>
              <w:rPr>
                <w:rFonts w:ascii="Times New Roman" w:eastAsia="Times New Roman" w:hAnsi="Times New Roman" w:cs="Times New Roman"/>
                <w:b/>
                <w:color w:val="000000"/>
                <w:sz w:val="20"/>
                <w:szCs w:val="20"/>
                <w:lang w:eastAsia="en-US"/>
              </w:rPr>
            </w:pPr>
            <w:r w:rsidRPr="00E00EF2">
              <w:rPr>
                <w:rFonts w:ascii="Times New Roman" w:eastAsia="Times New Roman" w:hAnsi="Times New Roman" w:cs="Times New Roman"/>
                <w:b/>
                <w:color w:val="000000"/>
                <w:sz w:val="20"/>
                <w:szCs w:val="20"/>
                <w:lang w:eastAsia="en-US"/>
              </w:rPr>
              <w:t>2 884,9</w:t>
            </w:r>
          </w:p>
        </w:tc>
        <w:tc>
          <w:tcPr>
            <w:tcW w:w="567" w:type="pct"/>
            <w:shd w:val="clear" w:color="auto" w:fill="auto"/>
            <w:noWrap/>
            <w:vAlign w:val="center"/>
          </w:tcPr>
          <w:p w14:paraId="1D3775F0" w14:textId="77777777" w:rsidR="00DB596B" w:rsidRPr="00E00EF2" w:rsidRDefault="00DB596B" w:rsidP="00401A5B">
            <w:pPr>
              <w:keepNext/>
              <w:tabs>
                <w:tab w:val="decimal" w:pos="468"/>
              </w:tabs>
              <w:rPr>
                <w:rFonts w:ascii="Times New Roman" w:eastAsia="Times New Roman" w:hAnsi="Times New Roman" w:cs="Times New Roman"/>
                <w:b/>
                <w:color w:val="000000"/>
                <w:sz w:val="20"/>
                <w:szCs w:val="20"/>
                <w:lang w:eastAsia="en-US"/>
              </w:rPr>
            </w:pPr>
            <w:r w:rsidRPr="00E00EF2">
              <w:rPr>
                <w:rFonts w:ascii="Times New Roman" w:eastAsia="Times New Roman" w:hAnsi="Times New Roman" w:cs="Times New Roman"/>
                <w:b/>
                <w:color w:val="000000"/>
                <w:sz w:val="20"/>
                <w:szCs w:val="20"/>
                <w:lang w:eastAsia="en-US"/>
              </w:rPr>
              <w:t>3 077,5</w:t>
            </w:r>
          </w:p>
        </w:tc>
        <w:tc>
          <w:tcPr>
            <w:tcW w:w="567" w:type="pct"/>
            <w:shd w:val="clear" w:color="auto" w:fill="auto"/>
            <w:noWrap/>
            <w:vAlign w:val="center"/>
          </w:tcPr>
          <w:p w14:paraId="73B43E9E" w14:textId="77777777" w:rsidR="00DB596B" w:rsidRPr="00E00EF2" w:rsidRDefault="00DB596B" w:rsidP="00401A5B">
            <w:pPr>
              <w:keepNext/>
              <w:tabs>
                <w:tab w:val="decimal" w:pos="468"/>
              </w:tabs>
              <w:rPr>
                <w:rFonts w:ascii="Times New Roman" w:eastAsia="Times New Roman" w:hAnsi="Times New Roman" w:cs="Times New Roman"/>
                <w:b/>
                <w:color w:val="000000"/>
                <w:sz w:val="20"/>
                <w:szCs w:val="20"/>
                <w:lang w:eastAsia="en-US"/>
              </w:rPr>
            </w:pPr>
            <w:r w:rsidRPr="00E00EF2">
              <w:rPr>
                <w:rFonts w:ascii="Times New Roman" w:eastAsia="Times New Roman" w:hAnsi="Times New Roman" w:cs="Times New Roman"/>
                <w:b/>
                <w:color w:val="000000"/>
                <w:sz w:val="20"/>
                <w:szCs w:val="20"/>
                <w:lang w:eastAsia="en-US"/>
              </w:rPr>
              <w:t>3 276,8</w:t>
            </w:r>
          </w:p>
        </w:tc>
        <w:tc>
          <w:tcPr>
            <w:tcW w:w="567" w:type="pct"/>
            <w:vAlign w:val="center"/>
          </w:tcPr>
          <w:p w14:paraId="64D329B5" w14:textId="77777777" w:rsidR="00DB596B" w:rsidRPr="00E00EF2" w:rsidRDefault="00DB596B" w:rsidP="00401A5B">
            <w:pPr>
              <w:keepNext/>
              <w:tabs>
                <w:tab w:val="decimal" w:pos="468"/>
              </w:tabs>
              <w:rPr>
                <w:rFonts w:ascii="Times New Roman" w:eastAsia="Times New Roman" w:hAnsi="Times New Roman" w:cs="Times New Roman"/>
                <w:b/>
                <w:color w:val="000000"/>
                <w:sz w:val="20"/>
                <w:szCs w:val="20"/>
                <w:lang w:eastAsia="en-US"/>
              </w:rPr>
            </w:pPr>
          </w:p>
        </w:tc>
      </w:tr>
      <w:tr w:rsidR="00DB596B" w:rsidRPr="00E00EF2" w14:paraId="0A2F8559" w14:textId="77777777" w:rsidTr="00DB596B">
        <w:trPr>
          <w:cantSplit/>
          <w:trHeight w:val="338"/>
          <w:jc w:val="center"/>
        </w:trPr>
        <w:tc>
          <w:tcPr>
            <w:tcW w:w="2734" w:type="pct"/>
            <w:shd w:val="clear" w:color="auto" w:fill="auto"/>
            <w:vAlign w:val="center"/>
            <w:hideMark/>
          </w:tcPr>
          <w:p w14:paraId="125B0918" w14:textId="72908BA3" w:rsidR="00DB596B" w:rsidRPr="00E00EF2" w:rsidRDefault="00DB596B" w:rsidP="00F266F7">
            <w:pPr>
              <w:keepNext/>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 xml:space="preserve">pieaugums, salīdzinot </w:t>
            </w:r>
            <w:r w:rsidR="00F266F7">
              <w:rPr>
                <w:rFonts w:ascii="Times New Roman" w:eastAsia="Times New Roman" w:hAnsi="Times New Roman" w:cs="Times New Roman"/>
                <w:i/>
                <w:color w:val="000000"/>
                <w:sz w:val="20"/>
                <w:szCs w:val="20"/>
                <w:lang w:eastAsia="en-US"/>
              </w:rPr>
              <w:t xml:space="preserve">VTBIL </w:t>
            </w:r>
            <w:r w:rsidRPr="00E00EF2">
              <w:rPr>
                <w:rFonts w:ascii="Times New Roman" w:eastAsia="Times New Roman" w:hAnsi="Times New Roman" w:cs="Times New Roman"/>
                <w:i/>
                <w:color w:val="000000"/>
                <w:sz w:val="20"/>
                <w:szCs w:val="20"/>
                <w:lang w:eastAsia="en-US"/>
              </w:rPr>
              <w:t>2020., 2021. un 2022. gadam”, milj. euro</w:t>
            </w:r>
          </w:p>
        </w:tc>
        <w:tc>
          <w:tcPr>
            <w:tcW w:w="566" w:type="pct"/>
            <w:shd w:val="clear" w:color="auto" w:fill="auto"/>
            <w:noWrap/>
            <w:vAlign w:val="center"/>
          </w:tcPr>
          <w:p w14:paraId="49789CBC"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-386,1</w:t>
            </w:r>
          </w:p>
        </w:tc>
        <w:tc>
          <w:tcPr>
            <w:tcW w:w="567" w:type="pct"/>
            <w:shd w:val="clear" w:color="auto" w:fill="auto"/>
            <w:noWrap/>
            <w:vAlign w:val="center"/>
          </w:tcPr>
          <w:p w14:paraId="3321A8EC"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-342,2</w:t>
            </w:r>
          </w:p>
        </w:tc>
        <w:tc>
          <w:tcPr>
            <w:tcW w:w="567" w:type="pct"/>
            <w:shd w:val="clear" w:color="auto" w:fill="auto"/>
            <w:noWrap/>
            <w:vAlign w:val="center"/>
          </w:tcPr>
          <w:p w14:paraId="2D5A2A4C"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-350,9</w:t>
            </w:r>
          </w:p>
        </w:tc>
        <w:tc>
          <w:tcPr>
            <w:tcW w:w="567" w:type="pct"/>
            <w:shd w:val="clear" w:color="auto" w:fill="auto"/>
            <w:vAlign w:val="center"/>
          </w:tcPr>
          <w:p w14:paraId="771560CD"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p>
        </w:tc>
      </w:tr>
      <w:tr w:rsidR="00DB596B" w:rsidRPr="00E00EF2" w14:paraId="41E31C32" w14:textId="77777777" w:rsidTr="00DB596B">
        <w:trPr>
          <w:cantSplit/>
          <w:trHeight w:val="319"/>
          <w:jc w:val="center"/>
        </w:trPr>
        <w:tc>
          <w:tcPr>
            <w:tcW w:w="2734" w:type="pct"/>
            <w:shd w:val="clear" w:color="auto" w:fill="auto"/>
            <w:vAlign w:val="center"/>
            <w:hideMark/>
          </w:tcPr>
          <w:p w14:paraId="5C1B57F6" w14:textId="05DD4368" w:rsidR="00DB596B" w:rsidRPr="00E00EF2" w:rsidRDefault="00DB596B" w:rsidP="00F266F7">
            <w:pPr>
              <w:keepNext/>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 xml:space="preserve">pieaugums, salīdzinot ar </w:t>
            </w:r>
            <w:r w:rsidR="00F266F7">
              <w:rPr>
                <w:rFonts w:ascii="Times New Roman" w:eastAsia="Times New Roman" w:hAnsi="Times New Roman" w:cs="Times New Roman"/>
                <w:i/>
                <w:color w:val="000000"/>
                <w:sz w:val="20"/>
                <w:szCs w:val="20"/>
                <w:lang w:eastAsia="en-US"/>
              </w:rPr>
              <w:t>VTBIL</w:t>
            </w:r>
            <w:r w:rsidRPr="00E00EF2">
              <w:rPr>
                <w:rFonts w:ascii="Times New Roman" w:eastAsia="Times New Roman" w:hAnsi="Times New Roman" w:cs="Times New Roman"/>
                <w:i/>
                <w:color w:val="000000"/>
                <w:sz w:val="20"/>
                <w:szCs w:val="20"/>
                <w:lang w:eastAsia="en-US"/>
              </w:rPr>
              <w:t xml:space="preserve"> 2020., 2021. un 2022. gadam”, %</w:t>
            </w:r>
          </w:p>
        </w:tc>
        <w:tc>
          <w:tcPr>
            <w:tcW w:w="566" w:type="pct"/>
            <w:shd w:val="clear" w:color="auto" w:fill="auto"/>
            <w:noWrap/>
            <w:vAlign w:val="center"/>
          </w:tcPr>
          <w:p w14:paraId="200A4DCA"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-13,4%</w:t>
            </w:r>
          </w:p>
        </w:tc>
        <w:tc>
          <w:tcPr>
            <w:tcW w:w="567" w:type="pct"/>
            <w:shd w:val="clear" w:color="auto" w:fill="auto"/>
            <w:noWrap/>
            <w:vAlign w:val="center"/>
          </w:tcPr>
          <w:p w14:paraId="4656F48E"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-11,1%</w:t>
            </w:r>
          </w:p>
        </w:tc>
        <w:tc>
          <w:tcPr>
            <w:tcW w:w="567" w:type="pct"/>
            <w:shd w:val="clear" w:color="auto" w:fill="auto"/>
            <w:noWrap/>
            <w:vAlign w:val="center"/>
          </w:tcPr>
          <w:p w14:paraId="10F0D1F1"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-10,7%</w:t>
            </w:r>
          </w:p>
        </w:tc>
        <w:tc>
          <w:tcPr>
            <w:tcW w:w="567" w:type="pct"/>
            <w:shd w:val="clear" w:color="auto" w:fill="auto"/>
            <w:vAlign w:val="center"/>
          </w:tcPr>
          <w:p w14:paraId="01B2C2AD"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p>
        </w:tc>
      </w:tr>
      <w:tr w:rsidR="00DB596B" w:rsidRPr="00E00EF2" w14:paraId="696EF45D" w14:textId="77777777" w:rsidTr="00F266F7">
        <w:trPr>
          <w:cantSplit/>
          <w:trHeight w:hRule="exact" w:val="280"/>
          <w:jc w:val="center"/>
        </w:trPr>
        <w:tc>
          <w:tcPr>
            <w:tcW w:w="2734" w:type="pct"/>
            <w:shd w:val="clear" w:color="auto" w:fill="auto"/>
            <w:noWrap/>
            <w:vAlign w:val="center"/>
            <w:hideMark/>
          </w:tcPr>
          <w:p w14:paraId="40BD9098" w14:textId="77777777" w:rsidR="00DB596B" w:rsidRPr="00E00EF2" w:rsidRDefault="00DB596B" w:rsidP="00401A5B">
            <w:pPr>
              <w:keepNext/>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 no IKP</w:t>
            </w:r>
          </w:p>
        </w:tc>
        <w:tc>
          <w:tcPr>
            <w:tcW w:w="566" w:type="pct"/>
            <w:shd w:val="clear" w:color="auto" w:fill="auto"/>
            <w:noWrap/>
            <w:vAlign w:val="center"/>
          </w:tcPr>
          <w:p w14:paraId="4360ED50"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8,9</w:t>
            </w:r>
          </w:p>
        </w:tc>
        <w:tc>
          <w:tcPr>
            <w:tcW w:w="567" w:type="pct"/>
            <w:shd w:val="clear" w:color="auto" w:fill="auto"/>
            <w:noWrap/>
            <w:vAlign w:val="center"/>
          </w:tcPr>
          <w:p w14:paraId="787CE496"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9,1</w:t>
            </w:r>
          </w:p>
        </w:tc>
        <w:tc>
          <w:tcPr>
            <w:tcW w:w="567" w:type="pct"/>
            <w:shd w:val="clear" w:color="auto" w:fill="auto"/>
            <w:noWrap/>
            <w:vAlign w:val="center"/>
          </w:tcPr>
          <w:p w14:paraId="6A5A361E"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9,3</w:t>
            </w:r>
          </w:p>
        </w:tc>
        <w:tc>
          <w:tcPr>
            <w:tcW w:w="567" w:type="pct"/>
            <w:vAlign w:val="center"/>
          </w:tcPr>
          <w:p w14:paraId="21DAFED5" w14:textId="77777777" w:rsidR="00DB596B" w:rsidRPr="00E00EF2" w:rsidRDefault="00DB596B" w:rsidP="00401A5B">
            <w:pPr>
              <w:keepNext/>
              <w:tabs>
                <w:tab w:val="decimal" w:pos="468"/>
              </w:tabs>
              <w:rPr>
                <w:rFonts w:ascii="Times New Roman" w:eastAsia="Times New Roman" w:hAnsi="Times New Roman" w:cs="Times New Roman"/>
                <w:i/>
                <w:color w:val="000000"/>
                <w:sz w:val="20"/>
                <w:szCs w:val="20"/>
                <w:lang w:eastAsia="en-US"/>
              </w:rPr>
            </w:pPr>
            <w:r w:rsidRPr="00E00EF2">
              <w:rPr>
                <w:rFonts w:ascii="Times New Roman" w:eastAsia="Times New Roman" w:hAnsi="Times New Roman" w:cs="Times New Roman"/>
                <w:i/>
                <w:color w:val="000000"/>
                <w:sz w:val="20"/>
                <w:szCs w:val="20"/>
                <w:lang w:eastAsia="en-US"/>
              </w:rPr>
              <w:t>9,4</w:t>
            </w:r>
          </w:p>
        </w:tc>
      </w:tr>
    </w:tbl>
    <w:p w14:paraId="60A17C75" w14:textId="77777777" w:rsidR="00DB596B" w:rsidRPr="00E00EF2" w:rsidRDefault="00DB596B" w:rsidP="00401A5B">
      <w:pPr>
        <w:jc w:val="both"/>
        <w:rPr>
          <w:rFonts w:ascii="Times New Roman" w:eastAsia="Times New Roman" w:hAnsi="Times New Roman" w:cs="Times New Roman"/>
          <w:sz w:val="20"/>
          <w:szCs w:val="20"/>
          <w:lang w:eastAsia="en-US"/>
        </w:rPr>
      </w:pPr>
      <w:r w:rsidRPr="00E00EF2">
        <w:rPr>
          <w:rFonts w:ascii="Times New Roman" w:eastAsia="Times New Roman" w:hAnsi="Times New Roman" w:cs="Times New Roman"/>
          <w:sz w:val="20"/>
          <w:szCs w:val="20"/>
          <w:lang w:eastAsia="en-US"/>
        </w:rPr>
        <w:t>*</w:t>
      </w:r>
      <w:r w:rsidRPr="00E00EF2">
        <w:rPr>
          <w:rFonts w:ascii="Times New Roman" w:eastAsia="Times New Roman" w:hAnsi="Times New Roman" w:cs="Times New Roman"/>
          <w:sz w:val="28"/>
          <w:szCs w:val="20"/>
          <w:lang w:eastAsia="en-US"/>
        </w:rPr>
        <w:t xml:space="preserve"> </w:t>
      </w:r>
      <w:r w:rsidRPr="00E00EF2">
        <w:rPr>
          <w:rFonts w:ascii="Times New Roman" w:eastAsia="Times New Roman" w:hAnsi="Times New Roman" w:cs="Times New Roman"/>
          <w:sz w:val="20"/>
          <w:szCs w:val="20"/>
          <w:lang w:eastAsia="en-US"/>
        </w:rPr>
        <w:t>Prognoze 24.07.2020.</w:t>
      </w:r>
    </w:p>
    <w:p w14:paraId="2E308B31" w14:textId="77777777" w:rsidR="00DB596B" w:rsidRPr="00DB596B" w:rsidRDefault="00DB596B" w:rsidP="00401A5B">
      <w:pPr>
        <w:ind w:firstLine="720"/>
        <w:jc w:val="both"/>
        <w:rPr>
          <w:rFonts w:ascii="Times New Roman" w:eastAsia="Times New Roman" w:hAnsi="Times New Roman" w:cs="Times New Roman"/>
          <w:sz w:val="28"/>
          <w:szCs w:val="28"/>
          <w:lang w:eastAsia="en-US"/>
        </w:rPr>
      </w:pPr>
    </w:p>
    <w:p w14:paraId="1758A5DA" w14:textId="7DEB2D11" w:rsidR="00DB596B" w:rsidRPr="00E00EF2" w:rsidRDefault="00E00EF2" w:rsidP="00E00EF2">
      <w:pPr>
        <w:ind w:firstLine="720"/>
        <w:jc w:val="center"/>
        <w:rPr>
          <w:rFonts w:ascii="Times New Roman" w:eastAsia="Times New Roman" w:hAnsi="Times New Roman" w:cs="Times New Roman"/>
          <w:b/>
          <w:sz w:val="28"/>
          <w:szCs w:val="28"/>
          <w:lang w:eastAsia="en-US"/>
        </w:rPr>
      </w:pPr>
      <w:r w:rsidRPr="00E00EF2">
        <w:rPr>
          <w:rFonts w:ascii="Times New Roman" w:eastAsia="Times New Roman" w:hAnsi="Times New Roman" w:cs="Times New Roman"/>
          <w:b/>
          <w:sz w:val="28"/>
          <w:szCs w:val="28"/>
          <w:lang w:eastAsia="en-US"/>
        </w:rPr>
        <w:t>Akcīzes nodoklis</w:t>
      </w:r>
    </w:p>
    <w:p w14:paraId="54068C82" w14:textId="77777777" w:rsidR="00E00EF2" w:rsidRPr="00DB596B" w:rsidRDefault="00E00EF2" w:rsidP="00401A5B">
      <w:pPr>
        <w:ind w:firstLine="720"/>
        <w:jc w:val="both"/>
        <w:rPr>
          <w:rFonts w:ascii="Times New Roman" w:eastAsia="Times New Roman" w:hAnsi="Times New Roman" w:cs="Times New Roman"/>
          <w:sz w:val="28"/>
          <w:szCs w:val="28"/>
          <w:lang w:eastAsia="en-US"/>
        </w:rPr>
      </w:pPr>
    </w:p>
    <w:p w14:paraId="3EDF67E0" w14:textId="77777777" w:rsidR="00DB596B" w:rsidRPr="00F266F7" w:rsidRDefault="00DB596B" w:rsidP="00401A5B">
      <w:pPr>
        <w:ind w:firstLine="720"/>
        <w:jc w:val="both"/>
        <w:rPr>
          <w:rFonts w:ascii="Times New Roman" w:eastAsia="Times New Roman" w:hAnsi="Times New Roman" w:cs="Times New Roman"/>
          <w:iCs/>
          <w:sz w:val="28"/>
          <w:szCs w:val="24"/>
          <w:lang w:eastAsia="en-US"/>
        </w:rPr>
      </w:pPr>
      <w:r w:rsidRPr="00F266F7">
        <w:rPr>
          <w:rFonts w:ascii="Times New Roman" w:eastAsia="Times New Roman" w:hAnsi="Times New Roman" w:cs="Times New Roman"/>
          <w:sz w:val="28"/>
          <w:szCs w:val="24"/>
          <w:lang w:eastAsia="en-US"/>
        </w:rPr>
        <w:t xml:space="preserve">Saskaņā ar likumu „Par valsts budžetu 2020.gadam” </w:t>
      </w:r>
      <w:r w:rsidRPr="00F266F7">
        <w:rPr>
          <w:rFonts w:ascii="Times New Roman" w:eastAsia="Times New Roman" w:hAnsi="Times New Roman" w:cs="Times New Roman"/>
          <w:iCs/>
          <w:sz w:val="28"/>
          <w:szCs w:val="24"/>
          <w:lang w:eastAsia="en-US"/>
        </w:rPr>
        <w:t>kopējie akcīzes nodokļa ieņēmumi 2020.gadā tika plānoti 1 203,4 milj. </w:t>
      </w:r>
      <w:r w:rsidRPr="00F266F7">
        <w:rPr>
          <w:rFonts w:ascii="Times New Roman" w:eastAsia="Times New Roman" w:hAnsi="Times New Roman" w:cs="Times New Roman"/>
          <w:i/>
          <w:iCs/>
          <w:sz w:val="28"/>
          <w:szCs w:val="24"/>
          <w:lang w:eastAsia="en-US"/>
        </w:rPr>
        <w:t>euro</w:t>
      </w:r>
      <w:r w:rsidRPr="00F266F7">
        <w:rPr>
          <w:rFonts w:ascii="Times New Roman" w:eastAsia="Times New Roman" w:hAnsi="Times New Roman" w:cs="Times New Roman"/>
          <w:iCs/>
          <w:sz w:val="28"/>
          <w:szCs w:val="24"/>
          <w:lang w:eastAsia="en-US"/>
        </w:rPr>
        <w:t xml:space="preserve"> apmērā. </w:t>
      </w:r>
    </w:p>
    <w:p w14:paraId="1BA0C163" w14:textId="7322DCA1" w:rsidR="00DB596B" w:rsidRPr="00F266F7" w:rsidRDefault="00DB596B" w:rsidP="00401A5B">
      <w:pPr>
        <w:ind w:firstLine="720"/>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Salīdzinājumā ar 2019.gada sešiem mēnešiem akcīzes nodokļa ieņēmumi samazinājās par 31,5 milj. </w:t>
      </w:r>
      <w:r w:rsidRPr="00F266F7">
        <w:rPr>
          <w:rFonts w:ascii="Times New Roman" w:eastAsia="Times New Roman" w:hAnsi="Times New Roman" w:cs="Times New Roman"/>
          <w:i/>
          <w:sz w:val="28"/>
          <w:szCs w:val="20"/>
          <w:lang w:eastAsia="en-US"/>
        </w:rPr>
        <w:t>euro</w:t>
      </w:r>
      <w:r w:rsidRPr="00F266F7">
        <w:rPr>
          <w:rFonts w:ascii="Times New Roman" w:eastAsia="Times New Roman" w:hAnsi="Times New Roman" w:cs="Times New Roman"/>
          <w:sz w:val="28"/>
          <w:szCs w:val="20"/>
          <w:lang w:eastAsia="en-US"/>
        </w:rPr>
        <w:t xml:space="preserve"> jeb 6,0%, savukārt, s</w:t>
      </w:r>
      <w:r w:rsidRPr="00F266F7">
        <w:rPr>
          <w:rFonts w:ascii="Times New Roman" w:eastAsia="Times New Roman" w:hAnsi="Times New Roman" w:cs="Times New Roman"/>
          <w:color w:val="000000"/>
          <w:sz w:val="28"/>
          <w:szCs w:val="20"/>
          <w:lang w:eastAsia="en-US"/>
        </w:rPr>
        <w:t xml:space="preserve">alīdzinot ar plānoto, 2020.gada sešos mēnešos tika iekasēts </w:t>
      </w:r>
      <w:r w:rsidRPr="00F266F7">
        <w:rPr>
          <w:rFonts w:ascii="Times New Roman" w:eastAsia="Times New Roman" w:hAnsi="Times New Roman" w:cs="Times New Roman"/>
          <w:sz w:val="28"/>
          <w:szCs w:val="20"/>
          <w:lang w:eastAsia="en-US"/>
        </w:rPr>
        <w:t>par 84,1 milj. </w:t>
      </w:r>
      <w:r w:rsidRPr="00F266F7">
        <w:rPr>
          <w:rFonts w:ascii="Times New Roman" w:eastAsia="Times New Roman" w:hAnsi="Times New Roman" w:cs="Times New Roman"/>
          <w:bCs/>
          <w:i/>
          <w:sz w:val="28"/>
          <w:szCs w:val="24"/>
          <w:lang w:eastAsia="en-US"/>
        </w:rPr>
        <w:t>euro</w:t>
      </w:r>
      <w:r w:rsidRPr="00F266F7">
        <w:rPr>
          <w:rFonts w:ascii="Times New Roman" w:eastAsia="Times New Roman" w:hAnsi="Times New Roman" w:cs="Times New Roman"/>
          <w:sz w:val="28"/>
          <w:szCs w:val="20"/>
          <w:lang w:eastAsia="en-US"/>
        </w:rPr>
        <w:t xml:space="preserve"> jeb 14,7% mazāk. Visbūtiskāk no plāna atpaliek ieņēmumu no akcīzes nodokļa </w:t>
      </w:r>
      <w:r w:rsidRPr="00D56D87">
        <w:rPr>
          <w:rFonts w:ascii="Times New Roman" w:eastAsia="Times New Roman" w:hAnsi="Times New Roman" w:cs="Times New Roman"/>
          <w:sz w:val="28"/>
          <w:szCs w:val="20"/>
          <w:lang w:eastAsia="en-US"/>
        </w:rPr>
        <w:t>naftas produktiem</w:t>
      </w:r>
      <w:r w:rsidR="00C404D5">
        <w:rPr>
          <w:rFonts w:ascii="Times New Roman" w:eastAsia="Times New Roman" w:hAnsi="Times New Roman" w:cs="Times New Roman"/>
          <w:sz w:val="28"/>
          <w:szCs w:val="20"/>
          <w:lang w:eastAsia="en-US"/>
        </w:rPr>
        <w:t xml:space="preserve"> (-42,4 milj.</w:t>
      </w:r>
      <w:r w:rsidRPr="00F266F7">
        <w:rPr>
          <w:rFonts w:ascii="Times New Roman" w:eastAsia="Times New Roman" w:hAnsi="Times New Roman" w:cs="Times New Roman"/>
          <w:sz w:val="28"/>
          <w:szCs w:val="20"/>
          <w:lang w:eastAsia="en-US"/>
        </w:rPr>
        <w:t xml:space="preserve"> jeb -14,1%), alkoholiskajiem dzērieniem (-</w:t>
      </w:r>
      <w:r w:rsidRPr="005D5F3A">
        <w:rPr>
          <w:rFonts w:ascii="Times New Roman" w:eastAsia="Times New Roman" w:hAnsi="Times New Roman" w:cs="Times New Roman"/>
          <w:sz w:val="28"/>
          <w:szCs w:val="20"/>
          <w:lang w:eastAsia="en-US"/>
        </w:rPr>
        <w:t> </w:t>
      </w:r>
      <w:r w:rsidRPr="00F266F7">
        <w:rPr>
          <w:rFonts w:ascii="Times New Roman" w:eastAsia="Times New Roman" w:hAnsi="Times New Roman" w:cs="Times New Roman"/>
          <w:sz w:val="28"/>
          <w:szCs w:val="20"/>
          <w:lang w:eastAsia="en-US"/>
        </w:rPr>
        <w:t xml:space="preserve">21,8 milj. </w:t>
      </w:r>
      <w:r w:rsidRPr="00F266F7">
        <w:rPr>
          <w:rFonts w:ascii="Times New Roman" w:eastAsia="Times New Roman" w:hAnsi="Times New Roman" w:cs="Times New Roman"/>
          <w:bCs/>
          <w:i/>
          <w:sz w:val="28"/>
          <w:szCs w:val="24"/>
          <w:lang w:eastAsia="en-US"/>
        </w:rPr>
        <w:t>euro</w:t>
      </w:r>
      <w:r w:rsidRPr="00F266F7">
        <w:rPr>
          <w:rFonts w:ascii="Times New Roman" w:eastAsia="Times New Roman" w:hAnsi="Times New Roman" w:cs="Times New Roman"/>
          <w:sz w:val="28"/>
          <w:szCs w:val="20"/>
          <w:lang w:eastAsia="en-US"/>
        </w:rPr>
        <w:t xml:space="preserve"> jeb 19,9%) un tabakas izstrādājumiem (-11,3 milj. </w:t>
      </w:r>
      <w:r w:rsidRPr="00F266F7">
        <w:rPr>
          <w:rFonts w:ascii="Times New Roman" w:eastAsia="Times New Roman" w:hAnsi="Times New Roman" w:cs="Times New Roman"/>
          <w:bCs/>
          <w:i/>
          <w:sz w:val="28"/>
          <w:szCs w:val="24"/>
          <w:lang w:eastAsia="en-US"/>
        </w:rPr>
        <w:t>euro</w:t>
      </w:r>
      <w:r w:rsidRPr="00F266F7">
        <w:rPr>
          <w:rFonts w:ascii="Times New Roman" w:eastAsia="Times New Roman" w:hAnsi="Times New Roman" w:cs="Times New Roman"/>
          <w:sz w:val="28"/>
          <w:szCs w:val="20"/>
          <w:lang w:eastAsia="en-US"/>
        </w:rPr>
        <w:t xml:space="preserve"> jeb -10,1%). To ietekmēja:</w:t>
      </w:r>
    </w:p>
    <w:p w14:paraId="0127B19C" w14:textId="77777777" w:rsidR="00DB596B" w:rsidRPr="00F266F7" w:rsidRDefault="00DB596B" w:rsidP="00FB2B77">
      <w:pPr>
        <w:numPr>
          <w:ilvl w:val="0"/>
          <w:numId w:val="32"/>
        </w:numPr>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akcīzes nodokļa objektu patēriņa apjoma dinamika:</w:t>
      </w:r>
    </w:p>
    <w:p w14:paraId="6AD55B73" w14:textId="77777777" w:rsidR="00DB596B" w:rsidRPr="00F266F7" w:rsidRDefault="00DB596B" w:rsidP="00FB2B77">
      <w:pPr>
        <w:pStyle w:val="ListParagraph"/>
        <w:numPr>
          <w:ilvl w:val="1"/>
          <w:numId w:val="39"/>
        </w:numPr>
        <w:jc w:val="both"/>
        <w:rPr>
          <w:rFonts w:ascii="Times New Roman" w:eastAsia="Times New Roman" w:hAnsi="Times New Roman" w:cs="Times New Roman"/>
          <w:sz w:val="28"/>
          <w:szCs w:val="24"/>
          <w:lang w:eastAsia="en-US"/>
        </w:rPr>
      </w:pPr>
      <w:r w:rsidRPr="00F266F7">
        <w:rPr>
          <w:rFonts w:ascii="Times New Roman" w:eastAsia="Times New Roman" w:hAnsi="Times New Roman" w:cs="Times New Roman"/>
          <w:sz w:val="28"/>
          <w:szCs w:val="20"/>
          <w:lang w:eastAsia="en-US"/>
        </w:rPr>
        <w:t>atsevišķiem nodokļa objektiem patēriņa pieauguma temps jau kopš gada sākuma bija lēnāks nekā prognozēts, sastādot plānu;</w:t>
      </w:r>
    </w:p>
    <w:p w14:paraId="16224A4F" w14:textId="77777777" w:rsidR="00DB596B" w:rsidRPr="00F266F7" w:rsidRDefault="00DB596B" w:rsidP="00FB2B77">
      <w:pPr>
        <w:pStyle w:val="ListParagraph"/>
        <w:numPr>
          <w:ilvl w:val="1"/>
          <w:numId w:val="39"/>
        </w:numPr>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 xml:space="preserve">kopš marta to būtiski ietekmēja </w:t>
      </w:r>
      <w:r w:rsidRPr="00F266F7">
        <w:rPr>
          <w:rFonts w:ascii="Times New Roman" w:eastAsia="Times New Roman" w:hAnsi="Times New Roman" w:cs="Times New Roman"/>
          <w:sz w:val="28"/>
          <w:szCs w:val="24"/>
          <w:lang w:eastAsia="en-US"/>
        </w:rPr>
        <w:t xml:space="preserve">ieviestie pasākumi Covid-19 izplatības ierobežošanai un uz laiku noteiktā ārkārtējā situācija valstī. Tā rezultātā ievērojami samazinājās gan pārvadājumi, gan atpūtas, izklaides, tūrisma un socializēšanās iespējas, kas sekmētu alkohola, tabakas un naftas produktu patēriņu. Tāpat uz laiku bija pārtraukta tirdzniecība Latvijas-Igaunijas </w:t>
      </w:r>
      <w:r w:rsidRPr="00F266F7">
        <w:rPr>
          <w:rFonts w:ascii="Times New Roman" w:eastAsia="Times New Roman" w:hAnsi="Times New Roman" w:cs="Times New Roman"/>
          <w:sz w:val="28"/>
          <w:szCs w:val="20"/>
          <w:lang w:eastAsia="en-US"/>
        </w:rPr>
        <w:t>pierobežā;</w:t>
      </w:r>
    </w:p>
    <w:p w14:paraId="3C897D8F" w14:textId="77777777" w:rsidR="00DB596B" w:rsidRPr="00F266F7" w:rsidRDefault="00DB596B" w:rsidP="00FB2B77">
      <w:pPr>
        <w:pStyle w:val="ListParagraph"/>
        <w:numPr>
          <w:ilvl w:val="1"/>
          <w:numId w:val="39"/>
        </w:numPr>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Igaunijas lēmums no 2020.gada 1.maija līdz 2022.gada 30.aprīlim samazināt akcīzes nodokļa likmi dīzeļdegvielai, kā rezultātā starp Baltijas valstīm un Poliju pašlaik augstākā nodokļa likme dīzeļdegvielai ir Latvijā;</w:t>
      </w:r>
    </w:p>
    <w:p w14:paraId="01A2AE05" w14:textId="7C3EA73D" w:rsidR="00DB596B" w:rsidRPr="00F266F7" w:rsidRDefault="00DB596B" w:rsidP="00FB2B77">
      <w:pPr>
        <w:numPr>
          <w:ilvl w:val="0"/>
          <w:numId w:val="32"/>
        </w:numPr>
        <w:contextualSpacing/>
        <w:jc w:val="both"/>
        <w:rPr>
          <w:rFonts w:ascii="Times New Roman" w:eastAsia="Times New Roman" w:hAnsi="Times New Roman" w:cs="Times New Roman"/>
          <w:sz w:val="28"/>
          <w:szCs w:val="26"/>
          <w:lang w:eastAsia="en-US"/>
        </w:rPr>
      </w:pPr>
      <w:r w:rsidRPr="00F266F7">
        <w:rPr>
          <w:rFonts w:ascii="Times New Roman" w:eastAsia="Times New Roman" w:hAnsi="Times New Roman" w:cs="Times New Roman"/>
          <w:sz w:val="28"/>
          <w:szCs w:val="20"/>
          <w:lang w:eastAsia="en-US"/>
        </w:rPr>
        <w:t>piešķirtie nodokļu samaksas termiņa pagarinājumi lī</w:t>
      </w:r>
      <w:r w:rsidR="00F266F7">
        <w:rPr>
          <w:rFonts w:ascii="Times New Roman" w:eastAsia="Times New Roman" w:hAnsi="Times New Roman" w:cs="Times New Roman"/>
          <w:sz w:val="28"/>
          <w:szCs w:val="20"/>
          <w:lang w:eastAsia="en-US"/>
        </w:rPr>
        <w:t>dz trim gadiem saskaņā ar likumu</w:t>
      </w:r>
      <w:r w:rsidRPr="00F266F7">
        <w:rPr>
          <w:rFonts w:ascii="Times New Roman" w:eastAsia="Times New Roman" w:hAnsi="Times New Roman" w:cs="Times New Roman"/>
          <w:sz w:val="28"/>
          <w:szCs w:val="20"/>
          <w:lang w:eastAsia="en-US"/>
        </w:rPr>
        <w:t xml:space="preserve"> “Par valsts apdraudējuma un tā seku novēršanas un pārvarēšanas pasākumiem sakarā ar Covid-19 izplatību”, ja termiņa kavējums radies Covid-19 izplatības dēļ;</w:t>
      </w:r>
    </w:p>
    <w:p w14:paraId="69DC9E95" w14:textId="77777777" w:rsidR="00F266F7" w:rsidRDefault="00DB596B" w:rsidP="00FB2B77">
      <w:pPr>
        <w:numPr>
          <w:ilvl w:val="0"/>
          <w:numId w:val="32"/>
        </w:numPr>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kā arī 2017.–2020.gadā pieņemtās normatīvo aktu izmaiņas:</w:t>
      </w:r>
    </w:p>
    <w:p w14:paraId="239F2F86" w14:textId="6204B690" w:rsidR="00DB596B" w:rsidRPr="00F266F7" w:rsidRDefault="00DB596B" w:rsidP="00FB2B77">
      <w:pPr>
        <w:numPr>
          <w:ilvl w:val="1"/>
          <w:numId w:val="32"/>
        </w:numPr>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ar 2017.gada 27.jūlijā Saeimā pieņemtajiem grozījumiem likumā „Par akcīzes nodokli”:</w:t>
      </w:r>
    </w:p>
    <w:p w14:paraId="2CEEF382" w14:textId="77777777" w:rsidR="00DB596B" w:rsidRPr="00F266F7" w:rsidRDefault="00DB596B" w:rsidP="00FB2B77">
      <w:pPr>
        <w:numPr>
          <w:ilvl w:val="0"/>
          <w:numId w:val="40"/>
        </w:numPr>
        <w:tabs>
          <w:tab w:val="left" w:pos="993"/>
        </w:tabs>
        <w:ind w:left="2835"/>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ar 2019.gada 1.martu tika paaugstinātas akcīzes nodokļa likmes alkoholiskajiem dzērieniem un alum;</w:t>
      </w:r>
    </w:p>
    <w:p w14:paraId="6600952C" w14:textId="77777777" w:rsidR="00DB596B" w:rsidRPr="00F266F7" w:rsidRDefault="00DB596B" w:rsidP="00FB2B77">
      <w:pPr>
        <w:numPr>
          <w:ilvl w:val="0"/>
          <w:numId w:val="40"/>
        </w:numPr>
        <w:tabs>
          <w:tab w:val="left" w:pos="993"/>
        </w:tabs>
        <w:ind w:left="2835"/>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ar 2019.gada 1.jūliju tika paaugstinātas akcīzes nodokļa likmes cigaretēm;</w:t>
      </w:r>
    </w:p>
    <w:p w14:paraId="3F6795BF" w14:textId="77777777" w:rsidR="00DB596B" w:rsidRPr="00F266F7" w:rsidRDefault="00DB596B" w:rsidP="00FB2B77">
      <w:pPr>
        <w:numPr>
          <w:ilvl w:val="0"/>
          <w:numId w:val="40"/>
        </w:numPr>
        <w:ind w:left="2835"/>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ar 2020.gada 1.janvāri tika paaugstinātas akcīzes nodokļa likmes degvielai;</w:t>
      </w:r>
    </w:p>
    <w:p w14:paraId="03E89549" w14:textId="77777777" w:rsidR="00DB596B" w:rsidRPr="00F266F7" w:rsidRDefault="00DB596B" w:rsidP="00FB2B77">
      <w:pPr>
        <w:numPr>
          <w:ilvl w:val="0"/>
          <w:numId w:val="40"/>
        </w:numPr>
        <w:tabs>
          <w:tab w:val="left" w:pos="993"/>
        </w:tabs>
        <w:ind w:left="2835"/>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ar 2020.gada 1.janvāri tika paaugstinātas akcīzes nodokļa likmes cigāriem, cigarillām, smēķējamai tabakai un tabakas lapām;</w:t>
      </w:r>
    </w:p>
    <w:p w14:paraId="0CB3BD48" w14:textId="77777777" w:rsidR="00DB596B" w:rsidRPr="00F266F7" w:rsidRDefault="00DB596B" w:rsidP="00FB2B77">
      <w:pPr>
        <w:numPr>
          <w:ilvl w:val="0"/>
          <w:numId w:val="41"/>
        </w:numPr>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2019.gada 8.jūlijā Saeimā pieņemtie grozījumi likumā “Par akcīzes nodokli”, ar kuriem akcīzes nodokļa likme pārējiem alkoholiskajiem dzērieniem laika periodā no 2019.gada 1.augusta līdz 2020.gada 29.februārim tika samazināta līdz 1564 </w:t>
      </w:r>
      <w:r w:rsidRPr="00F266F7">
        <w:rPr>
          <w:rFonts w:ascii="Times New Roman" w:eastAsia="Times New Roman" w:hAnsi="Times New Roman" w:cs="Times New Roman"/>
          <w:i/>
          <w:sz w:val="28"/>
          <w:szCs w:val="20"/>
          <w:lang w:eastAsia="en-US"/>
        </w:rPr>
        <w:t>euro</w:t>
      </w:r>
      <w:r w:rsidRPr="00F266F7">
        <w:rPr>
          <w:rFonts w:ascii="Times New Roman" w:eastAsia="Times New Roman" w:hAnsi="Times New Roman" w:cs="Times New Roman"/>
          <w:sz w:val="28"/>
          <w:szCs w:val="20"/>
          <w:lang w:eastAsia="en-US"/>
        </w:rPr>
        <w:t xml:space="preserve"> par 100 litriem absolūtā spirta;</w:t>
      </w:r>
    </w:p>
    <w:p w14:paraId="667129A1" w14:textId="77777777" w:rsidR="00DB596B" w:rsidRPr="00F266F7" w:rsidRDefault="00DB596B" w:rsidP="00FB2B77">
      <w:pPr>
        <w:numPr>
          <w:ilvl w:val="1"/>
          <w:numId w:val="42"/>
        </w:numPr>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2019.gada 10.decembrī pieņemtie Ministru kabineta noteikumi Nr. 640 “Grozījumi Ministru kabineta 2000.gada 26.septembra noteikumos Nr. 332 “Noteikumi par benzīna un dīzeļdegvielas atbilstības novērtēšanu””, ar ko tika paaugstināts benzīnam un dīzeļdegvielai minimāli piejaucamais biodegvielas apjoms, kā rezultātā ar 2020.gada 1.janvāri paaugstinājās degvielas cenas;</w:t>
      </w:r>
    </w:p>
    <w:p w14:paraId="1E56E15A" w14:textId="77777777" w:rsidR="00DB596B" w:rsidRPr="00F266F7" w:rsidRDefault="00DB596B" w:rsidP="00FB2B77">
      <w:pPr>
        <w:numPr>
          <w:ilvl w:val="0"/>
          <w:numId w:val="41"/>
        </w:numPr>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2020.gada 6.februārī pieņemtie grozījumi likumā “Par akcīzes nodokli”, kas noteica:</w:t>
      </w:r>
    </w:p>
    <w:p w14:paraId="061007B3" w14:textId="77777777" w:rsidR="00DB596B" w:rsidRPr="00F266F7" w:rsidRDefault="00DB596B" w:rsidP="00FB2B77">
      <w:pPr>
        <w:numPr>
          <w:ilvl w:val="1"/>
          <w:numId w:val="33"/>
        </w:numPr>
        <w:ind w:left="2127"/>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ar 2020.gada 1.maiju precizēt starpproduktu definīciju, novēršot nekorektu akcīzes nodokļa likmes piemērošanu alkoholiskajiem kokteiļiem, tādā veidā izvairoties no nodokļa nomaksas pilnā apmērā;</w:t>
      </w:r>
    </w:p>
    <w:p w14:paraId="300414E0" w14:textId="77777777" w:rsidR="00DB596B" w:rsidRPr="00F266F7" w:rsidRDefault="00DB596B" w:rsidP="00FB2B77">
      <w:pPr>
        <w:numPr>
          <w:ilvl w:val="1"/>
          <w:numId w:val="33"/>
        </w:numPr>
        <w:tabs>
          <w:tab w:val="left" w:pos="993"/>
        </w:tabs>
        <w:ind w:left="2127"/>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ar 2020.gada 1.maiju nodrošināt vienotu pieeju dīzeļdegvielas iegādē attiecībā uz zvejniekiem;</w:t>
      </w:r>
    </w:p>
    <w:p w14:paraId="27A1ADB8" w14:textId="77777777" w:rsidR="00DB596B" w:rsidRPr="00F266F7" w:rsidRDefault="00DB596B" w:rsidP="00FB2B77">
      <w:pPr>
        <w:numPr>
          <w:ilvl w:val="1"/>
          <w:numId w:val="33"/>
        </w:numPr>
        <w:tabs>
          <w:tab w:val="left" w:pos="993"/>
        </w:tabs>
        <w:ind w:left="2127"/>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ar 2020.gada 1.maiju atcelt atbrīvojumu dabasgāzei, ko izmanto lauksaimniecībā izmantojamās zemes segto platību (siltumnīcu) siltumapgādei un rūpniecisko mājputnu novietņu (kūtis) un inkubatoru siltumapgādei;</w:t>
      </w:r>
    </w:p>
    <w:p w14:paraId="0092253E" w14:textId="77777777" w:rsidR="00DB596B" w:rsidRPr="00F266F7" w:rsidRDefault="00DB596B" w:rsidP="00FB2B77">
      <w:pPr>
        <w:numPr>
          <w:ilvl w:val="0"/>
          <w:numId w:val="43"/>
        </w:numPr>
        <w:tabs>
          <w:tab w:val="left" w:pos="993"/>
        </w:tabs>
        <w:contextualSpacing/>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ar 2020.gada 20.februārī Saeimā pieņemtajiem grozījumiem likumā “Par akcīzes nodokli” ar 2020.gada 1.martu tika noteikts lēnāks nodokļa likmju alkoholiskajiem dzērieniem un alum pieaugums nekā iepriekš tika plānots, vienlaicīgi nosakot likmju paaugstinājumu arī ar 2021.gada 1.martu.</w:t>
      </w:r>
    </w:p>
    <w:p w14:paraId="01AB7440" w14:textId="77777777" w:rsidR="00DB596B" w:rsidRPr="00F266F7" w:rsidRDefault="00DB596B" w:rsidP="00401A5B">
      <w:pPr>
        <w:ind w:firstLine="720"/>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 xml:space="preserve">2020.gada sešos mēnešos akcīzes nodokļa </w:t>
      </w:r>
      <w:r w:rsidRPr="004A75B6">
        <w:rPr>
          <w:rFonts w:ascii="Times New Roman" w:eastAsia="Times New Roman" w:hAnsi="Times New Roman" w:cs="Times New Roman"/>
          <w:b/>
          <w:sz w:val="28"/>
          <w:szCs w:val="20"/>
          <w:lang w:eastAsia="en-US"/>
        </w:rPr>
        <w:t>naftas produktiem</w:t>
      </w:r>
      <w:r w:rsidRPr="00F266F7">
        <w:rPr>
          <w:rFonts w:ascii="Times New Roman" w:eastAsia="Times New Roman" w:hAnsi="Times New Roman" w:cs="Times New Roman"/>
          <w:sz w:val="28"/>
          <w:szCs w:val="20"/>
          <w:lang w:eastAsia="en-US"/>
        </w:rPr>
        <w:t xml:space="preserve"> ieņēmumi bija 259,2 milj. </w:t>
      </w:r>
      <w:r w:rsidRPr="00F266F7">
        <w:rPr>
          <w:rFonts w:ascii="Times New Roman" w:eastAsia="Times New Roman" w:hAnsi="Times New Roman" w:cs="Times New Roman"/>
          <w:bCs/>
          <w:i/>
          <w:sz w:val="28"/>
          <w:szCs w:val="24"/>
          <w:lang w:eastAsia="en-US"/>
        </w:rPr>
        <w:t>euro</w:t>
      </w:r>
      <w:r w:rsidRPr="00F266F7">
        <w:rPr>
          <w:rFonts w:ascii="Times New Roman" w:eastAsia="Times New Roman" w:hAnsi="Times New Roman" w:cs="Times New Roman"/>
          <w:i/>
          <w:sz w:val="28"/>
          <w:szCs w:val="20"/>
          <w:lang w:eastAsia="en-US"/>
        </w:rPr>
        <w:t xml:space="preserve">. </w:t>
      </w:r>
      <w:r w:rsidRPr="00F266F7">
        <w:rPr>
          <w:rFonts w:ascii="Times New Roman" w:eastAsia="Times New Roman" w:hAnsi="Times New Roman" w:cs="Times New Roman"/>
          <w:sz w:val="28"/>
          <w:szCs w:val="20"/>
          <w:lang w:eastAsia="en-US"/>
        </w:rPr>
        <w:t>Salīdzinot ar 2019.gada sešiem mēnešiem, tie samazinājās par 5,2 milj. </w:t>
      </w:r>
      <w:r w:rsidRPr="00F266F7">
        <w:rPr>
          <w:rFonts w:ascii="Times New Roman" w:eastAsia="Times New Roman" w:hAnsi="Times New Roman" w:cs="Times New Roman"/>
          <w:i/>
          <w:sz w:val="28"/>
          <w:szCs w:val="20"/>
          <w:lang w:eastAsia="en-US"/>
        </w:rPr>
        <w:t>euro</w:t>
      </w:r>
      <w:r w:rsidRPr="00F266F7">
        <w:rPr>
          <w:rFonts w:ascii="Times New Roman" w:eastAsia="Times New Roman" w:hAnsi="Times New Roman" w:cs="Times New Roman"/>
          <w:sz w:val="28"/>
          <w:szCs w:val="20"/>
          <w:lang w:eastAsia="en-US"/>
        </w:rPr>
        <w:t xml:space="preserve"> jeb 2,0%, bet, salīdzinot ar plānoto, iekasēts par 42,4 milj. </w:t>
      </w:r>
      <w:r w:rsidRPr="00F266F7">
        <w:rPr>
          <w:rFonts w:ascii="Times New Roman" w:eastAsia="Times New Roman" w:hAnsi="Times New Roman" w:cs="Times New Roman"/>
          <w:bCs/>
          <w:i/>
          <w:sz w:val="28"/>
          <w:szCs w:val="24"/>
          <w:lang w:eastAsia="en-US"/>
        </w:rPr>
        <w:t>euro</w:t>
      </w:r>
      <w:r w:rsidRPr="00F266F7">
        <w:rPr>
          <w:rFonts w:ascii="Times New Roman" w:eastAsia="Times New Roman" w:hAnsi="Times New Roman" w:cs="Times New Roman"/>
          <w:sz w:val="28"/>
          <w:szCs w:val="20"/>
          <w:lang w:eastAsia="en-US"/>
        </w:rPr>
        <w:t xml:space="preserve"> jeb 14,1% mazāk. Plāna neizpilde galvenokārt saistīta ar patēriņam nodoto naftas produktu apjoma samazinājumu, salīdzinot ar prognozēto, kā arī Covid-19 izraisīto krīzi. </w:t>
      </w:r>
    </w:p>
    <w:p w14:paraId="29975B9F" w14:textId="7B5BDC4C" w:rsidR="00DB596B" w:rsidRPr="00F266F7" w:rsidRDefault="00DB596B" w:rsidP="00401A5B">
      <w:pPr>
        <w:ind w:firstLine="720"/>
        <w:jc w:val="both"/>
        <w:rPr>
          <w:rFonts w:ascii="Times New Roman" w:eastAsia="Times New Roman" w:hAnsi="Times New Roman" w:cs="Times New Roman"/>
          <w:sz w:val="28"/>
          <w:szCs w:val="20"/>
          <w:lang w:eastAsia="en-US"/>
        </w:rPr>
      </w:pPr>
      <w:r w:rsidRPr="00F266F7">
        <w:rPr>
          <w:rFonts w:ascii="Times New Roman" w:eastAsia="Times New Roman" w:hAnsi="Times New Roman" w:cs="Times New Roman"/>
          <w:sz w:val="28"/>
          <w:szCs w:val="20"/>
          <w:lang w:eastAsia="en-US"/>
        </w:rPr>
        <w:t xml:space="preserve">Saskaņā ar </w:t>
      </w:r>
      <w:r w:rsidR="00F266F7">
        <w:rPr>
          <w:rFonts w:ascii="Times New Roman" w:eastAsia="Times New Roman" w:hAnsi="Times New Roman" w:cs="Times New Roman"/>
          <w:sz w:val="28"/>
          <w:szCs w:val="20"/>
          <w:lang w:eastAsia="en-US"/>
        </w:rPr>
        <w:t>VID</w:t>
      </w:r>
      <w:r w:rsidRPr="00F266F7">
        <w:rPr>
          <w:rFonts w:ascii="Times New Roman" w:eastAsia="Times New Roman" w:hAnsi="Times New Roman" w:cs="Times New Roman"/>
          <w:sz w:val="28"/>
          <w:szCs w:val="20"/>
          <w:lang w:eastAsia="en-US"/>
        </w:rPr>
        <w:t xml:space="preserve"> informāciju naftas produktu kopējā patēriņa apjoms 2020.gada piecos mēnešos un 2019.gada decembrī salīdzinājumā ar 2019. un 2018.gada attiecīgo periodu samazinājies par 8,8%, t.sk. dīzeļdegvielas patēriņš samazinājies par 5,7%, bet benzīna un sašķidrinātās naftas gāzes patēriņš samazinājies attiecīgi par 9,4% un 13,7 procentiem. Degvieleļļas patēriņš palielinājies par 37,4%, bet petrolejas patēriņš samazinājies par 41,8 procentiem.</w:t>
      </w:r>
    </w:p>
    <w:p w14:paraId="414DF537" w14:textId="3DCAB83E" w:rsidR="00DC73D6" w:rsidRDefault="00DB596B" w:rsidP="004A75B6">
      <w:pPr>
        <w:ind w:firstLine="720"/>
        <w:jc w:val="both"/>
        <w:rPr>
          <w:rFonts w:ascii="Times New Roman" w:eastAsia="Calibri" w:hAnsi="Times New Roman" w:cs="Times New Roman"/>
          <w:sz w:val="28"/>
          <w:szCs w:val="28"/>
        </w:rPr>
      </w:pPr>
      <w:r w:rsidRPr="00F266F7">
        <w:rPr>
          <w:rFonts w:ascii="Times New Roman" w:eastAsia="Times New Roman" w:hAnsi="Times New Roman" w:cs="Times New Roman"/>
          <w:sz w:val="28"/>
          <w:szCs w:val="26"/>
          <w:lang w:eastAsia="en-US"/>
        </w:rPr>
        <w:t xml:space="preserve">Dīzeļdegvielas patēriņš Latvijā sāka samazināties jau 2019.gada novembrī, kam kā galvenais iemesls bija sniega trūkums (ierasti liels patēriņš pašvaldībām, nodrošinot ceļu tīrīšanu no sniega). Savukārt kopš 2020.gada sākuma to vēl vairāk ietekmēja degvielas cenu pieaugums, ko noteica gan 2017.gadā nodokļu reformas ietvaros pieņemtais akcīzes nodokļa likmju paaugstinājums degvielai ar 2020.gada 1.janvāri, gan 2019.gada 10.decembrī pieņemtie grozījumi </w:t>
      </w:r>
      <w:r w:rsidR="00F266F7">
        <w:rPr>
          <w:rFonts w:ascii="Times New Roman" w:eastAsia="Times New Roman" w:hAnsi="Times New Roman" w:cs="Times New Roman"/>
          <w:sz w:val="28"/>
          <w:szCs w:val="26"/>
          <w:lang w:eastAsia="en-US"/>
        </w:rPr>
        <w:t>MK</w:t>
      </w:r>
      <w:r w:rsidRPr="00F266F7">
        <w:rPr>
          <w:rFonts w:ascii="Times New Roman" w:eastAsia="Times New Roman" w:hAnsi="Times New Roman" w:cs="Times New Roman"/>
          <w:sz w:val="28"/>
          <w:szCs w:val="26"/>
          <w:lang w:eastAsia="en-US"/>
        </w:rPr>
        <w:t xml:space="preserve"> 2000.gada 26. septembra noteikumos Nr.332 “Noteikumi par benzīna un dīzeļdegvielas atbilstības novērtēšanu”, ar ko benzīnam un dīzeļdegvielai tika paaugstināts minimāli piejaucamais biodegvielas apjoms. Minētās izmaiņas radīja risku samazināties pārvadājumu pakalpojumu sniedzēju Latvijā iepirktās degvielas apjomam, kā arī to, ka Latvijas iedzīvotāji varētu izmantot iespēju iegādāties degvielu kaimiņvalstu pierobežas degvielas uzpildes stacijās.</w:t>
      </w:r>
      <w:r w:rsidRPr="00F266F7">
        <w:rPr>
          <w:rFonts w:ascii="Times New Roman" w:eastAsia="Times New Roman" w:hAnsi="Times New Roman" w:cs="Times New Roman"/>
          <w:sz w:val="28"/>
          <w:szCs w:val="24"/>
          <w:lang w:eastAsia="en-US"/>
        </w:rPr>
        <w:t xml:space="preserve"> To vēl vairāk sekmēja Igaunijas lēmums samazināt akcīzes nodokļa likmi</w:t>
      </w:r>
      <w:r w:rsidRPr="00F266F7">
        <w:rPr>
          <w:rFonts w:ascii="Times New Roman" w:eastAsia="Times New Roman" w:hAnsi="Times New Roman" w:cs="Times New Roman"/>
          <w:sz w:val="28"/>
          <w:szCs w:val="20"/>
          <w:lang w:eastAsia="en-US"/>
        </w:rPr>
        <w:t xml:space="preserve"> dīzeļdegvielai no 2020.gada 1.maija līdz 2022.gada 30.aprīlim (</w:t>
      </w:r>
      <w:r w:rsidRPr="00F266F7">
        <w:rPr>
          <w:rFonts w:ascii="Times New Roman" w:eastAsia="Calibri" w:hAnsi="Times New Roman" w:cs="Times New Roman"/>
          <w:sz w:val="28"/>
          <w:szCs w:val="28"/>
        </w:rPr>
        <w:t>skat. 3.</w:t>
      </w:r>
      <w:r w:rsidRPr="005D5F3A">
        <w:rPr>
          <w:rFonts w:ascii="Times New Roman" w:eastAsia="Calibri" w:hAnsi="Times New Roman" w:cs="Times New Roman"/>
          <w:sz w:val="28"/>
          <w:szCs w:val="28"/>
        </w:rPr>
        <w:t>7</w:t>
      </w:r>
      <w:r w:rsidRPr="00F266F7">
        <w:rPr>
          <w:rFonts w:ascii="Times New Roman" w:eastAsia="Calibri" w:hAnsi="Times New Roman" w:cs="Times New Roman"/>
          <w:sz w:val="28"/>
          <w:szCs w:val="28"/>
        </w:rPr>
        <w:t>.tabulu), kā rezultātā Latvija zaudēja Latvijas-Igaunijas pierobežas tirgus daļu.</w:t>
      </w:r>
    </w:p>
    <w:p w14:paraId="250B08F4" w14:textId="63C2EFEA" w:rsidR="004A75B6" w:rsidRDefault="004A75B6" w:rsidP="004A75B6">
      <w:pPr>
        <w:ind w:firstLine="720"/>
        <w:jc w:val="both"/>
        <w:rPr>
          <w:rFonts w:ascii="Times New Roman" w:eastAsia="Calibri" w:hAnsi="Times New Roman" w:cs="Times New Roman"/>
          <w:sz w:val="28"/>
          <w:szCs w:val="28"/>
        </w:rPr>
      </w:pPr>
    </w:p>
    <w:p w14:paraId="487AC2CB" w14:textId="5C57F235" w:rsidR="004A75B6" w:rsidRDefault="004A75B6" w:rsidP="004A75B6">
      <w:pPr>
        <w:ind w:firstLine="720"/>
        <w:jc w:val="both"/>
        <w:rPr>
          <w:rFonts w:ascii="Times New Roman" w:eastAsia="Calibri" w:hAnsi="Times New Roman" w:cs="Times New Roman"/>
          <w:sz w:val="28"/>
          <w:szCs w:val="28"/>
        </w:rPr>
      </w:pPr>
    </w:p>
    <w:p w14:paraId="34F3C7FA" w14:textId="6A073676" w:rsidR="004A75B6" w:rsidRDefault="004A75B6" w:rsidP="004A75B6">
      <w:pPr>
        <w:ind w:firstLine="720"/>
        <w:jc w:val="both"/>
        <w:rPr>
          <w:rFonts w:ascii="Times New Roman" w:eastAsia="Calibri" w:hAnsi="Times New Roman" w:cs="Times New Roman"/>
          <w:sz w:val="28"/>
          <w:szCs w:val="28"/>
        </w:rPr>
      </w:pPr>
    </w:p>
    <w:p w14:paraId="31C139D0" w14:textId="6306A69C" w:rsidR="004A75B6" w:rsidRDefault="004A75B6" w:rsidP="004A75B6">
      <w:pPr>
        <w:ind w:firstLine="720"/>
        <w:jc w:val="both"/>
        <w:rPr>
          <w:rFonts w:ascii="Times New Roman" w:eastAsia="Calibri" w:hAnsi="Times New Roman" w:cs="Times New Roman"/>
          <w:sz w:val="28"/>
          <w:szCs w:val="28"/>
        </w:rPr>
      </w:pPr>
    </w:p>
    <w:p w14:paraId="11329900" w14:textId="27D42B57" w:rsidR="004A75B6" w:rsidRDefault="004A75B6" w:rsidP="004A75B6">
      <w:pPr>
        <w:ind w:firstLine="720"/>
        <w:jc w:val="both"/>
        <w:rPr>
          <w:rFonts w:ascii="Times New Roman" w:eastAsia="Calibri" w:hAnsi="Times New Roman" w:cs="Times New Roman"/>
          <w:sz w:val="28"/>
          <w:szCs w:val="28"/>
        </w:rPr>
      </w:pPr>
    </w:p>
    <w:p w14:paraId="118F6886" w14:textId="16D88DD8" w:rsidR="004A75B6" w:rsidRDefault="004A75B6" w:rsidP="004A75B6">
      <w:pPr>
        <w:ind w:firstLine="720"/>
        <w:jc w:val="both"/>
        <w:rPr>
          <w:rFonts w:ascii="Times New Roman" w:eastAsia="Calibri" w:hAnsi="Times New Roman" w:cs="Times New Roman"/>
          <w:sz w:val="28"/>
          <w:szCs w:val="28"/>
        </w:rPr>
      </w:pPr>
    </w:p>
    <w:p w14:paraId="0CC655AA" w14:textId="3E9600E1" w:rsidR="004A75B6" w:rsidRDefault="004A75B6" w:rsidP="004A75B6">
      <w:pPr>
        <w:ind w:firstLine="720"/>
        <w:jc w:val="both"/>
        <w:rPr>
          <w:rFonts w:ascii="Times New Roman" w:eastAsia="Calibri" w:hAnsi="Times New Roman" w:cs="Times New Roman"/>
          <w:sz w:val="28"/>
          <w:szCs w:val="28"/>
        </w:rPr>
      </w:pPr>
    </w:p>
    <w:p w14:paraId="1BAC81EB" w14:textId="46774DFB" w:rsidR="004A75B6" w:rsidRDefault="004A75B6" w:rsidP="004A75B6">
      <w:pPr>
        <w:ind w:firstLine="720"/>
        <w:jc w:val="both"/>
        <w:rPr>
          <w:rFonts w:ascii="Times New Roman" w:eastAsia="Calibri" w:hAnsi="Times New Roman" w:cs="Times New Roman"/>
          <w:sz w:val="28"/>
          <w:szCs w:val="28"/>
        </w:rPr>
      </w:pPr>
    </w:p>
    <w:p w14:paraId="69F769E0" w14:textId="32BA3700" w:rsidR="004A75B6" w:rsidRDefault="004A75B6" w:rsidP="004A75B6">
      <w:pPr>
        <w:ind w:firstLine="720"/>
        <w:jc w:val="both"/>
        <w:rPr>
          <w:rFonts w:ascii="Times New Roman" w:eastAsia="Calibri" w:hAnsi="Times New Roman" w:cs="Times New Roman"/>
          <w:sz w:val="28"/>
          <w:szCs w:val="28"/>
        </w:rPr>
      </w:pPr>
    </w:p>
    <w:p w14:paraId="2CDCC601" w14:textId="6058D892" w:rsidR="004A75B6" w:rsidRDefault="004A75B6" w:rsidP="004A75B6">
      <w:pPr>
        <w:ind w:firstLine="720"/>
        <w:jc w:val="both"/>
        <w:rPr>
          <w:rFonts w:ascii="Times New Roman" w:eastAsia="Calibri" w:hAnsi="Times New Roman" w:cs="Times New Roman"/>
          <w:sz w:val="28"/>
          <w:szCs w:val="28"/>
        </w:rPr>
      </w:pPr>
    </w:p>
    <w:p w14:paraId="762651F0" w14:textId="7A27F884" w:rsidR="004A75B6" w:rsidRDefault="004A75B6" w:rsidP="004A75B6">
      <w:pPr>
        <w:ind w:firstLine="720"/>
        <w:jc w:val="both"/>
        <w:rPr>
          <w:rFonts w:ascii="Times New Roman" w:eastAsia="Calibri" w:hAnsi="Times New Roman" w:cs="Times New Roman"/>
          <w:sz w:val="28"/>
          <w:szCs w:val="28"/>
        </w:rPr>
      </w:pPr>
    </w:p>
    <w:p w14:paraId="0FA12F92" w14:textId="77777777" w:rsidR="00F266F7" w:rsidRPr="00F266F7" w:rsidRDefault="00F266F7" w:rsidP="00401A5B">
      <w:pPr>
        <w:ind w:firstLine="720"/>
        <w:jc w:val="both"/>
        <w:rPr>
          <w:rFonts w:ascii="Times New Roman" w:eastAsia="Calibri" w:hAnsi="Times New Roman" w:cs="Times New Roman"/>
          <w:sz w:val="28"/>
          <w:szCs w:val="28"/>
        </w:rPr>
      </w:pPr>
    </w:p>
    <w:p w14:paraId="42B3D773" w14:textId="2D7CDFF5" w:rsidR="00DB596B" w:rsidRPr="00DB596B" w:rsidRDefault="00DB596B" w:rsidP="00F266F7">
      <w:pPr>
        <w:ind w:firstLine="720"/>
        <w:contextualSpacing/>
        <w:jc w:val="right"/>
        <w:rPr>
          <w:rFonts w:ascii="Times New Roman" w:eastAsia="Times New Roman" w:hAnsi="Times New Roman" w:cs="Times New Roman"/>
          <w:b/>
          <w:i/>
          <w:sz w:val="24"/>
          <w:szCs w:val="20"/>
          <w:lang w:eastAsia="en-US"/>
        </w:rPr>
      </w:pPr>
      <w:r w:rsidRPr="00F266F7">
        <w:rPr>
          <w:rFonts w:ascii="Times New Roman" w:eastAsia="Times New Roman" w:hAnsi="Times New Roman" w:cs="Times New Roman"/>
          <w:b/>
          <w:i/>
          <w:sz w:val="24"/>
          <w:szCs w:val="20"/>
          <w:lang w:eastAsia="en-US"/>
        </w:rPr>
        <w:t>3.7</w:t>
      </w:r>
      <w:r w:rsidRPr="00DB596B">
        <w:rPr>
          <w:rFonts w:ascii="Times New Roman" w:eastAsia="Times New Roman" w:hAnsi="Times New Roman" w:cs="Times New Roman"/>
          <w:b/>
          <w:i/>
          <w:sz w:val="24"/>
          <w:szCs w:val="20"/>
          <w:lang w:eastAsia="en-US"/>
        </w:rPr>
        <w:t>.tabula.</w:t>
      </w:r>
      <w:r w:rsidRPr="00DB596B">
        <w:rPr>
          <w:rFonts w:ascii="Times New Roman" w:eastAsia="Times New Roman" w:hAnsi="Times New Roman" w:cs="Times New Roman"/>
          <w:sz w:val="24"/>
          <w:szCs w:val="20"/>
          <w:lang w:eastAsia="en-US"/>
        </w:rPr>
        <w:t xml:space="preserve"> </w:t>
      </w:r>
      <w:r w:rsidRPr="00DB596B">
        <w:rPr>
          <w:rFonts w:ascii="Times New Roman" w:eastAsia="Times New Roman" w:hAnsi="Times New Roman" w:cs="Times New Roman"/>
          <w:b/>
          <w:i/>
          <w:sz w:val="24"/>
          <w:szCs w:val="20"/>
          <w:lang w:eastAsia="en-US"/>
        </w:rPr>
        <w:t>Akcīzes nodokļa likmes degvielai Baltijas valstīs un Polijā 2018.–2020.gadā</w:t>
      </w:r>
    </w:p>
    <w:tbl>
      <w:tblPr>
        <w:tblW w:w="8931" w:type="dxa"/>
        <w:jc w:val="center"/>
        <w:tblLook w:val="04A0" w:firstRow="1" w:lastRow="0" w:firstColumn="1" w:lastColumn="0" w:noHBand="0" w:noVBand="1"/>
      </w:tblPr>
      <w:tblGrid>
        <w:gridCol w:w="5455"/>
        <w:gridCol w:w="1208"/>
        <w:gridCol w:w="1134"/>
        <w:gridCol w:w="1134"/>
      </w:tblGrid>
      <w:tr w:rsidR="00DB596B" w:rsidRPr="00F266F7" w14:paraId="05823935" w14:textId="77777777" w:rsidTr="00D56D87">
        <w:trPr>
          <w:trHeight w:val="262"/>
          <w:jc w:val="center"/>
        </w:trPr>
        <w:tc>
          <w:tcPr>
            <w:tcW w:w="5455" w:type="dxa"/>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085D1E26" w14:textId="77777777" w:rsidR="00DB596B" w:rsidRPr="00F266F7" w:rsidRDefault="00DB596B" w:rsidP="00401A5B">
            <w:pPr>
              <w:contextualSpacing/>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 xml:space="preserve">Benzīns, </w:t>
            </w:r>
            <w:r w:rsidRPr="00F266F7">
              <w:rPr>
                <w:rFonts w:ascii="Times New Roman" w:eastAsia="Times New Roman" w:hAnsi="Times New Roman" w:cs="Times New Roman"/>
                <w:b/>
                <w:i/>
                <w:iCs/>
                <w:color w:val="000000"/>
                <w:sz w:val="20"/>
                <w:szCs w:val="20"/>
              </w:rPr>
              <w:t>euro</w:t>
            </w:r>
            <w:r w:rsidRPr="00F266F7">
              <w:rPr>
                <w:rFonts w:ascii="Times New Roman" w:eastAsia="Times New Roman" w:hAnsi="Times New Roman" w:cs="Times New Roman"/>
                <w:b/>
                <w:color w:val="000000"/>
                <w:sz w:val="20"/>
                <w:szCs w:val="20"/>
              </w:rPr>
              <w:t xml:space="preserve"> par 1000 l</w:t>
            </w:r>
          </w:p>
        </w:tc>
        <w:tc>
          <w:tcPr>
            <w:tcW w:w="1208" w:type="dxa"/>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775A5EFC" w14:textId="77777777" w:rsidR="00DB596B" w:rsidRPr="00F266F7" w:rsidRDefault="00DB596B" w:rsidP="00401A5B">
            <w:pPr>
              <w:contextualSpacing/>
              <w:jc w:val="center"/>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2018</w:t>
            </w:r>
          </w:p>
        </w:tc>
        <w:tc>
          <w:tcPr>
            <w:tcW w:w="1134" w:type="dxa"/>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60FAD8D0" w14:textId="77777777" w:rsidR="00DB596B" w:rsidRPr="00F266F7" w:rsidRDefault="00DB596B" w:rsidP="00401A5B">
            <w:pPr>
              <w:contextualSpacing/>
              <w:jc w:val="center"/>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2019</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25C99BA" w14:textId="77777777" w:rsidR="00DB596B" w:rsidRPr="00F266F7" w:rsidRDefault="00DB596B" w:rsidP="00401A5B">
            <w:pPr>
              <w:contextualSpacing/>
              <w:jc w:val="center"/>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2020</w:t>
            </w:r>
          </w:p>
        </w:tc>
      </w:tr>
      <w:tr w:rsidR="00DB596B" w:rsidRPr="00F266F7" w14:paraId="70729C78" w14:textId="77777777" w:rsidTr="00D56D87">
        <w:trPr>
          <w:trHeight w:val="250"/>
          <w:jc w:val="center"/>
        </w:trPr>
        <w:tc>
          <w:tcPr>
            <w:tcW w:w="5455" w:type="dxa"/>
            <w:tcBorders>
              <w:top w:val="single" w:sz="4" w:space="0" w:color="auto"/>
              <w:left w:val="single" w:sz="4" w:space="0" w:color="auto"/>
              <w:bottom w:val="nil"/>
              <w:right w:val="nil"/>
            </w:tcBorders>
            <w:shd w:val="clear" w:color="auto" w:fill="auto"/>
            <w:noWrap/>
            <w:vAlign w:val="center"/>
            <w:hideMark/>
          </w:tcPr>
          <w:p w14:paraId="6FD9686A" w14:textId="77777777" w:rsidR="00DB596B" w:rsidRPr="00F266F7" w:rsidRDefault="00DB596B" w:rsidP="00401A5B">
            <w:pPr>
              <w:contextualSpacing/>
              <w:jc w:val="right"/>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Latvija</w:t>
            </w:r>
          </w:p>
        </w:tc>
        <w:tc>
          <w:tcPr>
            <w:tcW w:w="1208" w:type="dxa"/>
            <w:tcBorders>
              <w:top w:val="single" w:sz="4" w:space="0" w:color="auto"/>
              <w:left w:val="single" w:sz="8" w:space="0" w:color="auto"/>
              <w:bottom w:val="nil"/>
              <w:right w:val="nil"/>
            </w:tcBorders>
            <w:shd w:val="clear" w:color="auto" w:fill="auto"/>
            <w:noWrap/>
            <w:vAlign w:val="center"/>
            <w:hideMark/>
          </w:tcPr>
          <w:p w14:paraId="02879343" w14:textId="77777777" w:rsidR="00DB596B" w:rsidRPr="00F266F7" w:rsidRDefault="00DB596B" w:rsidP="00401A5B">
            <w:pPr>
              <w:contextualSpacing/>
              <w:jc w:val="center"/>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476</w:t>
            </w:r>
          </w:p>
        </w:tc>
        <w:tc>
          <w:tcPr>
            <w:tcW w:w="1134" w:type="dxa"/>
            <w:tcBorders>
              <w:top w:val="single" w:sz="4" w:space="0" w:color="auto"/>
              <w:left w:val="single" w:sz="8" w:space="0" w:color="auto"/>
              <w:bottom w:val="nil"/>
              <w:right w:val="nil"/>
            </w:tcBorders>
            <w:shd w:val="clear" w:color="auto" w:fill="auto"/>
            <w:noWrap/>
            <w:vAlign w:val="center"/>
            <w:hideMark/>
          </w:tcPr>
          <w:p w14:paraId="2629226B" w14:textId="77777777" w:rsidR="00DB596B" w:rsidRPr="00F266F7" w:rsidRDefault="00DB596B" w:rsidP="00401A5B">
            <w:pPr>
              <w:contextualSpacing/>
              <w:jc w:val="center"/>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476</w:t>
            </w:r>
          </w:p>
        </w:tc>
        <w:tc>
          <w:tcPr>
            <w:tcW w:w="1134" w:type="dxa"/>
            <w:tcBorders>
              <w:top w:val="single" w:sz="4" w:space="0" w:color="auto"/>
              <w:left w:val="single" w:sz="8" w:space="0" w:color="auto"/>
              <w:bottom w:val="nil"/>
              <w:right w:val="single" w:sz="4" w:space="0" w:color="auto"/>
            </w:tcBorders>
            <w:shd w:val="clear" w:color="auto" w:fill="auto"/>
            <w:noWrap/>
            <w:vAlign w:val="center"/>
            <w:hideMark/>
          </w:tcPr>
          <w:p w14:paraId="131A3BBE" w14:textId="77777777" w:rsidR="00DB596B" w:rsidRPr="00F266F7" w:rsidRDefault="00DB596B" w:rsidP="00401A5B">
            <w:pPr>
              <w:contextualSpacing/>
              <w:jc w:val="center"/>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509</w:t>
            </w:r>
          </w:p>
        </w:tc>
      </w:tr>
      <w:tr w:rsidR="00DB596B" w:rsidRPr="00F266F7" w14:paraId="716C0A61" w14:textId="77777777" w:rsidTr="00D56D87">
        <w:trPr>
          <w:trHeight w:val="250"/>
          <w:jc w:val="center"/>
        </w:trPr>
        <w:tc>
          <w:tcPr>
            <w:tcW w:w="5455" w:type="dxa"/>
            <w:tcBorders>
              <w:top w:val="nil"/>
              <w:left w:val="single" w:sz="4" w:space="0" w:color="auto"/>
              <w:bottom w:val="nil"/>
              <w:right w:val="nil"/>
            </w:tcBorders>
            <w:shd w:val="clear" w:color="auto" w:fill="auto"/>
            <w:noWrap/>
            <w:vAlign w:val="center"/>
            <w:hideMark/>
          </w:tcPr>
          <w:p w14:paraId="77E9AD7D" w14:textId="77777777" w:rsidR="00DB596B" w:rsidRPr="00F266F7" w:rsidRDefault="00DB596B" w:rsidP="00401A5B">
            <w:pPr>
              <w:contextualSpacing/>
              <w:jc w:val="right"/>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Lietuva</w:t>
            </w:r>
          </w:p>
        </w:tc>
        <w:tc>
          <w:tcPr>
            <w:tcW w:w="1208" w:type="dxa"/>
            <w:tcBorders>
              <w:top w:val="nil"/>
              <w:left w:val="single" w:sz="8" w:space="0" w:color="auto"/>
              <w:bottom w:val="nil"/>
              <w:right w:val="nil"/>
            </w:tcBorders>
            <w:shd w:val="clear" w:color="auto" w:fill="auto"/>
            <w:noWrap/>
            <w:vAlign w:val="center"/>
            <w:hideMark/>
          </w:tcPr>
          <w:p w14:paraId="5AB18507"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434</w:t>
            </w:r>
          </w:p>
        </w:tc>
        <w:tc>
          <w:tcPr>
            <w:tcW w:w="1134" w:type="dxa"/>
            <w:tcBorders>
              <w:top w:val="nil"/>
              <w:left w:val="single" w:sz="8" w:space="0" w:color="auto"/>
              <w:bottom w:val="nil"/>
              <w:right w:val="nil"/>
            </w:tcBorders>
            <w:shd w:val="clear" w:color="auto" w:fill="auto"/>
            <w:noWrap/>
            <w:vAlign w:val="center"/>
            <w:hideMark/>
          </w:tcPr>
          <w:p w14:paraId="674937AE"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434</w:t>
            </w:r>
          </w:p>
        </w:tc>
        <w:tc>
          <w:tcPr>
            <w:tcW w:w="1134" w:type="dxa"/>
            <w:tcBorders>
              <w:top w:val="nil"/>
              <w:left w:val="single" w:sz="8" w:space="0" w:color="auto"/>
              <w:bottom w:val="nil"/>
              <w:right w:val="single" w:sz="4" w:space="0" w:color="auto"/>
            </w:tcBorders>
            <w:shd w:val="clear" w:color="auto" w:fill="auto"/>
            <w:noWrap/>
            <w:vAlign w:val="center"/>
            <w:hideMark/>
          </w:tcPr>
          <w:p w14:paraId="7EE9FBC1"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466</w:t>
            </w:r>
          </w:p>
        </w:tc>
      </w:tr>
      <w:tr w:rsidR="00DB596B" w:rsidRPr="00F266F7" w14:paraId="0434D1B7" w14:textId="77777777" w:rsidTr="00D56D87">
        <w:trPr>
          <w:trHeight w:val="250"/>
          <w:jc w:val="center"/>
        </w:trPr>
        <w:tc>
          <w:tcPr>
            <w:tcW w:w="5455" w:type="dxa"/>
            <w:tcBorders>
              <w:top w:val="nil"/>
              <w:left w:val="single" w:sz="4" w:space="0" w:color="auto"/>
              <w:bottom w:val="nil"/>
              <w:right w:val="nil"/>
            </w:tcBorders>
            <w:shd w:val="clear" w:color="auto" w:fill="auto"/>
            <w:noWrap/>
            <w:vAlign w:val="center"/>
            <w:hideMark/>
          </w:tcPr>
          <w:p w14:paraId="58D72166" w14:textId="77777777" w:rsidR="00DB596B" w:rsidRPr="00F266F7" w:rsidRDefault="00DB596B" w:rsidP="00401A5B">
            <w:pPr>
              <w:contextualSpacing/>
              <w:jc w:val="right"/>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Igaunija</w:t>
            </w:r>
          </w:p>
        </w:tc>
        <w:tc>
          <w:tcPr>
            <w:tcW w:w="1208" w:type="dxa"/>
            <w:tcBorders>
              <w:top w:val="nil"/>
              <w:left w:val="single" w:sz="8" w:space="0" w:color="auto"/>
              <w:bottom w:val="nil"/>
              <w:right w:val="nil"/>
            </w:tcBorders>
            <w:shd w:val="clear" w:color="auto" w:fill="auto"/>
            <w:noWrap/>
            <w:vAlign w:val="center"/>
            <w:hideMark/>
          </w:tcPr>
          <w:p w14:paraId="50293120"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563</w:t>
            </w:r>
          </w:p>
        </w:tc>
        <w:tc>
          <w:tcPr>
            <w:tcW w:w="1134" w:type="dxa"/>
            <w:tcBorders>
              <w:top w:val="nil"/>
              <w:left w:val="single" w:sz="8" w:space="0" w:color="auto"/>
              <w:bottom w:val="nil"/>
              <w:right w:val="nil"/>
            </w:tcBorders>
            <w:shd w:val="clear" w:color="auto" w:fill="auto"/>
            <w:noWrap/>
            <w:vAlign w:val="center"/>
            <w:hideMark/>
          </w:tcPr>
          <w:p w14:paraId="574E881E"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563</w:t>
            </w:r>
          </w:p>
        </w:tc>
        <w:tc>
          <w:tcPr>
            <w:tcW w:w="1134" w:type="dxa"/>
            <w:tcBorders>
              <w:top w:val="nil"/>
              <w:left w:val="single" w:sz="8" w:space="0" w:color="auto"/>
              <w:bottom w:val="nil"/>
              <w:right w:val="single" w:sz="4" w:space="0" w:color="auto"/>
            </w:tcBorders>
            <w:shd w:val="clear" w:color="auto" w:fill="auto"/>
            <w:noWrap/>
            <w:vAlign w:val="center"/>
            <w:hideMark/>
          </w:tcPr>
          <w:p w14:paraId="7AC8CB86"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sz w:val="20"/>
                <w:szCs w:val="20"/>
              </w:rPr>
              <w:t>563</w:t>
            </w:r>
          </w:p>
        </w:tc>
      </w:tr>
      <w:tr w:rsidR="00DB596B" w:rsidRPr="00F266F7" w14:paraId="29B30377" w14:textId="77777777" w:rsidTr="00D56D87">
        <w:trPr>
          <w:trHeight w:val="263"/>
          <w:jc w:val="center"/>
        </w:trPr>
        <w:tc>
          <w:tcPr>
            <w:tcW w:w="5455" w:type="dxa"/>
            <w:tcBorders>
              <w:top w:val="nil"/>
              <w:left w:val="single" w:sz="4" w:space="0" w:color="auto"/>
              <w:bottom w:val="single" w:sz="4" w:space="0" w:color="auto"/>
              <w:right w:val="nil"/>
            </w:tcBorders>
            <w:shd w:val="clear" w:color="auto" w:fill="auto"/>
            <w:noWrap/>
            <w:vAlign w:val="center"/>
            <w:hideMark/>
          </w:tcPr>
          <w:p w14:paraId="795DFAAC" w14:textId="77777777" w:rsidR="00DB596B" w:rsidRPr="00F266F7" w:rsidRDefault="00DB596B" w:rsidP="00401A5B">
            <w:pPr>
              <w:contextualSpacing/>
              <w:jc w:val="right"/>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Polija</w:t>
            </w:r>
          </w:p>
        </w:tc>
        <w:tc>
          <w:tcPr>
            <w:tcW w:w="1208" w:type="dxa"/>
            <w:tcBorders>
              <w:top w:val="nil"/>
              <w:left w:val="single" w:sz="8" w:space="0" w:color="auto"/>
              <w:bottom w:val="single" w:sz="4" w:space="0" w:color="auto"/>
              <w:right w:val="nil"/>
            </w:tcBorders>
            <w:shd w:val="clear" w:color="auto" w:fill="auto"/>
            <w:noWrap/>
            <w:vAlign w:val="center"/>
            <w:hideMark/>
          </w:tcPr>
          <w:p w14:paraId="2566843C"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388</w:t>
            </w:r>
          </w:p>
        </w:tc>
        <w:tc>
          <w:tcPr>
            <w:tcW w:w="1134" w:type="dxa"/>
            <w:tcBorders>
              <w:top w:val="nil"/>
              <w:left w:val="single" w:sz="8" w:space="0" w:color="auto"/>
              <w:bottom w:val="single" w:sz="4" w:space="0" w:color="auto"/>
              <w:right w:val="nil"/>
            </w:tcBorders>
            <w:shd w:val="clear" w:color="auto" w:fill="auto"/>
            <w:noWrap/>
            <w:vAlign w:val="center"/>
            <w:hideMark/>
          </w:tcPr>
          <w:p w14:paraId="68EBAD10"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391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45B32A7"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sz w:val="20"/>
                <w:szCs w:val="20"/>
              </w:rPr>
              <w:t>383</w:t>
            </w:r>
          </w:p>
        </w:tc>
      </w:tr>
      <w:tr w:rsidR="00DB596B" w:rsidRPr="00F266F7" w14:paraId="04A39628" w14:textId="77777777" w:rsidTr="00D56D87">
        <w:trPr>
          <w:trHeight w:val="263"/>
          <w:jc w:val="center"/>
        </w:trPr>
        <w:tc>
          <w:tcPr>
            <w:tcW w:w="5455" w:type="dxa"/>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5398BB0E" w14:textId="77777777" w:rsidR="00DB596B" w:rsidRPr="00F266F7" w:rsidRDefault="00DB596B" w:rsidP="00401A5B">
            <w:pPr>
              <w:contextualSpacing/>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 xml:space="preserve">Dīzeļdegviela, </w:t>
            </w:r>
            <w:r w:rsidRPr="00F266F7">
              <w:rPr>
                <w:rFonts w:ascii="Times New Roman" w:eastAsia="Times New Roman" w:hAnsi="Times New Roman" w:cs="Times New Roman"/>
                <w:b/>
                <w:i/>
                <w:iCs/>
                <w:color w:val="000000"/>
                <w:sz w:val="20"/>
                <w:szCs w:val="20"/>
              </w:rPr>
              <w:t>euro</w:t>
            </w:r>
            <w:r w:rsidRPr="00F266F7">
              <w:rPr>
                <w:rFonts w:ascii="Times New Roman" w:eastAsia="Times New Roman" w:hAnsi="Times New Roman" w:cs="Times New Roman"/>
                <w:b/>
                <w:color w:val="000000"/>
                <w:sz w:val="20"/>
                <w:szCs w:val="20"/>
              </w:rPr>
              <w:t xml:space="preserve"> par 1000 l</w:t>
            </w:r>
          </w:p>
        </w:tc>
        <w:tc>
          <w:tcPr>
            <w:tcW w:w="1208" w:type="dxa"/>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254CE539" w14:textId="77777777" w:rsidR="00DB596B" w:rsidRPr="00F266F7" w:rsidRDefault="00DB596B" w:rsidP="00401A5B">
            <w:pPr>
              <w:contextualSpacing/>
              <w:jc w:val="center"/>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2018</w:t>
            </w:r>
          </w:p>
        </w:tc>
        <w:tc>
          <w:tcPr>
            <w:tcW w:w="1134" w:type="dxa"/>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12028D15" w14:textId="77777777" w:rsidR="00DB596B" w:rsidRPr="00F266F7" w:rsidRDefault="00DB596B" w:rsidP="00401A5B">
            <w:pPr>
              <w:contextualSpacing/>
              <w:jc w:val="center"/>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2019</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6EB1C26" w14:textId="77777777" w:rsidR="00DB596B" w:rsidRPr="00F266F7" w:rsidRDefault="00DB596B" w:rsidP="00401A5B">
            <w:pPr>
              <w:contextualSpacing/>
              <w:jc w:val="center"/>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sz w:val="20"/>
                <w:szCs w:val="20"/>
              </w:rPr>
              <w:t>2020</w:t>
            </w:r>
          </w:p>
        </w:tc>
      </w:tr>
      <w:tr w:rsidR="00DB596B" w:rsidRPr="00F266F7" w14:paraId="30615195" w14:textId="77777777" w:rsidTr="00D56D87">
        <w:trPr>
          <w:trHeight w:val="250"/>
          <w:jc w:val="center"/>
        </w:trPr>
        <w:tc>
          <w:tcPr>
            <w:tcW w:w="5455" w:type="dxa"/>
            <w:tcBorders>
              <w:top w:val="single" w:sz="4" w:space="0" w:color="auto"/>
              <w:left w:val="single" w:sz="4" w:space="0" w:color="auto"/>
              <w:bottom w:val="nil"/>
              <w:right w:val="nil"/>
            </w:tcBorders>
            <w:shd w:val="clear" w:color="auto" w:fill="auto"/>
            <w:noWrap/>
            <w:vAlign w:val="center"/>
            <w:hideMark/>
          </w:tcPr>
          <w:p w14:paraId="12C4206D" w14:textId="77777777" w:rsidR="00DB596B" w:rsidRPr="00F266F7" w:rsidRDefault="00DB596B" w:rsidP="00401A5B">
            <w:pPr>
              <w:contextualSpacing/>
              <w:jc w:val="right"/>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Latvija</w:t>
            </w:r>
          </w:p>
        </w:tc>
        <w:tc>
          <w:tcPr>
            <w:tcW w:w="1208" w:type="dxa"/>
            <w:tcBorders>
              <w:top w:val="single" w:sz="4" w:space="0" w:color="auto"/>
              <w:left w:val="single" w:sz="8" w:space="0" w:color="auto"/>
              <w:bottom w:val="nil"/>
              <w:right w:val="nil"/>
            </w:tcBorders>
            <w:shd w:val="clear" w:color="auto" w:fill="auto"/>
            <w:noWrap/>
            <w:vAlign w:val="center"/>
            <w:hideMark/>
          </w:tcPr>
          <w:p w14:paraId="091CA94D" w14:textId="77777777" w:rsidR="00DB596B" w:rsidRPr="00F266F7" w:rsidRDefault="00DB596B" w:rsidP="00401A5B">
            <w:pPr>
              <w:contextualSpacing/>
              <w:jc w:val="center"/>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372</w:t>
            </w:r>
          </w:p>
        </w:tc>
        <w:tc>
          <w:tcPr>
            <w:tcW w:w="1134" w:type="dxa"/>
            <w:tcBorders>
              <w:top w:val="single" w:sz="4" w:space="0" w:color="auto"/>
              <w:left w:val="single" w:sz="8" w:space="0" w:color="auto"/>
              <w:bottom w:val="nil"/>
              <w:right w:val="nil"/>
            </w:tcBorders>
            <w:shd w:val="clear" w:color="auto" w:fill="auto"/>
            <w:noWrap/>
            <w:vAlign w:val="center"/>
            <w:hideMark/>
          </w:tcPr>
          <w:p w14:paraId="2B97AF30" w14:textId="77777777" w:rsidR="00DB596B" w:rsidRPr="00F266F7" w:rsidRDefault="00DB596B" w:rsidP="00401A5B">
            <w:pPr>
              <w:contextualSpacing/>
              <w:jc w:val="center"/>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372</w:t>
            </w:r>
          </w:p>
        </w:tc>
        <w:tc>
          <w:tcPr>
            <w:tcW w:w="1134" w:type="dxa"/>
            <w:tcBorders>
              <w:top w:val="single" w:sz="4" w:space="0" w:color="auto"/>
              <w:left w:val="single" w:sz="8" w:space="0" w:color="auto"/>
              <w:bottom w:val="nil"/>
              <w:right w:val="single" w:sz="4" w:space="0" w:color="auto"/>
            </w:tcBorders>
            <w:shd w:val="clear" w:color="auto" w:fill="auto"/>
            <w:noWrap/>
            <w:vAlign w:val="center"/>
            <w:hideMark/>
          </w:tcPr>
          <w:p w14:paraId="75289176" w14:textId="77777777" w:rsidR="00DB596B" w:rsidRPr="00F266F7" w:rsidRDefault="00DB596B" w:rsidP="00401A5B">
            <w:pPr>
              <w:contextualSpacing/>
              <w:jc w:val="center"/>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sz w:val="20"/>
                <w:szCs w:val="20"/>
              </w:rPr>
              <w:t>414</w:t>
            </w:r>
          </w:p>
        </w:tc>
      </w:tr>
      <w:tr w:rsidR="00DB596B" w:rsidRPr="00F266F7" w14:paraId="3C0E8A02" w14:textId="77777777" w:rsidTr="00D56D87">
        <w:trPr>
          <w:trHeight w:val="250"/>
          <w:jc w:val="center"/>
        </w:trPr>
        <w:tc>
          <w:tcPr>
            <w:tcW w:w="5455" w:type="dxa"/>
            <w:tcBorders>
              <w:top w:val="nil"/>
              <w:left w:val="single" w:sz="4" w:space="0" w:color="auto"/>
              <w:bottom w:val="nil"/>
              <w:right w:val="nil"/>
            </w:tcBorders>
            <w:shd w:val="clear" w:color="auto" w:fill="auto"/>
            <w:noWrap/>
            <w:vAlign w:val="center"/>
            <w:hideMark/>
          </w:tcPr>
          <w:p w14:paraId="20838265" w14:textId="77777777" w:rsidR="00DB596B" w:rsidRPr="00F266F7" w:rsidRDefault="00DB596B" w:rsidP="00401A5B">
            <w:pPr>
              <w:contextualSpacing/>
              <w:jc w:val="right"/>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Lietuva</w:t>
            </w:r>
          </w:p>
        </w:tc>
        <w:tc>
          <w:tcPr>
            <w:tcW w:w="1208" w:type="dxa"/>
            <w:tcBorders>
              <w:top w:val="nil"/>
              <w:left w:val="single" w:sz="8" w:space="0" w:color="auto"/>
              <w:bottom w:val="nil"/>
              <w:right w:val="nil"/>
            </w:tcBorders>
            <w:shd w:val="clear" w:color="auto" w:fill="auto"/>
            <w:noWrap/>
            <w:vAlign w:val="center"/>
            <w:hideMark/>
          </w:tcPr>
          <w:p w14:paraId="702E182F"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347</w:t>
            </w:r>
          </w:p>
        </w:tc>
        <w:tc>
          <w:tcPr>
            <w:tcW w:w="1134" w:type="dxa"/>
            <w:tcBorders>
              <w:top w:val="nil"/>
              <w:left w:val="single" w:sz="8" w:space="0" w:color="auto"/>
              <w:bottom w:val="nil"/>
              <w:right w:val="nil"/>
            </w:tcBorders>
            <w:shd w:val="clear" w:color="auto" w:fill="auto"/>
            <w:noWrap/>
            <w:vAlign w:val="center"/>
            <w:hideMark/>
          </w:tcPr>
          <w:p w14:paraId="3362A575"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347</w:t>
            </w:r>
          </w:p>
        </w:tc>
        <w:tc>
          <w:tcPr>
            <w:tcW w:w="1134" w:type="dxa"/>
            <w:tcBorders>
              <w:top w:val="nil"/>
              <w:left w:val="single" w:sz="8" w:space="0" w:color="auto"/>
              <w:bottom w:val="nil"/>
              <w:right w:val="single" w:sz="4" w:space="0" w:color="auto"/>
            </w:tcBorders>
            <w:shd w:val="clear" w:color="auto" w:fill="auto"/>
            <w:noWrap/>
            <w:vAlign w:val="center"/>
            <w:hideMark/>
          </w:tcPr>
          <w:p w14:paraId="6A724002"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sz w:val="20"/>
                <w:szCs w:val="20"/>
              </w:rPr>
              <w:t>372</w:t>
            </w:r>
          </w:p>
        </w:tc>
      </w:tr>
      <w:tr w:rsidR="00DB596B" w:rsidRPr="00F266F7" w14:paraId="568303FD" w14:textId="77777777" w:rsidTr="00D56D87">
        <w:trPr>
          <w:trHeight w:val="250"/>
          <w:jc w:val="center"/>
        </w:trPr>
        <w:tc>
          <w:tcPr>
            <w:tcW w:w="5455" w:type="dxa"/>
            <w:tcBorders>
              <w:top w:val="nil"/>
              <w:left w:val="single" w:sz="4" w:space="0" w:color="auto"/>
              <w:bottom w:val="nil"/>
              <w:right w:val="nil"/>
            </w:tcBorders>
            <w:shd w:val="clear" w:color="auto" w:fill="auto"/>
            <w:noWrap/>
            <w:vAlign w:val="center"/>
            <w:hideMark/>
          </w:tcPr>
          <w:p w14:paraId="14D13D2E" w14:textId="77777777" w:rsidR="00DB596B" w:rsidRPr="00F266F7" w:rsidRDefault="00DB596B" w:rsidP="00401A5B">
            <w:pPr>
              <w:contextualSpacing/>
              <w:jc w:val="right"/>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Igaunija</w:t>
            </w:r>
          </w:p>
        </w:tc>
        <w:tc>
          <w:tcPr>
            <w:tcW w:w="1208" w:type="dxa"/>
            <w:tcBorders>
              <w:top w:val="nil"/>
              <w:left w:val="single" w:sz="8" w:space="0" w:color="auto"/>
              <w:bottom w:val="nil"/>
              <w:right w:val="nil"/>
            </w:tcBorders>
            <w:shd w:val="clear" w:color="auto" w:fill="auto"/>
            <w:noWrap/>
            <w:vAlign w:val="center"/>
            <w:hideMark/>
          </w:tcPr>
          <w:p w14:paraId="3A24C801"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493</w:t>
            </w:r>
          </w:p>
        </w:tc>
        <w:tc>
          <w:tcPr>
            <w:tcW w:w="1134" w:type="dxa"/>
            <w:tcBorders>
              <w:top w:val="nil"/>
              <w:left w:val="single" w:sz="8" w:space="0" w:color="auto"/>
              <w:bottom w:val="nil"/>
              <w:right w:val="nil"/>
            </w:tcBorders>
            <w:shd w:val="clear" w:color="auto" w:fill="auto"/>
            <w:noWrap/>
            <w:vAlign w:val="center"/>
            <w:hideMark/>
          </w:tcPr>
          <w:p w14:paraId="3019B458"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493</w:t>
            </w:r>
          </w:p>
        </w:tc>
        <w:tc>
          <w:tcPr>
            <w:tcW w:w="1134" w:type="dxa"/>
            <w:tcBorders>
              <w:top w:val="nil"/>
              <w:left w:val="single" w:sz="8" w:space="0" w:color="auto"/>
              <w:bottom w:val="nil"/>
              <w:right w:val="single" w:sz="4" w:space="0" w:color="auto"/>
            </w:tcBorders>
            <w:shd w:val="clear" w:color="auto" w:fill="auto"/>
            <w:noWrap/>
            <w:vAlign w:val="center"/>
            <w:hideMark/>
          </w:tcPr>
          <w:p w14:paraId="65284F9C"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sz w:val="20"/>
                <w:szCs w:val="20"/>
              </w:rPr>
              <w:t>493/372**</w:t>
            </w:r>
          </w:p>
        </w:tc>
      </w:tr>
      <w:tr w:rsidR="00DB596B" w:rsidRPr="00F266F7" w14:paraId="1324DD1C" w14:textId="77777777" w:rsidTr="00D56D87">
        <w:trPr>
          <w:trHeight w:val="263"/>
          <w:jc w:val="center"/>
        </w:trPr>
        <w:tc>
          <w:tcPr>
            <w:tcW w:w="5455" w:type="dxa"/>
            <w:tcBorders>
              <w:top w:val="nil"/>
              <w:left w:val="single" w:sz="4" w:space="0" w:color="auto"/>
              <w:bottom w:val="single" w:sz="4" w:space="0" w:color="auto"/>
              <w:right w:val="nil"/>
            </w:tcBorders>
            <w:shd w:val="clear" w:color="auto" w:fill="auto"/>
            <w:noWrap/>
            <w:vAlign w:val="center"/>
            <w:hideMark/>
          </w:tcPr>
          <w:p w14:paraId="7B3CE576" w14:textId="77777777" w:rsidR="00DB596B" w:rsidRPr="00F266F7" w:rsidRDefault="00DB596B" w:rsidP="00401A5B">
            <w:pPr>
              <w:contextualSpacing/>
              <w:jc w:val="right"/>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Polija</w:t>
            </w:r>
          </w:p>
        </w:tc>
        <w:tc>
          <w:tcPr>
            <w:tcW w:w="1208" w:type="dxa"/>
            <w:tcBorders>
              <w:top w:val="nil"/>
              <w:left w:val="single" w:sz="8" w:space="0" w:color="auto"/>
              <w:bottom w:val="single" w:sz="4" w:space="0" w:color="auto"/>
              <w:right w:val="nil"/>
            </w:tcBorders>
            <w:shd w:val="clear" w:color="auto" w:fill="auto"/>
            <w:noWrap/>
            <w:vAlign w:val="center"/>
            <w:hideMark/>
          </w:tcPr>
          <w:p w14:paraId="6A3BD6ED"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339</w:t>
            </w:r>
          </w:p>
        </w:tc>
        <w:tc>
          <w:tcPr>
            <w:tcW w:w="1134" w:type="dxa"/>
            <w:tcBorders>
              <w:top w:val="nil"/>
              <w:left w:val="single" w:sz="8" w:space="0" w:color="auto"/>
              <w:bottom w:val="single" w:sz="4" w:space="0" w:color="auto"/>
              <w:right w:val="nil"/>
            </w:tcBorders>
            <w:shd w:val="clear" w:color="auto" w:fill="auto"/>
            <w:noWrap/>
            <w:vAlign w:val="center"/>
            <w:hideMark/>
          </w:tcPr>
          <w:p w14:paraId="14B13411"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343</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D272E37"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337</w:t>
            </w:r>
          </w:p>
        </w:tc>
      </w:tr>
      <w:tr w:rsidR="00DB596B" w:rsidRPr="00F266F7" w14:paraId="0C6EE0B5" w14:textId="77777777" w:rsidTr="00D56D87">
        <w:trPr>
          <w:trHeight w:val="263"/>
          <w:jc w:val="center"/>
        </w:trPr>
        <w:tc>
          <w:tcPr>
            <w:tcW w:w="5455" w:type="dxa"/>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084328A8" w14:textId="77777777" w:rsidR="00DB596B" w:rsidRPr="00F266F7" w:rsidRDefault="00DB596B" w:rsidP="00401A5B">
            <w:pPr>
              <w:contextualSpacing/>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 xml:space="preserve">Sašķidrinātās naftas gāzes, </w:t>
            </w:r>
            <w:r w:rsidRPr="00F266F7">
              <w:rPr>
                <w:rFonts w:ascii="Times New Roman" w:eastAsia="Times New Roman" w:hAnsi="Times New Roman" w:cs="Times New Roman"/>
                <w:b/>
                <w:i/>
                <w:iCs/>
                <w:color w:val="000000"/>
                <w:sz w:val="20"/>
                <w:szCs w:val="20"/>
              </w:rPr>
              <w:t>euro</w:t>
            </w:r>
            <w:r w:rsidRPr="00F266F7">
              <w:rPr>
                <w:rFonts w:ascii="Times New Roman" w:eastAsia="Times New Roman" w:hAnsi="Times New Roman" w:cs="Times New Roman"/>
                <w:b/>
                <w:color w:val="000000"/>
                <w:sz w:val="20"/>
                <w:szCs w:val="20"/>
              </w:rPr>
              <w:t xml:space="preserve"> par 1000 kg</w:t>
            </w:r>
          </w:p>
        </w:tc>
        <w:tc>
          <w:tcPr>
            <w:tcW w:w="1208" w:type="dxa"/>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137B7253" w14:textId="77777777" w:rsidR="00DB596B" w:rsidRPr="00F266F7" w:rsidRDefault="00DB596B" w:rsidP="00401A5B">
            <w:pPr>
              <w:contextualSpacing/>
              <w:jc w:val="center"/>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2018</w:t>
            </w:r>
          </w:p>
        </w:tc>
        <w:tc>
          <w:tcPr>
            <w:tcW w:w="1134" w:type="dxa"/>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01DDA3F6" w14:textId="77777777" w:rsidR="00DB596B" w:rsidRPr="00F266F7" w:rsidRDefault="00DB596B" w:rsidP="00401A5B">
            <w:pPr>
              <w:contextualSpacing/>
              <w:jc w:val="center"/>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2019</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EE7C49F" w14:textId="77777777" w:rsidR="00DB596B" w:rsidRPr="00F266F7" w:rsidRDefault="00DB596B" w:rsidP="00401A5B">
            <w:pPr>
              <w:contextualSpacing/>
              <w:jc w:val="center"/>
              <w:rPr>
                <w:rFonts w:ascii="Times New Roman" w:eastAsia="Times New Roman" w:hAnsi="Times New Roman" w:cs="Times New Roman"/>
                <w:b/>
                <w:color w:val="000000"/>
                <w:sz w:val="20"/>
                <w:szCs w:val="20"/>
              </w:rPr>
            </w:pPr>
            <w:r w:rsidRPr="00F266F7">
              <w:rPr>
                <w:rFonts w:ascii="Times New Roman" w:eastAsia="Times New Roman" w:hAnsi="Times New Roman" w:cs="Times New Roman"/>
                <w:b/>
                <w:color w:val="000000"/>
                <w:sz w:val="20"/>
                <w:szCs w:val="20"/>
              </w:rPr>
              <w:t>2020</w:t>
            </w:r>
          </w:p>
        </w:tc>
      </w:tr>
      <w:tr w:rsidR="00DB596B" w:rsidRPr="00F266F7" w14:paraId="4C730C21" w14:textId="77777777" w:rsidTr="00D56D87">
        <w:trPr>
          <w:trHeight w:val="250"/>
          <w:jc w:val="center"/>
        </w:trPr>
        <w:tc>
          <w:tcPr>
            <w:tcW w:w="5455" w:type="dxa"/>
            <w:tcBorders>
              <w:top w:val="single" w:sz="4" w:space="0" w:color="auto"/>
              <w:left w:val="single" w:sz="4" w:space="0" w:color="auto"/>
              <w:bottom w:val="nil"/>
              <w:right w:val="nil"/>
            </w:tcBorders>
            <w:shd w:val="clear" w:color="auto" w:fill="auto"/>
            <w:noWrap/>
            <w:vAlign w:val="center"/>
            <w:hideMark/>
          </w:tcPr>
          <w:p w14:paraId="14AF3B2D" w14:textId="77777777" w:rsidR="00DB596B" w:rsidRPr="00F266F7" w:rsidRDefault="00DB596B" w:rsidP="00401A5B">
            <w:pPr>
              <w:contextualSpacing/>
              <w:jc w:val="right"/>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Latvija</w:t>
            </w:r>
          </w:p>
        </w:tc>
        <w:tc>
          <w:tcPr>
            <w:tcW w:w="1208" w:type="dxa"/>
            <w:tcBorders>
              <w:top w:val="single" w:sz="4" w:space="0" w:color="auto"/>
              <w:left w:val="single" w:sz="8" w:space="0" w:color="auto"/>
              <w:bottom w:val="nil"/>
              <w:right w:val="nil"/>
            </w:tcBorders>
            <w:shd w:val="clear" w:color="auto" w:fill="auto"/>
            <w:noWrap/>
            <w:vAlign w:val="center"/>
            <w:hideMark/>
          </w:tcPr>
          <w:p w14:paraId="217DE266" w14:textId="77777777" w:rsidR="00DB596B" w:rsidRPr="00F266F7" w:rsidRDefault="00DB596B" w:rsidP="00401A5B">
            <w:pPr>
              <w:contextualSpacing/>
              <w:jc w:val="center"/>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244</w:t>
            </w:r>
          </w:p>
        </w:tc>
        <w:tc>
          <w:tcPr>
            <w:tcW w:w="1134" w:type="dxa"/>
            <w:tcBorders>
              <w:top w:val="single" w:sz="4" w:space="0" w:color="auto"/>
              <w:left w:val="single" w:sz="8" w:space="0" w:color="auto"/>
              <w:bottom w:val="nil"/>
              <w:right w:val="nil"/>
            </w:tcBorders>
            <w:shd w:val="clear" w:color="auto" w:fill="auto"/>
            <w:noWrap/>
            <w:vAlign w:val="center"/>
            <w:hideMark/>
          </w:tcPr>
          <w:p w14:paraId="75632D9B" w14:textId="77777777" w:rsidR="00DB596B" w:rsidRPr="00F266F7" w:rsidRDefault="00DB596B" w:rsidP="00401A5B">
            <w:pPr>
              <w:contextualSpacing/>
              <w:jc w:val="center"/>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244</w:t>
            </w:r>
          </w:p>
        </w:tc>
        <w:tc>
          <w:tcPr>
            <w:tcW w:w="1134" w:type="dxa"/>
            <w:tcBorders>
              <w:top w:val="single" w:sz="4" w:space="0" w:color="auto"/>
              <w:left w:val="single" w:sz="8" w:space="0" w:color="auto"/>
              <w:bottom w:val="nil"/>
              <w:right w:val="single" w:sz="4" w:space="0" w:color="auto"/>
            </w:tcBorders>
            <w:shd w:val="clear" w:color="auto" w:fill="auto"/>
            <w:noWrap/>
            <w:vAlign w:val="center"/>
            <w:hideMark/>
          </w:tcPr>
          <w:p w14:paraId="78D9893E" w14:textId="77777777" w:rsidR="00DB596B" w:rsidRPr="00F266F7" w:rsidRDefault="00DB596B" w:rsidP="00401A5B">
            <w:pPr>
              <w:contextualSpacing/>
              <w:jc w:val="center"/>
              <w:rPr>
                <w:rFonts w:ascii="Times New Roman" w:eastAsia="Times New Roman" w:hAnsi="Times New Roman" w:cs="Times New Roman"/>
                <w:b/>
                <w:bCs/>
                <w:color w:val="000000"/>
                <w:sz w:val="20"/>
                <w:szCs w:val="20"/>
              </w:rPr>
            </w:pPr>
            <w:r w:rsidRPr="00F266F7">
              <w:rPr>
                <w:rFonts w:ascii="Times New Roman" w:eastAsia="Times New Roman" w:hAnsi="Times New Roman" w:cs="Times New Roman"/>
                <w:b/>
                <w:bCs/>
                <w:color w:val="000000"/>
                <w:sz w:val="20"/>
                <w:szCs w:val="20"/>
              </w:rPr>
              <w:t>285</w:t>
            </w:r>
          </w:p>
        </w:tc>
      </w:tr>
      <w:tr w:rsidR="00DB596B" w:rsidRPr="00F266F7" w14:paraId="5DDE1BB6" w14:textId="77777777" w:rsidTr="00FD5F28">
        <w:trPr>
          <w:trHeight w:val="250"/>
          <w:jc w:val="center"/>
        </w:trPr>
        <w:tc>
          <w:tcPr>
            <w:tcW w:w="5455" w:type="dxa"/>
            <w:tcBorders>
              <w:top w:val="nil"/>
              <w:left w:val="single" w:sz="4" w:space="0" w:color="auto"/>
              <w:bottom w:val="single" w:sz="4" w:space="0" w:color="auto"/>
              <w:right w:val="nil"/>
            </w:tcBorders>
            <w:shd w:val="clear" w:color="auto" w:fill="auto"/>
            <w:noWrap/>
            <w:vAlign w:val="center"/>
            <w:hideMark/>
          </w:tcPr>
          <w:p w14:paraId="74A52A86" w14:textId="77777777" w:rsidR="00DB596B" w:rsidRPr="00F266F7" w:rsidRDefault="00DB596B" w:rsidP="00401A5B">
            <w:pPr>
              <w:contextualSpacing/>
              <w:jc w:val="right"/>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Lietuva</w:t>
            </w:r>
          </w:p>
        </w:tc>
        <w:tc>
          <w:tcPr>
            <w:tcW w:w="1208" w:type="dxa"/>
            <w:tcBorders>
              <w:top w:val="nil"/>
              <w:left w:val="single" w:sz="8" w:space="0" w:color="auto"/>
              <w:bottom w:val="single" w:sz="4" w:space="0" w:color="auto"/>
              <w:right w:val="nil"/>
            </w:tcBorders>
            <w:shd w:val="clear" w:color="auto" w:fill="auto"/>
            <w:noWrap/>
            <w:vAlign w:val="center"/>
            <w:hideMark/>
          </w:tcPr>
          <w:p w14:paraId="7F5D3D07"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304</w:t>
            </w:r>
          </w:p>
        </w:tc>
        <w:tc>
          <w:tcPr>
            <w:tcW w:w="1134" w:type="dxa"/>
            <w:tcBorders>
              <w:top w:val="nil"/>
              <w:left w:val="single" w:sz="8" w:space="0" w:color="auto"/>
              <w:bottom w:val="single" w:sz="4" w:space="0" w:color="auto"/>
              <w:right w:val="nil"/>
            </w:tcBorders>
            <w:shd w:val="clear" w:color="auto" w:fill="auto"/>
            <w:noWrap/>
            <w:vAlign w:val="center"/>
            <w:hideMark/>
          </w:tcPr>
          <w:p w14:paraId="36FB3A8B"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304</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F01A9DB"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304</w:t>
            </w:r>
          </w:p>
        </w:tc>
      </w:tr>
      <w:tr w:rsidR="00DB596B" w:rsidRPr="00F266F7" w14:paraId="17A1824F" w14:textId="77777777" w:rsidTr="00FD5F28">
        <w:trPr>
          <w:trHeight w:val="250"/>
          <w:jc w:val="center"/>
        </w:trPr>
        <w:tc>
          <w:tcPr>
            <w:tcW w:w="5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9F733" w14:textId="77777777" w:rsidR="00DB596B" w:rsidRPr="00F266F7" w:rsidRDefault="00DB596B" w:rsidP="00401A5B">
            <w:pPr>
              <w:contextualSpacing/>
              <w:jc w:val="right"/>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Igaunija</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D3073"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193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88C35"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193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7C4B0"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193</w:t>
            </w:r>
          </w:p>
        </w:tc>
      </w:tr>
      <w:tr w:rsidR="00DB596B" w:rsidRPr="00F266F7" w14:paraId="6C225699" w14:textId="77777777" w:rsidTr="00FD5F28">
        <w:trPr>
          <w:trHeight w:val="263"/>
          <w:jc w:val="center"/>
        </w:trPr>
        <w:tc>
          <w:tcPr>
            <w:tcW w:w="5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0D988" w14:textId="77777777" w:rsidR="00DB596B" w:rsidRPr="00F266F7" w:rsidRDefault="00DB596B" w:rsidP="00401A5B">
            <w:pPr>
              <w:contextualSpacing/>
              <w:jc w:val="right"/>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Polija</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5FF29"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193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AB00C"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08245" w14:textId="77777777" w:rsidR="00DB596B" w:rsidRPr="00F266F7" w:rsidRDefault="00DB596B" w:rsidP="00401A5B">
            <w:pPr>
              <w:contextualSpacing/>
              <w:jc w:val="center"/>
              <w:rPr>
                <w:rFonts w:ascii="Times New Roman" w:eastAsia="Times New Roman" w:hAnsi="Times New Roman" w:cs="Times New Roman"/>
                <w:color w:val="000000"/>
                <w:sz w:val="20"/>
                <w:szCs w:val="20"/>
              </w:rPr>
            </w:pPr>
            <w:r w:rsidRPr="00F266F7">
              <w:rPr>
                <w:rFonts w:ascii="Times New Roman" w:eastAsia="Times New Roman" w:hAnsi="Times New Roman" w:cs="Times New Roman"/>
                <w:color w:val="000000"/>
                <w:sz w:val="20"/>
                <w:szCs w:val="20"/>
              </w:rPr>
              <w:t>191</w:t>
            </w:r>
          </w:p>
        </w:tc>
      </w:tr>
    </w:tbl>
    <w:p w14:paraId="7C611AFF" w14:textId="4D14F62E" w:rsidR="00DB596B" w:rsidRPr="004A75B6" w:rsidRDefault="00DB596B" w:rsidP="00F266F7">
      <w:pPr>
        <w:tabs>
          <w:tab w:val="left" w:pos="709"/>
        </w:tabs>
        <w:jc w:val="both"/>
        <w:rPr>
          <w:rFonts w:ascii="Times New Roman" w:eastAsia="Times New Roman" w:hAnsi="Times New Roman" w:cs="Times New Roman"/>
          <w:iCs/>
          <w:sz w:val="20"/>
          <w:szCs w:val="20"/>
          <w:lang w:eastAsia="en-US"/>
        </w:rPr>
      </w:pPr>
      <w:r w:rsidRPr="004A75B6">
        <w:rPr>
          <w:rFonts w:ascii="Times New Roman" w:eastAsia="Times New Roman" w:hAnsi="Times New Roman" w:cs="Times New Roman"/>
          <w:iCs/>
          <w:sz w:val="20"/>
          <w:szCs w:val="20"/>
          <w:lang w:eastAsia="en-US"/>
        </w:rPr>
        <w:t>*</w:t>
      </w:r>
      <w:r w:rsidRPr="004A75B6">
        <w:rPr>
          <w:rFonts w:ascii="Times New Roman" w:eastAsia="Times New Roman" w:hAnsi="Times New Roman" w:cs="Times New Roman"/>
          <w:sz w:val="20"/>
          <w:szCs w:val="24"/>
          <w:lang w:eastAsia="en-US"/>
        </w:rPr>
        <w:t xml:space="preserve"> Dīzeļdegvielai, kas tiek marķēta saskaņā ar likuma “Par akcīzes nodokli” 28.pantu un kuru izman</w:t>
      </w:r>
      <w:r w:rsidR="00F266F7" w:rsidRPr="004A75B6">
        <w:rPr>
          <w:rFonts w:ascii="Times New Roman" w:eastAsia="Times New Roman" w:hAnsi="Times New Roman" w:cs="Times New Roman"/>
          <w:sz w:val="20"/>
          <w:szCs w:val="24"/>
          <w:lang w:eastAsia="en-US"/>
        </w:rPr>
        <w:t>to atbilstoši minētā likuma 18.</w:t>
      </w:r>
      <w:r w:rsidRPr="004A75B6">
        <w:rPr>
          <w:rFonts w:ascii="Times New Roman" w:eastAsia="Times New Roman" w:hAnsi="Times New Roman" w:cs="Times New Roman"/>
          <w:sz w:val="20"/>
          <w:szCs w:val="24"/>
          <w:lang w:eastAsia="en-US"/>
        </w:rPr>
        <w:t>panta piektajā daļā noteiktajam veidam, mērķiem u</w:t>
      </w:r>
      <w:r w:rsidR="00F266F7" w:rsidRPr="004A75B6">
        <w:rPr>
          <w:rFonts w:ascii="Times New Roman" w:eastAsia="Times New Roman" w:hAnsi="Times New Roman" w:cs="Times New Roman"/>
          <w:sz w:val="20"/>
          <w:szCs w:val="24"/>
          <w:lang w:eastAsia="en-US"/>
        </w:rPr>
        <w:t>n nosacījumiem, ar 2018.gada 1.</w:t>
      </w:r>
      <w:r w:rsidRPr="004A75B6">
        <w:rPr>
          <w:rFonts w:ascii="Times New Roman" w:eastAsia="Times New Roman" w:hAnsi="Times New Roman" w:cs="Times New Roman"/>
          <w:sz w:val="20"/>
          <w:szCs w:val="24"/>
          <w:lang w:eastAsia="en-US"/>
        </w:rPr>
        <w:t>jūliju akcīzes nodoklis tiek piemērots 15% apmērā no akcīzes nodokļa standartlikmes dīzeļdegvielai</w:t>
      </w:r>
      <w:r w:rsidR="00F266F7" w:rsidRPr="004A75B6">
        <w:rPr>
          <w:rFonts w:ascii="Times New Roman" w:eastAsia="Times New Roman" w:hAnsi="Times New Roman" w:cs="Times New Roman"/>
          <w:sz w:val="20"/>
          <w:szCs w:val="24"/>
          <w:lang w:eastAsia="en-US"/>
        </w:rPr>
        <w:t>.</w:t>
      </w:r>
    </w:p>
    <w:p w14:paraId="3455ACBD" w14:textId="77777777" w:rsidR="00DB596B" w:rsidRPr="004A75B6" w:rsidRDefault="00DB596B" w:rsidP="00F266F7">
      <w:pPr>
        <w:tabs>
          <w:tab w:val="left" w:pos="709"/>
        </w:tabs>
        <w:jc w:val="both"/>
        <w:rPr>
          <w:rFonts w:ascii="Times New Roman" w:eastAsia="Times New Roman" w:hAnsi="Times New Roman" w:cs="Times New Roman"/>
          <w:iCs/>
          <w:sz w:val="20"/>
          <w:szCs w:val="20"/>
          <w:lang w:eastAsia="en-US"/>
        </w:rPr>
      </w:pPr>
      <w:r w:rsidRPr="004A75B6">
        <w:rPr>
          <w:rFonts w:ascii="Times New Roman" w:eastAsia="Times New Roman" w:hAnsi="Times New Roman" w:cs="Times New Roman"/>
          <w:iCs/>
          <w:sz w:val="20"/>
          <w:szCs w:val="20"/>
          <w:lang w:eastAsia="en-US"/>
        </w:rPr>
        <w:t>**Likme samazināta ar 01.05.2020.</w:t>
      </w:r>
    </w:p>
    <w:p w14:paraId="55D08B20" w14:textId="77777777" w:rsidR="00DB596B" w:rsidRPr="00DB596B" w:rsidRDefault="00DB596B" w:rsidP="00401A5B">
      <w:pPr>
        <w:tabs>
          <w:tab w:val="left" w:pos="709"/>
        </w:tabs>
        <w:jc w:val="both"/>
        <w:rPr>
          <w:rFonts w:ascii="Times New Roman" w:eastAsia="Times New Roman" w:hAnsi="Times New Roman" w:cs="Times New Roman"/>
          <w:iCs/>
          <w:sz w:val="24"/>
          <w:szCs w:val="20"/>
          <w:highlight w:val="yellow"/>
          <w:lang w:eastAsia="en-US"/>
        </w:rPr>
      </w:pPr>
    </w:p>
    <w:p w14:paraId="3C763ADE" w14:textId="77777777" w:rsidR="00DB596B" w:rsidRPr="00D56D87" w:rsidRDefault="00DB596B" w:rsidP="00401A5B">
      <w:pPr>
        <w:tabs>
          <w:tab w:val="left" w:pos="709"/>
        </w:tabs>
        <w:jc w:val="both"/>
        <w:rPr>
          <w:rFonts w:ascii="Times New Roman" w:eastAsia="Times New Roman" w:hAnsi="Times New Roman" w:cs="Times New Roman"/>
          <w:iCs/>
          <w:sz w:val="28"/>
          <w:szCs w:val="20"/>
          <w:lang w:eastAsia="en-US"/>
        </w:rPr>
      </w:pPr>
      <w:r w:rsidRPr="00D56D87">
        <w:rPr>
          <w:rFonts w:ascii="Times New Roman" w:eastAsia="Times New Roman" w:hAnsi="Times New Roman" w:cs="Times New Roman"/>
          <w:iCs/>
          <w:sz w:val="24"/>
          <w:szCs w:val="20"/>
          <w:lang w:eastAsia="en-US"/>
        </w:rPr>
        <w:tab/>
      </w:r>
      <w:r w:rsidRPr="00D56D87">
        <w:rPr>
          <w:rFonts w:ascii="Times New Roman" w:eastAsia="Times New Roman" w:hAnsi="Times New Roman" w:cs="Times New Roman"/>
          <w:iCs/>
          <w:sz w:val="28"/>
          <w:szCs w:val="20"/>
          <w:lang w:eastAsia="en-US"/>
        </w:rPr>
        <w:t>3.</w:t>
      </w:r>
      <w:r w:rsidRPr="005D5F3A">
        <w:rPr>
          <w:rFonts w:ascii="Times New Roman" w:eastAsia="Times New Roman" w:hAnsi="Times New Roman" w:cs="Times New Roman"/>
          <w:iCs/>
          <w:sz w:val="28"/>
          <w:szCs w:val="20"/>
          <w:lang w:eastAsia="en-US"/>
        </w:rPr>
        <w:t>7</w:t>
      </w:r>
      <w:r w:rsidRPr="00D56D87">
        <w:rPr>
          <w:rFonts w:ascii="Times New Roman" w:eastAsia="Times New Roman" w:hAnsi="Times New Roman" w:cs="Times New Roman"/>
          <w:iCs/>
          <w:sz w:val="28"/>
          <w:szCs w:val="20"/>
          <w:lang w:eastAsia="en-US"/>
        </w:rPr>
        <w:t>.tabulā redzams, ka nodokļa likme dīzeļdegvielai kopš 2020.gada 1.maija Latvijā ir visaugstākā starp Baltijas valstīm un Poliju – nodokļu līmeņa (akcīzes nodoklis un tam piemērojamā pievienotās vērtības nodokļa daļa) atšķirība ar Lietuvu un Igauniju litram dīzeļdegvielas veido 0,05 </w:t>
      </w:r>
      <w:r w:rsidRPr="00D56D87">
        <w:rPr>
          <w:rFonts w:ascii="Times New Roman" w:eastAsia="Times New Roman" w:hAnsi="Times New Roman" w:cs="Times New Roman"/>
          <w:i/>
          <w:iCs/>
          <w:sz w:val="28"/>
          <w:szCs w:val="20"/>
          <w:lang w:eastAsia="en-US"/>
        </w:rPr>
        <w:t>euro</w:t>
      </w:r>
      <w:r w:rsidRPr="00D56D87">
        <w:rPr>
          <w:rFonts w:ascii="Times New Roman" w:eastAsia="Times New Roman" w:hAnsi="Times New Roman" w:cs="Times New Roman"/>
          <w:iCs/>
          <w:sz w:val="28"/>
          <w:szCs w:val="20"/>
          <w:lang w:eastAsia="en-US"/>
        </w:rPr>
        <w:t>, savukārt ar Poliju tā ir vēl lielāka – 0,09 </w:t>
      </w:r>
      <w:r w:rsidRPr="00D56D87">
        <w:rPr>
          <w:rFonts w:ascii="Times New Roman" w:eastAsia="Times New Roman" w:hAnsi="Times New Roman" w:cs="Times New Roman"/>
          <w:i/>
          <w:iCs/>
          <w:sz w:val="28"/>
          <w:szCs w:val="20"/>
          <w:lang w:eastAsia="en-US"/>
        </w:rPr>
        <w:t>euro</w:t>
      </w:r>
      <w:r w:rsidRPr="00D56D87">
        <w:rPr>
          <w:rFonts w:ascii="Times New Roman" w:eastAsia="Times New Roman" w:hAnsi="Times New Roman" w:cs="Times New Roman"/>
          <w:iCs/>
          <w:sz w:val="28"/>
          <w:szCs w:val="20"/>
          <w:lang w:eastAsia="en-US"/>
        </w:rPr>
        <w:t>. Tas negatīvi ietekmē Latvijas konkurētspēju, jo</w:t>
      </w:r>
      <w:r w:rsidRPr="00D56D87">
        <w:rPr>
          <w:rFonts w:ascii="Times New Roman" w:eastAsia="Times New Roman" w:hAnsi="Times New Roman" w:cs="Times New Roman"/>
          <w:sz w:val="28"/>
          <w:szCs w:val="20"/>
          <w:lang w:eastAsia="en-US"/>
        </w:rPr>
        <w:t xml:space="preserve"> komercpārvadājumos un uzņēmējdarbībā pamatā izmanto tieši dīzeļdegvielu. </w:t>
      </w:r>
      <w:r w:rsidRPr="00D56D87">
        <w:rPr>
          <w:rFonts w:ascii="Times New Roman" w:eastAsia="Times New Roman" w:hAnsi="Times New Roman" w:cs="Times New Roman"/>
          <w:iCs/>
          <w:sz w:val="28"/>
          <w:szCs w:val="20"/>
          <w:lang w:eastAsia="en-US"/>
        </w:rPr>
        <w:t>Nodokļu līmenis svinu nesaturošam benzīnam Latvijā ir par 0,06 </w:t>
      </w:r>
      <w:r w:rsidRPr="00D56D87">
        <w:rPr>
          <w:rFonts w:ascii="Times New Roman" w:eastAsia="Times New Roman" w:hAnsi="Times New Roman" w:cs="Times New Roman"/>
          <w:i/>
          <w:iCs/>
          <w:sz w:val="28"/>
          <w:szCs w:val="20"/>
          <w:lang w:eastAsia="en-US"/>
        </w:rPr>
        <w:t>euro</w:t>
      </w:r>
      <w:r w:rsidRPr="00D56D87">
        <w:rPr>
          <w:rFonts w:ascii="Times New Roman" w:eastAsia="Times New Roman" w:hAnsi="Times New Roman" w:cs="Times New Roman"/>
          <w:iCs/>
          <w:sz w:val="28"/>
          <w:szCs w:val="20"/>
          <w:lang w:eastAsia="en-US"/>
        </w:rPr>
        <w:t xml:space="preserve"> zemāks nekā Igaunijā, bet par 0,05 </w:t>
      </w:r>
      <w:r w:rsidRPr="00D56D87">
        <w:rPr>
          <w:rFonts w:ascii="Times New Roman" w:eastAsia="Times New Roman" w:hAnsi="Times New Roman" w:cs="Times New Roman"/>
          <w:i/>
          <w:iCs/>
          <w:sz w:val="28"/>
          <w:szCs w:val="20"/>
          <w:lang w:eastAsia="en-US"/>
        </w:rPr>
        <w:t>euro</w:t>
      </w:r>
      <w:r w:rsidRPr="00D56D87">
        <w:rPr>
          <w:rFonts w:ascii="Times New Roman" w:eastAsia="Times New Roman" w:hAnsi="Times New Roman" w:cs="Times New Roman"/>
          <w:iCs/>
          <w:sz w:val="28"/>
          <w:szCs w:val="20"/>
          <w:lang w:eastAsia="en-US"/>
        </w:rPr>
        <w:t xml:space="preserve"> augstāks nekā Lietuvā. </w:t>
      </w:r>
    </w:p>
    <w:p w14:paraId="1EBD343C" w14:textId="4F6A27A1" w:rsidR="00DB596B" w:rsidRPr="00D56D87" w:rsidRDefault="00DB596B" w:rsidP="00401A5B">
      <w:pPr>
        <w:tabs>
          <w:tab w:val="left" w:pos="709"/>
        </w:tabs>
        <w:jc w:val="both"/>
        <w:rPr>
          <w:rFonts w:ascii="Times New Roman" w:eastAsia="Times New Roman" w:hAnsi="Times New Roman" w:cs="Times New Roman"/>
          <w:sz w:val="28"/>
          <w:szCs w:val="28"/>
        </w:rPr>
      </w:pPr>
      <w:r w:rsidRPr="00D56D87">
        <w:rPr>
          <w:rFonts w:ascii="Times New Roman" w:eastAsia="Times New Roman" w:hAnsi="Times New Roman" w:cs="Times New Roman"/>
          <w:sz w:val="28"/>
          <w:szCs w:val="26"/>
          <w:lang w:eastAsia="en-US"/>
        </w:rPr>
        <w:tab/>
        <w:t>Visizteiktākais dīzeļdegvielas patēriņa kritums sākās 2020.gada martā, ko ietekmēja būtiskā autotransporta plūsmas intensitātes samazināšanās Covid-19 ietekmē</w:t>
      </w:r>
      <w:r w:rsidRPr="00D56D87">
        <w:rPr>
          <w:rFonts w:ascii="Times New Roman" w:eastAsia="Times New Roman" w:hAnsi="Times New Roman" w:cs="Times New Roman"/>
          <w:sz w:val="28"/>
          <w:szCs w:val="24"/>
          <w:lang w:eastAsia="en-US"/>
        </w:rPr>
        <w:t xml:space="preserve">. Covid-19 izraisītās krīzes ietekmē </w:t>
      </w:r>
      <w:r w:rsidRPr="00D56D87">
        <w:rPr>
          <w:rFonts w:ascii="Times New Roman" w:eastAsia="Times New Roman" w:hAnsi="Times New Roman" w:cs="Times New Roman"/>
          <w:iCs/>
          <w:sz w:val="28"/>
          <w:szCs w:val="24"/>
          <w:lang w:eastAsia="en-US"/>
        </w:rPr>
        <w:t xml:space="preserve">patēriņš samazinājās vairākās tautsaimniecības nozarēs, kā arī privātajā sektorā. </w:t>
      </w:r>
      <w:r w:rsidRPr="00D56D87">
        <w:rPr>
          <w:rFonts w:ascii="Times New Roman" w:eastAsia="Times New Roman" w:hAnsi="Times New Roman" w:cs="Times New Roman"/>
          <w:sz w:val="28"/>
          <w:szCs w:val="24"/>
          <w:lang w:eastAsia="en-US"/>
        </w:rPr>
        <w:t>Piemēram, saskaņā ar VAS “Latvijas Valsts ceļi” sniegto informāciju</w:t>
      </w:r>
      <w:r w:rsidRPr="00D56D87">
        <w:rPr>
          <w:rFonts w:ascii="Times New Roman" w:eastAsia="Times New Roman" w:hAnsi="Times New Roman" w:cs="Times New Roman"/>
          <w:sz w:val="28"/>
          <w:szCs w:val="26"/>
          <w:lang w:eastAsia="en-US"/>
        </w:rPr>
        <w:t xml:space="preserve"> no 2020.gada 15.marta līdz 14.aprīlim vidējā diennakts satiksmes intensitāte uz valsts galvenajiem autoceļiem bija vidēji par 26% mazāka nekā tādā pašā laika periodā pērn. Vieglā transporta intensitātes samazinājums šajā periodā ir bijis </w:t>
      </w:r>
      <w:r w:rsidR="00D56D87">
        <w:rPr>
          <w:rFonts w:ascii="Times New Roman" w:eastAsia="Times New Roman" w:hAnsi="Times New Roman" w:cs="Times New Roman"/>
          <w:sz w:val="28"/>
          <w:szCs w:val="26"/>
          <w:lang w:eastAsia="en-US"/>
        </w:rPr>
        <w:t>29%, bet kravas transporta – 14%</w:t>
      </w:r>
      <w:r w:rsidRPr="00D56D87">
        <w:rPr>
          <w:rFonts w:ascii="Times New Roman" w:eastAsia="Times New Roman" w:hAnsi="Times New Roman" w:cs="Times New Roman"/>
          <w:sz w:val="28"/>
          <w:szCs w:val="26"/>
          <w:lang w:eastAsia="en-US"/>
        </w:rPr>
        <w:t xml:space="preserve">. </w:t>
      </w:r>
      <w:r w:rsidRPr="00D56D87">
        <w:rPr>
          <w:rFonts w:ascii="Times New Roman" w:eastAsia="Times New Roman" w:hAnsi="Times New Roman" w:cs="Times New Roman"/>
          <w:sz w:val="28"/>
          <w:szCs w:val="28"/>
        </w:rPr>
        <w:t>Jāatzīmē, ka tika samazināts arī pasažieru pārvadājumu reisu skaits.</w:t>
      </w:r>
    </w:p>
    <w:p w14:paraId="5B89B69D" w14:textId="777DD492" w:rsidR="00DB596B" w:rsidRPr="00D56D87" w:rsidRDefault="00DB596B" w:rsidP="00401A5B">
      <w:pPr>
        <w:tabs>
          <w:tab w:val="left" w:pos="709"/>
        </w:tabs>
        <w:jc w:val="both"/>
        <w:rPr>
          <w:rFonts w:ascii="Times New Roman" w:eastAsia="Times New Roman" w:hAnsi="Times New Roman" w:cs="Times New Roman"/>
          <w:sz w:val="28"/>
          <w:szCs w:val="28"/>
        </w:rPr>
      </w:pPr>
      <w:r w:rsidRPr="00D56D87">
        <w:rPr>
          <w:rFonts w:ascii="Times New Roman" w:eastAsia="Times New Roman" w:hAnsi="Times New Roman" w:cs="Times New Roman"/>
          <w:sz w:val="28"/>
          <w:szCs w:val="20"/>
          <w:lang w:eastAsia="en-US"/>
        </w:rPr>
        <w:tab/>
        <w:t xml:space="preserve">Degvielas patēriņa kritumu atspoguļo arī transportlīdzekļu skaita pieauguma tempa palēnināšanās. Saskaņā ar Ceļu satiksmes drošības direkcijas informāciju 2020.gada 1.jūlijā, salīdzinot ar 2019.gada 1.jūliju, kopējais reģistrēto transportlīdzekļu skaits palielinājies par 0,5%, </w:t>
      </w:r>
      <w:r w:rsidRPr="00D56D87">
        <w:rPr>
          <w:rFonts w:ascii="Times New Roman" w:eastAsia="Times New Roman" w:hAnsi="Times New Roman" w:cs="Times New Roman"/>
          <w:sz w:val="28"/>
          <w:szCs w:val="24"/>
          <w:lang w:eastAsia="en-US"/>
        </w:rPr>
        <w:t xml:space="preserve">t.sk. transportlīdzekļu, kas patērē dīzeļdegvielu, īpatsvars kopējā transportlīdzekļu skaitā ir pieaudzis </w:t>
      </w:r>
      <w:r w:rsidR="001D00AC">
        <w:rPr>
          <w:rFonts w:ascii="Times New Roman" w:eastAsia="Times New Roman" w:hAnsi="Times New Roman" w:cs="Times New Roman"/>
          <w:sz w:val="28"/>
          <w:szCs w:val="24"/>
          <w:lang w:eastAsia="en-US"/>
        </w:rPr>
        <w:t xml:space="preserve">no </w:t>
      </w:r>
      <w:r w:rsidRPr="00D56D87">
        <w:rPr>
          <w:rFonts w:ascii="Times New Roman" w:eastAsia="Times New Roman" w:hAnsi="Times New Roman" w:cs="Times New Roman"/>
          <w:sz w:val="28"/>
          <w:szCs w:val="24"/>
          <w:lang w:eastAsia="en-US"/>
        </w:rPr>
        <w:t>64,3% līdz 66,2% un to skaits bija 549 277, benzīnu patērējošo transportlīdzekļu īpatsvars ir samazinājies no 29,3% līdz 27,8% un to skaits ir 231 102. Sašķidrinātās naftas gāzes patērējošo transportlīdzekļu īpatsvars samazinājies par 0,4 procentpunktiem.</w:t>
      </w:r>
    </w:p>
    <w:p w14:paraId="4D2F968D" w14:textId="373F541B" w:rsidR="00DB596B" w:rsidRPr="00D56D87" w:rsidRDefault="00DB596B" w:rsidP="00401A5B">
      <w:pPr>
        <w:ind w:firstLine="720"/>
        <w:jc w:val="both"/>
        <w:rPr>
          <w:rFonts w:ascii="Times New Roman" w:eastAsia="Times New Roman" w:hAnsi="Times New Roman" w:cs="Times New Roman"/>
          <w:sz w:val="28"/>
          <w:szCs w:val="20"/>
          <w:highlight w:val="yellow"/>
          <w:lang w:eastAsia="en-US"/>
        </w:rPr>
      </w:pPr>
      <w:r w:rsidRPr="00D56D87">
        <w:rPr>
          <w:rFonts w:ascii="Times New Roman" w:eastAsia="Times New Roman" w:hAnsi="Times New Roman" w:cs="Times New Roman"/>
          <w:sz w:val="28"/>
          <w:szCs w:val="26"/>
          <w:lang w:eastAsia="en-US"/>
        </w:rPr>
        <w:t>Akcīzes nodokļa likmju paaugstināšana degvielai un minimālā biodegvielas piejaukuma daudzuma noteikšana 2020.gadā nebija vienīgās normatīv</w:t>
      </w:r>
      <w:r w:rsidR="001D00AC">
        <w:rPr>
          <w:rFonts w:ascii="Times New Roman" w:eastAsia="Times New Roman" w:hAnsi="Times New Roman" w:cs="Times New Roman"/>
          <w:sz w:val="28"/>
          <w:szCs w:val="26"/>
          <w:lang w:eastAsia="en-US"/>
        </w:rPr>
        <w:t>o aktu izmaiņas, kas attiecināma</w:t>
      </w:r>
      <w:r w:rsidRPr="00D56D87">
        <w:rPr>
          <w:rFonts w:ascii="Times New Roman" w:eastAsia="Times New Roman" w:hAnsi="Times New Roman" w:cs="Times New Roman"/>
          <w:sz w:val="28"/>
          <w:szCs w:val="26"/>
          <w:lang w:eastAsia="en-US"/>
        </w:rPr>
        <w:t xml:space="preserve">s </w:t>
      </w:r>
      <w:r w:rsidR="001D00AC">
        <w:rPr>
          <w:rFonts w:ascii="Times New Roman" w:eastAsia="Times New Roman" w:hAnsi="Times New Roman" w:cs="Times New Roman"/>
          <w:sz w:val="28"/>
          <w:szCs w:val="26"/>
          <w:lang w:eastAsia="en-US"/>
        </w:rPr>
        <w:t xml:space="preserve">uz </w:t>
      </w:r>
      <w:r w:rsidRPr="00D56D87">
        <w:rPr>
          <w:rFonts w:ascii="Times New Roman" w:eastAsia="Times New Roman" w:hAnsi="Times New Roman" w:cs="Times New Roman"/>
          <w:sz w:val="28"/>
          <w:szCs w:val="26"/>
          <w:lang w:eastAsia="en-US"/>
        </w:rPr>
        <w:t xml:space="preserve">naftas produktiem. </w:t>
      </w:r>
      <w:r w:rsidRPr="00D56D87">
        <w:rPr>
          <w:rFonts w:ascii="Times New Roman" w:eastAsia="Times New Roman" w:hAnsi="Times New Roman" w:cs="Times New Roman"/>
          <w:sz w:val="28"/>
          <w:szCs w:val="20"/>
          <w:lang w:eastAsia="en-US"/>
        </w:rPr>
        <w:t>Saskaņā ar 2020.gada 6.februāri pieņemtajiem grozījumiem likumā “Par akcīzes nodokli” ar 2020.gada 1.maiju nodrošināta vienota pieeja dīzeļdegvielas iegādē attiecībā uz zvejniekiem. Piekrastes zvejniekiem saglabāta iepriekš normatīvajos aktos noteiktā kārtība – iespēja ostu teritorijās iegādāties no akcīzes nodokļa atbrīvotu dīzeļdegvielu izmantošanai zvejas kuģos piekrastes ūdeņos. Savukārt tiem piekrastes un iekšējo ūdeņu zvejniekiem, kuri nevar rast iespēju ostu teritorijās iegādāties no akcīzes nodokļa atbrīvotu dīzeļdegvielu izmantošanai zvejas kuģos, paredzēta samazinātas akcīzes nodokļa likmes piemērošana marķētai dīzeļdegvielai izmantošanai zvejas kuģos piekrastes un iekšējos ūdeņos, vienlaikus ieviešot akcīzes nodokļa atmaksu piekrastes ūdeņu zvejniekiem par to zvejas kuģos izmantoto marķēto dīzeļdegvielu ar samazinātu akcīzes nodokļa likmi.</w:t>
      </w:r>
    </w:p>
    <w:p w14:paraId="35AF802E" w14:textId="77777777" w:rsidR="00DB596B" w:rsidRPr="00D56D87" w:rsidRDefault="00DB596B" w:rsidP="00401A5B">
      <w:pPr>
        <w:ind w:firstLine="720"/>
        <w:jc w:val="both"/>
        <w:rPr>
          <w:rFonts w:ascii="Times New Roman" w:eastAsia="Times New Roman" w:hAnsi="Times New Roman" w:cs="Times New Roman"/>
          <w:sz w:val="28"/>
          <w:szCs w:val="20"/>
          <w:lang w:eastAsia="en-US"/>
        </w:rPr>
      </w:pPr>
      <w:r w:rsidRPr="00D56D87">
        <w:rPr>
          <w:rFonts w:ascii="Times New Roman" w:eastAsia="Times New Roman" w:hAnsi="Times New Roman" w:cs="Times New Roman"/>
          <w:sz w:val="28"/>
          <w:szCs w:val="20"/>
          <w:lang w:eastAsia="en-US"/>
        </w:rPr>
        <w:t xml:space="preserve">Nodokļu ieņēmumus ietekmēja arī piešķirtie nodokļu samaksas termiņa pagarinājumi līdz trim gadiem saskaņā ar likumā “Par valsts apdraudējuma un tā seku novēršanas un pārvarēšanas pasākumiem sakarā ar Covid-19 izplatību”, ja termiņa kavējums radies Covid-19 izplatības dēļ. Saskaņā ar Valsts ieņēmumu dienesta sniegto informāciju 10.jūnijā par naftas produktiem Covid-19 sakarā piešķirto termiņu pagarinājumu summa bija 1,9 milj. </w:t>
      </w:r>
      <w:r w:rsidRPr="00D56D87">
        <w:rPr>
          <w:rFonts w:ascii="Times New Roman" w:eastAsia="Times New Roman" w:hAnsi="Times New Roman" w:cs="Times New Roman"/>
          <w:bCs/>
          <w:i/>
          <w:sz w:val="28"/>
          <w:szCs w:val="24"/>
          <w:lang w:eastAsia="en-US"/>
        </w:rPr>
        <w:t>euro</w:t>
      </w:r>
      <w:r w:rsidRPr="00D56D87">
        <w:rPr>
          <w:rFonts w:ascii="Times New Roman" w:eastAsia="Times New Roman" w:hAnsi="Times New Roman" w:cs="Times New Roman"/>
          <w:sz w:val="28"/>
          <w:szCs w:val="20"/>
          <w:lang w:eastAsia="en-US"/>
        </w:rPr>
        <w:t xml:space="preserve">, bet vēl nesamaksātā summa veidoja 1,6 milj. </w:t>
      </w:r>
      <w:r w:rsidRPr="00D56D87">
        <w:rPr>
          <w:rFonts w:ascii="Times New Roman" w:eastAsia="Times New Roman" w:hAnsi="Times New Roman" w:cs="Times New Roman"/>
          <w:bCs/>
          <w:i/>
          <w:sz w:val="28"/>
          <w:szCs w:val="24"/>
          <w:lang w:eastAsia="en-US"/>
        </w:rPr>
        <w:t>euro</w:t>
      </w:r>
      <w:r w:rsidRPr="00D56D87">
        <w:rPr>
          <w:rFonts w:ascii="Times New Roman" w:eastAsia="Times New Roman" w:hAnsi="Times New Roman" w:cs="Times New Roman"/>
          <w:sz w:val="28"/>
          <w:szCs w:val="20"/>
          <w:lang w:eastAsia="en-US"/>
        </w:rPr>
        <w:t>.</w:t>
      </w:r>
    </w:p>
    <w:p w14:paraId="180CB60D" w14:textId="5A13BE76" w:rsidR="00DB596B" w:rsidRPr="00D56D87" w:rsidRDefault="00DB596B" w:rsidP="00D56D87">
      <w:pPr>
        <w:ind w:firstLine="720"/>
        <w:jc w:val="both"/>
        <w:rPr>
          <w:rFonts w:ascii="Times New Roman" w:eastAsia="Times New Roman" w:hAnsi="Times New Roman" w:cs="Times New Roman"/>
          <w:color w:val="FF0000"/>
          <w:sz w:val="28"/>
          <w:szCs w:val="20"/>
          <w:lang w:eastAsia="en-US"/>
        </w:rPr>
      </w:pPr>
      <w:r w:rsidRPr="00D56D87">
        <w:rPr>
          <w:rFonts w:ascii="Times New Roman" w:eastAsia="Times New Roman" w:hAnsi="Times New Roman" w:cs="Times New Roman"/>
          <w:sz w:val="28"/>
          <w:szCs w:val="20"/>
          <w:lang w:eastAsia="en-US"/>
        </w:rPr>
        <w:t>Ņemot vērā iepriekš uzskaitītos faktorus, akcīzes nodokļa naftas produktiem ieņēmumi 20</w:t>
      </w:r>
      <w:r w:rsidRPr="005D5F3A">
        <w:rPr>
          <w:rFonts w:ascii="Times New Roman" w:eastAsia="Times New Roman" w:hAnsi="Times New Roman" w:cs="Times New Roman"/>
          <w:sz w:val="28"/>
          <w:szCs w:val="20"/>
          <w:lang w:eastAsia="en-US"/>
        </w:rPr>
        <w:t>20</w:t>
      </w:r>
      <w:r w:rsidRPr="00D56D87">
        <w:rPr>
          <w:rFonts w:ascii="Times New Roman" w:eastAsia="Times New Roman" w:hAnsi="Times New Roman" w:cs="Times New Roman"/>
          <w:sz w:val="28"/>
          <w:szCs w:val="20"/>
          <w:lang w:eastAsia="en-US"/>
        </w:rPr>
        <w:t xml:space="preserve">.gadam prognozēti </w:t>
      </w:r>
      <w:r w:rsidRPr="005D5F3A">
        <w:rPr>
          <w:rFonts w:ascii="Times New Roman" w:eastAsia="Times New Roman" w:hAnsi="Times New Roman" w:cs="Times New Roman"/>
          <w:sz w:val="28"/>
          <w:szCs w:val="20"/>
          <w:lang w:eastAsia="en-US"/>
        </w:rPr>
        <w:t>544</w:t>
      </w:r>
      <w:r w:rsidRPr="00D56D87">
        <w:rPr>
          <w:rFonts w:ascii="Times New Roman" w:eastAsia="Times New Roman" w:hAnsi="Times New Roman" w:cs="Times New Roman"/>
          <w:sz w:val="28"/>
          <w:szCs w:val="20"/>
          <w:lang w:eastAsia="en-US"/>
        </w:rPr>
        <w:t xml:space="preserve">,1 milj. </w:t>
      </w:r>
      <w:r w:rsidRPr="00D56D87">
        <w:rPr>
          <w:rFonts w:ascii="Times New Roman" w:eastAsia="Times New Roman" w:hAnsi="Times New Roman" w:cs="Times New Roman"/>
          <w:bCs/>
          <w:i/>
          <w:sz w:val="28"/>
          <w:szCs w:val="24"/>
          <w:lang w:eastAsia="en-US"/>
        </w:rPr>
        <w:t>euro</w:t>
      </w:r>
      <w:r w:rsidRPr="00D56D87">
        <w:rPr>
          <w:rFonts w:ascii="Times New Roman" w:eastAsia="Times New Roman" w:hAnsi="Times New Roman" w:cs="Times New Roman"/>
          <w:sz w:val="28"/>
          <w:szCs w:val="20"/>
          <w:lang w:eastAsia="en-US"/>
        </w:rPr>
        <w:t xml:space="preserve"> apmērā, kas ir par 88,5 milj. </w:t>
      </w:r>
      <w:r w:rsidRPr="00D56D87">
        <w:rPr>
          <w:rFonts w:ascii="Times New Roman" w:eastAsia="Times New Roman" w:hAnsi="Times New Roman" w:cs="Times New Roman"/>
          <w:bCs/>
          <w:i/>
          <w:sz w:val="28"/>
          <w:szCs w:val="24"/>
          <w:lang w:eastAsia="en-US"/>
        </w:rPr>
        <w:t>euro</w:t>
      </w:r>
      <w:r w:rsidRPr="00D56D87">
        <w:rPr>
          <w:rFonts w:ascii="Times New Roman" w:eastAsia="Times New Roman" w:hAnsi="Times New Roman" w:cs="Times New Roman"/>
          <w:sz w:val="28"/>
          <w:szCs w:val="20"/>
          <w:lang w:eastAsia="en-US"/>
        </w:rPr>
        <w:t xml:space="preserve"> jeb par 14,0% mazāk nekā plānots. </w:t>
      </w:r>
    </w:p>
    <w:p w14:paraId="3AB0DC2D" w14:textId="77777777" w:rsidR="00DB596B" w:rsidRPr="00D56D87" w:rsidRDefault="00DB596B" w:rsidP="00401A5B">
      <w:pPr>
        <w:ind w:firstLine="720"/>
        <w:jc w:val="both"/>
        <w:rPr>
          <w:rFonts w:ascii="Times New Roman" w:eastAsia="Times New Roman" w:hAnsi="Times New Roman" w:cs="Times New Roman"/>
          <w:sz w:val="28"/>
          <w:szCs w:val="20"/>
          <w:lang w:eastAsia="en-US"/>
        </w:rPr>
      </w:pPr>
      <w:r w:rsidRPr="00D56D87">
        <w:rPr>
          <w:rFonts w:ascii="Times New Roman" w:eastAsia="Times New Roman" w:hAnsi="Times New Roman" w:cs="Times New Roman"/>
          <w:sz w:val="28"/>
          <w:szCs w:val="20"/>
          <w:lang w:eastAsia="en-US"/>
        </w:rPr>
        <w:t xml:space="preserve">2020.gada sešos mēnešos akcīzes nodokļa </w:t>
      </w:r>
      <w:r w:rsidRPr="00252700">
        <w:rPr>
          <w:rFonts w:ascii="Times New Roman" w:eastAsia="Times New Roman" w:hAnsi="Times New Roman" w:cs="Times New Roman"/>
          <w:b/>
          <w:sz w:val="28"/>
          <w:szCs w:val="20"/>
          <w:lang w:eastAsia="en-US"/>
        </w:rPr>
        <w:t>alkoholiskajiem dzērieniem</w:t>
      </w:r>
      <w:r w:rsidRPr="00D56D87">
        <w:rPr>
          <w:rFonts w:ascii="Times New Roman" w:eastAsia="Times New Roman" w:hAnsi="Times New Roman" w:cs="Times New Roman"/>
          <w:b/>
          <w:sz w:val="28"/>
          <w:szCs w:val="20"/>
          <w:lang w:eastAsia="en-US"/>
        </w:rPr>
        <w:t xml:space="preserve"> </w:t>
      </w:r>
      <w:r w:rsidRPr="00D56D87">
        <w:rPr>
          <w:rFonts w:ascii="Times New Roman" w:eastAsia="Times New Roman" w:hAnsi="Times New Roman" w:cs="Times New Roman"/>
          <w:sz w:val="28"/>
          <w:szCs w:val="20"/>
          <w:lang w:eastAsia="en-US"/>
        </w:rPr>
        <w:t>(neskaitot alu) ieņēmumi bija 88,0 milj. </w:t>
      </w:r>
      <w:r w:rsidRPr="00D56D87">
        <w:rPr>
          <w:rFonts w:ascii="Times New Roman" w:eastAsia="Times New Roman" w:hAnsi="Times New Roman" w:cs="Times New Roman"/>
          <w:bCs/>
          <w:i/>
          <w:sz w:val="28"/>
          <w:szCs w:val="24"/>
          <w:lang w:eastAsia="en-US"/>
        </w:rPr>
        <w:t>euro</w:t>
      </w:r>
      <w:r w:rsidRPr="00D56D87">
        <w:rPr>
          <w:rFonts w:ascii="Times New Roman" w:eastAsia="Times New Roman" w:hAnsi="Times New Roman" w:cs="Times New Roman"/>
          <w:i/>
          <w:sz w:val="28"/>
          <w:szCs w:val="20"/>
          <w:lang w:eastAsia="en-US"/>
        </w:rPr>
        <w:t xml:space="preserve">. </w:t>
      </w:r>
      <w:r w:rsidRPr="00D56D87">
        <w:rPr>
          <w:rFonts w:ascii="Times New Roman" w:eastAsia="Times New Roman" w:hAnsi="Times New Roman" w:cs="Times New Roman"/>
          <w:sz w:val="28"/>
          <w:szCs w:val="20"/>
          <w:lang w:eastAsia="en-US"/>
        </w:rPr>
        <w:t>Salīdzinot ar 2019.gada sešiem mēnešiem, akcīzes nodokļa ieņēmumi no alkoholiskajiem dzērieniem samazinājušies par 15,0 milj. </w:t>
      </w:r>
      <w:r w:rsidRPr="00D56D87">
        <w:rPr>
          <w:rFonts w:ascii="Times New Roman" w:eastAsia="Times New Roman" w:hAnsi="Times New Roman" w:cs="Times New Roman"/>
          <w:i/>
          <w:sz w:val="28"/>
          <w:szCs w:val="20"/>
          <w:lang w:eastAsia="en-US"/>
        </w:rPr>
        <w:t>euro</w:t>
      </w:r>
      <w:r w:rsidRPr="00D56D87">
        <w:rPr>
          <w:rFonts w:ascii="Times New Roman" w:eastAsia="Times New Roman" w:hAnsi="Times New Roman" w:cs="Times New Roman"/>
          <w:sz w:val="28"/>
          <w:szCs w:val="20"/>
          <w:lang w:eastAsia="en-US"/>
        </w:rPr>
        <w:t xml:space="preserve"> jeb par 14,6 procentiem. Savukārt salīdzinājumā ar plānoto iekasēts par 21,8 milj. </w:t>
      </w:r>
      <w:r w:rsidRPr="00D56D87">
        <w:rPr>
          <w:rFonts w:ascii="Times New Roman" w:eastAsia="Times New Roman" w:hAnsi="Times New Roman" w:cs="Times New Roman"/>
          <w:bCs/>
          <w:i/>
          <w:sz w:val="28"/>
          <w:szCs w:val="24"/>
          <w:lang w:eastAsia="en-US"/>
        </w:rPr>
        <w:t>euro</w:t>
      </w:r>
      <w:r w:rsidRPr="00D56D87">
        <w:rPr>
          <w:rFonts w:ascii="Times New Roman" w:eastAsia="Times New Roman" w:hAnsi="Times New Roman" w:cs="Times New Roman"/>
          <w:sz w:val="28"/>
          <w:szCs w:val="20"/>
          <w:lang w:eastAsia="en-US"/>
        </w:rPr>
        <w:t xml:space="preserve"> jeb 19,9% mazāk.</w:t>
      </w:r>
    </w:p>
    <w:p w14:paraId="2DFB80D1" w14:textId="39C015F9" w:rsidR="00DB596B" w:rsidRPr="00D56D87" w:rsidRDefault="00DB596B" w:rsidP="00401A5B">
      <w:pPr>
        <w:ind w:firstLine="720"/>
        <w:jc w:val="both"/>
        <w:rPr>
          <w:rFonts w:ascii="Times New Roman" w:eastAsia="Times New Roman" w:hAnsi="Times New Roman" w:cs="Times New Roman"/>
          <w:sz w:val="28"/>
          <w:szCs w:val="20"/>
          <w:lang w:eastAsia="en-US"/>
        </w:rPr>
      </w:pPr>
      <w:r w:rsidRPr="00D56D87">
        <w:rPr>
          <w:rFonts w:ascii="Times New Roman" w:eastAsia="Times New Roman" w:hAnsi="Times New Roman" w:cs="Times New Roman"/>
          <w:sz w:val="28"/>
          <w:szCs w:val="20"/>
          <w:lang w:eastAsia="en-US"/>
        </w:rPr>
        <w:t xml:space="preserve">Saskaņā ar </w:t>
      </w:r>
      <w:r w:rsidR="00D56D87">
        <w:rPr>
          <w:rFonts w:ascii="Times New Roman" w:eastAsia="Times New Roman" w:hAnsi="Times New Roman" w:cs="Times New Roman"/>
          <w:sz w:val="28"/>
          <w:szCs w:val="20"/>
          <w:lang w:eastAsia="en-US"/>
        </w:rPr>
        <w:t>VID</w:t>
      </w:r>
      <w:r w:rsidRPr="00D56D87">
        <w:rPr>
          <w:rFonts w:ascii="Times New Roman" w:eastAsia="Times New Roman" w:hAnsi="Times New Roman" w:cs="Times New Roman"/>
          <w:sz w:val="28"/>
          <w:szCs w:val="20"/>
          <w:lang w:eastAsia="en-US"/>
        </w:rPr>
        <w:t xml:space="preserve"> informāciju 2020.gada piecos mēnešos un 2019.gada decembrī, salīdzinot ar 2019. un 2018.gada attiecīgo periodu, patēriņam nodots par 8,8% mazāk alkoholisko dzērienu </w:t>
      </w:r>
      <w:r w:rsidRPr="00D56D87">
        <w:rPr>
          <w:rFonts w:ascii="Times New Roman" w:eastAsia="Times New Roman" w:hAnsi="Times New Roman" w:cs="Times New Roman"/>
          <w:sz w:val="28"/>
          <w:szCs w:val="24"/>
        </w:rPr>
        <w:t>(neskaitot alu)</w:t>
      </w:r>
      <w:r w:rsidRPr="00D56D87">
        <w:rPr>
          <w:rFonts w:ascii="Times New Roman" w:eastAsia="Times New Roman" w:hAnsi="Times New Roman" w:cs="Times New Roman"/>
          <w:sz w:val="28"/>
          <w:szCs w:val="20"/>
          <w:lang w:eastAsia="en-US"/>
        </w:rPr>
        <w:t>. Pārējo alkoholisko dzērienu patēriņš samazinājies par 2,9%, vīna un raudzēto dzērienu patēriņš samazinājies par 10,6% un starpproduktu patēriņš samazinājies par 20,8 procentiem.</w:t>
      </w:r>
    </w:p>
    <w:p w14:paraId="24899CEE" w14:textId="77777777" w:rsidR="00DB596B" w:rsidRPr="00D56D87" w:rsidRDefault="00DB596B" w:rsidP="00401A5B">
      <w:pPr>
        <w:ind w:firstLine="720"/>
        <w:jc w:val="both"/>
        <w:rPr>
          <w:rFonts w:ascii="Times New Roman" w:eastAsia="Times New Roman" w:hAnsi="Times New Roman" w:cs="Times New Roman"/>
          <w:b/>
          <w:i/>
          <w:sz w:val="28"/>
          <w:szCs w:val="20"/>
          <w:lang w:eastAsia="en-US"/>
        </w:rPr>
      </w:pPr>
      <w:r w:rsidRPr="00D56D87">
        <w:rPr>
          <w:rFonts w:ascii="Times New Roman" w:eastAsia="Times New Roman" w:hAnsi="Times New Roman" w:cs="Times New Roman"/>
          <w:sz w:val="28"/>
          <w:szCs w:val="20"/>
          <w:lang w:eastAsia="en-US"/>
        </w:rPr>
        <w:t>Sešu mēnešu ieņēmumus ietekmēja arī iepriekšējos gados pieņemtās izmaiņas normatīvajos aktos. Saskaņā ar 2017.gada 27.jūlijā Saeimā pieņemtajiem grozījumiem likumā „Par akcīzes nodokli”</w:t>
      </w:r>
      <w:r w:rsidRPr="00D56D87">
        <w:rPr>
          <w:rFonts w:ascii="Times New Roman" w:eastAsia="Times New Roman" w:hAnsi="Times New Roman" w:cs="Times New Roman"/>
          <w:sz w:val="28"/>
          <w:szCs w:val="24"/>
          <w:lang w:eastAsia="en-US"/>
        </w:rPr>
        <w:t xml:space="preserve"> ar 2019.gada 1.martu</w:t>
      </w:r>
      <w:r w:rsidRPr="00D56D87">
        <w:rPr>
          <w:rFonts w:ascii="Times New Roman" w:eastAsia="Times New Roman" w:hAnsi="Times New Roman" w:cs="Times New Roman"/>
          <w:sz w:val="28"/>
          <w:szCs w:val="20"/>
          <w:lang w:eastAsia="en-US"/>
        </w:rPr>
        <w:t xml:space="preserve"> </w:t>
      </w:r>
      <w:r w:rsidRPr="00D56D87">
        <w:rPr>
          <w:rFonts w:ascii="Times New Roman" w:eastAsia="Times New Roman" w:hAnsi="Times New Roman" w:cs="Times New Roman"/>
          <w:sz w:val="28"/>
          <w:szCs w:val="24"/>
          <w:lang w:eastAsia="en-US"/>
        </w:rPr>
        <w:t xml:space="preserve">tika paaugstinātas akcīzes nodokļa likmes visiem alkoholisko dzērienu veidiem, izņemot raudzētos dzērienus ar absolūtā spirta saturu zem 6 tilpumprocentiem. </w:t>
      </w:r>
    </w:p>
    <w:p w14:paraId="4E56297B" w14:textId="77777777" w:rsidR="00DB596B" w:rsidRPr="00D56D87" w:rsidRDefault="00DB596B" w:rsidP="00401A5B">
      <w:pPr>
        <w:ind w:firstLine="720"/>
        <w:jc w:val="both"/>
        <w:rPr>
          <w:rFonts w:ascii="Times New Roman" w:eastAsia="Times New Roman" w:hAnsi="Times New Roman" w:cs="Times New Roman"/>
          <w:sz w:val="28"/>
          <w:szCs w:val="20"/>
          <w:lang w:eastAsia="en-US"/>
        </w:rPr>
      </w:pPr>
      <w:r w:rsidRPr="00D56D87">
        <w:rPr>
          <w:rFonts w:ascii="Times New Roman" w:eastAsia="Times New Roman" w:hAnsi="Times New Roman" w:cs="Times New Roman"/>
          <w:sz w:val="28"/>
          <w:szCs w:val="20"/>
          <w:lang w:eastAsia="en-US"/>
        </w:rPr>
        <w:t xml:space="preserve">Alkoholisko dzērienu patēriņu ietekmēja ne vien likmju izmaiņas Latvijā, bet arī akcīzes nodokļa alkoholiskajiem dzērieniem politika Igaunijā. Būtisko akcīzes nodokļa likmju atšķirību dēļ 2017. un 2018.gadā attīstījās alkoholisko dzērienu un alus tirdzniecība Latvijas – Igaunijas pierobežā. Savukārt 2019.gada 13.jūnijā Igaunijas valdība nolēma par 25% samazināt akcīzes nodokļa likmes pārējiem alkoholiskajiem dzērieniem, </w:t>
      </w:r>
      <w:r w:rsidRPr="00D56D87">
        <w:rPr>
          <w:rFonts w:ascii="Times New Roman" w:eastAsia="Times New Roman" w:hAnsi="Times New Roman" w:cs="Times New Roman"/>
          <w:sz w:val="28"/>
          <w:szCs w:val="24"/>
          <w:lang w:eastAsia="en-US"/>
        </w:rPr>
        <w:t>raudzētajiem dzērieniem ar absolūtā spirta saturu zem 6 tilpumprocentiem un alum.</w:t>
      </w:r>
    </w:p>
    <w:p w14:paraId="5A823769" w14:textId="45A8207D" w:rsidR="00DB596B" w:rsidRDefault="00DB596B" w:rsidP="00401A5B">
      <w:pPr>
        <w:ind w:firstLine="720"/>
        <w:jc w:val="both"/>
        <w:rPr>
          <w:rFonts w:ascii="Times New Roman" w:eastAsia="Times New Roman" w:hAnsi="Times New Roman" w:cs="Times New Roman"/>
          <w:sz w:val="28"/>
          <w:szCs w:val="24"/>
          <w:lang w:eastAsia="en-US"/>
        </w:rPr>
      </w:pPr>
      <w:r w:rsidRPr="00D56D87">
        <w:rPr>
          <w:rFonts w:ascii="Times New Roman" w:eastAsia="Times New Roman" w:hAnsi="Times New Roman" w:cs="Times New Roman"/>
          <w:sz w:val="28"/>
          <w:szCs w:val="20"/>
          <w:lang w:eastAsia="en-US"/>
        </w:rPr>
        <w:t xml:space="preserve">Ņemot vērā to, ka Igaunijas parlamenta lēmums par 25% samazināt akcīzes nodokļa likmes atsevišķiem alkoholisko dzērienu veidiem pasliktinātu Latvijas konkurētspēju ar kaimiņvalstīm un negatīvi ietekmētu alkoholisko dzērienu apriti Latvijā, it īpaši Latvijas – Igaunijas pierobežā, Latvijai saglabājot iepriekš plānotās akcīzes nodokļa likmes, 2019.gada 8.jūlijā Saeima pieņēma grozījumus likumā “Par akcīzes nodokli”, akcīzes nodokļa likmi pārējiem alkoholiskajiem dzērieniem laika periodā no 2019.gada 1.augusta līdz 2020.gada 29.februārim samazinot līdz 1564 </w:t>
      </w:r>
      <w:r w:rsidRPr="00D56D87">
        <w:rPr>
          <w:rFonts w:ascii="Times New Roman" w:eastAsia="Times New Roman" w:hAnsi="Times New Roman" w:cs="Times New Roman"/>
          <w:i/>
          <w:sz w:val="28"/>
          <w:szCs w:val="20"/>
          <w:lang w:eastAsia="en-US"/>
        </w:rPr>
        <w:t>euro</w:t>
      </w:r>
      <w:r w:rsidRPr="00D56D87">
        <w:rPr>
          <w:rFonts w:ascii="Times New Roman" w:eastAsia="Times New Roman" w:hAnsi="Times New Roman" w:cs="Times New Roman"/>
          <w:sz w:val="28"/>
          <w:szCs w:val="20"/>
          <w:lang w:eastAsia="en-US"/>
        </w:rPr>
        <w:t xml:space="preserve"> par 100 litriem absolūtā spirta </w:t>
      </w:r>
      <w:r w:rsidRPr="00D56D87">
        <w:rPr>
          <w:rFonts w:ascii="Times New Roman" w:eastAsia="Times New Roman" w:hAnsi="Times New Roman" w:cs="Times New Roman"/>
          <w:sz w:val="28"/>
          <w:szCs w:val="24"/>
          <w:lang w:eastAsia="en-US"/>
        </w:rPr>
        <w:t>(skat. 3.8.tabulu).</w:t>
      </w:r>
    </w:p>
    <w:p w14:paraId="5DF3456F" w14:textId="77777777" w:rsidR="00D56D87" w:rsidRPr="00D56D87" w:rsidRDefault="00D56D87" w:rsidP="00401A5B">
      <w:pPr>
        <w:ind w:firstLine="720"/>
        <w:jc w:val="both"/>
        <w:rPr>
          <w:rFonts w:ascii="Times New Roman" w:eastAsia="Times New Roman" w:hAnsi="Times New Roman" w:cs="Times New Roman"/>
          <w:sz w:val="28"/>
          <w:szCs w:val="24"/>
          <w:highlight w:val="yellow"/>
          <w:lang w:eastAsia="en-US"/>
        </w:rPr>
      </w:pPr>
    </w:p>
    <w:p w14:paraId="5094AE48" w14:textId="77777777" w:rsidR="00DB596B" w:rsidRPr="00DB596B" w:rsidRDefault="00DB596B" w:rsidP="00D56D87">
      <w:pPr>
        <w:ind w:firstLine="720"/>
        <w:contextualSpacing/>
        <w:jc w:val="right"/>
        <w:rPr>
          <w:rFonts w:ascii="Times New Roman" w:eastAsia="Times New Roman" w:hAnsi="Times New Roman" w:cs="Times New Roman"/>
          <w:b/>
          <w:i/>
          <w:sz w:val="24"/>
          <w:szCs w:val="20"/>
          <w:lang w:eastAsia="en-US"/>
        </w:rPr>
      </w:pPr>
      <w:r w:rsidRPr="00D56D87">
        <w:rPr>
          <w:rFonts w:ascii="Times New Roman" w:eastAsia="Times New Roman" w:hAnsi="Times New Roman" w:cs="Times New Roman"/>
          <w:b/>
          <w:i/>
          <w:sz w:val="24"/>
          <w:szCs w:val="20"/>
          <w:lang w:eastAsia="en-US"/>
        </w:rPr>
        <w:t>3.8.</w:t>
      </w:r>
      <w:r w:rsidRPr="00DB596B">
        <w:rPr>
          <w:rFonts w:ascii="Times New Roman" w:eastAsia="Times New Roman" w:hAnsi="Times New Roman" w:cs="Times New Roman"/>
          <w:b/>
          <w:i/>
          <w:sz w:val="24"/>
          <w:szCs w:val="20"/>
          <w:lang w:eastAsia="en-US"/>
        </w:rPr>
        <w:t>tabula.</w:t>
      </w:r>
      <w:r w:rsidRPr="00DB596B">
        <w:rPr>
          <w:rFonts w:ascii="Times New Roman" w:eastAsia="Times New Roman" w:hAnsi="Times New Roman" w:cs="Times New Roman"/>
          <w:sz w:val="24"/>
          <w:szCs w:val="20"/>
          <w:lang w:eastAsia="en-US"/>
        </w:rPr>
        <w:t xml:space="preserve"> </w:t>
      </w:r>
      <w:r w:rsidRPr="00DB596B">
        <w:rPr>
          <w:rFonts w:ascii="Times New Roman" w:eastAsia="Times New Roman" w:hAnsi="Times New Roman" w:cs="Times New Roman"/>
          <w:b/>
          <w:i/>
          <w:sz w:val="24"/>
          <w:szCs w:val="20"/>
          <w:lang w:eastAsia="en-US"/>
        </w:rPr>
        <w:t xml:space="preserve">Akcīzes nodokļa likmes alkoholiskajiem dzērieniem </w:t>
      </w:r>
    </w:p>
    <w:p w14:paraId="72EED2A6" w14:textId="77777777" w:rsidR="00DB596B" w:rsidRPr="00DB596B" w:rsidRDefault="00DB596B" w:rsidP="00D56D87">
      <w:pPr>
        <w:ind w:firstLine="720"/>
        <w:contextualSpacing/>
        <w:jc w:val="right"/>
        <w:rPr>
          <w:rFonts w:ascii="Times New Roman" w:eastAsia="Times New Roman" w:hAnsi="Times New Roman" w:cs="Times New Roman"/>
          <w:b/>
          <w:i/>
          <w:sz w:val="24"/>
          <w:szCs w:val="20"/>
          <w:lang w:eastAsia="en-US"/>
        </w:rPr>
      </w:pPr>
      <w:r w:rsidRPr="00DB596B">
        <w:rPr>
          <w:rFonts w:ascii="Times New Roman" w:eastAsia="Times New Roman" w:hAnsi="Times New Roman" w:cs="Times New Roman"/>
          <w:b/>
          <w:i/>
          <w:sz w:val="24"/>
          <w:szCs w:val="20"/>
          <w:lang w:eastAsia="en-US"/>
        </w:rPr>
        <w:t>Baltijas valstīs 2018.-2021.gadā</w:t>
      </w:r>
    </w:p>
    <w:tbl>
      <w:tblPr>
        <w:tblW w:w="9132" w:type="dxa"/>
        <w:jc w:val="center"/>
        <w:tblLook w:val="04A0" w:firstRow="1" w:lastRow="0" w:firstColumn="1" w:lastColumn="0" w:noHBand="0" w:noVBand="1"/>
      </w:tblPr>
      <w:tblGrid>
        <w:gridCol w:w="2774"/>
        <w:gridCol w:w="1589"/>
        <w:gridCol w:w="1591"/>
        <w:gridCol w:w="1589"/>
        <w:gridCol w:w="1589"/>
      </w:tblGrid>
      <w:tr w:rsidR="00DB596B" w:rsidRPr="00D56D87" w14:paraId="4DCEF303" w14:textId="77777777" w:rsidTr="00D56D87">
        <w:trPr>
          <w:trHeight w:val="232"/>
          <w:tblHeader/>
          <w:jc w:val="center"/>
        </w:trPr>
        <w:tc>
          <w:tcPr>
            <w:tcW w:w="2774" w:type="dxa"/>
            <w:tcBorders>
              <w:top w:val="single" w:sz="4" w:space="0" w:color="auto"/>
              <w:left w:val="single" w:sz="4" w:space="0" w:color="auto"/>
              <w:bottom w:val="single" w:sz="4" w:space="0" w:color="auto"/>
              <w:right w:val="single" w:sz="8" w:space="0" w:color="auto"/>
            </w:tcBorders>
            <w:shd w:val="clear" w:color="auto" w:fill="BDD6EE" w:themeFill="accent1" w:themeFillTint="66"/>
            <w:noWrap/>
            <w:hideMark/>
          </w:tcPr>
          <w:p w14:paraId="4F1429FB" w14:textId="77777777" w:rsidR="00DB596B" w:rsidRPr="00D56D87" w:rsidRDefault="00DB596B" w:rsidP="00401A5B">
            <w:pPr>
              <w:jc w:val="center"/>
              <w:rPr>
                <w:rFonts w:ascii="Times New Roman" w:eastAsia="Times New Roman" w:hAnsi="Times New Roman" w:cs="Times New Roman"/>
                <w:b/>
                <w:color w:val="000000"/>
                <w:sz w:val="20"/>
                <w:szCs w:val="20"/>
              </w:rPr>
            </w:pPr>
            <w:r w:rsidRPr="00D56D87">
              <w:rPr>
                <w:rFonts w:ascii="Times New Roman" w:eastAsia="Times New Roman" w:hAnsi="Times New Roman" w:cs="Times New Roman"/>
                <w:b/>
                <w:color w:val="000000"/>
                <w:sz w:val="20"/>
                <w:szCs w:val="20"/>
              </w:rPr>
              <w:t>Alkoholiskā dzēriena veids</w:t>
            </w:r>
          </w:p>
        </w:tc>
        <w:tc>
          <w:tcPr>
            <w:tcW w:w="1589" w:type="dxa"/>
            <w:tcBorders>
              <w:top w:val="single" w:sz="4" w:space="0" w:color="auto"/>
              <w:left w:val="nil"/>
              <w:bottom w:val="single" w:sz="4" w:space="0" w:color="auto"/>
              <w:right w:val="single" w:sz="8" w:space="0" w:color="auto"/>
            </w:tcBorders>
            <w:shd w:val="clear" w:color="auto" w:fill="BDD6EE" w:themeFill="accent1" w:themeFillTint="66"/>
            <w:noWrap/>
            <w:vAlign w:val="center"/>
            <w:hideMark/>
          </w:tcPr>
          <w:p w14:paraId="539B6FCE" w14:textId="77777777" w:rsidR="00DB596B" w:rsidRPr="00D56D87" w:rsidRDefault="00DB596B" w:rsidP="00401A5B">
            <w:pPr>
              <w:jc w:val="center"/>
              <w:rPr>
                <w:rFonts w:ascii="Times New Roman" w:eastAsia="Times New Roman" w:hAnsi="Times New Roman" w:cs="Times New Roman"/>
                <w:b/>
                <w:bCs/>
                <w:sz w:val="20"/>
                <w:szCs w:val="20"/>
              </w:rPr>
            </w:pPr>
            <w:r w:rsidRPr="00D56D87">
              <w:rPr>
                <w:rFonts w:ascii="Times New Roman" w:eastAsia="Times New Roman" w:hAnsi="Times New Roman" w:cs="Times New Roman"/>
                <w:b/>
                <w:bCs/>
                <w:sz w:val="20"/>
                <w:szCs w:val="20"/>
              </w:rPr>
              <w:t>2018</w:t>
            </w:r>
          </w:p>
        </w:tc>
        <w:tc>
          <w:tcPr>
            <w:tcW w:w="1591" w:type="dxa"/>
            <w:tcBorders>
              <w:top w:val="single" w:sz="4" w:space="0" w:color="auto"/>
              <w:left w:val="nil"/>
              <w:bottom w:val="single" w:sz="4" w:space="0" w:color="auto"/>
              <w:right w:val="single" w:sz="4" w:space="0" w:color="auto"/>
            </w:tcBorders>
            <w:shd w:val="clear" w:color="auto" w:fill="BDD6EE" w:themeFill="accent1" w:themeFillTint="66"/>
            <w:noWrap/>
            <w:hideMark/>
          </w:tcPr>
          <w:p w14:paraId="0D1D01B7" w14:textId="77777777" w:rsidR="00DB596B" w:rsidRPr="00D56D87" w:rsidRDefault="00DB596B" w:rsidP="00401A5B">
            <w:pPr>
              <w:jc w:val="center"/>
              <w:rPr>
                <w:rFonts w:ascii="Times New Roman" w:eastAsia="Times New Roman" w:hAnsi="Times New Roman" w:cs="Times New Roman"/>
                <w:b/>
                <w:bCs/>
                <w:sz w:val="20"/>
                <w:szCs w:val="20"/>
              </w:rPr>
            </w:pPr>
            <w:r w:rsidRPr="00D56D87">
              <w:rPr>
                <w:rFonts w:ascii="Times New Roman" w:eastAsia="Times New Roman" w:hAnsi="Times New Roman" w:cs="Times New Roman"/>
                <w:b/>
                <w:bCs/>
                <w:sz w:val="20"/>
                <w:szCs w:val="20"/>
              </w:rPr>
              <w:t>2019</w:t>
            </w:r>
          </w:p>
        </w:tc>
        <w:tc>
          <w:tcPr>
            <w:tcW w:w="1589" w:type="dxa"/>
            <w:tcBorders>
              <w:top w:val="single" w:sz="4" w:space="0" w:color="auto"/>
              <w:left w:val="nil"/>
              <w:bottom w:val="single" w:sz="4" w:space="0" w:color="auto"/>
              <w:right w:val="single" w:sz="4" w:space="0" w:color="auto"/>
            </w:tcBorders>
            <w:shd w:val="clear" w:color="auto" w:fill="BDD6EE" w:themeFill="accent1" w:themeFillTint="66"/>
          </w:tcPr>
          <w:p w14:paraId="2CD76EB9" w14:textId="77777777" w:rsidR="00DB596B" w:rsidRPr="00D56D87" w:rsidRDefault="00DB596B" w:rsidP="00401A5B">
            <w:pPr>
              <w:jc w:val="center"/>
              <w:rPr>
                <w:rFonts w:ascii="Times New Roman" w:eastAsia="Times New Roman" w:hAnsi="Times New Roman" w:cs="Times New Roman"/>
                <w:b/>
                <w:bCs/>
                <w:sz w:val="20"/>
                <w:szCs w:val="20"/>
              </w:rPr>
            </w:pPr>
            <w:r w:rsidRPr="00D56D87">
              <w:rPr>
                <w:rFonts w:ascii="Times New Roman" w:eastAsia="Times New Roman" w:hAnsi="Times New Roman" w:cs="Times New Roman"/>
                <w:b/>
                <w:bCs/>
                <w:sz w:val="20"/>
                <w:szCs w:val="20"/>
              </w:rPr>
              <w:t>2020</w:t>
            </w:r>
          </w:p>
        </w:tc>
        <w:tc>
          <w:tcPr>
            <w:tcW w:w="1589" w:type="dxa"/>
            <w:tcBorders>
              <w:top w:val="single" w:sz="4" w:space="0" w:color="auto"/>
              <w:left w:val="nil"/>
              <w:bottom w:val="single" w:sz="4" w:space="0" w:color="auto"/>
              <w:right w:val="single" w:sz="4" w:space="0" w:color="auto"/>
            </w:tcBorders>
            <w:shd w:val="clear" w:color="auto" w:fill="BDD6EE" w:themeFill="accent1" w:themeFillTint="66"/>
          </w:tcPr>
          <w:p w14:paraId="5FBF6D3F" w14:textId="77777777" w:rsidR="00DB596B" w:rsidRPr="00D56D87" w:rsidRDefault="00DB596B" w:rsidP="00401A5B">
            <w:pPr>
              <w:jc w:val="center"/>
              <w:rPr>
                <w:rFonts w:ascii="Times New Roman" w:eastAsia="Times New Roman" w:hAnsi="Times New Roman" w:cs="Times New Roman"/>
                <w:b/>
                <w:bCs/>
                <w:sz w:val="20"/>
                <w:szCs w:val="20"/>
              </w:rPr>
            </w:pPr>
            <w:r w:rsidRPr="00D56D87">
              <w:rPr>
                <w:rFonts w:ascii="Times New Roman" w:eastAsia="Times New Roman" w:hAnsi="Times New Roman" w:cs="Times New Roman"/>
                <w:b/>
                <w:bCs/>
                <w:sz w:val="20"/>
                <w:szCs w:val="20"/>
              </w:rPr>
              <w:t>2021</w:t>
            </w:r>
          </w:p>
        </w:tc>
      </w:tr>
      <w:tr w:rsidR="00DB596B" w:rsidRPr="00D56D87" w14:paraId="15480D9C" w14:textId="77777777" w:rsidTr="00D56D87">
        <w:trPr>
          <w:trHeight w:val="232"/>
          <w:jc w:val="center"/>
        </w:trPr>
        <w:tc>
          <w:tcPr>
            <w:tcW w:w="913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74D8DDD" w14:textId="77777777" w:rsidR="00DB596B" w:rsidRPr="00D56D87" w:rsidRDefault="00DB596B" w:rsidP="00401A5B">
            <w:pPr>
              <w:rPr>
                <w:rFonts w:ascii="Times New Roman" w:eastAsia="Times New Roman" w:hAnsi="Times New Roman" w:cs="Times New Roman"/>
                <w:b/>
                <w:color w:val="000000"/>
                <w:sz w:val="20"/>
                <w:szCs w:val="20"/>
              </w:rPr>
            </w:pPr>
            <w:r w:rsidRPr="00D56D87">
              <w:rPr>
                <w:rFonts w:ascii="Times New Roman" w:eastAsia="Times New Roman" w:hAnsi="Times New Roman" w:cs="Times New Roman"/>
                <w:b/>
                <w:color w:val="000000"/>
                <w:sz w:val="20"/>
                <w:szCs w:val="20"/>
              </w:rPr>
              <w:t>Raudzētie dzērieni ar absolūtā spirta saturu zem 6 tilpumprocentiem</w:t>
            </w:r>
            <w:r w:rsidRPr="00D56D87">
              <w:rPr>
                <w:rFonts w:ascii="Times New Roman" w:eastAsia="Times New Roman" w:hAnsi="Times New Roman" w:cs="Times New Roman"/>
                <w:color w:val="000000"/>
                <w:sz w:val="20"/>
                <w:szCs w:val="20"/>
              </w:rPr>
              <w:t xml:space="preserve">, </w:t>
            </w:r>
            <w:r w:rsidRPr="00D56D87">
              <w:rPr>
                <w:rFonts w:ascii="Times New Roman" w:eastAsia="Times New Roman" w:hAnsi="Times New Roman" w:cs="Times New Roman"/>
                <w:i/>
                <w:color w:val="000000"/>
                <w:sz w:val="20"/>
                <w:szCs w:val="20"/>
              </w:rPr>
              <w:t>euro</w:t>
            </w:r>
            <w:r w:rsidRPr="00D56D87">
              <w:rPr>
                <w:rFonts w:ascii="Times New Roman" w:eastAsia="Times New Roman" w:hAnsi="Times New Roman" w:cs="Times New Roman"/>
                <w:color w:val="000000"/>
                <w:sz w:val="20"/>
                <w:szCs w:val="20"/>
              </w:rPr>
              <w:t>/100 l</w:t>
            </w:r>
          </w:p>
        </w:tc>
      </w:tr>
      <w:tr w:rsidR="00DB596B" w:rsidRPr="00D56D87" w14:paraId="658ADF16" w14:textId="77777777" w:rsidTr="00D56D87">
        <w:trPr>
          <w:trHeight w:val="232"/>
          <w:jc w:val="center"/>
        </w:trPr>
        <w:tc>
          <w:tcPr>
            <w:tcW w:w="2774" w:type="dxa"/>
            <w:tcBorders>
              <w:top w:val="single" w:sz="4" w:space="0" w:color="auto"/>
              <w:left w:val="single" w:sz="4" w:space="0" w:color="auto"/>
              <w:right w:val="single" w:sz="4" w:space="0" w:color="auto"/>
            </w:tcBorders>
            <w:shd w:val="clear" w:color="auto" w:fill="auto"/>
            <w:noWrap/>
            <w:vAlign w:val="center"/>
          </w:tcPr>
          <w:p w14:paraId="083EE79A" w14:textId="77777777" w:rsidR="00DB596B" w:rsidRPr="00D56D87" w:rsidRDefault="00DB596B" w:rsidP="00401A5B">
            <w:pPr>
              <w:ind w:firstLine="1305"/>
              <w:jc w:val="both"/>
              <w:rPr>
                <w:rFonts w:ascii="Times New Roman" w:eastAsia="Times New Roman" w:hAnsi="Times New Roman" w:cs="Times New Roman"/>
                <w:b/>
                <w:color w:val="000000"/>
                <w:sz w:val="20"/>
                <w:szCs w:val="20"/>
              </w:rPr>
            </w:pPr>
            <w:r w:rsidRPr="00D56D87">
              <w:rPr>
                <w:rFonts w:ascii="Times New Roman" w:eastAsia="Times New Roman" w:hAnsi="Times New Roman" w:cs="Times New Roman"/>
                <w:b/>
                <w:color w:val="000000"/>
                <w:sz w:val="20"/>
                <w:szCs w:val="20"/>
              </w:rPr>
              <w:t>Latvija</w:t>
            </w:r>
          </w:p>
        </w:tc>
        <w:tc>
          <w:tcPr>
            <w:tcW w:w="1589" w:type="dxa"/>
            <w:tcBorders>
              <w:top w:val="single" w:sz="4" w:space="0" w:color="auto"/>
              <w:left w:val="single" w:sz="4" w:space="0" w:color="auto"/>
              <w:right w:val="single" w:sz="4" w:space="0" w:color="auto"/>
            </w:tcBorders>
            <w:shd w:val="clear" w:color="auto" w:fill="auto"/>
            <w:noWrap/>
            <w:vAlign w:val="center"/>
          </w:tcPr>
          <w:p w14:paraId="7047AED2" w14:textId="77777777" w:rsidR="00DB596B" w:rsidRPr="00D56D87" w:rsidRDefault="00DB596B" w:rsidP="00401A5B">
            <w:pPr>
              <w:jc w:val="center"/>
              <w:rPr>
                <w:rFonts w:ascii="Times New Roman" w:eastAsia="Times New Roman" w:hAnsi="Times New Roman" w:cs="Times New Roman"/>
                <w:b/>
                <w:bCs/>
                <w:sz w:val="20"/>
                <w:szCs w:val="20"/>
              </w:rPr>
            </w:pPr>
            <w:r w:rsidRPr="00D56D87">
              <w:rPr>
                <w:rFonts w:ascii="Times New Roman" w:eastAsia="Times New Roman" w:hAnsi="Times New Roman" w:cs="Times New Roman"/>
                <w:b/>
                <w:bCs/>
                <w:sz w:val="20"/>
                <w:szCs w:val="20"/>
              </w:rPr>
              <w:t>64,00</w:t>
            </w:r>
          </w:p>
        </w:tc>
        <w:tc>
          <w:tcPr>
            <w:tcW w:w="1591" w:type="dxa"/>
            <w:tcBorders>
              <w:top w:val="single" w:sz="4" w:space="0" w:color="auto"/>
              <w:left w:val="single" w:sz="4" w:space="0" w:color="auto"/>
              <w:right w:val="single" w:sz="4" w:space="0" w:color="auto"/>
            </w:tcBorders>
            <w:shd w:val="clear" w:color="auto" w:fill="auto"/>
            <w:noWrap/>
          </w:tcPr>
          <w:p w14:paraId="090AB11E" w14:textId="77777777" w:rsidR="00DB596B" w:rsidRPr="00D56D87" w:rsidRDefault="00DB596B" w:rsidP="00401A5B">
            <w:pPr>
              <w:jc w:val="center"/>
              <w:rPr>
                <w:rFonts w:ascii="Times New Roman" w:eastAsia="Times New Roman" w:hAnsi="Times New Roman" w:cs="Times New Roman"/>
                <w:b/>
                <w:bCs/>
                <w:sz w:val="20"/>
                <w:szCs w:val="20"/>
              </w:rPr>
            </w:pPr>
            <w:r w:rsidRPr="00D56D87">
              <w:rPr>
                <w:rFonts w:ascii="Times New Roman" w:eastAsia="Times New Roman" w:hAnsi="Times New Roman" w:cs="Times New Roman"/>
                <w:b/>
                <w:bCs/>
                <w:sz w:val="20"/>
                <w:szCs w:val="20"/>
              </w:rPr>
              <w:t>64,00</w:t>
            </w:r>
          </w:p>
        </w:tc>
        <w:tc>
          <w:tcPr>
            <w:tcW w:w="1589" w:type="dxa"/>
            <w:tcBorders>
              <w:top w:val="single" w:sz="4" w:space="0" w:color="auto"/>
              <w:left w:val="single" w:sz="4" w:space="0" w:color="auto"/>
              <w:right w:val="single" w:sz="4" w:space="0" w:color="auto"/>
            </w:tcBorders>
          </w:tcPr>
          <w:p w14:paraId="7A398511" w14:textId="77777777" w:rsidR="00DB596B" w:rsidRPr="00D56D87" w:rsidRDefault="00DB596B" w:rsidP="00401A5B">
            <w:pPr>
              <w:jc w:val="center"/>
              <w:rPr>
                <w:rFonts w:ascii="Times New Roman" w:eastAsia="Times New Roman" w:hAnsi="Times New Roman" w:cs="Times New Roman"/>
                <w:b/>
                <w:bCs/>
                <w:sz w:val="20"/>
                <w:szCs w:val="20"/>
              </w:rPr>
            </w:pPr>
            <w:r w:rsidRPr="00D56D87">
              <w:rPr>
                <w:rFonts w:ascii="Times New Roman" w:eastAsia="Times New Roman" w:hAnsi="Times New Roman" w:cs="Times New Roman"/>
                <w:b/>
                <w:bCs/>
                <w:sz w:val="20"/>
                <w:szCs w:val="20"/>
              </w:rPr>
              <w:t>64,00</w:t>
            </w:r>
          </w:p>
        </w:tc>
        <w:tc>
          <w:tcPr>
            <w:tcW w:w="1589" w:type="dxa"/>
            <w:tcBorders>
              <w:top w:val="single" w:sz="4" w:space="0" w:color="auto"/>
              <w:left w:val="single" w:sz="4" w:space="0" w:color="auto"/>
              <w:right w:val="single" w:sz="4" w:space="0" w:color="auto"/>
            </w:tcBorders>
          </w:tcPr>
          <w:p w14:paraId="0BB2CDB9" w14:textId="77777777" w:rsidR="00DB596B" w:rsidRPr="00D56D87" w:rsidRDefault="00DB596B" w:rsidP="00401A5B">
            <w:pPr>
              <w:jc w:val="center"/>
              <w:rPr>
                <w:rFonts w:ascii="Times New Roman" w:eastAsia="Times New Roman" w:hAnsi="Times New Roman" w:cs="Times New Roman"/>
                <w:b/>
                <w:bCs/>
                <w:sz w:val="20"/>
                <w:szCs w:val="20"/>
              </w:rPr>
            </w:pPr>
            <w:r w:rsidRPr="00D56D87">
              <w:rPr>
                <w:rFonts w:ascii="Times New Roman" w:eastAsia="Times New Roman" w:hAnsi="Times New Roman" w:cs="Times New Roman"/>
                <w:b/>
                <w:bCs/>
                <w:sz w:val="20"/>
                <w:szCs w:val="20"/>
              </w:rPr>
              <w:t>64,00</w:t>
            </w:r>
          </w:p>
        </w:tc>
      </w:tr>
      <w:tr w:rsidR="00DB596B" w:rsidRPr="00D56D87" w14:paraId="69CA98BE" w14:textId="77777777" w:rsidTr="00D56D87">
        <w:trPr>
          <w:trHeight w:val="232"/>
          <w:jc w:val="center"/>
        </w:trPr>
        <w:tc>
          <w:tcPr>
            <w:tcW w:w="2774" w:type="dxa"/>
            <w:tcBorders>
              <w:left w:val="single" w:sz="4" w:space="0" w:color="auto"/>
              <w:right w:val="single" w:sz="4" w:space="0" w:color="auto"/>
            </w:tcBorders>
            <w:shd w:val="clear" w:color="auto" w:fill="auto"/>
            <w:noWrap/>
            <w:vAlign w:val="bottom"/>
          </w:tcPr>
          <w:p w14:paraId="1B9D47A1" w14:textId="77777777" w:rsidR="00DB596B" w:rsidRPr="00D56D87" w:rsidRDefault="00DB596B" w:rsidP="00401A5B">
            <w:pPr>
              <w:ind w:firstLine="1305"/>
              <w:jc w:val="both"/>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Lietuva*</w:t>
            </w:r>
          </w:p>
        </w:tc>
        <w:tc>
          <w:tcPr>
            <w:tcW w:w="1589" w:type="dxa"/>
            <w:tcBorders>
              <w:left w:val="single" w:sz="4" w:space="0" w:color="auto"/>
              <w:right w:val="single" w:sz="4" w:space="0" w:color="auto"/>
            </w:tcBorders>
            <w:shd w:val="clear" w:color="auto" w:fill="auto"/>
            <w:noWrap/>
            <w:vAlign w:val="center"/>
          </w:tcPr>
          <w:p w14:paraId="7BD1AFE5"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65,46</w:t>
            </w:r>
          </w:p>
        </w:tc>
        <w:tc>
          <w:tcPr>
            <w:tcW w:w="1591" w:type="dxa"/>
            <w:tcBorders>
              <w:left w:val="single" w:sz="4" w:space="0" w:color="auto"/>
              <w:right w:val="single" w:sz="4" w:space="0" w:color="auto"/>
            </w:tcBorders>
            <w:shd w:val="clear" w:color="auto" w:fill="auto"/>
            <w:noWrap/>
          </w:tcPr>
          <w:p w14:paraId="3655DE2D"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65,46</w:t>
            </w:r>
          </w:p>
        </w:tc>
        <w:tc>
          <w:tcPr>
            <w:tcW w:w="1589" w:type="dxa"/>
            <w:tcBorders>
              <w:left w:val="single" w:sz="4" w:space="0" w:color="auto"/>
              <w:right w:val="single" w:sz="4" w:space="0" w:color="auto"/>
            </w:tcBorders>
          </w:tcPr>
          <w:p w14:paraId="1739331A"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65,46</w:t>
            </w:r>
          </w:p>
        </w:tc>
        <w:tc>
          <w:tcPr>
            <w:tcW w:w="1589" w:type="dxa"/>
            <w:tcBorders>
              <w:left w:val="single" w:sz="4" w:space="0" w:color="auto"/>
              <w:right w:val="single" w:sz="4" w:space="0" w:color="auto"/>
            </w:tcBorders>
          </w:tcPr>
          <w:p w14:paraId="086A1C41"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65,46</w:t>
            </w:r>
          </w:p>
        </w:tc>
      </w:tr>
      <w:tr w:rsidR="00DB596B" w:rsidRPr="00D56D87" w14:paraId="2E7E9200" w14:textId="77777777" w:rsidTr="00D56D87">
        <w:trPr>
          <w:trHeight w:val="232"/>
          <w:jc w:val="center"/>
        </w:trPr>
        <w:tc>
          <w:tcPr>
            <w:tcW w:w="2774" w:type="dxa"/>
            <w:tcBorders>
              <w:left w:val="single" w:sz="4" w:space="0" w:color="auto"/>
              <w:bottom w:val="single" w:sz="4" w:space="0" w:color="auto"/>
              <w:right w:val="single" w:sz="4" w:space="0" w:color="auto"/>
            </w:tcBorders>
            <w:shd w:val="clear" w:color="auto" w:fill="auto"/>
            <w:noWrap/>
            <w:vAlign w:val="bottom"/>
          </w:tcPr>
          <w:p w14:paraId="1C529488" w14:textId="77777777" w:rsidR="00DB596B" w:rsidRPr="00D56D87" w:rsidRDefault="00DB596B" w:rsidP="00401A5B">
            <w:pPr>
              <w:ind w:firstLine="1305"/>
              <w:jc w:val="both"/>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Igaunija**</w:t>
            </w:r>
          </w:p>
        </w:tc>
        <w:tc>
          <w:tcPr>
            <w:tcW w:w="1589" w:type="dxa"/>
            <w:tcBorders>
              <w:left w:val="single" w:sz="4" w:space="0" w:color="auto"/>
              <w:bottom w:val="single" w:sz="4" w:space="0" w:color="auto"/>
              <w:right w:val="single" w:sz="4" w:space="0" w:color="auto"/>
            </w:tcBorders>
            <w:shd w:val="clear" w:color="auto" w:fill="auto"/>
            <w:noWrap/>
            <w:vAlign w:val="center"/>
          </w:tcPr>
          <w:p w14:paraId="2718E147"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77,44 / 84,41</w:t>
            </w:r>
          </w:p>
        </w:tc>
        <w:tc>
          <w:tcPr>
            <w:tcW w:w="1591" w:type="dxa"/>
            <w:tcBorders>
              <w:left w:val="single" w:sz="4" w:space="0" w:color="auto"/>
              <w:bottom w:val="single" w:sz="4" w:space="0" w:color="auto"/>
              <w:right w:val="single" w:sz="4" w:space="0" w:color="auto"/>
            </w:tcBorders>
            <w:shd w:val="clear" w:color="auto" w:fill="auto"/>
            <w:noWrap/>
          </w:tcPr>
          <w:p w14:paraId="0087194B"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84,41 / 63,35</w:t>
            </w:r>
          </w:p>
        </w:tc>
        <w:tc>
          <w:tcPr>
            <w:tcW w:w="1589" w:type="dxa"/>
            <w:tcBorders>
              <w:left w:val="single" w:sz="4" w:space="0" w:color="auto"/>
              <w:bottom w:val="single" w:sz="4" w:space="0" w:color="auto"/>
              <w:right w:val="single" w:sz="4" w:space="0" w:color="auto"/>
            </w:tcBorders>
          </w:tcPr>
          <w:p w14:paraId="59E20412"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63,35</w:t>
            </w:r>
          </w:p>
        </w:tc>
        <w:tc>
          <w:tcPr>
            <w:tcW w:w="1589" w:type="dxa"/>
            <w:tcBorders>
              <w:left w:val="single" w:sz="4" w:space="0" w:color="auto"/>
              <w:bottom w:val="single" w:sz="4" w:space="0" w:color="auto"/>
              <w:right w:val="single" w:sz="4" w:space="0" w:color="auto"/>
            </w:tcBorders>
          </w:tcPr>
          <w:p w14:paraId="4EC31EBA"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63,35</w:t>
            </w:r>
          </w:p>
        </w:tc>
      </w:tr>
      <w:tr w:rsidR="00D56D87" w:rsidRPr="00D56D87" w14:paraId="2C5F4C5B" w14:textId="77777777" w:rsidTr="00921D7E">
        <w:trPr>
          <w:trHeight w:val="232"/>
          <w:jc w:val="center"/>
        </w:trPr>
        <w:tc>
          <w:tcPr>
            <w:tcW w:w="9132" w:type="dxa"/>
            <w:gridSpan w:val="5"/>
            <w:tcBorders>
              <w:top w:val="single" w:sz="4" w:space="0" w:color="auto"/>
              <w:left w:val="single" w:sz="4" w:space="0" w:color="auto"/>
              <w:bottom w:val="single" w:sz="8" w:space="0" w:color="auto"/>
              <w:right w:val="single" w:sz="4" w:space="0" w:color="auto"/>
            </w:tcBorders>
            <w:shd w:val="clear" w:color="auto" w:fill="DEEAF6" w:themeFill="accent1" w:themeFillTint="33"/>
            <w:noWrap/>
            <w:vAlign w:val="center"/>
            <w:hideMark/>
          </w:tcPr>
          <w:p w14:paraId="340B30E3" w14:textId="06C1BAC6" w:rsidR="00D56D87" w:rsidRPr="00D56D87" w:rsidRDefault="00D56D87" w:rsidP="00401A5B">
            <w:pPr>
              <w:rPr>
                <w:rFonts w:ascii="Times New Roman" w:eastAsia="Times New Roman" w:hAnsi="Times New Roman" w:cs="Times New Roman"/>
                <w:b/>
                <w:color w:val="000000"/>
                <w:sz w:val="20"/>
                <w:szCs w:val="20"/>
                <w:shd w:val="clear" w:color="auto" w:fill="D9D9D9"/>
              </w:rPr>
            </w:pPr>
            <w:r w:rsidRPr="00D56D87">
              <w:rPr>
                <w:rFonts w:ascii="Times New Roman" w:eastAsia="Times New Roman" w:hAnsi="Times New Roman" w:cs="Times New Roman"/>
                <w:b/>
                <w:color w:val="000000"/>
                <w:sz w:val="20"/>
                <w:szCs w:val="20"/>
              </w:rPr>
              <w:t>Vīns un raudzētie dzērieni ar absolūtā spirta saturu virs 6 tilpumprocentiem</w:t>
            </w:r>
            <w:r w:rsidRPr="00D56D87">
              <w:rPr>
                <w:rFonts w:ascii="Times New Roman" w:eastAsia="Times New Roman" w:hAnsi="Times New Roman" w:cs="Times New Roman"/>
                <w:color w:val="000000"/>
                <w:sz w:val="20"/>
                <w:szCs w:val="20"/>
              </w:rPr>
              <w:t>, euro /100 l</w:t>
            </w:r>
          </w:p>
        </w:tc>
      </w:tr>
      <w:tr w:rsidR="00DB596B" w:rsidRPr="00D56D87" w14:paraId="472B89D9" w14:textId="77777777" w:rsidTr="00D56D87">
        <w:trPr>
          <w:trHeight w:val="222"/>
          <w:jc w:val="center"/>
        </w:trPr>
        <w:tc>
          <w:tcPr>
            <w:tcW w:w="2774" w:type="dxa"/>
            <w:tcBorders>
              <w:top w:val="nil"/>
              <w:left w:val="single" w:sz="4" w:space="0" w:color="auto"/>
              <w:bottom w:val="nil"/>
              <w:right w:val="nil"/>
            </w:tcBorders>
            <w:shd w:val="clear" w:color="auto" w:fill="auto"/>
            <w:noWrap/>
            <w:hideMark/>
          </w:tcPr>
          <w:p w14:paraId="5F011B5E" w14:textId="77777777" w:rsidR="00DB596B" w:rsidRPr="00D56D87" w:rsidRDefault="00DB596B" w:rsidP="00401A5B">
            <w:pPr>
              <w:ind w:firstLine="1305"/>
              <w:jc w:val="both"/>
              <w:rPr>
                <w:rFonts w:ascii="Times New Roman" w:eastAsia="Times New Roman" w:hAnsi="Times New Roman" w:cs="Times New Roman"/>
                <w:b/>
                <w:color w:val="000000"/>
                <w:sz w:val="20"/>
                <w:szCs w:val="20"/>
              </w:rPr>
            </w:pPr>
            <w:r w:rsidRPr="00D56D87">
              <w:rPr>
                <w:rFonts w:ascii="Times New Roman" w:eastAsia="Times New Roman" w:hAnsi="Times New Roman" w:cs="Times New Roman"/>
                <w:b/>
                <w:color w:val="000000"/>
                <w:sz w:val="20"/>
                <w:szCs w:val="20"/>
              </w:rPr>
              <w:t>Latvija***</w:t>
            </w:r>
          </w:p>
        </w:tc>
        <w:tc>
          <w:tcPr>
            <w:tcW w:w="1589" w:type="dxa"/>
            <w:tcBorders>
              <w:top w:val="nil"/>
              <w:left w:val="single" w:sz="8" w:space="0" w:color="auto"/>
              <w:bottom w:val="nil"/>
              <w:right w:val="nil"/>
            </w:tcBorders>
            <w:shd w:val="clear" w:color="auto" w:fill="auto"/>
            <w:noWrap/>
            <w:vAlign w:val="center"/>
            <w:hideMark/>
          </w:tcPr>
          <w:p w14:paraId="4883DCF5"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78,00 / 92,00</w:t>
            </w:r>
          </w:p>
        </w:tc>
        <w:tc>
          <w:tcPr>
            <w:tcW w:w="1591" w:type="dxa"/>
            <w:tcBorders>
              <w:top w:val="nil"/>
              <w:left w:val="single" w:sz="8" w:space="0" w:color="auto"/>
              <w:bottom w:val="nil"/>
              <w:right w:val="single" w:sz="4" w:space="0" w:color="auto"/>
            </w:tcBorders>
            <w:shd w:val="clear" w:color="auto" w:fill="auto"/>
            <w:noWrap/>
          </w:tcPr>
          <w:p w14:paraId="05C08DDB"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92,00 / 101,00</w:t>
            </w:r>
          </w:p>
        </w:tc>
        <w:tc>
          <w:tcPr>
            <w:tcW w:w="1589" w:type="dxa"/>
            <w:tcBorders>
              <w:top w:val="nil"/>
              <w:left w:val="single" w:sz="8" w:space="0" w:color="auto"/>
              <w:bottom w:val="nil"/>
              <w:right w:val="single" w:sz="4" w:space="0" w:color="auto"/>
            </w:tcBorders>
          </w:tcPr>
          <w:p w14:paraId="470EBEC9"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101,00 / 106,00</w:t>
            </w:r>
          </w:p>
        </w:tc>
        <w:tc>
          <w:tcPr>
            <w:tcW w:w="1589" w:type="dxa"/>
            <w:tcBorders>
              <w:top w:val="nil"/>
              <w:left w:val="single" w:sz="8" w:space="0" w:color="auto"/>
              <w:bottom w:val="nil"/>
              <w:right w:val="single" w:sz="4" w:space="0" w:color="auto"/>
            </w:tcBorders>
          </w:tcPr>
          <w:p w14:paraId="1BB9EFA7" w14:textId="77777777" w:rsidR="00DB596B" w:rsidRPr="00D56D87" w:rsidRDefault="00DB596B" w:rsidP="00D56D87">
            <w:pP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111,00</w:t>
            </w:r>
          </w:p>
        </w:tc>
      </w:tr>
      <w:tr w:rsidR="00DB596B" w:rsidRPr="00D56D87" w14:paraId="1BFC9429" w14:textId="77777777" w:rsidTr="00D56D87">
        <w:trPr>
          <w:trHeight w:val="60"/>
          <w:jc w:val="center"/>
        </w:trPr>
        <w:tc>
          <w:tcPr>
            <w:tcW w:w="2774" w:type="dxa"/>
            <w:tcBorders>
              <w:top w:val="nil"/>
              <w:left w:val="single" w:sz="4" w:space="0" w:color="auto"/>
              <w:bottom w:val="nil"/>
              <w:right w:val="nil"/>
            </w:tcBorders>
            <w:shd w:val="clear" w:color="auto" w:fill="auto"/>
            <w:noWrap/>
            <w:vAlign w:val="bottom"/>
            <w:hideMark/>
          </w:tcPr>
          <w:p w14:paraId="6C541BCD" w14:textId="77777777" w:rsidR="00DB596B" w:rsidRPr="00D56D87" w:rsidRDefault="00DB596B" w:rsidP="00401A5B">
            <w:pPr>
              <w:ind w:firstLine="1305"/>
              <w:jc w:val="both"/>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Lietuva*</w:t>
            </w:r>
          </w:p>
        </w:tc>
        <w:tc>
          <w:tcPr>
            <w:tcW w:w="1589" w:type="dxa"/>
            <w:tcBorders>
              <w:top w:val="nil"/>
              <w:left w:val="single" w:sz="8" w:space="0" w:color="auto"/>
              <w:bottom w:val="nil"/>
              <w:right w:val="nil"/>
            </w:tcBorders>
            <w:shd w:val="clear" w:color="auto" w:fill="auto"/>
            <w:noWrap/>
            <w:vAlign w:val="center"/>
            <w:hideMark/>
          </w:tcPr>
          <w:p w14:paraId="71BB7CBC"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bCs/>
                <w:sz w:val="20"/>
                <w:szCs w:val="20"/>
              </w:rPr>
              <w:t>164,67</w:t>
            </w:r>
          </w:p>
        </w:tc>
        <w:tc>
          <w:tcPr>
            <w:tcW w:w="1591" w:type="dxa"/>
            <w:tcBorders>
              <w:top w:val="nil"/>
              <w:left w:val="single" w:sz="8" w:space="0" w:color="auto"/>
              <w:bottom w:val="nil"/>
              <w:right w:val="single" w:sz="4" w:space="0" w:color="auto"/>
            </w:tcBorders>
            <w:shd w:val="clear" w:color="auto" w:fill="auto"/>
            <w:noWrap/>
            <w:vAlign w:val="center"/>
          </w:tcPr>
          <w:p w14:paraId="40AD1C7A"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164,67</w:t>
            </w:r>
          </w:p>
        </w:tc>
        <w:tc>
          <w:tcPr>
            <w:tcW w:w="1589" w:type="dxa"/>
            <w:tcBorders>
              <w:top w:val="nil"/>
              <w:left w:val="single" w:sz="8" w:space="0" w:color="auto"/>
              <w:bottom w:val="nil"/>
              <w:right w:val="single" w:sz="4" w:space="0" w:color="auto"/>
            </w:tcBorders>
            <w:vAlign w:val="center"/>
          </w:tcPr>
          <w:p w14:paraId="4C2A489D"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164,67</w:t>
            </w:r>
          </w:p>
        </w:tc>
        <w:tc>
          <w:tcPr>
            <w:tcW w:w="1589" w:type="dxa"/>
            <w:tcBorders>
              <w:top w:val="nil"/>
              <w:left w:val="single" w:sz="8" w:space="0" w:color="auto"/>
              <w:bottom w:val="nil"/>
              <w:right w:val="single" w:sz="4" w:space="0" w:color="auto"/>
            </w:tcBorders>
            <w:vAlign w:val="center"/>
          </w:tcPr>
          <w:p w14:paraId="0D309624"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164,67</w:t>
            </w:r>
          </w:p>
        </w:tc>
      </w:tr>
      <w:tr w:rsidR="00DB596B" w:rsidRPr="00D56D87" w14:paraId="1EFF172C" w14:textId="77777777" w:rsidTr="00D56D87">
        <w:trPr>
          <w:trHeight w:val="232"/>
          <w:jc w:val="center"/>
        </w:trPr>
        <w:tc>
          <w:tcPr>
            <w:tcW w:w="2774" w:type="dxa"/>
            <w:tcBorders>
              <w:top w:val="nil"/>
              <w:left w:val="single" w:sz="4" w:space="0" w:color="auto"/>
              <w:bottom w:val="single" w:sz="8" w:space="0" w:color="auto"/>
              <w:right w:val="nil"/>
            </w:tcBorders>
            <w:shd w:val="clear" w:color="auto" w:fill="auto"/>
            <w:noWrap/>
            <w:vAlign w:val="bottom"/>
            <w:hideMark/>
          </w:tcPr>
          <w:p w14:paraId="43CC9B65" w14:textId="77777777" w:rsidR="00DB596B" w:rsidRPr="00D56D87" w:rsidRDefault="00DB596B" w:rsidP="00401A5B">
            <w:pPr>
              <w:ind w:firstLine="1305"/>
              <w:jc w:val="both"/>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Igaunija**</w:t>
            </w:r>
          </w:p>
        </w:tc>
        <w:tc>
          <w:tcPr>
            <w:tcW w:w="1589" w:type="dxa"/>
            <w:tcBorders>
              <w:top w:val="nil"/>
              <w:left w:val="single" w:sz="8" w:space="0" w:color="auto"/>
              <w:bottom w:val="single" w:sz="8" w:space="0" w:color="auto"/>
              <w:right w:val="nil"/>
            </w:tcBorders>
            <w:shd w:val="clear" w:color="auto" w:fill="auto"/>
            <w:noWrap/>
            <w:vAlign w:val="center"/>
            <w:hideMark/>
          </w:tcPr>
          <w:p w14:paraId="1B725BDE"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123,18 / 147,82</w:t>
            </w:r>
          </w:p>
        </w:tc>
        <w:tc>
          <w:tcPr>
            <w:tcW w:w="1591" w:type="dxa"/>
            <w:tcBorders>
              <w:top w:val="nil"/>
              <w:left w:val="single" w:sz="8" w:space="0" w:color="auto"/>
              <w:bottom w:val="single" w:sz="8" w:space="0" w:color="auto"/>
              <w:right w:val="single" w:sz="4" w:space="0" w:color="auto"/>
            </w:tcBorders>
            <w:shd w:val="clear" w:color="auto" w:fill="auto"/>
            <w:noWrap/>
            <w:vAlign w:val="center"/>
          </w:tcPr>
          <w:p w14:paraId="0D3B15E3"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147,82</w:t>
            </w:r>
          </w:p>
        </w:tc>
        <w:tc>
          <w:tcPr>
            <w:tcW w:w="1589" w:type="dxa"/>
            <w:tcBorders>
              <w:top w:val="nil"/>
              <w:left w:val="single" w:sz="8" w:space="0" w:color="auto"/>
              <w:bottom w:val="single" w:sz="8" w:space="0" w:color="auto"/>
              <w:right w:val="single" w:sz="4" w:space="0" w:color="auto"/>
            </w:tcBorders>
            <w:vAlign w:val="center"/>
          </w:tcPr>
          <w:p w14:paraId="2EC36ED2"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147,82</w:t>
            </w:r>
          </w:p>
        </w:tc>
        <w:tc>
          <w:tcPr>
            <w:tcW w:w="1589" w:type="dxa"/>
            <w:tcBorders>
              <w:top w:val="nil"/>
              <w:left w:val="single" w:sz="8" w:space="0" w:color="auto"/>
              <w:bottom w:val="single" w:sz="8" w:space="0" w:color="auto"/>
              <w:right w:val="single" w:sz="4" w:space="0" w:color="auto"/>
            </w:tcBorders>
            <w:vAlign w:val="center"/>
          </w:tcPr>
          <w:p w14:paraId="1A7F4176" w14:textId="77777777" w:rsidR="00DB596B" w:rsidRPr="00D56D87" w:rsidRDefault="00DB596B" w:rsidP="00401A5B">
            <w:pPr>
              <w:jc w:val="center"/>
              <w:rPr>
                <w:rFonts w:ascii="Times New Roman" w:eastAsia="Times New Roman" w:hAnsi="Times New Roman" w:cs="Times New Roman"/>
                <w:bCs/>
                <w:sz w:val="20"/>
                <w:szCs w:val="20"/>
              </w:rPr>
            </w:pPr>
            <w:r w:rsidRPr="00D56D87">
              <w:rPr>
                <w:rFonts w:ascii="Times New Roman" w:eastAsia="Times New Roman" w:hAnsi="Times New Roman" w:cs="Times New Roman"/>
                <w:bCs/>
                <w:sz w:val="20"/>
                <w:szCs w:val="20"/>
              </w:rPr>
              <w:t>147,82</w:t>
            </w:r>
          </w:p>
        </w:tc>
      </w:tr>
      <w:tr w:rsidR="00DB596B" w:rsidRPr="00D56D87" w14:paraId="56F898CC" w14:textId="77777777" w:rsidTr="00D56D87">
        <w:trPr>
          <w:trHeight w:val="232"/>
          <w:jc w:val="center"/>
        </w:trPr>
        <w:tc>
          <w:tcPr>
            <w:tcW w:w="7543" w:type="dxa"/>
            <w:gridSpan w:val="4"/>
            <w:tcBorders>
              <w:top w:val="nil"/>
              <w:left w:val="single" w:sz="4" w:space="0" w:color="auto"/>
              <w:bottom w:val="single" w:sz="8" w:space="0" w:color="auto"/>
              <w:right w:val="single" w:sz="4" w:space="0" w:color="auto"/>
            </w:tcBorders>
            <w:shd w:val="clear" w:color="auto" w:fill="DEEAF6" w:themeFill="accent1" w:themeFillTint="33"/>
            <w:noWrap/>
            <w:vAlign w:val="center"/>
            <w:hideMark/>
          </w:tcPr>
          <w:p w14:paraId="3B28BB84" w14:textId="77777777" w:rsidR="00DB596B" w:rsidRPr="00D56D87" w:rsidRDefault="00DB596B" w:rsidP="00401A5B">
            <w:pPr>
              <w:rPr>
                <w:rFonts w:ascii="Times New Roman" w:eastAsia="Times New Roman" w:hAnsi="Times New Roman" w:cs="Times New Roman"/>
                <w:b/>
                <w:color w:val="000000"/>
                <w:sz w:val="20"/>
                <w:szCs w:val="20"/>
              </w:rPr>
            </w:pPr>
            <w:r w:rsidRPr="00D56D87">
              <w:rPr>
                <w:rFonts w:ascii="Times New Roman" w:eastAsia="Times New Roman" w:hAnsi="Times New Roman" w:cs="Times New Roman"/>
                <w:b/>
                <w:color w:val="000000"/>
                <w:sz w:val="20"/>
                <w:szCs w:val="20"/>
              </w:rPr>
              <w:t>Starpprodukti ar absolūtā spirta saturu līdz 15 tilpumprocentiem,</w:t>
            </w:r>
            <w:r w:rsidRPr="00D56D87">
              <w:rPr>
                <w:rFonts w:ascii="Times New Roman" w:eastAsia="Times New Roman" w:hAnsi="Times New Roman" w:cs="Times New Roman"/>
                <w:color w:val="000000"/>
                <w:sz w:val="20"/>
                <w:szCs w:val="20"/>
              </w:rPr>
              <w:t xml:space="preserve"> </w:t>
            </w:r>
            <w:r w:rsidRPr="00D56D87">
              <w:rPr>
                <w:rFonts w:ascii="Times New Roman" w:eastAsia="Times New Roman" w:hAnsi="Times New Roman" w:cs="Times New Roman"/>
                <w:i/>
                <w:color w:val="000000"/>
                <w:sz w:val="20"/>
                <w:szCs w:val="20"/>
              </w:rPr>
              <w:t>euro</w:t>
            </w:r>
            <w:r w:rsidRPr="00D56D87">
              <w:rPr>
                <w:rFonts w:ascii="Times New Roman" w:eastAsia="Times New Roman" w:hAnsi="Times New Roman" w:cs="Times New Roman"/>
                <w:color w:val="000000"/>
                <w:sz w:val="20"/>
                <w:szCs w:val="20"/>
              </w:rPr>
              <w:t>/ 100 l</w:t>
            </w:r>
          </w:p>
        </w:tc>
        <w:tc>
          <w:tcPr>
            <w:tcW w:w="1589" w:type="dxa"/>
            <w:tcBorders>
              <w:top w:val="nil"/>
              <w:left w:val="single" w:sz="4" w:space="0" w:color="auto"/>
              <w:bottom w:val="single" w:sz="8" w:space="0" w:color="auto"/>
              <w:right w:val="single" w:sz="4" w:space="0" w:color="auto"/>
            </w:tcBorders>
            <w:shd w:val="clear" w:color="auto" w:fill="DEEAF6" w:themeFill="accent1" w:themeFillTint="33"/>
          </w:tcPr>
          <w:p w14:paraId="24AE8A33" w14:textId="77777777" w:rsidR="00DB596B" w:rsidRPr="00D56D87" w:rsidRDefault="00DB596B" w:rsidP="00401A5B">
            <w:pPr>
              <w:rPr>
                <w:rFonts w:ascii="Times New Roman" w:eastAsia="Times New Roman" w:hAnsi="Times New Roman" w:cs="Times New Roman"/>
                <w:b/>
                <w:color w:val="000000"/>
                <w:sz w:val="20"/>
                <w:szCs w:val="20"/>
              </w:rPr>
            </w:pPr>
          </w:p>
        </w:tc>
      </w:tr>
      <w:tr w:rsidR="00DB596B" w:rsidRPr="00D56D87" w14:paraId="560D41D3" w14:textId="77777777" w:rsidTr="00D56D87">
        <w:trPr>
          <w:trHeight w:val="222"/>
          <w:jc w:val="center"/>
        </w:trPr>
        <w:tc>
          <w:tcPr>
            <w:tcW w:w="2774" w:type="dxa"/>
            <w:tcBorders>
              <w:top w:val="nil"/>
              <w:left w:val="single" w:sz="4" w:space="0" w:color="auto"/>
              <w:bottom w:val="nil"/>
              <w:right w:val="nil"/>
            </w:tcBorders>
            <w:shd w:val="clear" w:color="auto" w:fill="auto"/>
            <w:noWrap/>
            <w:hideMark/>
          </w:tcPr>
          <w:p w14:paraId="1A0AB4E3" w14:textId="77777777" w:rsidR="00DB596B" w:rsidRPr="00D56D87" w:rsidRDefault="00DB596B" w:rsidP="00401A5B">
            <w:pPr>
              <w:ind w:firstLine="1305"/>
              <w:jc w:val="both"/>
              <w:rPr>
                <w:rFonts w:ascii="Times New Roman" w:eastAsia="Times New Roman" w:hAnsi="Times New Roman" w:cs="Times New Roman"/>
                <w:b/>
                <w:color w:val="000000"/>
                <w:sz w:val="20"/>
                <w:szCs w:val="20"/>
              </w:rPr>
            </w:pPr>
            <w:r w:rsidRPr="00D56D87">
              <w:rPr>
                <w:rFonts w:ascii="Times New Roman" w:eastAsia="Times New Roman" w:hAnsi="Times New Roman" w:cs="Times New Roman"/>
                <w:b/>
                <w:color w:val="000000"/>
                <w:sz w:val="20"/>
                <w:szCs w:val="20"/>
              </w:rPr>
              <w:t>Latvija***</w:t>
            </w:r>
          </w:p>
        </w:tc>
        <w:tc>
          <w:tcPr>
            <w:tcW w:w="1589" w:type="dxa"/>
            <w:tcBorders>
              <w:top w:val="nil"/>
              <w:left w:val="single" w:sz="8" w:space="0" w:color="auto"/>
              <w:bottom w:val="nil"/>
              <w:right w:val="nil"/>
            </w:tcBorders>
            <w:shd w:val="clear" w:color="auto" w:fill="auto"/>
            <w:noWrap/>
            <w:vAlign w:val="center"/>
            <w:hideMark/>
          </w:tcPr>
          <w:p w14:paraId="27CA15B9"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78,00 / 92,00</w:t>
            </w:r>
          </w:p>
        </w:tc>
        <w:tc>
          <w:tcPr>
            <w:tcW w:w="1591" w:type="dxa"/>
            <w:tcBorders>
              <w:top w:val="nil"/>
              <w:left w:val="single" w:sz="8" w:space="0" w:color="auto"/>
              <w:bottom w:val="nil"/>
              <w:right w:val="single" w:sz="4" w:space="0" w:color="auto"/>
            </w:tcBorders>
            <w:shd w:val="clear" w:color="auto" w:fill="auto"/>
            <w:noWrap/>
            <w:vAlign w:val="center"/>
          </w:tcPr>
          <w:p w14:paraId="0EB028F6"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92,00 / 101,00</w:t>
            </w:r>
          </w:p>
        </w:tc>
        <w:tc>
          <w:tcPr>
            <w:tcW w:w="1589" w:type="dxa"/>
            <w:tcBorders>
              <w:top w:val="nil"/>
              <w:left w:val="single" w:sz="8" w:space="0" w:color="auto"/>
              <w:bottom w:val="nil"/>
              <w:right w:val="single" w:sz="4" w:space="0" w:color="auto"/>
            </w:tcBorders>
            <w:vAlign w:val="center"/>
          </w:tcPr>
          <w:p w14:paraId="1720152D"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101,00 / 106,00</w:t>
            </w:r>
          </w:p>
        </w:tc>
        <w:tc>
          <w:tcPr>
            <w:tcW w:w="1589" w:type="dxa"/>
            <w:tcBorders>
              <w:top w:val="nil"/>
              <w:left w:val="single" w:sz="8" w:space="0" w:color="auto"/>
              <w:bottom w:val="nil"/>
              <w:right w:val="single" w:sz="4" w:space="0" w:color="auto"/>
            </w:tcBorders>
          </w:tcPr>
          <w:p w14:paraId="44D90E7A"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111,00</w:t>
            </w:r>
          </w:p>
        </w:tc>
      </w:tr>
      <w:tr w:rsidR="00DB596B" w:rsidRPr="00D56D87" w14:paraId="1DC71211" w14:textId="77777777" w:rsidTr="00D56D87">
        <w:trPr>
          <w:trHeight w:val="222"/>
          <w:jc w:val="center"/>
        </w:trPr>
        <w:tc>
          <w:tcPr>
            <w:tcW w:w="2774" w:type="dxa"/>
            <w:tcBorders>
              <w:top w:val="nil"/>
              <w:left w:val="single" w:sz="4" w:space="0" w:color="auto"/>
              <w:bottom w:val="nil"/>
              <w:right w:val="nil"/>
            </w:tcBorders>
            <w:shd w:val="clear" w:color="auto" w:fill="auto"/>
            <w:noWrap/>
            <w:vAlign w:val="bottom"/>
            <w:hideMark/>
          </w:tcPr>
          <w:p w14:paraId="55A31DE2" w14:textId="77777777" w:rsidR="00DB596B" w:rsidRPr="00D56D87" w:rsidRDefault="00DB596B" w:rsidP="00401A5B">
            <w:pPr>
              <w:ind w:firstLine="1305"/>
              <w:jc w:val="both"/>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Lietuva</w:t>
            </w:r>
          </w:p>
        </w:tc>
        <w:tc>
          <w:tcPr>
            <w:tcW w:w="1589" w:type="dxa"/>
            <w:tcBorders>
              <w:top w:val="nil"/>
              <w:left w:val="single" w:sz="8" w:space="0" w:color="auto"/>
              <w:bottom w:val="nil"/>
              <w:right w:val="nil"/>
            </w:tcBorders>
            <w:shd w:val="clear" w:color="auto" w:fill="auto"/>
            <w:noWrap/>
            <w:vAlign w:val="center"/>
            <w:hideMark/>
          </w:tcPr>
          <w:p w14:paraId="6DBE45F5"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185,82</w:t>
            </w:r>
          </w:p>
        </w:tc>
        <w:tc>
          <w:tcPr>
            <w:tcW w:w="1591" w:type="dxa"/>
            <w:tcBorders>
              <w:top w:val="nil"/>
              <w:left w:val="single" w:sz="8" w:space="0" w:color="auto"/>
              <w:bottom w:val="nil"/>
              <w:right w:val="single" w:sz="4" w:space="0" w:color="auto"/>
            </w:tcBorders>
            <w:shd w:val="clear" w:color="auto" w:fill="auto"/>
            <w:noWrap/>
            <w:vAlign w:val="center"/>
          </w:tcPr>
          <w:p w14:paraId="378EC68F"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185,82</w:t>
            </w:r>
          </w:p>
        </w:tc>
        <w:tc>
          <w:tcPr>
            <w:tcW w:w="1589" w:type="dxa"/>
            <w:tcBorders>
              <w:top w:val="nil"/>
              <w:left w:val="single" w:sz="8" w:space="0" w:color="auto"/>
              <w:bottom w:val="nil"/>
              <w:right w:val="single" w:sz="4" w:space="0" w:color="auto"/>
            </w:tcBorders>
            <w:vAlign w:val="center"/>
          </w:tcPr>
          <w:p w14:paraId="7B642DD8"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185,82</w:t>
            </w:r>
          </w:p>
        </w:tc>
        <w:tc>
          <w:tcPr>
            <w:tcW w:w="1589" w:type="dxa"/>
            <w:tcBorders>
              <w:top w:val="nil"/>
              <w:left w:val="single" w:sz="8" w:space="0" w:color="auto"/>
              <w:bottom w:val="nil"/>
              <w:right w:val="single" w:sz="4" w:space="0" w:color="auto"/>
            </w:tcBorders>
            <w:vAlign w:val="center"/>
          </w:tcPr>
          <w:p w14:paraId="4D3FA5C3"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185,82</w:t>
            </w:r>
          </w:p>
        </w:tc>
      </w:tr>
      <w:tr w:rsidR="00DB596B" w:rsidRPr="00D56D87" w14:paraId="19C89BFD" w14:textId="77777777" w:rsidTr="00D56D87">
        <w:trPr>
          <w:trHeight w:val="232"/>
          <w:jc w:val="center"/>
        </w:trPr>
        <w:tc>
          <w:tcPr>
            <w:tcW w:w="2774" w:type="dxa"/>
            <w:tcBorders>
              <w:top w:val="nil"/>
              <w:left w:val="single" w:sz="4" w:space="0" w:color="auto"/>
              <w:bottom w:val="single" w:sz="8" w:space="0" w:color="auto"/>
              <w:right w:val="nil"/>
            </w:tcBorders>
            <w:shd w:val="clear" w:color="auto" w:fill="auto"/>
            <w:noWrap/>
            <w:vAlign w:val="bottom"/>
            <w:hideMark/>
          </w:tcPr>
          <w:p w14:paraId="790CE30D" w14:textId="77777777" w:rsidR="00DB596B" w:rsidRPr="00D56D87" w:rsidRDefault="00DB596B" w:rsidP="00401A5B">
            <w:pPr>
              <w:ind w:firstLine="1305"/>
              <w:jc w:val="both"/>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Igaunija**</w:t>
            </w:r>
          </w:p>
        </w:tc>
        <w:tc>
          <w:tcPr>
            <w:tcW w:w="1589" w:type="dxa"/>
            <w:tcBorders>
              <w:top w:val="nil"/>
              <w:left w:val="single" w:sz="8" w:space="0" w:color="auto"/>
              <w:bottom w:val="single" w:sz="8" w:space="0" w:color="auto"/>
              <w:right w:val="nil"/>
            </w:tcBorders>
            <w:shd w:val="clear" w:color="auto" w:fill="auto"/>
            <w:noWrap/>
            <w:vAlign w:val="center"/>
            <w:hideMark/>
          </w:tcPr>
          <w:p w14:paraId="7E6F517F"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263,03 / 289,33</w:t>
            </w:r>
          </w:p>
        </w:tc>
        <w:tc>
          <w:tcPr>
            <w:tcW w:w="1591" w:type="dxa"/>
            <w:tcBorders>
              <w:top w:val="nil"/>
              <w:left w:val="single" w:sz="8" w:space="0" w:color="auto"/>
              <w:bottom w:val="single" w:sz="8" w:space="0" w:color="auto"/>
              <w:right w:val="single" w:sz="4" w:space="0" w:color="auto"/>
            </w:tcBorders>
            <w:shd w:val="clear" w:color="auto" w:fill="auto"/>
            <w:noWrap/>
            <w:vAlign w:val="center"/>
          </w:tcPr>
          <w:p w14:paraId="0F966502"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289,33</w:t>
            </w:r>
          </w:p>
        </w:tc>
        <w:tc>
          <w:tcPr>
            <w:tcW w:w="1589" w:type="dxa"/>
            <w:tcBorders>
              <w:top w:val="nil"/>
              <w:left w:val="single" w:sz="8" w:space="0" w:color="auto"/>
              <w:bottom w:val="single" w:sz="8" w:space="0" w:color="auto"/>
              <w:right w:val="single" w:sz="4" w:space="0" w:color="auto"/>
            </w:tcBorders>
            <w:vAlign w:val="center"/>
          </w:tcPr>
          <w:p w14:paraId="17ADB88C"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289,33</w:t>
            </w:r>
          </w:p>
        </w:tc>
        <w:tc>
          <w:tcPr>
            <w:tcW w:w="1589" w:type="dxa"/>
            <w:tcBorders>
              <w:top w:val="nil"/>
              <w:left w:val="single" w:sz="8" w:space="0" w:color="auto"/>
              <w:bottom w:val="single" w:sz="8" w:space="0" w:color="auto"/>
              <w:right w:val="single" w:sz="4" w:space="0" w:color="auto"/>
            </w:tcBorders>
            <w:vAlign w:val="center"/>
          </w:tcPr>
          <w:p w14:paraId="7E8D9CE3"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289,33</w:t>
            </w:r>
          </w:p>
        </w:tc>
      </w:tr>
      <w:tr w:rsidR="00DB596B" w:rsidRPr="00D56D87" w14:paraId="01833830" w14:textId="77777777" w:rsidTr="00D56D87">
        <w:trPr>
          <w:trHeight w:val="232"/>
          <w:jc w:val="center"/>
        </w:trPr>
        <w:tc>
          <w:tcPr>
            <w:tcW w:w="9132" w:type="dxa"/>
            <w:gridSpan w:val="5"/>
            <w:tcBorders>
              <w:top w:val="nil"/>
              <w:left w:val="single" w:sz="4" w:space="0" w:color="auto"/>
              <w:bottom w:val="single" w:sz="8" w:space="0" w:color="auto"/>
              <w:right w:val="single" w:sz="4" w:space="0" w:color="auto"/>
            </w:tcBorders>
            <w:shd w:val="clear" w:color="auto" w:fill="DEEAF6" w:themeFill="accent1" w:themeFillTint="33"/>
            <w:noWrap/>
            <w:vAlign w:val="center"/>
            <w:hideMark/>
          </w:tcPr>
          <w:p w14:paraId="40150590" w14:textId="77777777" w:rsidR="00DB596B" w:rsidRPr="00D56D87" w:rsidRDefault="00DB596B" w:rsidP="00401A5B">
            <w:pPr>
              <w:rPr>
                <w:rFonts w:ascii="Times New Roman" w:eastAsia="Times New Roman" w:hAnsi="Times New Roman" w:cs="Times New Roman"/>
                <w:b/>
                <w:color w:val="000000"/>
                <w:sz w:val="20"/>
                <w:szCs w:val="20"/>
              </w:rPr>
            </w:pPr>
            <w:r w:rsidRPr="00D56D87">
              <w:rPr>
                <w:rFonts w:ascii="Times New Roman" w:eastAsia="Times New Roman" w:hAnsi="Times New Roman" w:cs="Times New Roman"/>
                <w:b/>
                <w:color w:val="000000"/>
                <w:sz w:val="20"/>
                <w:szCs w:val="20"/>
              </w:rPr>
              <w:t>Starpprodukti ar absolūtā spirta saturu no 15 tilpumprocentiem līdz 22 tilpumprocentiem,</w:t>
            </w:r>
            <w:r w:rsidRPr="00D56D87">
              <w:rPr>
                <w:rFonts w:ascii="Times New Roman" w:eastAsia="Times New Roman" w:hAnsi="Times New Roman" w:cs="Times New Roman"/>
                <w:color w:val="000000"/>
                <w:sz w:val="20"/>
                <w:szCs w:val="20"/>
              </w:rPr>
              <w:t xml:space="preserve"> </w:t>
            </w:r>
            <w:r w:rsidRPr="00D56D87">
              <w:rPr>
                <w:rFonts w:ascii="Times New Roman" w:eastAsia="Times New Roman" w:hAnsi="Times New Roman" w:cs="Times New Roman"/>
                <w:i/>
                <w:color w:val="000000"/>
                <w:sz w:val="20"/>
                <w:szCs w:val="20"/>
              </w:rPr>
              <w:t>euro</w:t>
            </w:r>
            <w:r w:rsidRPr="00D56D87">
              <w:rPr>
                <w:rFonts w:ascii="Times New Roman" w:eastAsia="Times New Roman" w:hAnsi="Times New Roman" w:cs="Times New Roman"/>
                <w:color w:val="000000"/>
                <w:sz w:val="20"/>
                <w:szCs w:val="20"/>
              </w:rPr>
              <w:t>/100 l</w:t>
            </w:r>
          </w:p>
        </w:tc>
      </w:tr>
      <w:tr w:rsidR="00DB596B" w:rsidRPr="00D56D87" w14:paraId="131260C3" w14:textId="77777777" w:rsidTr="00D56D87">
        <w:trPr>
          <w:trHeight w:val="222"/>
          <w:jc w:val="center"/>
        </w:trPr>
        <w:tc>
          <w:tcPr>
            <w:tcW w:w="2774" w:type="dxa"/>
            <w:tcBorders>
              <w:top w:val="nil"/>
              <w:left w:val="single" w:sz="4" w:space="0" w:color="auto"/>
              <w:bottom w:val="nil"/>
              <w:right w:val="single" w:sz="8" w:space="0" w:color="auto"/>
            </w:tcBorders>
            <w:shd w:val="clear" w:color="auto" w:fill="auto"/>
            <w:noWrap/>
            <w:hideMark/>
          </w:tcPr>
          <w:p w14:paraId="220F38DF" w14:textId="77777777" w:rsidR="00DB596B" w:rsidRPr="00D56D87" w:rsidRDefault="00DB596B" w:rsidP="00401A5B">
            <w:pPr>
              <w:ind w:firstLine="1305"/>
              <w:jc w:val="both"/>
              <w:rPr>
                <w:rFonts w:ascii="Times New Roman" w:eastAsia="Times New Roman" w:hAnsi="Times New Roman" w:cs="Times New Roman"/>
                <w:b/>
                <w:color w:val="000000"/>
                <w:sz w:val="20"/>
                <w:szCs w:val="20"/>
              </w:rPr>
            </w:pPr>
            <w:r w:rsidRPr="00D56D87">
              <w:rPr>
                <w:rFonts w:ascii="Times New Roman" w:eastAsia="Times New Roman" w:hAnsi="Times New Roman" w:cs="Times New Roman"/>
                <w:b/>
                <w:color w:val="000000"/>
                <w:sz w:val="20"/>
                <w:szCs w:val="20"/>
              </w:rPr>
              <w:t>Latvija***</w:t>
            </w:r>
          </w:p>
        </w:tc>
        <w:tc>
          <w:tcPr>
            <w:tcW w:w="1589" w:type="dxa"/>
            <w:tcBorders>
              <w:top w:val="nil"/>
              <w:left w:val="nil"/>
              <w:bottom w:val="nil"/>
              <w:right w:val="single" w:sz="8" w:space="0" w:color="auto"/>
            </w:tcBorders>
            <w:shd w:val="clear" w:color="auto" w:fill="auto"/>
            <w:noWrap/>
            <w:vAlign w:val="center"/>
            <w:hideMark/>
          </w:tcPr>
          <w:p w14:paraId="3D0575AA"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130,00 / 150,00</w:t>
            </w:r>
          </w:p>
        </w:tc>
        <w:tc>
          <w:tcPr>
            <w:tcW w:w="1591" w:type="dxa"/>
            <w:tcBorders>
              <w:top w:val="nil"/>
              <w:left w:val="nil"/>
              <w:bottom w:val="nil"/>
              <w:right w:val="single" w:sz="4" w:space="0" w:color="auto"/>
            </w:tcBorders>
            <w:shd w:val="clear" w:color="auto" w:fill="auto"/>
            <w:noWrap/>
            <w:vAlign w:val="center"/>
          </w:tcPr>
          <w:p w14:paraId="157FD802"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150,00 / 168,00</w:t>
            </w:r>
          </w:p>
        </w:tc>
        <w:tc>
          <w:tcPr>
            <w:tcW w:w="1589" w:type="dxa"/>
            <w:tcBorders>
              <w:top w:val="nil"/>
              <w:left w:val="nil"/>
              <w:bottom w:val="nil"/>
              <w:right w:val="single" w:sz="4" w:space="0" w:color="auto"/>
            </w:tcBorders>
            <w:vAlign w:val="center"/>
          </w:tcPr>
          <w:p w14:paraId="648E8D68"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168,00 / 176,00</w:t>
            </w:r>
          </w:p>
        </w:tc>
        <w:tc>
          <w:tcPr>
            <w:tcW w:w="1589" w:type="dxa"/>
            <w:tcBorders>
              <w:top w:val="nil"/>
              <w:left w:val="nil"/>
              <w:bottom w:val="nil"/>
              <w:right w:val="single" w:sz="4" w:space="0" w:color="auto"/>
            </w:tcBorders>
          </w:tcPr>
          <w:p w14:paraId="4BD3AFF6"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185,00</w:t>
            </w:r>
          </w:p>
        </w:tc>
      </w:tr>
      <w:tr w:rsidR="00DB596B" w:rsidRPr="00D56D87" w14:paraId="65D645E9" w14:textId="77777777" w:rsidTr="00D56D87">
        <w:trPr>
          <w:trHeight w:val="222"/>
          <w:jc w:val="center"/>
        </w:trPr>
        <w:tc>
          <w:tcPr>
            <w:tcW w:w="2774" w:type="dxa"/>
            <w:tcBorders>
              <w:top w:val="nil"/>
              <w:left w:val="single" w:sz="4" w:space="0" w:color="auto"/>
              <w:bottom w:val="nil"/>
              <w:right w:val="single" w:sz="8" w:space="0" w:color="auto"/>
            </w:tcBorders>
            <w:shd w:val="clear" w:color="auto" w:fill="auto"/>
            <w:noWrap/>
            <w:vAlign w:val="bottom"/>
            <w:hideMark/>
          </w:tcPr>
          <w:p w14:paraId="4316DE00" w14:textId="77777777" w:rsidR="00DB596B" w:rsidRPr="00D56D87" w:rsidRDefault="00DB596B" w:rsidP="00401A5B">
            <w:pPr>
              <w:ind w:firstLine="1305"/>
              <w:jc w:val="both"/>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Lietuva</w:t>
            </w:r>
          </w:p>
        </w:tc>
        <w:tc>
          <w:tcPr>
            <w:tcW w:w="1589" w:type="dxa"/>
            <w:tcBorders>
              <w:top w:val="nil"/>
              <w:left w:val="nil"/>
              <w:bottom w:val="nil"/>
              <w:right w:val="single" w:sz="8" w:space="0" w:color="auto"/>
            </w:tcBorders>
            <w:shd w:val="clear" w:color="auto" w:fill="auto"/>
            <w:noWrap/>
            <w:vAlign w:val="center"/>
            <w:hideMark/>
          </w:tcPr>
          <w:p w14:paraId="5F4F7293"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264,52</w:t>
            </w:r>
          </w:p>
        </w:tc>
        <w:tc>
          <w:tcPr>
            <w:tcW w:w="1591" w:type="dxa"/>
            <w:tcBorders>
              <w:top w:val="nil"/>
              <w:left w:val="nil"/>
              <w:bottom w:val="nil"/>
              <w:right w:val="single" w:sz="4" w:space="0" w:color="auto"/>
            </w:tcBorders>
            <w:shd w:val="clear" w:color="auto" w:fill="auto"/>
            <w:noWrap/>
            <w:vAlign w:val="center"/>
          </w:tcPr>
          <w:p w14:paraId="05EB63AC"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264,52</w:t>
            </w:r>
          </w:p>
        </w:tc>
        <w:tc>
          <w:tcPr>
            <w:tcW w:w="1589" w:type="dxa"/>
            <w:tcBorders>
              <w:top w:val="nil"/>
              <w:left w:val="nil"/>
              <w:bottom w:val="nil"/>
              <w:right w:val="single" w:sz="4" w:space="0" w:color="auto"/>
            </w:tcBorders>
            <w:vAlign w:val="center"/>
          </w:tcPr>
          <w:p w14:paraId="325B7109"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264,52</w:t>
            </w:r>
          </w:p>
        </w:tc>
        <w:tc>
          <w:tcPr>
            <w:tcW w:w="1589" w:type="dxa"/>
            <w:tcBorders>
              <w:top w:val="nil"/>
              <w:left w:val="nil"/>
              <w:bottom w:val="nil"/>
              <w:right w:val="single" w:sz="4" w:space="0" w:color="auto"/>
            </w:tcBorders>
            <w:vAlign w:val="center"/>
          </w:tcPr>
          <w:p w14:paraId="790C3EE8"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264,52</w:t>
            </w:r>
          </w:p>
        </w:tc>
      </w:tr>
      <w:tr w:rsidR="00DB596B" w:rsidRPr="00D56D87" w14:paraId="798BCABE" w14:textId="77777777" w:rsidTr="00D56D87">
        <w:trPr>
          <w:trHeight w:val="232"/>
          <w:jc w:val="center"/>
        </w:trPr>
        <w:tc>
          <w:tcPr>
            <w:tcW w:w="2774" w:type="dxa"/>
            <w:tcBorders>
              <w:top w:val="nil"/>
              <w:left w:val="single" w:sz="4" w:space="0" w:color="auto"/>
              <w:bottom w:val="single" w:sz="8" w:space="0" w:color="auto"/>
              <w:right w:val="single" w:sz="8" w:space="0" w:color="auto"/>
            </w:tcBorders>
            <w:shd w:val="clear" w:color="auto" w:fill="auto"/>
            <w:noWrap/>
            <w:vAlign w:val="bottom"/>
            <w:hideMark/>
          </w:tcPr>
          <w:p w14:paraId="6844F0C1" w14:textId="77777777" w:rsidR="00DB596B" w:rsidRPr="00D56D87" w:rsidRDefault="00DB596B" w:rsidP="00401A5B">
            <w:pPr>
              <w:ind w:firstLine="1305"/>
              <w:jc w:val="both"/>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Igaunija**</w:t>
            </w:r>
          </w:p>
        </w:tc>
        <w:tc>
          <w:tcPr>
            <w:tcW w:w="1589" w:type="dxa"/>
            <w:tcBorders>
              <w:top w:val="nil"/>
              <w:left w:val="nil"/>
              <w:bottom w:val="single" w:sz="8" w:space="0" w:color="auto"/>
              <w:right w:val="single" w:sz="8" w:space="0" w:color="auto"/>
            </w:tcBorders>
            <w:shd w:val="clear" w:color="auto" w:fill="auto"/>
            <w:noWrap/>
            <w:vAlign w:val="center"/>
            <w:hideMark/>
          </w:tcPr>
          <w:p w14:paraId="37D518A5"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263,03 / 289,33</w:t>
            </w:r>
          </w:p>
        </w:tc>
        <w:tc>
          <w:tcPr>
            <w:tcW w:w="1591" w:type="dxa"/>
            <w:tcBorders>
              <w:top w:val="nil"/>
              <w:left w:val="nil"/>
              <w:bottom w:val="single" w:sz="8" w:space="0" w:color="auto"/>
              <w:right w:val="single" w:sz="4" w:space="0" w:color="auto"/>
            </w:tcBorders>
            <w:shd w:val="clear" w:color="auto" w:fill="auto"/>
            <w:noWrap/>
          </w:tcPr>
          <w:p w14:paraId="051F4770"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289,33</w:t>
            </w:r>
          </w:p>
        </w:tc>
        <w:tc>
          <w:tcPr>
            <w:tcW w:w="1589" w:type="dxa"/>
            <w:tcBorders>
              <w:top w:val="nil"/>
              <w:left w:val="nil"/>
              <w:bottom w:val="single" w:sz="8" w:space="0" w:color="auto"/>
              <w:right w:val="single" w:sz="4" w:space="0" w:color="auto"/>
            </w:tcBorders>
          </w:tcPr>
          <w:p w14:paraId="1C0450D5"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289,33</w:t>
            </w:r>
          </w:p>
        </w:tc>
        <w:tc>
          <w:tcPr>
            <w:tcW w:w="1589" w:type="dxa"/>
            <w:tcBorders>
              <w:top w:val="nil"/>
              <w:left w:val="nil"/>
              <w:bottom w:val="single" w:sz="8" w:space="0" w:color="auto"/>
              <w:right w:val="single" w:sz="4" w:space="0" w:color="auto"/>
            </w:tcBorders>
          </w:tcPr>
          <w:p w14:paraId="6C9DB73F"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289,33</w:t>
            </w:r>
          </w:p>
        </w:tc>
      </w:tr>
      <w:tr w:rsidR="00DB596B" w:rsidRPr="00D56D87" w14:paraId="4D3610A5" w14:textId="77777777" w:rsidTr="00D56D87">
        <w:trPr>
          <w:trHeight w:val="232"/>
          <w:jc w:val="center"/>
        </w:trPr>
        <w:tc>
          <w:tcPr>
            <w:tcW w:w="5954" w:type="dxa"/>
            <w:gridSpan w:val="3"/>
            <w:tcBorders>
              <w:top w:val="nil"/>
              <w:left w:val="single" w:sz="4" w:space="0" w:color="auto"/>
              <w:bottom w:val="single" w:sz="8" w:space="0" w:color="auto"/>
              <w:right w:val="single" w:sz="4" w:space="0" w:color="auto"/>
            </w:tcBorders>
            <w:shd w:val="clear" w:color="auto" w:fill="DEEAF6" w:themeFill="accent1" w:themeFillTint="33"/>
            <w:noWrap/>
            <w:vAlign w:val="center"/>
            <w:hideMark/>
          </w:tcPr>
          <w:p w14:paraId="02EDD9BB" w14:textId="77777777" w:rsidR="00DB596B" w:rsidRPr="00D56D87" w:rsidRDefault="00DB596B" w:rsidP="00401A5B">
            <w:pPr>
              <w:rPr>
                <w:rFonts w:ascii="Times New Roman" w:eastAsia="Times New Roman" w:hAnsi="Times New Roman" w:cs="Times New Roman"/>
                <w:b/>
                <w:bCs/>
                <w:sz w:val="20"/>
                <w:szCs w:val="20"/>
              </w:rPr>
            </w:pPr>
            <w:r w:rsidRPr="00D56D87">
              <w:rPr>
                <w:rFonts w:ascii="Times New Roman" w:eastAsia="Times New Roman" w:hAnsi="Times New Roman" w:cs="Times New Roman"/>
                <w:b/>
                <w:color w:val="000000"/>
                <w:sz w:val="20"/>
                <w:szCs w:val="20"/>
              </w:rPr>
              <w:t>Pārējie alkoholiskie dzērieni</w:t>
            </w:r>
            <w:r w:rsidRPr="00D56D87">
              <w:rPr>
                <w:rFonts w:ascii="Times New Roman" w:eastAsia="Times New Roman" w:hAnsi="Times New Roman" w:cs="Times New Roman"/>
                <w:color w:val="000000"/>
                <w:sz w:val="20"/>
                <w:szCs w:val="20"/>
              </w:rPr>
              <w:t xml:space="preserve">, </w:t>
            </w:r>
            <w:r w:rsidRPr="00D56D87">
              <w:rPr>
                <w:rFonts w:ascii="Times New Roman" w:eastAsia="Times New Roman" w:hAnsi="Times New Roman" w:cs="Times New Roman"/>
                <w:i/>
                <w:color w:val="000000"/>
                <w:sz w:val="20"/>
                <w:szCs w:val="20"/>
              </w:rPr>
              <w:t>euro</w:t>
            </w:r>
            <w:r w:rsidRPr="00D56D87">
              <w:rPr>
                <w:rFonts w:ascii="Times New Roman" w:eastAsia="Times New Roman" w:hAnsi="Times New Roman" w:cs="Times New Roman"/>
                <w:color w:val="000000"/>
                <w:sz w:val="20"/>
                <w:szCs w:val="20"/>
              </w:rPr>
              <w:t xml:space="preserve"> par 100 l absolūtā spirta</w:t>
            </w:r>
          </w:p>
        </w:tc>
        <w:tc>
          <w:tcPr>
            <w:tcW w:w="1589" w:type="dxa"/>
            <w:tcBorders>
              <w:top w:val="nil"/>
              <w:left w:val="single" w:sz="4" w:space="0" w:color="auto"/>
              <w:bottom w:val="single" w:sz="8" w:space="0" w:color="auto"/>
              <w:right w:val="single" w:sz="4" w:space="0" w:color="auto"/>
            </w:tcBorders>
            <w:shd w:val="clear" w:color="auto" w:fill="DEEAF6" w:themeFill="accent1" w:themeFillTint="33"/>
          </w:tcPr>
          <w:p w14:paraId="79C69467" w14:textId="77777777" w:rsidR="00DB596B" w:rsidRPr="00D56D87" w:rsidRDefault="00DB596B" w:rsidP="00401A5B">
            <w:pPr>
              <w:rPr>
                <w:rFonts w:ascii="Times New Roman" w:eastAsia="Times New Roman" w:hAnsi="Times New Roman" w:cs="Times New Roman"/>
                <w:b/>
                <w:color w:val="000000"/>
                <w:sz w:val="20"/>
                <w:szCs w:val="20"/>
              </w:rPr>
            </w:pPr>
          </w:p>
        </w:tc>
        <w:tc>
          <w:tcPr>
            <w:tcW w:w="1589" w:type="dxa"/>
            <w:tcBorders>
              <w:top w:val="nil"/>
              <w:left w:val="single" w:sz="4" w:space="0" w:color="auto"/>
              <w:bottom w:val="single" w:sz="8" w:space="0" w:color="auto"/>
              <w:right w:val="single" w:sz="4" w:space="0" w:color="auto"/>
            </w:tcBorders>
            <w:shd w:val="clear" w:color="auto" w:fill="DEEAF6" w:themeFill="accent1" w:themeFillTint="33"/>
          </w:tcPr>
          <w:p w14:paraId="52381979" w14:textId="77777777" w:rsidR="00DB596B" w:rsidRPr="00D56D87" w:rsidRDefault="00DB596B" w:rsidP="00401A5B">
            <w:pPr>
              <w:rPr>
                <w:rFonts w:ascii="Times New Roman" w:eastAsia="Times New Roman" w:hAnsi="Times New Roman" w:cs="Times New Roman"/>
                <w:b/>
                <w:color w:val="000000"/>
                <w:sz w:val="20"/>
                <w:szCs w:val="20"/>
              </w:rPr>
            </w:pPr>
          </w:p>
        </w:tc>
      </w:tr>
      <w:tr w:rsidR="00DB596B" w:rsidRPr="00D56D87" w14:paraId="7795CBCD" w14:textId="77777777" w:rsidTr="00D56D87">
        <w:trPr>
          <w:trHeight w:val="232"/>
          <w:jc w:val="center"/>
        </w:trPr>
        <w:tc>
          <w:tcPr>
            <w:tcW w:w="2774" w:type="dxa"/>
            <w:tcBorders>
              <w:top w:val="nil"/>
              <w:left w:val="single" w:sz="4" w:space="0" w:color="auto"/>
              <w:right w:val="single" w:sz="8" w:space="0" w:color="auto"/>
            </w:tcBorders>
            <w:shd w:val="clear" w:color="auto" w:fill="auto"/>
            <w:noWrap/>
            <w:vAlign w:val="center"/>
            <w:hideMark/>
          </w:tcPr>
          <w:p w14:paraId="2E29740B" w14:textId="77777777" w:rsidR="00DB596B" w:rsidRPr="00D56D87" w:rsidRDefault="00DB596B" w:rsidP="00401A5B">
            <w:pPr>
              <w:ind w:firstLine="1305"/>
              <w:rPr>
                <w:rFonts w:ascii="Times New Roman" w:eastAsia="Times New Roman" w:hAnsi="Times New Roman" w:cs="Times New Roman"/>
                <w:b/>
                <w:color w:val="000000"/>
                <w:sz w:val="20"/>
                <w:szCs w:val="20"/>
              </w:rPr>
            </w:pPr>
            <w:r w:rsidRPr="00D56D87">
              <w:rPr>
                <w:rFonts w:ascii="Times New Roman" w:eastAsia="Times New Roman" w:hAnsi="Times New Roman" w:cs="Times New Roman"/>
                <w:b/>
                <w:color w:val="000000"/>
                <w:sz w:val="20"/>
                <w:szCs w:val="20"/>
              </w:rPr>
              <w:t>Latvija***</w:t>
            </w:r>
          </w:p>
        </w:tc>
        <w:tc>
          <w:tcPr>
            <w:tcW w:w="1589" w:type="dxa"/>
            <w:tcBorders>
              <w:top w:val="nil"/>
              <w:left w:val="nil"/>
              <w:right w:val="single" w:sz="8" w:space="0" w:color="auto"/>
            </w:tcBorders>
            <w:shd w:val="clear" w:color="auto" w:fill="auto"/>
            <w:noWrap/>
            <w:vAlign w:val="center"/>
            <w:hideMark/>
          </w:tcPr>
          <w:p w14:paraId="07558545"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1 450,00 / 1 670,00</w:t>
            </w:r>
          </w:p>
        </w:tc>
        <w:tc>
          <w:tcPr>
            <w:tcW w:w="1591" w:type="dxa"/>
            <w:tcBorders>
              <w:top w:val="nil"/>
              <w:left w:val="nil"/>
              <w:right w:val="single" w:sz="4" w:space="0" w:color="auto"/>
            </w:tcBorders>
            <w:shd w:val="clear" w:color="auto" w:fill="auto"/>
            <w:noWrap/>
            <w:vAlign w:val="center"/>
          </w:tcPr>
          <w:p w14:paraId="76E64F2D"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1 670,00 / 1 840,00/ 1 564,00</w:t>
            </w:r>
          </w:p>
        </w:tc>
        <w:tc>
          <w:tcPr>
            <w:tcW w:w="1589" w:type="dxa"/>
            <w:tcBorders>
              <w:top w:val="nil"/>
              <w:left w:val="nil"/>
              <w:right w:val="single" w:sz="4" w:space="0" w:color="auto"/>
            </w:tcBorders>
            <w:vAlign w:val="center"/>
          </w:tcPr>
          <w:p w14:paraId="7C786A81"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1 564,00 / 1 642,00</w:t>
            </w:r>
          </w:p>
        </w:tc>
        <w:tc>
          <w:tcPr>
            <w:tcW w:w="1589" w:type="dxa"/>
            <w:tcBorders>
              <w:top w:val="nil"/>
              <w:left w:val="nil"/>
              <w:right w:val="single" w:sz="4" w:space="0" w:color="auto"/>
            </w:tcBorders>
            <w:vAlign w:val="center"/>
          </w:tcPr>
          <w:p w14:paraId="329ACC21" w14:textId="77777777" w:rsidR="00DB596B" w:rsidRPr="00D56D87" w:rsidRDefault="00DB596B" w:rsidP="00401A5B">
            <w:pPr>
              <w:jc w:val="center"/>
              <w:rPr>
                <w:rFonts w:ascii="Times New Roman" w:eastAsia="Times New Roman" w:hAnsi="Times New Roman" w:cs="Times New Roman"/>
                <w:b/>
                <w:bCs/>
                <w:iCs/>
                <w:sz w:val="20"/>
                <w:szCs w:val="20"/>
              </w:rPr>
            </w:pPr>
            <w:r w:rsidRPr="00D56D87">
              <w:rPr>
                <w:rFonts w:ascii="Times New Roman" w:eastAsia="Times New Roman" w:hAnsi="Times New Roman" w:cs="Times New Roman"/>
                <w:b/>
                <w:bCs/>
                <w:iCs/>
                <w:sz w:val="20"/>
                <w:szCs w:val="20"/>
              </w:rPr>
              <w:t>1 724,00</w:t>
            </w:r>
          </w:p>
        </w:tc>
      </w:tr>
      <w:tr w:rsidR="00DB596B" w:rsidRPr="00D56D87" w14:paraId="36A9120E" w14:textId="77777777" w:rsidTr="00D56D87">
        <w:trPr>
          <w:trHeight w:val="232"/>
          <w:jc w:val="center"/>
        </w:trPr>
        <w:tc>
          <w:tcPr>
            <w:tcW w:w="2774" w:type="dxa"/>
            <w:tcBorders>
              <w:left w:val="single" w:sz="4" w:space="0" w:color="auto"/>
              <w:right w:val="single" w:sz="8" w:space="0" w:color="auto"/>
            </w:tcBorders>
            <w:shd w:val="clear" w:color="auto" w:fill="auto"/>
            <w:noWrap/>
            <w:vAlign w:val="center"/>
            <w:hideMark/>
          </w:tcPr>
          <w:p w14:paraId="48B8720E" w14:textId="77777777" w:rsidR="00DB596B" w:rsidRPr="00D56D87" w:rsidRDefault="00DB596B" w:rsidP="00401A5B">
            <w:pPr>
              <w:ind w:firstLine="1305"/>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Lietuva*</w:t>
            </w:r>
          </w:p>
        </w:tc>
        <w:tc>
          <w:tcPr>
            <w:tcW w:w="1589" w:type="dxa"/>
            <w:tcBorders>
              <w:left w:val="nil"/>
              <w:right w:val="single" w:sz="8" w:space="0" w:color="auto"/>
            </w:tcBorders>
            <w:shd w:val="clear" w:color="auto" w:fill="auto"/>
            <w:noWrap/>
            <w:vAlign w:val="center"/>
            <w:hideMark/>
          </w:tcPr>
          <w:p w14:paraId="66FC6338"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1 665,04</w:t>
            </w:r>
          </w:p>
        </w:tc>
        <w:tc>
          <w:tcPr>
            <w:tcW w:w="1591" w:type="dxa"/>
            <w:tcBorders>
              <w:left w:val="nil"/>
              <w:right w:val="single" w:sz="4" w:space="0" w:color="auto"/>
            </w:tcBorders>
            <w:shd w:val="clear" w:color="auto" w:fill="auto"/>
            <w:noWrap/>
            <w:vAlign w:val="center"/>
          </w:tcPr>
          <w:p w14:paraId="7B7736E7" w14:textId="3B134FDA" w:rsidR="00DB596B" w:rsidRPr="00D56D87" w:rsidRDefault="00831E9C" w:rsidP="00401A5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r w:rsidR="00DB596B" w:rsidRPr="00D56D87">
              <w:rPr>
                <w:rFonts w:ascii="Times New Roman" w:eastAsia="Times New Roman" w:hAnsi="Times New Roman" w:cs="Times New Roman"/>
                <w:color w:val="000000"/>
                <w:sz w:val="20"/>
                <w:szCs w:val="20"/>
              </w:rPr>
              <w:t>665,04/ 1 832,00</w:t>
            </w:r>
          </w:p>
        </w:tc>
        <w:tc>
          <w:tcPr>
            <w:tcW w:w="1589" w:type="dxa"/>
            <w:tcBorders>
              <w:left w:val="nil"/>
              <w:right w:val="single" w:sz="4" w:space="0" w:color="auto"/>
            </w:tcBorders>
            <w:vAlign w:val="center"/>
          </w:tcPr>
          <w:p w14:paraId="27823AC6"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1 832,00</w:t>
            </w:r>
          </w:p>
        </w:tc>
        <w:tc>
          <w:tcPr>
            <w:tcW w:w="1589" w:type="dxa"/>
            <w:tcBorders>
              <w:left w:val="nil"/>
              <w:right w:val="single" w:sz="4" w:space="0" w:color="auto"/>
            </w:tcBorders>
            <w:vAlign w:val="center"/>
          </w:tcPr>
          <w:p w14:paraId="4A158556" w14:textId="77777777" w:rsidR="00DB596B" w:rsidRPr="00D56D87" w:rsidRDefault="00DB596B" w:rsidP="00401A5B">
            <w:pPr>
              <w:jc w:val="center"/>
              <w:rPr>
                <w:rFonts w:ascii="Times New Roman" w:eastAsia="Times New Roman" w:hAnsi="Times New Roman" w:cs="Times New Roman"/>
                <w:color w:val="000000"/>
                <w:sz w:val="20"/>
                <w:szCs w:val="20"/>
              </w:rPr>
            </w:pPr>
            <w:r w:rsidRPr="00D56D87">
              <w:rPr>
                <w:rFonts w:ascii="Times New Roman" w:eastAsia="Times New Roman" w:hAnsi="Times New Roman" w:cs="Times New Roman"/>
                <w:color w:val="000000"/>
                <w:sz w:val="20"/>
                <w:szCs w:val="20"/>
              </w:rPr>
              <w:t>1 832,00</w:t>
            </w:r>
          </w:p>
        </w:tc>
      </w:tr>
      <w:tr w:rsidR="00DB596B" w:rsidRPr="00D56D87" w14:paraId="65FB407B" w14:textId="77777777" w:rsidTr="00D56D87">
        <w:trPr>
          <w:trHeight w:val="232"/>
          <w:jc w:val="center"/>
        </w:trPr>
        <w:tc>
          <w:tcPr>
            <w:tcW w:w="2774" w:type="dxa"/>
            <w:tcBorders>
              <w:left w:val="single" w:sz="4" w:space="0" w:color="auto"/>
              <w:bottom w:val="single" w:sz="4" w:space="0" w:color="auto"/>
              <w:right w:val="single" w:sz="8" w:space="0" w:color="auto"/>
            </w:tcBorders>
            <w:shd w:val="clear" w:color="auto" w:fill="auto"/>
            <w:noWrap/>
            <w:vAlign w:val="center"/>
            <w:hideMark/>
          </w:tcPr>
          <w:p w14:paraId="0F266673" w14:textId="77777777" w:rsidR="00DB596B" w:rsidRPr="00D56D87" w:rsidRDefault="00DB596B" w:rsidP="00401A5B">
            <w:pPr>
              <w:ind w:firstLine="1305"/>
              <w:rPr>
                <w:rFonts w:ascii="Times New Roman" w:eastAsia="Times New Roman" w:hAnsi="Times New Roman" w:cs="Times New Roman"/>
                <w:sz w:val="20"/>
                <w:szCs w:val="20"/>
              </w:rPr>
            </w:pPr>
            <w:r w:rsidRPr="00D56D87">
              <w:rPr>
                <w:rFonts w:ascii="Times New Roman" w:eastAsia="Times New Roman" w:hAnsi="Times New Roman" w:cs="Times New Roman"/>
                <w:sz w:val="20"/>
                <w:szCs w:val="20"/>
              </w:rPr>
              <w:t>Igaunija**</w:t>
            </w:r>
          </w:p>
        </w:tc>
        <w:tc>
          <w:tcPr>
            <w:tcW w:w="1589" w:type="dxa"/>
            <w:tcBorders>
              <w:left w:val="nil"/>
              <w:bottom w:val="single" w:sz="4" w:space="0" w:color="auto"/>
              <w:right w:val="single" w:sz="8" w:space="0" w:color="auto"/>
            </w:tcBorders>
            <w:shd w:val="clear" w:color="auto" w:fill="auto"/>
            <w:noWrap/>
            <w:vAlign w:val="center"/>
            <w:hideMark/>
          </w:tcPr>
          <w:p w14:paraId="4F350891" w14:textId="77777777" w:rsidR="00DB596B" w:rsidRPr="00D56D87" w:rsidRDefault="00DB596B" w:rsidP="00401A5B">
            <w:pPr>
              <w:jc w:val="center"/>
              <w:rPr>
                <w:rFonts w:ascii="Times New Roman" w:eastAsia="Times New Roman" w:hAnsi="Times New Roman" w:cs="Times New Roman"/>
                <w:sz w:val="20"/>
                <w:szCs w:val="20"/>
              </w:rPr>
            </w:pPr>
            <w:r w:rsidRPr="00D56D87">
              <w:rPr>
                <w:rFonts w:ascii="Times New Roman" w:eastAsia="Times New Roman" w:hAnsi="Times New Roman" w:cs="Times New Roman"/>
                <w:sz w:val="20"/>
                <w:szCs w:val="20"/>
              </w:rPr>
              <w:t>2 389,00 / 2 508,00</w:t>
            </w:r>
          </w:p>
        </w:tc>
        <w:tc>
          <w:tcPr>
            <w:tcW w:w="1591" w:type="dxa"/>
            <w:tcBorders>
              <w:left w:val="nil"/>
              <w:bottom w:val="single" w:sz="4" w:space="0" w:color="auto"/>
              <w:right w:val="single" w:sz="4" w:space="0" w:color="auto"/>
            </w:tcBorders>
            <w:shd w:val="clear" w:color="auto" w:fill="auto"/>
            <w:noWrap/>
            <w:vAlign w:val="center"/>
          </w:tcPr>
          <w:p w14:paraId="409684C2" w14:textId="77777777" w:rsidR="00DB596B" w:rsidRPr="00D56D87" w:rsidRDefault="00DB596B" w:rsidP="00401A5B">
            <w:pPr>
              <w:jc w:val="center"/>
              <w:rPr>
                <w:rFonts w:ascii="Times New Roman" w:eastAsia="Times New Roman" w:hAnsi="Times New Roman" w:cs="Times New Roman"/>
                <w:sz w:val="20"/>
                <w:szCs w:val="20"/>
              </w:rPr>
            </w:pPr>
            <w:r w:rsidRPr="00D56D87">
              <w:rPr>
                <w:rFonts w:ascii="Times New Roman" w:eastAsia="Times New Roman" w:hAnsi="Times New Roman" w:cs="Times New Roman"/>
                <w:sz w:val="20"/>
                <w:szCs w:val="20"/>
              </w:rPr>
              <w:t>2 508,00/ 1 881,00</w:t>
            </w:r>
          </w:p>
        </w:tc>
        <w:tc>
          <w:tcPr>
            <w:tcW w:w="1589" w:type="dxa"/>
            <w:tcBorders>
              <w:left w:val="nil"/>
              <w:bottom w:val="single" w:sz="4" w:space="0" w:color="auto"/>
              <w:right w:val="single" w:sz="4" w:space="0" w:color="auto"/>
            </w:tcBorders>
            <w:vAlign w:val="center"/>
          </w:tcPr>
          <w:p w14:paraId="696FD766" w14:textId="77777777" w:rsidR="00DB596B" w:rsidRPr="00D56D87" w:rsidRDefault="00DB596B" w:rsidP="00401A5B">
            <w:pPr>
              <w:jc w:val="center"/>
              <w:rPr>
                <w:rFonts w:ascii="Times New Roman" w:eastAsia="Times New Roman" w:hAnsi="Times New Roman" w:cs="Times New Roman"/>
                <w:sz w:val="20"/>
                <w:szCs w:val="20"/>
              </w:rPr>
            </w:pPr>
            <w:r w:rsidRPr="00D56D87">
              <w:rPr>
                <w:rFonts w:ascii="Times New Roman" w:eastAsia="Times New Roman" w:hAnsi="Times New Roman" w:cs="Times New Roman"/>
                <w:sz w:val="20"/>
                <w:szCs w:val="20"/>
              </w:rPr>
              <w:t>1 881,00</w:t>
            </w:r>
          </w:p>
        </w:tc>
        <w:tc>
          <w:tcPr>
            <w:tcW w:w="1589" w:type="dxa"/>
            <w:tcBorders>
              <w:left w:val="nil"/>
              <w:bottom w:val="single" w:sz="4" w:space="0" w:color="auto"/>
              <w:right w:val="single" w:sz="4" w:space="0" w:color="auto"/>
            </w:tcBorders>
            <w:vAlign w:val="center"/>
          </w:tcPr>
          <w:p w14:paraId="02A7447E" w14:textId="77777777" w:rsidR="00DB596B" w:rsidRPr="00D56D87" w:rsidRDefault="00DB596B" w:rsidP="00401A5B">
            <w:pPr>
              <w:jc w:val="center"/>
              <w:rPr>
                <w:rFonts w:ascii="Times New Roman" w:eastAsia="Times New Roman" w:hAnsi="Times New Roman" w:cs="Times New Roman"/>
                <w:sz w:val="20"/>
                <w:szCs w:val="20"/>
              </w:rPr>
            </w:pPr>
            <w:r w:rsidRPr="00D56D87">
              <w:rPr>
                <w:rFonts w:ascii="Times New Roman" w:eastAsia="Times New Roman" w:hAnsi="Times New Roman" w:cs="Times New Roman"/>
                <w:sz w:val="20"/>
                <w:szCs w:val="20"/>
              </w:rPr>
              <w:t>1 881,00</w:t>
            </w:r>
          </w:p>
        </w:tc>
      </w:tr>
    </w:tbl>
    <w:p w14:paraId="72E59D0D" w14:textId="77777777" w:rsidR="00DB596B" w:rsidRPr="004A75B6" w:rsidRDefault="00DB596B" w:rsidP="00401A5B">
      <w:pPr>
        <w:jc w:val="both"/>
        <w:rPr>
          <w:rFonts w:ascii="Times New Roman" w:eastAsia="Times New Roman" w:hAnsi="Times New Roman" w:cs="Times New Roman"/>
          <w:sz w:val="20"/>
          <w:szCs w:val="20"/>
          <w:lang w:eastAsia="en-US"/>
        </w:rPr>
      </w:pPr>
      <w:r w:rsidRPr="004A75B6">
        <w:rPr>
          <w:rFonts w:ascii="Times New Roman" w:eastAsia="Times New Roman" w:hAnsi="Times New Roman" w:cs="Times New Roman"/>
          <w:sz w:val="20"/>
          <w:szCs w:val="20"/>
          <w:lang w:eastAsia="en-US"/>
        </w:rPr>
        <w:t>* Lietuvā samazinātā likme tiek piemērota raudzētajiem dzērieniem un vīnam ar spirta saturu zem 8 tilpumprocentiem. Pārējiem alkoholiskajiem dzērieniem likme paaugstināta ar 01.03.2019.</w:t>
      </w:r>
    </w:p>
    <w:p w14:paraId="6DC701EB" w14:textId="77777777" w:rsidR="00DB596B" w:rsidRPr="004A75B6" w:rsidRDefault="00DB596B" w:rsidP="00401A5B">
      <w:pPr>
        <w:jc w:val="both"/>
        <w:rPr>
          <w:rFonts w:ascii="Times New Roman" w:eastAsia="Times New Roman" w:hAnsi="Times New Roman" w:cs="Times New Roman"/>
          <w:sz w:val="20"/>
          <w:szCs w:val="20"/>
          <w:lang w:eastAsia="en-US"/>
        </w:rPr>
      </w:pPr>
      <w:r w:rsidRPr="004A75B6">
        <w:rPr>
          <w:rFonts w:ascii="Times New Roman" w:eastAsia="Times New Roman" w:hAnsi="Times New Roman" w:cs="Times New Roman"/>
          <w:sz w:val="20"/>
          <w:szCs w:val="20"/>
          <w:lang w:eastAsia="en-US"/>
        </w:rPr>
        <w:t>** 2018.gadā likmes Igaunijā paaugstinātas ar 01.02.2018.  2019.gadā likmes raudzētajiem dzērieniem un vīnam ar absolūtā spirta saturu zem 6 tilpumprocentiem un pārējiem alkoholiskajiem dzērieniem samazinātas ar 01.07.2019.</w:t>
      </w:r>
    </w:p>
    <w:p w14:paraId="06A17A81" w14:textId="77777777" w:rsidR="00DB596B" w:rsidRPr="004A75B6" w:rsidRDefault="00DB596B" w:rsidP="00401A5B">
      <w:pPr>
        <w:jc w:val="both"/>
        <w:rPr>
          <w:rFonts w:ascii="Times New Roman" w:eastAsia="Times New Roman" w:hAnsi="Times New Roman" w:cs="Times New Roman"/>
          <w:sz w:val="20"/>
          <w:szCs w:val="20"/>
          <w:lang w:eastAsia="en-US"/>
        </w:rPr>
      </w:pPr>
      <w:r w:rsidRPr="004A75B6">
        <w:rPr>
          <w:rFonts w:ascii="Times New Roman" w:eastAsia="Times New Roman" w:hAnsi="Times New Roman" w:cs="Times New Roman"/>
          <w:sz w:val="20"/>
          <w:szCs w:val="20"/>
          <w:lang w:eastAsia="en-US"/>
        </w:rPr>
        <w:t xml:space="preserve">*** Latvijā likmes paaugstinātas ar katra gada 1.martu. Pārējiem alkoholiskajiem dzērieniem likme 2019.gadā paaugstināta ar 01.03.2019., bet no 01.08.2019. līdz 29.02.2020. noteikta samazinātā likme 1 564,0 </w:t>
      </w:r>
      <w:r w:rsidRPr="004A75B6">
        <w:rPr>
          <w:rFonts w:ascii="Times New Roman" w:eastAsia="Times New Roman" w:hAnsi="Times New Roman" w:cs="Times New Roman"/>
          <w:bCs/>
          <w:i/>
          <w:sz w:val="20"/>
          <w:szCs w:val="20"/>
          <w:lang w:eastAsia="en-US"/>
        </w:rPr>
        <w:t>euro</w:t>
      </w:r>
      <w:r w:rsidRPr="004A75B6">
        <w:rPr>
          <w:rFonts w:ascii="Times New Roman" w:eastAsia="Times New Roman" w:hAnsi="Times New Roman" w:cs="Times New Roman"/>
          <w:sz w:val="20"/>
          <w:szCs w:val="20"/>
          <w:lang w:eastAsia="en-US"/>
        </w:rPr>
        <w:t xml:space="preserve"> par 100 litriem absolūtā spirta. 2020. un 2021.gadā likmes tiek paaugstinātas ar 1.martu.</w:t>
      </w:r>
    </w:p>
    <w:p w14:paraId="7BE54A27" w14:textId="77777777" w:rsidR="00DB596B" w:rsidRPr="00DB596B" w:rsidRDefault="00DB596B" w:rsidP="00401A5B">
      <w:pPr>
        <w:ind w:firstLine="720"/>
        <w:jc w:val="both"/>
        <w:rPr>
          <w:rFonts w:ascii="Times New Roman" w:eastAsia="Times New Roman" w:hAnsi="Times New Roman" w:cs="Times New Roman"/>
          <w:sz w:val="24"/>
          <w:szCs w:val="20"/>
          <w:lang w:eastAsia="en-US"/>
        </w:rPr>
      </w:pPr>
    </w:p>
    <w:p w14:paraId="265AA937" w14:textId="77777777" w:rsidR="00DB596B" w:rsidRPr="00252700" w:rsidRDefault="00DB596B" w:rsidP="00401A5B">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Tā rezultātā Latvijā akcīzes nodoklis pārējiem alkoholiskajiem dzērieniem iepriekš minētajā laika periodā bija zemākais Baltijā. Līdz 2020.gada 29.februārim nodokļu daļas cenas atšķirība, ieskaitot pievienotās vērtības nodokli, salīdzinājumā ar Igauniju bija 1,46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par litru stiprā alkoholiskā dzēriena (ar absolūtā spirta sastāvu 40 tilpumprocenti), bet salīdzinājumā ar Lietuvu atšķirība bija 1,30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w:t>
      </w:r>
    </w:p>
    <w:p w14:paraId="7F1A5DF2" w14:textId="767A6915" w:rsidR="00DB596B" w:rsidRPr="00252700" w:rsidRDefault="00DB596B" w:rsidP="00401A5B">
      <w:pPr>
        <w:ind w:firstLine="720"/>
        <w:jc w:val="both"/>
        <w:rPr>
          <w:rFonts w:ascii="Times New Roman" w:eastAsia="Times New Roman" w:hAnsi="Times New Roman" w:cs="Times New Roman"/>
          <w:color w:val="000000"/>
          <w:sz w:val="28"/>
          <w:szCs w:val="24"/>
          <w:lang w:eastAsia="en-US"/>
        </w:rPr>
      </w:pPr>
      <w:r w:rsidRPr="00252700">
        <w:rPr>
          <w:rFonts w:ascii="Times New Roman" w:eastAsia="Times New Roman" w:hAnsi="Times New Roman" w:cs="Times New Roman"/>
          <w:sz w:val="28"/>
          <w:szCs w:val="24"/>
          <w:lang w:eastAsia="en-US"/>
        </w:rPr>
        <w:t>Lai sabalansētu akcīzes nodokļa alkoholiskajiem dzērieniem un alum mērķus – gūt ieņēmumus valsts budžetā un ierobežot šo veselībai kaitīgo produktu patēriņu, tajā pašā laikā neveicinot alkoholisko dzērienu nelegālo apriti, Saeima 2020.gada 20.februārī nolēma iepriekš plānotā likmju paaugstinājuma (stiprajam alkoholam par 29,5%, pārējiem alkoholisko dzērienu veidiem un alum – par aptuveni 10%) ar 2020.gada 1.martu vietā noteikt pakāpenisku akcīzes nodokļa likmju paaugstināšanu – akcīzes nodokļa likmes visiem alkoholiskajiem dzērieniem, izņemot raudzētos dzērienus ar absolūtā spirta saturu līdz 6 tilpumprocentiem, un alum 2020. un 202</w:t>
      </w:r>
      <w:r w:rsidR="00252700">
        <w:rPr>
          <w:rFonts w:ascii="Times New Roman" w:eastAsia="Times New Roman" w:hAnsi="Times New Roman" w:cs="Times New Roman"/>
          <w:sz w:val="28"/>
          <w:szCs w:val="24"/>
          <w:lang w:eastAsia="en-US"/>
        </w:rPr>
        <w:t>1.gadā paaugstināt vidēji par 5%</w:t>
      </w:r>
      <w:r w:rsidRPr="00252700">
        <w:rPr>
          <w:rFonts w:ascii="Times New Roman" w:eastAsia="Times New Roman" w:hAnsi="Times New Roman" w:cs="Times New Roman"/>
          <w:sz w:val="28"/>
          <w:szCs w:val="24"/>
          <w:lang w:eastAsia="en-US"/>
        </w:rPr>
        <w:t xml:space="preserve">. </w:t>
      </w:r>
      <w:r w:rsidRPr="00252700">
        <w:rPr>
          <w:rFonts w:ascii="Times New Roman" w:eastAsia="Times New Roman" w:hAnsi="Times New Roman" w:cs="Times New Roman"/>
          <w:color w:val="000000"/>
          <w:sz w:val="28"/>
          <w:szCs w:val="24"/>
          <w:lang w:eastAsia="en-US"/>
        </w:rPr>
        <w:t xml:space="preserve">Visu izmaiņu rezultāts attiecībā uz alkoholiskajiem dzērieniem </w:t>
      </w:r>
      <w:r w:rsidR="00252700">
        <w:rPr>
          <w:rFonts w:ascii="Times New Roman" w:eastAsia="Times New Roman" w:hAnsi="Times New Roman" w:cs="Times New Roman"/>
          <w:color w:val="000000"/>
          <w:sz w:val="28"/>
          <w:szCs w:val="24"/>
          <w:lang w:eastAsia="en-US"/>
        </w:rPr>
        <w:t>(</w:t>
      </w:r>
      <w:r w:rsidRPr="00252700">
        <w:rPr>
          <w:rFonts w:ascii="Times New Roman" w:eastAsia="Times New Roman" w:hAnsi="Times New Roman" w:cs="Times New Roman"/>
          <w:color w:val="000000"/>
          <w:sz w:val="28"/>
          <w:szCs w:val="24"/>
          <w:lang w:eastAsia="en-US"/>
        </w:rPr>
        <w:t>skat. 3.8</w:t>
      </w:r>
      <w:r w:rsidR="00252700" w:rsidRPr="00252700">
        <w:rPr>
          <w:rFonts w:ascii="Times New Roman" w:eastAsia="Times New Roman" w:hAnsi="Times New Roman" w:cs="Times New Roman"/>
          <w:color w:val="000000"/>
          <w:sz w:val="28"/>
          <w:szCs w:val="24"/>
          <w:lang w:eastAsia="en-US"/>
        </w:rPr>
        <w:t>.</w:t>
      </w:r>
      <w:r w:rsidR="00252700">
        <w:rPr>
          <w:rFonts w:ascii="Times New Roman" w:eastAsia="Times New Roman" w:hAnsi="Times New Roman" w:cs="Times New Roman"/>
          <w:color w:val="000000"/>
          <w:sz w:val="28"/>
          <w:szCs w:val="24"/>
          <w:lang w:eastAsia="en-US"/>
        </w:rPr>
        <w:t>tabulu)</w:t>
      </w:r>
      <w:r w:rsidRPr="00252700">
        <w:rPr>
          <w:rFonts w:ascii="Times New Roman" w:eastAsia="Times New Roman" w:hAnsi="Times New Roman" w:cs="Times New Roman"/>
          <w:color w:val="000000"/>
          <w:sz w:val="28"/>
          <w:szCs w:val="24"/>
          <w:lang w:eastAsia="en-US"/>
        </w:rPr>
        <w:t>. Pēc minētajām izmaiņām nodokļu</w:t>
      </w:r>
      <w:r w:rsidRPr="00252700">
        <w:rPr>
          <w:rFonts w:ascii="Times New Roman" w:eastAsia="Times New Roman" w:hAnsi="Times New Roman" w:cs="Times New Roman"/>
          <w:sz w:val="28"/>
          <w:szCs w:val="20"/>
          <w:lang w:eastAsia="en-US"/>
        </w:rPr>
        <w:t xml:space="preserve"> daļas cenas atšķirība litram stiprā alkoholiskā dzēriena, ieskaitot pievienotās vērtības nodokli, 2020.gadā ir 1,08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ar Igauniju un 1,85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ar Lietuvu. </w:t>
      </w:r>
    </w:p>
    <w:p w14:paraId="31930B3F" w14:textId="77777777" w:rsidR="00DB596B" w:rsidRPr="00252700" w:rsidRDefault="00DB596B" w:rsidP="00401A5B">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0"/>
          <w:lang w:eastAsia="en-US"/>
        </w:rPr>
        <w:t xml:space="preserve">Covid-19 izraisītā krīze, uz laiku noteiktais ārkārtējais stāvoklis valstī un tā rezultātā sabiedrībā izraisītās sociālekonomiskajās problēmas negatīvi ietekmēja arī alkoholisko dzērienu patēriņu, ko nespēja kompensēt pat ārkārtējās situācijas laikā atļautā alkohola distances tirdzniecība. Covid-19 krīzes dēļ ne tikai samazinājās </w:t>
      </w:r>
      <w:r w:rsidRPr="00252700">
        <w:rPr>
          <w:rFonts w:ascii="Times New Roman" w:eastAsia="Times New Roman" w:hAnsi="Times New Roman" w:cs="Times New Roman"/>
          <w:sz w:val="28"/>
          <w:szCs w:val="24"/>
          <w:lang w:eastAsia="en-US"/>
        </w:rPr>
        <w:t>tūrisma un socializēšanās iespējas, ierobežoti publiskie pasākumi, bet arī uz laiku pilnībā tika pārtraukta tirdzniecība Igaunijas-Latvijas pierobežā, kas veido nozīmīgu kopējās alkoholisko dzērienu realizācijas tirgus daļu (2019.gadā tā bija ~13,6%).</w:t>
      </w:r>
    </w:p>
    <w:p w14:paraId="71232CF3" w14:textId="77777777" w:rsidR="00DB596B" w:rsidRPr="00252700" w:rsidRDefault="00DB596B" w:rsidP="00401A5B">
      <w:pPr>
        <w:ind w:firstLine="720"/>
        <w:jc w:val="both"/>
        <w:rPr>
          <w:rFonts w:ascii="Times New Roman" w:eastAsia="Times New Roman" w:hAnsi="Times New Roman" w:cs="Times New Roman"/>
          <w:b/>
          <w:sz w:val="28"/>
          <w:szCs w:val="28"/>
          <w:u w:val="single"/>
        </w:rPr>
      </w:pPr>
      <w:r w:rsidRPr="00252700">
        <w:rPr>
          <w:rFonts w:ascii="Times New Roman" w:eastAsia="Times New Roman" w:hAnsi="Times New Roman" w:cs="Times New Roman"/>
          <w:sz w:val="28"/>
          <w:szCs w:val="28"/>
        </w:rPr>
        <w:t xml:space="preserve">Papildus iepriekš minētajām akcīzes nodokļa likmju izmaiņām saskaņā ar 2020.gada 6.februārī pieņemtajiem grozījumiem likumā “Par akcīzes nodokli” ar 2020.gada 1.maiju tika precizēta starpproduktu definīcija, novēršot nekorektu akcīzes nodokļa likmes piemērošanu alkoholiskajiem kokteiļiem, tādā veidā izvairoties no nodokļa nomaksas pilnā apmērā. </w:t>
      </w:r>
    </w:p>
    <w:p w14:paraId="6D8067E7" w14:textId="69C68B20" w:rsidR="00DB596B" w:rsidRPr="00252700" w:rsidRDefault="00DB596B" w:rsidP="00401A5B">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No visiem termiņu pagarinājumiem, kas piešķirti saskaņā ar likumā “Par valsts apdraudējuma un tā seku novēršanas un pārvarēšanas pasākumiem sakarā ar Covid-19 izplatību”, ja termiņa kavējums radies Covid-19 izplatības dēļ, lielāko daļu veido tieši par akcīzes nodokli alkoholiskajiem dzērieniem. Saskaņā ar </w:t>
      </w:r>
      <w:r w:rsidR="00252700">
        <w:rPr>
          <w:rFonts w:ascii="Times New Roman" w:eastAsia="Times New Roman" w:hAnsi="Times New Roman" w:cs="Times New Roman"/>
          <w:sz w:val="28"/>
          <w:szCs w:val="20"/>
          <w:lang w:eastAsia="en-US"/>
        </w:rPr>
        <w:t>VID</w:t>
      </w:r>
      <w:r w:rsidRPr="00252700">
        <w:rPr>
          <w:rFonts w:ascii="Times New Roman" w:eastAsia="Times New Roman" w:hAnsi="Times New Roman" w:cs="Times New Roman"/>
          <w:sz w:val="28"/>
          <w:szCs w:val="20"/>
          <w:lang w:eastAsia="en-US"/>
        </w:rPr>
        <w:t xml:space="preserve"> sniegto informāciju 10.jūnijā Covid-19 sakarā piešķirto termiņu pagarinājumu summa par alkoholiskajiem dzērieniem bija 2,9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bet vēl nesamaksātā summa veidoja 2,4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w:t>
      </w:r>
    </w:p>
    <w:p w14:paraId="27526E30" w14:textId="15F3BFB8" w:rsidR="00DB596B" w:rsidRPr="00252700" w:rsidRDefault="00DB596B" w:rsidP="00252700">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Ņemot vērā iepriekš minētos faktorus, akcīzes nodokļa alkoholiskajiem dzērieniem ieņēmumi 2020.gadā prognozēti 184,4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apmērā, kas ir par 42,6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jeb par 18,8% mazāk nekā plānots. </w:t>
      </w:r>
    </w:p>
    <w:p w14:paraId="2059FB96" w14:textId="77777777" w:rsidR="00DB596B" w:rsidRPr="00252700" w:rsidRDefault="00DB596B" w:rsidP="00401A5B">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2020.gada sešos mēnešos akcīzes nodokļa </w:t>
      </w:r>
      <w:r w:rsidRPr="00252700">
        <w:rPr>
          <w:rFonts w:ascii="Times New Roman" w:eastAsia="Times New Roman" w:hAnsi="Times New Roman" w:cs="Times New Roman"/>
          <w:b/>
          <w:sz w:val="28"/>
          <w:szCs w:val="20"/>
          <w:lang w:eastAsia="en-US"/>
        </w:rPr>
        <w:t>alum</w:t>
      </w:r>
      <w:r w:rsidRPr="00252700">
        <w:rPr>
          <w:rFonts w:ascii="Times New Roman" w:eastAsia="Times New Roman" w:hAnsi="Times New Roman" w:cs="Times New Roman"/>
          <w:sz w:val="28"/>
          <w:szCs w:val="20"/>
          <w:lang w:eastAsia="en-US"/>
        </w:rPr>
        <w:t xml:space="preserve"> ieņēmumi bija 22,6 milj.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kas, salīdzinot ar 2019.gada sešiem mēnešiem, ir par 2,2 milj.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jeb 8,9% mazāk. Salīdzinot ar sešos mēnešos plānoto, iekasēts par 5,7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jeb 20,0% mazāk. </w:t>
      </w:r>
    </w:p>
    <w:p w14:paraId="37155C4B" w14:textId="09B59C88" w:rsidR="00DB596B" w:rsidRPr="00252700" w:rsidRDefault="00DB596B" w:rsidP="00401A5B">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0"/>
          <w:lang w:eastAsia="en-US"/>
        </w:rPr>
        <w:t>Tāpat kā attiecībā uz akcīzes nodokļa ieņēmumiem no alkoholiskajiem dzērieniem, arī nodokļa ieņēmumus no alus ietekmē Latvijas-Igaunijas pierobežā notiekošā alkoholisko dzērienu un alus tirdzniecība un akcīzes nodokļa likmju paaugstināšana. Ar 2017.gada 27.jūlijā Saeimā pieņemtajiem grozījumiem likumā „Par akcīzes nodokli”</w:t>
      </w:r>
      <w:r w:rsidRPr="00252700">
        <w:rPr>
          <w:rFonts w:ascii="Times New Roman" w:eastAsia="Times New Roman" w:hAnsi="Times New Roman" w:cs="Times New Roman"/>
          <w:sz w:val="28"/>
          <w:szCs w:val="24"/>
          <w:lang w:eastAsia="en-US"/>
        </w:rPr>
        <w:t xml:space="preserve"> ar 2019.gada 1.martu</w:t>
      </w:r>
      <w:r w:rsidRPr="00252700">
        <w:rPr>
          <w:rFonts w:ascii="Times New Roman" w:eastAsia="Times New Roman" w:hAnsi="Times New Roman" w:cs="Times New Roman"/>
          <w:sz w:val="28"/>
          <w:szCs w:val="20"/>
          <w:lang w:eastAsia="en-US"/>
        </w:rPr>
        <w:t xml:space="preserve"> </w:t>
      </w:r>
      <w:r w:rsidRPr="00252700">
        <w:rPr>
          <w:rFonts w:ascii="Times New Roman" w:eastAsia="Times New Roman" w:hAnsi="Times New Roman" w:cs="Times New Roman"/>
          <w:sz w:val="28"/>
          <w:szCs w:val="24"/>
          <w:lang w:eastAsia="en-US"/>
        </w:rPr>
        <w:t xml:space="preserve">akcīzes nodokļa likmes alum </w:t>
      </w:r>
      <w:r w:rsidRPr="00252700">
        <w:rPr>
          <w:rFonts w:ascii="Times New Roman" w:eastAsia="Times New Roman" w:hAnsi="Times New Roman" w:cs="Times New Roman"/>
          <w:color w:val="000000"/>
          <w:sz w:val="28"/>
          <w:szCs w:val="24"/>
          <w:lang w:eastAsia="en-US"/>
        </w:rPr>
        <w:t>tika paaugstinātas līdz 7,4 </w:t>
      </w:r>
      <w:r w:rsidRPr="00252700">
        <w:rPr>
          <w:rFonts w:ascii="Times New Roman" w:eastAsia="Times New Roman" w:hAnsi="Times New Roman" w:cs="Times New Roman"/>
          <w:i/>
          <w:color w:val="000000"/>
          <w:sz w:val="28"/>
          <w:szCs w:val="24"/>
          <w:lang w:eastAsia="en-US"/>
        </w:rPr>
        <w:t>euro</w:t>
      </w:r>
      <w:r w:rsidRPr="00252700">
        <w:rPr>
          <w:rFonts w:ascii="Times New Roman" w:eastAsia="Times New Roman" w:hAnsi="Times New Roman" w:cs="Times New Roman"/>
          <w:color w:val="000000"/>
          <w:sz w:val="28"/>
          <w:szCs w:val="24"/>
          <w:lang w:eastAsia="en-US"/>
        </w:rPr>
        <w:t xml:space="preserve"> </w:t>
      </w:r>
      <w:r w:rsidRPr="00252700">
        <w:rPr>
          <w:rFonts w:ascii="Times New Roman" w:eastAsia="Times New Roman" w:hAnsi="Times New Roman" w:cs="Times New Roman"/>
          <w:sz w:val="28"/>
          <w:szCs w:val="20"/>
          <w:lang w:eastAsia="en-US"/>
        </w:rPr>
        <w:t xml:space="preserve">par katru absolūtā spirta tilpumprocentu par 100 litriem alus, bet minimālā likme </w:t>
      </w:r>
      <w:r w:rsidRPr="00252700">
        <w:rPr>
          <w:rFonts w:ascii="Times New Roman" w:eastAsia="Times New Roman" w:hAnsi="Times New Roman" w:cs="Times New Roman"/>
          <w:color w:val="000000"/>
          <w:sz w:val="28"/>
          <w:szCs w:val="24"/>
          <w:lang w:eastAsia="en-US"/>
        </w:rPr>
        <w:t>–</w:t>
      </w:r>
      <w:r w:rsidRPr="00252700">
        <w:rPr>
          <w:rFonts w:ascii="Times New Roman" w:eastAsia="Times New Roman" w:hAnsi="Times New Roman" w:cs="Times New Roman"/>
          <w:sz w:val="28"/>
          <w:szCs w:val="20"/>
          <w:lang w:eastAsia="en-US"/>
        </w:rPr>
        <w:t xml:space="preserve"> līdz 13,6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par 100 litriem alus. Savukārt saskaņā ar </w:t>
      </w:r>
      <w:r w:rsidRPr="00252700">
        <w:rPr>
          <w:rFonts w:ascii="Times New Roman" w:eastAsia="Times New Roman" w:hAnsi="Times New Roman" w:cs="Times New Roman"/>
          <w:sz w:val="28"/>
          <w:szCs w:val="24"/>
          <w:lang w:eastAsia="en-US"/>
        </w:rPr>
        <w:t xml:space="preserve">2020.gada 20.februārī Saeimā pieņemto lēmumu iepriekš plānotā likmju paaugstinājuma (par aptuveni 10%) ar 2020.gada 1.martu vietā tika noteikta pakāpenisku akcīzes nodokļa likmju paaugstināšanu – 2020. un 2021.gadā paaugstinājums </w:t>
      </w:r>
      <w:r w:rsidR="00252700">
        <w:rPr>
          <w:rFonts w:ascii="Times New Roman" w:eastAsia="Times New Roman" w:hAnsi="Times New Roman" w:cs="Times New Roman"/>
          <w:sz w:val="28"/>
          <w:szCs w:val="24"/>
          <w:lang w:eastAsia="en-US"/>
        </w:rPr>
        <w:t>vidēji par 5%</w:t>
      </w:r>
      <w:r w:rsidRPr="00252700">
        <w:rPr>
          <w:rFonts w:ascii="Times New Roman" w:eastAsia="Times New Roman" w:hAnsi="Times New Roman" w:cs="Times New Roman"/>
          <w:sz w:val="28"/>
          <w:szCs w:val="24"/>
          <w:lang w:eastAsia="en-US"/>
        </w:rPr>
        <w:t xml:space="preserve">. </w:t>
      </w:r>
    </w:p>
    <w:p w14:paraId="498288EE" w14:textId="20498A12" w:rsidR="00DB596B" w:rsidRPr="00252700" w:rsidRDefault="00DB596B" w:rsidP="00401A5B">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4"/>
          <w:lang w:eastAsia="en-US"/>
        </w:rPr>
        <w:t xml:space="preserve">Saskaņā ar </w:t>
      </w:r>
      <w:r w:rsidR="00252700">
        <w:rPr>
          <w:rFonts w:ascii="Times New Roman" w:eastAsia="Times New Roman" w:hAnsi="Times New Roman" w:cs="Times New Roman"/>
          <w:sz w:val="28"/>
          <w:szCs w:val="24"/>
          <w:lang w:eastAsia="en-US"/>
        </w:rPr>
        <w:t>VID</w:t>
      </w:r>
      <w:r w:rsidRPr="00252700">
        <w:rPr>
          <w:rFonts w:ascii="Times New Roman" w:eastAsia="Times New Roman" w:hAnsi="Times New Roman" w:cs="Times New Roman"/>
          <w:sz w:val="28"/>
          <w:szCs w:val="24"/>
          <w:lang w:eastAsia="en-US"/>
        </w:rPr>
        <w:t xml:space="preserve"> informāciju </w:t>
      </w:r>
      <w:r w:rsidRPr="00252700">
        <w:rPr>
          <w:rFonts w:ascii="Times New Roman" w:eastAsia="Times New Roman" w:hAnsi="Times New Roman" w:cs="Times New Roman"/>
          <w:sz w:val="28"/>
          <w:szCs w:val="24"/>
        </w:rPr>
        <w:t xml:space="preserve">alus produktu </w:t>
      </w:r>
      <w:r w:rsidRPr="00252700">
        <w:rPr>
          <w:rFonts w:ascii="Times New Roman" w:eastAsia="Times New Roman" w:hAnsi="Times New Roman" w:cs="Times New Roman"/>
          <w:sz w:val="28"/>
          <w:szCs w:val="24"/>
          <w:lang w:eastAsia="en-US"/>
        </w:rPr>
        <w:t>kopējais patēriņš 2020.gada piecos mēnešos un 2019.</w:t>
      </w:r>
      <w:r w:rsidRPr="00252700">
        <w:rPr>
          <w:rFonts w:ascii="Times New Roman" w:eastAsia="Times New Roman" w:hAnsi="Times New Roman" w:cs="Times New Roman"/>
          <w:sz w:val="28"/>
          <w:szCs w:val="20"/>
          <w:lang w:eastAsia="en-US"/>
        </w:rPr>
        <w:t>gada decembrī</w:t>
      </w:r>
      <w:r w:rsidRPr="00252700">
        <w:rPr>
          <w:rFonts w:ascii="Times New Roman" w:eastAsia="Times New Roman" w:hAnsi="Times New Roman" w:cs="Times New Roman"/>
          <w:sz w:val="28"/>
          <w:szCs w:val="24"/>
          <w:lang w:eastAsia="en-US"/>
        </w:rPr>
        <w:t xml:space="preserve"> salīdzinājumā ar 2019. un 2018.gada atbilstošo periodu ir samazinājies par 12,6 procentiem. Alus patēriņa kritumu ietekmēja tie paši faktori, kas alkoholisko dzērienu patēriņu – gan Covid-19 izraisītā krīze, gan uz laiku pārtrauktā alus tirdzniecība pierobežā. </w:t>
      </w:r>
    </w:p>
    <w:p w14:paraId="2FCBEA94" w14:textId="77777777" w:rsidR="00DB596B" w:rsidRPr="00252700" w:rsidRDefault="00DB596B" w:rsidP="00401A5B">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4"/>
          <w:lang w:eastAsia="en-US"/>
        </w:rPr>
        <w:t>Akcīzes nodokļa ieņēmumus no alus ietekmē arī mazajās alus darītavās saražotā alus daudzuma pieauguma dinamika, jo tajās saražotajam alum (par pirmajiem 10 000 hektolitru kalendārajā gadā) tiek piešķirts akcīzes nodokļa atvieglojums 50% apmērā. Patstāvīgās mazās alus darītavas statuss 2020.gada jūnija beigās bija piešķirts 60 komersantiem. 2020.gada sešos mēnešos tajās saražoti 1,0 milj. dekalitri jeb 26% no visa Latvijā ražotā alus apjoma.</w:t>
      </w:r>
    </w:p>
    <w:p w14:paraId="50856AD8" w14:textId="184BE897" w:rsidR="00DB596B" w:rsidRPr="00252700" w:rsidRDefault="00DB596B" w:rsidP="00252700">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Ņemot vērā iepriekš minētos faktorus, akcīzes nodokļa alum ieņēmumi 2020.gadam prognozēti 53,0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apmērā, kas ir par 10,2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jeb par 16,1% mazāk nekā plānots. </w:t>
      </w:r>
    </w:p>
    <w:p w14:paraId="2960CC71" w14:textId="77777777" w:rsidR="00DB596B" w:rsidRPr="00252700" w:rsidRDefault="00DB596B" w:rsidP="00401A5B">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Akcīzes nodokļa </w:t>
      </w:r>
      <w:r w:rsidRPr="00252700">
        <w:rPr>
          <w:rFonts w:ascii="Times New Roman" w:eastAsia="Times New Roman" w:hAnsi="Times New Roman" w:cs="Times New Roman"/>
          <w:b/>
          <w:sz w:val="28"/>
          <w:szCs w:val="20"/>
          <w:lang w:eastAsia="en-US"/>
        </w:rPr>
        <w:t>tabakas izstrādājumiem</w:t>
      </w:r>
      <w:r w:rsidRPr="00252700">
        <w:rPr>
          <w:rFonts w:ascii="Times New Roman" w:eastAsia="Times New Roman" w:hAnsi="Times New Roman" w:cs="Times New Roman"/>
          <w:sz w:val="28"/>
          <w:szCs w:val="20"/>
          <w:lang w:eastAsia="en-US"/>
        </w:rPr>
        <w:t xml:space="preserve"> ieņēmumi 2020.gada sešos mēnešos bija 100,9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i/>
          <w:sz w:val="28"/>
          <w:szCs w:val="20"/>
          <w:lang w:eastAsia="en-US"/>
        </w:rPr>
        <w:t>.</w:t>
      </w:r>
      <w:r w:rsidRPr="00252700">
        <w:rPr>
          <w:rFonts w:ascii="Times New Roman" w:eastAsia="Times New Roman" w:hAnsi="Times New Roman" w:cs="Times New Roman"/>
          <w:sz w:val="28"/>
          <w:szCs w:val="20"/>
          <w:lang w:eastAsia="en-US"/>
        </w:rPr>
        <w:t xml:space="preserve"> Salīdzinot ar 2019.gada sešiem mēnešiem, akcīzes nodokļa ieņēmumi no tabakas izstrādājumiem ir samazinājušies par 6,4 milj.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jeb 5,9%, bet, salīdzinot ar sešos mēnešos plānoto, iekasēts par 11,3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jeb 10,1% mazāk.</w:t>
      </w:r>
    </w:p>
    <w:p w14:paraId="018FDB14" w14:textId="20480E77" w:rsidR="00DB596B" w:rsidRPr="00252700" w:rsidRDefault="00DB596B" w:rsidP="00401A5B">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iCs/>
          <w:sz w:val="28"/>
          <w:szCs w:val="20"/>
          <w:lang w:eastAsia="en-US"/>
        </w:rPr>
        <w:t xml:space="preserve">Saskaņā ar </w:t>
      </w:r>
      <w:r w:rsidR="00252700">
        <w:rPr>
          <w:rFonts w:ascii="Times New Roman" w:eastAsia="Times New Roman" w:hAnsi="Times New Roman" w:cs="Times New Roman"/>
          <w:iCs/>
          <w:sz w:val="28"/>
          <w:szCs w:val="20"/>
          <w:lang w:eastAsia="en-US"/>
        </w:rPr>
        <w:t>VID</w:t>
      </w:r>
      <w:r w:rsidRPr="00252700">
        <w:rPr>
          <w:rFonts w:ascii="Times New Roman" w:eastAsia="Times New Roman" w:hAnsi="Times New Roman" w:cs="Times New Roman"/>
          <w:iCs/>
          <w:sz w:val="28"/>
          <w:szCs w:val="20"/>
          <w:lang w:eastAsia="en-US"/>
        </w:rPr>
        <w:t xml:space="preserve"> informāciju kopējais patēriņam Latvijā nodoto cigarešu apjoms 2020.gada piecos mēnešos un 2019.gada decembrī salīdzinājumā ar 2019. un 2018.gada atbilstošo periodu ir samazinājies par 10,6%, cigāru un cigarillu patēriņš par 29,7%, bet smēķējamās tabakas patēriņš palielinājies par 13,8 procentiem. Patēriņam nodotais karsējamās tabakas apjoms turpina pieaugt – 2019.gada decembrī un 2020.gada piecos mēnešos patēriņam nodots par 2,7 reizēm vairāk karsējamās tabakas nekā 2019. un 2018.gada atbilstošajos periodos. </w:t>
      </w:r>
      <w:r w:rsidRPr="00252700">
        <w:rPr>
          <w:rFonts w:ascii="Times New Roman" w:eastAsia="Times New Roman" w:hAnsi="Times New Roman" w:cs="Times New Roman"/>
          <w:bCs/>
          <w:sz w:val="28"/>
          <w:szCs w:val="20"/>
          <w:lang w:eastAsia="en-US"/>
        </w:rPr>
        <w:t xml:space="preserve">Būtisko cigarešu patēriņa samazinājumu ietekmējuši vairāki faktori – </w:t>
      </w:r>
      <w:r w:rsidRPr="00252700">
        <w:rPr>
          <w:rFonts w:ascii="Times New Roman" w:eastAsia="Times New Roman" w:hAnsi="Times New Roman" w:cs="Times New Roman"/>
          <w:sz w:val="28"/>
          <w:szCs w:val="20"/>
          <w:lang w:eastAsia="en-US"/>
        </w:rPr>
        <w:t xml:space="preserve">smēķēšanas ierobežošanas plāna ietvaros veiktie pasākumi (piemēram, aizliegums nodot patēriņam Latvijā tabakas izstrādājumus ar mentola un cita veida garšām), akcīzes nodokļa likmju paaugstināšana, cigarešu aizstāšana ar </w:t>
      </w:r>
      <w:r w:rsidRPr="00252700">
        <w:rPr>
          <w:rFonts w:ascii="Times New Roman" w:eastAsia="Times New Roman" w:hAnsi="Times New Roman" w:cs="Times New Roman"/>
          <w:color w:val="000000"/>
          <w:sz w:val="28"/>
          <w:szCs w:val="20"/>
        </w:rPr>
        <w:t xml:space="preserve">smēķējamo un karsējamo tabaku, kam ir zemāka akcīzes nodokļa likme. Cigarešu un arī pārējo tabakas </w:t>
      </w:r>
      <w:r w:rsidRPr="00252700">
        <w:rPr>
          <w:rFonts w:ascii="Times New Roman" w:eastAsia="Times New Roman" w:hAnsi="Times New Roman" w:cs="Times New Roman"/>
          <w:color w:val="000000"/>
          <w:sz w:val="28"/>
          <w:szCs w:val="24"/>
        </w:rPr>
        <w:t xml:space="preserve">izstrādājumu patēriņu ietekmēja arī </w:t>
      </w:r>
      <w:r w:rsidRPr="00252700">
        <w:rPr>
          <w:rFonts w:ascii="Times New Roman" w:eastAsia="Times New Roman" w:hAnsi="Times New Roman" w:cs="Times New Roman"/>
          <w:sz w:val="28"/>
          <w:szCs w:val="24"/>
          <w:lang w:eastAsia="en-US"/>
        </w:rPr>
        <w:t xml:space="preserve">valstī ieviestie pasākumi Covid-19 izplatības ierobežošanai un uz laiku pilnībā pārtrauktā tirdzniecība Latvijas-Igaunijas pierobežā. </w:t>
      </w:r>
    </w:p>
    <w:p w14:paraId="06D44172" w14:textId="2F3FE2FF" w:rsidR="00DB596B" w:rsidRPr="00252700" w:rsidRDefault="00DB596B" w:rsidP="00401A5B">
      <w:pPr>
        <w:ind w:firstLine="567"/>
        <w:jc w:val="both"/>
        <w:rPr>
          <w:rFonts w:ascii="Times New Roman" w:eastAsia="Times New Roman" w:hAnsi="Times New Roman" w:cs="Times New Roman"/>
          <w:color w:val="000000"/>
          <w:sz w:val="28"/>
          <w:szCs w:val="24"/>
          <w:lang w:eastAsia="en-US"/>
        </w:rPr>
      </w:pPr>
      <w:r w:rsidRPr="00252700">
        <w:rPr>
          <w:rFonts w:ascii="Times New Roman" w:eastAsia="Times New Roman" w:hAnsi="Times New Roman" w:cs="Times New Roman"/>
          <w:color w:val="000000"/>
          <w:sz w:val="28"/>
          <w:szCs w:val="24"/>
          <w:lang w:eastAsia="en-US"/>
        </w:rPr>
        <w:t xml:space="preserve">Cigarešu patēriņu negatīvi ietekmēja ar mentolu aromatizētu tabakas izstrādājumu tirdzniecības </w:t>
      </w:r>
      <w:r w:rsidR="00252700">
        <w:rPr>
          <w:rFonts w:ascii="Times New Roman" w:eastAsia="Times New Roman" w:hAnsi="Times New Roman" w:cs="Times New Roman"/>
          <w:color w:val="000000"/>
          <w:sz w:val="28"/>
          <w:szCs w:val="24"/>
          <w:lang w:eastAsia="en-US"/>
        </w:rPr>
        <w:t>ES</w:t>
      </w:r>
      <w:r w:rsidRPr="00252700">
        <w:rPr>
          <w:rFonts w:ascii="Times New Roman" w:eastAsia="Times New Roman" w:hAnsi="Times New Roman" w:cs="Times New Roman"/>
          <w:color w:val="000000"/>
          <w:sz w:val="28"/>
          <w:szCs w:val="24"/>
          <w:lang w:eastAsia="en-US"/>
        </w:rPr>
        <w:t xml:space="preserve"> aizliegums, kas noteikts ar 2020.gada 20.maiju, pamatojoties uz </w:t>
      </w:r>
      <w:r w:rsidR="00252700">
        <w:rPr>
          <w:rFonts w:ascii="Times New Roman" w:eastAsia="Times New Roman" w:hAnsi="Times New Roman" w:cs="Times New Roman"/>
          <w:color w:val="000000"/>
          <w:sz w:val="28"/>
          <w:szCs w:val="24"/>
          <w:lang w:eastAsia="en-US"/>
        </w:rPr>
        <w:t>EP</w:t>
      </w:r>
      <w:r w:rsidRPr="00252700">
        <w:rPr>
          <w:rFonts w:ascii="Times New Roman" w:eastAsia="Times New Roman" w:hAnsi="Times New Roman" w:cs="Times New Roman"/>
          <w:color w:val="000000"/>
          <w:sz w:val="28"/>
          <w:szCs w:val="24"/>
          <w:lang w:eastAsia="en-US"/>
        </w:rPr>
        <w:t xml:space="preserve"> un Padomes direktīvu 2014/40/ES, kas tika pieņemta 2014.gada 19.maijā.</w:t>
      </w:r>
    </w:p>
    <w:p w14:paraId="17DF6837" w14:textId="1C7A5061" w:rsidR="00DB596B" w:rsidRPr="00252700" w:rsidRDefault="00DB596B" w:rsidP="00401A5B">
      <w:pPr>
        <w:ind w:firstLine="567"/>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color w:val="000000"/>
          <w:sz w:val="28"/>
          <w:szCs w:val="24"/>
          <w:lang w:eastAsia="en-US"/>
        </w:rPr>
        <w:t xml:space="preserve">Papildus iepriekš minētajam saskaņā ar 2019.gada 4.aprīlī pieņemtajiem grozījumiem </w:t>
      </w:r>
      <w:r w:rsidR="00252700">
        <w:rPr>
          <w:rFonts w:ascii="Times New Roman" w:eastAsia="Times New Roman" w:hAnsi="Times New Roman" w:cs="Times New Roman"/>
          <w:color w:val="000000"/>
          <w:sz w:val="28"/>
          <w:szCs w:val="24"/>
          <w:lang w:eastAsia="en-US"/>
        </w:rPr>
        <w:t>likumā “</w:t>
      </w:r>
      <w:r w:rsidRPr="00252700">
        <w:rPr>
          <w:rFonts w:ascii="Times New Roman" w:eastAsia="Times New Roman" w:hAnsi="Times New Roman" w:cs="Times New Roman"/>
          <w:color w:val="000000"/>
          <w:sz w:val="28"/>
          <w:szCs w:val="24"/>
          <w:lang w:eastAsia="en-US"/>
        </w:rPr>
        <w:t>Tabakas izstrādājumu, augu smēķēšanas produktu, elektronisko smēķēšanas ierī</w:t>
      </w:r>
      <w:r w:rsidR="00252700">
        <w:rPr>
          <w:rFonts w:ascii="Times New Roman" w:eastAsia="Times New Roman" w:hAnsi="Times New Roman" w:cs="Times New Roman"/>
          <w:color w:val="000000"/>
          <w:sz w:val="28"/>
          <w:szCs w:val="24"/>
          <w:lang w:eastAsia="en-US"/>
        </w:rPr>
        <w:t>ču un to šķidrumu aprites likums”</w:t>
      </w:r>
      <w:r w:rsidRPr="00252700">
        <w:rPr>
          <w:rFonts w:ascii="Times New Roman" w:eastAsia="Times New Roman" w:hAnsi="Times New Roman" w:cs="Times New Roman"/>
          <w:color w:val="000000"/>
          <w:sz w:val="28"/>
          <w:szCs w:val="24"/>
          <w:lang w:eastAsia="en-US"/>
        </w:rPr>
        <w:t xml:space="preserve"> ar 2020.gada 1.oktobri mazumtirdzniecības vietās aizliegts izvietot tabakas izstrādājumus, augu smēķēšanas produktus, elektroniskās smēķēšanas ierīces un uzpildes tvertnes pircējiem redzamā vietā.</w:t>
      </w:r>
    </w:p>
    <w:p w14:paraId="70ADD4FD" w14:textId="77777777" w:rsidR="00DB596B" w:rsidRPr="00252700" w:rsidRDefault="00DB596B" w:rsidP="00401A5B">
      <w:pPr>
        <w:tabs>
          <w:tab w:val="left" w:pos="1134"/>
        </w:tabs>
        <w:ind w:firstLine="851"/>
        <w:jc w:val="both"/>
        <w:rPr>
          <w:rFonts w:ascii="Times New Roman" w:eastAsia="Times New Roman" w:hAnsi="Times New Roman" w:cs="Times New Roman"/>
          <w:sz w:val="28"/>
          <w:szCs w:val="20"/>
          <w:highlight w:val="yellow"/>
          <w:lang w:eastAsia="en-US"/>
        </w:rPr>
      </w:pPr>
      <w:r w:rsidRPr="00252700">
        <w:rPr>
          <w:rFonts w:ascii="Times New Roman" w:eastAsia="Times New Roman" w:hAnsi="Times New Roman" w:cs="Times New Roman"/>
          <w:iCs/>
          <w:sz w:val="28"/>
          <w:szCs w:val="24"/>
          <w:lang w:eastAsia="en-US"/>
        </w:rPr>
        <w:t>Akcīzes nodokļa ieņēmumus ietekmē ne vien nodokļa objektu patēriņa dinamika, bet arī iepriekšējos gados pieņemtās izmaiņas normatīvajos</w:t>
      </w:r>
      <w:r w:rsidRPr="00252700">
        <w:rPr>
          <w:rFonts w:ascii="Times New Roman" w:eastAsia="Times New Roman" w:hAnsi="Times New Roman" w:cs="Times New Roman"/>
          <w:iCs/>
          <w:sz w:val="28"/>
          <w:szCs w:val="20"/>
          <w:lang w:eastAsia="en-US"/>
        </w:rPr>
        <w:t xml:space="preserve"> aktos. </w:t>
      </w:r>
      <w:r w:rsidRPr="00252700">
        <w:rPr>
          <w:rFonts w:ascii="Times New Roman" w:eastAsia="Times New Roman" w:hAnsi="Times New Roman" w:cs="Times New Roman"/>
          <w:sz w:val="28"/>
          <w:szCs w:val="20"/>
          <w:lang w:eastAsia="en-US"/>
        </w:rPr>
        <w:t>Saskaņā ar 2017.gada 27.jūlijā pieņemtajiem grozījumiem likumā „Par akcīzes nodokli” ar 2019.gada 1.jūliju cigaretēm akcīzes nodoklis tika paaugstināts no 74,6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līdz 78,7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par 1 000 cigaretēm, bet minimālais akcīzes nodokļa līmenis tika paaugstināts no 109,2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līdz 114,7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par 1 000 cigaretēm. Ar minētajiem grozījumiem ar 2020.gada 1.janvāri akcīzes nodoklis tika paaugstināts arī cigāriem un cigarillām no 88,0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līdz 95,2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par 1 000 gab., bet smēķējamai tabakai – smalki sagrieztai tabakai cigarešu uztīšanai, citai smēķējamai tabakai, tabakas lapām un karsējamai tabakai – tas tika paaugstināts no 70,0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līdz 75,0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par 1 000 gramiem.</w:t>
      </w:r>
    </w:p>
    <w:p w14:paraId="05868D99" w14:textId="5417D010" w:rsidR="00DB596B" w:rsidRPr="008C6453" w:rsidRDefault="00DB596B" w:rsidP="008C6453">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Ņemot vērā iepriekš minēto, akcīzes nodokļa tabakas izstrādājumiem ieņēmumi 2020.gadā prognozēti 224,8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apmērā, kas ir par 16,0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jeb par 6,6% mazāk nekā plānots. </w:t>
      </w:r>
    </w:p>
    <w:p w14:paraId="15F2D557" w14:textId="77777777" w:rsidR="00DB596B" w:rsidRPr="00252700" w:rsidRDefault="00DB596B" w:rsidP="00401A5B">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2020.gada sešos mēnešos akcīzes nodokļa ieņēmumi no </w:t>
      </w:r>
      <w:r w:rsidRPr="00252700">
        <w:rPr>
          <w:rFonts w:ascii="Times New Roman" w:eastAsia="Times New Roman" w:hAnsi="Times New Roman" w:cs="Times New Roman"/>
          <w:b/>
          <w:sz w:val="28"/>
          <w:szCs w:val="20"/>
          <w:lang w:eastAsia="en-US"/>
        </w:rPr>
        <w:t>pārējām akcīzes precēm</w:t>
      </w:r>
      <w:r w:rsidRPr="00252700">
        <w:rPr>
          <w:rFonts w:ascii="Times New Roman" w:eastAsia="Times New Roman" w:hAnsi="Times New Roman" w:cs="Times New Roman"/>
          <w:sz w:val="28"/>
          <w:szCs w:val="20"/>
          <w:lang w:eastAsia="en-US"/>
        </w:rPr>
        <w:t xml:space="preserve"> – kafiju, bezalkoholiskajiem dzērieniem un elektroniskajās cigaretēs izmantojamajiem šķidrumiem – bija 8,5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i/>
          <w:sz w:val="28"/>
          <w:szCs w:val="20"/>
          <w:lang w:eastAsia="en-US"/>
        </w:rPr>
        <w:t xml:space="preserve">. </w:t>
      </w:r>
      <w:r w:rsidRPr="00252700">
        <w:rPr>
          <w:rFonts w:ascii="Times New Roman" w:eastAsia="Times New Roman" w:hAnsi="Times New Roman" w:cs="Times New Roman"/>
          <w:sz w:val="28"/>
          <w:szCs w:val="20"/>
          <w:lang w:eastAsia="en-US"/>
        </w:rPr>
        <w:t>Salīdzinājumā ar 2019.gada atbilstošo periodu akcīzes nodokļa ieņēmumi no tām ir palielinājušies par 0,3 milj.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jeb 3,5%, un plāns ir izpildīts 99,6% apmērā. </w:t>
      </w:r>
    </w:p>
    <w:p w14:paraId="1FEF2B45" w14:textId="4D98B4FE" w:rsidR="00DB596B" w:rsidRPr="00252700" w:rsidRDefault="00DB596B" w:rsidP="00401A5B">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Saskaņā ar </w:t>
      </w:r>
      <w:r w:rsidR="008C6453">
        <w:rPr>
          <w:rFonts w:ascii="Times New Roman" w:eastAsia="Times New Roman" w:hAnsi="Times New Roman" w:cs="Times New Roman"/>
          <w:sz w:val="28"/>
          <w:szCs w:val="20"/>
          <w:lang w:eastAsia="en-US"/>
        </w:rPr>
        <w:t xml:space="preserve">VID </w:t>
      </w:r>
      <w:r w:rsidRPr="00252700">
        <w:rPr>
          <w:rFonts w:ascii="Times New Roman" w:eastAsia="Times New Roman" w:hAnsi="Times New Roman" w:cs="Times New Roman"/>
          <w:sz w:val="28"/>
          <w:szCs w:val="20"/>
          <w:lang w:eastAsia="en-US"/>
        </w:rPr>
        <w:t>sniegto informāciju bezalkoholisko dzērienu patēriņš 2020.gada piecos mēnešos un 2019.gada decembrī salīdzinājumā ar 2019. un 2018.gada atbilstošo periodu ir palielinājies par 1,4%, bet kafijas patēriņš tai pašā periodā palielinājies par 11,7 procentiem. Elektroniskajās cigaretēs izmantojamo šķidrumu patēriņš samazinājies par 50,2 procentiem un bija zem 2018.gada līmeņa.</w:t>
      </w:r>
    </w:p>
    <w:p w14:paraId="1CDC791F" w14:textId="69B9401D" w:rsidR="00DB596B" w:rsidRPr="008C6453" w:rsidRDefault="00DB596B" w:rsidP="008C6453">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Ņemot vērā pārējo akcīzes preču patēriņa dinamiku un sešu mēnešu izpildi, akcīzes nodokļa ieņēmumi no pārējām akcīzes precēm 2020.gadā prognozēti 17,8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apmērā, kas ir par 0,2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jeb 1,1% mazāk nekā plānots.</w:t>
      </w:r>
    </w:p>
    <w:p w14:paraId="511F5DB2" w14:textId="02C75C45" w:rsidR="00DB596B" w:rsidRPr="00252700" w:rsidRDefault="00DB596B" w:rsidP="00401A5B">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0"/>
          <w:lang w:eastAsia="en-US"/>
        </w:rPr>
        <w:t xml:space="preserve">2020.gada sešos mēnešos akcīzes nodokļa ieņēmumi par </w:t>
      </w:r>
      <w:r w:rsidRPr="00252700">
        <w:rPr>
          <w:rFonts w:ascii="Times New Roman" w:eastAsia="Times New Roman" w:hAnsi="Times New Roman" w:cs="Times New Roman"/>
          <w:b/>
          <w:sz w:val="28"/>
          <w:szCs w:val="20"/>
          <w:lang w:eastAsia="en-US"/>
        </w:rPr>
        <w:t>dabasgāzi</w:t>
      </w:r>
      <w:r w:rsidRPr="00252700">
        <w:rPr>
          <w:rFonts w:ascii="Times New Roman" w:eastAsia="Times New Roman" w:hAnsi="Times New Roman" w:cs="Times New Roman"/>
          <w:sz w:val="28"/>
          <w:szCs w:val="20"/>
          <w:lang w:eastAsia="en-US"/>
        </w:rPr>
        <w:t xml:space="preserve"> bija 10,0 milj. </w:t>
      </w:r>
      <w:r w:rsidRPr="00252700">
        <w:rPr>
          <w:rFonts w:ascii="Times New Roman" w:eastAsia="Times New Roman" w:hAnsi="Times New Roman" w:cs="Times New Roman"/>
          <w:i/>
          <w:sz w:val="28"/>
          <w:szCs w:val="20"/>
          <w:lang w:eastAsia="en-US"/>
        </w:rPr>
        <w:t>euro</w:t>
      </w:r>
      <w:r w:rsidRPr="00252700">
        <w:rPr>
          <w:rFonts w:ascii="Times New Roman" w:eastAsia="Times New Roman" w:hAnsi="Times New Roman" w:cs="Times New Roman"/>
          <w:sz w:val="28"/>
          <w:szCs w:val="20"/>
          <w:lang w:eastAsia="en-US"/>
        </w:rPr>
        <w:t xml:space="preserve">. Salīdzinot ar 2019.gada sešiem mēnešiem, akcīzes </w:t>
      </w:r>
      <w:r w:rsidRPr="00252700">
        <w:rPr>
          <w:rFonts w:ascii="Times New Roman" w:eastAsia="Times New Roman" w:hAnsi="Times New Roman" w:cs="Times New Roman"/>
          <w:sz w:val="28"/>
          <w:szCs w:val="24"/>
          <w:lang w:eastAsia="en-US"/>
        </w:rPr>
        <w:t>nodoklis par dabasgāzi iekasēts par 3,1 milj. </w:t>
      </w:r>
      <w:r w:rsidRPr="00252700">
        <w:rPr>
          <w:rFonts w:ascii="Times New Roman" w:eastAsia="Times New Roman" w:hAnsi="Times New Roman" w:cs="Times New Roman"/>
          <w:i/>
          <w:sz w:val="28"/>
          <w:szCs w:val="24"/>
          <w:lang w:eastAsia="en-US"/>
        </w:rPr>
        <w:t>euro</w:t>
      </w:r>
      <w:r w:rsidRPr="00252700">
        <w:rPr>
          <w:rFonts w:ascii="Times New Roman" w:eastAsia="Times New Roman" w:hAnsi="Times New Roman" w:cs="Times New Roman"/>
          <w:sz w:val="28"/>
          <w:szCs w:val="24"/>
          <w:lang w:eastAsia="en-US"/>
        </w:rPr>
        <w:t xml:space="preserve"> jeb 23,4% mazāk. Salīdzinot ar plānoto, iekasēts par 2,9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4"/>
          <w:lang w:eastAsia="en-US"/>
        </w:rPr>
        <w:t xml:space="preserve"> jeb 22,4% mazāk. Ieņēmumu samazinājums un plāna neizpilde saistīta ar dabasgāzes patēriņa dinamiku – saskaņā ar informāciju iesniegtajās dabasgāzes akcīzes nodokļa deklarācijās, dabasgāzes daudzums, ko izmanto par kurināmo, 2019.gada decembrī un 2020.gada piecos mēnešos, salīdzinot ar attiecīgo periodu pērn, </w:t>
      </w:r>
      <w:r w:rsidR="008C6453">
        <w:rPr>
          <w:rFonts w:ascii="Times New Roman" w:eastAsia="Times New Roman" w:hAnsi="Times New Roman" w:cs="Times New Roman"/>
          <w:sz w:val="28"/>
          <w:szCs w:val="24"/>
          <w:lang w:eastAsia="en-US"/>
        </w:rPr>
        <w:t>samazinājies par 23,5%</w:t>
      </w:r>
      <w:r w:rsidRPr="00252700">
        <w:rPr>
          <w:rFonts w:ascii="Times New Roman" w:eastAsia="Times New Roman" w:hAnsi="Times New Roman" w:cs="Times New Roman"/>
          <w:sz w:val="28"/>
          <w:szCs w:val="24"/>
          <w:lang w:eastAsia="en-US"/>
        </w:rPr>
        <w:t xml:space="preserve">. Dabasgāzes, ko izmanto par kurināmo, patēriņa dinamika ir tieši saistīta ar laikapstākļiem. Saskaņā ar </w:t>
      </w:r>
      <w:r w:rsidR="008C6453">
        <w:rPr>
          <w:rFonts w:ascii="Times New Roman" w:eastAsia="Times New Roman" w:hAnsi="Times New Roman" w:cs="Times New Roman"/>
          <w:sz w:val="28"/>
          <w:szCs w:val="24"/>
          <w:lang w:eastAsia="en-US"/>
        </w:rPr>
        <w:t>CSP</w:t>
      </w:r>
      <w:r w:rsidRPr="00252700">
        <w:rPr>
          <w:rFonts w:ascii="Times New Roman" w:eastAsia="Times New Roman" w:hAnsi="Times New Roman" w:cs="Times New Roman"/>
          <w:sz w:val="28"/>
          <w:szCs w:val="24"/>
          <w:lang w:eastAsia="en-US"/>
        </w:rPr>
        <w:t xml:space="preserve"> apkopoto informāciju 2019.gada decembrī un 2020.gada pirmajos piecos mēnešos vidējā gaisa temperatūra, salīdzinot ar 2018. un 2019.gada atbilstošo periodu, palielinājusies par 1,4 C</w:t>
      </w:r>
      <w:r w:rsidRPr="00252700">
        <w:rPr>
          <w:rFonts w:ascii="Times New Roman" w:eastAsia="Times New Roman" w:hAnsi="Times New Roman" w:cs="Times New Roman"/>
          <w:sz w:val="28"/>
          <w:szCs w:val="24"/>
          <w:vertAlign w:val="superscript"/>
          <w:lang w:eastAsia="en-US"/>
        </w:rPr>
        <w:t>0</w:t>
      </w:r>
      <w:r w:rsidRPr="00252700">
        <w:rPr>
          <w:rFonts w:ascii="Times New Roman" w:eastAsia="Times New Roman" w:hAnsi="Times New Roman" w:cs="Times New Roman"/>
          <w:sz w:val="28"/>
          <w:szCs w:val="24"/>
          <w:lang w:eastAsia="en-US"/>
        </w:rPr>
        <w:t>, kas atspoguļojas gan dabasgāzes, ko izmanto par kurināmo, patēriņa dinamikā, gan akcīzes nodokļa ieņēmumos.</w:t>
      </w:r>
    </w:p>
    <w:p w14:paraId="3B5A61C9" w14:textId="77777777" w:rsidR="00DB596B" w:rsidRPr="00252700" w:rsidRDefault="00DB596B" w:rsidP="00401A5B">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4"/>
          <w:lang w:eastAsia="en-US"/>
        </w:rPr>
        <w:t>Saskaņā ar 2020.gada 6.februārī Saeimā pieņemtajiem grozījumiem likumā “Par akcīzes nodokli” ar 2020.gada 1.maiju atcelts atbrīvojums lauksaimniecībā izmantojamās zemes segto platību (siltumnīcu) siltumapgādei un rūpniecisko mājputnu novietņu (kūtis) un inkubatoru siltumapgādei.</w:t>
      </w:r>
    </w:p>
    <w:p w14:paraId="0DCB237C" w14:textId="39BF13FF" w:rsidR="00DB596B" w:rsidRPr="008C6453" w:rsidRDefault="00DB596B" w:rsidP="008C6453">
      <w:pPr>
        <w:ind w:firstLine="720"/>
        <w:jc w:val="both"/>
        <w:rPr>
          <w:rFonts w:ascii="Times New Roman" w:eastAsia="Times New Roman" w:hAnsi="Times New Roman" w:cs="Times New Roman"/>
          <w:sz w:val="28"/>
          <w:szCs w:val="20"/>
          <w:lang w:eastAsia="en-US"/>
        </w:rPr>
      </w:pPr>
      <w:r w:rsidRPr="00252700">
        <w:rPr>
          <w:rFonts w:ascii="Times New Roman" w:eastAsia="Times New Roman" w:hAnsi="Times New Roman" w:cs="Times New Roman"/>
          <w:sz w:val="28"/>
          <w:szCs w:val="20"/>
          <w:lang w:eastAsia="en-US"/>
        </w:rPr>
        <w:t xml:space="preserve">Ņemot vērā dabasgāzes patēriņa dinamiku un sešu mēnešu izpildi, akcīzes nodokļa dabasgāzei ieņēmumi 2020.gadā prognozēti 18,9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apmērā, kas ir par 2,9 milj.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0"/>
          <w:lang w:eastAsia="en-US"/>
        </w:rPr>
        <w:t xml:space="preserve"> jeb 13,3% mazāk nekā plānots. </w:t>
      </w:r>
    </w:p>
    <w:p w14:paraId="451D0298" w14:textId="31B38C95" w:rsidR="00DB596B" w:rsidRPr="00252700" w:rsidRDefault="00DB596B" w:rsidP="00401A5B">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4"/>
          <w:lang w:eastAsia="en-US"/>
        </w:rPr>
        <w:t xml:space="preserve">Saskaņā ar </w:t>
      </w:r>
      <w:r w:rsidR="008C6453">
        <w:rPr>
          <w:rFonts w:ascii="Times New Roman" w:eastAsia="Times New Roman" w:hAnsi="Times New Roman" w:cs="Times New Roman"/>
          <w:sz w:val="28"/>
          <w:szCs w:val="24"/>
          <w:lang w:eastAsia="en-US"/>
        </w:rPr>
        <w:t>VTBIL 2021., 2022. un 2023.gadam projektu</w:t>
      </w:r>
      <w:r w:rsidRPr="00252700">
        <w:rPr>
          <w:rFonts w:ascii="Times New Roman" w:eastAsia="Times New Roman" w:hAnsi="Times New Roman" w:cs="Times New Roman"/>
          <w:sz w:val="28"/>
          <w:szCs w:val="24"/>
          <w:lang w:eastAsia="en-US"/>
        </w:rPr>
        <w:t xml:space="preserve"> kopējie akcīzes nodokļa ieņēmumi tiek plānoti 2021.gadā 1 114,5 milj. </w:t>
      </w:r>
      <w:r w:rsidRPr="00252700">
        <w:rPr>
          <w:rFonts w:ascii="Times New Roman" w:eastAsia="Times New Roman" w:hAnsi="Times New Roman" w:cs="Times New Roman"/>
          <w:i/>
          <w:sz w:val="28"/>
          <w:szCs w:val="24"/>
          <w:lang w:eastAsia="en-US"/>
        </w:rPr>
        <w:t>euro</w:t>
      </w:r>
      <w:r w:rsidRPr="00252700">
        <w:rPr>
          <w:rFonts w:ascii="Times New Roman" w:eastAsia="Times New Roman" w:hAnsi="Times New Roman" w:cs="Times New Roman"/>
          <w:sz w:val="28"/>
          <w:szCs w:val="24"/>
          <w:lang w:eastAsia="en-US"/>
        </w:rPr>
        <w:t>, 2022.gadā 1 159,5 milj. </w:t>
      </w:r>
      <w:r w:rsidRPr="00252700">
        <w:rPr>
          <w:rFonts w:ascii="Times New Roman" w:eastAsia="Times New Roman" w:hAnsi="Times New Roman" w:cs="Times New Roman"/>
          <w:i/>
          <w:sz w:val="28"/>
          <w:szCs w:val="24"/>
          <w:lang w:eastAsia="en-US"/>
        </w:rPr>
        <w:t>euro</w:t>
      </w:r>
      <w:r w:rsidRPr="00252700">
        <w:rPr>
          <w:rFonts w:ascii="Times New Roman" w:eastAsia="Times New Roman" w:hAnsi="Times New Roman" w:cs="Times New Roman"/>
          <w:sz w:val="28"/>
          <w:szCs w:val="24"/>
          <w:lang w:eastAsia="en-US"/>
        </w:rPr>
        <w:t>, bet 2023.gadā 1 196,1 milj. </w:t>
      </w:r>
      <w:r w:rsidRPr="00252700">
        <w:rPr>
          <w:rFonts w:ascii="Times New Roman" w:eastAsia="Times New Roman" w:hAnsi="Times New Roman" w:cs="Times New Roman"/>
          <w:i/>
          <w:sz w:val="28"/>
          <w:szCs w:val="24"/>
          <w:lang w:eastAsia="en-US"/>
        </w:rPr>
        <w:t>euro</w:t>
      </w:r>
      <w:r w:rsidRPr="00252700">
        <w:rPr>
          <w:rFonts w:ascii="Times New Roman" w:eastAsia="Times New Roman" w:hAnsi="Times New Roman" w:cs="Times New Roman"/>
          <w:sz w:val="28"/>
          <w:szCs w:val="24"/>
          <w:lang w:eastAsia="en-US"/>
        </w:rPr>
        <w:t xml:space="preserve">. </w:t>
      </w:r>
    </w:p>
    <w:p w14:paraId="04F9640E" w14:textId="77777777" w:rsidR="00DB596B" w:rsidRPr="00252700" w:rsidRDefault="00DB596B" w:rsidP="00401A5B">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4"/>
          <w:lang w:eastAsia="en-US"/>
        </w:rPr>
        <w:t>Vidējā termiņa akcīzes nodokļa ieņēmumu plāns tika sagatavots, ņemot vērā:</w:t>
      </w:r>
    </w:p>
    <w:p w14:paraId="6E801099" w14:textId="77777777" w:rsidR="00DB596B" w:rsidRPr="008C6453" w:rsidRDefault="00DB596B" w:rsidP="00FB2B77">
      <w:pPr>
        <w:numPr>
          <w:ilvl w:val="0"/>
          <w:numId w:val="22"/>
        </w:numPr>
        <w:ind w:left="567" w:hanging="283"/>
        <w:contextualSpacing/>
        <w:jc w:val="both"/>
        <w:rPr>
          <w:rFonts w:ascii="Times New Roman" w:eastAsia="Times New Roman" w:hAnsi="Times New Roman" w:cs="Times New Roman"/>
          <w:sz w:val="28"/>
          <w:szCs w:val="24"/>
          <w:lang w:eastAsia="en-US"/>
        </w:rPr>
      </w:pPr>
      <w:r w:rsidRPr="008C6453">
        <w:rPr>
          <w:rFonts w:ascii="Times New Roman" w:eastAsia="Times New Roman" w:hAnsi="Times New Roman" w:cs="Times New Roman"/>
          <w:sz w:val="28"/>
          <w:szCs w:val="24"/>
          <w:lang w:eastAsia="en-US"/>
        </w:rPr>
        <w:t>2020.gadam prognozētos akcīzes nodokļa ieņēmumus (bāzi);</w:t>
      </w:r>
    </w:p>
    <w:p w14:paraId="4209C188" w14:textId="77777777" w:rsidR="00DB596B" w:rsidRPr="008C6453" w:rsidRDefault="00DB596B" w:rsidP="00FB2B77">
      <w:pPr>
        <w:numPr>
          <w:ilvl w:val="0"/>
          <w:numId w:val="22"/>
        </w:numPr>
        <w:ind w:left="567" w:hanging="283"/>
        <w:jc w:val="both"/>
        <w:rPr>
          <w:rFonts w:ascii="Times New Roman" w:eastAsia="Times New Roman" w:hAnsi="Times New Roman" w:cs="Times New Roman"/>
          <w:sz w:val="28"/>
          <w:szCs w:val="24"/>
          <w:lang w:eastAsia="en-US"/>
        </w:rPr>
      </w:pPr>
      <w:r w:rsidRPr="008C6453">
        <w:rPr>
          <w:rFonts w:ascii="Times New Roman" w:eastAsia="Times New Roman" w:hAnsi="Times New Roman" w:cs="Times New Roman"/>
          <w:sz w:val="28"/>
          <w:szCs w:val="24"/>
          <w:lang w:eastAsia="en-US"/>
        </w:rPr>
        <w:t>prognozēto IKP pieauguma tempu (2021.gadā +6,5%, 2022.gadā +5,3%, 2023.gadā +5,2%), prognozēto darba samaksas pieauguma tempu (2021.gadā +3,0%, 2021.gadā +5,0% un 2022.gadā +5,0%), kā arī prognozēto privātā patēriņa pieaugumu (2021.gadā +5,8%, 2022.gadā +5,1%, 2023.gadā +5,1%);</w:t>
      </w:r>
    </w:p>
    <w:p w14:paraId="0B52534E" w14:textId="77777777" w:rsidR="00DB596B" w:rsidRPr="008C6453" w:rsidRDefault="00DB596B" w:rsidP="00FB2B77">
      <w:pPr>
        <w:numPr>
          <w:ilvl w:val="0"/>
          <w:numId w:val="22"/>
        </w:numPr>
        <w:ind w:left="567" w:hanging="283"/>
        <w:contextualSpacing/>
        <w:jc w:val="both"/>
        <w:rPr>
          <w:rFonts w:ascii="Times New Roman" w:eastAsia="Times New Roman" w:hAnsi="Times New Roman" w:cs="Times New Roman"/>
          <w:sz w:val="28"/>
          <w:szCs w:val="24"/>
          <w:lang w:eastAsia="en-US"/>
        </w:rPr>
      </w:pPr>
      <w:r w:rsidRPr="008C6453">
        <w:rPr>
          <w:rFonts w:ascii="Times New Roman" w:eastAsia="Times New Roman" w:hAnsi="Times New Roman" w:cs="Times New Roman"/>
          <w:sz w:val="28"/>
          <w:szCs w:val="24"/>
          <w:lang w:eastAsia="en-US"/>
        </w:rPr>
        <w:t>prognozēto akcīzes nodokļa preču patēriņa dinamiku;</w:t>
      </w:r>
    </w:p>
    <w:p w14:paraId="70528317" w14:textId="77777777" w:rsidR="00DB596B" w:rsidRPr="008C6453" w:rsidRDefault="00DB596B" w:rsidP="00FB2B77">
      <w:pPr>
        <w:numPr>
          <w:ilvl w:val="0"/>
          <w:numId w:val="22"/>
        </w:numPr>
        <w:ind w:left="567" w:hanging="283"/>
        <w:contextualSpacing/>
        <w:jc w:val="both"/>
        <w:rPr>
          <w:rFonts w:ascii="Times New Roman" w:eastAsia="Times New Roman" w:hAnsi="Times New Roman" w:cs="Times New Roman"/>
          <w:sz w:val="28"/>
          <w:szCs w:val="24"/>
          <w:lang w:eastAsia="en-US"/>
        </w:rPr>
      </w:pPr>
      <w:r w:rsidRPr="008C6453">
        <w:rPr>
          <w:rFonts w:ascii="Times New Roman" w:eastAsia="Times New Roman" w:hAnsi="Times New Roman" w:cs="Times New Roman"/>
          <w:sz w:val="28"/>
          <w:szCs w:val="24"/>
          <w:lang w:eastAsia="en-US"/>
        </w:rPr>
        <w:t>pieņemtos grozījumus normatīvajos aktos:</w:t>
      </w:r>
    </w:p>
    <w:p w14:paraId="287C0C8F" w14:textId="40330DD2" w:rsidR="00DB596B" w:rsidRPr="00252700" w:rsidRDefault="00DB596B" w:rsidP="00FB2B77">
      <w:pPr>
        <w:numPr>
          <w:ilvl w:val="0"/>
          <w:numId w:val="44"/>
        </w:numPr>
        <w:contextualSpacing/>
        <w:jc w:val="both"/>
        <w:rPr>
          <w:rFonts w:ascii="Times New Roman" w:eastAsia="Times New Roman" w:hAnsi="Times New Roman" w:cs="Times New Roman"/>
          <w:b/>
          <w:i/>
          <w:sz w:val="32"/>
          <w:szCs w:val="20"/>
          <w:lang w:eastAsia="en-US"/>
        </w:rPr>
      </w:pPr>
      <w:r w:rsidRPr="00252700">
        <w:rPr>
          <w:rFonts w:ascii="Times New Roman" w:eastAsia="Times New Roman" w:hAnsi="Times New Roman" w:cs="Times New Roman"/>
          <w:sz w:val="28"/>
          <w:szCs w:val="24"/>
          <w:lang w:eastAsia="en-US"/>
        </w:rPr>
        <w:t>2020.gada 20.februārī Saeimā pieņemtos grozījumus likumā “Par akcīzes nodokli”, kas paredz ar 2021.gada 1.martu akcīzes nodokļa likmes visiem alkoholiskajiem dzērieniem, izņemot raudzētos dzērienus ar absolūtā spirta saturu līdz 6 tilpumprocentiem, un alum paaugstināt vidēji par 5</w:t>
      </w:r>
      <w:r w:rsidR="008C6453">
        <w:rPr>
          <w:rFonts w:ascii="Times New Roman" w:eastAsia="Times New Roman" w:hAnsi="Times New Roman" w:cs="Times New Roman"/>
          <w:sz w:val="28"/>
          <w:szCs w:val="24"/>
          <w:lang w:eastAsia="en-US"/>
        </w:rPr>
        <w:t>%</w:t>
      </w:r>
      <w:r w:rsidRPr="00252700">
        <w:rPr>
          <w:rFonts w:ascii="Times New Roman" w:eastAsia="Times New Roman" w:hAnsi="Times New Roman" w:cs="Times New Roman"/>
          <w:sz w:val="28"/>
          <w:szCs w:val="24"/>
          <w:lang w:eastAsia="en-US"/>
        </w:rPr>
        <w:t xml:space="preserve">. </w:t>
      </w:r>
      <w:r w:rsidRPr="00252700">
        <w:rPr>
          <w:rFonts w:ascii="Times New Roman" w:eastAsia="Times New Roman" w:hAnsi="Times New Roman" w:cs="Times New Roman"/>
          <w:sz w:val="28"/>
          <w:szCs w:val="20"/>
          <w:lang w:eastAsia="en-US"/>
        </w:rPr>
        <w:t xml:space="preserve">Akcīzes nodokļa likmes alkoholiskajiem dzērieniem un alum Latvijā un Baltijas valstīs atspoguļotas </w:t>
      </w:r>
      <w:r w:rsidRPr="008C6453">
        <w:rPr>
          <w:rFonts w:ascii="Times New Roman" w:eastAsia="Times New Roman" w:hAnsi="Times New Roman" w:cs="Times New Roman"/>
          <w:sz w:val="28"/>
          <w:szCs w:val="20"/>
          <w:lang w:eastAsia="en-US"/>
        </w:rPr>
        <w:t>3.8</w:t>
      </w:r>
      <w:r w:rsidR="008C6453">
        <w:rPr>
          <w:rFonts w:ascii="Times New Roman" w:eastAsia="Times New Roman" w:hAnsi="Times New Roman" w:cs="Times New Roman"/>
          <w:sz w:val="28"/>
          <w:szCs w:val="20"/>
          <w:lang w:eastAsia="en-US"/>
        </w:rPr>
        <w:t>.tabulā</w:t>
      </w:r>
      <w:r w:rsidRPr="00252700">
        <w:rPr>
          <w:rFonts w:ascii="Times New Roman" w:eastAsia="Times New Roman" w:hAnsi="Times New Roman" w:cs="Times New Roman"/>
          <w:sz w:val="28"/>
          <w:szCs w:val="20"/>
          <w:lang w:eastAsia="en-US"/>
        </w:rPr>
        <w:t>;</w:t>
      </w:r>
    </w:p>
    <w:p w14:paraId="59FB0CA6" w14:textId="7D2FF785" w:rsidR="00DB596B" w:rsidRPr="008C6453" w:rsidRDefault="00DB596B" w:rsidP="00FB2B77">
      <w:pPr>
        <w:numPr>
          <w:ilvl w:val="0"/>
          <w:numId w:val="44"/>
        </w:numPr>
        <w:contextualSpacing/>
        <w:jc w:val="both"/>
        <w:rPr>
          <w:rFonts w:ascii="Times New Roman" w:eastAsia="Times New Roman" w:hAnsi="Times New Roman" w:cs="Times New Roman"/>
          <w:b/>
          <w:i/>
          <w:sz w:val="32"/>
          <w:szCs w:val="20"/>
          <w:lang w:eastAsia="en-US"/>
        </w:rPr>
      </w:pPr>
      <w:r w:rsidRPr="00252700">
        <w:rPr>
          <w:rFonts w:ascii="Times New Roman" w:eastAsia="Times New Roman" w:hAnsi="Times New Roman" w:cs="Times New Roman"/>
          <w:sz w:val="28"/>
          <w:szCs w:val="24"/>
          <w:lang w:eastAsia="en-US"/>
        </w:rPr>
        <w:t xml:space="preserve">2020.gada 6.februārī pieņemtos grozījumus likumā “Par akcīzes nodokli”, kas paredz ar 2022.gada 1.janvāri bezalkoholiskajiem dzērieniem ar cukura saturu no 8 gramiem uz 100 mililitriem noteikt paaugstinātu akcīzes nodokļa likmi 14,00 </w:t>
      </w:r>
      <w:r w:rsidRPr="00252700">
        <w:rPr>
          <w:rFonts w:ascii="Times New Roman" w:eastAsia="Times New Roman" w:hAnsi="Times New Roman" w:cs="Times New Roman"/>
          <w:i/>
          <w:sz w:val="28"/>
          <w:szCs w:val="24"/>
          <w:lang w:eastAsia="en-US"/>
        </w:rPr>
        <w:t>euro</w:t>
      </w:r>
      <w:r w:rsidRPr="00252700">
        <w:rPr>
          <w:rFonts w:ascii="Times New Roman" w:eastAsia="Times New Roman" w:hAnsi="Times New Roman" w:cs="Times New Roman"/>
          <w:sz w:val="28"/>
          <w:szCs w:val="24"/>
          <w:lang w:eastAsia="en-US"/>
        </w:rPr>
        <w:t xml:space="preserve"> par 100 litriem.</w:t>
      </w:r>
    </w:p>
    <w:p w14:paraId="0F211566" w14:textId="128995C0" w:rsidR="00DB596B" w:rsidRPr="00252700" w:rsidRDefault="00DB596B" w:rsidP="00401A5B">
      <w:pPr>
        <w:ind w:firstLine="633"/>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4"/>
          <w:lang w:eastAsia="en-US"/>
        </w:rPr>
        <w:t xml:space="preserve">Saskaņā ar </w:t>
      </w:r>
      <w:r w:rsidR="008C6453">
        <w:rPr>
          <w:rFonts w:ascii="Times New Roman" w:eastAsia="Times New Roman" w:hAnsi="Times New Roman" w:cs="Times New Roman"/>
          <w:sz w:val="28"/>
          <w:szCs w:val="24"/>
          <w:lang w:eastAsia="en-US"/>
        </w:rPr>
        <w:t>MK</w:t>
      </w:r>
      <w:r w:rsidRPr="00252700">
        <w:rPr>
          <w:rFonts w:ascii="Times New Roman" w:eastAsia="Times New Roman" w:hAnsi="Times New Roman" w:cs="Times New Roman"/>
          <w:sz w:val="28"/>
          <w:szCs w:val="24"/>
          <w:lang w:eastAsia="en-US"/>
        </w:rPr>
        <w:t xml:space="preserve"> 2020.gada 2.septembra sēdē atbalstīto informatīvo ziņojumu "Par nodokļu politikas attīstības virzieniem, valsts sociālās un veselības apdrošināšanas ilgtspējas veicināšanai" paredzētas šādas akcīzes nodokļa izmaiņas:</w:t>
      </w:r>
    </w:p>
    <w:p w14:paraId="14031E05" w14:textId="718A6086" w:rsidR="00DB596B" w:rsidRPr="008C6453" w:rsidRDefault="00DB596B" w:rsidP="00FB2B77">
      <w:pPr>
        <w:numPr>
          <w:ilvl w:val="0"/>
          <w:numId w:val="34"/>
        </w:numPr>
        <w:contextualSpacing/>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4"/>
          <w:lang w:eastAsia="en-US"/>
        </w:rPr>
        <w:t xml:space="preserve">ar 2021.gada 1.janvāri tiks vienkāršota un paaugstināta akcīzes nodokļa likme elektroniskajās cigaretēs izmantojamajiem šķidrumiem, nosakot likmi 0,12 </w:t>
      </w:r>
      <w:r w:rsidRPr="00252700">
        <w:rPr>
          <w:rFonts w:ascii="Times New Roman" w:eastAsia="Times New Roman" w:hAnsi="Times New Roman" w:cs="Times New Roman"/>
          <w:i/>
          <w:sz w:val="28"/>
          <w:szCs w:val="24"/>
          <w:lang w:eastAsia="en-US"/>
        </w:rPr>
        <w:t>euro</w:t>
      </w:r>
      <w:r w:rsidRPr="00252700">
        <w:rPr>
          <w:rFonts w:ascii="Times New Roman" w:eastAsia="Times New Roman" w:hAnsi="Times New Roman" w:cs="Times New Roman"/>
          <w:sz w:val="28"/>
          <w:szCs w:val="24"/>
          <w:lang w:eastAsia="en-US"/>
        </w:rPr>
        <w:t xml:space="preserve"> par mililitru šķidruma neatkarīgi n</w:t>
      </w:r>
      <w:r w:rsidR="001D00AC">
        <w:rPr>
          <w:rFonts w:ascii="Times New Roman" w:eastAsia="Times New Roman" w:hAnsi="Times New Roman" w:cs="Times New Roman"/>
          <w:sz w:val="28"/>
          <w:szCs w:val="24"/>
          <w:lang w:eastAsia="en-US"/>
        </w:rPr>
        <w:t>o nikotīna daudzuma, bet ar 2022</w:t>
      </w:r>
      <w:r w:rsidRPr="00252700">
        <w:rPr>
          <w:rFonts w:ascii="Times New Roman" w:eastAsia="Times New Roman" w:hAnsi="Times New Roman" w:cs="Times New Roman"/>
          <w:sz w:val="28"/>
          <w:szCs w:val="24"/>
          <w:lang w:eastAsia="en-US"/>
        </w:rPr>
        <w:t>.gada 1.janvāri paaugstinot to līdz 0,16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4"/>
          <w:lang w:eastAsia="en-US"/>
        </w:rPr>
        <w:t xml:space="preserve"> un ar 2023.gada1.janvāri – līdz 0,20 </w:t>
      </w:r>
      <w:r w:rsidRPr="00252700">
        <w:rPr>
          <w:rFonts w:ascii="Times New Roman" w:eastAsia="Times New Roman" w:hAnsi="Times New Roman" w:cs="Times New Roman"/>
          <w:bCs/>
          <w:i/>
          <w:sz w:val="28"/>
          <w:szCs w:val="24"/>
          <w:lang w:eastAsia="en-US"/>
        </w:rPr>
        <w:t>euro</w:t>
      </w:r>
      <w:r w:rsidRPr="00252700">
        <w:rPr>
          <w:rFonts w:ascii="Times New Roman" w:eastAsia="Times New Roman" w:hAnsi="Times New Roman" w:cs="Times New Roman"/>
          <w:sz w:val="28"/>
          <w:szCs w:val="24"/>
          <w:lang w:eastAsia="en-US"/>
        </w:rPr>
        <w:t xml:space="preserve"> par mililitru šķidruma. Akcīzes nodoklis tiks piemērots arī elektroniskajās cigaretēs izmantojamo šķidrumu sastāvdaļām (propilenglikols, aromatizatori, augu izcelsmes glicerīns un nikotīna ekstrakti), kuras plaši tiek piedāvātas Latvijas tirgū un kuras patērētāji iegādājas, lai sagatavotu elektroniskajās cigaretēs izmantojamo šķidrumu, tādējādi izvairoties no akcīzes nodokļa nomaksas.</w:t>
      </w:r>
      <w:r w:rsidR="008C6453">
        <w:rPr>
          <w:rFonts w:ascii="Times New Roman" w:eastAsia="Times New Roman" w:hAnsi="Times New Roman" w:cs="Times New Roman"/>
          <w:sz w:val="28"/>
          <w:szCs w:val="24"/>
          <w:lang w:eastAsia="en-US"/>
        </w:rPr>
        <w:t xml:space="preserve"> </w:t>
      </w:r>
      <w:r w:rsidRPr="008C6453">
        <w:rPr>
          <w:rFonts w:ascii="Times New Roman" w:eastAsia="Times New Roman" w:hAnsi="Times New Roman" w:cs="Times New Roman"/>
          <w:sz w:val="28"/>
          <w:szCs w:val="24"/>
          <w:lang w:eastAsia="en-US"/>
        </w:rPr>
        <w:t xml:space="preserve">Fiskālā ietekme 2021.gadā +0,5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(t.sk. no akcīzes nodokļa +0,4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un no pievienotās vērtības nodokļa +0,1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2022.gadā +0,6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(t.sk. no akcīzes nodokļa +0,5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un no pievienotās vērtības nodokļa +0,1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un 2023.gadā +0,7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(t.sk. no akcīzes nodokļa +0,6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un no pievienotās vērtības nodokļa +0,1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w:t>
      </w:r>
    </w:p>
    <w:p w14:paraId="56A3704C" w14:textId="77777777" w:rsidR="00DB596B" w:rsidRPr="00252700" w:rsidRDefault="00DB596B" w:rsidP="00FB2B77">
      <w:pPr>
        <w:numPr>
          <w:ilvl w:val="0"/>
          <w:numId w:val="35"/>
        </w:numPr>
        <w:contextualSpacing/>
        <w:jc w:val="both"/>
        <w:rPr>
          <w:rFonts w:ascii="Times New Roman" w:eastAsia="Times New Roman" w:hAnsi="Times New Roman" w:cs="Times New Roman"/>
          <w:sz w:val="24"/>
          <w:szCs w:val="24"/>
          <w:lang w:eastAsia="en-US"/>
        </w:rPr>
      </w:pPr>
      <w:r w:rsidRPr="00252700">
        <w:rPr>
          <w:rFonts w:ascii="Times New Roman" w:eastAsia="Times New Roman" w:hAnsi="Times New Roman" w:cs="Times New Roman"/>
          <w:sz w:val="28"/>
          <w:szCs w:val="20"/>
          <w:lang w:eastAsia="en-US"/>
        </w:rPr>
        <w:t>ar 2021., 2022. un 2023.gada 1.janvāri tiks paaugstinātas akcīzes nodokļa likmes cigāriem, cigarillām, smēķējamajai un karsējamajai tabakai, un tabakas lapām;</w:t>
      </w:r>
    </w:p>
    <w:p w14:paraId="5717F337" w14:textId="77777777" w:rsidR="00DB596B" w:rsidRPr="00252700" w:rsidRDefault="00DB596B" w:rsidP="00FB2B77">
      <w:pPr>
        <w:numPr>
          <w:ilvl w:val="0"/>
          <w:numId w:val="35"/>
        </w:numPr>
        <w:contextualSpacing/>
        <w:jc w:val="both"/>
        <w:rPr>
          <w:rFonts w:ascii="Times New Roman" w:eastAsia="Times New Roman" w:hAnsi="Times New Roman" w:cs="Times New Roman"/>
          <w:sz w:val="24"/>
          <w:szCs w:val="24"/>
          <w:lang w:eastAsia="en-US"/>
        </w:rPr>
      </w:pPr>
      <w:r w:rsidRPr="00252700">
        <w:rPr>
          <w:rFonts w:ascii="Times New Roman" w:eastAsia="Times New Roman" w:hAnsi="Times New Roman" w:cs="Times New Roman"/>
          <w:sz w:val="28"/>
          <w:szCs w:val="20"/>
          <w:lang w:eastAsia="en-US"/>
        </w:rPr>
        <w:t>ar 2021., 2022. un 2023.gada 1.janvāri akcīzes nodoklis tiks piemērots arī tabakas aizstājējproduktiem (piemēram, nikotīnu saturošiem spilventiņiem);</w:t>
      </w:r>
    </w:p>
    <w:p w14:paraId="4CDA7C7E" w14:textId="77777777" w:rsidR="00DB596B" w:rsidRPr="00252700" w:rsidRDefault="00DB596B" w:rsidP="00FB2B77">
      <w:pPr>
        <w:numPr>
          <w:ilvl w:val="0"/>
          <w:numId w:val="35"/>
        </w:numPr>
        <w:contextualSpacing/>
        <w:jc w:val="both"/>
        <w:rPr>
          <w:rFonts w:ascii="Times New Roman" w:eastAsia="Times New Roman" w:hAnsi="Times New Roman" w:cs="Times New Roman"/>
          <w:sz w:val="24"/>
          <w:szCs w:val="24"/>
          <w:lang w:eastAsia="en-US"/>
        </w:rPr>
      </w:pPr>
      <w:r w:rsidRPr="00252700">
        <w:rPr>
          <w:rFonts w:ascii="Times New Roman" w:eastAsia="Times New Roman" w:hAnsi="Times New Roman" w:cs="Times New Roman"/>
          <w:sz w:val="28"/>
          <w:szCs w:val="20"/>
          <w:lang w:eastAsia="en-US"/>
        </w:rPr>
        <w:t>ar 2021.gada 1.martu un 2022. un 2023.gada 1.janvāri tiks paaugstinātas akcīzes nodokļa likmes cigaretēm.</w:t>
      </w:r>
    </w:p>
    <w:p w14:paraId="1D68D89A" w14:textId="77777777" w:rsidR="008C6453" w:rsidRDefault="00DB596B" w:rsidP="008C6453">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4"/>
          <w:lang w:eastAsia="en-US"/>
        </w:rPr>
        <w:t xml:space="preserve">Plānotās likmes tabakas izstrādājumiem atspoguļotas </w:t>
      </w:r>
      <w:r w:rsidRPr="008C6453">
        <w:rPr>
          <w:rFonts w:ascii="Times New Roman" w:eastAsia="Times New Roman" w:hAnsi="Times New Roman" w:cs="Times New Roman"/>
          <w:sz w:val="28"/>
          <w:szCs w:val="24"/>
          <w:lang w:eastAsia="en-US"/>
        </w:rPr>
        <w:t>3.9.tabulā</w:t>
      </w:r>
      <w:r w:rsidRPr="00252700">
        <w:rPr>
          <w:rFonts w:ascii="Times New Roman" w:eastAsia="Times New Roman" w:hAnsi="Times New Roman" w:cs="Times New Roman"/>
          <w:sz w:val="28"/>
          <w:szCs w:val="24"/>
          <w:lang w:eastAsia="en-US"/>
        </w:rPr>
        <w:t xml:space="preserve">. </w:t>
      </w:r>
    </w:p>
    <w:p w14:paraId="52E3D675" w14:textId="0F86EC7A" w:rsidR="00DB596B" w:rsidRDefault="00DB596B" w:rsidP="008C6453">
      <w:pPr>
        <w:ind w:firstLine="720"/>
        <w:jc w:val="both"/>
        <w:rPr>
          <w:rFonts w:ascii="Times New Roman" w:eastAsia="Times New Roman" w:hAnsi="Times New Roman" w:cs="Times New Roman"/>
          <w:sz w:val="28"/>
          <w:szCs w:val="24"/>
          <w:lang w:eastAsia="en-US"/>
        </w:rPr>
      </w:pPr>
      <w:r w:rsidRPr="00252700">
        <w:rPr>
          <w:rFonts w:ascii="Times New Roman" w:eastAsia="Times New Roman" w:hAnsi="Times New Roman" w:cs="Times New Roman"/>
          <w:sz w:val="28"/>
          <w:szCs w:val="24"/>
          <w:lang w:eastAsia="en-US"/>
        </w:rPr>
        <w:t>Minētie pasākumi mazinās negatīvo fiskālo ietekmi no darbaspēka nodokļu sloga mazināšanas.</w:t>
      </w:r>
    </w:p>
    <w:p w14:paraId="462ABEEA" w14:textId="1588940B" w:rsidR="00DC73D6" w:rsidRDefault="00DC73D6" w:rsidP="008C6453">
      <w:pPr>
        <w:ind w:firstLine="720"/>
        <w:jc w:val="both"/>
        <w:rPr>
          <w:rFonts w:ascii="Times New Roman" w:eastAsia="Times New Roman" w:hAnsi="Times New Roman" w:cs="Times New Roman"/>
          <w:sz w:val="28"/>
          <w:szCs w:val="24"/>
          <w:lang w:eastAsia="en-US"/>
        </w:rPr>
      </w:pPr>
    </w:p>
    <w:p w14:paraId="33A4196D" w14:textId="436F0F5E" w:rsidR="00DC73D6" w:rsidRDefault="00DC73D6" w:rsidP="008C6453">
      <w:pPr>
        <w:ind w:firstLine="720"/>
        <w:jc w:val="both"/>
        <w:rPr>
          <w:rFonts w:ascii="Times New Roman" w:eastAsia="Times New Roman" w:hAnsi="Times New Roman" w:cs="Times New Roman"/>
          <w:sz w:val="28"/>
          <w:szCs w:val="24"/>
          <w:lang w:eastAsia="en-US"/>
        </w:rPr>
      </w:pPr>
    </w:p>
    <w:p w14:paraId="16AD6C35" w14:textId="2A6604F6" w:rsidR="00DC73D6" w:rsidRDefault="00DC73D6" w:rsidP="008C6453">
      <w:pPr>
        <w:ind w:firstLine="720"/>
        <w:jc w:val="both"/>
        <w:rPr>
          <w:rFonts w:ascii="Times New Roman" w:eastAsia="Times New Roman" w:hAnsi="Times New Roman" w:cs="Times New Roman"/>
          <w:sz w:val="28"/>
          <w:szCs w:val="24"/>
          <w:lang w:eastAsia="en-US"/>
        </w:rPr>
      </w:pPr>
    </w:p>
    <w:p w14:paraId="26D91302" w14:textId="77777777" w:rsidR="00DC73D6" w:rsidRPr="00252700" w:rsidRDefault="00DC73D6" w:rsidP="008C6453">
      <w:pPr>
        <w:ind w:firstLine="720"/>
        <w:jc w:val="both"/>
        <w:rPr>
          <w:rFonts w:ascii="Times New Roman" w:eastAsia="Times New Roman" w:hAnsi="Times New Roman" w:cs="Times New Roman"/>
          <w:sz w:val="28"/>
          <w:szCs w:val="24"/>
          <w:lang w:eastAsia="en-US"/>
        </w:rPr>
      </w:pPr>
    </w:p>
    <w:p w14:paraId="34B92925" w14:textId="52ECCE24" w:rsidR="008C6453" w:rsidRPr="00DB596B" w:rsidRDefault="008C6453" w:rsidP="00401A5B">
      <w:pPr>
        <w:ind w:left="360" w:firstLine="720"/>
        <w:jc w:val="both"/>
        <w:rPr>
          <w:rFonts w:ascii="Times New Roman" w:eastAsia="Times New Roman" w:hAnsi="Times New Roman" w:cs="Times New Roman"/>
          <w:sz w:val="24"/>
          <w:szCs w:val="24"/>
          <w:lang w:eastAsia="en-US"/>
        </w:rPr>
      </w:pPr>
    </w:p>
    <w:p w14:paraId="6ED23C22" w14:textId="77777777" w:rsidR="00DB596B" w:rsidRPr="00DB596B" w:rsidRDefault="00DB596B" w:rsidP="008C6453">
      <w:pPr>
        <w:spacing w:line="360" w:lineRule="auto"/>
        <w:ind w:firstLine="720"/>
        <w:contextualSpacing/>
        <w:jc w:val="right"/>
        <w:rPr>
          <w:rFonts w:ascii="Times New Roman" w:eastAsia="Times New Roman" w:hAnsi="Times New Roman" w:cs="Times New Roman"/>
          <w:b/>
          <w:i/>
          <w:sz w:val="24"/>
          <w:szCs w:val="20"/>
          <w:lang w:eastAsia="en-US"/>
        </w:rPr>
      </w:pPr>
      <w:r w:rsidRPr="008C6453">
        <w:rPr>
          <w:rFonts w:ascii="Times New Roman" w:eastAsia="Times New Roman" w:hAnsi="Times New Roman" w:cs="Times New Roman"/>
          <w:b/>
          <w:i/>
          <w:sz w:val="24"/>
          <w:szCs w:val="20"/>
          <w:lang w:eastAsia="en-US"/>
        </w:rPr>
        <w:t>3.9.</w:t>
      </w:r>
      <w:r w:rsidRPr="00DB596B">
        <w:rPr>
          <w:rFonts w:ascii="Times New Roman" w:eastAsia="Times New Roman" w:hAnsi="Times New Roman" w:cs="Times New Roman"/>
          <w:b/>
          <w:i/>
          <w:sz w:val="24"/>
          <w:szCs w:val="20"/>
          <w:lang w:eastAsia="en-US"/>
        </w:rPr>
        <w:t>tabula.</w:t>
      </w:r>
      <w:r w:rsidRPr="00DB596B">
        <w:rPr>
          <w:rFonts w:ascii="Times New Roman" w:eastAsia="Times New Roman" w:hAnsi="Times New Roman" w:cs="Times New Roman"/>
          <w:sz w:val="24"/>
          <w:szCs w:val="20"/>
          <w:lang w:eastAsia="en-US"/>
        </w:rPr>
        <w:t xml:space="preserve"> </w:t>
      </w:r>
      <w:r w:rsidRPr="00DB596B">
        <w:rPr>
          <w:rFonts w:ascii="Times New Roman" w:eastAsia="Times New Roman" w:hAnsi="Times New Roman" w:cs="Times New Roman"/>
          <w:b/>
          <w:i/>
          <w:sz w:val="24"/>
          <w:szCs w:val="20"/>
          <w:lang w:eastAsia="en-US"/>
        </w:rPr>
        <w:t>Akcīzes nodokļa likmes tabakas izstrādājumiem 2020.-2023.gadā</w:t>
      </w:r>
    </w:p>
    <w:tbl>
      <w:tblPr>
        <w:tblW w:w="8790" w:type="dxa"/>
        <w:jc w:val="center"/>
        <w:tblLook w:val="04A0" w:firstRow="1" w:lastRow="0" w:firstColumn="1" w:lastColumn="0" w:noHBand="0" w:noVBand="1"/>
      </w:tblPr>
      <w:tblGrid>
        <w:gridCol w:w="3239"/>
        <w:gridCol w:w="1166"/>
        <w:gridCol w:w="1166"/>
        <w:gridCol w:w="1166"/>
        <w:gridCol w:w="2053"/>
      </w:tblGrid>
      <w:tr w:rsidR="00DB596B" w:rsidRPr="008C6453" w14:paraId="4EC3BB3B" w14:textId="77777777" w:rsidTr="008C6453">
        <w:trPr>
          <w:trHeight w:val="221"/>
          <w:jc w:val="center"/>
        </w:trPr>
        <w:tc>
          <w:tcPr>
            <w:tcW w:w="323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259DE43" w14:textId="77777777" w:rsidR="00DB596B" w:rsidRPr="008C6453" w:rsidRDefault="00DB596B" w:rsidP="00401A5B">
            <w:pPr>
              <w:rPr>
                <w:rFonts w:ascii="Times New Roman" w:eastAsia="Times New Roman" w:hAnsi="Times New Roman" w:cs="Times New Roman"/>
                <w:b/>
                <w:bCs/>
                <w:color w:val="000000"/>
                <w:sz w:val="20"/>
                <w:szCs w:val="20"/>
              </w:rPr>
            </w:pPr>
            <w:r w:rsidRPr="008C6453">
              <w:rPr>
                <w:rFonts w:ascii="Times New Roman" w:eastAsia="Times New Roman" w:hAnsi="Times New Roman" w:cs="Times New Roman"/>
                <w:b/>
                <w:bCs/>
                <w:color w:val="000000"/>
                <w:sz w:val="20"/>
                <w:szCs w:val="20"/>
              </w:rPr>
              <w:t>Tabakas izstrādājuma veids</w:t>
            </w:r>
          </w:p>
        </w:tc>
        <w:tc>
          <w:tcPr>
            <w:tcW w:w="1166" w:type="dxa"/>
            <w:tcBorders>
              <w:top w:val="single" w:sz="4" w:space="0" w:color="auto"/>
              <w:left w:val="nil"/>
              <w:bottom w:val="single" w:sz="4" w:space="0" w:color="auto"/>
              <w:right w:val="single" w:sz="4" w:space="0" w:color="auto"/>
            </w:tcBorders>
            <w:shd w:val="clear" w:color="auto" w:fill="BDD6EE" w:themeFill="accent1" w:themeFillTint="66"/>
            <w:noWrap/>
            <w:vAlign w:val="bottom"/>
          </w:tcPr>
          <w:p w14:paraId="1CB07833" w14:textId="77777777" w:rsidR="00DB596B" w:rsidRPr="008C6453" w:rsidRDefault="00DB596B" w:rsidP="00401A5B">
            <w:pPr>
              <w:jc w:val="center"/>
              <w:rPr>
                <w:rFonts w:ascii="Times New Roman" w:eastAsia="Times New Roman" w:hAnsi="Times New Roman" w:cs="Times New Roman"/>
                <w:b/>
                <w:color w:val="000000"/>
                <w:sz w:val="20"/>
                <w:szCs w:val="20"/>
              </w:rPr>
            </w:pPr>
            <w:r w:rsidRPr="008C6453">
              <w:rPr>
                <w:rFonts w:ascii="Times New Roman" w:eastAsia="Times New Roman" w:hAnsi="Times New Roman" w:cs="Times New Roman"/>
                <w:b/>
                <w:color w:val="000000"/>
                <w:sz w:val="20"/>
                <w:szCs w:val="20"/>
              </w:rPr>
              <w:t>2020</w:t>
            </w:r>
          </w:p>
        </w:tc>
        <w:tc>
          <w:tcPr>
            <w:tcW w:w="4385"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8FFF76C" w14:textId="77777777" w:rsidR="00DB596B" w:rsidRPr="008C6453" w:rsidRDefault="00DB596B" w:rsidP="00401A5B">
            <w:pPr>
              <w:jc w:val="center"/>
              <w:rPr>
                <w:rFonts w:ascii="Times New Roman" w:eastAsia="Times New Roman" w:hAnsi="Times New Roman" w:cs="Times New Roman"/>
                <w:b/>
                <w:color w:val="000000"/>
                <w:sz w:val="20"/>
                <w:szCs w:val="20"/>
              </w:rPr>
            </w:pPr>
            <w:r w:rsidRPr="008C6453">
              <w:rPr>
                <w:rFonts w:ascii="Times New Roman" w:eastAsia="Times New Roman" w:hAnsi="Times New Roman" w:cs="Times New Roman"/>
                <w:b/>
                <w:color w:val="000000"/>
                <w:sz w:val="20"/>
                <w:szCs w:val="20"/>
              </w:rPr>
              <w:t>Plānotās likmes</w:t>
            </w:r>
          </w:p>
        </w:tc>
      </w:tr>
      <w:tr w:rsidR="00DB596B" w:rsidRPr="008C6453" w14:paraId="328F0BE0" w14:textId="77777777" w:rsidTr="008C6453">
        <w:trPr>
          <w:trHeight w:val="221"/>
          <w:jc w:val="center"/>
        </w:trPr>
        <w:tc>
          <w:tcPr>
            <w:tcW w:w="32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45F2ADD6" w14:textId="77777777" w:rsidR="00DB596B" w:rsidRPr="008C6453" w:rsidRDefault="00DB596B" w:rsidP="00401A5B">
            <w:pPr>
              <w:rPr>
                <w:rFonts w:ascii="Times New Roman" w:eastAsia="Times New Roman" w:hAnsi="Times New Roman" w:cs="Times New Roman"/>
                <w:b/>
                <w:bCs/>
                <w:color w:val="000000"/>
                <w:sz w:val="20"/>
                <w:szCs w:val="20"/>
              </w:rPr>
            </w:pPr>
            <w:r w:rsidRPr="008C6453">
              <w:rPr>
                <w:rFonts w:ascii="Times New Roman" w:eastAsia="Times New Roman" w:hAnsi="Times New Roman" w:cs="Times New Roman"/>
                <w:b/>
                <w:bCs/>
                <w:color w:val="000000"/>
                <w:sz w:val="20"/>
                <w:szCs w:val="20"/>
              </w:rPr>
              <w:t>Cigaretes</w:t>
            </w:r>
          </w:p>
        </w:tc>
        <w:tc>
          <w:tcPr>
            <w:tcW w:w="116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A03B7B2"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01.07.2019.</w:t>
            </w:r>
          </w:p>
        </w:tc>
        <w:tc>
          <w:tcPr>
            <w:tcW w:w="116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BAAF00B"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01.03.2021.</w:t>
            </w:r>
          </w:p>
        </w:tc>
        <w:tc>
          <w:tcPr>
            <w:tcW w:w="116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77C7C1AA"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01.01.2022.</w:t>
            </w:r>
          </w:p>
        </w:tc>
        <w:tc>
          <w:tcPr>
            <w:tcW w:w="2053"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55D97A2"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01.01.2023.</w:t>
            </w:r>
          </w:p>
        </w:tc>
      </w:tr>
      <w:tr w:rsidR="00DB596B" w:rsidRPr="008C6453" w14:paraId="70C08E0A"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34C76B0A" w14:textId="69E098FF" w:rsidR="00DB596B" w:rsidRPr="008C6453" w:rsidRDefault="00DB596B" w:rsidP="00401A5B">
            <w:pP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Nodokļa likme par 1 000 cig</w:t>
            </w:r>
            <w:r w:rsidR="004A75B6">
              <w:rPr>
                <w:rFonts w:ascii="Times New Roman" w:eastAsia="Times New Roman" w:hAnsi="Times New Roman" w:cs="Times New Roman"/>
                <w:color w:val="000000"/>
                <w:sz w:val="20"/>
                <w:szCs w:val="20"/>
              </w:rPr>
              <w:t>aretēm</w:t>
            </w:r>
            <w:r w:rsidRPr="008C6453">
              <w:rPr>
                <w:rFonts w:ascii="Times New Roman" w:eastAsia="Times New Roman" w:hAnsi="Times New Roman" w:cs="Times New Roman"/>
                <w:color w:val="000000"/>
                <w:sz w:val="20"/>
                <w:szCs w:val="20"/>
              </w:rPr>
              <w:t xml:space="preserve">., </w:t>
            </w:r>
            <w:r w:rsidRPr="008C6453">
              <w:rPr>
                <w:rFonts w:ascii="Times New Roman" w:eastAsia="Times New Roman" w:hAnsi="Times New Roman" w:cs="Times New Roman"/>
                <w:i/>
                <w:color w:val="000000"/>
                <w:sz w:val="20"/>
                <w:szCs w:val="20"/>
              </w:rPr>
              <w:t>euro</w:t>
            </w:r>
          </w:p>
        </w:tc>
        <w:tc>
          <w:tcPr>
            <w:tcW w:w="1166" w:type="dxa"/>
            <w:tcBorders>
              <w:top w:val="nil"/>
              <w:left w:val="nil"/>
              <w:bottom w:val="single" w:sz="4" w:space="0" w:color="auto"/>
              <w:right w:val="single" w:sz="4" w:space="0" w:color="auto"/>
            </w:tcBorders>
            <w:shd w:val="clear" w:color="auto" w:fill="auto"/>
            <w:noWrap/>
            <w:vAlign w:val="center"/>
            <w:hideMark/>
          </w:tcPr>
          <w:p w14:paraId="6162303A"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78,70</w:t>
            </w:r>
          </w:p>
        </w:tc>
        <w:tc>
          <w:tcPr>
            <w:tcW w:w="1166" w:type="dxa"/>
            <w:tcBorders>
              <w:top w:val="nil"/>
              <w:left w:val="nil"/>
              <w:bottom w:val="single" w:sz="4" w:space="0" w:color="auto"/>
              <w:right w:val="single" w:sz="4" w:space="0" w:color="auto"/>
            </w:tcBorders>
            <w:shd w:val="clear" w:color="auto" w:fill="auto"/>
            <w:noWrap/>
            <w:vAlign w:val="center"/>
            <w:hideMark/>
          </w:tcPr>
          <w:p w14:paraId="0EE119DC"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82,60</w:t>
            </w:r>
          </w:p>
        </w:tc>
        <w:tc>
          <w:tcPr>
            <w:tcW w:w="1166" w:type="dxa"/>
            <w:tcBorders>
              <w:top w:val="nil"/>
              <w:left w:val="nil"/>
              <w:bottom w:val="single" w:sz="4" w:space="0" w:color="auto"/>
              <w:right w:val="single" w:sz="4" w:space="0" w:color="auto"/>
            </w:tcBorders>
            <w:shd w:val="clear" w:color="auto" w:fill="auto"/>
            <w:noWrap/>
            <w:vAlign w:val="center"/>
            <w:hideMark/>
          </w:tcPr>
          <w:p w14:paraId="6CA9B8E7"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86,70</w:t>
            </w:r>
          </w:p>
        </w:tc>
        <w:tc>
          <w:tcPr>
            <w:tcW w:w="2053" w:type="dxa"/>
            <w:tcBorders>
              <w:top w:val="nil"/>
              <w:left w:val="nil"/>
              <w:bottom w:val="single" w:sz="4" w:space="0" w:color="auto"/>
              <w:right w:val="single" w:sz="4" w:space="0" w:color="auto"/>
            </w:tcBorders>
            <w:shd w:val="clear" w:color="auto" w:fill="auto"/>
            <w:noWrap/>
            <w:vAlign w:val="center"/>
            <w:hideMark/>
          </w:tcPr>
          <w:p w14:paraId="462767A9"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91,00</w:t>
            </w:r>
          </w:p>
        </w:tc>
      </w:tr>
      <w:tr w:rsidR="00DB596B" w:rsidRPr="008C6453" w14:paraId="3BBA3FD6"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2616190F" w14:textId="1F846D42" w:rsidR="00DB596B" w:rsidRPr="008C6453" w:rsidRDefault="00DB596B" w:rsidP="00401A5B">
            <w:pP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Nodokļa minimālais līmenis par 1000 cig</w:t>
            </w:r>
            <w:r w:rsidR="004A75B6">
              <w:rPr>
                <w:rFonts w:ascii="Times New Roman" w:eastAsia="Times New Roman" w:hAnsi="Times New Roman" w:cs="Times New Roman"/>
                <w:color w:val="000000"/>
                <w:sz w:val="20"/>
                <w:szCs w:val="20"/>
              </w:rPr>
              <w:t>aretēm</w:t>
            </w:r>
            <w:r w:rsidRPr="008C6453">
              <w:rPr>
                <w:rFonts w:ascii="Times New Roman" w:eastAsia="Times New Roman" w:hAnsi="Times New Roman" w:cs="Times New Roman"/>
                <w:color w:val="000000"/>
                <w:sz w:val="20"/>
                <w:szCs w:val="20"/>
              </w:rPr>
              <w:t xml:space="preserve">, </w:t>
            </w:r>
            <w:r w:rsidRPr="008C6453">
              <w:rPr>
                <w:rFonts w:ascii="Times New Roman" w:eastAsia="Times New Roman" w:hAnsi="Times New Roman" w:cs="Times New Roman"/>
                <w:bCs/>
                <w:i/>
                <w:color w:val="000000"/>
                <w:sz w:val="20"/>
                <w:szCs w:val="20"/>
              </w:rPr>
              <w:t>euro</w:t>
            </w:r>
            <w:r w:rsidRPr="008C6453">
              <w:rPr>
                <w:rFonts w:ascii="Times New Roman" w:eastAsia="Times New Roman" w:hAnsi="Times New Roman" w:cs="Times New Roman"/>
                <w:color w:val="000000"/>
                <w:sz w:val="20"/>
                <w:szCs w:val="20"/>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14:paraId="38CC1F01"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114,70</w:t>
            </w:r>
          </w:p>
        </w:tc>
        <w:tc>
          <w:tcPr>
            <w:tcW w:w="1166" w:type="dxa"/>
            <w:tcBorders>
              <w:top w:val="nil"/>
              <w:left w:val="nil"/>
              <w:bottom w:val="single" w:sz="4" w:space="0" w:color="auto"/>
              <w:right w:val="single" w:sz="4" w:space="0" w:color="auto"/>
            </w:tcBorders>
            <w:shd w:val="clear" w:color="auto" w:fill="auto"/>
            <w:noWrap/>
            <w:vAlign w:val="center"/>
            <w:hideMark/>
          </w:tcPr>
          <w:p w14:paraId="09CE38F1"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120,40</w:t>
            </w:r>
          </w:p>
        </w:tc>
        <w:tc>
          <w:tcPr>
            <w:tcW w:w="1166" w:type="dxa"/>
            <w:tcBorders>
              <w:top w:val="nil"/>
              <w:left w:val="nil"/>
              <w:bottom w:val="single" w:sz="4" w:space="0" w:color="auto"/>
              <w:right w:val="single" w:sz="4" w:space="0" w:color="auto"/>
            </w:tcBorders>
            <w:shd w:val="clear" w:color="auto" w:fill="auto"/>
            <w:noWrap/>
            <w:vAlign w:val="center"/>
            <w:hideMark/>
          </w:tcPr>
          <w:p w14:paraId="476B2548"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126,40</w:t>
            </w:r>
          </w:p>
        </w:tc>
        <w:tc>
          <w:tcPr>
            <w:tcW w:w="2053" w:type="dxa"/>
            <w:tcBorders>
              <w:top w:val="nil"/>
              <w:left w:val="nil"/>
              <w:bottom w:val="single" w:sz="4" w:space="0" w:color="auto"/>
              <w:right w:val="single" w:sz="4" w:space="0" w:color="auto"/>
            </w:tcBorders>
            <w:shd w:val="clear" w:color="auto" w:fill="auto"/>
            <w:noWrap/>
            <w:vAlign w:val="center"/>
            <w:hideMark/>
          </w:tcPr>
          <w:p w14:paraId="748209AE"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132,70</w:t>
            </w:r>
          </w:p>
        </w:tc>
      </w:tr>
      <w:tr w:rsidR="00DB596B" w:rsidRPr="008C6453" w14:paraId="6C567B3F"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732FD6AC" w14:textId="77777777" w:rsidR="00DB596B" w:rsidRPr="008C6453" w:rsidRDefault="00DB596B" w:rsidP="00401A5B">
            <w:pP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Ad valorem, %</w:t>
            </w:r>
          </w:p>
        </w:tc>
        <w:tc>
          <w:tcPr>
            <w:tcW w:w="1166" w:type="dxa"/>
            <w:tcBorders>
              <w:top w:val="nil"/>
              <w:left w:val="nil"/>
              <w:bottom w:val="single" w:sz="4" w:space="0" w:color="auto"/>
              <w:right w:val="single" w:sz="4" w:space="0" w:color="auto"/>
            </w:tcBorders>
            <w:shd w:val="clear" w:color="auto" w:fill="auto"/>
            <w:noWrap/>
            <w:vAlign w:val="center"/>
            <w:hideMark/>
          </w:tcPr>
          <w:p w14:paraId="0D4B6DD6"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20,0%</w:t>
            </w:r>
          </w:p>
        </w:tc>
        <w:tc>
          <w:tcPr>
            <w:tcW w:w="1166" w:type="dxa"/>
            <w:tcBorders>
              <w:top w:val="nil"/>
              <w:left w:val="nil"/>
              <w:bottom w:val="single" w:sz="4" w:space="0" w:color="auto"/>
              <w:right w:val="single" w:sz="4" w:space="0" w:color="auto"/>
            </w:tcBorders>
            <w:shd w:val="clear" w:color="auto" w:fill="auto"/>
            <w:noWrap/>
            <w:vAlign w:val="center"/>
            <w:hideMark/>
          </w:tcPr>
          <w:p w14:paraId="21C16D35"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20,0%</w:t>
            </w:r>
          </w:p>
        </w:tc>
        <w:tc>
          <w:tcPr>
            <w:tcW w:w="1166" w:type="dxa"/>
            <w:tcBorders>
              <w:top w:val="nil"/>
              <w:left w:val="nil"/>
              <w:bottom w:val="single" w:sz="4" w:space="0" w:color="auto"/>
              <w:right w:val="single" w:sz="4" w:space="0" w:color="auto"/>
            </w:tcBorders>
            <w:shd w:val="clear" w:color="auto" w:fill="auto"/>
            <w:noWrap/>
            <w:vAlign w:val="center"/>
            <w:hideMark/>
          </w:tcPr>
          <w:p w14:paraId="14874227"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20,0%</w:t>
            </w:r>
          </w:p>
        </w:tc>
        <w:tc>
          <w:tcPr>
            <w:tcW w:w="2053" w:type="dxa"/>
            <w:tcBorders>
              <w:top w:val="nil"/>
              <w:left w:val="nil"/>
              <w:bottom w:val="single" w:sz="4" w:space="0" w:color="auto"/>
              <w:right w:val="single" w:sz="4" w:space="0" w:color="auto"/>
            </w:tcBorders>
            <w:shd w:val="clear" w:color="auto" w:fill="auto"/>
            <w:noWrap/>
            <w:vAlign w:val="center"/>
            <w:hideMark/>
          </w:tcPr>
          <w:p w14:paraId="240198FA"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20,0%</w:t>
            </w:r>
          </w:p>
        </w:tc>
      </w:tr>
      <w:tr w:rsidR="00DB596B" w:rsidRPr="008C6453" w14:paraId="0EC80068"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CC30437" w14:textId="77777777" w:rsidR="00DB596B" w:rsidRPr="008C6453" w:rsidRDefault="00DB596B" w:rsidP="00401A5B">
            <w:pPr>
              <w:rPr>
                <w:rFonts w:ascii="Times New Roman" w:eastAsia="Times New Roman" w:hAnsi="Times New Roman" w:cs="Times New Roman"/>
                <w:b/>
                <w:bCs/>
                <w:color w:val="000000"/>
                <w:sz w:val="20"/>
                <w:szCs w:val="20"/>
              </w:rPr>
            </w:pPr>
            <w:r w:rsidRPr="008C6453">
              <w:rPr>
                <w:rFonts w:ascii="Times New Roman" w:eastAsia="Times New Roman" w:hAnsi="Times New Roman" w:cs="Times New Roman"/>
                <w:b/>
                <w:bCs/>
                <w:color w:val="000000"/>
                <w:sz w:val="20"/>
                <w:szCs w:val="20"/>
              </w:rPr>
              <w:t xml:space="preserve">Cigāri, cigarillas </w:t>
            </w:r>
          </w:p>
        </w:tc>
        <w:tc>
          <w:tcPr>
            <w:tcW w:w="1166" w:type="dxa"/>
            <w:tcBorders>
              <w:top w:val="nil"/>
              <w:left w:val="nil"/>
              <w:bottom w:val="single" w:sz="4" w:space="0" w:color="auto"/>
              <w:right w:val="single" w:sz="4" w:space="0" w:color="auto"/>
            </w:tcBorders>
            <w:shd w:val="clear" w:color="auto" w:fill="DEEAF6" w:themeFill="accent1" w:themeFillTint="33"/>
            <w:noWrap/>
            <w:vAlign w:val="center"/>
            <w:hideMark/>
          </w:tcPr>
          <w:p w14:paraId="70859435"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01.01.2020.</w:t>
            </w:r>
          </w:p>
        </w:tc>
        <w:tc>
          <w:tcPr>
            <w:tcW w:w="1166" w:type="dxa"/>
            <w:tcBorders>
              <w:top w:val="nil"/>
              <w:left w:val="nil"/>
              <w:bottom w:val="single" w:sz="4" w:space="0" w:color="auto"/>
              <w:right w:val="single" w:sz="4" w:space="0" w:color="auto"/>
            </w:tcBorders>
            <w:shd w:val="clear" w:color="auto" w:fill="DEEAF6" w:themeFill="accent1" w:themeFillTint="33"/>
            <w:noWrap/>
            <w:vAlign w:val="center"/>
            <w:hideMark/>
          </w:tcPr>
          <w:p w14:paraId="4F93BA7A"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01.01.2021.</w:t>
            </w:r>
          </w:p>
        </w:tc>
        <w:tc>
          <w:tcPr>
            <w:tcW w:w="1166" w:type="dxa"/>
            <w:tcBorders>
              <w:top w:val="nil"/>
              <w:left w:val="nil"/>
              <w:bottom w:val="single" w:sz="4" w:space="0" w:color="auto"/>
              <w:right w:val="single" w:sz="4" w:space="0" w:color="auto"/>
            </w:tcBorders>
            <w:shd w:val="clear" w:color="auto" w:fill="DEEAF6" w:themeFill="accent1" w:themeFillTint="33"/>
            <w:noWrap/>
            <w:vAlign w:val="center"/>
            <w:hideMark/>
          </w:tcPr>
          <w:p w14:paraId="7165B2A8"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01.01.2022.</w:t>
            </w:r>
          </w:p>
        </w:tc>
        <w:tc>
          <w:tcPr>
            <w:tcW w:w="2053" w:type="dxa"/>
            <w:tcBorders>
              <w:top w:val="nil"/>
              <w:left w:val="nil"/>
              <w:bottom w:val="single" w:sz="4" w:space="0" w:color="auto"/>
              <w:right w:val="single" w:sz="4" w:space="0" w:color="auto"/>
            </w:tcBorders>
            <w:shd w:val="clear" w:color="auto" w:fill="DEEAF6" w:themeFill="accent1" w:themeFillTint="33"/>
            <w:noWrap/>
            <w:vAlign w:val="center"/>
            <w:hideMark/>
          </w:tcPr>
          <w:p w14:paraId="6583DD27"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01.01.2023.</w:t>
            </w:r>
          </w:p>
        </w:tc>
      </w:tr>
      <w:tr w:rsidR="00DB596B" w:rsidRPr="008C6453" w14:paraId="372C3690"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29C44417" w14:textId="77777777" w:rsidR="00DB596B" w:rsidRPr="008C6453" w:rsidRDefault="00DB596B" w:rsidP="00401A5B">
            <w:pP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 xml:space="preserve">Nodokļa likme par 1 000 gab., </w:t>
            </w:r>
            <w:r w:rsidRPr="008C6453">
              <w:rPr>
                <w:rFonts w:ascii="Times New Roman" w:eastAsia="Times New Roman" w:hAnsi="Times New Roman" w:cs="Times New Roman"/>
                <w:bCs/>
                <w:i/>
                <w:color w:val="000000"/>
                <w:sz w:val="20"/>
                <w:szCs w:val="20"/>
              </w:rPr>
              <w:t>euro</w:t>
            </w:r>
            <w:r w:rsidRPr="008C6453">
              <w:rPr>
                <w:rFonts w:ascii="Times New Roman" w:eastAsia="Times New Roman" w:hAnsi="Times New Roman" w:cs="Times New Roman"/>
                <w:color w:val="000000"/>
                <w:sz w:val="20"/>
                <w:szCs w:val="20"/>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14:paraId="6974E392"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95,20</w:t>
            </w:r>
          </w:p>
        </w:tc>
        <w:tc>
          <w:tcPr>
            <w:tcW w:w="1166" w:type="dxa"/>
            <w:tcBorders>
              <w:top w:val="nil"/>
              <w:left w:val="nil"/>
              <w:bottom w:val="single" w:sz="4" w:space="0" w:color="auto"/>
              <w:right w:val="single" w:sz="4" w:space="0" w:color="auto"/>
            </w:tcBorders>
            <w:shd w:val="clear" w:color="auto" w:fill="auto"/>
            <w:noWrap/>
            <w:vAlign w:val="center"/>
            <w:hideMark/>
          </w:tcPr>
          <w:p w14:paraId="444B413D"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101,90</w:t>
            </w:r>
          </w:p>
        </w:tc>
        <w:tc>
          <w:tcPr>
            <w:tcW w:w="1166" w:type="dxa"/>
            <w:tcBorders>
              <w:top w:val="nil"/>
              <w:left w:val="nil"/>
              <w:bottom w:val="single" w:sz="4" w:space="0" w:color="auto"/>
              <w:right w:val="single" w:sz="4" w:space="0" w:color="auto"/>
            </w:tcBorders>
            <w:shd w:val="clear" w:color="auto" w:fill="auto"/>
            <w:noWrap/>
            <w:vAlign w:val="center"/>
            <w:hideMark/>
          </w:tcPr>
          <w:p w14:paraId="16129BE7"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109,10</w:t>
            </w:r>
          </w:p>
        </w:tc>
        <w:tc>
          <w:tcPr>
            <w:tcW w:w="2053" w:type="dxa"/>
            <w:tcBorders>
              <w:top w:val="nil"/>
              <w:left w:val="nil"/>
              <w:bottom w:val="single" w:sz="4" w:space="0" w:color="auto"/>
              <w:right w:val="single" w:sz="4" w:space="0" w:color="auto"/>
            </w:tcBorders>
            <w:shd w:val="clear" w:color="auto" w:fill="auto"/>
            <w:noWrap/>
            <w:vAlign w:val="center"/>
            <w:hideMark/>
          </w:tcPr>
          <w:p w14:paraId="62F39F1E"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116,70</w:t>
            </w:r>
          </w:p>
        </w:tc>
      </w:tr>
      <w:tr w:rsidR="00DB596B" w:rsidRPr="008C6453" w14:paraId="09E10500"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36360509" w14:textId="77777777" w:rsidR="00DB596B" w:rsidRPr="008C6453" w:rsidRDefault="00DB596B" w:rsidP="00401A5B">
            <w:pPr>
              <w:rPr>
                <w:rFonts w:ascii="Times New Roman" w:eastAsia="Times New Roman" w:hAnsi="Times New Roman" w:cs="Times New Roman"/>
                <w:b/>
                <w:bCs/>
                <w:color w:val="000000"/>
                <w:sz w:val="20"/>
                <w:szCs w:val="20"/>
              </w:rPr>
            </w:pPr>
            <w:r w:rsidRPr="008C6453">
              <w:rPr>
                <w:rFonts w:ascii="Times New Roman" w:eastAsia="Times New Roman" w:hAnsi="Times New Roman" w:cs="Times New Roman"/>
                <w:b/>
                <w:bCs/>
                <w:color w:val="000000"/>
                <w:sz w:val="20"/>
                <w:szCs w:val="20"/>
              </w:rPr>
              <w:t>Smēķējamā tabaka, tabakas lapas</w:t>
            </w:r>
          </w:p>
        </w:tc>
        <w:tc>
          <w:tcPr>
            <w:tcW w:w="1166" w:type="dxa"/>
            <w:tcBorders>
              <w:top w:val="nil"/>
              <w:left w:val="nil"/>
              <w:bottom w:val="single" w:sz="4" w:space="0" w:color="auto"/>
              <w:right w:val="single" w:sz="4" w:space="0" w:color="auto"/>
            </w:tcBorders>
            <w:shd w:val="clear" w:color="auto" w:fill="DEEAF6" w:themeFill="accent1" w:themeFillTint="33"/>
            <w:noWrap/>
            <w:vAlign w:val="center"/>
            <w:hideMark/>
          </w:tcPr>
          <w:p w14:paraId="516BF220"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01.01.2020.</w:t>
            </w:r>
          </w:p>
        </w:tc>
        <w:tc>
          <w:tcPr>
            <w:tcW w:w="1166" w:type="dxa"/>
            <w:tcBorders>
              <w:top w:val="nil"/>
              <w:left w:val="nil"/>
              <w:bottom w:val="single" w:sz="4" w:space="0" w:color="auto"/>
              <w:right w:val="single" w:sz="4" w:space="0" w:color="auto"/>
            </w:tcBorders>
            <w:shd w:val="clear" w:color="auto" w:fill="DEEAF6" w:themeFill="accent1" w:themeFillTint="33"/>
            <w:noWrap/>
            <w:vAlign w:val="center"/>
            <w:hideMark/>
          </w:tcPr>
          <w:p w14:paraId="353496E2"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01.01.2021.</w:t>
            </w:r>
          </w:p>
        </w:tc>
        <w:tc>
          <w:tcPr>
            <w:tcW w:w="1166" w:type="dxa"/>
            <w:tcBorders>
              <w:top w:val="nil"/>
              <w:left w:val="nil"/>
              <w:bottom w:val="single" w:sz="4" w:space="0" w:color="auto"/>
              <w:right w:val="single" w:sz="4" w:space="0" w:color="auto"/>
            </w:tcBorders>
            <w:shd w:val="clear" w:color="auto" w:fill="DEEAF6" w:themeFill="accent1" w:themeFillTint="33"/>
            <w:noWrap/>
            <w:vAlign w:val="center"/>
            <w:hideMark/>
          </w:tcPr>
          <w:p w14:paraId="3D8D2D19"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01.01.2022.</w:t>
            </w:r>
          </w:p>
        </w:tc>
        <w:tc>
          <w:tcPr>
            <w:tcW w:w="2053" w:type="dxa"/>
            <w:tcBorders>
              <w:top w:val="nil"/>
              <w:left w:val="nil"/>
              <w:bottom w:val="single" w:sz="4" w:space="0" w:color="auto"/>
              <w:right w:val="single" w:sz="4" w:space="0" w:color="auto"/>
            </w:tcBorders>
            <w:shd w:val="clear" w:color="auto" w:fill="DEEAF6" w:themeFill="accent1" w:themeFillTint="33"/>
            <w:noWrap/>
            <w:vAlign w:val="center"/>
            <w:hideMark/>
          </w:tcPr>
          <w:p w14:paraId="6C07FF7B"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01.01.2023.</w:t>
            </w:r>
          </w:p>
        </w:tc>
      </w:tr>
      <w:tr w:rsidR="00DB596B" w:rsidRPr="008C6453" w14:paraId="3503A984"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18899975" w14:textId="77777777" w:rsidR="00DB596B" w:rsidRPr="008C6453" w:rsidRDefault="00DB596B" w:rsidP="00401A5B">
            <w:pP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 xml:space="preserve">Nodokļa likme par 1 000 g., </w:t>
            </w:r>
            <w:r w:rsidRPr="008C6453">
              <w:rPr>
                <w:rFonts w:ascii="Times New Roman" w:eastAsia="Times New Roman" w:hAnsi="Times New Roman" w:cs="Times New Roman"/>
                <w:bCs/>
                <w:i/>
                <w:color w:val="000000"/>
                <w:sz w:val="20"/>
                <w:szCs w:val="20"/>
              </w:rPr>
              <w:t>euro</w:t>
            </w:r>
          </w:p>
        </w:tc>
        <w:tc>
          <w:tcPr>
            <w:tcW w:w="1166" w:type="dxa"/>
            <w:tcBorders>
              <w:top w:val="nil"/>
              <w:left w:val="nil"/>
              <w:bottom w:val="single" w:sz="4" w:space="0" w:color="auto"/>
              <w:right w:val="single" w:sz="4" w:space="0" w:color="auto"/>
            </w:tcBorders>
            <w:shd w:val="clear" w:color="auto" w:fill="auto"/>
            <w:noWrap/>
            <w:vAlign w:val="center"/>
            <w:hideMark/>
          </w:tcPr>
          <w:p w14:paraId="71D0E9C7"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75,00</w:t>
            </w:r>
          </w:p>
        </w:tc>
        <w:tc>
          <w:tcPr>
            <w:tcW w:w="1166" w:type="dxa"/>
            <w:tcBorders>
              <w:top w:val="nil"/>
              <w:left w:val="nil"/>
              <w:bottom w:val="single" w:sz="4" w:space="0" w:color="auto"/>
              <w:right w:val="single" w:sz="4" w:space="0" w:color="auto"/>
            </w:tcBorders>
            <w:shd w:val="clear" w:color="auto" w:fill="auto"/>
            <w:noWrap/>
            <w:vAlign w:val="center"/>
            <w:hideMark/>
          </w:tcPr>
          <w:p w14:paraId="76A5740C"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80,25</w:t>
            </w:r>
          </w:p>
        </w:tc>
        <w:tc>
          <w:tcPr>
            <w:tcW w:w="1166" w:type="dxa"/>
            <w:tcBorders>
              <w:top w:val="nil"/>
              <w:left w:val="nil"/>
              <w:bottom w:val="single" w:sz="4" w:space="0" w:color="auto"/>
              <w:right w:val="single" w:sz="4" w:space="0" w:color="auto"/>
            </w:tcBorders>
            <w:shd w:val="clear" w:color="auto" w:fill="auto"/>
            <w:noWrap/>
            <w:vAlign w:val="center"/>
            <w:hideMark/>
          </w:tcPr>
          <w:p w14:paraId="4461DAD5"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85,90</w:t>
            </w:r>
          </w:p>
        </w:tc>
        <w:tc>
          <w:tcPr>
            <w:tcW w:w="2053" w:type="dxa"/>
            <w:tcBorders>
              <w:top w:val="nil"/>
              <w:left w:val="nil"/>
              <w:bottom w:val="single" w:sz="4" w:space="0" w:color="auto"/>
              <w:right w:val="single" w:sz="4" w:space="0" w:color="auto"/>
            </w:tcBorders>
            <w:shd w:val="clear" w:color="auto" w:fill="auto"/>
            <w:noWrap/>
            <w:vAlign w:val="center"/>
            <w:hideMark/>
          </w:tcPr>
          <w:p w14:paraId="7914FB90"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91,90</w:t>
            </w:r>
          </w:p>
        </w:tc>
      </w:tr>
      <w:tr w:rsidR="00DB596B" w:rsidRPr="008C6453" w14:paraId="567FEA8A"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688AFD80" w14:textId="77777777" w:rsidR="00DB596B" w:rsidRPr="008C6453" w:rsidRDefault="00DB596B" w:rsidP="00401A5B">
            <w:pPr>
              <w:rPr>
                <w:rFonts w:ascii="Times New Roman" w:eastAsia="Times New Roman" w:hAnsi="Times New Roman" w:cs="Times New Roman"/>
                <w:b/>
                <w:bCs/>
                <w:color w:val="000000"/>
                <w:sz w:val="20"/>
                <w:szCs w:val="20"/>
              </w:rPr>
            </w:pPr>
            <w:r w:rsidRPr="008C6453">
              <w:rPr>
                <w:rFonts w:ascii="Times New Roman" w:eastAsia="Times New Roman" w:hAnsi="Times New Roman" w:cs="Times New Roman"/>
                <w:b/>
                <w:bCs/>
                <w:color w:val="000000"/>
                <w:sz w:val="20"/>
                <w:szCs w:val="20"/>
              </w:rPr>
              <w:t>Karsējamā tabaka</w:t>
            </w:r>
          </w:p>
        </w:tc>
        <w:tc>
          <w:tcPr>
            <w:tcW w:w="1166" w:type="dxa"/>
            <w:tcBorders>
              <w:top w:val="nil"/>
              <w:left w:val="nil"/>
              <w:bottom w:val="single" w:sz="4" w:space="0" w:color="auto"/>
              <w:right w:val="single" w:sz="4" w:space="0" w:color="auto"/>
            </w:tcBorders>
            <w:shd w:val="clear" w:color="auto" w:fill="DEEAF6" w:themeFill="accent1" w:themeFillTint="33"/>
            <w:noWrap/>
            <w:vAlign w:val="center"/>
            <w:hideMark/>
          </w:tcPr>
          <w:p w14:paraId="372BFB75"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01.01.2020.</w:t>
            </w:r>
          </w:p>
        </w:tc>
        <w:tc>
          <w:tcPr>
            <w:tcW w:w="1166" w:type="dxa"/>
            <w:tcBorders>
              <w:top w:val="nil"/>
              <w:left w:val="nil"/>
              <w:bottom w:val="single" w:sz="4" w:space="0" w:color="auto"/>
              <w:right w:val="single" w:sz="4" w:space="0" w:color="auto"/>
            </w:tcBorders>
            <w:shd w:val="clear" w:color="auto" w:fill="DEEAF6" w:themeFill="accent1" w:themeFillTint="33"/>
            <w:noWrap/>
            <w:vAlign w:val="center"/>
            <w:hideMark/>
          </w:tcPr>
          <w:p w14:paraId="2D5A76D2"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01.01.2021.</w:t>
            </w:r>
          </w:p>
        </w:tc>
        <w:tc>
          <w:tcPr>
            <w:tcW w:w="1166" w:type="dxa"/>
            <w:tcBorders>
              <w:top w:val="nil"/>
              <w:left w:val="nil"/>
              <w:bottom w:val="single" w:sz="4" w:space="0" w:color="auto"/>
              <w:right w:val="single" w:sz="4" w:space="0" w:color="auto"/>
            </w:tcBorders>
            <w:shd w:val="clear" w:color="auto" w:fill="DEEAF6" w:themeFill="accent1" w:themeFillTint="33"/>
            <w:noWrap/>
            <w:vAlign w:val="center"/>
            <w:hideMark/>
          </w:tcPr>
          <w:p w14:paraId="028D1C6D"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01.01.2022.</w:t>
            </w:r>
          </w:p>
        </w:tc>
        <w:tc>
          <w:tcPr>
            <w:tcW w:w="2053" w:type="dxa"/>
            <w:tcBorders>
              <w:top w:val="nil"/>
              <w:left w:val="nil"/>
              <w:bottom w:val="single" w:sz="4" w:space="0" w:color="auto"/>
              <w:right w:val="single" w:sz="4" w:space="0" w:color="auto"/>
            </w:tcBorders>
            <w:shd w:val="clear" w:color="auto" w:fill="DEEAF6" w:themeFill="accent1" w:themeFillTint="33"/>
            <w:noWrap/>
            <w:vAlign w:val="center"/>
            <w:hideMark/>
          </w:tcPr>
          <w:p w14:paraId="7A8835AB"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01.01.2023.</w:t>
            </w:r>
          </w:p>
        </w:tc>
      </w:tr>
      <w:tr w:rsidR="00DB596B" w:rsidRPr="008C6453" w14:paraId="77834B9B"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0455A600" w14:textId="77777777" w:rsidR="00DB596B" w:rsidRPr="008C6453" w:rsidRDefault="00DB596B" w:rsidP="00401A5B">
            <w:pP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 xml:space="preserve">Nodokļa likme par 1 000 g., </w:t>
            </w:r>
            <w:r w:rsidRPr="008C6453">
              <w:rPr>
                <w:rFonts w:ascii="Times New Roman" w:eastAsia="Times New Roman" w:hAnsi="Times New Roman" w:cs="Times New Roman"/>
                <w:bCs/>
                <w:i/>
                <w:color w:val="000000"/>
                <w:sz w:val="20"/>
                <w:szCs w:val="20"/>
              </w:rPr>
              <w:t>euro</w:t>
            </w:r>
          </w:p>
        </w:tc>
        <w:tc>
          <w:tcPr>
            <w:tcW w:w="1166" w:type="dxa"/>
            <w:tcBorders>
              <w:top w:val="nil"/>
              <w:left w:val="nil"/>
              <w:bottom w:val="single" w:sz="4" w:space="0" w:color="auto"/>
              <w:right w:val="single" w:sz="4" w:space="0" w:color="auto"/>
            </w:tcBorders>
            <w:shd w:val="clear" w:color="auto" w:fill="auto"/>
            <w:noWrap/>
            <w:vAlign w:val="center"/>
            <w:hideMark/>
          </w:tcPr>
          <w:p w14:paraId="64CDF6C2"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75,00</w:t>
            </w:r>
          </w:p>
        </w:tc>
        <w:tc>
          <w:tcPr>
            <w:tcW w:w="1166" w:type="dxa"/>
            <w:tcBorders>
              <w:top w:val="nil"/>
              <w:left w:val="nil"/>
              <w:bottom w:val="single" w:sz="4" w:space="0" w:color="auto"/>
              <w:right w:val="single" w:sz="4" w:space="0" w:color="auto"/>
            </w:tcBorders>
            <w:shd w:val="clear" w:color="auto" w:fill="auto"/>
            <w:noWrap/>
            <w:vAlign w:val="center"/>
            <w:hideMark/>
          </w:tcPr>
          <w:p w14:paraId="4C80697C"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99,00</w:t>
            </w:r>
          </w:p>
        </w:tc>
        <w:tc>
          <w:tcPr>
            <w:tcW w:w="1166" w:type="dxa"/>
            <w:tcBorders>
              <w:top w:val="nil"/>
              <w:left w:val="nil"/>
              <w:bottom w:val="single" w:sz="4" w:space="0" w:color="auto"/>
              <w:right w:val="single" w:sz="4" w:space="0" w:color="auto"/>
            </w:tcBorders>
            <w:shd w:val="clear" w:color="auto" w:fill="auto"/>
            <w:noWrap/>
            <w:vAlign w:val="center"/>
            <w:hideMark/>
          </w:tcPr>
          <w:p w14:paraId="755BA14C"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125,00</w:t>
            </w:r>
          </w:p>
        </w:tc>
        <w:tc>
          <w:tcPr>
            <w:tcW w:w="2053" w:type="dxa"/>
            <w:tcBorders>
              <w:top w:val="nil"/>
              <w:left w:val="nil"/>
              <w:bottom w:val="single" w:sz="4" w:space="0" w:color="auto"/>
              <w:right w:val="single" w:sz="4" w:space="0" w:color="auto"/>
            </w:tcBorders>
            <w:shd w:val="clear" w:color="auto" w:fill="auto"/>
            <w:noWrap/>
            <w:vAlign w:val="center"/>
            <w:hideMark/>
          </w:tcPr>
          <w:p w14:paraId="5747C5FC"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140,00</w:t>
            </w:r>
          </w:p>
        </w:tc>
      </w:tr>
      <w:tr w:rsidR="00DB596B" w:rsidRPr="008C6453" w14:paraId="2ACFB896" w14:textId="77777777" w:rsidTr="008C6453">
        <w:trPr>
          <w:trHeight w:val="221"/>
          <w:jc w:val="center"/>
        </w:trPr>
        <w:tc>
          <w:tcPr>
            <w:tcW w:w="32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14:paraId="02F86B34" w14:textId="77777777" w:rsidR="00DB596B" w:rsidRPr="008C6453" w:rsidRDefault="00DB596B" w:rsidP="00401A5B">
            <w:pPr>
              <w:rPr>
                <w:rFonts w:ascii="Times New Roman" w:eastAsia="Times New Roman" w:hAnsi="Times New Roman" w:cs="Times New Roman"/>
                <w:b/>
                <w:bCs/>
                <w:color w:val="000000"/>
                <w:sz w:val="20"/>
                <w:szCs w:val="20"/>
              </w:rPr>
            </w:pPr>
            <w:r w:rsidRPr="008C6453">
              <w:rPr>
                <w:rFonts w:ascii="Times New Roman" w:eastAsia="Times New Roman" w:hAnsi="Times New Roman" w:cs="Times New Roman"/>
                <w:b/>
                <w:bCs/>
                <w:color w:val="000000"/>
                <w:sz w:val="20"/>
                <w:szCs w:val="20"/>
              </w:rPr>
              <w:t>Tabakas aizstājējprodukti</w:t>
            </w:r>
          </w:p>
        </w:tc>
        <w:tc>
          <w:tcPr>
            <w:tcW w:w="116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F3560F7"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01.01.2020.</w:t>
            </w:r>
          </w:p>
        </w:tc>
        <w:tc>
          <w:tcPr>
            <w:tcW w:w="116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DD5AA9E"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01.01.2021.</w:t>
            </w:r>
          </w:p>
        </w:tc>
        <w:tc>
          <w:tcPr>
            <w:tcW w:w="116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8FF336F"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01.01.2022.</w:t>
            </w:r>
          </w:p>
        </w:tc>
        <w:tc>
          <w:tcPr>
            <w:tcW w:w="2053"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1650077"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01.01.2023.</w:t>
            </w:r>
          </w:p>
        </w:tc>
      </w:tr>
      <w:tr w:rsidR="00DB596B" w:rsidRPr="008C6453" w14:paraId="62457E82" w14:textId="77777777" w:rsidTr="008C6453">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tcPr>
          <w:p w14:paraId="7DE926C8" w14:textId="77777777" w:rsidR="00DB596B" w:rsidRPr="008C6453" w:rsidRDefault="00DB596B" w:rsidP="00401A5B">
            <w:pP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 xml:space="preserve">Nodokļa likme par 1 000 g., </w:t>
            </w:r>
            <w:r w:rsidRPr="008C6453">
              <w:rPr>
                <w:rFonts w:ascii="Times New Roman" w:eastAsia="Times New Roman" w:hAnsi="Times New Roman" w:cs="Times New Roman"/>
                <w:i/>
                <w:color w:val="000000"/>
                <w:sz w:val="20"/>
                <w:szCs w:val="20"/>
              </w:rPr>
              <w:t>euro</w:t>
            </w:r>
          </w:p>
        </w:tc>
        <w:tc>
          <w:tcPr>
            <w:tcW w:w="1166" w:type="dxa"/>
            <w:tcBorders>
              <w:top w:val="nil"/>
              <w:left w:val="nil"/>
              <w:bottom w:val="single" w:sz="4" w:space="0" w:color="auto"/>
              <w:right w:val="single" w:sz="4" w:space="0" w:color="auto"/>
            </w:tcBorders>
            <w:shd w:val="clear" w:color="auto" w:fill="auto"/>
            <w:noWrap/>
            <w:vAlign w:val="center"/>
          </w:tcPr>
          <w:p w14:paraId="7481D41E"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w:t>
            </w:r>
          </w:p>
        </w:tc>
        <w:tc>
          <w:tcPr>
            <w:tcW w:w="1166" w:type="dxa"/>
            <w:tcBorders>
              <w:top w:val="nil"/>
              <w:left w:val="nil"/>
              <w:bottom w:val="single" w:sz="4" w:space="0" w:color="auto"/>
              <w:right w:val="single" w:sz="4" w:space="0" w:color="auto"/>
            </w:tcBorders>
            <w:shd w:val="clear" w:color="auto" w:fill="auto"/>
            <w:noWrap/>
            <w:vAlign w:val="center"/>
          </w:tcPr>
          <w:p w14:paraId="33B380B4"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80,00</w:t>
            </w:r>
          </w:p>
        </w:tc>
        <w:tc>
          <w:tcPr>
            <w:tcW w:w="1166" w:type="dxa"/>
            <w:tcBorders>
              <w:top w:val="nil"/>
              <w:left w:val="nil"/>
              <w:bottom w:val="single" w:sz="4" w:space="0" w:color="auto"/>
              <w:right w:val="single" w:sz="4" w:space="0" w:color="auto"/>
            </w:tcBorders>
            <w:shd w:val="clear" w:color="auto" w:fill="auto"/>
            <w:noWrap/>
            <w:vAlign w:val="center"/>
          </w:tcPr>
          <w:p w14:paraId="085D5256"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100,00</w:t>
            </w:r>
          </w:p>
        </w:tc>
        <w:tc>
          <w:tcPr>
            <w:tcW w:w="2053" w:type="dxa"/>
            <w:tcBorders>
              <w:top w:val="nil"/>
              <w:left w:val="nil"/>
              <w:bottom w:val="single" w:sz="4" w:space="0" w:color="auto"/>
              <w:right w:val="single" w:sz="4" w:space="0" w:color="auto"/>
            </w:tcBorders>
            <w:shd w:val="clear" w:color="auto" w:fill="auto"/>
            <w:noWrap/>
            <w:vAlign w:val="center"/>
          </w:tcPr>
          <w:p w14:paraId="7F2C51A7" w14:textId="77777777" w:rsidR="00DB596B" w:rsidRPr="008C6453" w:rsidRDefault="00DB596B" w:rsidP="00401A5B">
            <w:pPr>
              <w:jc w:val="center"/>
              <w:rPr>
                <w:rFonts w:ascii="Times New Roman" w:eastAsia="Times New Roman" w:hAnsi="Times New Roman" w:cs="Times New Roman"/>
                <w:color w:val="000000"/>
                <w:sz w:val="20"/>
                <w:szCs w:val="20"/>
              </w:rPr>
            </w:pPr>
            <w:r w:rsidRPr="008C6453">
              <w:rPr>
                <w:rFonts w:ascii="Times New Roman" w:eastAsia="Times New Roman" w:hAnsi="Times New Roman" w:cs="Times New Roman"/>
                <w:color w:val="000000"/>
                <w:sz w:val="20"/>
                <w:szCs w:val="20"/>
              </w:rPr>
              <w:t>120,00</w:t>
            </w:r>
          </w:p>
        </w:tc>
      </w:tr>
    </w:tbl>
    <w:p w14:paraId="3837EC7B" w14:textId="77777777" w:rsidR="008C6453" w:rsidRDefault="008C6453" w:rsidP="00401A5B">
      <w:pPr>
        <w:ind w:left="720"/>
        <w:jc w:val="both"/>
        <w:rPr>
          <w:rFonts w:ascii="Times New Roman" w:eastAsia="Times New Roman" w:hAnsi="Times New Roman" w:cs="Times New Roman"/>
          <w:sz w:val="28"/>
          <w:szCs w:val="24"/>
          <w:lang w:eastAsia="en-US"/>
        </w:rPr>
      </w:pPr>
    </w:p>
    <w:p w14:paraId="3E5AC64F" w14:textId="62101062" w:rsidR="00DB596B" w:rsidRPr="008C6453" w:rsidRDefault="00DB596B" w:rsidP="008C6453">
      <w:pPr>
        <w:ind w:firstLine="720"/>
        <w:jc w:val="both"/>
        <w:rPr>
          <w:rFonts w:ascii="Times New Roman" w:eastAsia="Times New Roman" w:hAnsi="Times New Roman" w:cs="Times New Roman"/>
          <w:sz w:val="28"/>
          <w:szCs w:val="24"/>
          <w:lang w:eastAsia="en-US"/>
        </w:rPr>
      </w:pPr>
      <w:r w:rsidRPr="008C6453">
        <w:rPr>
          <w:rFonts w:ascii="Times New Roman" w:eastAsia="Times New Roman" w:hAnsi="Times New Roman" w:cs="Times New Roman"/>
          <w:sz w:val="28"/>
          <w:szCs w:val="24"/>
          <w:lang w:eastAsia="en-US"/>
        </w:rPr>
        <w:t xml:space="preserve">Fiskālā ietekme 2021.gadā +4,5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(t.sk. no akcīzes nodokļa +3,7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un no </w:t>
      </w:r>
      <w:r w:rsidR="008C6453">
        <w:rPr>
          <w:rFonts w:ascii="Times New Roman" w:eastAsia="Times New Roman" w:hAnsi="Times New Roman" w:cs="Times New Roman"/>
          <w:sz w:val="28"/>
          <w:szCs w:val="24"/>
          <w:lang w:eastAsia="en-US"/>
        </w:rPr>
        <w:t>PVN</w:t>
      </w:r>
      <w:r w:rsidRPr="008C6453">
        <w:rPr>
          <w:rFonts w:ascii="Times New Roman" w:eastAsia="Times New Roman" w:hAnsi="Times New Roman" w:cs="Times New Roman"/>
          <w:sz w:val="28"/>
          <w:szCs w:val="24"/>
          <w:lang w:eastAsia="en-US"/>
        </w:rPr>
        <w:t xml:space="preserve"> +0,8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2022.gadā +10,1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(t.sk. no akcīzes nodokļa +8,3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un no </w:t>
      </w:r>
      <w:r w:rsidR="008C6453">
        <w:rPr>
          <w:rFonts w:ascii="Times New Roman" w:eastAsia="Times New Roman" w:hAnsi="Times New Roman" w:cs="Times New Roman"/>
          <w:sz w:val="28"/>
          <w:szCs w:val="24"/>
          <w:lang w:eastAsia="en-US"/>
        </w:rPr>
        <w:t>PVN</w:t>
      </w:r>
      <w:r w:rsidRPr="008C6453">
        <w:rPr>
          <w:rFonts w:ascii="Times New Roman" w:eastAsia="Times New Roman" w:hAnsi="Times New Roman" w:cs="Times New Roman"/>
          <w:sz w:val="28"/>
          <w:szCs w:val="24"/>
          <w:lang w:eastAsia="en-US"/>
        </w:rPr>
        <w:t xml:space="preserve"> +1,7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un 2023.gadā +13,6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(t.sk. no akcīzes nodokļa +11,3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un no </w:t>
      </w:r>
      <w:r w:rsidR="008C6453">
        <w:rPr>
          <w:rFonts w:ascii="Times New Roman" w:eastAsia="Times New Roman" w:hAnsi="Times New Roman" w:cs="Times New Roman"/>
          <w:sz w:val="28"/>
          <w:szCs w:val="24"/>
          <w:lang w:eastAsia="en-US"/>
        </w:rPr>
        <w:t>PVN</w:t>
      </w:r>
      <w:r w:rsidRPr="008C6453">
        <w:rPr>
          <w:rFonts w:ascii="Times New Roman" w:eastAsia="Times New Roman" w:hAnsi="Times New Roman" w:cs="Times New Roman"/>
          <w:sz w:val="28"/>
          <w:szCs w:val="24"/>
          <w:lang w:eastAsia="en-US"/>
        </w:rPr>
        <w:t xml:space="preserve"> +2,4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w:t>
      </w:r>
    </w:p>
    <w:p w14:paraId="3B769DA4" w14:textId="71A2210F" w:rsidR="00DB596B" w:rsidRPr="008C6453" w:rsidRDefault="00DB596B" w:rsidP="008C6453">
      <w:pPr>
        <w:ind w:firstLine="720"/>
        <w:jc w:val="both"/>
        <w:rPr>
          <w:rFonts w:ascii="Times New Roman" w:eastAsia="Times New Roman" w:hAnsi="Times New Roman" w:cs="Times New Roman"/>
          <w:sz w:val="28"/>
          <w:szCs w:val="24"/>
          <w:lang w:eastAsia="en-US"/>
        </w:rPr>
      </w:pPr>
      <w:r w:rsidRPr="008C6453">
        <w:rPr>
          <w:rFonts w:ascii="Times New Roman" w:eastAsia="Times New Roman" w:hAnsi="Times New Roman" w:cs="Times New Roman"/>
          <w:sz w:val="28"/>
          <w:szCs w:val="24"/>
          <w:lang w:eastAsia="en-US"/>
        </w:rPr>
        <w:t xml:space="preserve">3.10.tabulā atspoguļoti plānotie akcīzes nodokļa ieņēmumi saskaņā ar </w:t>
      </w:r>
      <w:r w:rsidR="008C6453">
        <w:rPr>
          <w:rFonts w:ascii="Times New Roman" w:eastAsia="Times New Roman" w:hAnsi="Times New Roman" w:cs="Times New Roman"/>
          <w:sz w:val="28"/>
          <w:szCs w:val="24"/>
          <w:lang w:eastAsia="en-US"/>
        </w:rPr>
        <w:t>VTBIL 2021., 2022. un 2023.gadam projektu</w:t>
      </w:r>
      <w:r w:rsidRPr="008C6453">
        <w:rPr>
          <w:rFonts w:ascii="Times New Roman" w:eastAsia="Times New Roman" w:hAnsi="Times New Roman" w:cs="Times New Roman"/>
          <w:sz w:val="28"/>
          <w:szCs w:val="24"/>
          <w:lang w:eastAsia="en-US"/>
        </w:rPr>
        <w:t xml:space="preserve"> un to salīdzinājums ar </w:t>
      </w:r>
      <w:r w:rsidR="008C6453">
        <w:rPr>
          <w:rFonts w:ascii="Times New Roman" w:eastAsia="Times New Roman" w:hAnsi="Times New Roman" w:cs="Times New Roman"/>
          <w:sz w:val="28"/>
          <w:szCs w:val="24"/>
          <w:lang w:eastAsia="en-US"/>
        </w:rPr>
        <w:t>VTBIL 2020., 2021. un 2022.gadam</w:t>
      </w:r>
      <w:r w:rsidRPr="008C6453">
        <w:rPr>
          <w:rFonts w:ascii="Times New Roman" w:eastAsia="Times New Roman" w:hAnsi="Times New Roman" w:cs="Times New Roman"/>
          <w:sz w:val="28"/>
          <w:szCs w:val="24"/>
          <w:lang w:eastAsia="en-US"/>
        </w:rPr>
        <w:t xml:space="preserve"> plānoto.</w:t>
      </w:r>
    </w:p>
    <w:p w14:paraId="68ABF289" w14:textId="178A32F0" w:rsidR="00DB596B" w:rsidRPr="00DB596B" w:rsidRDefault="00DB596B" w:rsidP="00401A5B">
      <w:pPr>
        <w:jc w:val="both"/>
        <w:rPr>
          <w:rFonts w:ascii="Times New Roman" w:eastAsia="Times New Roman" w:hAnsi="Times New Roman" w:cs="Times New Roman"/>
          <w:sz w:val="20"/>
          <w:szCs w:val="24"/>
          <w:highlight w:val="yellow"/>
          <w:lang w:eastAsia="en-US"/>
        </w:rPr>
      </w:pPr>
    </w:p>
    <w:p w14:paraId="278461DD" w14:textId="77777777" w:rsidR="00DB596B" w:rsidRPr="008C6453" w:rsidRDefault="00DB596B" w:rsidP="008C6453">
      <w:pPr>
        <w:jc w:val="right"/>
        <w:rPr>
          <w:rFonts w:ascii="Times New Roman" w:eastAsia="Times New Roman" w:hAnsi="Times New Roman" w:cs="Times New Roman"/>
          <w:b/>
          <w:i/>
          <w:sz w:val="24"/>
          <w:szCs w:val="20"/>
          <w:lang w:eastAsia="en-US"/>
        </w:rPr>
      </w:pPr>
      <w:r w:rsidRPr="008C6453">
        <w:rPr>
          <w:rFonts w:ascii="Times New Roman" w:eastAsia="Times New Roman" w:hAnsi="Times New Roman" w:cs="Times New Roman"/>
          <w:b/>
          <w:i/>
          <w:sz w:val="24"/>
          <w:szCs w:val="20"/>
          <w:lang w:eastAsia="en-US"/>
        </w:rPr>
        <w:t>3.10. tabula. Akcīzes nodokļa ieņēmumi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2"/>
        <w:gridCol w:w="993"/>
        <w:gridCol w:w="992"/>
        <w:gridCol w:w="992"/>
        <w:gridCol w:w="1265"/>
      </w:tblGrid>
      <w:tr w:rsidR="00DB596B" w:rsidRPr="008C6453" w14:paraId="5695621D" w14:textId="77777777" w:rsidTr="008C6453">
        <w:trPr>
          <w:trHeight w:val="306"/>
          <w:jc w:val="center"/>
        </w:trPr>
        <w:tc>
          <w:tcPr>
            <w:tcW w:w="4542" w:type="dxa"/>
            <w:shd w:val="clear" w:color="auto" w:fill="DEEAF6" w:themeFill="accent1" w:themeFillTint="33"/>
          </w:tcPr>
          <w:p w14:paraId="1CAB2AF0" w14:textId="77777777" w:rsidR="00DB596B" w:rsidRPr="008C6453" w:rsidRDefault="00DB596B" w:rsidP="00401A5B">
            <w:pPr>
              <w:keepNext/>
              <w:jc w:val="both"/>
              <w:rPr>
                <w:rFonts w:ascii="Times New Roman" w:eastAsia="Times New Roman" w:hAnsi="Times New Roman" w:cs="Times New Roman"/>
                <w:sz w:val="20"/>
                <w:szCs w:val="20"/>
                <w:highlight w:val="yellow"/>
                <w:lang w:eastAsia="en-US"/>
              </w:rPr>
            </w:pPr>
          </w:p>
        </w:tc>
        <w:tc>
          <w:tcPr>
            <w:tcW w:w="993" w:type="dxa"/>
            <w:shd w:val="clear" w:color="auto" w:fill="DEEAF6" w:themeFill="accent1" w:themeFillTint="33"/>
            <w:vAlign w:val="center"/>
          </w:tcPr>
          <w:p w14:paraId="6D9AEFE2" w14:textId="77777777" w:rsidR="00DB596B" w:rsidRPr="008C6453" w:rsidRDefault="00DB596B" w:rsidP="00401A5B">
            <w:pPr>
              <w:keepNext/>
              <w:jc w:val="center"/>
              <w:rPr>
                <w:rFonts w:ascii="Times New Roman" w:eastAsia="Times New Roman" w:hAnsi="Times New Roman" w:cs="Times New Roman"/>
                <w:b/>
                <w:sz w:val="20"/>
                <w:szCs w:val="20"/>
                <w:lang w:eastAsia="en-US"/>
              </w:rPr>
            </w:pPr>
            <w:r w:rsidRPr="008C6453">
              <w:rPr>
                <w:rFonts w:ascii="Times New Roman" w:eastAsia="Times New Roman" w:hAnsi="Times New Roman" w:cs="Times New Roman"/>
                <w:b/>
                <w:sz w:val="20"/>
                <w:szCs w:val="20"/>
                <w:lang w:eastAsia="en-US"/>
              </w:rPr>
              <w:t>2020</w:t>
            </w:r>
          </w:p>
        </w:tc>
        <w:tc>
          <w:tcPr>
            <w:tcW w:w="992" w:type="dxa"/>
            <w:shd w:val="clear" w:color="auto" w:fill="DEEAF6" w:themeFill="accent1" w:themeFillTint="33"/>
            <w:vAlign w:val="center"/>
          </w:tcPr>
          <w:p w14:paraId="6BF1A1DE" w14:textId="77777777" w:rsidR="00DB596B" w:rsidRPr="008C6453" w:rsidRDefault="00DB596B" w:rsidP="00401A5B">
            <w:pPr>
              <w:keepNext/>
              <w:jc w:val="center"/>
              <w:rPr>
                <w:rFonts w:ascii="Times New Roman" w:eastAsia="Times New Roman" w:hAnsi="Times New Roman" w:cs="Times New Roman"/>
                <w:b/>
                <w:sz w:val="20"/>
                <w:szCs w:val="20"/>
                <w:lang w:eastAsia="en-US"/>
              </w:rPr>
            </w:pPr>
            <w:r w:rsidRPr="008C6453">
              <w:rPr>
                <w:rFonts w:ascii="Times New Roman" w:eastAsia="Times New Roman" w:hAnsi="Times New Roman" w:cs="Times New Roman"/>
                <w:b/>
                <w:sz w:val="20"/>
                <w:szCs w:val="20"/>
                <w:lang w:eastAsia="en-US"/>
              </w:rPr>
              <w:t>2021</w:t>
            </w:r>
          </w:p>
        </w:tc>
        <w:tc>
          <w:tcPr>
            <w:tcW w:w="992" w:type="dxa"/>
            <w:shd w:val="clear" w:color="auto" w:fill="DEEAF6" w:themeFill="accent1" w:themeFillTint="33"/>
            <w:vAlign w:val="center"/>
          </w:tcPr>
          <w:p w14:paraId="2FDBA9BA" w14:textId="77777777" w:rsidR="00DB596B" w:rsidRPr="008C6453" w:rsidRDefault="00DB596B" w:rsidP="00401A5B">
            <w:pPr>
              <w:keepNext/>
              <w:jc w:val="center"/>
              <w:rPr>
                <w:rFonts w:ascii="Times New Roman" w:eastAsia="Times New Roman" w:hAnsi="Times New Roman" w:cs="Times New Roman"/>
                <w:b/>
                <w:sz w:val="20"/>
                <w:szCs w:val="20"/>
                <w:lang w:eastAsia="en-US"/>
              </w:rPr>
            </w:pPr>
            <w:r w:rsidRPr="008C6453">
              <w:rPr>
                <w:rFonts w:ascii="Times New Roman" w:eastAsia="Times New Roman" w:hAnsi="Times New Roman" w:cs="Times New Roman"/>
                <w:b/>
                <w:sz w:val="20"/>
                <w:szCs w:val="20"/>
                <w:lang w:eastAsia="en-US"/>
              </w:rPr>
              <w:t>2022</w:t>
            </w:r>
          </w:p>
        </w:tc>
        <w:tc>
          <w:tcPr>
            <w:tcW w:w="1265" w:type="dxa"/>
            <w:shd w:val="clear" w:color="auto" w:fill="DEEAF6" w:themeFill="accent1" w:themeFillTint="33"/>
            <w:vAlign w:val="center"/>
          </w:tcPr>
          <w:p w14:paraId="190B0396" w14:textId="77777777" w:rsidR="00DB596B" w:rsidRPr="008C6453" w:rsidRDefault="00DB596B" w:rsidP="00401A5B">
            <w:pPr>
              <w:keepNext/>
              <w:jc w:val="center"/>
              <w:rPr>
                <w:rFonts w:ascii="Times New Roman" w:eastAsia="Times New Roman" w:hAnsi="Times New Roman" w:cs="Times New Roman"/>
                <w:b/>
                <w:sz w:val="20"/>
                <w:szCs w:val="20"/>
                <w:lang w:eastAsia="en-US"/>
              </w:rPr>
            </w:pPr>
            <w:r w:rsidRPr="008C6453">
              <w:rPr>
                <w:rFonts w:ascii="Times New Roman" w:eastAsia="Times New Roman" w:hAnsi="Times New Roman" w:cs="Times New Roman"/>
                <w:b/>
                <w:sz w:val="20"/>
                <w:szCs w:val="20"/>
                <w:lang w:eastAsia="en-US"/>
              </w:rPr>
              <w:t>2023</w:t>
            </w:r>
          </w:p>
        </w:tc>
      </w:tr>
      <w:tr w:rsidR="00DB596B" w:rsidRPr="008C6453" w14:paraId="63D0408C" w14:textId="77777777" w:rsidTr="008C6453">
        <w:trPr>
          <w:jc w:val="center"/>
        </w:trPr>
        <w:tc>
          <w:tcPr>
            <w:tcW w:w="4542" w:type="dxa"/>
          </w:tcPr>
          <w:p w14:paraId="3BE1DD75" w14:textId="43A2BB48" w:rsidR="00DB596B" w:rsidRPr="008C6453" w:rsidRDefault="00DB596B" w:rsidP="00921D7E">
            <w:pPr>
              <w:keepNext/>
              <w:jc w:val="both"/>
              <w:rPr>
                <w:rFonts w:ascii="Times New Roman" w:eastAsia="Times New Roman" w:hAnsi="Times New Roman" w:cs="Times New Roman"/>
                <w:b/>
                <w:i/>
                <w:color w:val="000000"/>
                <w:sz w:val="20"/>
                <w:szCs w:val="20"/>
              </w:rPr>
            </w:pPr>
            <w:r w:rsidRPr="008C6453">
              <w:rPr>
                <w:rFonts w:ascii="Times New Roman" w:eastAsia="Times New Roman" w:hAnsi="Times New Roman" w:cs="Times New Roman"/>
                <w:b/>
                <w:color w:val="000000"/>
                <w:sz w:val="20"/>
                <w:szCs w:val="20"/>
              </w:rPr>
              <w:t>Akcīzes nodoklis</w:t>
            </w:r>
            <w:r w:rsidRPr="008C6453">
              <w:rPr>
                <w:rFonts w:ascii="Times New Roman" w:eastAsia="Times New Roman" w:hAnsi="Times New Roman" w:cs="Times New Roman"/>
                <w:b/>
                <w:i/>
                <w:color w:val="000000"/>
                <w:sz w:val="20"/>
                <w:szCs w:val="20"/>
              </w:rPr>
              <w:t xml:space="preserve"> </w:t>
            </w:r>
            <w:r w:rsidRPr="008C6453">
              <w:rPr>
                <w:rFonts w:ascii="Times New Roman" w:eastAsia="Times New Roman" w:hAnsi="Times New Roman" w:cs="Times New Roman"/>
                <w:color w:val="000000"/>
                <w:sz w:val="20"/>
                <w:szCs w:val="20"/>
              </w:rPr>
              <w:t xml:space="preserve">saskaņā ar </w:t>
            </w:r>
            <w:r w:rsidR="00921D7E">
              <w:rPr>
                <w:rFonts w:ascii="Times New Roman" w:eastAsia="Times New Roman" w:hAnsi="Times New Roman" w:cs="Times New Roman"/>
                <w:color w:val="000000"/>
                <w:sz w:val="20"/>
                <w:szCs w:val="20"/>
              </w:rPr>
              <w:t>VTBIL 2021., 2022. un 2023.gadam projektu</w:t>
            </w:r>
            <w:r w:rsidRPr="008C6453">
              <w:rPr>
                <w:rFonts w:ascii="Times New Roman" w:eastAsia="Times New Roman" w:hAnsi="Times New Roman" w:cs="Times New Roman"/>
                <w:color w:val="000000"/>
                <w:sz w:val="20"/>
                <w:szCs w:val="20"/>
              </w:rPr>
              <w:t>, milj. </w:t>
            </w:r>
            <w:r w:rsidRPr="008C6453">
              <w:rPr>
                <w:rFonts w:ascii="Times New Roman" w:eastAsia="Times New Roman" w:hAnsi="Times New Roman" w:cs="Times New Roman"/>
                <w:i/>
                <w:color w:val="000000"/>
                <w:sz w:val="20"/>
                <w:szCs w:val="20"/>
              </w:rPr>
              <w:t>euro</w:t>
            </w:r>
          </w:p>
        </w:tc>
        <w:tc>
          <w:tcPr>
            <w:tcW w:w="993" w:type="dxa"/>
            <w:vAlign w:val="center"/>
          </w:tcPr>
          <w:p w14:paraId="62F9B30F" w14:textId="77777777" w:rsidR="00DB596B" w:rsidRPr="008C6453" w:rsidRDefault="00DB596B" w:rsidP="00401A5B">
            <w:pPr>
              <w:jc w:val="center"/>
              <w:rPr>
                <w:rFonts w:ascii="Times New Roman" w:eastAsia="Times New Roman" w:hAnsi="Times New Roman" w:cs="Times New Roman"/>
                <w:b/>
                <w:snapToGrid w:val="0"/>
                <w:sz w:val="20"/>
                <w:szCs w:val="20"/>
                <w:lang w:eastAsia="en-US"/>
              </w:rPr>
            </w:pPr>
            <w:r w:rsidRPr="008C6453">
              <w:rPr>
                <w:rFonts w:ascii="Times New Roman" w:eastAsia="Times New Roman" w:hAnsi="Times New Roman" w:cs="Times New Roman"/>
                <w:b/>
                <w:snapToGrid w:val="0"/>
                <w:sz w:val="20"/>
                <w:szCs w:val="20"/>
                <w:lang w:eastAsia="en-US"/>
              </w:rPr>
              <w:t>1 043,0*</w:t>
            </w:r>
          </w:p>
        </w:tc>
        <w:tc>
          <w:tcPr>
            <w:tcW w:w="992" w:type="dxa"/>
            <w:vAlign w:val="center"/>
          </w:tcPr>
          <w:p w14:paraId="20573353" w14:textId="77777777" w:rsidR="00DB596B" w:rsidRPr="008C6453" w:rsidRDefault="00DB596B" w:rsidP="00401A5B">
            <w:pPr>
              <w:jc w:val="center"/>
              <w:rPr>
                <w:rFonts w:ascii="Times New Roman" w:eastAsia="Times New Roman" w:hAnsi="Times New Roman" w:cs="Times New Roman"/>
                <w:b/>
                <w:snapToGrid w:val="0"/>
                <w:sz w:val="20"/>
                <w:szCs w:val="20"/>
                <w:lang w:eastAsia="en-US"/>
              </w:rPr>
            </w:pPr>
            <w:r w:rsidRPr="008C6453">
              <w:rPr>
                <w:rFonts w:ascii="Times New Roman" w:eastAsia="Times New Roman" w:hAnsi="Times New Roman" w:cs="Times New Roman"/>
                <w:b/>
                <w:snapToGrid w:val="0"/>
                <w:sz w:val="20"/>
                <w:szCs w:val="20"/>
                <w:lang w:eastAsia="en-US"/>
              </w:rPr>
              <w:t>1 114,5</w:t>
            </w:r>
          </w:p>
        </w:tc>
        <w:tc>
          <w:tcPr>
            <w:tcW w:w="992" w:type="dxa"/>
            <w:vAlign w:val="center"/>
          </w:tcPr>
          <w:p w14:paraId="4C58A7B5" w14:textId="77777777" w:rsidR="00DB596B" w:rsidRPr="008C6453" w:rsidRDefault="00DB596B" w:rsidP="00401A5B">
            <w:pPr>
              <w:jc w:val="center"/>
              <w:rPr>
                <w:rFonts w:ascii="Times New Roman" w:eastAsia="Times New Roman" w:hAnsi="Times New Roman" w:cs="Times New Roman"/>
                <w:b/>
                <w:snapToGrid w:val="0"/>
                <w:sz w:val="20"/>
                <w:szCs w:val="20"/>
                <w:lang w:eastAsia="en-US"/>
              </w:rPr>
            </w:pPr>
            <w:r w:rsidRPr="008C6453">
              <w:rPr>
                <w:rFonts w:ascii="Times New Roman" w:eastAsia="Times New Roman" w:hAnsi="Times New Roman" w:cs="Times New Roman"/>
                <w:b/>
                <w:snapToGrid w:val="0"/>
                <w:sz w:val="20"/>
                <w:szCs w:val="20"/>
                <w:lang w:eastAsia="en-US"/>
              </w:rPr>
              <w:t>1 159,5</w:t>
            </w:r>
          </w:p>
        </w:tc>
        <w:tc>
          <w:tcPr>
            <w:tcW w:w="1265" w:type="dxa"/>
            <w:vAlign w:val="center"/>
          </w:tcPr>
          <w:p w14:paraId="00269935" w14:textId="77777777" w:rsidR="00DB596B" w:rsidRPr="008C6453" w:rsidRDefault="00DB596B" w:rsidP="00401A5B">
            <w:pPr>
              <w:jc w:val="center"/>
              <w:rPr>
                <w:rFonts w:ascii="Times New Roman" w:eastAsia="Times New Roman" w:hAnsi="Times New Roman" w:cs="Times New Roman"/>
                <w:b/>
                <w:snapToGrid w:val="0"/>
                <w:sz w:val="20"/>
                <w:szCs w:val="20"/>
                <w:lang w:eastAsia="en-US"/>
              </w:rPr>
            </w:pPr>
            <w:r w:rsidRPr="008C6453">
              <w:rPr>
                <w:rFonts w:ascii="Times New Roman" w:eastAsia="Times New Roman" w:hAnsi="Times New Roman" w:cs="Times New Roman"/>
                <w:b/>
                <w:snapToGrid w:val="0"/>
                <w:sz w:val="20"/>
                <w:szCs w:val="20"/>
                <w:lang w:eastAsia="en-US"/>
              </w:rPr>
              <w:t>1 196,1</w:t>
            </w:r>
          </w:p>
        </w:tc>
      </w:tr>
      <w:tr w:rsidR="00DB596B" w:rsidRPr="008C6453" w14:paraId="553F3027" w14:textId="77777777" w:rsidTr="008C6453">
        <w:trPr>
          <w:trHeight w:val="487"/>
          <w:jc w:val="center"/>
        </w:trPr>
        <w:tc>
          <w:tcPr>
            <w:tcW w:w="4542" w:type="dxa"/>
          </w:tcPr>
          <w:p w14:paraId="474920D7" w14:textId="2745B7AF" w:rsidR="00DB596B" w:rsidRPr="008C6453" w:rsidRDefault="00DB596B" w:rsidP="00921D7E">
            <w:pPr>
              <w:keepNext/>
              <w:jc w:val="both"/>
              <w:rPr>
                <w:rFonts w:ascii="Times New Roman" w:eastAsia="Times New Roman" w:hAnsi="Times New Roman" w:cs="Times New Roman"/>
                <w:i/>
                <w:iCs/>
                <w:color w:val="000000"/>
                <w:sz w:val="20"/>
                <w:szCs w:val="20"/>
              </w:rPr>
            </w:pPr>
            <w:r w:rsidRPr="008C6453">
              <w:rPr>
                <w:rFonts w:ascii="Times New Roman" w:eastAsia="Times New Roman" w:hAnsi="Times New Roman" w:cs="Times New Roman"/>
                <w:b/>
                <w:color w:val="000000"/>
                <w:sz w:val="20"/>
                <w:szCs w:val="20"/>
              </w:rPr>
              <w:t>Akcīzes nodoklis</w:t>
            </w:r>
            <w:r w:rsidRPr="008C6453">
              <w:rPr>
                <w:rFonts w:ascii="Times New Roman" w:eastAsia="Times New Roman" w:hAnsi="Times New Roman" w:cs="Times New Roman"/>
                <w:b/>
                <w:i/>
                <w:color w:val="000000"/>
                <w:sz w:val="20"/>
                <w:szCs w:val="20"/>
              </w:rPr>
              <w:t xml:space="preserve"> </w:t>
            </w:r>
            <w:r w:rsidRPr="008C6453">
              <w:rPr>
                <w:rFonts w:ascii="Times New Roman" w:eastAsia="Times New Roman" w:hAnsi="Times New Roman" w:cs="Times New Roman"/>
                <w:iCs/>
                <w:color w:val="000000"/>
                <w:sz w:val="20"/>
                <w:szCs w:val="20"/>
              </w:rPr>
              <w:t xml:space="preserve">saskaņā ar </w:t>
            </w:r>
            <w:r w:rsidR="00921D7E">
              <w:rPr>
                <w:rFonts w:ascii="Times New Roman" w:eastAsia="Times New Roman" w:hAnsi="Times New Roman" w:cs="Times New Roman"/>
                <w:iCs/>
                <w:color w:val="000000"/>
                <w:sz w:val="20"/>
                <w:szCs w:val="20"/>
              </w:rPr>
              <w:t>VTBIL 2020., 2021. un 2022.gadam</w:t>
            </w:r>
            <w:r w:rsidRPr="008C6453">
              <w:rPr>
                <w:rFonts w:ascii="Times New Roman" w:eastAsia="Times New Roman" w:hAnsi="Times New Roman" w:cs="Times New Roman"/>
                <w:color w:val="000000"/>
                <w:sz w:val="20"/>
                <w:szCs w:val="20"/>
              </w:rPr>
              <w:t>, milj. </w:t>
            </w:r>
            <w:r w:rsidRPr="008C6453">
              <w:rPr>
                <w:rFonts w:ascii="Times New Roman" w:eastAsia="Times New Roman" w:hAnsi="Times New Roman" w:cs="Times New Roman"/>
                <w:i/>
                <w:color w:val="000000"/>
                <w:sz w:val="20"/>
                <w:szCs w:val="20"/>
              </w:rPr>
              <w:t>euro</w:t>
            </w:r>
          </w:p>
        </w:tc>
        <w:tc>
          <w:tcPr>
            <w:tcW w:w="993" w:type="dxa"/>
            <w:vAlign w:val="center"/>
          </w:tcPr>
          <w:p w14:paraId="5B7DA222" w14:textId="77777777" w:rsidR="00DB596B" w:rsidRPr="008C6453" w:rsidRDefault="00DB596B" w:rsidP="00401A5B">
            <w:pPr>
              <w:rPr>
                <w:rFonts w:ascii="Times New Roman" w:eastAsia="Times New Roman" w:hAnsi="Times New Roman" w:cs="Times New Roman"/>
                <w:b/>
                <w:snapToGrid w:val="0"/>
                <w:sz w:val="20"/>
                <w:szCs w:val="20"/>
                <w:lang w:eastAsia="en-US"/>
              </w:rPr>
            </w:pPr>
            <w:r w:rsidRPr="008C6453">
              <w:rPr>
                <w:rFonts w:ascii="Times New Roman" w:eastAsia="Times New Roman" w:hAnsi="Times New Roman" w:cs="Times New Roman"/>
                <w:b/>
                <w:snapToGrid w:val="0"/>
                <w:sz w:val="20"/>
                <w:szCs w:val="20"/>
                <w:lang w:eastAsia="en-US"/>
              </w:rPr>
              <w:t>1 203,4</w:t>
            </w:r>
          </w:p>
        </w:tc>
        <w:tc>
          <w:tcPr>
            <w:tcW w:w="992" w:type="dxa"/>
            <w:vAlign w:val="center"/>
          </w:tcPr>
          <w:p w14:paraId="7DC1DDDF" w14:textId="77777777" w:rsidR="00DB596B" w:rsidRPr="008C6453" w:rsidRDefault="00DB596B" w:rsidP="00401A5B">
            <w:pPr>
              <w:jc w:val="center"/>
              <w:rPr>
                <w:rFonts w:ascii="Times New Roman" w:eastAsia="Times New Roman" w:hAnsi="Times New Roman" w:cs="Times New Roman"/>
                <w:b/>
                <w:snapToGrid w:val="0"/>
                <w:sz w:val="20"/>
                <w:szCs w:val="20"/>
                <w:lang w:eastAsia="en-US"/>
              </w:rPr>
            </w:pPr>
            <w:r w:rsidRPr="008C6453">
              <w:rPr>
                <w:rFonts w:ascii="Times New Roman" w:eastAsia="Times New Roman" w:hAnsi="Times New Roman" w:cs="Times New Roman"/>
                <w:b/>
                <w:snapToGrid w:val="0"/>
                <w:sz w:val="20"/>
                <w:szCs w:val="20"/>
                <w:lang w:eastAsia="en-US"/>
              </w:rPr>
              <w:t>1 224,4</w:t>
            </w:r>
          </w:p>
        </w:tc>
        <w:tc>
          <w:tcPr>
            <w:tcW w:w="992" w:type="dxa"/>
            <w:vAlign w:val="center"/>
          </w:tcPr>
          <w:p w14:paraId="1169A6F4" w14:textId="77777777" w:rsidR="00DB596B" w:rsidRPr="008C6453" w:rsidRDefault="00DB596B" w:rsidP="00401A5B">
            <w:pPr>
              <w:jc w:val="center"/>
              <w:rPr>
                <w:rFonts w:ascii="Times New Roman" w:eastAsia="Times New Roman" w:hAnsi="Times New Roman" w:cs="Times New Roman"/>
                <w:b/>
                <w:snapToGrid w:val="0"/>
                <w:color w:val="000000"/>
                <w:sz w:val="20"/>
                <w:szCs w:val="20"/>
                <w:lang w:eastAsia="en-US"/>
              </w:rPr>
            </w:pPr>
            <w:r w:rsidRPr="008C6453">
              <w:rPr>
                <w:rFonts w:ascii="Times New Roman" w:eastAsia="Times New Roman" w:hAnsi="Times New Roman" w:cs="Times New Roman"/>
                <w:b/>
                <w:snapToGrid w:val="0"/>
                <w:sz w:val="20"/>
                <w:szCs w:val="20"/>
                <w:lang w:eastAsia="en-US"/>
              </w:rPr>
              <w:t>1 255,6</w:t>
            </w:r>
          </w:p>
        </w:tc>
        <w:tc>
          <w:tcPr>
            <w:tcW w:w="1265" w:type="dxa"/>
            <w:vAlign w:val="center"/>
          </w:tcPr>
          <w:p w14:paraId="1D36AAB2" w14:textId="77777777" w:rsidR="00DB596B" w:rsidRPr="008C6453" w:rsidRDefault="00DB596B" w:rsidP="00401A5B">
            <w:pPr>
              <w:keepNext/>
              <w:jc w:val="center"/>
              <w:rPr>
                <w:rFonts w:ascii="Times New Roman" w:eastAsia="Times New Roman" w:hAnsi="Times New Roman" w:cs="Times New Roman"/>
                <w:sz w:val="20"/>
                <w:szCs w:val="20"/>
                <w:lang w:eastAsia="en-US"/>
              </w:rPr>
            </w:pPr>
            <w:r w:rsidRPr="008C6453">
              <w:rPr>
                <w:rFonts w:ascii="Times New Roman" w:eastAsia="Times New Roman" w:hAnsi="Times New Roman" w:cs="Times New Roman"/>
                <w:sz w:val="20"/>
                <w:szCs w:val="20"/>
                <w:lang w:eastAsia="en-US"/>
              </w:rPr>
              <w:t>-</w:t>
            </w:r>
          </w:p>
        </w:tc>
      </w:tr>
      <w:tr w:rsidR="00DB596B" w:rsidRPr="008C6453" w14:paraId="1F96FAA6" w14:textId="77777777" w:rsidTr="008C6453">
        <w:trPr>
          <w:jc w:val="center"/>
        </w:trPr>
        <w:tc>
          <w:tcPr>
            <w:tcW w:w="4542" w:type="dxa"/>
          </w:tcPr>
          <w:p w14:paraId="74271890" w14:textId="0D5BB80B" w:rsidR="00DB596B" w:rsidRPr="008C6453" w:rsidRDefault="00DB596B" w:rsidP="00401A5B">
            <w:pPr>
              <w:keepNext/>
              <w:jc w:val="both"/>
              <w:rPr>
                <w:rFonts w:ascii="Times New Roman" w:eastAsia="Times New Roman" w:hAnsi="Times New Roman" w:cs="Times New Roman"/>
                <w:sz w:val="20"/>
                <w:szCs w:val="20"/>
                <w:lang w:eastAsia="en-US"/>
              </w:rPr>
            </w:pPr>
            <w:r w:rsidRPr="008C6453">
              <w:rPr>
                <w:rFonts w:ascii="Times New Roman" w:eastAsia="Times New Roman" w:hAnsi="Times New Roman" w:cs="Times New Roman"/>
                <w:i/>
                <w:iCs/>
                <w:color w:val="000000"/>
                <w:sz w:val="20"/>
                <w:szCs w:val="20"/>
              </w:rPr>
              <w:t xml:space="preserve">pieaugums, salīdzinot ar </w:t>
            </w:r>
            <w:r w:rsidR="00921D7E">
              <w:rPr>
                <w:rFonts w:ascii="Times New Roman" w:eastAsia="Times New Roman" w:hAnsi="Times New Roman" w:cs="Times New Roman"/>
                <w:iCs/>
                <w:color w:val="000000"/>
                <w:sz w:val="20"/>
                <w:szCs w:val="20"/>
              </w:rPr>
              <w:t>VTBIL 2020., 2021. un 2022.gadam</w:t>
            </w:r>
            <w:r w:rsidR="00921D7E" w:rsidRPr="008C6453">
              <w:rPr>
                <w:rFonts w:ascii="Times New Roman" w:eastAsia="Times New Roman" w:hAnsi="Times New Roman" w:cs="Times New Roman"/>
                <w:i/>
                <w:iCs/>
                <w:color w:val="000000"/>
                <w:sz w:val="20"/>
                <w:szCs w:val="20"/>
              </w:rPr>
              <w:t xml:space="preserve"> </w:t>
            </w:r>
            <w:r w:rsidRPr="008C6453">
              <w:rPr>
                <w:rFonts w:ascii="Times New Roman" w:eastAsia="Times New Roman" w:hAnsi="Times New Roman" w:cs="Times New Roman"/>
                <w:i/>
                <w:iCs/>
                <w:color w:val="000000"/>
                <w:sz w:val="20"/>
                <w:szCs w:val="20"/>
              </w:rPr>
              <w:t>milj. </w:t>
            </w:r>
            <w:r w:rsidRPr="008C6453">
              <w:rPr>
                <w:rFonts w:ascii="Times New Roman" w:eastAsia="Times New Roman" w:hAnsi="Times New Roman" w:cs="Times New Roman"/>
                <w:i/>
                <w:iCs/>
                <w:color w:val="000000"/>
                <w:spacing w:val="-6"/>
                <w:sz w:val="20"/>
                <w:szCs w:val="20"/>
              </w:rPr>
              <w:t>euro</w:t>
            </w:r>
          </w:p>
        </w:tc>
        <w:tc>
          <w:tcPr>
            <w:tcW w:w="993" w:type="dxa"/>
            <w:vAlign w:val="center"/>
          </w:tcPr>
          <w:p w14:paraId="1AE648B2" w14:textId="77777777" w:rsidR="00DB596B" w:rsidRPr="008C6453" w:rsidRDefault="00DB596B" w:rsidP="00401A5B">
            <w:pPr>
              <w:keepNext/>
              <w:jc w:val="center"/>
              <w:rPr>
                <w:rFonts w:ascii="Times New Roman" w:eastAsia="Times New Roman" w:hAnsi="Times New Roman" w:cs="Times New Roman"/>
                <w:i/>
                <w:sz w:val="20"/>
                <w:szCs w:val="20"/>
                <w:lang w:eastAsia="en-US"/>
              </w:rPr>
            </w:pPr>
            <w:r w:rsidRPr="008C6453">
              <w:rPr>
                <w:rFonts w:ascii="Times New Roman" w:eastAsia="Times New Roman" w:hAnsi="Times New Roman" w:cs="Times New Roman"/>
                <w:i/>
                <w:sz w:val="20"/>
                <w:szCs w:val="20"/>
                <w:lang w:eastAsia="en-US"/>
              </w:rPr>
              <w:t>-160,4</w:t>
            </w:r>
          </w:p>
        </w:tc>
        <w:tc>
          <w:tcPr>
            <w:tcW w:w="992" w:type="dxa"/>
            <w:vAlign w:val="center"/>
          </w:tcPr>
          <w:p w14:paraId="0F7F9C39" w14:textId="77777777" w:rsidR="00DB596B" w:rsidRPr="008C6453" w:rsidRDefault="00DB596B" w:rsidP="00401A5B">
            <w:pPr>
              <w:keepNext/>
              <w:jc w:val="center"/>
              <w:rPr>
                <w:rFonts w:ascii="Times New Roman" w:eastAsia="Times New Roman" w:hAnsi="Times New Roman" w:cs="Times New Roman"/>
                <w:i/>
                <w:sz w:val="20"/>
                <w:szCs w:val="20"/>
                <w:lang w:eastAsia="en-US"/>
              </w:rPr>
            </w:pPr>
            <w:r w:rsidRPr="008C6453">
              <w:rPr>
                <w:rFonts w:ascii="Times New Roman" w:eastAsia="Times New Roman" w:hAnsi="Times New Roman" w:cs="Times New Roman"/>
                <w:i/>
                <w:sz w:val="20"/>
                <w:szCs w:val="20"/>
                <w:lang w:eastAsia="en-US"/>
              </w:rPr>
              <w:t>-109,9</w:t>
            </w:r>
          </w:p>
        </w:tc>
        <w:tc>
          <w:tcPr>
            <w:tcW w:w="992" w:type="dxa"/>
            <w:vAlign w:val="center"/>
          </w:tcPr>
          <w:p w14:paraId="2D98FC18" w14:textId="77777777" w:rsidR="00DB596B" w:rsidRPr="008C6453" w:rsidRDefault="00DB596B" w:rsidP="00401A5B">
            <w:pPr>
              <w:keepNext/>
              <w:jc w:val="center"/>
              <w:rPr>
                <w:rFonts w:ascii="Times New Roman" w:eastAsia="Times New Roman" w:hAnsi="Times New Roman" w:cs="Times New Roman"/>
                <w:i/>
                <w:sz w:val="20"/>
                <w:szCs w:val="20"/>
                <w:lang w:eastAsia="en-US"/>
              </w:rPr>
            </w:pPr>
            <w:r w:rsidRPr="008C6453">
              <w:rPr>
                <w:rFonts w:ascii="Times New Roman" w:eastAsia="Times New Roman" w:hAnsi="Times New Roman" w:cs="Times New Roman"/>
                <w:i/>
                <w:sz w:val="20"/>
                <w:szCs w:val="20"/>
                <w:lang w:eastAsia="en-US"/>
              </w:rPr>
              <w:t>-96,1</w:t>
            </w:r>
          </w:p>
        </w:tc>
        <w:tc>
          <w:tcPr>
            <w:tcW w:w="1265" w:type="dxa"/>
            <w:vAlign w:val="center"/>
          </w:tcPr>
          <w:p w14:paraId="610BDFD6" w14:textId="77777777" w:rsidR="00DB596B" w:rsidRPr="008C6453" w:rsidRDefault="00DB596B" w:rsidP="00401A5B">
            <w:pPr>
              <w:keepNext/>
              <w:jc w:val="center"/>
              <w:rPr>
                <w:rFonts w:ascii="Times New Roman" w:eastAsia="Times New Roman" w:hAnsi="Times New Roman" w:cs="Times New Roman"/>
                <w:i/>
                <w:sz w:val="20"/>
                <w:szCs w:val="20"/>
                <w:lang w:eastAsia="en-US"/>
              </w:rPr>
            </w:pPr>
            <w:r w:rsidRPr="008C6453">
              <w:rPr>
                <w:rFonts w:ascii="Times New Roman" w:eastAsia="Times New Roman" w:hAnsi="Times New Roman" w:cs="Times New Roman"/>
                <w:i/>
                <w:sz w:val="20"/>
                <w:szCs w:val="20"/>
                <w:lang w:eastAsia="en-US"/>
              </w:rPr>
              <w:t>-</w:t>
            </w:r>
          </w:p>
        </w:tc>
      </w:tr>
      <w:tr w:rsidR="00DB596B" w:rsidRPr="008C6453" w14:paraId="0177DE13" w14:textId="77777777" w:rsidTr="008C6453">
        <w:trPr>
          <w:jc w:val="center"/>
        </w:trPr>
        <w:tc>
          <w:tcPr>
            <w:tcW w:w="4542" w:type="dxa"/>
          </w:tcPr>
          <w:p w14:paraId="7E1A66FA" w14:textId="370C1681" w:rsidR="00DB596B" w:rsidRPr="008C6453" w:rsidRDefault="00DB596B" w:rsidP="00401A5B">
            <w:pPr>
              <w:keepNext/>
              <w:jc w:val="both"/>
              <w:rPr>
                <w:rFonts w:ascii="Times New Roman" w:eastAsia="Times New Roman" w:hAnsi="Times New Roman" w:cs="Times New Roman"/>
                <w:sz w:val="20"/>
                <w:szCs w:val="20"/>
                <w:lang w:eastAsia="en-US"/>
              </w:rPr>
            </w:pPr>
            <w:r w:rsidRPr="008C6453">
              <w:rPr>
                <w:rFonts w:ascii="Times New Roman" w:eastAsia="Times New Roman" w:hAnsi="Times New Roman" w:cs="Times New Roman"/>
                <w:i/>
                <w:iCs/>
                <w:color w:val="000000"/>
                <w:sz w:val="20"/>
                <w:szCs w:val="20"/>
              </w:rPr>
              <w:t xml:space="preserve">pieaugums, salīdzinot ar </w:t>
            </w:r>
            <w:r w:rsidR="00921D7E">
              <w:rPr>
                <w:rFonts w:ascii="Times New Roman" w:eastAsia="Times New Roman" w:hAnsi="Times New Roman" w:cs="Times New Roman"/>
                <w:iCs/>
                <w:color w:val="000000"/>
                <w:sz w:val="20"/>
                <w:szCs w:val="20"/>
              </w:rPr>
              <w:t>VTBIL 2020., 2021. un 2022.gadam</w:t>
            </w:r>
            <w:r w:rsidR="00921D7E">
              <w:rPr>
                <w:rFonts w:ascii="Times New Roman" w:eastAsia="Times New Roman" w:hAnsi="Times New Roman" w:cs="Times New Roman"/>
                <w:i/>
                <w:iCs/>
                <w:color w:val="000000"/>
                <w:sz w:val="20"/>
                <w:szCs w:val="20"/>
              </w:rPr>
              <w:t xml:space="preserve">, </w:t>
            </w:r>
            <w:r w:rsidRPr="008C6453">
              <w:rPr>
                <w:rFonts w:ascii="Times New Roman" w:eastAsia="Times New Roman" w:hAnsi="Times New Roman" w:cs="Times New Roman"/>
                <w:i/>
                <w:iCs/>
                <w:color w:val="000000"/>
                <w:sz w:val="20"/>
                <w:szCs w:val="20"/>
              </w:rPr>
              <w:t>%</w:t>
            </w:r>
          </w:p>
        </w:tc>
        <w:tc>
          <w:tcPr>
            <w:tcW w:w="993" w:type="dxa"/>
            <w:vAlign w:val="center"/>
          </w:tcPr>
          <w:p w14:paraId="55ED7942" w14:textId="77777777" w:rsidR="00DB596B" w:rsidRPr="008C6453" w:rsidRDefault="00DB596B" w:rsidP="00401A5B">
            <w:pPr>
              <w:jc w:val="center"/>
              <w:rPr>
                <w:rFonts w:ascii="Times New Roman" w:eastAsia="Times New Roman" w:hAnsi="Times New Roman" w:cs="Times New Roman"/>
                <w:i/>
                <w:snapToGrid w:val="0"/>
                <w:sz w:val="20"/>
                <w:szCs w:val="20"/>
                <w:lang w:eastAsia="en-US"/>
              </w:rPr>
            </w:pPr>
            <w:r w:rsidRPr="008C6453">
              <w:rPr>
                <w:rFonts w:ascii="Times New Roman" w:eastAsia="Times New Roman" w:hAnsi="Times New Roman" w:cs="Times New Roman"/>
                <w:i/>
                <w:snapToGrid w:val="0"/>
                <w:sz w:val="20"/>
                <w:szCs w:val="20"/>
                <w:lang w:eastAsia="en-US"/>
              </w:rPr>
              <w:t>-13,3</w:t>
            </w:r>
          </w:p>
        </w:tc>
        <w:tc>
          <w:tcPr>
            <w:tcW w:w="992" w:type="dxa"/>
            <w:vAlign w:val="center"/>
          </w:tcPr>
          <w:p w14:paraId="1251BD4F" w14:textId="77777777" w:rsidR="00DB596B" w:rsidRPr="008C6453" w:rsidRDefault="00DB596B" w:rsidP="00401A5B">
            <w:pPr>
              <w:jc w:val="center"/>
              <w:rPr>
                <w:rFonts w:ascii="Times New Roman" w:eastAsia="Times New Roman" w:hAnsi="Times New Roman" w:cs="Times New Roman"/>
                <w:i/>
                <w:snapToGrid w:val="0"/>
                <w:sz w:val="20"/>
                <w:szCs w:val="20"/>
                <w:lang w:eastAsia="en-US"/>
              </w:rPr>
            </w:pPr>
            <w:r w:rsidRPr="008C6453">
              <w:rPr>
                <w:rFonts w:ascii="Times New Roman" w:eastAsia="Times New Roman" w:hAnsi="Times New Roman" w:cs="Times New Roman"/>
                <w:i/>
                <w:snapToGrid w:val="0"/>
                <w:sz w:val="20"/>
                <w:szCs w:val="20"/>
                <w:lang w:eastAsia="en-US"/>
              </w:rPr>
              <w:t>-9,0</w:t>
            </w:r>
          </w:p>
        </w:tc>
        <w:tc>
          <w:tcPr>
            <w:tcW w:w="992" w:type="dxa"/>
            <w:vAlign w:val="center"/>
          </w:tcPr>
          <w:p w14:paraId="64D83B7D" w14:textId="77777777" w:rsidR="00DB596B" w:rsidRPr="008C6453" w:rsidRDefault="00DB596B" w:rsidP="00401A5B">
            <w:pPr>
              <w:keepNext/>
              <w:jc w:val="center"/>
              <w:rPr>
                <w:rFonts w:ascii="Times New Roman" w:eastAsia="Times New Roman" w:hAnsi="Times New Roman" w:cs="Times New Roman"/>
                <w:sz w:val="20"/>
                <w:szCs w:val="20"/>
                <w:lang w:eastAsia="en-US"/>
              </w:rPr>
            </w:pPr>
            <w:r w:rsidRPr="008C6453">
              <w:rPr>
                <w:rFonts w:ascii="Times New Roman" w:eastAsia="Times New Roman" w:hAnsi="Times New Roman" w:cs="Times New Roman"/>
                <w:sz w:val="20"/>
                <w:szCs w:val="20"/>
                <w:lang w:eastAsia="en-US"/>
              </w:rPr>
              <w:t>-7,7</w:t>
            </w:r>
          </w:p>
        </w:tc>
        <w:tc>
          <w:tcPr>
            <w:tcW w:w="1265" w:type="dxa"/>
            <w:vAlign w:val="center"/>
          </w:tcPr>
          <w:p w14:paraId="566F28AA" w14:textId="77777777" w:rsidR="00DB596B" w:rsidRPr="008C6453" w:rsidRDefault="00DB596B" w:rsidP="00401A5B">
            <w:pPr>
              <w:keepNext/>
              <w:jc w:val="center"/>
              <w:rPr>
                <w:rFonts w:ascii="Times New Roman" w:eastAsia="Times New Roman" w:hAnsi="Times New Roman" w:cs="Times New Roman"/>
                <w:sz w:val="20"/>
                <w:szCs w:val="20"/>
                <w:lang w:eastAsia="en-US"/>
              </w:rPr>
            </w:pPr>
            <w:r w:rsidRPr="008C6453">
              <w:rPr>
                <w:rFonts w:ascii="Times New Roman" w:eastAsia="Times New Roman" w:hAnsi="Times New Roman" w:cs="Times New Roman"/>
                <w:sz w:val="20"/>
                <w:szCs w:val="20"/>
                <w:lang w:eastAsia="en-US"/>
              </w:rPr>
              <w:t>-</w:t>
            </w:r>
          </w:p>
        </w:tc>
      </w:tr>
      <w:tr w:rsidR="00DB596B" w:rsidRPr="008C6453" w14:paraId="0F05CE84" w14:textId="77777777" w:rsidTr="008C6453">
        <w:trPr>
          <w:trHeight w:val="309"/>
          <w:jc w:val="center"/>
        </w:trPr>
        <w:tc>
          <w:tcPr>
            <w:tcW w:w="4542" w:type="dxa"/>
          </w:tcPr>
          <w:p w14:paraId="6E8F29FC" w14:textId="77777777" w:rsidR="00DB596B" w:rsidRPr="008C6453" w:rsidRDefault="00DB596B" w:rsidP="00401A5B">
            <w:pPr>
              <w:keepNext/>
              <w:jc w:val="both"/>
              <w:rPr>
                <w:rFonts w:ascii="Times New Roman" w:eastAsia="Times New Roman" w:hAnsi="Times New Roman" w:cs="Times New Roman"/>
                <w:i/>
                <w:iCs/>
                <w:color w:val="000000"/>
                <w:sz w:val="20"/>
                <w:szCs w:val="20"/>
              </w:rPr>
            </w:pPr>
            <w:r w:rsidRPr="008C6453">
              <w:rPr>
                <w:rFonts w:ascii="Times New Roman" w:eastAsia="Times New Roman" w:hAnsi="Times New Roman" w:cs="Times New Roman"/>
                <w:i/>
                <w:iCs/>
                <w:color w:val="000000"/>
                <w:sz w:val="20"/>
                <w:szCs w:val="20"/>
              </w:rPr>
              <w:t>% no IKP</w:t>
            </w:r>
          </w:p>
        </w:tc>
        <w:tc>
          <w:tcPr>
            <w:tcW w:w="993" w:type="dxa"/>
            <w:vAlign w:val="center"/>
          </w:tcPr>
          <w:p w14:paraId="054A9366" w14:textId="77777777" w:rsidR="00DB596B" w:rsidRPr="008C6453" w:rsidRDefault="00DB596B" w:rsidP="00401A5B">
            <w:pPr>
              <w:jc w:val="center"/>
              <w:rPr>
                <w:rFonts w:ascii="Times New Roman" w:eastAsia="Times New Roman" w:hAnsi="Times New Roman" w:cs="Times New Roman"/>
                <w:i/>
                <w:snapToGrid w:val="0"/>
                <w:sz w:val="20"/>
                <w:szCs w:val="20"/>
                <w:lang w:eastAsia="en-US"/>
              </w:rPr>
            </w:pPr>
            <w:r w:rsidRPr="008C6453">
              <w:rPr>
                <w:rFonts w:ascii="Times New Roman" w:eastAsia="Times New Roman" w:hAnsi="Times New Roman" w:cs="Times New Roman"/>
                <w:i/>
                <w:snapToGrid w:val="0"/>
                <w:sz w:val="20"/>
                <w:szCs w:val="20"/>
                <w:lang w:eastAsia="en-US"/>
              </w:rPr>
              <w:t>3,7</w:t>
            </w:r>
          </w:p>
        </w:tc>
        <w:tc>
          <w:tcPr>
            <w:tcW w:w="992" w:type="dxa"/>
            <w:vAlign w:val="center"/>
          </w:tcPr>
          <w:p w14:paraId="19056FD2" w14:textId="77777777" w:rsidR="00DB596B" w:rsidRPr="008C6453" w:rsidRDefault="00DB596B" w:rsidP="00401A5B">
            <w:pPr>
              <w:jc w:val="center"/>
              <w:rPr>
                <w:rFonts w:ascii="Times New Roman" w:eastAsia="Times New Roman" w:hAnsi="Times New Roman" w:cs="Times New Roman"/>
                <w:i/>
                <w:snapToGrid w:val="0"/>
                <w:sz w:val="20"/>
                <w:szCs w:val="20"/>
                <w:lang w:eastAsia="en-US"/>
              </w:rPr>
            </w:pPr>
            <w:r w:rsidRPr="008C6453">
              <w:rPr>
                <w:rFonts w:ascii="Times New Roman" w:eastAsia="Times New Roman" w:hAnsi="Times New Roman" w:cs="Times New Roman"/>
                <w:i/>
                <w:snapToGrid w:val="0"/>
                <w:sz w:val="20"/>
                <w:szCs w:val="20"/>
                <w:lang w:eastAsia="en-US"/>
              </w:rPr>
              <w:t>3,7</w:t>
            </w:r>
          </w:p>
        </w:tc>
        <w:tc>
          <w:tcPr>
            <w:tcW w:w="992" w:type="dxa"/>
            <w:vAlign w:val="center"/>
          </w:tcPr>
          <w:p w14:paraId="009F94DF" w14:textId="77777777" w:rsidR="00DB596B" w:rsidRPr="008C6453" w:rsidRDefault="00DB596B" w:rsidP="00401A5B">
            <w:pPr>
              <w:jc w:val="center"/>
              <w:rPr>
                <w:rFonts w:ascii="Times New Roman" w:eastAsia="Times New Roman" w:hAnsi="Times New Roman" w:cs="Times New Roman"/>
                <w:i/>
                <w:snapToGrid w:val="0"/>
                <w:sz w:val="20"/>
                <w:szCs w:val="20"/>
                <w:lang w:eastAsia="en-US"/>
              </w:rPr>
            </w:pPr>
            <w:r w:rsidRPr="008C6453">
              <w:rPr>
                <w:rFonts w:ascii="Times New Roman" w:eastAsia="Times New Roman" w:hAnsi="Times New Roman" w:cs="Times New Roman"/>
                <w:i/>
                <w:snapToGrid w:val="0"/>
                <w:sz w:val="20"/>
                <w:szCs w:val="20"/>
                <w:lang w:eastAsia="en-US"/>
              </w:rPr>
              <w:t>3,7</w:t>
            </w:r>
          </w:p>
        </w:tc>
        <w:tc>
          <w:tcPr>
            <w:tcW w:w="1265" w:type="dxa"/>
            <w:vAlign w:val="center"/>
          </w:tcPr>
          <w:p w14:paraId="051EF0BA" w14:textId="77777777" w:rsidR="00DB596B" w:rsidRPr="008C6453" w:rsidRDefault="00DB596B" w:rsidP="00401A5B">
            <w:pPr>
              <w:jc w:val="center"/>
              <w:rPr>
                <w:rFonts w:ascii="Times New Roman" w:eastAsia="Times New Roman" w:hAnsi="Times New Roman" w:cs="Times New Roman"/>
                <w:i/>
                <w:snapToGrid w:val="0"/>
                <w:sz w:val="20"/>
                <w:szCs w:val="20"/>
                <w:lang w:eastAsia="en-US"/>
              </w:rPr>
            </w:pPr>
            <w:r w:rsidRPr="008C6453">
              <w:rPr>
                <w:rFonts w:ascii="Times New Roman" w:eastAsia="Times New Roman" w:hAnsi="Times New Roman" w:cs="Times New Roman"/>
                <w:i/>
                <w:snapToGrid w:val="0"/>
                <w:sz w:val="20"/>
                <w:szCs w:val="20"/>
                <w:lang w:eastAsia="en-US"/>
              </w:rPr>
              <w:t>3,6</w:t>
            </w:r>
          </w:p>
        </w:tc>
      </w:tr>
    </w:tbl>
    <w:p w14:paraId="6CD04CBD" w14:textId="77777777" w:rsidR="00DB596B" w:rsidRPr="008C6453" w:rsidRDefault="00DB596B" w:rsidP="00401A5B">
      <w:pPr>
        <w:ind w:left="426"/>
        <w:jc w:val="both"/>
        <w:rPr>
          <w:rFonts w:ascii="Times New Roman" w:eastAsia="Times New Roman" w:hAnsi="Times New Roman" w:cs="Times New Roman"/>
          <w:sz w:val="20"/>
          <w:szCs w:val="20"/>
          <w:lang w:eastAsia="en-US"/>
        </w:rPr>
      </w:pPr>
      <w:r w:rsidRPr="008C6453">
        <w:rPr>
          <w:rFonts w:ascii="Times New Roman" w:eastAsia="Times New Roman" w:hAnsi="Times New Roman" w:cs="Times New Roman"/>
          <w:sz w:val="20"/>
          <w:szCs w:val="20"/>
          <w:lang w:eastAsia="en-US"/>
        </w:rPr>
        <w:t xml:space="preserve"> *Prognoze</w:t>
      </w:r>
    </w:p>
    <w:p w14:paraId="0E1CE4BB" w14:textId="77777777" w:rsidR="00DB596B" w:rsidRPr="00DB596B" w:rsidRDefault="00DB596B" w:rsidP="00401A5B">
      <w:pPr>
        <w:jc w:val="both"/>
        <w:rPr>
          <w:rFonts w:ascii="Times New Roman" w:eastAsia="Times New Roman" w:hAnsi="Times New Roman" w:cs="Times New Roman"/>
          <w:b/>
          <w:sz w:val="24"/>
          <w:szCs w:val="24"/>
          <w:lang w:eastAsia="en-US"/>
        </w:rPr>
      </w:pPr>
    </w:p>
    <w:p w14:paraId="739CC279" w14:textId="705D6E1D" w:rsidR="008C6453" w:rsidRPr="008C6453" w:rsidRDefault="008C6453" w:rsidP="008C6453">
      <w:pPr>
        <w:ind w:firstLine="720"/>
        <w:jc w:val="center"/>
        <w:rPr>
          <w:rFonts w:ascii="Times New Roman" w:eastAsia="Times New Roman" w:hAnsi="Times New Roman" w:cs="Times New Roman"/>
          <w:b/>
          <w:sz w:val="28"/>
          <w:szCs w:val="24"/>
          <w:lang w:eastAsia="en-US"/>
        </w:rPr>
      </w:pPr>
      <w:r w:rsidRPr="008C6453">
        <w:rPr>
          <w:rFonts w:ascii="Times New Roman" w:eastAsia="Times New Roman" w:hAnsi="Times New Roman" w:cs="Times New Roman"/>
          <w:b/>
          <w:sz w:val="28"/>
          <w:szCs w:val="24"/>
          <w:lang w:eastAsia="en-US"/>
        </w:rPr>
        <w:t xml:space="preserve">Transportlīdzekļu ekspluatācijas </w:t>
      </w:r>
      <w:r w:rsidR="00051573">
        <w:rPr>
          <w:rFonts w:ascii="Times New Roman" w:eastAsia="Times New Roman" w:hAnsi="Times New Roman" w:cs="Times New Roman"/>
          <w:b/>
          <w:sz w:val="28"/>
          <w:szCs w:val="24"/>
          <w:lang w:eastAsia="en-US"/>
        </w:rPr>
        <w:t>nodoklis</w:t>
      </w:r>
    </w:p>
    <w:p w14:paraId="4399778F" w14:textId="77777777" w:rsidR="008C6453" w:rsidRPr="008C6453" w:rsidRDefault="008C6453" w:rsidP="008C6453">
      <w:pPr>
        <w:ind w:firstLine="720"/>
        <w:jc w:val="center"/>
        <w:rPr>
          <w:rFonts w:ascii="Times New Roman" w:eastAsia="Times New Roman" w:hAnsi="Times New Roman" w:cs="Times New Roman"/>
          <w:b/>
          <w:sz w:val="28"/>
          <w:szCs w:val="24"/>
          <w:lang w:eastAsia="en-US"/>
        </w:rPr>
      </w:pPr>
    </w:p>
    <w:p w14:paraId="057F9F8C" w14:textId="01E2C499" w:rsidR="00DB596B" w:rsidRPr="008C6453" w:rsidRDefault="00DB596B" w:rsidP="00401A5B">
      <w:pPr>
        <w:ind w:firstLine="720"/>
        <w:jc w:val="both"/>
        <w:rPr>
          <w:rFonts w:ascii="Times New Roman" w:eastAsia="Times New Roman" w:hAnsi="Times New Roman" w:cs="Times New Roman"/>
          <w:sz w:val="28"/>
          <w:szCs w:val="24"/>
          <w:highlight w:val="yellow"/>
          <w:lang w:eastAsia="en-US"/>
        </w:rPr>
      </w:pPr>
      <w:r w:rsidRPr="008C6453">
        <w:rPr>
          <w:rFonts w:ascii="Times New Roman" w:eastAsia="Times New Roman" w:hAnsi="Times New Roman" w:cs="Times New Roman"/>
          <w:sz w:val="28"/>
          <w:szCs w:val="24"/>
          <w:lang w:eastAsia="en-US"/>
        </w:rPr>
        <w:t>Transportlīdzekļu ekspluatācijas nodokļa ieņēmumi 2020.gada sešos mēnešos bija 50,8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kas salīdzinājumā ar 2019.gada sešiem mēnešiem ir par 0,3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jeb 0,6% mazāk. Salīdzinājumā ar 2020.gada sešu mēnešu plānu ieņēmumi atpaliek par 2,8 milj. </w:t>
      </w:r>
      <w:r w:rsidRPr="008C6453">
        <w:rPr>
          <w:rFonts w:ascii="Times New Roman" w:eastAsia="Times New Roman" w:hAnsi="Times New Roman" w:cs="Times New Roman"/>
          <w:i/>
          <w:sz w:val="28"/>
          <w:szCs w:val="24"/>
          <w:lang w:eastAsia="en-US"/>
        </w:rPr>
        <w:t>euro</w:t>
      </w:r>
      <w:r w:rsidRPr="008C6453">
        <w:rPr>
          <w:rFonts w:ascii="Times New Roman" w:eastAsia="Times New Roman" w:hAnsi="Times New Roman" w:cs="Times New Roman"/>
          <w:sz w:val="28"/>
          <w:szCs w:val="24"/>
          <w:lang w:eastAsia="en-US"/>
        </w:rPr>
        <w:t xml:space="preserve"> jeb 5,3 procentiem. </w:t>
      </w:r>
      <w:r w:rsidRPr="008C6453">
        <w:rPr>
          <w:rFonts w:ascii="Times New Roman" w:eastAsia="Times New Roman" w:hAnsi="Times New Roman" w:cs="Times New Roman"/>
          <w:sz w:val="28"/>
          <w:szCs w:val="20"/>
          <w:lang w:eastAsia="en-US"/>
        </w:rPr>
        <w:t xml:space="preserve">Nodokļa plāna neizpilde saistīta ar 2020.gada 12.martā visā valsts teritorijā izsludināto ārkārtējo situāciju līdz 2020.gada 9.jūnijam ar mērķi ierobežot Covid-19 izplatību ārkārtējās situācijas spēkā esamības laikā. Līdz ar to prognoze 2020.gadam, kas tiek izmantota 2021., 2022. un 2023.gada ieņēmumu modelēšanā, ir samazināta par 4,4 milj. </w:t>
      </w:r>
      <w:r w:rsidRPr="008C6453">
        <w:rPr>
          <w:rFonts w:ascii="Times New Roman" w:eastAsia="Times New Roman" w:hAnsi="Times New Roman" w:cs="Times New Roman"/>
          <w:i/>
          <w:sz w:val="28"/>
          <w:szCs w:val="20"/>
          <w:lang w:eastAsia="en-US"/>
        </w:rPr>
        <w:t>euro</w:t>
      </w:r>
      <w:r w:rsidRPr="008C6453">
        <w:rPr>
          <w:rFonts w:ascii="Times New Roman" w:eastAsia="Times New Roman" w:hAnsi="Times New Roman" w:cs="Times New Roman"/>
          <w:sz w:val="28"/>
          <w:szCs w:val="20"/>
          <w:lang w:eastAsia="en-US"/>
        </w:rPr>
        <w:t xml:space="preserve"> jeb 4,4% no plāna. Tāpat, balsoties uz zemo izpildi, ir mazināti nodokļa ieņēmumu pieauguma tempi. </w:t>
      </w:r>
    </w:p>
    <w:p w14:paraId="112E9D3B" w14:textId="77777777" w:rsidR="00051573" w:rsidRPr="00051573" w:rsidRDefault="00DB596B" w:rsidP="00051573">
      <w:pPr>
        <w:rPr>
          <w:rFonts w:ascii="Times New Roman" w:eastAsia="Times New Roman" w:hAnsi="Times New Roman" w:cs="Times New Roman"/>
          <w:sz w:val="28"/>
          <w:szCs w:val="28"/>
          <w:lang w:eastAsia="en-US"/>
        </w:rPr>
      </w:pPr>
      <w:r w:rsidRPr="008C6453">
        <w:rPr>
          <w:rFonts w:ascii="Times New Roman" w:eastAsia="Times New Roman" w:hAnsi="Times New Roman" w:cs="Times New Roman"/>
          <w:sz w:val="28"/>
          <w:szCs w:val="20"/>
          <w:lang w:eastAsia="en-US"/>
        </w:rPr>
        <w:t xml:space="preserve">Saskaņā ar </w:t>
      </w:r>
      <w:r w:rsidR="00921D7E">
        <w:rPr>
          <w:rFonts w:ascii="Times New Roman" w:eastAsia="Times New Roman" w:hAnsi="Times New Roman" w:cs="Times New Roman"/>
          <w:sz w:val="28"/>
          <w:szCs w:val="20"/>
          <w:lang w:eastAsia="en-US"/>
        </w:rPr>
        <w:t>VTBIL</w:t>
      </w:r>
      <w:r w:rsidRPr="008C6453">
        <w:rPr>
          <w:rFonts w:ascii="Times New Roman" w:eastAsia="Times New Roman" w:hAnsi="Times New Roman" w:cs="Times New Roman"/>
          <w:sz w:val="28"/>
          <w:szCs w:val="24"/>
          <w:lang w:eastAsia="en-US"/>
        </w:rPr>
        <w:t xml:space="preserve"> 2021., 2022. un </w:t>
      </w:r>
      <w:r w:rsidR="00921D7E">
        <w:rPr>
          <w:rFonts w:ascii="Times New Roman" w:eastAsia="Times New Roman" w:hAnsi="Times New Roman" w:cs="Times New Roman"/>
          <w:sz w:val="28"/>
          <w:szCs w:val="20"/>
          <w:lang w:eastAsia="en-US"/>
        </w:rPr>
        <w:t>2023.gadam projektu</w:t>
      </w:r>
      <w:r w:rsidRPr="008C6453">
        <w:rPr>
          <w:rFonts w:ascii="Times New Roman" w:eastAsia="Times New Roman" w:hAnsi="Times New Roman" w:cs="Times New Roman"/>
          <w:sz w:val="28"/>
          <w:szCs w:val="20"/>
          <w:lang w:eastAsia="en-US"/>
        </w:rPr>
        <w:t xml:space="preserve"> transportlīdzekļu ekspluatācijas nodokļa ieņēmumi 2021.gadā tiek </w:t>
      </w:r>
      <w:r w:rsidRPr="00051573">
        <w:rPr>
          <w:rFonts w:ascii="Times New Roman" w:eastAsia="Times New Roman" w:hAnsi="Times New Roman" w:cs="Times New Roman"/>
          <w:sz w:val="28"/>
          <w:szCs w:val="28"/>
          <w:lang w:eastAsia="en-US"/>
        </w:rPr>
        <w:t xml:space="preserve">plānoti </w:t>
      </w:r>
      <w:r w:rsidR="00051573" w:rsidRPr="00051573">
        <w:rPr>
          <w:rFonts w:ascii="Times New Roman" w:eastAsia="Times New Roman" w:hAnsi="Times New Roman" w:cs="Times New Roman"/>
          <w:sz w:val="28"/>
          <w:szCs w:val="28"/>
          <w:lang w:eastAsia="en-US"/>
        </w:rPr>
        <w:t>103,7 milj. </w:t>
      </w:r>
      <w:r w:rsidR="00051573" w:rsidRPr="00051573">
        <w:rPr>
          <w:rFonts w:ascii="Times New Roman" w:eastAsia="Times New Roman" w:hAnsi="Times New Roman" w:cs="Times New Roman"/>
          <w:i/>
          <w:sz w:val="28"/>
          <w:szCs w:val="28"/>
          <w:lang w:eastAsia="en-US"/>
        </w:rPr>
        <w:t>euro</w:t>
      </w:r>
      <w:r w:rsidR="00051573" w:rsidRPr="00051573">
        <w:rPr>
          <w:rFonts w:ascii="Times New Roman" w:eastAsia="Times New Roman" w:hAnsi="Times New Roman" w:cs="Times New Roman"/>
          <w:sz w:val="28"/>
          <w:szCs w:val="28"/>
          <w:lang w:eastAsia="en-US"/>
        </w:rPr>
        <w:t xml:space="preserve">, 2022.gadā 106,1 milj. </w:t>
      </w:r>
      <w:r w:rsidR="00051573" w:rsidRPr="00051573">
        <w:rPr>
          <w:rFonts w:ascii="Times New Roman" w:eastAsia="Times New Roman" w:hAnsi="Times New Roman" w:cs="Times New Roman"/>
          <w:i/>
          <w:sz w:val="28"/>
          <w:szCs w:val="28"/>
          <w:lang w:eastAsia="en-US"/>
        </w:rPr>
        <w:t>euro</w:t>
      </w:r>
      <w:r w:rsidR="00051573" w:rsidRPr="00051573">
        <w:rPr>
          <w:rFonts w:ascii="Times New Roman" w:eastAsia="Times New Roman" w:hAnsi="Times New Roman" w:cs="Times New Roman"/>
          <w:sz w:val="28"/>
          <w:szCs w:val="28"/>
          <w:lang w:eastAsia="en-US"/>
        </w:rPr>
        <w:t xml:space="preserve"> un 2023.gadā 108,7 milj. </w:t>
      </w:r>
      <w:r w:rsidR="00051573" w:rsidRPr="00051573">
        <w:rPr>
          <w:rFonts w:ascii="Times New Roman" w:eastAsia="Times New Roman" w:hAnsi="Times New Roman" w:cs="Times New Roman"/>
          <w:i/>
          <w:sz w:val="28"/>
          <w:szCs w:val="28"/>
          <w:lang w:eastAsia="en-US"/>
        </w:rPr>
        <w:t>euro</w:t>
      </w:r>
      <w:r w:rsidR="00051573" w:rsidRPr="00051573">
        <w:rPr>
          <w:rFonts w:ascii="Times New Roman" w:eastAsia="Times New Roman" w:hAnsi="Times New Roman" w:cs="Times New Roman"/>
          <w:sz w:val="28"/>
          <w:szCs w:val="28"/>
          <w:lang w:eastAsia="en-US"/>
        </w:rPr>
        <w:t xml:space="preserve"> apmērā.</w:t>
      </w:r>
    </w:p>
    <w:p w14:paraId="44528AEB" w14:textId="6DC38B36" w:rsidR="00051573" w:rsidRPr="00051573" w:rsidRDefault="00051573" w:rsidP="00051573">
      <w:pPr>
        <w:ind w:firstLine="709"/>
        <w:jc w:val="both"/>
        <w:rPr>
          <w:rFonts w:ascii="Times New Roman" w:eastAsia="Times New Roman" w:hAnsi="Times New Roman" w:cs="Times New Roman"/>
          <w:sz w:val="28"/>
          <w:szCs w:val="28"/>
          <w:lang w:eastAsia="en-US"/>
        </w:rPr>
      </w:pPr>
      <w:r w:rsidRPr="00051573">
        <w:rPr>
          <w:rFonts w:ascii="Times New Roman" w:eastAsia="Times New Roman" w:hAnsi="Times New Roman" w:cs="Times New Roman"/>
          <w:sz w:val="28"/>
          <w:szCs w:val="28"/>
          <w:lang w:eastAsia="en-US"/>
        </w:rPr>
        <w:t xml:space="preserve">Sagatavojot transportlīdzekļu ekspluatācijas nodokļa ieņēmumu plānu 2021.– 2023.gadam, tika </w:t>
      </w:r>
      <w:r w:rsidRPr="00051573">
        <w:rPr>
          <w:rFonts w:ascii="Times New Roman" w:eastAsia="Calibri" w:hAnsi="Times New Roman" w:cs="Times New Roman"/>
          <w:sz w:val="28"/>
          <w:szCs w:val="28"/>
          <w:lang w:eastAsia="en-US"/>
        </w:rPr>
        <w:t xml:space="preserve">ņemtas vērā 2020.gada transportlīdzekļu ekspluatācijas nodokļa ieņēmumu izpildes tendences un reģistrēto transportlīdzekļu struktūra un skaita pieaugums, par kuriem maksājams nodoklis. </w:t>
      </w:r>
      <w:r w:rsidRPr="00051573">
        <w:rPr>
          <w:rFonts w:ascii="Times New Roman" w:eastAsia="Times New Roman" w:hAnsi="Times New Roman" w:cs="Times New Roman"/>
          <w:sz w:val="28"/>
          <w:szCs w:val="28"/>
          <w:lang w:eastAsia="en-US"/>
        </w:rPr>
        <w:t xml:space="preserve">Tāpat, 2020.gada 9.oktobrī </w:t>
      </w:r>
      <w:r>
        <w:rPr>
          <w:rFonts w:ascii="Times New Roman" w:eastAsia="Times New Roman" w:hAnsi="Times New Roman" w:cs="Times New Roman"/>
          <w:sz w:val="28"/>
          <w:szCs w:val="28"/>
          <w:lang w:eastAsia="en-US"/>
        </w:rPr>
        <w:t>MK</w:t>
      </w:r>
      <w:r w:rsidRPr="00051573">
        <w:rPr>
          <w:rFonts w:ascii="Times New Roman" w:eastAsia="Times New Roman" w:hAnsi="Times New Roman" w:cs="Times New Roman"/>
          <w:sz w:val="28"/>
          <w:szCs w:val="28"/>
          <w:lang w:eastAsia="en-US"/>
        </w:rPr>
        <w:t xml:space="preserve"> tika atbalstīti pasākumi, kas, sākot ar 2021.gadu, paredz:</w:t>
      </w:r>
    </w:p>
    <w:p w14:paraId="2DA832D6" w14:textId="77777777" w:rsidR="00051573" w:rsidRPr="00051573" w:rsidRDefault="00051573" w:rsidP="00051573">
      <w:pPr>
        <w:numPr>
          <w:ilvl w:val="0"/>
          <w:numId w:val="60"/>
        </w:numPr>
        <w:contextualSpacing/>
        <w:jc w:val="both"/>
        <w:rPr>
          <w:rFonts w:ascii="Times New Roman" w:eastAsia="Times New Roman" w:hAnsi="Times New Roman" w:cs="Times New Roman"/>
          <w:sz w:val="28"/>
          <w:szCs w:val="28"/>
          <w:lang w:eastAsia="en-US"/>
        </w:rPr>
      </w:pPr>
      <w:r w:rsidRPr="00051573">
        <w:rPr>
          <w:rFonts w:ascii="Times New Roman" w:eastAsia="Times New Roman" w:hAnsi="Times New Roman" w:cs="Times New Roman"/>
          <w:iCs/>
          <w:sz w:val="28"/>
          <w:szCs w:val="28"/>
        </w:rPr>
        <w:t xml:space="preserve">piemērot jaunu transportlīdzekļa ekspluatācijas nodokļa likmju aprēķinu kravas transportlīdzekļiem ar pilnu masu no 3500 kg līdz 12000 kg, ņemot vērā EURO izmešu līmeni, kravas transportlīdzekļiem ar pilnu masu no 3,5 t līdz 12 t, ņemot vērā EURO izmešu līmeni, kravas transportlīdzekļiem ar pilnu masu virs 12 t un seglu vilcējiem, ņemot vērā EURO izmešu līmeni un asu skaitu (fiskālā ietekme +4,3 milj. </w:t>
      </w:r>
      <w:r w:rsidRPr="00051573">
        <w:rPr>
          <w:rFonts w:ascii="Times New Roman" w:eastAsia="Times New Roman" w:hAnsi="Times New Roman" w:cs="Times New Roman"/>
          <w:i/>
          <w:iCs/>
          <w:sz w:val="28"/>
          <w:szCs w:val="28"/>
        </w:rPr>
        <w:t>euro</w:t>
      </w:r>
      <w:r w:rsidRPr="00051573">
        <w:rPr>
          <w:rFonts w:ascii="Times New Roman" w:eastAsia="Times New Roman" w:hAnsi="Times New Roman" w:cs="Times New Roman"/>
          <w:iCs/>
          <w:sz w:val="28"/>
          <w:szCs w:val="28"/>
        </w:rPr>
        <w:t>);</w:t>
      </w:r>
    </w:p>
    <w:p w14:paraId="28B310F0" w14:textId="77777777" w:rsidR="00051573" w:rsidRPr="00051573" w:rsidRDefault="00051573" w:rsidP="00051573">
      <w:pPr>
        <w:numPr>
          <w:ilvl w:val="0"/>
          <w:numId w:val="60"/>
        </w:numPr>
        <w:contextualSpacing/>
        <w:jc w:val="both"/>
        <w:rPr>
          <w:rFonts w:ascii="Times New Roman" w:eastAsia="Times New Roman" w:hAnsi="Times New Roman" w:cs="Times New Roman"/>
          <w:sz w:val="28"/>
          <w:szCs w:val="28"/>
          <w:lang w:eastAsia="en-US"/>
        </w:rPr>
      </w:pPr>
      <w:r w:rsidRPr="00051573">
        <w:rPr>
          <w:rFonts w:ascii="Times New Roman" w:eastAsia="Times New Roman" w:hAnsi="Times New Roman" w:cs="Times New Roman"/>
          <w:sz w:val="28"/>
          <w:szCs w:val="28"/>
          <w:lang w:eastAsia="en-US"/>
        </w:rPr>
        <w:t xml:space="preserve">piemērot kravas transportlīdzekļiem ar pilnu masu līdz </w:t>
      </w:r>
      <w:r w:rsidRPr="00051573">
        <w:rPr>
          <w:rFonts w:ascii="Times New Roman" w:eastAsia="Times New Roman" w:hAnsi="Times New Roman" w:cs="Times New Roman"/>
          <w:iCs/>
          <w:sz w:val="28"/>
          <w:szCs w:val="28"/>
        </w:rPr>
        <w:t>3,5 t (kategorija N1) vieglo transportlīdzekļu ekspluatācijas nodokļa piemērošanas principus (fiskālā ietekme neitrāla);</w:t>
      </w:r>
    </w:p>
    <w:p w14:paraId="789D8ED1" w14:textId="77777777" w:rsidR="00051573" w:rsidRPr="00051573" w:rsidRDefault="00051573" w:rsidP="00051573">
      <w:pPr>
        <w:numPr>
          <w:ilvl w:val="0"/>
          <w:numId w:val="60"/>
        </w:numPr>
        <w:contextualSpacing/>
        <w:jc w:val="both"/>
        <w:rPr>
          <w:rFonts w:ascii="Times New Roman" w:eastAsia="Times New Roman" w:hAnsi="Times New Roman" w:cs="Times New Roman"/>
          <w:sz w:val="28"/>
          <w:szCs w:val="28"/>
          <w:lang w:eastAsia="en-US"/>
        </w:rPr>
      </w:pPr>
      <w:r w:rsidRPr="00051573">
        <w:rPr>
          <w:rFonts w:ascii="Times New Roman" w:eastAsia="Times New Roman" w:hAnsi="Times New Roman" w:cs="Times New Roman"/>
          <w:iCs/>
          <w:sz w:val="28"/>
          <w:szCs w:val="28"/>
        </w:rPr>
        <w:t xml:space="preserve">noapaļot transportlīdzekļa nodokļa likmes motocikliem, tricikliem, kvadricikliem (fiskālā ietekme +0,03 milj. </w:t>
      </w:r>
      <w:r w:rsidRPr="00051573">
        <w:rPr>
          <w:rFonts w:ascii="Times New Roman" w:eastAsia="Times New Roman" w:hAnsi="Times New Roman" w:cs="Times New Roman"/>
          <w:i/>
          <w:iCs/>
          <w:sz w:val="28"/>
          <w:szCs w:val="28"/>
        </w:rPr>
        <w:t>euro</w:t>
      </w:r>
      <w:r w:rsidRPr="00051573">
        <w:rPr>
          <w:rFonts w:ascii="Times New Roman" w:eastAsia="Times New Roman" w:hAnsi="Times New Roman" w:cs="Times New Roman"/>
          <w:iCs/>
          <w:sz w:val="28"/>
          <w:szCs w:val="28"/>
        </w:rPr>
        <w:t>);</w:t>
      </w:r>
    </w:p>
    <w:p w14:paraId="4F7CDAA4" w14:textId="77777777" w:rsidR="00051573" w:rsidRPr="00051573" w:rsidRDefault="00051573" w:rsidP="00051573">
      <w:pPr>
        <w:numPr>
          <w:ilvl w:val="0"/>
          <w:numId w:val="60"/>
        </w:numPr>
        <w:contextualSpacing/>
        <w:jc w:val="both"/>
        <w:rPr>
          <w:rFonts w:ascii="Times New Roman" w:eastAsia="Times New Roman" w:hAnsi="Times New Roman" w:cs="Times New Roman"/>
          <w:sz w:val="28"/>
          <w:szCs w:val="28"/>
          <w:lang w:eastAsia="en-US"/>
        </w:rPr>
      </w:pPr>
      <w:r w:rsidRPr="00051573">
        <w:rPr>
          <w:rFonts w:ascii="Times New Roman" w:eastAsia="Times New Roman" w:hAnsi="Times New Roman" w:cs="Times New Roman"/>
          <w:iCs/>
          <w:sz w:val="28"/>
          <w:szCs w:val="28"/>
        </w:rPr>
        <w:t xml:space="preserve">noapaļot transportlīdzekļa nodokļa likmes autobusiem ar pilnu masu virs 3500 kg (fiskālā ietekme +0,3 milj. </w:t>
      </w:r>
      <w:r w:rsidRPr="00051573">
        <w:rPr>
          <w:rFonts w:ascii="Times New Roman" w:eastAsia="Times New Roman" w:hAnsi="Times New Roman" w:cs="Times New Roman"/>
          <w:i/>
          <w:iCs/>
          <w:sz w:val="28"/>
          <w:szCs w:val="28"/>
        </w:rPr>
        <w:t>euro</w:t>
      </w:r>
      <w:r w:rsidRPr="00051573">
        <w:rPr>
          <w:rFonts w:ascii="Times New Roman" w:eastAsia="Times New Roman" w:hAnsi="Times New Roman" w:cs="Times New Roman"/>
          <w:iCs/>
          <w:sz w:val="28"/>
          <w:szCs w:val="28"/>
        </w:rPr>
        <w:t>);</w:t>
      </w:r>
    </w:p>
    <w:p w14:paraId="03DCA305" w14:textId="77777777" w:rsidR="00051573" w:rsidRPr="00051573" w:rsidRDefault="00051573" w:rsidP="00051573">
      <w:pPr>
        <w:numPr>
          <w:ilvl w:val="0"/>
          <w:numId w:val="60"/>
        </w:numPr>
        <w:contextualSpacing/>
        <w:jc w:val="both"/>
        <w:rPr>
          <w:rFonts w:ascii="Times New Roman" w:eastAsia="Times New Roman" w:hAnsi="Times New Roman" w:cs="Times New Roman"/>
          <w:sz w:val="28"/>
          <w:szCs w:val="28"/>
          <w:lang w:eastAsia="en-US"/>
        </w:rPr>
      </w:pPr>
      <w:r w:rsidRPr="00051573">
        <w:rPr>
          <w:rFonts w:ascii="Times New Roman" w:eastAsia="Times New Roman" w:hAnsi="Times New Roman" w:cs="Times New Roman"/>
          <w:sz w:val="28"/>
          <w:szCs w:val="28"/>
          <w:lang w:eastAsia="en-US"/>
        </w:rPr>
        <w:t>noapaļot transportlīdzekļa ekspluatācijas nodokļa likmes piekabēm un puspiekabēm (fiskālā ietekme neitrāla);</w:t>
      </w:r>
    </w:p>
    <w:p w14:paraId="42669756" w14:textId="77777777" w:rsidR="00051573" w:rsidRPr="00051573" w:rsidRDefault="00051573" w:rsidP="00051573">
      <w:pPr>
        <w:numPr>
          <w:ilvl w:val="0"/>
          <w:numId w:val="60"/>
        </w:numPr>
        <w:contextualSpacing/>
        <w:jc w:val="both"/>
        <w:rPr>
          <w:rFonts w:ascii="Times New Roman" w:eastAsia="Times New Roman" w:hAnsi="Times New Roman" w:cs="Times New Roman"/>
          <w:sz w:val="28"/>
          <w:szCs w:val="28"/>
          <w:lang w:eastAsia="en-US"/>
        </w:rPr>
      </w:pPr>
      <w:r w:rsidRPr="00051573">
        <w:rPr>
          <w:rFonts w:ascii="Times New Roman" w:eastAsia="Times New Roman" w:hAnsi="Times New Roman" w:cs="Times New Roman"/>
          <w:iCs/>
          <w:sz w:val="28"/>
          <w:szCs w:val="28"/>
        </w:rPr>
        <w:t>piemērot jaunu transportlīdzekļa ekspluatācijas nodokļa likmju aprēķinu tiem transportlīdzekļiem, kuriem CO2 izmeši ir noteikti atbilstoši jaunajai CO2 izmešu metodei (WLTP) (fiskālā ietekme neitrāla).</w:t>
      </w:r>
    </w:p>
    <w:p w14:paraId="5557CCE1" w14:textId="4805EF39" w:rsidR="00DB596B" w:rsidRPr="00DB596B" w:rsidRDefault="00DB596B" w:rsidP="00051573">
      <w:pPr>
        <w:rPr>
          <w:rFonts w:ascii="Times New Roman" w:eastAsia="Calibri" w:hAnsi="Times New Roman" w:cs="Times New Roman"/>
          <w:sz w:val="24"/>
          <w:szCs w:val="24"/>
          <w:highlight w:val="yellow"/>
          <w:lang w:eastAsia="en-US"/>
        </w:rPr>
      </w:pPr>
    </w:p>
    <w:p w14:paraId="245BA56A" w14:textId="77777777" w:rsidR="00DB596B" w:rsidRPr="00DB596B" w:rsidRDefault="00DB596B" w:rsidP="00921D7E">
      <w:pPr>
        <w:ind w:left="720"/>
        <w:jc w:val="right"/>
        <w:rPr>
          <w:rFonts w:ascii="Times New Roman" w:eastAsia="Times New Roman" w:hAnsi="Times New Roman" w:cs="Times New Roman"/>
          <w:b/>
          <w:i/>
          <w:sz w:val="24"/>
          <w:szCs w:val="24"/>
          <w:lang w:eastAsia="en-US"/>
        </w:rPr>
      </w:pPr>
      <w:r w:rsidRPr="00921D7E">
        <w:rPr>
          <w:rFonts w:ascii="Times New Roman" w:eastAsia="Times New Roman" w:hAnsi="Times New Roman" w:cs="Times New Roman"/>
          <w:b/>
          <w:i/>
          <w:sz w:val="24"/>
          <w:szCs w:val="24"/>
          <w:lang w:eastAsia="en-US"/>
        </w:rPr>
        <w:t>3.11.tabula. Transportlīdzekļa ekspluatācijas nodokļa ieņēmumi</w:t>
      </w:r>
    </w:p>
    <w:tbl>
      <w:tblPr>
        <w:tblW w:w="8942" w:type="dxa"/>
        <w:jc w:val="center"/>
        <w:tblLook w:val="04A0" w:firstRow="1" w:lastRow="0" w:firstColumn="1" w:lastColumn="0" w:noHBand="0" w:noVBand="1"/>
      </w:tblPr>
      <w:tblGrid>
        <w:gridCol w:w="5183"/>
        <w:gridCol w:w="1055"/>
        <w:gridCol w:w="1068"/>
        <w:gridCol w:w="818"/>
        <w:gridCol w:w="818"/>
      </w:tblGrid>
      <w:tr w:rsidR="00DB596B" w:rsidRPr="00921D7E" w14:paraId="6F4FE328" w14:textId="77777777" w:rsidTr="00DC73D6">
        <w:trPr>
          <w:trHeight w:val="147"/>
          <w:tblHeader/>
          <w:jc w:val="center"/>
        </w:trPr>
        <w:tc>
          <w:tcPr>
            <w:tcW w:w="518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AE58688" w14:textId="77777777" w:rsidR="00DB596B" w:rsidRPr="00921D7E" w:rsidRDefault="00DB596B" w:rsidP="00401A5B">
            <w:pPr>
              <w:jc w:val="center"/>
              <w:rPr>
                <w:rFonts w:ascii="Times New Roman" w:eastAsia="Times New Roman" w:hAnsi="Times New Roman" w:cs="Times New Roman"/>
                <w:color w:val="000000"/>
                <w:sz w:val="20"/>
                <w:szCs w:val="18"/>
                <w:highlight w:val="yellow"/>
              </w:rPr>
            </w:pPr>
          </w:p>
        </w:tc>
        <w:tc>
          <w:tcPr>
            <w:tcW w:w="1055"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02670400" w14:textId="77777777" w:rsidR="00DB596B" w:rsidRPr="00921D7E" w:rsidRDefault="00DB596B" w:rsidP="00401A5B">
            <w:pPr>
              <w:jc w:val="center"/>
              <w:rPr>
                <w:rFonts w:ascii="Times New Roman" w:eastAsia="Times New Roman" w:hAnsi="Times New Roman" w:cs="Times New Roman"/>
                <w:b/>
                <w:color w:val="000000"/>
                <w:sz w:val="20"/>
                <w:szCs w:val="18"/>
              </w:rPr>
            </w:pPr>
            <w:r w:rsidRPr="00921D7E">
              <w:rPr>
                <w:rFonts w:ascii="Times New Roman" w:eastAsia="Times New Roman" w:hAnsi="Times New Roman" w:cs="Times New Roman"/>
                <w:b/>
                <w:color w:val="000000"/>
                <w:sz w:val="20"/>
                <w:szCs w:val="18"/>
              </w:rPr>
              <w:t>2020</w:t>
            </w:r>
          </w:p>
        </w:tc>
        <w:tc>
          <w:tcPr>
            <w:tcW w:w="1068"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45111964" w14:textId="77777777" w:rsidR="00DB596B" w:rsidRPr="00921D7E" w:rsidRDefault="00DB596B" w:rsidP="00401A5B">
            <w:pPr>
              <w:jc w:val="center"/>
              <w:rPr>
                <w:rFonts w:ascii="Times New Roman" w:eastAsia="Times New Roman" w:hAnsi="Times New Roman" w:cs="Times New Roman"/>
                <w:b/>
                <w:color w:val="000000"/>
                <w:sz w:val="20"/>
                <w:szCs w:val="18"/>
              </w:rPr>
            </w:pPr>
            <w:r w:rsidRPr="00921D7E">
              <w:rPr>
                <w:rFonts w:ascii="Times New Roman" w:eastAsia="Times New Roman" w:hAnsi="Times New Roman" w:cs="Times New Roman"/>
                <w:b/>
                <w:color w:val="000000"/>
                <w:sz w:val="20"/>
                <w:szCs w:val="18"/>
              </w:rPr>
              <w:t>2021</w:t>
            </w:r>
          </w:p>
        </w:tc>
        <w:tc>
          <w:tcPr>
            <w:tcW w:w="81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C07DD4F" w14:textId="77777777" w:rsidR="00DB596B" w:rsidRPr="00921D7E" w:rsidRDefault="00DB596B" w:rsidP="00401A5B">
            <w:pPr>
              <w:jc w:val="center"/>
              <w:rPr>
                <w:rFonts w:ascii="Times New Roman" w:eastAsia="Times New Roman" w:hAnsi="Times New Roman" w:cs="Times New Roman"/>
                <w:b/>
                <w:color w:val="000000"/>
                <w:sz w:val="20"/>
                <w:szCs w:val="18"/>
              </w:rPr>
            </w:pPr>
            <w:r w:rsidRPr="00921D7E">
              <w:rPr>
                <w:rFonts w:ascii="Times New Roman" w:eastAsia="Times New Roman" w:hAnsi="Times New Roman" w:cs="Times New Roman"/>
                <w:b/>
                <w:color w:val="000000"/>
                <w:sz w:val="20"/>
                <w:szCs w:val="18"/>
              </w:rPr>
              <w:t>2022</w:t>
            </w:r>
          </w:p>
        </w:tc>
        <w:tc>
          <w:tcPr>
            <w:tcW w:w="818" w:type="dxa"/>
            <w:tcBorders>
              <w:top w:val="single" w:sz="4" w:space="0" w:color="auto"/>
              <w:left w:val="nil"/>
              <w:bottom w:val="single" w:sz="4" w:space="0" w:color="auto"/>
              <w:right w:val="single" w:sz="4" w:space="0" w:color="auto"/>
            </w:tcBorders>
            <w:shd w:val="clear" w:color="auto" w:fill="DEEAF6" w:themeFill="accent1" w:themeFillTint="33"/>
          </w:tcPr>
          <w:p w14:paraId="14C1F139" w14:textId="77777777" w:rsidR="00DB596B" w:rsidRPr="00921D7E" w:rsidRDefault="00DB596B" w:rsidP="00401A5B">
            <w:pPr>
              <w:jc w:val="center"/>
              <w:rPr>
                <w:rFonts w:ascii="Times New Roman" w:eastAsia="Times New Roman" w:hAnsi="Times New Roman" w:cs="Times New Roman"/>
                <w:b/>
                <w:color w:val="000000"/>
                <w:sz w:val="20"/>
                <w:szCs w:val="18"/>
              </w:rPr>
            </w:pPr>
            <w:r w:rsidRPr="00921D7E">
              <w:rPr>
                <w:rFonts w:ascii="Times New Roman" w:eastAsia="Times New Roman" w:hAnsi="Times New Roman" w:cs="Times New Roman"/>
                <w:b/>
                <w:color w:val="000000"/>
                <w:sz w:val="20"/>
                <w:szCs w:val="18"/>
              </w:rPr>
              <w:t>2023</w:t>
            </w:r>
          </w:p>
        </w:tc>
      </w:tr>
      <w:tr w:rsidR="00051573" w:rsidRPr="00921D7E" w14:paraId="24ACA6E0" w14:textId="77777777" w:rsidTr="00921D7E">
        <w:trPr>
          <w:trHeight w:val="138"/>
          <w:jc w:val="center"/>
        </w:trPr>
        <w:tc>
          <w:tcPr>
            <w:tcW w:w="5183" w:type="dxa"/>
            <w:tcBorders>
              <w:top w:val="nil"/>
              <w:left w:val="single" w:sz="4" w:space="0" w:color="auto"/>
              <w:bottom w:val="single" w:sz="4" w:space="0" w:color="auto"/>
              <w:right w:val="single" w:sz="4" w:space="0" w:color="auto"/>
            </w:tcBorders>
            <w:shd w:val="clear" w:color="auto" w:fill="auto"/>
            <w:vAlign w:val="center"/>
            <w:hideMark/>
          </w:tcPr>
          <w:p w14:paraId="66CA725C" w14:textId="33EFAB38" w:rsidR="00051573" w:rsidRPr="00921D7E" w:rsidRDefault="00051573" w:rsidP="00051573">
            <w:pPr>
              <w:rPr>
                <w:rFonts w:ascii="Times New Roman" w:eastAsia="Times New Roman" w:hAnsi="Times New Roman" w:cs="Times New Roman"/>
                <w:color w:val="000000"/>
                <w:sz w:val="20"/>
                <w:szCs w:val="18"/>
                <w:highlight w:val="yellow"/>
              </w:rPr>
            </w:pPr>
            <w:r w:rsidRPr="00921D7E">
              <w:rPr>
                <w:rFonts w:ascii="Times New Roman" w:eastAsia="Times New Roman" w:hAnsi="Times New Roman" w:cs="Times New Roman"/>
                <w:b/>
                <w:color w:val="000000"/>
                <w:sz w:val="20"/>
                <w:szCs w:val="18"/>
              </w:rPr>
              <w:t>Transportlīdzekļa ekspluatācijas nodoklis</w:t>
            </w:r>
            <w:r w:rsidRPr="00921D7E">
              <w:rPr>
                <w:rFonts w:ascii="Times New Roman" w:eastAsia="Times New Roman" w:hAnsi="Times New Roman" w:cs="Times New Roman"/>
                <w:color w:val="000000"/>
                <w:sz w:val="20"/>
                <w:szCs w:val="18"/>
              </w:rPr>
              <w:t xml:space="preserve"> saskaņā ar </w:t>
            </w:r>
            <w:r>
              <w:rPr>
                <w:rFonts w:ascii="Times New Roman" w:eastAsia="Times New Roman" w:hAnsi="Times New Roman" w:cs="Times New Roman"/>
                <w:iCs/>
                <w:color w:val="000000"/>
                <w:sz w:val="20"/>
                <w:szCs w:val="20"/>
              </w:rPr>
              <w:t>VTBIL 2020., 2021. un 2022.gadam projektu</w:t>
            </w:r>
            <w:r w:rsidRPr="00921D7E">
              <w:rPr>
                <w:rFonts w:ascii="Times New Roman" w:eastAsia="Times New Roman" w:hAnsi="Times New Roman" w:cs="Times New Roman"/>
                <w:color w:val="000000"/>
                <w:sz w:val="20"/>
                <w:szCs w:val="18"/>
              </w:rPr>
              <w:t>, milj. </w:t>
            </w:r>
            <w:r w:rsidRPr="00921D7E">
              <w:rPr>
                <w:rFonts w:ascii="Times New Roman" w:eastAsia="Times New Roman" w:hAnsi="Times New Roman" w:cs="Times New Roman"/>
                <w:i/>
                <w:color w:val="000000"/>
                <w:sz w:val="20"/>
                <w:szCs w:val="18"/>
              </w:rPr>
              <w:t>euro</w:t>
            </w:r>
          </w:p>
        </w:tc>
        <w:tc>
          <w:tcPr>
            <w:tcW w:w="1055" w:type="dxa"/>
            <w:tcBorders>
              <w:top w:val="nil"/>
              <w:left w:val="nil"/>
              <w:bottom w:val="single" w:sz="4" w:space="0" w:color="auto"/>
              <w:right w:val="single" w:sz="4" w:space="0" w:color="auto"/>
            </w:tcBorders>
            <w:shd w:val="clear" w:color="auto" w:fill="auto"/>
            <w:noWrap/>
            <w:vAlign w:val="center"/>
          </w:tcPr>
          <w:p w14:paraId="7F9224EF" w14:textId="4A782370" w:rsidR="00051573" w:rsidRPr="00051573" w:rsidRDefault="00051573" w:rsidP="00051573">
            <w:pPr>
              <w:jc w:val="center"/>
              <w:rPr>
                <w:rFonts w:ascii="Times New Roman" w:eastAsia="Times New Roman" w:hAnsi="Times New Roman" w:cs="Times New Roman"/>
                <w:b/>
                <w:sz w:val="20"/>
                <w:szCs w:val="18"/>
                <w:lang w:eastAsia="en-US"/>
              </w:rPr>
            </w:pPr>
            <w:r w:rsidRPr="00051573">
              <w:rPr>
                <w:rFonts w:ascii="Times New Roman" w:hAnsi="Times New Roman" w:cs="Times New Roman"/>
                <w:b/>
                <w:sz w:val="20"/>
                <w:szCs w:val="18"/>
              </w:rPr>
              <w:t>96,6*</w:t>
            </w:r>
          </w:p>
        </w:tc>
        <w:tc>
          <w:tcPr>
            <w:tcW w:w="1068" w:type="dxa"/>
            <w:tcBorders>
              <w:top w:val="nil"/>
              <w:left w:val="nil"/>
              <w:bottom w:val="single" w:sz="4" w:space="0" w:color="auto"/>
              <w:right w:val="single" w:sz="4" w:space="0" w:color="auto"/>
            </w:tcBorders>
            <w:shd w:val="clear" w:color="auto" w:fill="auto"/>
            <w:noWrap/>
            <w:vAlign w:val="center"/>
          </w:tcPr>
          <w:p w14:paraId="249FEC26" w14:textId="1FCE1C3B" w:rsidR="00051573" w:rsidRPr="00051573" w:rsidRDefault="00051573" w:rsidP="00051573">
            <w:pPr>
              <w:jc w:val="center"/>
              <w:rPr>
                <w:rFonts w:ascii="Times New Roman" w:eastAsia="Times New Roman" w:hAnsi="Times New Roman" w:cs="Times New Roman"/>
                <w:b/>
                <w:sz w:val="20"/>
                <w:szCs w:val="18"/>
                <w:lang w:eastAsia="en-US"/>
              </w:rPr>
            </w:pPr>
            <w:r w:rsidRPr="00051573">
              <w:rPr>
                <w:rFonts w:ascii="Times New Roman" w:hAnsi="Times New Roman" w:cs="Times New Roman"/>
                <w:b/>
                <w:sz w:val="20"/>
                <w:szCs w:val="18"/>
              </w:rPr>
              <w:t>103,7</w:t>
            </w:r>
          </w:p>
        </w:tc>
        <w:tc>
          <w:tcPr>
            <w:tcW w:w="818" w:type="dxa"/>
            <w:tcBorders>
              <w:top w:val="nil"/>
              <w:left w:val="nil"/>
              <w:bottom w:val="single" w:sz="4" w:space="0" w:color="auto"/>
              <w:right w:val="single" w:sz="4" w:space="0" w:color="auto"/>
            </w:tcBorders>
            <w:shd w:val="clear" w:color="auto" w:fill="auto"/>
            <w:noWrap/>
            <w:vAlign w:val="center"/>
          </w:tcPr>
          <w:p w14:paraId="26332315" w14:textId="2C10198B" w:rsidR="00051573" w:rsidRPr="00051573" w:rsidRDefault="00051573" w:rsidP="00051573">
            <w:pPr>
              <w:jc w:val="center"/>
              <w:rPr>
                <w:rFonts w:ascii="Times New Roman" w:eastAsia="Times New Roman" w:hAnsi="Times New Roman" w:cs="Times New Roman"/>
                <w:b/>
                <w:color w:val="000000"/>
                <w:sz w:val="20"/>
                <w:szCs w:val="18"/>
              </w:rPr>
            </w:pPr>
            <w:r w:rsidRPr="00051573">
              <w:rPr>
                <w:rFonts w:ascii="Times New Roman" w:hAnsi="Times New Roman" w:cs="Times New Roman"/>
                <w:b/>
                <w:color w:val="000000"/>
                <w:sz w:val="20"/>
                <w:szCs w:val="18"/>
              </w:rPr>
              <w:t>106,1</w:t>
            </w:r>
          </w:p>
        </w:tc>
        <w:tc>
          <w:tcPr>
            <w:tcW w:w="818" w:type="dxa"/>
            <w:tcBorders>
              <w:top w:val="nil"/>
              <w:left w:val="nil"/>
              <w:bottom w:val="single" w:sz="4" w:space="0" w:color="auto"/>
              <w:right w:val="single" w:sz="4" w:space="0" w:color="auto"/>
            </w:tcBorders>
            <w:shd w:val="clear" w:color="auto" w:fill="auto"/>
          </w:tcPr>
          <w:p w14:paraId="147CB75F" w14:textId="77777777" w:rsidR="00051573" w:rsidRPr="00051573" w:rsidRDefault="00051573" w:rsidP="00051573">
            <w:pPr>
              <w:jc w:val="center"/>
              <w:rPr>
                <w:rFonts w:ascii="Times New Roman" w:hAnsi="Times New Roman" w:cs="Times New Roman"/>
                <w:b/>
                <w:color w:val="000000"/>
                <w:sz w:val="20"/>
                <w:szCs w:val="18"/>
              </w:rPr>
            </w:pPr>
          </w:p>
          <w:p w14:paraId="26DDC3C8" w14:textId="0F936E24" w:rsidR="00051573" w:rsidRPr="00051573" w:rsidRDefault="00051573" w:rsidP="00051573">
            <w:pPr>
              <w:jc w:val="center"/>
              <w:rPr>
                <w:rFonts w:ascii="Times New Roman" w:eastAsia="Times New Roman" w:hAnsi="Times New Roman" w:cs="Times New Roman"/>
                <w:b/>
                <w:color w:val="000000"/>
                <w:sz w:val="20"/>
                <w:szCs w:val="18"/>
              </w:rPr>
            </w:pPr>
            <w:r w:rsidRPr="00051573">
              <w:rPr>
                <w:rFonts w:ascii="Times New Roman" w:hAnsi="Times New Roman" w:cs="Times New Roman"/>
                <w:b/>
                <w:color w:val="000000"/>
                <w:sz w:val="20"/>
                <w:szCs w:val="18"/>
              </w:rPr>
              <w:t>108,7</w:t>
            </w:r>
          </w:p>
        </w:tc>
      </w:tr>
      <w:tr w:rsidR="00051573" w:rsidRPr="00921D7E" w14:paraId="67D1EA21" w14:textId="77777777" w:rsidTr="00921D7E">
        <w:trPr>
          <w:trHeight w:val="345"/>
          <w:jc w:val="center"/>
        </w:trPr>
        <w:tc>
          <w:tcPr>
            <w:tcW w:w="5183" w:type="dxa"/>
            <w:tcBorders>
              <w:top w:val="nil"/>
              <w:left w:val="single" w:sz="4" w:space="0" w:color="auto"/>
              <w:bottom w:val="single" w:sz="4" w:space="0" w:color="auto"/>
              <w:right w:val="single" w:sz="4" w:space="0" w:color="auto"/>
            </w:tcBorders>
            <w:shd w:val="clear" w:color="auto" w:fill="auto"/>
            <w:vAlign w:val="center"/>
          </w:tcPr>
          <w:p w14:paraId="0E8AA357" w14:textId="5B8CCE48" w:rsidR="00051573" w:rsidRPr="00921D7E" w:rsidRDefault="00051573" w:rsidP="00051573">
            <w:pPr>
              <w:rPr>
                <w:rFonts w:ascii="Times New Roman" w:eastAsia="Times New Roman" w:hAnsi="Times New Roman" w:cs="Times New Roman"/>
                <w:i/>
                <w:sz w:val="20"/>
                <w:szCs w:val="18"/>
              </w:rPr>
            </w:pPr>
            <w:r w:rsidRPr="00921D7E">
              <w:rPr>
                <w:rFonts w:ascii="Times New Roman" w:eastAsia="Times New Roman" w:hAnsi="Times New Roman" w:cs="Times New Roman"/>
                <w:b/>
                <w:color w:val="000000"/>
                <w:sz w:val="20"/>
                <w:szCs w:val="18"/>
              </w:rPr>
              <w:t>Transportlīdzekļa ekspluatācijas nodoklis</w:t>
            </w:r>
            <w:r w:rsidRPr="00921D7E">
              <w:rPr>
                <w:rFonts w:ascii="Times New Roman" w:eastAsia="Times New Roman" w:hAnsi="Times New Roman" w:cs="Times New Roman"/>
                <w:color w:val="000000"/>
                <w:sz w:val="20"/>
                <w:szCs w:val="18"/>
              </w:rPr>
              <w:t xml:space="preserve"> </w:t>
            </w:r>
            <w:r w:rsidRPr="00921D7E">
              <w:rPr>
                <w:rFonts w:ascii="Times New Roman" w:eastAsia="Times New Roman" w:hAnsi="Times New Roman" w:cs="Times New Roman"/>
                <w:sz w:val="20"/>
                <w:szCs w:val="18"/>
              </w:rPr>
              <w:t xml:space="preserve">saskaņā ar </w:t>
            </w:r>
            <w:r>
              <w:rPr>
                <w:rFonts w:ascii="Times New Roman" w:eastAsia="Times New Roman" w:hAnsi="Times New Roman" w:cs="Times New Roman"/>
                <w:iCs/>
                <w:color w:val="000000"/>
                <w:sz w:val="20"/>
                <w:szCs w:val="20"/>
              </w:rPr>
              <w:t>VTBIL 2020., 2021. un 2022.gadam</w:t>
            </w:r>
            <w:r w:rsidRPr="00921D7E">
              <w:rPr>
                <w:rFonts w:ascii="Times New Roman" w:eastAsia="Times New Roman" w:hAnsi="Times New Roman" w:cs="Times New Roman"/>
                <w:color w:val="000000"/>
                <w:sz w:val="20"/>
                <w:szCs w:val="18"/>
              </w:rPr>
              <w:t xml:space="preserve"> </w:t>
            </w:r>
            <w:r>
              <w:rPr>
                <w:rFonts w:ascii="Times New Roman" w:eastAsia="Times New Roman" w:hAnsi="Times New Roman" w:cs="Times New Roman"/>
                <w:color w:val="000000"/>
                <w:sz w:val="20"/>
                <w:szCs w:val="18"/>
              </w:rPr>
              <w:t xml:space="preserve">, </w:t>
            </w:r>
            <w:r w:rsidRPr="00921D7E">
              <w:rPr>
                <w:rFonts w:ascii="Times New Roman" w:eastAsia="Times New Roman" w:hAnsi="Times New Roman" w:cs="Times New Roman"/>
                <w:color w:val="000000"/>
                <w:sz w:val="20"/>
                <w:szCs w:val="18"/>
              </w:rPr>
              <w:t>milj. </w:t>
            </w:r>
            <w:r w:rsidRPr="00921D7E">
              <w:rPr>
                <w:rFonts w:ascii="Times New Roman" w:eastAsia="Times New Roman" w:hAnsi="Times New Roman" w:cs="Times New Roman"/>
                <w:i/>
                <w:color w:val="000000"/>
                <w:sz w:val="20"/>
                <w:szCs w:val="18"/>
              </w:rPr>
              <w:t>euro</w:t>
            </w:r>
          </w:p>
        </w:tc>
        <w:tc>
          <w:tcPr>
            <w:tcW w:w="1055" w:type="dxa"/>
            <w:tcBorders>
              <w:top w:val="nil"/>
              <w:left w:val="nil"/>
              <w:bottom w:val="single" w:sz="4" w:space="0" w:color="auto"/>
              <w:right w:val="single" w:sz="4" w:space="0" w:color="auto"/>
            </w:tcBorders>
            <w:shd w:val="clear" w:color="auto" w:fill="auto"/>
            <w:noWrap/>
            <w:vAlign w:val="center"/>
          </w:tcPr>
          <w:p w14:paraId="77A8EA6A" w14:textId="4399F213" w:rsidR="00051573" w:rsidRPr="00051573" w:rsidRDefault="00051573" w:rsidP="00051573">
            <w:pPr>
              <w:jc w:val="center"/>
              <w:rPr>
                <w:rFonts w:ascii="Times New Roman" w:eastAsia="Times New Roman" w:hAnsi="Times New Roman" w:cs="Times New Roman"/>
                <w:b/>
                <w:sz w:val="20"/>
                <w:szCs w:val="18"/>
                <w:lang w:eastAsia="en-US"/>
              </w:rPr>
            </w:pPr>
            <w:r w:rsidRPr="00051573">
              <w:rPr>
                <w:rFonts w:ascii="Times New Roman" w:hAnsi="Times New Roman" w:cs="Times New Roman"/>
                <w:b/>
                <w:sz w:val="20"/>
                <w:szCs w:val="18"/>
              </w:rPr>
              <w:t>101,1</w:t>
            </w:r>
          </w:p>
        </w:tc>
        <w:tc>
          <w:tcPr>
            <w:tcW w:w="1068" w:type="dxa"/>
            <w:tcBorders>
              <w:top w:val="nil"/>
              <w:left w:val="nil"/>
              <w:bottom w:val="single" w:sz="4" w:space="0" w:color="auto"/>
              <w:right w:val="single" w:sz="4" w:space="0" w:color="auto"/>
            </w:tcBorders>
            <w:shd w:val="clear" w:color="auto" w:fill="auto"/>
            <w:noWrap/>
            <w:vAlign w:val="center"/>
          </w:tcPr>
          <w:p w14:paraId="2635CBFC" w14:textId="0E7FDED6" w:rsidR="00051573" w:rsidRPr="00051573" w:rsidRDefault="00051573" w:rsidP="00051573">
            <w:pPr>
              <w:jc w:val="center"/>
              <w:rPr>
                <w:rFonts w:ascii="Times New Roman" w:eastAsia="Times New Roman" w:hAnsi="Times New Roman" w:cs="Times New Roman"/>
                <w:b/>
                <w:sz w:val="20"/>
                <w:szCs w:val="18"/>
                <w:lang w:eastAsia="en-US"/>
              </w:rPr>
            </w:pPr>
            <w:r w:rsidRPr="00051573">
              <w:rPr>
                <w:rFonts w:ascii="Times New Roman" w:hAnsi="Times New Roman" w:cs="Times New Roman"/>
                <w:b/>
                <w:sz w:val="20"/>
                <w:szCs w:val="18"/>
              </w:rPr>
              <w:t>104,3</w:t>
            </w:r>
          </w:p>
        </w:tc>
        <w:tc>
          <w:tcPr>
            <w:tcW w:w="818" w:type="dxa"/>
            <w:tcBorders>
              <w:top w:val="nil"/>
              <w:left w:val="nil"/>
              <w:bottom w:val="single" w:sz="4" w:space="0" w:color="auto"/>
              <w:right w:val="single" w:sz="4" w:space="0" w:color="auto"/>
            </w:tcBorders>
            <w:shd w:val="clear" w:color="auto" w:fill="auto"/>
            <w:noWrap/>
            <w:vAlign w:val="center"/>
          </w:tcPr>
          <w:p w14:paraId="78DF568A" w14:textId="0D2C7AA3" w:rsidR="00051573" w:rsidRPr="00051573" w:rsidRDefault="00051573" w:rsidP="00051573">
            <w:pPr>
              <w:jc w:val="center"/>
              <w:rPr>
                <w:rFonts w:ascii="Times New Roman" w:eastAsia="Times New Roman" w:hAnsi="Times New Roman" w:cs="Times New Roman"/>
                <w:b/>
                <w:sz w:val="20"/>
                <w:szCs w:val="18"/>
                <w:lang w:eastAsia="en-US"/>
              </w:rPr>
            </w:pPr>
            <w:r w:rsidRPr="00051573">
              <w:rPr>
                <w:rFonts w:ascii="Times New Roman" w:hAnsi="Times New Roman" w:cs="Times New Roman"/>
                <w:b/>
                <w:sz w:val="20"/>
                <w:szCs w:val="18"/>
              </w:rPr>
              <w:t>108,1</w:t>
            </w:r>
          </w:p>
        </w:tc>
        <w:tc>
          <w:tcPr>
            <w:tcW w:w="818" w:type="dxa"/>
            <w:tcBorders>
              <w:top w:val="nil"/>
              <w:left w:val="nil"/>
              <w:bottom w:val="single" w:sz="4" w:space="0" w:color="auto"/>
              <w:right w:val="single" w:sz="4" w:space="0" w:color="auto"/>
            </w:tcBorders>
            <w:vAlign w:val="center"/>
          </w:tcPr>
          <w:p w14:paraId="2B07DDBA" w14:textId="2ECEFD0F" w:rsidR="00051573" w:rsidRPr="00051573" w:rsidRDefault="00051573" w:rsidP="00051573">
            <w:pPr>
              <w:jc w:val="center"/>
              <w:rPr>
                <w:rFonts w:ascii="Times New Roman" w:eastAsia="Times New Roman" w:hAnsi="Times New Roman" w:cs="Times New Roman"/>
                <w:b/>
                <w:sz w:val="20"/>
                <w:szCs w:val="18"/>
                <w:lang w:eastAsia="en-US"/>
              </w:rPr>
            </w:pPr>
            <w:r w:rsidRPr="00051573">
              <w:rPr>
                <w:rFonts w:ascii="Times New Roman" w:hAnsi="Times New Roman" w:cs="Times New Roman"/>
                <w:b/>
                <w:sz w:val="20"/>
                <w:szCs w:val="18"/>
              </w:rPr>
              <w:t>-</w:t>
            </w:r>
          </w:p>
        </w:tc>
      </w:tr>
      <w:tr w:rsidR="00051573" w:rsidRPr="00921D7E" w14:paraId="1AE0B2A9" w14:textId="77777777" w:rsidTr="00921D7E">
        <w:trPr>
          <w:trHeight w:val="345"/>
          <w:jc w:val="center"/>
        </w:trPr>
        <w:tc>
          <w:tcPr>
            <w:tcW w:w="5183" w:type="dxa"/>
            <w:tcBorders>
              <w:top w:val="nil"/>
              <w:left w:val="single" w:sz="4" w:space="0" w:color="auto"/>
              <w:bottom w:val="single" w:sz="4" w:space="0" w:color="auto"/>
              <w:right w:val="single" w:sz="4" w:space="0" w:color="auto"/>
            </w:tcBorders>
            <w:shd w:val="clear" w:color="auto" w:fill="auto"/>
            <w:vAlign w:val="center"/>
            <w:hideMark/>
          </w:tcPr>
          <w:p w14:paraId="7B0FF1B7" w14:textId="66F56188" w:rsidR="00051573" w:rsidRPr="00921D7E" w:rsidRDefault="00051573" w:rsidP="00051573">
            <w:pPr>
              <w:rPr>
                <w:rFonts w:ascii="Times New Roman" w:eastAsia="Times New Roman" w:hAnsi="Times New Roman" w:cs="Times New Roman"/>
                <w:i/>
                <w:color w:val="000000"/>
                <w:sz w:val="20"/>
                <w:szCs w:val="18"/>
              </w:rPr>
            </w:pPr>
            <w:r w:rsidRPr="00921D7E">
              <w:rPr>
                <w:rFonts w:ascii="Times New Roman" w:eastAsia="Times New Roman" w:hAnsi="Times New Roman" w:cs="Times New Roman"/>
                <w:i/>
                <w:color w:val="000000"/>
                <w:sz w:val="20"/>
                <w:szCs w:val="18"/>
              </w:rPr>
              <w:t xml:space="preserve">pieaugums, salīdzinot ar </w:t>
            </w:r>
            <w:r>
              <w:rPr>
                <w:rFonts w:ascii="Times New Roman" w:eastAsia="Times New Roman" w:hAnsi="Times New Roman" w:cs="Times New Roman"/>
                <w:iCs/>
                <w:color w:val="000000"/>
                <w:sz w:val="20"/>
                <w:szCs w:val="20"/>
              </w:rPr>
              <w:t>VTBIL 2020., 2021. un 2022.gadam</w:t>
            </w:r>
            <w:r w:rsidRPr="00921D7E">
              <w:rPr>
                <w:rFonts w:ascii="Times New Roman" w:eastAsia="Times New Roman" w:hAnsi="Times New Roman" w:cs="Times New Roman"/>
                <w:i/>
                <w:color w:val="000000"/>
                <w:sz w:val="20"/>
                <w:szCs w:val="18"/>
              </w:rPr>
              <w:t xml:space="preserve">, </w:t>
            </w:r>
            <w:r w:rsidRPr="00921D7E">
              <w:rPr>
                <w:rFonts w:ascii="Times New Roman" w:eastAsia="Times New Roman" w:hAnsi="Times New Roman" w:cs="Times New Roman"/>
                <w:color w:val="000000"/>
                <w:sz w:val="20"/>
                <w:szCs w:val="18"/>
              </w:rPr>
              <w:t>milj.</w:t>
            </w:r>
            <w:r w:rsidRPr="00921D7E">
              <w:rPr>
                <w:rFonts w:ascii="Times New Roman" w:eastAsia="Times New Roman" w:hAnsi="Times New Roman" w:cs="Times New Roman"/>
                <w:i/>
                <w:color w:val="000000"/>
                <w:sz w:val="20"/>
                <w:szCs w:val="18"/>
              </w:rPr>
              <w:t> euro</w:t>
            </w:r>
          </w:p>
        </w:tc>
        <w:tc>
          <w:tcPr>
            <w:tcW w:w="1055" w:type="dxa"/>
            <w:tcBorders>
              <w:top w:val="nil"/>
              <w:left w:val="nil"/>
              <w:bottom w:val="single" w:sz="4" w:space="0" w:color="auto"/>
              <w:right w:val="single" w:sz="4" w:space="0" w:color="auto"/>
            </w:tcBorders>
            <w:shd w:val="clear" w:color="auto" w:fill="auto"/>
            <w:noWrap/>
            <w:vAlign w:val="center"/>
            <w:hideMark/>
          </w:tcPr>
          <w:p w14:paraId="2DB8F1BE" w14:textId="010DA8C4" w:rsidR="00051573" w:rsidRPr="00051573" w:rsidRDefault="00051573" w:rsidP="00051573">
            <w:pPr>
              <w:jc w:val="center"/>
              <w:rPr>
                <w:rFonts w:ascii="Times New Roman" w:eastAsia="Times New Roman" w:hAnsi="Times New Roman" w:cs="Times New Roman"/>
                <w:sz w:val="20"/>
                <w:szCs w:val="18"/>
              </w:rPr>
            </w:pPr>
            <w:r w:rsidRPr="00051573">
              <w:rPr>
                <w:rFonts w:ascii="Times New Roman" w:hAnsi="Times New Roman" w:cs="Times New Roman"/>
                <w:sz w:val="20"/>
                <w:szCs w:val="18"/>
              </w:rPr>
              <w:t>-4,4</w:t>
            </w:r>
          </w:p>
        </w:tc>
        <w:tc>
          <w:tcPr>
            <w:tcW w:w="1068" w:type="dxa"/>
            <w:tcBorders>
              <w:top w:val="nil"/>
              <w:left w:val="nil"/>
              <w:bottom w:val="single" w:sz="4" w:space="0" w:color="auto"/>
              <w:right w:val="single" w:sz="4" w:space="0" w:color="auto"/>
            </w:tcBorders>
            <w:shd w:val="clear" w:color="auto" w:fill="auto"/>
            <w:noWrap/>
            <w:vAlign w:val="center"/>
            <w:hideMark/>
          </w:tcPr>
          <w:p w14:paraId="2B1ECE08" w14:textId="79B10D50" w:rsidR="00051573" w:rsidRPr="00051573" w:rsidRDefault="00051573" w:rsidP="00051573">
            <w:pPr>
              <w:jc w:val="center"/>
              <w:rPr>
                <w:rFonts w:ascii="Times New Roman" w:eastAsia="Times New Roman" w:hAnsi="Times New Roman" w:cs="Times New Roman"/>
                <w:sz w:val="20"/>
                <w:szCs w:val="18"/>
              </w:rPr>
            </w:pPr>
            <w:r w:rsidRPr="00051573">
              <w:rPr>
                <w:rFonts w:ascii="Times New Roman" w:hAnsi="Times New Roman" w:cs="Times New Roman"/>
                <w:sz w:val="20"/>
                <w:szCs w:val="18"/>
              </w:rPr>
              <w:t>-0,6</w:t>
            </w:r>
          </w:p>
        </w:tc>
        <w:tc>
          <w:tcPr>
            <w:tcW w:w="818" w:type="dxa"/>
            <w:tcBorders>
              <w:top w:val="nil"/>
              <w:left w:val="nil"/>
              <w:bottom w:val="single" w:sz="4" w:space="0" w:color="auto"/>
              <w:right w:val="single" w:sz="4" w:space="0" w:color="auto"/>
            </w:tcBorders>
            <w:shd w:val="clear" w:color="auto" w:fill="auto"/>
            <w:noWrap/>
            <w:vAlign w:val="center"/>
            <w:hideMark/>
          </w:tcPr>
          <w:p w14:paraId="57D2D1BC" w14:textId="1A87EE43" w:rsidR="00051573" w:rsidRPr="00051573" w:rsidRDefault="00051573" w:rsidP="00051573">
            <w:pPr>
              <w:jc w:val="center"/>
              <w:rPr>
                <w:rFonts w:ascii="Times New Roman" w:eastAsia="Times New Roman" w:hAnsi="Times New Roman" w:cs="Times New Roman"/>
                <w:sz w:val="20"/>
                <w:szCs w:val="18"/>
              </w:rPr>
            </w:pPr>
            <w:r w:rsidRPr="00051573">
              <w:rPr>
                <w:rFonts w:ascii="Times New Roman" w:hAnsi="Times New Roman" w:cs="Times New Roman"/>
                <w:sz w:val="20"/>
                <w:szCs w:val="18"/>
              </w:rPr>
              <w:t>-2,0</w:t>
            </w:r>
          </w:p>
        </w:tc>
        <w:tc>
          <w:tcPr>
            <w:tcW w:w="818" w:type="dxa"/>
            <w:tcBorders>
              <w:top w:val="nil"/>
              <w:left w:val="nil"/>
              <w:bottom w:val="single" w:sz="4" w:space="0" w:color="auto"/>
              <w:right w:val="single" w:sz="4" w:space="0" w:color="auto"/>
            </w:tcBorders>
            <w:shd w:val="clear" w:color="auto" w:fill="auto"/>
          </w:tcPr>
          <w:p w14:paraId="4DC5086A" w14:textId="14798443" w:rsidR="00051573" w:rsidRPr="00051573" w:rsidRDefault="00051573" w:rsidP="00051573">
            <w:pPr>
              <w:jc w:val="center"/>
              <w:rPr>
                <w:rFonts w:ascii="Times New Roman" w:eastAsia="Times New Roman" w:hAnsi="Times New Roman" w:cs="Times New Roman"/>
                <w:sz w:val="20"/>
                <w:szCs w:val="18"/>
              </w:rPr>
            </w:pPr>
            <w:r w:rsidRPr="00051573">
              <w:rPr>
                <w:rFonts w:ascii="Times New Roman" w:hAnsi="Times New Roman" w:cs="Times New Roman"/>
                <w:sz w:val="20"/>
                <w:szCs w:val="18"/>
              </w:rPr>
              <w:t>-</w:t>
            </w:r>
          </w:p>
        </w:tc>
      </w:tr>
      <w:tr w:rsidR="00051573" w:rsidRPr="00921D7E" w14:paraId="624D0C46" w14:textId="77777777" w:rsidTr="00921D7E">
        <w:trPr>
          <w:trHeight w:val="326"/>
          <w:jc w:val="center"/>
        </w:trPr>
        <w:tc>
          <w:tcPr>
            <w:tcW w:w="5183" w:type="dxa"/>
            <w:tcBorders>
              <w:top w:val="nil"/>
              <w:left w:val="single" w:sz="4" w:space="0" w:color="auto"/>
              <w:bottom w:val="single" w:sz="4" w:space="0" w:color="auto"/>
              <w:right w:val="single" w:sz="4" w:space="0" w:color="auto"/>
            </w:tcBorders>
            <w:shd w:val="clear" w:color="auto" w:fill="auto"/>
            <w:vAlign w:val="center"/>
            <w:hideMark/>
          </w:tcPr>
          <w:p w14:paraId="3932C34E" w14:textId="6D8A66C1" w:rsidR="00051573" w:rsidRPr="00921D7E" w:rsidRDefault="00051573" w:rsidP="00051573">
            <w:pPr>
              <w:rPr>
                <w:rFonts w:ascii="Times New Roman" w:eastAsia="Times New Roman" w:hAnsi="Times New Roman" w:cs="Times New Roman"/>
                <w:i/>
                <w:color w:val="000000"/>
                <w:sz w:val="20"/>
                <w:szCs w:val="18"/>
                <w:highlight w:val="yellow"/>
              </w:rPr>
            </w:pPr>
            <w:r w:rsidRPr="00921D7E">
              <w:rPr>
                <w:rFonts w:ascii="Times New Roman" w:eastAsia="Times New Roman" w:hAnsi="Times New Roman" w:cs="Times New Roman"/>
                <w:i/>
                <w:color w:val="000000"/>
                <w:sz w:val="20"/>
                <w:szCs w:val="18"/>
              </w:rPr>
              <w:t xml:space="preserve">pieaugums, salīdzinot ar </w:t>
            </w:r>
            <w:r>
              <w:rPr>
                <w:rFonts w:ascii="Times New Roman" w:eastAsia="Times New Roman" w:hAnsi="Times New Roman" w:cs="Times New Roman"/>
                <w:iCs/>
                <w:color w:val="000000"/>
                <w:sz w:val="20"/>
                <w:szCs w:val="20"/>
              </w:rPr>
              <w:t>VTBIL 2020., 2021. un 2022.gadam</w:t>
            </w:r>
            <w:r>
              <w:rPr>
                <w:rFonts w:ascii="Times New Roman" w:eastAsia="Times New Roman" w:hAnsi="Times New Roman" w:cs="Times New Roman"/>
                <w:i/>
                <w:color w:val="000000"/>
                <w:sz w:val="20"/>
                <w:szCs w:val="18"/>
              </w:rPr>
              <w:t xml:space="preserve">, </w:t>
            </w:r>
            <w:r w:rsidRPr="00921D7E">
              <w:rPr>
                <w:rFonts w:ascii="Times New Roman" w:eastAsia="Times New Roman" w:hAnsi="Times New Roman" w:cs="Times New Roman"/>
                <w:i/>
                <w:color w:val="000000"/>
                <w:sz w:val="20"/>
                <w:szCs w:val="18"/>
              </w:rPr>
              <w:t>%</w:t>
            </w:r>
          </w:p>
        </w:tc>
        <w:tc>
          <w:tcPr>
            <w:tcW w:w="1055" w:type="dxa"/>
            <w:tcBorders>
              <w:top w:val="nil"/>
              <w:left w:val="nil"/>
              <w:bottom w:val="single" w:sz="4" w:space="0" w:color="auto"/>
              <w:right w:val="single" w:sz="4" w:space="0" w:color="auto"/>
            </w:tcBorders>
            <w:shd w:val="clear" w:color="auto" w:fill="auto"/>
            <w:noWrap/>
            <w:vAlign w:val="center"/>
            <w:hideMark/>
          </w:tcPr>
          <w:p w14:paraId="6B7B4CDE" w14:textId="1C86C07E" w:rsidR="00051573" w:rsidRPr="00051573" w:rsidRDefault="00051573" w:rsidP="00051573">
            <w:pPr>
              <w:jc w:val="center"/>
              <w:rPr>
                <w:rFonts w:ascii="Times New Roman" w:eastAsia="Times New Roman" w:hAnsi="Times New Roman" w:cs="Times New Roman"/>
                <w:i/>
                <w:sz w:val="20"/>
                <w:szCs w:val="18"/>
              </w:rPr>
            </w:pPr>
            <w:r w:rsidRPr="00051573">
              <w:rPr>
                <w:rFonts w:ascii="Times New Roman" w:hAnsi="Times New Roman" w:cs="Times New Roman"/>
                <w:i/>
                <w:sz w:val="20"/>
                <w:szCs w:val="18"/>
              </w:rPr>
              <w:t>-4,4</w:t>
            </w:r>
          </w:p>
        </w:tc>
        <w:tc>
          <w:tcPr>
            <w:tcW w:w="1068" w:type="dxa"/>
            <w:tcBorders>
              <w:top w:val="nil"/>
              <w:left w:val="nil"/>
              <w:bottom w:val="single" w:sz="4" w:space="0" w:color="auto"/>
              <w:right w:val="single" w:sz="4" w:space="0" w:color="auto"/>
            </w:tcBorders>
            <w:shd w:val="clear" w:color="auto" w:fill="auto"/>
            <w:noWrap/>
            <w:vAlign w:val="center"/>
            <w:hideMark/>
          </w:tcPr>
          <w:p w14:paraId="7440D010" w14:textId="4762881C" w:rsidR="00051573" w:rsidRPr="00051573" w:rsidRDefault="00051573" w:rsidP="00051573">
            <w:pPr>
              <w:jc w:val="center"/>
              <w:rPr>
                <w:rFonts w:ascii="Times New Roman" w:eastAsia="Times New Roman" w:hAnsi="Times New Roman" w:cs="Times New Roman"/>
                <w:i/>
                <w:sz w:val="20"/>
                <w:szCs w:val="18"/>
              </w:rPr>
            </w:pPr>
            <w:r w:rsidRPr="00051573">
              <w:rPr>
                <w:rFonts w:ascii="Times New Roman" w:hAnsi="Times New Roman" w:cs="Times New Roman"/>
                <w:i/>
                <w:sz w:val="20"/>
                <w:szCs w:val="18"/>
              </w:rPr>
              <w:t>-0,6</w:t>
            </w:r>
          </w:p>
        </w:tc>
        <w:tc>
          <w:tcPr>
            <w:tcW w:w="818" w:type="dxa"/>
            <w:tcBorders>
              <w:top w:val="nil"/>
              <w:left w:val="nil"/>
              <w:bottom w:val="single" w:sz="4" w:space="0" w:color="auto"/>
              <w:right w:val="single" w:sz="4" w:space="0" w:color="auto"/>
            </w:tcBorders>
            <w:shd w:val="clear" w:color="auto" w:fill="auto"/>
            <w:noWrap/>
            <w:vAlign w:val="center"/>
            <w:hideMark/>
          </w:tcPr>
          <w:p w14:paraId="757AF9E8" w14:textId="3D9448B0" w:rsidR="00051573" w:rsidRPr="00051573" w:rsidRDefault="00051573" w:rsidP="00051573">
            <w:pPr>
              <w:jc w:val="center"/>
              <w:rPr>
                <w:rFonts w:ascii="Times New Roman" w:eastAsia="Times New Roman" w:hAnsi="Times New Roman" w:cs="Times New Roman"/>
                <w:sz w:val="20"/>
                <w:szCs w:val="18"/>
              </w:rPr>
            </w:pPr>
            <w:r w:rsidRPr="00051573">
              <w:rPr>
                <w:rFonts w:ascii="Times New Roman" w:hAnsi="Times New Roman" w:cs="Times New Roman"/>
                <w:sz w:val="20"/>
                <w:szCs w:val="18"/>
              </w:rPr>
              <w:t>-1,9</w:t>
            </w:r>
          </w:p>
        </w:tc>
        <w:tc>
          <w:tcPr>
            <w:tcW w:w="818" w:type="dxa"/>
            <w:tcBorders>
              <w:top w:val="nil"/>
              <w:left w:val="nil"/>
              <w:bottom w:val="single" w:sz="4" w:space="0" w:color="auto"/>
              <w:right w:val="single" w:sz="4" w:space="0" w:color="auto"/>
            </w:tcBorders>
            <w:shd w:val="clear" w:color="auto" w:fill="auto"/>
          </w:tcPr>
          <w:p w14:paraId="09D2427B" w14:textId="577489F2" w:rsidR="00051573" w:rsidRPr="00051573" w:rsidRDefault="00051573" w:rsidP="00051573">
            <w:pPr>
              <w:jc w:val="center"/>
              <w:rPr>
                <w:rFonts w:ascii="Times New Roman" w:eastAsia="Times New Roman" w:hAnsi="Times New Roman" w:cs="Times New Roman"/>
                <w:sz w:val="20"/>
                <w:szCs w:val="18"/>
              </w:rPr>
            </w:pPr>
            <w:r w:rsidRPr="00051573">
              <w:rPr>
                <w:rFonts w:ascii="Times New Roman" w:hAnsi="Times New Roman" w:cs="Times New Roman"/>
                <w:sz w:val="20"/>
                <w:szCs w:val="18"/>
              </w:rPr>
              <w:t>-</w:t>
            </w:r>
          </w:p>
        </w:tc>
      </w:tr>
      <w:tr w:rsidR="00051573" w:rsidRPr="00921D7E" w14:paraId="4C59F781" w14:textId="77777777" w:rsidTr="00921D7E">
        <w:trPr>
          <w:trHeight w:val="172"/>
          <w:jc w:val="center"/>
        </w:trPr>
        <w:tc>
          <w:tcPr>
            <w:tcW w:w="5183" w:type="dxa"/>
            <w:tcBorders>
              <w:top w:val="nil"/>
              <w:left w:val="single" w:sz="4" w:space="0" w:color="auto"/>
              <w:bottom w:val="single" w:sz="4" w:space="0" w:color="auto"/>
              <w:right w:val="single" w:sz="4" w:space="0" w:color="auto"/>
            </w:tcBorders>
            <w:shd w:val="clear" w:color="auto" w:fill="auto"/>
            <w:noWrap/>
            <w:vAlign w:val="center"/>
            <w:hideMark/>
          </w:tcPr>
          <w:p w14:paraId="40DCBDFC" w14:textId="77777777" w:rsidR="00051573" w:rsidRPr="00921D7E" w:rsidRDefault="00051573" w:rsidP="00051573">
            <w:pPr>
              <w:rPr>
                <w:rFonts w:ascii="Times New Roman" w:eastAsia="Times New Roman" w:hAnsi="Times New Roman" w:cs="Times New Roman"/>
                <w:color w:val="000000"/>
                <w:sz w:val="20"/>
                <w:szCs w:val="18"/>
                <w:highlight w:val="yellow"/>
              </w:rPr>
            </w:pPr>
            <w:r w:rsidRPr="00921D7E">
              <w:rPr>
                <w:rFonts w:ascii="Times New Roman" w:eastAsia="Times New Roman" w:hAnsi="Times New Roman" w:cs="Times New Roman"/>
                <w:color w:val="000000"/>
                <w:sz w:val="20"/>
                <w:szCs w:val="18"/>
              </w:rPr>
              <w:t>% no IKP</w:t>
            </w:r>
          </w:p>
        </w:tc>
        <w:tc>
          <w:tcPr>
            <w:tcW w:w="1055" w:type="dxa"/>
            <w:tcBorders>
              <w:top w:val="nil"/>
              <w:left w:val="nil"/>
              <w:bottom w:val="single" w:sz="4" w:space="0" w:color="auto"/>
              <w:right w:val="single" w:sz="4" w:space="0" w:color="auto"/>
            </w:tcBorders>
            <w:shd w:val="clear" w:color="auto" w:fill="auto"/>
            <w:noWrap/>
          </w:tcPr>
          <w:p w14:paraId="6F713D3E" w14:textId="30306095" w:rsidR="00051573" w:rsidRPr="00051573" w:rsidRDefault="00051573" w:rsidP="00051573">
            <w:pPr>
              <w:jc w:val="center"/>
              <w:rPr>
                <w:rFonts w:ascii="Times New Roman" w:eastAsia="Times New Roman" w:hAnsi="Times New Roman" w:cs="Times New Roman"/>
                <w:i/>
                <w:sz w:val="20"/>
                <w:szCs w:val="18"/>
              </w:rPr>
            </w:pPr>
            <w:r w:rsidRPr="00051573">
              <w:rPr>
                <w:rFonts w:ascii="Times New Roman" w:hAnsi="Times New Roman" w:cs="Times New Roman"/>
                <w:i/>
                <w:sz w:val="20"/>
                <w:szCs w:val="18"/>
              </w:rPr>
              <w:t>0,3</w:t>
            </w:r>
          </w:p>
        </w:tc>
        <w:tc>
          <w:tcPr>
            <w:tcW w:w="1068" w:type="dxa"/>
            <w:tcBorders>
              <w:top w:val="nil"/>
              <w:left w:val="nil"/>
              <w:bottom w:val="single" w:sz="4" w:space="0" w:color="auto"/>
              <w:right w:val="single" w:sz="4" w:space="0" w:color="auto"/>
            </w:tcBorders>
            <w:shd w:val="clear" w:color="auto" w:fill="auto"/>
            <w:noWrap/>
          </w:tcPr>
          <w:p w14:paraId="6647656A" w14:textId="58722395" w:rsidR="00051573" w:rsidRPr="00051573" w:rsidRDefault="00051573" w:rsidP="00051573">
            <w:pPr>
              <w:jc w:val="center"/>
              <w:rPr>
                <w:rFonts w:ascii="Times New Roman" w:eastAsia="Times New Roman" w:hAnsi="Times New Roman" w:cs="Times New Roman"/>
                <w:i/>
                <w:sz w:val="20"/>
                <w:szCs w:val="18"/>
              </w:rPr>
            </w:pPr>
            <w:r w:rsidRPr="00051573">
              <w:rPr>
                <w:rFonts w:ascii="Times New Roman" w:hAnsi="Times New Roman" w:cs="Times New Roman"/>
                <w:i/>
                <w:sz w:val="20"/>
                <w:szCs w:val="18"/>
              </w:rPr>
              <w:t>0,4</w:t>
            </w:r>
          </w:p>
        </w:tc>
        <w:tc>
          <w:tcPr>
            <w:tcW w:w="818" w:type="dxa"/>
            <w:tcBorders>
              <w:top w:val="nil"/>
              <w:left w:val="nil"/>
              <w:bottom w:val="single" w:sz="4" w:space="0" w:color="auto"/>
              <w:right w:val="single" w:sz="4" w:space="0" w:color="auto"/>
            </w:tcBorders>
            <w:shd w:val="clear" w:color="auto" w:fill="auto"/>
            <w:noWrap/>
          </w:tcPr>
          <w:p w14:paraId="5C0A70F1" w14:textId="0163D80C" w:rsidR="00051573" w:rsidRPr="00051573" w:rsidRDefault="00051573" w:rsidP="00051573">
            <w:pPr>
              <w:jc w:val="center"/>
              <w:rPr>
                <w:rFonts w:ascii="Times New Roman" w:eastAsia="Times New Roman" w:hAnsi="Times New Roman" w:cs="Times New Roman"/>
                <w:i/>
                <w:sz w:val="20"/>
                <w:szCs w:val="18"/>
              </w:rPr>
            </w:pPr>
            <w:r w:rsidRPr="00051573">
              <w:rPr>
                <w:rFonts w:ascii="Times New Roman" w:hAnsi="Times New Roman" w:cs="Times New Roman"/>
                <w:i/>
                <w:sz w:val="20"/>
                <w:szCs w:val="18"/>
              </w:rPr>
              <w:t>0,3</w:t>
            </w:r>
          </w:p>
        </w:tc>
        <w:tc>
          <w:tcPr>
            <w:tcW w:w="818" w:type="dxa"/>
            <w:tcBorders>
              <w:top w:val="nil"/>
              <w:left w:val="nil"/>
              <w:bottom w:val="single" w:sz="4" w:space="0" w:color="auto"/>
              <w:right w:val="single" w:sz="4" w:space="0" w:color="auto"/>
            </w:tcBorders>
          </w:tcPr>
          <w:p w14:paraId="179BBACD" w14:textId="0B5E6779" w:rsidR="00051573" w:rsidRPr="00051573" w:rsidRDefault="00051573" w:rsidP="00051573">
            <w:pPr>
              <w:jc w:val="center"/>
              <w:rPr>
                <w:rFonts w:ascii="Times New Roman" w:eastAsia="Times New Roman" w:hAnsi="Times New Roman" w:cs="Times New Roman"/>
                <w:i/>
                <w:sz w:val="20"/>
                <w:szCs w:val="18"/>
              </w:rPr>
            </w:pPr>
            <w:r w:rsidRPr="00051573">
              <w:rPr>
                <w:rFonts w:ascii="Times New Roman" w:hAnsi="Times New Roman" w:cs="Times New Roman"/>
                <w:i/>
                <w:sz w:val="20"/>
                <w:szCs w:val="18"/>
              </w:rPr>
              <w:t>0,3</w:t>
            </w:r>
          </w:p>
        </w:tc>
      </w:tr>
    </w:tbl>
    <w:p w14:paraId="3278F013" w14:textId="77777777" w:rsidR="00DB596B" w:rsidRPr="00921D7E" w:rsidRDefault="00DB596B" w:rsidP="00401A5B">
      <w:pPr>
        <w:jc w:val="both"/>
        <w:rPr>
          <w:rFonts w:ascii="Times New Roman" w:eastAsia="Times New Roman" w:hAnsi="Times New Roman" w:cs="Times New Roman"/>
          <w:sz w:val="20"/>
          <w:szCs w:val="20"/>
          <w:lang w:eastAsia="en-US"/>
        </w:rPr>
      </w:pPr>
      <w:r w:rsidRPr="00921D7E">
        <w:rPr>
          <w:rFonts w:ascii="Times New Roman" w:eastAsia="Times New Roman" w:hAnsi="Times New Roman" w:cs="Times New Roman"/>
          <w:sz w:val="20"/>
          <w:szCs w:val="20"/>
          <w:lang w:eastAsia="en-US"/>
        </w:rPr>
        <w:t xml:space="preserve">        *Prognoze</w:t>
      </w:r>
    </w:p>
    <w:p w14:paraId="2A1542B9" w14:textId="66A7236A" w:rsidR="00921D7E" w:rsidRDefault="00921D7E" w:rsidP="00051573">
      <w:pPr>
        <w:jc w:val="both"/>
        <w:rPr>
          <w:rFonts w:ascii="Times New Roman" w:eastAsia="Times New Roman" w:hAnsi="Times New Roman" w:cs="Times New Roman"/>
          <w:b/>
          <w:sz w:val="24"/>
          <w:szCs w:val="20"/>
          <w:lang w:eastAsia="en-US"/>
        </w:rPr>
      </w:pPr>
    </w:p>
    <w:p w14:paraId="35067B24" w14:textId="085F4548" w:rsidR="00DC73D6" w:rsidRDefault="00DC73D6" w:rsidP="00051573">
      <w:pPr>
        <w:jc w:val="both"/>
        <w:rPr>
          <w:rFonts w:ascii="Times New Roman" w:eastAsia="Times New Roman" w:hAnsi="Times New Roman" w:cs="Times New Roman"/>
          <w:b/>
          <w:sz w:val="24"/>
          <w:szCs w:val="20"/>
          <w:lang w:eastAsia="en-US"/>
        </w:rPr>
      </w:pPr>
    </w:p>
    <w:p w14:paraId="49F199F2" w14:textId="1F2C66DA" w:rsidR="00DC73D6" w:rsidRDefault="00DC73D6" w:rsidP="00051573">
      <w:pPr>
        <w:jc w:val="both"/>
        <w:rPr>
          <w:rFonts w:ascii="Times New Roman" w:eastAsia="Times New Roman" w:hAnsi="Times New Roman" w:cs="Times New Roman"/>
          <w:b/>
          <w:sz w:val="24"/>
          <w:szCs w:val="20"/>
          <w:lang w:eastAsia="en-US"/>
        </w:rPr>
      </w:pPr>
    </w:p>
    <w:p w14:paraId="05727238" w14:textId="20B203A1" w:rsidR="00DC73D6" w:rsidRDefault="00DC73D6" w:rsidP="00051573">
      <w:pPr>
        <w:jc w:val="both"/>
        <w:rPr>
          <w:rFonts w:ascii="Times New Roman" w:eastAsia="Times New Roman" w:hAnsi="Times New Roman" w:cs="Times New Roman"/>
          <w:b/>
          <w:sz w:val="24"/>
          <w:szCs w:val="20"/>
          <w:lang w:eastAsia="en-US"/>
        </w:rPr>
      </w:pPr>
    </w:p>
    <w:p w14:paraId="68420B08" w14:textId="77777777" w:rsidR="00DC73D6" w:rsidRDefault="00DC73D6" w:rsidP="00051573">
      <w:pPr>
        <w:jc w:val="both"/>
        <w:rPr>
          <w:rFonts w:ascii="Times New Roman" w:eastAsia="Times New Roman" w:hAnsi="Times New Roman" w:cs="Times New Roman"/>
          <w:b/>
          <w:sz w:val="24"/>
          <w:szCs w:val="20"/>
          <w:lang w:eastAsia="en-US"/>
        </w:rPr>
      </w:pPr>
    </w:p>
    <w:p w14:paraId="5A953A36" w14:textId="5DD15110" w:rsidR="00921D7E" w:rsidRDefault="00921D7E" w:rsidP="00921D7E">
      <w:pPr>
        <w:ind w:firstLine="720"/>
        <w:jc w:val="center"/>
        <w:rPr>
          <w:rFonts w:ascii="Times New Roman" w:eastAsia="Times New Roman" w:hAnsi="Times New Roman" w:cs="Times New Roman"/>
          <w:b/>
          <w:sz w:val="28"/>
          <w:szCs w:val="20"/>
          <w:lang w:eastAsia="en-US"/>
        </w:rPr>
      </w:pPr>
      <w:r w:rsidRPr="00921D7E">
        <w:rPr>
          <w:rFonts w:ascii="Times New Roman" w:eastAsia="Times New Roman" w:hAnsi="Times New Roman" w:cs="Times New Roman"/>
          <w:b/>
          <w:sz w:val="28"/>
          <w:szCs w:val="20"/>
          <w:lang w:eastAsia="en-US"/>
        </w:rPr>
        <w:t xml:space="preserve">Uzņēmumu </w:t>
      </w:r>
      <w:r>
        <w:rPr>
          <w:rFonts w:ascii="Times New Roman" w:eastAsia="Times New Roman" w:hAnsi="Times New Roman" w:cs="Times New Roman"/>
          <w:b/>
          <w:sz w:val="28"/>
          <w:szCs w:val="20"/>
          <w:lang w:eastAsia="en-US"/>
        </w:rPr>
        <w:t>vieglo transportlīdzekļu nodoklis</w:t>
      </w:r>
    </w:p>
    <w:p w14:paraId="421FC621" w14:textId="77777777" w:rsidR="00921D7E" w:rsidRPr="00921D7E" w:rsidRDefault="00921D7E" w:rsidP="00921D7E">
      <w:pPr>
        <w:ind w:firstLine="720"/>
        <w:jc w:val="center"/>
        <w:rPr>
          <w:rFonts w:ascii="Times New Roman" w:eastAsia="Times New Roman" w:hAnsi="Times New Roman" w:cs="Times New Roman"/>
          <w:b/>
          <w:sz w:val="28"/>
          <w:szCs w:val="20"/>
          <w:lang w:eastAsia="en-US"/>
        </w:rPr>
      </w:pPr>
    </w:p>
    <w:p w14:paraId="39FB17E9" w14:textId="56611BCD" w:rsidR="00DB596B" w:rsidRPr="00921D7E" w:rsidRDefault="00DB596B" w:rsidP="00401A5B">
      <w:pPr>
        <w:ind w:firstLine="720"/>
        <w:jc w:val="both"/>
        <w:rPr>
          <w:rFonts w:ascii="Times New Roman" w:eastAsia="Times New Roman" w:hAnsi="Times New Roman" w:cs="Times New Roman"/>
          <w:sz w:val="28"/>
          <w:szCs w:val="20"/>
          <w:lang w:eastAsia="en-US"/>
        </w:rPr>
      </w:pPr>
      <w:r w:rsidRPr="00921D7E">
        <w:rPr>
          <w:rFonts w:ascii="Times New Roman" w:eastAsia="Times New Roman" w:hAnsi="Times New Roman" w:cs="Times New Roman"/>
          <w:sz w:val="28"/>
          <w:szCs w:val="20"/>
          <w:lang w:eastAsia="en-US"/>
        </w:rPr>
        <w:t xml:space="preserve">Uzņēmumu vieglo transportlīdzekļu nodokļa ieņēmumi 2020.gada sešos mēnešos </w:t>
      </w:r>
      <w:r w:rsidR="00921D7E">
        <w:rPr>
          <w:rFonts w:ascii="Times New Roman" w:eastAsia="Times New Roman" w:hAnsi="Times New Roman" w:cs="Times New Roman"/>
          <w:sz w:val="28"/>
          <w:szCs w:val="20"/>
          <w:lang w:eastAsia="en-US"/>
        </w:rPr>
        <w:t>bija</w:t>
      </w:r>
      <w:r w:rsidRPr="00921D7E">
        <w:rPr>
          <w:rFonts w:ascii="Times New Roman" w:eastAsia="Times New Roman" w:hAnsi="Times New Roman" w:cs="Times New Roman"/>
          <w:sz w:val="28"/>
          <w:szCs w:val="20"/>
          <w:lang w:eastAsia="en-US"/>
        </w:rPr>
        <w:t xml:space="preserve"> 10,2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kas salīdzinājumā ar 2019.gada sešiem mēnešiem ir par 0,3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xml:space="preserve"> jeb 3,4% vairāk. Savukārt, ieņēmumi salīdzinājumā ar plānoto sešos mēnešos palielinājušies par 0,2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xml:space="preserve"> jeb 1,8 procentiem. </w:t>
      </w:r>
    </w:p>
    <w:p w14:paraId="70D10D59" w14:textId="2C47010D" w:rsidR="00DB596B" w:rsidRPr="00921D7E" w:rsidRDefault="00DB596B" w:rsidP="00401A5B">
      <w:pPr>
        <w:ind w:firstLine="720"/>
        <w:jc w:val="both"/>
        <w:rPr>
          <w:rFonts w:ascii="Times New Roman" w:eastAsia="Times New Roman" w:hAnsi="Times New Roman" w:cs="Times New Roman"/>
          <w:sz w:val="28"/>
          <w:szCs w:val="20"/>
          <w:lang w:eastAsia="en-US"/>
        </w:rPr>
      </w:pPr>
      <w:r w:rsidRPr="00921D7E">
        <w:rPr>
          <w:rFonts w:ascii="Times New Roman" w:eastAsia="Times New Roman" w:hAnsi="Times New Roman" w:cs="Times New Roman"/>
          <w:sz w:val="28"/>
          <w:szCs w:val="20"/>
          <w:lang w:eastAsia="en-US"/>
        </w:rPr>
        <w:t xml:space="preserve">Saskaņā ar </w:t>
      </w:r>
      <w:r w:rsidR="00921D7E">
        <w:rPr>
          <w:rFonts w:ascii="Times New Roman" w:eastAsia="Times New Roman" w:hAnsi="Times New Roman" w:cs="Times New Roman"/>
          <w:sz w:val="28"/>
          <w:szCs w:val="20"/>
          <w:lang w:eastAsia="en-US"/>
        </w:rPr>
        <w:t>VTBIL</w:t>
      </w:r>
      <w:r w:rsidRPr="00921D7E">
        <w:rPr>
          <w:rFonts w:ascii="Times New Roman" w:eastAsia="Times New Roman" w:hAnsi="Times New Roman" w:cs="Times New Roman"/>
          <w:sz w:val="28"/>
          <w:szCs w:val="24"/>
          <w:lang w:eastAsia="en-US"/>
        </w:rPr>
        <w:t xml:space="preserve"> 2021., 2022. un </w:t>
      </w:r>
      <w:r w:rsidR="00921D7E">
        <w:rPr>
          <w:rFonts w:ascii="Times New Roman" w:eastAsia="Times New Roman" w:hAnsi="Times New Roman" w:cs="Times New Roman"/>
          <w:sz w:val="28"/>
          <w:szCs w:val="20"/>
          <w:lang w:eastAsia="en-US"/>
        </w:rPr>
        <w:t>2023.gadam projektu</w:t>
      </w:r>
      <w:r w:rsidRPr="00921D7E">
        <w:rPr>
          <w:rFonts w:ascii="Times New Roman" w:eastAsia="Times New Roman" w:hAnsi="Times New Roman" w:cs="Times New Roman"/>
          <w:sz w:val="28"/>
          <w:szCs w:val="20"/>
          <w:lang w:eastAsia="en-US"/>
        </w:rPr>
        <w:t xml:space="preserve"> uzņēmumu vieglo transportlīdzekļu nodokļa ieņēmumi 2021., 2022. un 2023.gadā tiek plānoti 23,2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xml:space="preserve"> apmērā ik gadu. Savukārt, 2020.gadā nodoklim prognozēti 21,5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xml:space="preserve"> ieņēmumi.</w:t>
      </w:r>
    </w:p>
    <w:p w14:paraId="1EFA0905" w14:textId="06BE62E6" w:rsidR="00DB596B" w:rsidRPr="00921D7E" w:rsidRDefault="00DB596B" w:rsidP="00401A5B">
      <w:pPr>
        <w:ind w:firstLine="720"/>
        <w:jc w:val="both"/>
        <w:rPr>
          <w:rFonts w:ascii="Times New Roman" w:eastAsia="Times New Roman" w:hAnsi="Times New Roman" w:cs="Times New Roman"/>
          <w:sz w:val="28"/>
          <w:szCs w:val="24"/>
          <w:lang w:eastAsia="en-US"/>
        </w:rPr>
      </w:pPr>
      <w:r w:rsidRPr="00921D7E">
        <w:rPr>
          <w:rFonts w:ascii="Times New Roman" w:eastAsia="Times New Roman" w:hAnsi="Times New Roman" w:cs="Times New Roman"/>
          <w:sz w:val="28"/>
          <w:szCs w:val="20"/>
          <w:lang w:eastAsia="en-US"/>
        </w:rPr>
        <w:t xml:space="preserve">Nosakot uzņēmumu vieglo transportlīdzekļu nodokļa ieņēmumu plānu 2021.– 2023.gadam, tika ņemts vērā komersantu rīcībā esošo vieglo transportlīdzekļu skaits, tā sadalījums, balstoties uz piemērojamām likmēm, kā arī </w:t>
      </w:r>
      <w:r w:rsidRPr="00921D7E">
        <w:rPr>
          <w:rFonts w:ascii="Times New Roman" w:eastAsia="Calibri" w:hAnsi="Times New Roman" w:cs="Times New Roman"/>
          <w:sz w:val="28"/>
          <w:szCs w:val="24"/>
          <w:lang w:eastAsia="en-US"/>
        </w:rPr>
        <w:t>iepriekšējo gadu uzņēmumu vieglo transportlīdzekļu nodokļa ieņēmumu izpildes tendence</w:t>
      </w:r>
      <w:r w:rsidRPr="00921D7E">
        <w:rPr>
          <w:rFonts w:ascii="Times New Roman" w:eastAsia="Times New Roman" w:hAnsi="Times New Roman" w:cs="Times New Roman"/>
          <w:sz w:val="28"/>
          <w:szCs w:val="20"/>
          <w:lang w:eastAsia="en-US"/>
        </w:rPr>
        <w:t>s.</w:t>
      </w:r>
      <w:r w:rsidRPr="00921D7E">
        <w:rPr>
          <w:rFonts w:ascii="Times New Roman" w:eastAsia="Times New Roman" w:hAnsi="Times New Roman" w:cs="Times New Roman"/>
          <w:sz w:val="28"/>
          <w:szCs w:val="24"/>
          <w:lang w:eastAsia="en-US"/>
        </w:rPr>
        <w:t xml:space="preserve"> Tāpat, 2020.gada 22.septembrī </w:t>
      </w:r>
      <w:r w:rsidR="00921D7E">
        <w:rPr>
          <w:rFonts w:ascii="Times New Roman" w:eastAsia="Times New Roman" w:hAnsi="Times New Roman" w:cs="Times New Roman"/>
          <w:sz w:val="28"/>
          <w:szCs w:val="24"/>
          <w:lang w:eastAsia="en-US"/>
        </w:rPr>
        <w:t>MK</w:t>
      </w:r>
      <w:r w:rsidRPr="00921D7E">
        <w:rPr>
          <w:rFonts w:ascii="Times New Roman" w:eastAsia="Times New Roman" w:hAnsi="Times New Roman" w:cs="Times New Roman"/>
          <w:sz w:val="28"/>
          <w:szCs w:val="24"/>
          <w:lang w:eastAsia="en-US"/>
        </w:rPr>
        <w:t xml:space="preserve"> tika atbalstīti pasākumi, kas, sākot ar 2021.gadu, paredz:</w:t>
      </w:r>
    </w:p>
    <w:p w14:paraId="7938B7B1" w14:textId="77777777" w:rsidR="00DB596B" w:rsidRPr="00921D7E" w:rsidRDefault="00DB596B" w:rsidP="00FB2B77">
      <w:pPr>
        <w:numPr>
          <w:ilvl w:val="0"/>
          <w:numId w:val="29"/>
        </w:numPr>
        <w:contextualSpacing/>
        <w:jc w:val="both"/>
        <w:rPr>
          <w:rFonts w:ascii="Times New Roman" w:eastAsia="Times New Roman" w:hAnsi="Times New Roman" w:cs="Times New Roman"/>
          <w:sz w:val="28"/>
          <w:szCs w:val="28"/>
          <w:lang w:eastAsia="en-US"/>
        </w:rPr>
      </w:pPr>
      <w:r w:rsidRPr="00921D7E">
        <w:rPr>
          <w:rFonts w:ascii="Times New Roman" w:eastAsia="Times New Roman" w:hAnsi="Times New Roman" w:cs="Times New Roman"/>
          <w:sz w:val="28"/>
          <w:szCs w:val="28"/>
        </w:rPr>
        <w:t xml:space="preserve">vieglo transportlīdzekļu nodokļa likmes indeksāciju, ņemot vērā inflācijas pieauguma tempu no 2017.gada un uzņēmumu vieglo transportlīdzekļu nodokļa likmes noteikšanu transportlīdzekļiem, kuru motora tilpums pārsniedz 3000 kubikcentimetrus (kopēja fiskālā ietekme 2021., 2022. un 2023.gadā +1,7 milj. </w:t>
      </w:r>
      <w:r w:rsidRPr="00921D7E">
        <w:rPr>
          <w:rFonts w:ascii="Times New Roman" w:eastAsia="Times New Roman" w:hAnsi="Times New Roman" w:cs="Times New Roman"/>
          <w:i/>
          <w:sz w:val="28"/>
          <w:szCs w:val="28"/>
        </w:rPr>
        <w:t>euro</w:t>
      </w:r>
      <w:r w:rsidRPr="00921D7E">
        <w:rPr>
          <w:rFonts w:ascii="Times New Roman" w:eastAsia="Times New Roman" w:hAnsi="Times New Roman" w:cs="Times New Roman"/>
          <w:sz w:val="28"/>
          <w:szCs w:val="28"/>
        </w:rPr>
        <w:t>).</w:t>
      </w:r>
    </w:p>
    <w:p w14:paraId="0FEBE7F5" w14:textId="77777777" w:rsidR="00DB596B" w:rsidRPr="00DB596B" w:rsidRDefault="00DB596B" w:rsidP="00401A5B">
      <w:pPr>
        <w:jc w:val="both"/>
        <w:rPr>
          <w:rFonts w:ascii="Times New Roman" w:eastAsia="Times New Roman" w:hAnsi="Times New Roman" w:cs="Times New Roman"/>
          <w:sz w:val="24"/>
          <w:szCs w:val="20"/>
          <w:highlight w:val="yellow"/>
          <w:lang w:eastAsia="en-US"/>
        </w:rPr>
      </w:pPr>
    </w:p>
    <w:p w14:paraId="682E4FC8" w14:textId="77777777" w:rsidR="00DB596B" w:rsidRPr="00DB596B" w:rsidRDefault="00DB596B" w:rsidP="00921D7E">
      <w:pPr>
        <w:ind w:left="720"/>
        <w:jc w:val="right"/>
        <w:rPr>
          <w:rFonts w:ascii="Times New Roman" w:eastAsia="Times New Roman" w:hAnsi="Times New Roman" w:cs="Times New Roman"/>
          <w:b/>
          <w:i/>
          <w:sz w:val="24"/>
          <w:szCs w:val="20"/>
          <w:lang w:eastAsia="en-US"/>
        </w:rPr>
      </w:pPr>
      <w:r w:rsidRPr="00921D7E">
        <w:rPr>
          <w:rFonts w:ascii="Times New Roman" w:eastAsia="Times New Roman" w:hAnsi="Times New Roman" w:cs="Times New Roman"/>
          <w:b/>
          <w:i/>
          <w:sz w:val="24"/>
          <w:szCs w:val="20"/>
          <w:lang w:eastAsia="en-US"/>
        </w:rPr>
        <w:t>3.12.tabula. Uzņēmumu vieglo transportlīdzekļu nodokļa ieņēmumi</w:t>
      </w:r>
    </w:p>
    <w:tbl>
      <w:tblPr>
        <w:tblW w:w="9076" w:type="dxa"/>
        <w:jc w:val="center"/>
        <w:tblLook w:val="04A0" w:firstRow="1" w:lastRow="0" w:firstColumn="1" w:lastColumn="0" w:noHBand="0" w:noVBand="1"/>
      </w:tblPr>
      <w:tblGrid>
        <w:gridCol w:w="5261"/>
        <w:gridCol w:w="1071"/>
        <w:gridCol w:w="1084"/>
        <w:gridCol w:w="830"/>
        <w:gridCol w:w="830"/>
      </w:tblGrid>
      <w:tr w:rsidR="00DB596B" w:rsidRPr="00921D7E" w14:paraId="608B4584" w14:textId="77777777" w:rsidTr="00921D7E">
        <w:trPr>
          <w:trHeight w:val="146"/>
          <w:tblHeader/>
          <w:jc w:val="center"/>
        </w:trPr>
        <w:tc>
          <w:tcPr>
            <w:tcW w:w="52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3B7AB2F" w14:textId="77777777" w:rsidR="00DB596B" w:rsidRPr="00921D7E" w:rsidRDefault="00DB596B" w:rsidP="00401A5B">
            <w:pPr>
              <w:jc w:val="center"/>
              <w:rPr>
                <w:rFonts w:ascii="Times New Roman" w:eastAsia="Times New Roman" w:hAnsi="Times New Roman" w:cs="Times New Roman"/>
                <w:color w:val="000000"/>
                <w:sz w:val="20"/>
                <w:szCs w:val="20"/>
                <w:highlight w:val="yellow"/>
              </w:rPr>
            </w:pPr>
          </w:p>
        </w:tc>
        <w:tc>
          <w:tcPr>
            <w:tcW w:w="1071"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482F09C2" w14:textId="77777777" w:rsidR="00DB596B" w:rsidRPr="00921D7E" w:rsidRDefault="00DB596B" w:rsidP="00401A5B">
            <w:pPr>
              <w:jc w:val="center"/>
              <w:rPr>
                <w:rFonts w:ascii="Times New Roman" w:eastAsia="Times New Roman" w:hAnsi="Times New Roman" w:cs="Times New Roman"/>
                <w:b/>
                <w:color w:val="000000"/>
                <w:sz w:val="20"/>
                <w:szCs w:val="20"/>
              </w:rPr>
            </w:pPr>
            <w:r w:rsidRPr="00921D7E">
              <w:rPr>
                <w:rFonts w:ascii="Times New Roman" w:eastAsia="Times New Roman" w:hAnsi="Times New Roman" w:cs="Times New Roman"/>
                <w:b/>
                <w:color w:val="000000"/>
                <w:sz w:val="20"/>
                <w:szCs w:val="20"/>
              </w:rPr>
              <w:t>2020</w:t>
            </w:r>
          </w:p>
        </w:tc>
        <w:tc>
          <w:tcPr>
            <w:tcW w:w="1084"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4F962F97" w14:textId="77777777" w:rsidR="00DB596B" w:rsidRPr="00921D7E" w:rsidRDefault="00DB596B" w:rsidP="00401A5B">
            <w:pPr>
              <w:jc w:val="center"/>
              <w:rPr>
                <w:rFonts w:ascii="Times New Roman" w:eastAsia="Times New Roman" w:hAnsi="Times New Roman" w:cs="Times New Roman"/>
                <w:b/>
                <w:color w:val="000000"/>
                <w:sz w:val="20"/>
                <w:szCs w:val="20"/>
              </w:rPr>
            </w:pPr>
            <w:r w:rsidRPr="00921D7E">
              <w:rPr>
                <w:rFonts w:ascii="Times New Roman" w:eastAsia="Times New Roman" w:hAnsi="Times New Roman" w:cs="Times New Roman"/>
                <w:b/>
                <w:color w:val="000000"/>
                <w:sz w:val="20"/>
                <w:szCs w:val="20"/>
              </w:rPr>
              <w:t>2021</w:t>
            </w:r>
          </w:p>
        </w:tc>
        <w:tc>
          <w:tcPr>
            <w:tcW w:w="83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FACA512" w14:textId="77777777" w:rsidR="00DB596B" w:rsidRPr="00921D7E" w:rsidRDefault="00DB596B" w:rsidP="00401A5B">
            <w:pPr>
              <w:jc w:val="center"/>
              <w:rPr>
                <w:rFonts w:ascii="Times New Roman" w:eastAsia="Times New Roman" w:hAnsi="Times New Roman" w:cs="Times New Roman"/>
                <w:b/>
                <w:color w:val="000000"/>
                <w:sz w:val="20"/>
                <w:szCs w:val="20"/>
              </w:rPr>
            </w:pPr>
            <w:r w:rsidRPr="00921D7E">
              <w:rPr>
                <w:rFonts w:ascii="Times New Roman" w:eastAsia="Times New Roman" w:hAnsi="Times New Roman" w:cs="Times New Roman"/>
                <w:b/>
                <w:color w:val="000000"/>
                <w:sz w:val="20"/>
                <w:szCs w:val="20"/>
              </w:rPr>
              <w:t>2022</w:t>
            </w:r>
          </w:p>
        </w:tc>
        <w:tc>
          <w:tcPr>
            <w:tcW w:w="830" w:type="dxa"/>
            <w:tcBorders>
              <w:top w:val="single" w:sz="4" w:space="0" w:color="auto"/>
              <w:left w:val="nil"/>
              <w:bottom w:val="single" w:sz="4" w:space="0" w:color="auto"/>
              <w:right w:val="single" w:sz="4" w:space="0" w:color="auto"/>
            </w:tcBorders>
            <w:shd w:val="clear" w:color="auto" w:fill="DEEAF6" w:themeFill="accent1" w:themeFillTint="33"/>
          </w:tcPr>
          <w:p w14:paraId="2D458EFD" w14:textId="77777777" w:rsidR="00DB596B" w:rsidRPr="00921D7E" w:rsidRDefault="00DB596B" w:rsidP="00401A5B">
            <w:pPr>
              <w:jc w:val="center"/>
              <w:rPr>
                <w:rFonts w:ascii="Times New Roman" w:eastAsia="Times New Roman" w:hAnsi="Times New Roman" w:cs="Times New Roman"/>
                <w:b/>
                <w:color w:val="000000"/>
                <w:sz w:val="20"/>
                <w:szCs w:val="20"/>
              </w:rPr>
            </w:pPr>
            <w:r w:rsidRPr="00921D7E">
              <w:rPr>
                <w:rFonts w:ascii="Times New Roman" w:eastAsia="Times New Roman" w:hAnsi="Times New Roman" w:cs="Times New Roman"/>
                <w:b/>
                <w:color w:val="000000"/>
                <w:sz w:val="20"/>
                <w:szCs w:val="20"/>
              </w:rPr>
              <w:t>2023</w:t>
            </w:r>
          </w:p>
        </w:tc>
      </w:tr>
      <w:tr w:rsidR="00DB596B" w:rsidRPr="00921D7E" w14:paraId="08726773" w14:textId="77777777" w:rsidTr="00921D7E">
        <w:trPr>
          <w:trHeight w:val="138"/>
          <w:jc w:val="center"/>
        </w:trPr>
        <w:tc>
          <w:tcPr>
            <w:tcW w:w="5261" w:type="dxa"/>
            <w:tcBorders>
              <w:top w:val="nil"/>
              <w:left w:val="single" w:sz="4" w:space="0" w:color="auto"/>
              <w:bottom w:val="single" w:sz="4" w:space="0" w:color="auto"/>
              <w:right w:val="single" w:sz="4" w:space="0" w:color="auto"/>
            </w:tcBorders>
            <w:shd w:val="clear" w:color="auto" w:fill="auto"/>
            <w:vAlign w:val="center"/>
            <w:hideMark/>
          </w:tcPr>
          <w:p w14:paraId="59F6CF57" w14:textId="582F2685" w:rsidR="00DB596B" w:rsidRPr="00921D7E" w:rsidRDefault="00DB596B" w:rsidP="00921D7E">
            <w:pPr>
              <w:rPr>
                <w:rFonts w:ascii="Times New Roman" w:eastAsia="Times New Roman" w:hAnsi="Times New Roman" w:cs="Times New Roman"/>
                <w:color w:val="000000"/>
                <w:sz w:val="20"/>
                <w:szCs w:val="20"/>
                <w:highlight w:val="yellow"/>
              </w:rPr>
            </w:pPr>
            <w:r w:rsidRPr="00921D7E">
              <w:rPr>
                <w:rFonts w:ascii="Times New Roman" w:eastAsia="Times New Roman" w:hAnsi="Times New Roman" w:cs="Times New Roman"/>
                <w:b/>
                <w:color w:val="000000"/>
                <w:sz w:val="20"/>
                <w:szCs w:val="20"/>
              </w:rPr>
              <w:t>Uzņēmumu vieglo transportlīdzekļu nodoklis</w:t>
            </w:r>
            <w:r w:rsidRPr="00921D7E">
              <w:rPr>
                <w:rFonts w:ascii="Times New Roman" w:eastAsia="Times New Roman" w:hAnsi="Times New Roman" w:cs="Times New Roman"/>
                <w:color w:val="000000"/>
                <w:sz w:val="20"/>
                <w:szCs w:val="20"/>
              </w:rPr>
              <w:t xml:space="preserve"> saskaņā ar </w:t>
            </w:r>
            <w:r w:rsidR="00921D7E">
              <w:rPr>
                <w:rFonts w:ascii="Times New Roman" w:eastAsia="Times New Roman" w:hAnsi="Times New Roman" w:cs="Times New Roman"/>
                <w:color w:val="000000"/>
                <w:sz w:val="20"/>
                <w:szCs w:val="20"/>
              </w:rPr>
              <w:t>VTBIL 2021., 2022. un 2023.gadam projektu</w:t>
            </w:r>
            <w:r w:rsidRPr="00921D7E">
              <w:rPr>
                <w:rFonts w:ascii="Times New Roman" w:eastAsia="Times New Roman" w:hAnsi="Times New Roman" w:cs="Times New Roman"/>
                <w:color w:val="000000"/>
                <w:sz w:val="20"/>
                <w:szCs w:val="20"/>
              </w:rPr>
              <w:t>, milj. </w:t>
            </w:r>
            <w:r w:rsidRPr="00921D7E">
              <w:rPr>
                <w:rFonts w:ascii="Times New Roman" w:eastAsia="Times New Roman" w:hAnsi="Times New Roman" w:cs="Times New Roman"/>
                <w:i/>
                <w:color w:val="000000"/>
                <w:sz w:val="20"/>
                <w:szCs w:val="20"/>
              </w:rPr>
              <w:t>euro</w:t>
            </w:r>
          </w:p>
        </w:tc>
        <w:tc>
          <w:tcPr>
            <w:tcW w:w="1071" w:type="dxa"/>
            <w:tcBorders>
              <w:top w:val="nil"/>
              <w:left w:val="nil"/>
              <w:bottom w:val="single" w:sz="4" w:space="0" w:color="auto"/>
              <w:right w:val="single" w:sz="4" w:space="0" w:color="auto"/>
            </w:tcBorders>
            <w:shd w:val="clear" w:color="auto" w:fill="auto"/>
            <w:noWrap/>
            <w:vAlign w:val="center"/>
          </w:tcPr>
          <w:p w14:paraId="6C7D1624" w14:textId="77777777" w:rsidR="00DB596B" w:rsidRPr="00921D7E" w:rsidRDefault="00DB596B" w:rsidP="00401A5B">
            <w:pPr>
              <w:jc w:val="center"/>
              <w:rPr>
                <w:rFonts w:ascii="Times New Roman" w:eastAsia="Times New Roman" w:hAnsi="Times New Roman" w:cs="Times New Roman"/>
                <w:b/>
                <w:sz w:val="20"/>
                <w:szCs w:val="20"/>
                <w:lang w:eastAsia="en-US"/>
              </w:rPr>
            </w:pPr>
            <w:r w:rsidRPr="00921D7E">
              <w:rPr>
                <w:rFonts w:ascii="Times New Roman" w:eastAsia="Times New Roman" w:hAnsi="Times New Roman" w:cs="Times New Roman"/>
                <w:b/>
                <w:sz w:val="20"/>
                <w:szCs w:val="20"/>
                <w:lang w:eastAsia="en-US"/>
              </w:rPr>
              <w:t>21,5*</w:t>
            </w:r>
          </w:p>
        </w:tc>
        <w:tc>
          <w:tcPr>
            <w:tcW w:w="1084" w:type="dxa"/>
            <w:tcBorders>
              <w:top w:val="nil"/>
              <w:left w:val="nil"/>
              <w:bottom w:val="single" w:sz="4" w:space="0" w:color="auto"/>
              <w:right w:val="single" w:sz="4" w:space="0" w:color="auto"/>
            </w:tcBorders>
            <w:shd w:val="clear" w:color="auto" w:fill="auto"/>
            <w:noWrap/>
            <w:vAlign w:val="center"/>
          </w:tcPr>
          <w:p w14:paraId="15C7659B" w14:textId="77777777" w:rsidR="00DB596B" w:rsidRPr="00921D7E" w:rsidRDefault="00DB596B" w:rsidP="00401A5B">
            <w:pPr>
              <w:jc w:val="center"/>
              <w:rPr>
                <w:rFonts w:ascii="Times New Roman" w:eastAsia="Times New Roman" w:hAnsi="Times New Roman" w:cs="Times New Roman"/>
                <w:b/>
                <w:sz w:val="20"/>
                <w:szCs w:val="20"/>
                <w:lang w:eastAsia="en-US"/>
              </w:rPr>
            </w:pPr>
            <w:r w:rsidRPr="00921D7E">
              <w:rPr>
                <w:rFonts w:ascii="Times New Roman" w:eastAsia="Times New Roman" w:hAnsi="Times New Roman" w:cs="Times New Roman"/>
                <w:b/>
                <w:sz w:val="20"/>
                <w:szCs w:val="20"/>
                <w:lang w:eastAsia="en-US"/>
              </w:rPr>
              <w:t>23,2</w:t>
            </w:r>
          </w:p>
        </w:tc>
        <w:tc>
          <w:tcPr>
            <w:tcW w:w="830" w:type="dxa"/>
            <w:tcBorders>
              <w:top w:val="nil"/>
              <w:left w:val="nil"/>
              <w:bottom w:val="single" w:sz="4" w:space="0" w:color="auto"/>
              <w:right w:val="single" w:sz="4" w:space="0" w:color="auto"/>
            </w:tcBorders>
            <w:shd w:val="clear" w:color="auto" w:fill="auto"/>
            <w:noWrap/>
            <w:vAlign w:val="center"/>
          </w:tcPr>
          <w:p w14:paraId="1D91AEF9" w14:textId="77777777" w:rsidR="00DB596B" w:rsidRPr="00921D7E" w:rsidRDefault="00DB596B" w:rsidP="00401A5B">
            <w:pPr>
              <w:jc w:val="center"/>
              <w:rPr>
                <w:rFonts w:ascii="Times New Roman" w:eastAsia="Times New Roman" w:hAnsi="Times New Roman" w:cs="Times New Roman"/>
                <w:b/>
                <w:color w:val="000000"/>
                <w:sz w:val="20"/>
                <w:szCs w:val="20"/>
              </w:rPr>
            </w:pPr>
            <w:r w:rsidRPr="00921D7E">
              <w:rPr>
                <w:rFonts w:ascii="Times New Roman" w:eastAsia="Times New Roman" w:hAnsi="Times New Roman" w:cs="Times New Roman"/>
                <w:b/>
                <w:color w:val="000000"/>
                <w:sz w:val="20"/>
                <w:szCs w:val="20"/>
              </w:rPr>
              <w:t>23,2</w:t>
            </w:r>
          </w:p>
        </w:tc>
        <w:tc>
          <w:tcPr>
            <w:tcW w:w="830" w:type="dxa"/>
            <w:tcBorders>
              <w:top w:val="nil"/>
              <w:left w:val="nil"/>
              <w:bottom w:val="single" w:sz="4" w:space="0" w:color="auto"/>
              <w:right w:val="single" w:sz="4" w:space="0" w:color="auto"/>
            </w:tcBorders>
          </w:tcPr>
          <w:p w14:paraId="78F23AC1" w14:textId="77777777" w:rsidR="00DB596B" w:rsidRPr="00921D7E" w:rsidRDefault="00DB596B" w:rsidP="00401A5B">
            <w:pPr>
              <w:jc w:val="center"/>
              <w:rPr>
                <w:rFonts w:ascii="Times New Roman" w:eastAsia="Times New Roman" w:hAnsi="Times New Roman" w:cs="Times New Roman"/>
                <w:b/>
                <w:color w:val="000000"/>
                <w:sz w:val="20"/>
                <w:szCs w:val="20"/>
              </w:rPr>
            </w:pPr>
          </w:p>
          <w:p w14:paraId="7FC4F612" w14:textId="77777777" w:rsidR="00DB596B" w:rsidRPr="00921D7E" w:rsidRDefault="00DB596B" w:rsidP="00401A5B">
            <w:pPr>
              <w:jc w:val="center"/>
              <w:rPr>
                <w:rFonts w:ascii="Times New Roman" w:eastAsia="Times New Roman" w:hAnsi="Times New Roman" w:cs="Times New Roman"/>
                <w:b/>
                <w:color w:val="000000"/>
                <w:sz w:val="20"/>
                <w:szCs w:val="20"/>
              </w:rPr>
            </w:pPr>
            <w:r w:rsidRPr="00921D7E">
              <w:rPr>
                <w:rFonts w:ascii="Times New Roman" w:eastAsia="Times New Roman" w:hAnsi="Times New Roman" w:cs="Times New Roman"/>
                <w:b/>
                <w:color w:val="000000"/>
                <w:sz w:val="20"/>
                <w:szCs w:val="20"/>
              </w:rPr>
              <w:t>23,2</w:t>
            </w:r>
          </w:p>
          <w:p w14:paraId="42210966" w14:textId="77777777" w:rsidR="00DB596B" w:rsidRPr="00921D7E" w:rsidRDefault="00DB596B" w:rsidP="00401A5B">
            <w:pPr>
              <w:jc w:val="center"/>
              <w:rPr>
                <w:rFonts w:ascii="Times New Roman" w:eastAsia="Times New Roman" w:hAnsi="Times New Roman" w:cs="Times New Roman"/>
                <w:b/>
                <w:color w:val="000000"/>
                <w:sz w:val="20"/>
                <w:szCs w:val="20"/>
              </w:rPr>
            </w:pPr>
          </w:p>
        </w:tc>
      </w:tr>
      <w:tr w:rsidR="00DB596B" w:rsidRPr="00921D7E" w14:paraId="06E5BCB0" w14:textId="77777777" w:rsidTr="00921D7E">
        <w:trPr>
          <w:trHeight w:val="343"/>
          <w:jc w:val="center"/>
        </w:trPr>
        <w:tc>
          <w:tcPr>
            <w:tcW w:w="5261" w:type="dxa"/>
            <w:tcBorders>
              <w:top w:val="nil"/>
              <w:left w:val="single" w:sz="4" w:space="0" w:color="auto"/>
              <w:bottom w:val="single" w:sz="4" w:space="0" w:color="auto"/>
              <w:right w:val="single" w:sz="4" w:space="0" w:color="auto"/>
            </w:tcBorders>
            <w:shd w:val="clear" w:color="auto" w:fill="auto"/>
            <w:vAlign w:val="center"/>
          </w:tcPr>
          <w:p w14:paraId="27F74EA4" w14:textId="393C4F67" w:rsidR="00DB596B" w:rsidRPr="00921D7E" w:rsidRDefault="00DB596B" w:rsidP="00921D7E">
            <w:pPr>
              <w:rPr>
                <w:rFonts w:ascii="Times New Roman" w:eastAsia="Times New Roman" w:hAnsi="Times New Roman" w:cs="Times New Roman"/>
                <w:i/>
                <w:sz w:val="20"/>
                <w:szCs w:val="20"/>
              </w:rPr>
            </w:pPr>
            <w:r w:rsidRPr="00921D7E">
              <w:rPr>
                <w:rFonts w:ascii="Times New Roman" w:eastAsia="Times New Roman" w:hAnsi="Times New Roman" w:cs="Times New Roman"/>
                <w:b/>
                <w:color w:val="000000"/>
                <w:sz w:val="20"/>
                <w:szCs w:val="20"/>
              </w:rPr>
              <w:t>Uzņēmumu vieglo transportlīdzekļu nodoklis</w:t>
            </w:r>
            <w:r w:rsidRPr="00921D7E">
              <w:rPr>
                <w:rFonts w:ascii="Times New Roman" w:eastAsia="Times New Roman" w:hAnsi="Times New Roman" w:cs="Times New Roman"/>
                <w:color w:val="000000"/>
                <w:sz w:val="20"/>
                <w:szCs w:val="20"/>
              </w:rPr>
              <w:t xml:space="preserve"> </w:t>
            </w:r>
            <w:r w:rsidRPr="00921D7E">
              <w:rPr>
                <w:rFonts w:ascii="Times New Roman" w:eastAsia="Times New Roman" w:hAnsi="Times New Roman" w:cs="Times New Roman"/>
                <w:sz w:val="20"/>
                <w:szCs w:val="20"/>
              </w:rPr>
              <w:t xml:space="preserve">saskaņā ar </w:t>
            </w:r>
            <w:r w:rsidR="00921D7E">
              <w:rPr>
                <w:rFonts w:ascii="Times New Roman" w:eastAsia="Times New Roman" w:hAnsi="Times New Roman" w:cs="Times New Roman"/>
                <w:sz w:val="20"/>
                <w:szCs w:val="20"/>
              </w:rPr>
              <w:t>VTBIL</w:t>
            </w:r>
            <w:r w:rsidRPr="00921D7E">
              <w:rPr>
                <w:rFonts w:ascii="Times New Roman" w:eastAsia="Times New Roman" w:hAnsi="Times New Roman" w:cs="Times New Roman"/>
                <w:sz w:val="20"/>
                <w:szCs w:val="20"/>
              </w:rPr>
              <w:t xml:space="preserve"> 2020., 2021. un 2022.gadam</w:t>
            </w:r>
            <w:r w:rsidRPr="00921D7E">
              <w:rPr>
                <w:rFonts w:ascii="Times New Roman" w:eastAsia="Times New Roman" w:hAnsi="Times New Roman" w:cs="Times New Roman"/>
                <w:color w:val="000000"/>
                <w:sz w:val="20"/>
                <w:szCs w:val="20"/>
              </w:rPr>
              <w:t>, milj. </w:t>
            </w:r>
            <w:r w:rsidRPr="00921D7E">
              <w:rPr>
                <w:rFonts w:ascii="Times New Roman" w:eastAsia="Times New Roman" w:hAnsi="Times New Roman" w:cs="Times New Roman"/>
                <w:i/>
                <w:color w:val="000000"/>
                <w:sz w:val="20"/>
                <w:szCs w:val="20"/>
              </w:rPr>
              <w:t>euro</w:t>
            </w:r>
          </w:p>
        </w:tc>
        <w:tc>
          <w:tcPr>
            <w:tcW w:w="1071" w:type="dxa"/>
            <w:tcBorders>
              <w:top w:val="nil"/>
              <w:left w:val="nil"/>
              <w:bottom w:val="single" w:sz="4" w:space="0" w:color="auto"/>
              <w:right w:val="single" w:sz="4" w:space="0" w:color="auto"/>
            </w:tcBorders>
            <w:shd w:val="clear" w:color="auto" w:fill="auto"/>
            <w:noWrap/>
            <w:vAlign w:val="center"/>
          </w:tcPr>
          <w:p w14:paraId="5590B554" w14:textId="77777777" w:rsidR="00DB596B" w:rsidRPr="00921D7E" w:rsidRDefault="00DB596B" w:rsidP="00401A5B">
            <w:pPr>
              <w:jc w:val="center"/>
              <w:rPr>
                <w:rFonts w:ascii="Times New Roman" w:eastAsia="Times New Roman" w:hAnsi="Times New Roman" w:cs="Times New Roman"/>
                <w:b/>
                <w:sz w:val="20"/>
                <w:szCs w:val="20"/>
                <w:lang w:eastAsia="en-US"/>
              </w:rPr>
            </w:pPr>
            <w:r w:rsidRPr="00921D7E">
              <w:rPr>
                <w:rFonts w:ascii="Times New Roman" w:eastAsia="Times New Roman" w:hAnsi="Times New Roman" w:cs="Times New Roman"/>
                <w:b/>
                <w:sz w:val="20"/>
                <w:szCs w:val="20"/>
                <w:lang w:eastAsia="en-US"/>
              </w:rPr>
              <w:t>21,5</w:t>
            </w:r>
          </w:p>
        </w:tc>
        <w:tc>
          <w:tcPr>
            <w:tcW w:w="1084" w:type="dxa"/>
            <w:tcBorders>
              <w:top w:val="nil"/>
              <w:left w:val="nil"/>
              <w:bottom w:val="single" w:sz="4" w:space="0" w:color="auto"/>
              <w:right w:val="single" w:sz="4" w:space="0" w:color="auto"/>
            </w:tcBorders>
            <w:shd w:val="clear" w:color="auto" w:fill="auto"/>
            <w:noWrap/>
            <w:vAlign w:val="center"/>
          </w:tcPr>
          <w:p w14:paraId="2B8949DC" w14:textId="77777777" w:rsidR="00DB596B" w:rsidRPr="00921D7E" w:rsidRDefault="00DB596B" w:rsidP="00401A5B">
            <w:pPr>
              <w:jc w:val="center"/>
              <w:rPr>
                <w:rFonts w:ascii="Times New Roman" w:eastAsia="Times New Roman" w:hAnsi="Times New Roman" w:cs="Times New Roman"/>
                <w:b/>
                <w:sz w:val="20"/>
                <w:szCs w:val="20"/>
                <w:lang w:eastAsia="en-US"/>
              </w:rPr>
            </w:pPr>
            <w:r w:rsidRPr="00921D7E">
              <w:rPr>
                <w:rFonts w:ascii="Times New Roman" w:eastAsia="Times New Roman" w:hAnsi="Times New Roman" w:cs="Times New Roman"/>
                <w:b/>
                <w:sz w:val="20"/>
                <w:szCs w:val="20"/>
                <w:lang w:eastAsia="en-US"/>
              </w:rPr>
              <w:t>21,5</w:t>
            </w:r>
          </w:p>
        </w:tc>
        <w:tc>
          <w:tcPr>
            <w:tcW w:w="830" w:type="dxa"/>
            <w:tcBorders>
              <w:top w:val="nil"/>
              <w:left w:val="nil"/>
              <w:bottom w:val="single" w:sz="4" w:space="0" w:color="auto"/>
              <w:right w:val="single" w:sz="4" w:space="0" w:color="auto"/>
            </w:tcBorders>
            <w:shd w:val="clear" w:color="auto" w:fill="auto"/>
            <w:noWrap/>
            <w:vAlign w:val="center"/>
          </w:tcPr>
          <w:p w14:paraId="4CE33771" w14:textId="77777777" w:rsidR="00DB596B" w:rsidRPr="00921D7E" w:rsidRDefault="00DB596B" w:rsidP="00401A5B">
            <w:pPr>
              <w:jc w:val="center"/>
              <w:rPr>
                <w:rFonts w:ascii="Times New Roman" w:eastAsia="Times New Roman" w:hAnsi="Times New Roman" w:cs="Times New Roman"/>
                <w:b/>
                <w:sz w:val="20"/>
                <w:szCs w:val="20"/>
                <w:lang w:eastAsia="en-US"/>
              </w:rPr>
            </w:pPr>
            <w:r w:rsidRPr="00921D7E">
              <w:rPr>
                <w:rFonts w:ascii="Times New Roman" w:eastAsia="Times New Roman" w:hAnsi="Times New Roman" w:cs="Times New Roman"/>
                <w:b/>
                <w:sz w:val="20"/>
                <w:szCs w:val="20"/>
                <w:lang w:eastAsia="en-US"/>
              </w:rPr>
              <w:t>21,5</w:t>
            </w:r>
          </w:p>
        </w:tc>
        <w:tc>
          <w:tcPr>
            <w:tcW w:w="830" w:type="dxa"/>
            <w:tcBorders>
              <w:top w:val="nil"/>
              <w:left w:val="nil"/>
              <w:bottom w:val="single" w:sz="4" w:space="0" w:color="auto"/>
              <w:right w:val="single" w:sz="4" w:space="0" w:color="auto"/>
            </w:tcBorders>
            <w:vAlign w:val="center"/>
          </w:tcPr>
          <w:p w14:paraId="43D2BE92" w14:textId="77777777" w:rsidR="00DB596B" w:rsidRPr="00921D7E" w:rsidRDefault="00DB596B" w:rsidP="00401A5B">
            <w:pPr>
              <w:jc w:val="center"/>
              <w:rPr>
                <w:rFonts w:ascii="Times New Roman" w:eastAsia="Times New Roman" w:hAnsi="Times New Roman" w:cs="Times New Roman"/>
                <w:b/>
                <w:sz w:val="20"/>
                <w:szCs w:val="20"/>
                <w:lang w:eastAsia="en-US"/>
              </w:rPr>
            </w:pPr>
            <w:r w:rsidRPr="00921D7E">
              <w:rPr>
                <w:rFonts w:ascii="Times New Roman" w:eastAsia="Times New Roman" w:hAnsi="Times New Roman" w:cs="Times New Roman"/>
                <w:b/>
                <w:sz w:val="20"/>
                <w:szCs w:val="20"/>
                <w:lang w:eastAsia="en-US"/>
              </w:rPr>
              <w:t>-</w:t>
            </w:r>
          </w:p>
        </w:tc>
      </w:tr>
      <w:tr w:rsidR="00DB596B" w:rsidRPr="00921D7E" w14:paraId="1954A592" w14:textId="77777777" w:rsidTr="00921D7E">
        <w:trPr>
          <w:trHeight w:val="343"/>
          <w:jc w:val="center"/>
        </w:trPr>
        <w:tc>
          <w:tcPr>
            <w:tcW w:w="5261" w:type="dxa"/>
            <w:tcBorders>
              <w:top w:val="nil"/>
              <w:left w:val="single" w:sz="4" w:space="0" w:color="auto"/>
              <w:bottom w:val="single" w:sz="4" w:space="0" w:color="auto"/>
              <w:right w:val="single" w:sz="4" w:space="0" w:color="auto"/>
            </w:tcBorders>
            <w:shd w:val="clear" w:color="auto" w:fill="auto"/>
            <w:vAlign w:val="center"/>
            <w:hideMark/>
          </w:tcPr>
          <w:p w14:paraId="368450A7" w14:textId="759403D9" w:rsidR="00DB596B" w:rsidRPr="00921D7E" w:rsidRDefault="00DB596B" w:rsidP="00921D7E">
            <w:pPr>
              <w:rPr>
                <w:rFonts w:ascii="Times New Roman" w:eastAsia="Times New Roman" w:hAnsi="Times New Roman" w:cs="Times New Roman"/>
                <w:i/>
                <w:color w:val="000000"/>
                <w:sz w:val="20"/>
                <w:szCs w:val="20"/>
              </w:rPr>
            </w:pPr>
            <w:r w:rsidRPr="00921D7E">
              <w:rPr>
                <w:rFonts w:ascii="Times New Roman" w:eastAsia="Times New Roman" w:hAnsi="Times New Roman" w:cs="Times New Roman"/>
                <w:i/>
                <w:color w:val="000000"/>
                <w:sz w:val="20"/>
                <w:szCs w:val="20"/>
              </w:rPr>
              <w:t xml:space="preserve">pieaugums, salīdzinot ar </w:t>
            </w:r>
            <w:r w:rsidR="00921D7E">
              <w:rPr>
                <w:rFonts w:ascii="Times New Roman" w:eastAsia="Times New Roman" w:hAnsi="Times New Roman" w:cs="Times New Roman"/>
                <w:i/>
                <w:color w:val="000000"/>
                <w:sz w:val="20"/>
                <w:szCs w:val="20"/>
              </w:rPr>
              <w:t>VTBIL 2020., 2021. un 2022.gadam</w:t>
            </w:r>
            <w:r w:rsidRPr="00921D7E">
              <w:rPr>
                <w:rFonts w:ascii="Times New Roman" w:eastAsia="Times New Roman" w:hAnsi="Times New Roman" w:cs="Times New Roman"/>
                <w:i/>
                <w:color w:val="000000"/>
                <w:sz w:val="20"/>
                <w:szCs w:val="20"/>
              </w:rPr>
              <w:t xml:space="preserve">, </w:t>
            </w:r>
            <w:r w:rsidRPr="00921D7E">
              <w:rPr>
                <w:rFonts w:ascii="Times New Roman" w:eastAsia="Times New Roman" w:hAnsi="Times New Roman" w:cs="Times New Roman"/>
                <w:color w:val="000000"/>
                <w:sz w:val="20"/>
                <w:szCs w:val="20"/>
              </w:rPr>
              <w:t>milj.</w:t>
            </w:r>
            <w:r w:rsidRPr="00921D7E">
              <w:rPr>
                <w:rFonts w:ascii="Times New Roman" w:eastAsia="Times New Roman" w:hAnsi="Times New Roman" w:cs="Times New Roman"/>
                <w:i/>
                <w:color w:val="000000"/>
                <w:sz w:val="20"/>
                <w:szCs w:val="20"/>
              </w:rPr>
              <w:t> euro</w:t>
            </w:r>
          </w:p>
        </w:tc>
        <w:tc>
          <w:tcPr>
            <w:tcW w:w="1071" w:type="dxa"/>
            <w:tcBorders>
              <w:top w:val="nil"/>
              <w:left w:val="nil"/>
              <w:bottom w:val="single" w:sz="4" w:space="0" w:color="auto"/>
              <w:right w:val="single" w:sz="4" w:space="0" w:color="auto"/>
            </w:tcBorders>
            <w:shd w:val="clear" w:color="auto" w:fill="auto"/>
            <w:noWrap/>
            <w:vAlign w:val="center"/>
          </w:tcPr>
          <w:p w14:paraId="0D16F0A9" w14:textId="77777777" w:rsidR="00DB596B" w:rsidRPr="00921D7E" w:rsidRDefault="00DB596B" w:rsidP="00401A5B">
            <w:pPr>
              <w:jc w:val="center"/>
              <w:rPr>
                <w:rFonts w:ascii="Times New Roman" w:eastAsia="Times New Roman" w:hAnsi="Times New Roman" w:cs="Times New Roman"/>
                <w:sz w:val="20"/>
                <w:szCs w:val="20"/>
              </w:rPr>
            </w:pPr>
            <w:r w:rsidRPr="00921D7E">
              <w:rPr>
                <w:rFonts w:ascii="Times New Roman" w:eastAsia="Times New Roman" w:hAnsi="Times New Roman" w:cs="Times New Roman"/>
                <w:sz w:val="20"/>
                <w:szCs w:val="20"/>
              </w:rPr>
              <w:t>+0,0</w:t>
            </w:r>
          </w:p>
        </w:tc>
        <w:tc>
          <w:tcPr>
            <w:tcW w:w="1084" w:type="dxa"/>
            <w:tcBorders>
              <w:top w:val="nil"/>
              <w:left w:val="nil"/>
              <w:bottom w:val="single" w:sz="4" w:space="0" w:color="auto"/>
              <w:right w:val="single" w:sz="4" w:space="0" w:color="auto"/>
            </w:tcBorders>
            <w:shd w:val="clear" w:color="auto" w:fill="auto"/>
            <w:noWrap/>
            <w:vAlign w:val="center"/>
          </w:tcPr>
          <w:p w14:paraId="441B3CA4" w14:textId="77777777" w:rsidR="00DB596B" w:rsidRPr="00921D7E" w:rsidRDefault="00DB596B" w:rsidP="00401A5B">
            <w:pPr>
              <w:jc w:val="center"/>
              <w:rPr>
                <w:rFonts w:ascii="Times New Roman" w:eastAsia="Times New Roman" w:hAnsi="Times New Roman" w:cs="Times New Roman"/>
                <w:sz w:val="20"/>
                <w:szCs w:val="20"/>
              </w:rPr>
            </w:pPr>
            <w:r w:rsidRPr="00921D7E">
              <w:rPr>
                <w:rFonts w:ascii="Times New Roman" w:eastAsia="Times New Roman" w:hAnsi="Times New Roman" w:cs="Times New Roman"/>
                <w:sz w:val="20"/>
                <w:szCs w:val="20"/>
              </w:rPr>
              <w:t>+1,7</w:t>
            </w:r>
          </w:p>
        </w:tc>
        <w:tc>
          <w:tcPr>
            <w:tcW w:w="830" w:type="dxa"/>
            <w:tcBorders>
              <w:top w:val="nil"/>
              <w:left w:val="nil"/>
              <w:bottom w:val="single" w:sz="4" w:space="0" w:color="auto"/>
              <w:right w:val="single" w:sz="4" w:space="0" w:color="auto"/>
            </w:tcBorders>
            <w:shd w:val="clear" w:color="auto" w:fill="auto"/>
            <w:noWrap/>
            <w:vAlign w:val="center"/>
            <w:hideMark/>
          </w:tcPr>
          <w:p w14:paraId="63F230B9" w14:textId="77777777" w:rsidR="00DB596B" w:rsidRPr="00921D7E" w:rsidRDefault="00DB596B" w:rsidP="00401A5B">
            <w:pPr>
              <w:jc w:val="center"/>
              <w:rPr>
                <w:rFonts w:ascii="Times New Roman" w:eastAsia="Times New Roman" w:hAnsi="Times New Roman" w:cs="Times New Roman"/>
                <w:sz w:val="20"/>
                <w:szCs w:val="20"/>
              </w:rPr>
            </w:pPr>
            <w:r w:rsidRPr="00921D7E">
              <w:rPr>
                <w:rFonts w:ascii="Times New Roman" w:eastAsia="Times New Roman" w:hAnsi="Times New Roman" w:cs="Times New Roman"/>
                <w:sz w:val="20"/>
                <w:szCs w:val="20"/>
              </w:rPr>
              <w:t>+1,7</w:t>
            </w:r>
          </w:p>
        </w:tc>
        <w:tc>
          <w:tcPr>
            <w:tcW w:w="830" w:type="dxa"/>
            <w:tcBorders>
              <w:top w:val="nil"/>
              <w:left w:val="nil"/>
              <w:bottom w:val="single" w:sz="4" w:space="0" w:color="auto"/>
              <w:right w:val="single" w:sz="4" w:space="0" w:color="auto"/>
            </w:tcBorders>
            <w:shd w:val="clear" w:color="auto" w:fill="auto"/>
          </w:tcPr>
          <w:p w14:paraId="5D441E8B" w14:textId="77777777" w:rsidR="00DB596B" w:rsidRPr="00921D7E" w:rsidRDefault="00DB596B" w:rsidP="00401A5B">
            <w:pPr>
              <w:jc w:val="center"/>
              <w:rPr>
                <w:rFonts w:ascii="Times New Roman" w:eastAsia="Times New Roman" w:hAnsi="Times New Roman" w:cs="Times New Roman"/>
                <w:sz w:val="20"/>
                <w:szCs w:val="20"/>
              </w:rPr>
            </w:pPr>
            <w:r w:rsidRPr="00921D7E">
              <w:rPr>
                <w:rFonts w:ascii="Times New Roman" w:eastAsia="Times New Roman" w:hAnsi="Times New Roman" w:cs="Times New Roman"/>
                <w:sz w:val="20"/>
                <w:szCs w:val="20"/>
              </w:rPr>
              <w:t>-</w:t>
            </w:r>
          </w:p>
        </w:tc>
      </w:tr>
      <w:tr w:rsidR="00DB596B" w:rsidRPr="00921D7E" w14:paraId="0AEE082C" w14:textId="77777777" w:rsidTr="00921D7E">
        <w:trPr>
          <w:trHeight w:val="324"/>
          <w:jc w:val="center"/>
        </w:trPr>
        <w:tc>
          <w:tcPr>
            <w:tcW w:w="5261" w:type="dxa"/>
            <w:tcBorders>
              <w:top w:val="nil"/>
              <w:left w:val="single" w:sz="4" w:space="0" w:color="auto"/>
              <w:bottom w:val="single" w:sz="4" w:space="0" w:color="auto"/>
              <w:right w:val="single" w:sz="4" w:space="0" w:color="auto"/>
            </w:tcBorders>
            <w:shd w:val="clear" w:color="auto" w:fill="auto"/>
            <w:vAlign w:val="center"/>
            <w:hideMark/>
          </w:tcPr>
          <w:p w14:paraId="5F609B2B" w14:textId="40E74EFD" w:rsidR="00DB596B" w:rsidRPr="00921D7E" w:rsidRDefault="00DB596B" w:rsidP="00921D7E">
            <w:pPr>
              <w:rPr>
                <w:rFonts w:ascii="Times New Roman" w:eastAsia="Times New Roman" w:hAnsi="Times New Roman" w:cs="Times New Roman"/>
                <w:i/>
                <w:color w:val="000000"/>
                <w:sz w:val="20"/>
                <w:szCs w:val="20"/>
              </w:rPr>
            </w:pPr>
            <w:r w:rsidRPr="00921D7E">
              <w:rPr>
                <w:rFonts w:ascii="Times New Roman" w:eastAsia="Times New Roman" w:hAnsi="Times New Roman" w:cs="Times New Roman"/>
                <w:i/>
                <w:color w:val="000000"/>
                <w:sz w:val="20"/>
                <w:szCs w:val="20"/>
              </w:rPr>
              <w:t xml:space="preserve">pieaugums, salīdzinot ar </w:t>
            </w:r>
            <w:r w:rsidR="00921D7E">
              <w:rPr>
                <w:rFonts w:ascii="Times New Roman" w:eastAsia="Times New Roman" w:hAnsi="Times New Roman" w:cs="Times New Roman"/>
                <w:i/>
                <w:color w:val="000000"/>
                <w:sz w:val="20"/>
                <w:szCs w:val="20"/>
              </w:rPr>
              <w:t>VTBIL</w:t>
            </w:r>
            <w:r w:rsidRPr="00921D7E">
              <w:rPr>
                <w:rFonts w:ascii="Times New Roman" w:eastAsia="Times New Roman" w:hAnsi="Times New Roman" w:cs="Times New Roman"/>
                <w:i/>
                <w:color w:val="000000"/>
                <w:sz w:val="20"/>
                <w:szCs w:val="20"/>
              </w:rPr>
              <w:t xml:space="preserve"> 2020., 2021. un 2022.gadam”, %</w:t>
            </w:r>
          </w:p>
        </w:tc>
        <w:tc>
          <w:tcPr>
            <w:tcW w:w="1071" w:type="dxa"/>
            <w:tcBorders>
              <w:top w:val="nil"/>
              <w:left w:val="nil"/>
              <w:bottom w:val="single" w:sz="4" w:space="0" w:color="auto"/>
              <w:right w:val="single" w:sz="4" w:space="0" w:color="auto"/>
            </w:tcBorders>
            <w:shd w:val="clear" w:color="auto" w:fill="auto"/>
            <w:noWrap/>
            <w:vAlign w:val="center"/>
          </w:tcPr>
          <w:p w14:paraId="182DA541" w14:textId="77777777" w:rsidR="00DB596B" w:rsidRPr="00921D7E" w:rsidRDefault="00DB596B" w:rsidP="00401A5B">
            <w:pPr>
              <w:jc w:val="center"/>
              <w:rPr>
                <w:rFonts w:ascii="Times New Roman" w:eastAsia="Times New Roman" w:hAnsi="Times New Roman" w:cs="Times New Roman"/>
                <w:i/>
                <w:sz w:val="20"/>
                <w:szCs w:val="20"/>
              </w:rPr>
            </w:pPr>
            <w:r w:rsidRPr="00921D7E">
              <w:rPr>
                <w:rFonts w:ascii="Times New Roman" w:eastAsia="Times New Roman" w:hAnsi="Times New Roman" w:cs="Times New Roman"/>
                <w:i/>
                <w:sz w:val="20"/>
                <w:szCs w:val="20"/>
              </w:rPr>
              <w:t>+0,0</w:t>
            </w:r>
          </w:p>
        </w:tc>
        <w:tc>
          <w:tcPr>
            <w:tcW w:w="1084" w:type="dxa"/>
            <w:tcBorders>
              <w:top w:val="nil"/>
              <w:left w:val="nil"/>
              <w:bottom w:val="single" w:sz="4" w:space="0" w:color="auto"/>
              <w:right w:val="single" w:sz="4" w:space="0" w:color="auto"/>
            </w:tcBorders>
            <w:shd w:val="clear" w:color="auto" w:fill="auto"/>
            <w:noWrap/>
            <w:vAlign w:val="center"/>
          </w:tcPr>
          <w:p w14:paraId="2A295FEB" w14:textId="77777777" w:rsidR="00DB596B" w:rsidRPr="00921D7E" w:rsidRDefault="00DB596B" w:rsidP="00401A5B">
            <w:pPr>
              <w:jc w:val="center"/>
              <w:rPr>
                <w:rFonts w:ascii="Times New Roman" w:eastAsia="Times New Roman" w:hAnsi="Times New Roman" w:cs="Times New Roman"/>
                <w:i/>
                <w:sz w:val="20"/>
                <w:szCs w:val="20"/>
              </w:rPr>
            </w:pPr>
            <w:r w:rsidRPr="00921D7E">
              <w:rPr>
                <w:rFonts w:ascii="Times New Roman" w:eastAsia="Times New Roman" w:hAnsi="Times New Roman" w:cs="Times New Roman"/>
                <w:i/>
                <w:sz w:val="20"/>
                <w:szCs w:val="20"/>
              </w:rPr>
              <w:t>+7,9</w:t>
            </w:r>
          </w:p>
        </w:tc>
        <w:tc>
          <w:tcPr>
            <w:tcW w:w="830" w:type="dxa"/>
            <w:tcBorders>
              <w:top w:val="nil"/>
              <w:left w:val="nil"/>
              <w:bottom w:val="single" w:sz="4" w:space="0" w:color="auto"/>
              <w:right w:val="single" w:sz="4" w:space="0" w:color="auto"/>
            </w:tcBorders>
            <w:shd w:val="clear" w:color="auto" w:fill="auto"/>
            <w:noWrap/>
            <w:vAlign w:val="center"/>
            <w:hideMark/>
          </w:tcPr>
          <w:p w14:paraId="105181C8" w14:textId="77777777" w:rsidR="00DB596B" w:rsidRPr="00921D7E" w:rsidRDefault="00DB596B" w:rsidP="00401A5B">
            <w:pPr>
              <w:jc w:val="center"/>
              <w:rPr>
                <w:rFonts w:ascii="Times New Roman" w:eastAsia="Times New Roman" w:hAnsi="Times New Roman" w:cs="Times New Roman"/>
                <w:sz w:val="20"/>
                <w:szCs w:val="20"/>
              </w:rPr>
            </w:pPr>
            <w:r w:rsidRPr="00921D7E">
              <w:rPr>
                <w:rFonts w:ascii="Times New Roman" w:eastAsia="Times New Roman" w:hAnsi="Times New Roman" w:cs="Times New Roman"/>
                <w:sz w:val="20"/>
                <w:szCs w:val="20"/>
              </w:rPr>
              <w:t>+7,9</w:t>
            </w:r>
          </w:p>
        </w:tc>
        <w:tc>
          <w:tcPr>
            <w:tcW w:w="830" w:type="dxa"/>
            <w:tcBorders>
              <w:top w:val="nil"/>
              <w:left w:val="nil"/>
              <w:bottom w:val="single" w:sz="4" w:space="0" w:color="auto"/>
              <w:right w:val="single" w:sz="4" w:space="0" w:color="auto"/>
            </w:tcBorders>
            <w:shd w:val="clear" w:color="auto" w:fill="auto"/>
          </w:tcPr>
          <w:p w14:paraId="21EC8D1B" w14:textId="77777777" w:rsidR="00DB596B" w:rsidRPr="00921D7E" w:rsidRDefault="00DB596B" w:rsidP="00401A5B">
            <w:pPr>
              <w:jc w:val="center"/>
              <w:rPr>
                <w:rFonts w:ascii="Times New Roman" w:eastAsia="Times New Roman" w:hAnsi="Times New Roman" w:cs="Times New Roman"/>
                <w:sz w:val="20"/>
                <w:szCs w:val="20"/>
              </w:rPr>
            </w:pPr>
            <w:r w:rsidRPr="00921D7E">
              <w:rPr>
                <w:rFonts w:ascii="Times New Roman" w:eastAsia="Times New Roman" w:hAnsi="Times New Roman" w:cs="Times New Roman"/>
                <w:sz w:val="20"/>
                <w:szCs w:val="20"/>
              </w:rPr>
              <w:t>-</w:t>
            </w:r>
          </w:p>
        </w:tc>
      </w:tr>
      <w:tr w:rsidR="00DB596B" w:rsidRPr="00921D7E" w14:paraId="2DE7B81F" w14:textId="77777777" w:rsidTr="00921D7E">
        <w:trPr>
          <w:trHeight w:val="171"/>
          <w:jc w:val="center"/>
        </w:trPr>
        <w:tc>
          <w:tcPr>
            <w:tcW w:w="5261" w:type="dxa"/>
            <w:tcBorders>
              <w:top w:val="nil"/>
              <w:left w:val="single" w:sz="4" w:space="0" w:color="auto"/>
              <w:bottom w:val="single" w:sz="4" w:space="0" w:color="auto"/>
              <w:right w:val="single" w:sz="4" w:space="0" w:color="auto"/>
            </w:tcBorders>
            <w:shd w:val="clear" w:color="auto" w:fill="auto"/>
            <w:noWrap/>
            <w:vAlign w:val="center"/>
            <w:hideMark/>
          </w:tcPr>
          <w:p w14:paraId="68BC3EC6" w14:textId="77777777" w:rsidR="00DB596B" w:rsidRPr="00921D7E" w:rsidRDefault="00DB596B" w:rsidP="00401A5B">
            <w:pPr>
              <w:rPr>
                <w:rFonts w:ascii="Times New Roman" w:eastAsia="Times New Roman" w:hAnsi="Times New Roman" w:cs="Times New Roman"/>
                <w:color w:val="000000"/>
                <w:sz w:val="20"/>
                <w:szCs w:val="20"/>
              </w:rPr>
            </w:pPr>
            <w:r w:rsidRPr="00921D7E">
              <w:rPr>
                <w:rFonts w:ascii="Times New Roman" w:eastAsia="Times New Roman" w:hAnsi="Times New Roman" w:cs="Times New Roman"/>
                <w:color w:val="000000"/>
                <w:sz w:val="20"/>
                <w:szCs w:val="20"/>
              </w:rPr>
              <w:t>% no IKP</w:t>
            </w:r>
          </w:p>
        </w:tc>
        <w:tc>
          <w:tcPr>
            <w:tcW w:w="1071" w:type="dxa"/>
            <w:tcBorders>
              <w:top w:val="nil"/>
              <w:left w:val="nil"/>
              <w:bottom w:val="single" w:sz="4" w:space="0" w:color="auto"/>
              <w:right w:val="single" w:sz="4" w:space="0" w:color="auto"/>
            </w:tcBorders>
            <w:shd w:val="clear" w:color="auto" w:fill="auto"/>
            <w:noWrap/>
          </w:tcPr>
          <w:p w14:paraId="18C11403" w14:textId="77777777" w:rsidR="00DB596B" w:rsidRPr="00921D7E" w:rsidRDefault="00DB596B" w:rsidP="00401A5B">
            <w:pPr>
              <w:jc w:val="center"/>
              <w:rPr>
                <w:rFonts w:ascii="Times New Roman" w:eastAsia="Times New Roman" w:hAnsi="Times New Roman" w:cs="Times New Roman"/>
                <w:i/>
                <w:sz w:val="20"/>
                <w:szCs w:val="20"/>
              </w:rPr>
            </w:pPr>
            <w:r w:rsidRPr="00921D7E">
              <w:rPr>
                <w:rFonts w:ascii="Times New Roman" w:eastAsia="Times New Roman" w:hAnsi="Times New Roman" w:cs="Times New Roman"/>
                <w:i/>
                <w:sz w:val="20"/>
                <w:szCs w:val="20"/>
              </w:rPr>
              <w:t>0,1</w:t>
            </w:r>
          </w:p>
        </w:tc>
        <w:tc>
          <w:tcPr>
            <w:tcW w:w="1084" w:type="dxa"/>
            <w:tcBorders>
              <w:top w:val="nil"/>
              <w:left w:val="nil"/>
              <w:bottom w:val="single" w:sz="4" w:space="0" w:color="auto"/>
              <w:right w:val="single" w:sz="4" w:space="0" w:color="auto"/>
            </w:tcBorders>
            <w:shd w:val="clear" w:color="auto" w:fill="auto"/>
            <w:noWrap/>
          </w:tcPr>
          <w:p w14:paraId="42298803" w14:textId="77777777" w:rsidR="00DB596B" w:rsidRPr="00921D7E" w:rsidRDefault="00DB596B" w:rsidP="00401A5B">
            <w:pPr>
              <w:jc w:val="center"/>
              <w:rPr>
                <w:rFonts w:ascii="Times New Roman" w:eastAsia="Times New Roman" w:hAnsi="Times New Roman" w:cs="Times New Roman"/>
                <w:i/>
                <w:sz w:val="20"/>
                <w:szCs w:val="20"/>
              </w:rPr>
            </w:pPr>
            <w:r w:rsidRPr="00921D7E">
              <w:rPr>
                <w:rFonts w:ascii="Times New Roman" w:eastAsia="Times New Roman" w:hAnsi="Times New Roman" w:cs="Times New Roman"/>
                <w:i/>
                <w:sz w:val="20"/>
                <w:szCs w:val="20"/>
              </w:rPr>
              <w:t>0,1</w:t>
            </w:r>
          </w:p>
        </w:tc>
        <w:tc>
          <w:tcPr>
            <w:tcW w:w="830" w:type="dxa"/>
            <w:tcBorders>
              <w:top w:val="nil"/>
              <w:left w:val="nil"/>
              <w:bottom w:val="single" w:sz="4" w:space="0" w:color="auto"/>
              <w:right w:val="single" w:sz="4" w:space="0" w:color="auto"/>
            </w:tcBorders>
            <w:shd w:val="clear" w:color="auto" w:fill="auto"/>
            <w:noWrap/>
          </w:tcPr>
          <w:p w14:paraId="4E53BB86" w14:textId="77777777" w:rsidR="00DB596B" w:rsidRPr="00921D7E" w:rsidRDefault="00DB596B" w:rsidP="00401A5B">
            <w:pPr>
              <w:jc w:val="center"/>
              <w:rPr>
                <w:rFonts w:ascii="Times New Roman" w:eastAsia="Times New Roman" w:hAnsi="Times New Roman" w:cs="Times New Roman"/>
                <w:i/>
                <w:sz w:val="20"/>
                <w:szCs w:val="20"/>
              </w:rPr>
            </w:pPr>
            <w:r w:rsidRPr="00921D7E">
              <w:rPr>
                <w:rFonts w:ascii="Times New Roman" w:eastAsia="Times New Roman" w:hAnsi="Times New Roman" w:cs="Times New Roman"/>
                <w:i/>
                <w:sz w:val="20"/>
                <w:szCs w:val="20"/>
              </w:rPr>
              <w:t>0,1</w:t>
            </w:r>
          </w:p>
        </w:tc>
        <w:tc>
          <w:tcPr>
            <w:tcW w:w="830" w:type="dxa"/>
            <w:tcBorders>
              <w:top w:val="nil"/>
              <w:left w:val="nil"/>
              <w:bottom w:val="single" w:sz="4" w:space="0" w:color="auto"/>
              <w:right w:val="single" w:sz="4" w:space="0" w:color="auto"/>
            </w:tcBorders>
          </w:tcPr>
          <w:p w14:paraId="7D4DD4C0" w14:textId="77777777" w:rsidR="00DB596B" w:rsidRPr="00921D7E" w:rsidRDefault="00DB596B" w:rsidP="00401A5B">
            <w:pPr>
              <w:jc w:val="center"/>
              <w:rPr>
                <w:rFonts w:ascii="Times New Roman" w:eastAsia="Times New Roman" w:hAnsi="Times New Roman" w:cs="Times New Roman"/>
                <w:i/>
                <w:sz w:val="20"/>
                <w:szCs w:val="20"/>
              </w:rPr>
            </w:pPr>
            <w:r w:rsidRPr="00921D7E">
              <w:rPr>
                <w:rFonts w:ascii="Times New Roman" w:eastAsia="Times New Roman" w:hAnsi="Times New Roman" w:cs="Times New Roman"/>
                <w:i/>
                <w:sz w:val="20"/>
                <w:szCs w:val="20"/>
              </w:rPr>
              <w:t>0,1</w:t>
            </w:r>
          </w:p>
        </w:tc>
      </w:tr>
    </w:tbl>
    <w:p w14:paraId="2D8F462B" w14:textId="77777777" w:rsidR="00DB596B" w:rsidRPr="00921D7E" w:rsidRDefault="00DB596B" w:rsidP="00401A5B">
      <w:pPr>
        <w:jc w:val="both"/>
        <w:rPr>
          <w:rFonts w:ascii="Times New Roman" w:eastAsia="Times New Roman" w:hAnsi="Times New Roman" w:cs="Times New Roman"/>
          <w:sz w:val="20"/>
          <w:szCs w:val="20"/>
          <w:lang w:eastAsia="en-US"/>
        </w:rPr>
      </w:pPr>
      <w:r w:rsidRPr="00921D7E">
        <w:rPr>
          <w:rFonts w:ascii="Times New Roman" w:eastAsia="Times New Roman" w:hAnsi="Times New Roman" w:cs="Times New Roman"/>
          <w:sz w:val="20"/>
          <w:szCs w:val="20"/>
          <w:lang w:eastAsia="en-US"/>
        </w:rPr>
        <w:t xml:space="preserve">        *Prognoze</w:t>
      </w:r>
    </w:p>
    <w:p w14:paraId="6C83AF58" w14:textId="77777777" w:rsidR="00DB596B" w:rsidRPr="00DB596B" w:rsidRDefault="00DB596B" w:rsidP="00401A5B">
      <w:pPr>
        <w:jc w:val="both"/>
        <w:rPr>
          <w:rFonts w:ascii="Times New Roman" w:eastAsia="Times New Roman" w:hAnsi="Times New Roman" w:cs="Times New Roman"/>
          <w:b/>
          <w:sz w:val="24"/>
          <w:szCs w:val="20"/>
          <w:highlight w:val="yellow"/>
          <w:lang w:eastAsia="en-US"/>
        </w:rPr>
      </w:pPr>
    </w:p>
    <w:p w14:paraId="6A43EB2E" w14:textId="0FED209B" w:rsidR="00921D7E" w:rsidRDefault="00921D7E" w:rsidP="00921D7E">
      <w:pPr>
        <w:ind w:firstLine="720"/>
        <w:contextualSpacing/>
        <w:jc w:val="center"/>
        <w:rPr>
          <w:rFonts w:ascii="Times New Roman" w:eastAsia="Times New Roman" w:hAnsi="Times New Roman" w:cs="Times New Roman"/>
          <w:b/>
          <w:sz w:val="28"/>
          <w:szCs w:val="28"/>
          <w:lang w:eastAsia="en-US"/>
        </w:rPr>
      </w:pPr>
      <w:r w:rsidRPr="00921D7E">
        <w:rPr>
          <w:rFonts w:ascii="Times New Roman" w:eastAsia="Times New Roman" w:hAnsi="Times New Roman" w:cs="Times New Roman"/>
          <w:b/>
          <w:sz w:val="28"/>
          <w:szCs w:val="28"/>
          <w:lang w:eastAsia="en-US"/>
        </w:rPr>
        <w:t>Dabas resursu nodoklis</w:t>
      </w:r>
    </w:p>
    <w:p w14:paraId="17089043" w14:textId="77777777" w:rsidR="00921D7E" w:rsidRPr="00921D7E" w:rsidRDefault="00921D7E" w:rsidP="00921D7E">
      <w:pPr>
        <w:ind w:firstLine="720"/>
        <w:contextualSpacing/>
        <w:jc w:val="center"/>
        <w:rPr>
          <w:rFonts w:ascii="Times New Roman" w:eastAsia="Times New Roman" w:hAnsi="Times New Roman" w:cs="Times New Roman"/>
          <w:b/>
          <w:sz w:val="28"/>
          <w:szCs w:val="28"/>
          <w:lang w:eastAsia="en-US"/>
        </w:rPr>
      </w:pPr>
    </w:p>
    <w:p w14:paraId="12EAA700" w14:textId="3571CFF6" w:rsidR="00DB596B" w:rsidRPr="00921D7E" w:rsidRDefault="00DB596B" w:rsidP="00401A5B">
      <w:pPr>
        <w:ind w:firstLine="720"/>
        <w:contextualSpacing/>
        <w:jc w:val="both"/>
        <w:rPr>
          <w:rFonts w:ascii="Times New Roman" w:eastAsia="Times New Roman" w:hAnsi="Times New Roman" w:cs="Times New Roman"/>
          <w:sz w:val="28"/>
          <w:szCs w:val="28"/>
          <w:lang w:eastAsia="en-US"/>
        </w:rPr>
      </w:pPr>
      <w:r w:rsidRPr="00921D7E">
        <w:rPr>
          <w:rFonts w:ascii="Times New Roman" w:eastAsia="Times New Roman" w:hAnsi="Times New Roman" w:cs="Times New Roman"/>
          <w:sz w:val="28"/>
          <w:szCs w:val="28"/>
          <w:lang w:eastAsia="en-US"/>
        </w:rPr>
        <w:t>Dabas resursu nodokļa maksājumi ir saistīti ar nodokļu maksātāju ekonomiskajām aktivitātēm un to izraisīto vides noslodzi, kā arī veiktajiem vides aizsardzības pasākumiem. Dabas resursu nodokļa ieņēmumi valsts pamatbudžetā un pašvaldību budžetā 2020.gada sešos mēnešos bija 16,9 milj. </w:t>
      </w:r>
      <w:r w:rsidRPr="00921D7E">
        <w:rPr>
          <w:rFonts w:ascii="Times New Roman" w:eastAsia="Times New Roman" w:hAnsi="Times New Roman" w:cs="Times New Roman"/>
          <w:i/>
          <w:sz w:val="28"/>
          <w:szCs w:val="28"/>
          <w:lang w:eastAsia="en-US"/>
        </w:rPr>
        <w:t>euro</w:t>
      </w:r>
      <w:r w:rsidRPr="00921D7E">
        <w:rPr>
          <w:rFonts w:ascii="Times New Roman" w:eastAsia="Times New Roman" w:hAnsi="Times New Roman" w:cs="Times New Roman"/>
          <w:sz w:val="28"/>
          <w:szCs w:val="28"/>
          <w:lang w:eastAsia="en-US"/>
        </w:rPr>
        <w:t>, kas ir par 1,9 milj. </w:t>
      </w:r>
      <w:r w:rsidRPr="00921D7E">
        <w:rPr>
          <w:rFonts w:ascii="Times New Roman" w:eastAsia="Times New Roman" w:hAnsi="Times New Roman" w:cs="Times New Roman"/>
          <w:i/>
          <w:sz w:val="28"/>
          <w:szCs w:val="28"/>
          <w:lang w:eastAsia="en-US"/>
        </w:rPr>
        <w:t>euro</w:t>
      </w:r>
      <w:r w:rsidRPr="00921D7E">
        <w:rPr>
          <w:rFonts w:ascii="Times New Roman" w:eastAsia="Times New Roman" w:hAnsi="Times New Roman" w:cs="Times New Roman"/>
          <w:sz w:val="28"/>
          <w:szCs w:val="28"/>
          <w:lang w:eastAsia="en-US"/>
        </w:rPr>
        <w:t xml:space="preserve"> jeb 12,7% vairāk nekā 2019.gada atbilstošajā periodā, bet par 1,2 milj. </w:t>
      </w:r>
      <w:r w:rsidRPr="00921D7E">
        <w:rPr>
          <w:rFonts w:ascii="Times New Roman" w:eastAsia="Times New Roman" w:hAnsi="Times New Roman" w:cs="Times New Roman"/>
          <w:bCs/>
          <w:i/>
          <w:sz w:val="28"/>
          <w:szCs w:val="28"/>
          <w:lang w:eastAsia="en-US"/>
        </w:rPr>
        <w:t>euro</w:t>
      </w:r>
      <w:r w:rsidRPr="00921D7E">
        <w:rPr>
          <w:rFonts w:ascii="Times New Roman" w:eastAsia="Times New Roman" w:hAnsi="Times New Roman" w:cs="Times New Roman"/>
          <w:sz w:val="28"/>
          <w:szCs w:val="28"/>
          <w:lang w:eastAsia="en-US"/>
        </w:rPr>
        <w:t xml:space="preserve"> jeb 6,5% mazāk nekā plānots. Valsts pamatbudžetā 2020.gada sešos mēnešos iekasēts 12,5 milj. </w:t>
      </w:r>
      <w:r w:rsidRPr="00921D7E">
        <w:rPr>
          <w:rFonts w:ascii="Times New Roman" w:eastAsia="Times New Roman" w:hAnsi="Times New Roman" w:cs="Times New Roman"/>
          <w:i/>
          <w:sz w:val="28"/>
          <w:szCs w:val="28"/>
          <w:lang w:eastAsia="en-US"/>
        </w:rPr>
        <w:t>euro</w:t>
      </w:r>
      <w:r w:rsidRPr="00921D7E">
        <w:rPr>
          <w:rFonts w:ascii="Times New Roman" w:eastAsia="Times New Roman" w:hAnsi="Times New Roman" w:cs="Times New Roman"/>
          <w:sz w:val="28"/>
          <w:szCs w:val="28"/>
          <w:lang w:eastAsia="en-US"/>
        </w:rPr>
        <w:t>, kas, salīdzinot ar 2019.gada atbilstošo periodu, ir par 3,4 milj. </w:t>
      </w:r>
      <w:r w:rsidRPr="00921D7E">
        <w:rPr>
          <w:rFonts w:ascii="Times New Roman" w:eastAsia="Times New Roman" w:hAnsi="Times New Roman" w:cs="Times New Roman"/>
          <w:i/>
          <w:sz w:val="28"/>
          <w:szCs w:val="28"/>
          <w:lang w:eastAsia="en-US"/>
        </w:rPr>
        <w:t>euro</w:t>
      </w:r>
      <w:r w:rsidRPr="00921D7E">
        <w:rPr>
          <w:rFonts w:ascii="Times New Roman" w:eastAsia="Times New Roman" w:hAnsi="Times New Roman" w:cs="Times New Roman"/>
          <w:sz w:val="28"/>
          <w:szCs w:val="28"/>
          <w:lang w:eastAsia="en-US"/>
        </w:rPr>
        <w:t xml:space="preserve"> jeb 37,8% vairāk. Salīdzinot ar plānoto, iekasēts par 1,0 milj. </w:t>
      </w:r>
      <w:r w:rsidRPr="00921D7E">
        <w:rPr>
          <w:rFonts w:ascii="Times New Roman" w:eastAsia="Times New Roman" w:hAnsi="Times New Roman" w:cs="Times New Roman"/>
          <w:bCs/>
          <w:i/>
          <w:sz w:val="28"/>
          <w:szCs w:val="28"/>
          <w:lang w:eastAsia="en-US"/>
        </w:rPr>
        <w:t>euro</w:t>
      </w:r>
      <w:r w:rsidRPr="00921D7E">
        <w:rPr>
          <w:rFonts w:ascii="Times New Roman" w:eastAsia="Times New Roman" w:hAnsi="Times New Roman" w:cs="Times New Roman"/>
          <w:sz w:val="28"/>
          <w:szCs w:val="28"/>
          <w:lang w:eastAsia="en-US"/>
        </w:rPr>
        <w:t xml:space="preserve"> jeb 7,3% mazāk. Dabas resursu nodokļa ieņēmumi pašvaldību budžetā 2020.gada sešos mēnešos bija 4,4 milj. </w:t>
      </w:r>
      <w:r w:rsidRPr="00921D7E">
        <w:rPr>
          <w:rFonts w:ascii="Times New Roman" w:eastAsia="Times New Roman" w:hAnsi="Times New Roman" w:cs="Times New Roman"/>
          <w:bCs/>
          <w:i/>
          <w:sz w:val="28"/>
          <w:szCs w:val="28"/>
          <w:lang w:eastAsia="en-US"/>
        </w:rPr>
        <w:t>euro,</w:t>
      </w:r>
      <w:r w:rsidRPr="00921D7E">
        <w:rPr>
          <w:rFonts w:ascii="Times New Roman" w:eastAsia="Times New Roman" w:hAnsi="Times New Roman" w:cs="Times New Roman"/>
          <w:sz w:val="28"/>
          <w:szCs w:val="28"/>
          <w:lang w:eastAsia="en-US"/>
        </w:rPr>
        <w:t xml:space="preserve"> un, salīdzinot ar 2019.gada sešiem mēnešiem, tie ir samazinājušies par 1,5 milj. </w:t>
      </w:r>
      <w:r w:rsidRPr="00921D7E">
        <w:rPr>
          <w:rFonts w:ascii="Times New Roman" w:eastAsia="Times New Roman" w:hAnsi="Times New Roman" w:cs="Times New Roman"/>
          <w:i/>
          <w:sz w:val="28"/>
          <w:szCs w:val="28"/>
          <w:lang w:eastAsia="en-US"/>
        </w:rPr>
        <w:t>euro</w:t>
      </w:r>
      <w:r w:rsidRPr="00921D7E">
        <w:rPr>
          <w:rFonts w:ascii="Times New Roman" w:eastAsia="Times New Roman" w:hAnsi="Times New Roman" w:cs="Times New Roman"/>
          <w:sz w:val="28"/>
          <w:szCs w:val="28"/>
          <w:lang w:eastAsia="en-US"/>
        </w:rPr>
        <w:t xml:space="preserve"> jeb 25,9 procentiem. Salīdzinot ar plānoto, iekasēts par 0,2 milj. </w:t>
      </w:r>
      <w:r w:rsidRPr="00921D7E">
        <w:rPr>
          <w:rFonts w:ascii="Times New Roman" w:eastAsia="Times New Roman" w:hAnsi="Times New Roman" w:cs="Times New Roman"/>
          <w:bCs/>
          <w:i/>
          <w:sz w:val="28"/>
          <w:szCs w:val="28"/>
          <w:lang w:eastAsia="en-US"/>
        </w:rPr>
        <w:t>euro</w:t>
      </w:r>
      <w:r w:rsidRPr="00921D7E">
        <w:rPr>
          <w:rFonts w:ascii="Times New Roman" w:eastAsia="Times New Roman" w:hAnsi="Times New Roman" w:cs="Times New Roman"/>
          <w:sz w:val="28"/>
          <w:szCs w:val="28"/>
          <w:lang w:eastAsia="en-US"/>
        </w:rPr>
        <w:t xml:space="preserve"> jeb 4,3% mazāk. Nodokļa ieņēmumu pieaugums valsts pamatbudžetā un samazinājums pašvaldību budžetā ir tieši saistīts ar izmaiņām nodokļa ieņēmumu sadalījumā starp valsts un pašvaldību budžetiem, kas stājās spēkā ar 2020.gada 1.janvāri.</w:t>
      </w:r>
    </w:p>
    <w:p w14:paraId="4F15715B" w14:textId="77777777" w:rsidR="00DB596B" w:rsidRPr="00921D7E" w:rsidRDefault="00DB596B" w:rsidP="00401A5B">
      <w:pPr>
        <w:ind w:firstLine="720"/>
        <w:jc w:val="both"/>
        <w:rPr>
          <w:rFonts w:ascii="Times New Roman" w:eastAsia="Times New Roman" w:hAnsi="Times New Roman" w:cs="Times New Roman"/>
          <w:color w:val="C0504D"/>
          <w:sz w:val="28"/>
          <w:szCs w:val="28"/>
          <w:lang w:eastAsia="en-US"/>
        </w:rPr>
      </w:pPr>
      <w:r w:rsidRPr="00921D7E">
        <w:rPr>
          <w:rFonts w:ascii="Times New Roman" w:eastAsia="Times New Roman" w:hAnsi="Times New Roman" w:cs="Times New Roman"/>
          <w:sz w:val="28"/>
          <w:szCs w:val="28"/>
          <w:lang w:eastAsia="en-US"/>
        </w:rPr>
        <w:t xml:space="preserve">Kopējie dabas resursu nodokļa ieņēmumi palielinājušies galvenokārt par ūdens resursu lietošanu elektroenerģijas ražošanai un </w:t>
      </w:r>
      <w:r w:rsidRPr="00921D7E">
        <w:rPr>
          <w:rFonts w:ascii="Times New Roman" w:eastAsia="Times New Roman" w:hAnsi="Times New Roman" w:cs="Times New Roman"/>
          <w:bCs/>
          <w:sz w:val="28"/>
          <w:szCs w:val="28"/>
          <w:lang w:eastAsia="en-US"/>
        </w:rPr>
        <w:t xml:space="preserve">par dabas resursu ieguvi un vides piesārņošanu (par atkritumu apglabāšanu), bet samazinājušies par pirmo reizi Latvijas Republikā reģistrētajiem transportlīdzekļiem un par videi kaitīgām precēm. Plāna neizpilde saistīta ar 2016. un 2019.gadā veikto grozījumu Dabas resursu nodokļa likumā fiskālo ietekmju neizpildi, kā arī Covid-19 izraisītās krīzes atstāto ietekmi. </w:t>
      </w:r>
      <w:r w:rsidRPr="00921D7E">
        <w:rPr>
          <w:rFonts w:ascii="Times New Roman" w:eastAsia="Times New Roman" w:hAnsi="Times New Roman" w:cs="Times New Roman"/>
          <w:sz w:val="28"/>
          <w:szCs w:val="28"/>
          <w:lang w:eastAsia="en-US"/>
        </w:rPr>
        <w:t>Tāpat plāna neizpilde un salīdzinoši lēnais ieņēmumu pieaugums saistīts ar uzņēmumu piesārņojošo darbību un radītā piesārņojuma apjoma samazināšanu, resursu efektīvāku un pārdomātāku izmantošanu</w:t>
      </w:r>
      <w:r w:rsidRPr="00921D7E">
        <w:rPr>
          <w:rFonts w:ascii="Times New Roman" w:eastAsia="Times New Roman" w:hAnsi="Times New Roman" w:cs="Times New Roman"/>
          <w:color w:val="C0504D"/>
          <w:sz w:val="28"/>
          <w:szCs w:val="28"/>
          <w:lang w:eastAsia="en-US"/>
        </w:rPr>
        <w:t xml:space="preserve">. </w:t>
      </w:r>
    </w:p>
    <w:p w14:paraId="04AA9F68" w14:textId="694C8F99" w:rsidR="00DB596B" w:rsidRDefault="00DB596B" w:rsidP="00401A5B">
      <w:pPr>
        <w:widowControl w:val="0"/>
        <w:ind w:firstLine="720"/>
        <w:jc w:val="both"/>
        <w:rPr>
          <w:rFonts w:ascii="Times New Roman" w:eastAsia="Times New Roman" w:hAnsi="Times New Roman" w:cs="Times New Roman"/>
          <w:sz w:val="28"/>
          <w:szCs w:val="28"/>
          <w:lang w:eastAsia="en-US"/>
        </w:rPr>
      </w:pPr>
      <w:r w:rsidRPr="00921D7E">
        <w:rPr>
          <w:rFonts w:ascii="Times New Roman" w:eastAsia="Times New Roman" w:hAnsi="Times New Roman" w:cs="Times New Roman"/>
          <w:sz w:val="28"/>
          <w:szCs w:val="28"/>
          <w:lang w:eastAsia="en-US"/>
        </w:rPr>
        <w:t>Saskaņā ar 2016.gada 15.decembrī pieņemtajiem grozījumiem Dabas resursu nodokļa likumā tika paredzēta pakāpeniska dabas resursu nodokļa par atkritumu apglabāšanu paaugstināšana (</w:t>
      </w:r>
      <w:r w:rsidRPr="00921D7E">
        <w:rPr>
          <w:rFonts w:ascii="Times New Roman" w:eastAsia="Calibri" w:hAnsi="Times New Roman" w:cs="Times New Roman"/>
          <w:sz w:val="28"/>
          <w:szCs w:val="28"/>
        </w:rPr>
        <w:t>skat. 3.13.tabulu)</w:t>
      </w:r>
      <w:r w:rsidRPr="00921D7E">
        <w:rPr>
          <w:rFonts w:ascii="Times New Roman" w:eastAsia="Times New Roman" w:hAnsi="Times New Roman" w:cs="Times New Roman"/>
          <w:sz w:val="28"/>
          <w:szCs w:val="28"/>
          <w:lang w:eastAsia="en-US"/>
        </w:rPr>
        <w:t>.</w:t>
      </w:r>
    </w:p>
    <w:p w14:paraId="392DC7D5" w14:textId="77777777" w:rsidR="0089579E" w:rsidRPr="00921D7E" w:rsidRDefault="0089579E" w:rsidP="00401A5B">
      <w:pPr>
        <w:widowControl w:val="0"/>
        <w:ind w:firstLine="720"/>
        <w:jc w:val="both"/>
        <w:rPr>
          <w:rFonts w:ascii="Times New Roman" w:eastAsia="Times New Roman" w:hAnsi="Times New Roman" w:cs="Times New Roman"/>
          <w:sz w:val="28"/>
          <w:szCs w:val="28"/>
          <w:lang w:eastAsia="en-US"/>
        </w:rPr>
      </w:pPr>
    </w:p>
    <w:p w14:paraId="20B2091D" w14:textId="6C46A3DF" w:rsidR="00DB596B" w:rsidRPr="00921D7E" w:rsidRDefault="00DB596B" w:rsidP="00921D7E">
      <w:pPr>
        <w:widowControl w:val="0"/>
        <w:ind w:firstLine="720"/>
        <w:jc w:val="right"/>
        <w:rPr>
          <w:rFonts w:ascii="Times New Roman" w:eastAsia="Calibri" w:hAnsi="Times New Roman" w:cs="Times New Roman"/>
          <w:b/>
          <w:i/>
          <w:sz w:val="24"/>
          <w:szCs w:val="28"/>
        </w:rPr>
      </w:pPr>
      <w:r w:rsidRPr="00921D7E">
        <w:rPr>
          <w:rFonts w:ascii="Times New Roman" w:eastAsia="Calibri" w:hAnsi="Times New Roman" w:cs="Times New Roman"/>
          <w:b/>
          <w:i/>
          <w:sz w:val="24"/>
          <w:szCs w:val="28"/>
        </w:rPr>
        <w:t>3.13</w:t>
      </w:r>
      <w:r w:rsidR="00921D7E">
        <w:rPr>
          <w:rFonts w:ascii="Times New Roman" w:eastAsia="Calibri" w:hAnsi="Times New Roman" w:cs="Times New Roman"/>
          <w:b/>
          <w:i/>
          <w:sz w:val="24"/>
          <w:szCs w:val="28"/>
        </w:rPr>
        <w:t>.</w:t>
      </w:r>
      <w:r w:rsidRPr="00921D7E">
        <w:rPr>
          <w:rFonts w:ascii="Times New Roman" w:eastAsia="Calibri" w:hAnsi="Times New Roman" w:cs="Times New Roman"/>
          <w:b/>
          <w:i/>
          <w:sz w:val="24"/>
          <w:szCs w:val="28"/>
        </w:rPr>
        <w:t>tabula. Dabas resursu nodokļa likmes par atkritumu apglabāšanu</w:t>
      </w:r>
    </w:p>
    <w:p w14:paraId="69145714" w14:textId="77777777" w:rsidR="00DB596B" w:rsidRPr="00DB596B" w:rsidRDefault="00DB596B" w:rsidP="00921D7E">
      <w:pPr>
        <w:widowControl w:val="0"/>
        <w:ind w:left="2880" w:firstLine="709"/>
        <w:jc w:val="right"/>
        <w:rPr>
          <w:rFonts w:ascii="Times New Roman" w:eastAsia="Calibri" w:hAnsi="Times New Roman" w:cs="Times New Roman"/>
          <w:b/>
          <w:i/>
          <w:sz w:val="24"/>
          <w:szCs w:val="28"/>
        </w:rPr>
      </w:pPr>
      <w:r w:rsidRPr="00921D7E">
        <w:rPr>
          <w:rFonts w:ascii="Times New Roman" w:eastAsia="Calibri" w:hAnsi="Times New Roman" w:cs="Times New Roman"/>
          <w:b/>
          <w:i/>
          <w:sz w:val="24"/>
          <w:szCs w:val="28"/>
        </w:rPr>
        <w:t>2018.–2020.gadā, euro</w:t>
      </w:r>
    </w:p>
    <w:tbl>
      <w:tblPr>
        <w:tblStyle w:val="TableGrid1"/>
        <w:tblW w:w="0" w:type="auto"/>
        <w:jc w:val="center"/>
        <w:tblLook w:val="04A0" w:firstRow="1" w:lastRow="0" w:firstColumn="1" w:lastColumn="0" w:noHBand="0" w:noVBand="1"/>
      </w:tblPr>
      <w:tblGrid>
        <w:gridCol w:w="4950"/>
        <w:gridCol w:w="1276"/>
        <w:gridCol w:w="1276"/>
        <w:gridCol w:w="1261"/>
      </w:tblGrid>
      <w:tr w:rsidR="00DB596B" w:rsidRPr="00921D7E" w14:paraId="4C0E5434" w14:textId="77777777" w:rsidTr="00921D7E">
        <w:trPr>
          <w:trHeight w:val="163"/>
          <w:jc w:val="center"/>
        </w:trPr>
        <w:tc>
          <w:tcPr>
            <w:tcW w:w="49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5D8749" w14:textId="77777777" w:rsidR="00DB596B" w:rsidRPr="00921D7E" w:rsidRDefault="00DB596B" w:rsidP="00401A5B">
            <w:pPr>
              <w:widowControl w:val="0"/>
              <w:contextualSpacing/>
              <w:rPr>
                <w:b/>
                <w:sz w:val="20"/>
                <w:szCs w:val="20"/>
                <w:lang w:eastAsia="en-US"/>
              </w:rPr>
            </w:pPr>
            <w:r w:rsidRPr="00921D7E">
              <w:rPr>
                <w:b/>
                <w:sz w:val="20"/>
                <w:szCs w:val="20"/>
                <w:lang w:eastAsia="en-US"/>
              </w:rPr>
              <w:t>Atkritumu veids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1BE060" w14:textId="77777777" w:rsidR="00DB596B" w:rsidRPr="00921D7E" w:rsidRDefault="00DB596B" w:rsidP="00401A5B">
            <w:pPr>
              <w:widowControl w:val="0"/>
              <w:contextualSpacing/>
              <w:jc w:val="center"/>
              <w:rPr>
                <w:b/>
                <w:sz w:val="20"/>
                <w:szCs w:val="20"/>
                <w:lang w:eastAsia="en-US"/>
              </w:rPr>
            </w:pPr>
            <w:r w:rsidRPr="00921D7E">
              <w:rPr>
                <w:b/>
                <w:sz w:val="20"/>
                <w:szCs w:val="20"/>
                <w:lang w:eastAsia="en-US"/>
              </w:rPr>
              <w:t>01.01.2018.</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7B8915" w14:textId="77777777" w:rsidR="00DB596B" w:rsidRPr="00921D7E" w:rsidRDefault="00DB596B" w:rsidP="00401A5B">
            <w:pPr>
              <w:widowControl w:val="0"/>
              <w:contextualSpacing/>
              <w:jc w:val="center"/>
              <w:rPr>
                <w:b/>
                <w:sz w:val="20"/>
                <w:szCs w:val="20"/>
                <w:lang w:eastAsia="en-US"/>
              </w:rPr>
            </w:pPr>
            <w:r w:rsidRPr="00921D7E">
              <w:rPr>
                <w:b/>
                <w:sz w:val="20"/>
                <w:szCs w:val="20"/>
                <w:lang w:eastAsia="en-US"/>
              </w:rPr>
              <w:t>01.01.2019.</w:t>
            </w:r>
          </w:p>
        </w:tc>
        <w:tc>
          <w:tcPr>
            <w:tcW w:w="126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46CC0A" w14:textId="77777777" w:rsidR="00DB596B" w:rsidRPr="00921D7E" w:rsidRDefault="00DB596B" w:rsidP="00401A5B">
            <w:pPr>
              <w:widowControl w:val="0"/>
              <w:contextualSpacing/>
              <w:jc w:val="center"/>
              <w:rPr>
                <w:b/>
                <w:sz w:val="20"/>
                <w:szCs w:val="20"/>
                <w:lang w:eastAsia="en-US"/>
              </w:rPr>
            </w:pPr>
            <w:r w:rsidRPr="00921D7E">
              <w:rPr>
                <w:b/>
                <w:sz w:val="20"/>
                <w:szCs w:val="20"/>
                <w:lang w:eastAsia="en-US"/>
              </w:rPr>
              <w:t>01.01.2020.</w:t>
            </w:r>
          </w:p>
        </w:tc>
      </w:tr>
      <w:tr w:rsidR="00DB596B" w:rsidRPr="00921D7E" w14:paraId="64E58790" w14:textId="77777777" w:rsidTr="00DB596B">
        <w:trPr>
          <w:trHeight w:val="531"/>
          <w:jc w:val="center"/>
        </w:trPr>
        <w:tc>
          <w:tcPr>
            <w:tcW w:w="4950" w:type="dxa"/>
            <w:tcBorders>
              <w:top w:val="single" w:sz="4" w:space="0" w:color="auto"/>
            </w:tcBorders>
          </w:tcPr>
          <w:p w14:paraId="5CC12E0C" w14:textId="77777777" w:rsidR="00DB596B" w:rsidRPr="00921D7E" w:rsidRDefault="00DB596B" w:rsidP="00401A5B">
            <w:pPr>
              <w:widowControl w:val="0"/>
              <w:contextualSpacing/>
              <w:jc w:val="both"/>
              <w:rPr>
                <w:sz w:val="20"/>
                <w:szCs w:val="20"/>
                <w:lang w:eastAsia="en-US"/>
              </w:rPr>
            </w:pPr>
            <w:r w:rsidRPr="00921D7E">
              <w:rPr>
                <w:sz w:val="20"/>
                <w:szCs w:val="20"/>
                <w:lang w:eastAsia="en-US"/>
              </w:rPr>
              <w:t xml:space="preserve">Sadzīves atkritumi un ražošanas atkritumi, kas nav uzskatāmi par bīstamiem atkritumiem, </w:t>
            </w:r>
            <w:r w:rsidRPr="00921D7E">
              <w:rPr>
                <w:bCs/>
                <w:i/>
                <w:sz w:val="20"/>
                <w:szCs w:val="20"/>
                <w:lang w:eastAsia="en-US"/>
              </w:rPr>
              <w:t>euro</w:t>
            </w:r>
            <w:r w:rsidRPr="00921D7E">
              <w:rPr>
                <w:sz w:val="20"/>
                <w:szCs w:val="20"/>
                <w:lang w:eastAsia="en-US"/>
              </w:rPr>
              <w:t xml:space="preserve"> par tonnu</w:t>
            </w:r>
          </w:p>
        </w:tc>
        <w:tc>
          <w:tcPr>
            <w:tcW w:w="1276" w:type="dxa"/>
            <w:tcBorders>
              <w:top w:val="single" w:sz="4" w:space="0" w:color="auto"/>
            </w:tcBorders>
            <w:vAlign w:val="center"/>
          </w:tcPr>
          <w:p w14:paraId="7A10766C" w14:textId="77777777" w:rsidR="00DB596B" w:rsidRPr="00921D7E" w:rsidRDefault="00DB596B" w:rsidP="00401A5B">
            <w:pPr>
              <w:widowControl w:val="0"/>
              <w:contextualSpacing/>
              <w:jc w:val="center"/>
              <w:rPr>
                <w:sz w:val="20"/>
                <w:szCs w:val="20"/>
                <w:lang w:eastAsia="en-US"/>
              </w:rPr>
            </w:pPr>
            <w:r w:rsidRPr="00921D7E">
              <w:rPr>
                <w:sz w:val="20"/>
                <w:szCs w:val="20"/>
                <w:lang w:eastAsia="en-US"/>
              </w:rPr>
              <w:t>35,0</w:t>
            </w:r>
          </w:p>
        </w:tc>
        <w:tc>
          <w:tcPr>
            <w:tcW w:w="1276" w:type="dxa"/>
            <w:tcBorders>
              <w:top w:val="single" w:sz="4" w:space="0" w:color="auto"/>
            </w:tcBorders>
            <w:vAlign w:val="center"/>
          </w:tcPr>
          <w:p w14:paraId="649BF4EF" w14:textId="77777777" w:rsidR="00DB596B" w:rsidRPr="00921D7E" w:rsidRDefault="00DB596B" w:rsidP="00401A5B">
            <w:pPr>
              <w:widowControl w:val="0"/>
              <w:contextualSpacing/>
              <w:jc w:val="center"/>
              <w:rPr>
                <w:sz w:val="20"/>
                <w:szCs w:val="20"/>
                <w:lang w:eastAsia="en-US"/>
              </w:rPr>
            </w:pPr>
            <w:r w:rsidRPr="00921D7E">
              <w:rPr>
                <w:sz w:val="20"/>
                <w:szCs w:val="20"/>
                <w:lang w:eastAsia="en-US"/>
              </w:rPr>
              <w:t>43,0</w:t>
            </w:r>
          </w:p>
        </w:tc>
        <w:tc>
          <w:tcPr>
            <w:tcW w:w="1261" w:type="dxa"/>
            <w:tcBorders>
              <w:top w:val="single" w:sz="4" w:space="0" w:color="auto"/>
            </w:tcBorders>
            <w:vAlign w:val="center"/>
          </w:tcPr>
          <w:p w14:paraId="4E105DA6" w14:textId="77777777" w:rsidR="00DB596B" w:rsidRPr="00921D7E" w:rsidRDefault="00DB596B" w:rsidP="00401A5B">
            <w:pPr>
              <w:widowControl w:val="0"/>
              <w:contextualSpacing/>
              <w:jc w:val="center"/>
              <w:rPr>
                <w:sz w:val="20"/>
                <w:szCs w:val="20"/>
                <w:lang w:eastAsia="en-US"/>
              </w:rPr>
            </w:pPr>
            <w:r w:rsidRPr="00921D7E">
              <w:rPr>
                <w:sz w:val="20"/>
                <w:szCs w:val="20"/>
                <w:lang w:eastAsia="en-US"/>
              </w:rPr>
              <w:t>50,0</w:t>
            </w:r>
          </w:p>
        </w:tc>
      </w:tr>
      <w:tr w:rsidR="00DB596B" w:rsidRPr="00921D7E" w14:paraId="09DFD59D" w14:textId="77777777" w:rsidTr="00DB596B">
        <w:trPr>
          <w:trHeight w:val="553"/>
          <w:jc w:val="center"/>
        </w:trPr>
        <w:tc>
          <w:tcPr>
            <w:tcW w:w="4950" w:type="dxa"/>
          </w:tcPr>
          <w:p w14:paraId="548E8C7B" w14:textId="77777777" w:rsidR="00DB596B" w:rsidRPr="00921D7E" w:rsidRDefault="00DB596B" w:rsidP="00401A5B">
            <w:pPr>
              <w:widowControl w:val="0"/>
              <w:contextualSpacing/>
              <w:jc w:val="both"/>
              <w:rPr>
                <w:sz w:val="20"/>
                <w:szCs w:val="20"/>
                <w:lang w:eastAsia="en-US"/>
              </w:rPr>
            </w:pPr>
            <w:r w:rsidRPr="00921D7E">
              <w:rPr>
                <w:sz w:val="20"/>
                <w:szCs w:val="20"/>
                <w:lang w:eastAsia="en-US"/>
              </w:rPr>
              <w:t xml:space="preserve">Bīstamie atkritumi un ražošanas atkritumi, kas ir uzskatāmi par bīstamiem atkritumiem, </w:t>
            </w:r>
            <w:r w:rsidRPr="00921D7E">
              <w:rPr>
                <w:bCs/>
                <w:i/>
                <w:sz w:val="20"/>
                <w:szCs w:val="20"/>
                <w:lang w:eastAsia="en-US"/>
              </w:rPr>
              <w:t>euro</w:t>
            </w:r>
            <w:r w:rsidRPr="00921D7E">
              <w:rPr>
                <w:sz w:val="20"/>
                <w:szCs w:val="20"/>
                <w:lang w:eastAsia="en-US"/>
              </w:rPr>
              <w:t xml:space="preserve"> par tonnu</w:t>
            </w:r>
          </w:p>
        </w:tc>
        <w:tc>
          <w:tcPr>
            <w:tcW w:w="1276" w:type="dxa"/>
            <w:vAlign w:val="center"/>
          </w:tcPr>
          <w:p w14:paraId="7BB03D78" w14:textId="77777777" w:rsidR="00DB596B" w:rsidRPr="00921D7E" w:rsidRDefault="00DB596B" w:rsidP="00401A5B">
            <w:pPr>
              <w:widowControl w:val="0"/>
              <w:contextualSpacing/>
              <w:jc w:val="center"/>
              <w:rPr>
                <w:sz w:val="20"/>
                <w:szCs w:val="20"/>
                <w:lang w:eastAsia="en-US"/>
              </w:rPr>
            </w:pPr>
            <w:r w:rsidRPr="00921D7E">
              <w:rPr>
                <w:sz w:val="20"/>
                <w:szCs w:val="20"/>
                <w:lang w:eastAsia="en-US"/>
              </w:rPr>
              <w:t>50,0</w:t>
            </w:r>
          </w:p>
        </w:tc>
        <w:tc>
          <w:tcPr>
            <w:tcW w:w="1276" w:type="dxa"/>
            <w:vAlign w:val="center"/>
          </w:tcPr>
          <w:p w14:paraId="33332F4A" w14:textId="77777777" w:rsidR="00DB596B" w:rsidRPr="00921D7E" w:rsidRDefault="00DB596B" w:rsidP="00401A5B">
            <w:pPr>
              <w:widowControl w:val="0"/>
              <w:contextualSpacing/>
              <w:jc w:val="center"/>
              <w:rPr>
                <w:sz w:val="20"/>
                <w:szCs w:val="20"/>
                <w:lang w:eastAsia="en-US"/>
              </w:rPr>
            </w:pPr>
            <w:r w:rsidRPr="00921D7E">
              <w:rPr>
                <w:sz w:val="20"/>
                <w:szCs w:val="20"/>
                <w:lang w:eastAsia="en-US"/>
              </w:rPr>
              <w:t>55,0</w:t>
            </w:r>
          </w:p>
        </w:tc>
        <w:tc>
          <w:tcPr>
            <w:tcW w:w="1261" w:type="dxa"/>
            <w:vAlign w:val="center"/>
          </w:tcPr>
          <w:p w14:paraId="4DA9E5C0" w14:textId="77777777" w:rsidR="00DB596B" w:rsidRPr="00921D7E" w:rsidRDefault="00DB596B" w:rsidP="00401A5B">
            <w:pPr>
              <w:widowControl w:val="0"/>
              <w:contextualSpacing/>
              <w:jc w:val="center"/>
              <w:rPr>
                <w:sz w:val="20"/>
                <w:szCs w:val="20"/>
                <w:lang w:eastAsia="en-US"/>
              </w:rPr>
            </w:pPr>
            <w:r w:rsidRPr="00921D7E">
              <w:rPr>
                <w:sz w:val="20"/>
                <w:szCs w:val="20"/>
                <w:lang w:eastAsia="en-US"/>
              </w:rPr>
              <w:t>60,0</w:t>
            </w:r>
          </w:p>
        </w:tc>
      </w:tr>
    </w:tbl>
    <w:p w14:paraId="6B1299DC" w14:textId="77777777" w:rsidR="00DB596B" w:rsidRPr="00DB596B" w:rsidRDefault="00DB596B" w:rsidP="00401A5B">
      <w:pPr>
        <w:jc w:val="both"/>
        <w:rPr>
          <w:rFonts w:ascii="Times New Roman" w:eastAsia="Calibri" w:hAnsi="Times New Roman" w:cs="Times New Roman"/>
          <w:i/>
          <w:szCs w:val="28"/>
        </w:rPr>
      </w:pPr>
    </w:p>
    <w:p w14:paraId="43A5851B" w14:textId="185D3AD6" w:rsidR="00DB596B" w:rsidRPr="00921D7E" w:rsidRDefault="00DB596B" w:rsidP="00401A5B">
      <w:pPr>
        <w:ind w:firstLine="720"/>
        <w:jc w:val="both"/>
        <w:rPr>
          <w:rFonts w:ascii="Times New Roman" w:eastAsia="Times New Roman" w:hAnsi="Times New Roman" w:cs="Times New Roman"/>
          <w:sz w:val="28"/>
          <w:szCs w:val="20"/>
          <w:lang w:eastAsia="en-US"/>
        </w:rPr>
      </w:pPr>
      <w:r w:rsidRPr="00921D7E">
        <w:rPr>
          <w:rFonts w:ascii="Times New Roman" w:eastAsia="Calibri" w:hAnsi="Times New Roman" w:cs="Times New Roman"/>
          <w:noProof/>
          <w:sz w:val="28"/>
          <w:szCs w:val="28"/>
        </w:rPr>
        <w:t xml:space="preserve">Saskaņā ar 2019.gada 3.aprīlī pieņemtajiem grozījumiem </w:t>
      </w:r>
      <w:r w:rsidR="00921D7E">
        <w:rPr>
          <w:rFonts w:ascii="Times New Roman" w:eastAsia="Calibri" w:hAnsi="Times New Roman" w:cs="Times New Roman"/>
          <w:noProof/>
          <w:sz w:val="28"/>
          <w:szCs w:val="28"/>
        </w:rPr>
        <w:t>likumā “</w:t>
      </w:r>
      <w:r w:rsidRPr="00921D7E">
        <w:rPr>
          <w:rFonts w:ascii="Times New Roman" w:eastAsia="Calibri" w:hAnsi="Times New Roman" w:cs="Times New Roman"/>
          <w:noProof/>
          <w:sz w:val="28"/>
          <w:szCs w:val="28"/>
        </w:rPr>
        <w:t>Dab</w:t>
      </w:r>
      <w:r w:rsidR="00921D7E">
        <w:rPr>
          <w:rFonts w:ascii="Times New Roman" w:eastAsia="Calibri" w:hAnsi="Times New Roman" w:cs="Times New Roman"/>
          <w:noProof/>
          <w:sz w:val="28"/>
          <w:szCs w:val="28"/>
        </w:rPr>
        <w:t>as resursu nodokļa likums”</w:t>
      </w:r>
      <w:r w:rsidRPr="00921D7E">
        <w:rPr>
          <w:rFonts w:ascii="Times New Roman" w:eastAsia="Calibri" w:hAnsi="Times New Roman" w:cs="Times New Roman"/>
          <w:noProof/>
          <w:sz w:val="28"/>
          <w:szCs w:val="28"/>
        </w:rPr>
        <w:t xml:space="preserve"> ar 2019.gada 13.aprīli, samaksājot dabas resursu nodokli 165,0 </w:t>
      </w:r>
      <w:r w:rsidRPr="00921D7E">
        <w:rPr>
          <w:rFonts w:ascii="Times New Roman" w:eastAsia="Times New Roman" w:hAnsi="Times New Roman" w:cs="Times New Roman"/>
          <w:bCs/>
          <w:i/>
          <w:noProof/>
          <w:sz w:val="28"/>
          <w:szCs w:val="24"/>
        </w:rPr>
        <w:t>euro</w:t>
      </w:r>
      <w:r w:rsidRPr="00921D7E">
        <w:rPr>
          <w:rFonts w:ascii="Times New Roman" w:eastAsia="Calibri" w:hAnsi="Times New Roman" w:cs="Times New Roman"/>
          <w:noProof/>
          <w:sz w:val="28"/>
          <w:szCs w:val="28"/>
        </w:rPr>
        <w:t xml:space="preserve"> apmērā, tika noteikta iespēja norakstīt transportlīdzekli, ja nav iespējams saņemt nolietota transportlīdzekļa likvidācijas sertifikātu sakarā ar transportlīdzekļa neesamību. Ar minētajiem </w:t>
      </w:r>
      <w:r w:rsidRPr="00921D7E">
        <w:rPr>
          <w:rFonts w:ascii="Times New Roman" w:eastAsia="Calibri" w:hAnsi="Times New Roman" w:cs="Times New Roman"/>
          <w:sz w:val="28"/>
          <w:szCs w:val="28"/>
        </w:rPr>
        <w:t>grozījumiem</w:t>
      </w:r>
      <w:r w:rsidRPr="00921D7E">
        <w:rPr>
          <w:rFonts w:ascii="Times New Roman" w:eastAsia="Calibri" w:hAnsi="Times New Roman" w:cs="Times New Roman"/>
          <w:noProof/>
          <w:sz w:val="28"/>
          <w:szCs w:val="28"/>
        </w:rPr>
        <w:t xml:space="preserve"> kopš 2019.gada 1.jūlija vairs netiek piemērots</w:t>
      </w:r>
      <w:r w:rsidRPr="00921D7E">
        <w:rPr>
          <w:rFonts w:ascii="Times New Roman" w:eastAsia="Times New Roman" w:hAnsi="Times New Roman" w:cs="Times New Roman"/>
          <w:sz w:val="28"/>
          <w:szCs w:val="20"/>
          <w:shd w:val="clear" w:color="auto" w:fill="FFFFFF"/>
          <w:lang w:eastAsia="en-US"/>
        </w:rPr>
        <w:t xml:space="preserve"> dabas resursu nodokļa atbrīvojums vienreiz lietojamajiem galda traukiem un piederumiem, kas izgatavoti no plastmasas (polimēriem) un to kompozītmateriāliem (laminātiem). </w:t>
      </w:r>
    </w:p>
    <w:p w14:paraId="3FF04423" w14:textId="77777777" w:rsidR="00DB596B" w:rsidRPr="00921D7E" w:rsidRDefault="00DB596B" w:rsidP="00401A5B">
      <w:pPr>
        <w:widowControl w:val="0"/>
        <w:ind w:firstLine="720"/>
        <w:jc w:val="both"/>
        <w:rPr>
          <w:rFonts w:ascii="Times New Roman" w:eastAsia="Times New Roman" w:hAnsi="Times New Roman" w:cs="Times New Roman"/>
          <w:sz w:val="28"/>
          <w:szCs w:val="24"/>
          <w:lang w:eastAsia="en-US"/>
        </w:rPr>
      </w:pPr>
      <w:r w:rsidRPr="00921D7E">
        <w:rPr>
          <w:rFonts w:ascii="Times New Roman" w:eastAsia="Times New Roman" w:hAnsi="Times New Roman" w:cs="Times New Roman"/>
          <w:sz w:val="28"/>
          <w:szCs w:val="24"/>
          <w:lang w:eastAsia="en-US"/>
        </w:rPr>
        <w:t>Saskaņā ar 2019.gada 14.novembrī pieņemtajiem grozījumiem Dabas resursu nodokļa likumā ar 2020.gada 1.janvāri dabas resursu nodoklis tika paaugstināts:</w:t>
      </w:r>
    </w:p>
    <w:p w14:paraId="7F72B8B2" w14:textId="77777777" w:rsidR="00DB596B" w:rsidRPr="00921D7E" w:rsidRDefault="00DB596B" w:rsidP="00FB2B77">
      <w:pPr>
        <w:widowControl w:val="0"/>
        <w:numPr>
          <w:ilvl w:val="0"/>
          <w:numId w:val="36"/>
        </w:numPr>
        <w:contextualSpacing/>
        <w:jc w:val="both"/>
        <w:rPr>
          <w:rFonts w:ascii="Times New Roman" w:eastAsia="Times New Roman" w:hAnsi="Times New Roman" w:cs="Times New Roman"/>
          <w:sz w:val="28"/>
          <w:szCs w:val="24"/>
          <w:lang w:eastAsia="en-US"/>
        </w:rPr>
      </w:pPr>
      <w:r w:rsidRPr="00921D7E">
        <w:rPr>
          <w:rFonts w:ascii="Times New Roman" w:eastAsia="Times New Roman" w:hAnsi="Times New Roman" w:cs="Times New Roman"/>
          <w:sz w:val="28"/>
          <w:szCs w:val="24"/>
          <w:lang w:eastAsia="en-US"/>
        </w:rPr>
        <w:t>akmeņoglēm, koksam un lignītam no 0,38 </w:t>
      </w:r>
      <w:r w:rsidRPr="00921D7E">
        <w:rPr>
          <w:rFonts w:ascii="Times New Roman" w:eastAsia="Times New Roman" w:hAnsi="Times New Roman" w:cs="Times New Roman"/>
          <w:i/>
          <w:sz w:val="28"/>
          <w:szCs w:val="24"/>
          <w:lang w:eastAsia="en-US"/>
        </w:rPr>
        <w:t>euro</w:t>
      </w:r>
      <w:r w:rsidRPr="00921D7E">
        <w:rPr>
          <w:rFonts w:ascii="Times New Roman" w:eastAsia="Times New Roman" w:hAnsi="Times New Roman" w:cs="Times New Roman"/>
          <w:sz w:val="28"/>
          <w:szCs w:val="24"/>
          <w:lang w:eastAsia="en-US"/>
        </w:rPr>
        <w:t xml:space="preserve"> līdz 0,76 </w:t>
      </w:r>
      <w:r w:rsidRPr="00921D7E">
        <w:rPr>
          <w:rFonts w:ascii="Times New Roman" w:eastAsia="Times New Roman" w:hAnsi="Times New Roman" w:cs="Times New Roman"/>
          <w:i/>
          <w:sz w:val="28"/>
          <w:szCs w:val="24"/>
          <w:lang w:eastAsia="en-US"/>
        </w:rPr>
        <w:t>euro</w:t>
      </w:r>
      <w:r w:rsidRPr="00921D7E">
        <w:rPr>
          <w:rFonts w:ascii="Times New Roman" w:eastAsia="Times New Roman" w:hAnsi="Times New Roman" w:cs="Times New Roman"/>
          <w:sz w:val="28"/>
          <w:szCs w:val="24"/>
          <w:lang w:eastAsia="en-US"/>
        </w:rPr>
        <w:t xml:space="preserve"> par GJ/tonnā ar pavaddokumentos norādītu siltumspēju. Par akmeņoglēm, koksu un lignītu, kuru pavaddokumentos nav norādīta siltumspēja, likme tika paaugstināta no 10,65 </w:t>
      </w:r>
      <w:r w:rsidRPr="00921D7E">
        <w:rPr>
          <w:rFonts w:ascii="Times New Roman" w:eastAsia="Times New Roman" w:hAnsi="Times New Roman" w:cs="Times New Roman"/>
          <w:i/>
          <w:sz w:val="28"/>
          <w:szCs w:val="24"/>
          <w:lang w:eastAsia="en-US"/>
        </w:rPr>
        <w:t>euro</w:t>
      </w:r>
      <w:r w:rsidRPr="00921D7E">
        <w:rPr>
          <w:rFonts w:ascii="Times New Roman" w:eastAsia="Times New Roman" w:hAnsi="Times New Roman" w:cs="Times New Roman"/>
          <w:sz w:val="28"/>
          <w:szCs w:val="24"/>
          <w:lang w:eastAsia="en-US"/>
        </w:rPr>
        <w:t xml:space="preserve"> līdz 21,3 </w:t>
      </w:r>
      <w:r w:rsidRPr="00921D7E">
        <w:rPr>
          <w:rFonts w:ascii="Times New Roman" w:eastAsia="Times New Roman" w:hAnsi="Times New Roman" w:cs="Times New Roman"/>
          <w:i/>
          <w:sz w:val="28"/>
          <w:szCs w:val="24"/>
          <w:lang w:eastAsia="en-US"/>
        </w:rPr>
        <w:t>euro</w:t>
      </w:r>
      <w:r w:rsidRPr="00921D7E">
        <w:rPr>
          <w:rFonts w:ascii="Times New Roman" w:eastAsia="Times New Roman" w:hAnsi="Times New Roman" w:cs="Times New Roman"/>
          <w:sz w:val="28"/>
          <w:szCs w:val="24"/>
          <w:lang w:eastAsia="en-US"/>
        </w:rPr>
        <w:t xml:space="preserve"> par tonnu;</w:t>
      </w:r>
    </w:p>
    <w:p w14:paraId="6F247787" w14:textId="77777777" w:rsidR="00DB596B" w:rsidRPr="00921D7E" w:rsidRDefault="00DB596B" w:rsidP="00FB2B77">
      <w:pPr>
        <w:widowControl w:val="0"/>
        <w:numPr>
          <w:ilvl w:val="0"/>
          <w:numId w:val="36"/>
        </w:numPr>
        <w:contextualSpacing/>
        <w:jc w:val="both"/>
        <w:rPr>
          <w:rFonts w:ascii="Times New Roman" w:eastAsia="Times New Roman" w:hAnsi="Times New Roman" w:cs="Times New Roman"/>
          <w:sz w:val="28"/>
          <w:szCs w:val="24"/>
          <w:lang w:eastAsia="en-US"/>
        </w:rPr>
      </w:pPr>
      <w:r w:rsidRPr="00921D7E">
        <w:rPr>
          <w:rFonts w:ascii="Times New Roman" w:eastAsia="Calibri" w:hAnsi="Times New Roman" w:cs="Times New Roman"/>
          <w:noProof/>
          <w:sz w:val="28"/>
          <w:szCs w:val="28"/>
        </w:rPr>
        <w:t xml:space="preserve">smiltij no 0,21 līdz 0,36 </w:t>
      </w:r>
      <w:r w:rsidRPr="00921D7E">
        <w:rPr>
          <w:rFonts w:ascii="Times New Roman" w:eastAsia="Calibri" w:hAnsi="Times New Roman" w:cs="Times New Roman"/>
          <w:i/>
          <w:noProof/>
          <w:sz w:val="28"/>
          <w:szCs w:val="28"/>
        </w:rPr>
        <w:t>euro</w:t>
      </w:r>
      <w:r w:rsidRPr="00921D7E">
        <w:rPr>
          <w:rFonts w:ascii="Times New Roman" w:eastAsia="Calibri" w:hAnsi="Times New Roman" w:cs="Times New Roman"/>
          <w:noProof/>
          <w:sz w:val="28"/>
          <w:szCs w:val="28"/>
        </w:rPr>
        <w:t xml:space="preserve"> par m</w:t>
      </w:r>
      <w:r w:rsidRPr="00921D7E">
        <w:rPr>
          <w:rFonts w:ascii="Times New Roman" w:eastAsia="Calibri" w:hAnsi="Times New Roman" w:cs="Times New Roman"/>
          <w:noProof/>
          <w:sz w:val="28"/>
          <w:szCs w:val="28"/>
          <w:vertAlign w:val="superscript"/>
        </w:rPr>
        <w:t>3</w:t>
      </w:r>
      <w:r w:rsidRPr="00921D7E">
        <w:rPr>
          <w:rFonts w:ascii="Times New Roman" w:eastAsia="Calibri" w:hAnsi="Times New Roman" w:cs="Times New Roman"/>
          <w:noProof/>
          <w:sz w:val="28"/>
          <w:szCs w:val="28"/>
        </w:rPr>
        <w:t>;</w:t>
      </w:r>
    </w:p>
    <w:p w14:paraId="650A616A" w14:textId="77777777" w:rsidR="00DB596B" w:rsidRPr="00921D7E" w:rsidRDefault="00DB596B" w:rsidP="00FB2B77">
      <w:pPr>
        <w:widowControl w:val="0"/>
        <w:numPr>
          <w:ilvl w:val="0"/>
          <w:numId w:val="36"/>
        </w:numPr>
        <w:contextualSpacing/>
        <w:jc w:val="both"/>
        <w:rPr>
          <w:rFonts w:ascii="Times New Roman" w:eastAsia="Times New Roman" w:hAnsi="Times New Roman" w:cs="Times New Roman"/>
          <w:sz w:val="28"/>
          <w:szCs w:val="24"/>
          <w:lang w:eastAsia="en-US"/>
        </w:rPr>
      </w:pPr>
      <w:r w:rsidRPr="00921D7E">
        <w:rPr>
          <w:rFonts w:ascii="Times New Roman" w:eastAsia="Calibri" w:hAnsi="Times New Roman" w:cs="Times New Roman"/>
          <w:noProof/>
          <w:sz w:val="28"/>
          <w:szCs w:val="28"/>
        </w:rPr>
        <w:t>par CO</w:t>
      </w:r>
      <w:r w:rsidRPr="00921D7E">
        <w:rPr>
          <w:rFonts w:ascii="Times New Roman" w:eastAsia="Calibri" w:hAnsi="Times New Roman" w:cs="Times New Roman"/>
          <w:noProof/>
          <w:sz w:val="28"/>
          <w:szCs w:val="28"/>
          <w:vertAlign w:val="subscript"/>
        </w:rPr>
        <w:t>2</w:t>
      </w:r>
      <w:r w:rsidRPr="00921D7E">
        <w:rPr>
          <w:rFonts w:ascii="Times New Roman" w:eastAsia="Calibri" w:hAnsi="Times New Roman" w:cs="Times New Roman"/>
          <w:noProof/>
          <w:sz w:val="28"/>
          <w:szCs w:val="28"/>
        </w:rPr>
        <w:t xml:space="preserve"> emisiju gaisā no 4,5 </w:t>
      </w:r>
      <w:r w:rsidRPr="00921D7E">
        <w:rPr>
          <w:rFonts w:ascii="Times New Roman" w:eastAsia="Calibri" w:hAnsi="Times New Roman" w:cs="Times New Roman"/>
          <w:i/>
          <w:noProof/>
          <w:sz w:val="28"/>
          <w:szCs w:val="28"/>
        </w:rPr>
        <w:t>euro</w:t>
      </w:r>
      <w:r w:rsidRPr="00921D7E">
        <w:rPr>
          <w:rFonts w:ascii="Times New Roman" w:eastAsia="Calibri" w:hAnsi="Times New Roman" w:cs="Times New Roman"/>
          <w:noProof/>
          <w:sz w:val="28"/>
          <w:szCs w:val="28"/>
        </w:rPr>
        <w:t xml:space="preserve"> līdz 9,0 </w:t>
      </w:r>
      <w:r w:rsidRPr="00921D7E">
        <w:rPr>
          <w:rFonts w:ascii="Times New Roman" w:eastAsia="Calibri" w:hAnsi="Times New Roman" w:cs="Times New Roman"/>
          <w:i/>
          <w:noProof/>
          <w:sz w:val="28"/>
          <w:szCs w:val="28"/>
        </w:rPr>
        <w:t>euro</w:t>
      </w:r>
      <w:r w:rsidRPr="00921D7E">
        <w:rPr>
          <w:rFonts w:ascii="Times New Roman" w:eastAsia="Calibri" w:hAnsi="Times New Roman" w:cs="Times New Roman"/>
          <w:noProof/>
          <w:sz w:val="28"/>
          <w:szCs w:val="28"/>
        </w:rPr>
        <w:t xml:space="preserve"> par tonnu. Likmes paaugstinājums tika noteikts arī turpmākajos gados.</w:t>
      </w:r>
    </w:p>
    <w:p w14:paraId="5A480496" w14:textId="77777777" w:rsidR="00DB596B" w:rsidRPr="00921D7E" w:rsidRDefault="00DB596B" w:rsidP="00401A5B">
      <w:pPr>
        <w:ind w:firstLine="720"/>
        <w:contextualSpacing/>
        <w:jc w:val="both"/>
        <w:rPr>
          <w:rFonts w:ascii="Times New Roman" w:eastAsia="Times New Roman" w:hAnsi="Times New Roman" w:cs="Times New Roman"/>
          <w:sz w:val="28"/>
          <w:szCs w:val="20"/>
          <w:lang w:eastAsia="en-US"/>
        </w:rPr>
      </w:pPr>
      <w:r w:rsidRPr="00921D7E">
        <w:rPr>
          <w:rFonts w:ascii="Times New Roman" w:eastAsia="Times New Roman" w:hAnsi="Times New Roman" w:cs="Times New Roman"/>
          <w:sz w:val="28"/>
          <w:szCs w:val="20"/>
          <w:lang w:eastAsia="en-US"/>
        </w:rPr>
        <w:t>Vienlaicīgi ar minētajiem grozījumiem tika mainīts nodokļa ieņēmumu sadalījums starp valsts un pašvaldību budžetiem, palielinot valsts pamatbudžetā ieskaitāmo daļu no dabas resursu nodokļa ieņēmumiem par atkritumu apglabāšanu no 40% līdz100%, par dabas resursu ieguvi un vides piesārņošanu no 40% līdz 60% un par oglekļa dioksīda (CO</w:t>
      </w:r>
      <w:r w:rsidRPr="00921D7E">
        <w:rPr>
          <w:rFonts w:ascii="Times New Roman" w:eastAsia="Times New Roman" w:hAnsi="Times New Roman" w:cs="Times New Roman"/>
          <w:sz w:val="28"/>
          <w:szCs w:val="20"/>
          <w:vertAlign w:val="subscript"/>
          <w:lang w:eastAsia="en-US"/>
        </w:rPr>
        <w:t>2</w:t>
      </w:r>
      <w:r w:rsidRPr="00921D7E">
        <w:rPr>
          <w:rFonts w:ascii="Times New Roman" w:eastAsia="Times New Roman" w:hAnsi="Times New Roman" w:cs="Times New Roman"/>
          <w:sz w:val="28"/>
          <w:szCs w:val="20"/>
          <w:lang w:eastAsia="en-US"/>
        </w:rPr>
        <w:t>) emisiju no 60% līdz 100%).</w:t>
      </w:r>
    </w:p>
    <w:p w14:paraId="3F17145A" w14:textId="6C7EB6CB" w:rsidR="00DB596B" w:rsidRPr="00921D7E" w:rsidRDefault="00DB596B" w:rsidP="00921D7E">
      <w:pPr>
        <w:ind w:firstLine="720"/>
        <w:jc w:val="both"/>
        <w:rPr>
          <w:rFonts w:ascii="Times New Roman" w:eastAsia="Times New Roman" w:hAnsi="Times New Roman" w:cs="Times New Roman"/>
          <w:sz w:val="28"/>
          <w:szCs w:val="20"/>
          <w:lang w:eastAsia="en-US"/>
        </w:rPr>
      </w:pPr>
      <w:r w:rsidRPr="00921D7E">
        <w:rPr>
          <w:rFonts w:ascii="Times New Roman" w:eastAsia="Times New Roman" w:hAnsi="Times New Roman" w:cs="Times New Roman"/>
          <w:sz w:val="28"/>
          <w:szCs w:val="20"/>
          <w:lang w:eastAsia="en-US"/>
        </w:rPr>
        <w:t>Ņemot vērā iepriekš uzskaitītos faktorus, dabas resursu nodokļa ieņēmumi 2020.gadam tiek prognozēti 31,8 milj. </w:t>
      </w:r>
      <w:r w:rsidRPr="00921D7E">
        <w:rPr>
          <w:rFonts w:ascii="Times New Roman" w:eastAsia="Times New Roman" w:hAnsi="Times New Roman" w:cs="Times New Roman"/>
          <w:bCs/>
          <w:i/>
          <w:sz w:val="28"/>
          <w:szCs w:val="24"/>
          <w:lang w:eastAsia="en-US"/>
        </w:rPr>
        <w:t>euro</w:t>
      </w:r>
      <w:r w:rsidRPr="00921D7E">
        <w:rPr>
          <w:rFonts w:ascii="Times New Roman" w:eastAsia="Times New Roman" w:hAnsi="Times New Roman" w:cs="Times New Roman"/>
          <w:sz w:val="28"/>
          <w:szCs w:val="20"/>
          <w:lang w:eastAsia="en-US"/>
        </w:rPr>
        <w:t xml:space="preserve"> apmērā, kas ir par 6,1 milj. </w:t>
      </w:r>
      <w:r w:rsidRPr="00921D7E">
        <w:rPr>
          <w:rFonts w:ascii="Times New Roman" w:eastAsia="Times New Roman" w:hAnsi="Times New Roman" w:cs="Times New Roman"/>
          <w:bCs/>
          <w:i/>
          <w:sz w:val="28"/>
          <w:szCs w:val="24"/>
          <w:lang w:eastAsia="en-US"/>
        </w:rPr>
        <w:t>euro</w:t>
      </w:r>
      <w:r w:rsidRPr="00921D7E">
        <w:rPr>
          <w:rFonts w:ascii="Times New Roman" w:eastAsia="Times New Roman" w:hAnsi="Times New Roman" w:cs="Times New Roman"/>
          <w:sz w:val="28"/>
          <w:szCs w:val="20"/>
          <w:lang w:eastAsia="en-US"/>
        </w:rPr>
        <w:t xml:space="preserve"> jeb 16,1% mazāk nekā plānots. </w:t>
      </w:r>
    </w:p>
    <w:p w14:paraId="7374A0C0" w14:textId="272E5D97" w:rsidR="00DB596B" w:rsidRPr="00921D7E" w:rsidRDefault="00DB596B" w:rsidP="00401A5B">
      <w:pPr>
        <w:ind w:firstLine="720"/>
        <w:jc w:val="both"/>
        <w:rPr>
          <w:rFonts w:ascii="Times New Roman" w:eastAsia="Times New Roman" w:hAnsi="Times New Roman" w:cs="Times New Roman"/>
          <w:sz w:val="28"/>
          <w:szCs w:val="20"/>
          <w:lang w:eastAsia="en-US"/>
        </w:rPr>
      </w:pPr>
      <w:r w:rsidRPr="00921D7E">
        <w:rPr>
          <w:rFonts w:ascii="Times New Roman" w:eastAsia="Times New Roman" w:hAnsi="Times New Roman" w:cs="Times New Roman"/>
          <w:sz w:val="28"/>
          <w:szCs w:val="24"/>
          <w:lang w:eastAsia="en-US"/>
        </w:rPr>
        <w:t xml:space="preserve">Saskaņā ar </w:t>
      </w:r>
      <w:r w:rsidR="00921D7E">
        <w:rPr>
          <w:rFonts w:ascii="Times New Roman" w:eastAsia="Times New Roman" w:hAnsi="Times New Roman" w:cs="Times New Roman"/>
          <w:sz w:val="28"/>
          <w:szCs w:val="24"/>
          <w:lang w:eastAsia="en-US"/>
        </w:rPr>
        <w:t>VTBIL 2021., 2022. un 2023.gadam projektu</w:t>
      </w:r>
      <w:r w:rsidRPr="00921D7E">
        <w:rPr>
          <w:rFonts w:ascii="Times New Roman" w:eastAsia="Times New Roman" w:hAnsi="Times New Roman" w:cs="Times New Roman"/>
          <w:sz w:val="28"/>
          <w:szCs w:val="24"/>
          <w:lang w:eastAsia="en-US"/>
        </w:rPr>
        <w:t xml:space="preserve"> kopējie dabas resursu nodokļa ieņēmumi plānoti 2</w:t>
      </w:r>
      <w:r w:rsidRPr="00921D7E">
        <w:rPr>
          <w:rFonts w:ascii="Times New Roman" w:eastAsia="Times New Roman" w:hAnsi="Times New Roman" w:cs="Times New Roman"/>
          <w:sz w:val="28"/>
          <w:szCs w:val="20"/>
          <w:lang w:eastAsia="en-US"/>
        </w:rPr>
        <w:t>021.gadā 38,9 milj. </w:t>
      </w:r>
      <w:r w:rsidRPr="00921D7E">
        <w:rPr>
          <w:rFonts w:ascii="Times New Roman" w:eastAsia="Times New Roman" w:hAnsi="Times New Roman" w:cs="Times New Roman"/>
          <w:i/>
          <w:sz w:val="28"/>
          <w:szCs w:val="20"/>
          <w:lang w:eastAsia="en-US"/>
        </w:rPr>
        <w:t xml:space="preserve">euro </w:t>
      </w:r>
      <w:r w:rsidRPr="00921D7E">
        <w:rPr>
          <w:rFonts w:ascii="Times New Roman" w:eastAsia="Times New Roman" w:hAnsi="Times New Roman" w:cs="Times New Roman"/>
          <w:sz w:val="28"/>
          <w:szCs w:val="20"/>
          <w:lang w:eastAsia="en-US"/>
        </w:rPr>
        <w:t>(t.sk. valsts pamatbudžetā 31,2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pašvaldību budžetā 7,7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2022.gadā 44,5 milj. </w:t>
      </w:r>
      <w:r w:rsidRPr="00921D7E">
        <w:rPr>
          <w:rFonts w:ascii="Times New Roman" w:eastAsia="Times New Roman" w:hAnsi="Times New Roman" w:cs="Times New Roman"/>
          <w:i/>
          <w:sz w:val="28"/>
          <w:szCs w:val="20"/>
          <w:lang w:eastAsia="en-US"/>
        </w:rPr>
        <w:t xml:space="preserve">euro </w:t>
      </w:r>
      <w:r w:rsidRPr="00921D7E">
        <w:rPr>
          <w:rFonts w:ascii="Times New Roman" w:eastAsia="Times New Roman" w:hAnsi="Times New Roman" w:cs="Times New Roman"/>
          <w:sz w:val="28"/>
          <w:szCs w:val="20"/>
          <w:lang w:eastAsia="en-US"/>
        </w:rPr>
        <w:t>(t.sk. valsts pamatbudžetā 34,7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pašvaldību budžetā 9,8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un 2023.gadā 48,4 milj. </w:t>
      </w:r>
      <w:r w:rsidRPr="00921D7E">
        <w:rPr>
          <w:rFonts w:ascii="Times New Roman" w:eastAsia="Times New Roman" w:hAnsi="Times New Roman" w:cs="Times New Roman"/>
          <w:i/>
          <w:sz w:val="28"/>
          <w:szCs w:val="20"/>
          <w:lang w:eastAsia="en-US"/>
        </w:rPr>
        <w:t xml:space="preserve">euro </w:t>
      </w:r>
      <w:r w:rsidRPr="00921D7E">
        <w:rPr>
          <w:rFonts w:ascii="Times New Roman" w:eastAsia="Times New Roman" w:hAnsi="Times New Roman" w:cs="Times New Roman"/>
          <w:sz w:val="28"/>
          <w:szCs w:val="20"/>
          <w:lang w:eastAsia="en-US"/>
        </w:rPr>
        <w:t>(t.sk. valsts pamatbudžetā 37,1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pašvaldību budžetā 11,3 milj. </w:t>
      </w:r>
      <w:r w:rsidRPr="00921D7E">
        <w:rPr>
          <w:rFonts w:ascii="Times New Roman" w:eastAsia="Times New Roman" w:hAnsi="Times New Roman" w:cs="Times New Roman"/>
          <w:i/>
          <w:sz w:val="28"/>
          <w:szCs w:val="20"/>
          <w:lang w:eastAsia="en-US"/>
        </w:rPr>
        <w:t>euro</w:t>
      </w:r>
      <w:r w:rsidRPr="00921D7E">
        <w:rPr>
          <w:rFonts w:ascii="Times New Roman" w:eastAsia="Times New Roman" w:hAnsi="Times New Roman" w:cs="Times New Roman"/>
          <w:sz w:val="28"/>
          <w:szCs w:val="20"/>
          <w:lang w:eastAsia="en-US"/>
        </w:rPr>
        <w:t xml:space="preserve">). </w:t>
      </w:r>
    </w:p>
    <w:p w14:paraId="5C47E0B5" w14:textId="65F0F9AB" w:rsidR="00DB596B" w:rsidRPr="00921D7E" w:rsidRDefault="00DB596B" w:rsidP="00401A5B">
      <w:pPr>
        <w:ind w:firstLine="720"/>
        <w:jc w:val="both"/>
        <w:rPr>
          <w:rFonts w:ascii="Times New Roman" w:eastAsia="Times New Roman" w:hAnsi="Times New Roman" w:cs="Times New Roman"/>
          <w:sz w:val="28"/>
          <w:szCs w:val="20"/>
          <w:lang w:eastAsia="en-US"/>
        </w:rPr>
      </w:pPr>
      <w:r w:rsidRPr="00921D7E">
        <w:rPr>
          <w:rFonts w:ascii="Times New Roman" w:eastAsia="Times New Roman" w:hAnsi="Times New Roman" w:cs="Times New Roman"/>
          <w:sz w:val="28"/>
          <w:szCs w:val="20"/>
          <w:lang w:eastAsia="en-US"/>
        </w:rPr>
        <w:t xml:space="preserve">Dabas resursu nodokļa ieņēmumu plāns 2021., 2022. un 2023.gadam ir sagatavots, ņemot vērā iepriekšējo gadu izpildes tendences, prognozēto 2020.gada bāzi, nozares ekonomisko attīstību, kā arī apstiprinātās izmaiņas normatīvajos aktos un </w:t>
      </w:r>
      <w:r w:rsidR="00921D7E">
        <w:rPr>
          <w:rFonts w:ascii="Times New Roman" w:eastAsia="Times New Roman" w:hAnsi="Times New Roman" w:cs="Times New Roman"/>
          <w:sz w:val="28"/>
          <w:szCs w:val="20"/>
          <w:lang w:eastAsia="en-US"/>
        </w:rPr>
        <w:t>MK</w:t>
      </w:r>
      <w:r w:rsidRPr="00921D7E">
        <w:rPr>
          <w:rFonts w:ascii="Times New Roman" w:eastAsia="Times New Roman" w:hAnsi="Times New Roman" w:cs="Times New Roman"/>
          <w:sz w:val="28"/>
          <w:szCs w:val="20"/>
          <w:lang w:eastAsia="en-US"/>
        </w:rPr>
        <w:t xml:space="preserve"> atbalstītās izmaiņas:</w:t>
      </w:r>
    </w:p>
    <w:p w14:paraId="4C845C71" w14:textId="77777777" w:rsidR="00DB596B" w:rsidRPr="00921D7E" w:rsidRDefault="00DB596B" w:rsidP="00FB2B77">
      <w:pPr>
        <w:numPr>
          <w:ilvl w:val="0"/>
          <w:numId w:val="24"/>
        </w:numPr>
        <w:ind w:left="993" w:hanging="426"/>
        <w:contextualSpacing/>
        <w:jc w:val="both"/>
        <w:rPr>
          <w:rFonts w:ascii="Times New Roman" w:eastAsia="Times New Roman" w:hAnsi="Times New Roman" w:cs="Times New Roman"/>
          <w:sz w:val="28"/>
          <w:szCs w:val="24"/>
          <w:lang w:eastAsia="en-US"/>
        </w:rPr>
      </w:pPr>
      <w:r w:rsidRPr="00921D7E">
        <w:rPr>
          <w:rFonts w:ascii="Times New Roman" w:eastAsia="Times New Roman" w:hAnsi="Times New Roman" w:cs="Times New Roman"/>
          <w:sz w:val="28"/>
          <w:szCs w:val="24"/>
          <w:lang w:eastAsia="en-US"/>
        </w:rPr>
        <w:t>2019.gada 14.novembrī Saeimā pieņemtie grozījumi Dabas resursu nodokļa likumā, kas paredz ar 2021.gada 1.janvāri nodokli piemērot arī par sadzīves atkritumu sadedzināšanu un ar 2021.gadā dabas resursu nodokļa likmi par CO</w:t>
      </w:r>
      <w:r w:rsidRPr="00921D7E">
        <w:rPr>
          <w:rFonts w:ascii="Times New Roman" w:eastAsia="Times New Roman" w:hAnsi="Times New Roman" w:cs="Times New Roman"/>
          <w:sz w:val="28"/>
          <w:szCs w:val="24"/>
          <w:vertAlign w:val="subscript"/>
          <w:lang w:eastAsia="en-US"/>
        </w:rPr>
        <w:t>2</w:t>
      </w:r>
      <w:r w:rsidRPr="00921D7E">
        <w:rPr>
          <w:rFonts w:ascii="Times New Roman" w:eastAsia="Times New Roman" w:hAnsi="Times New Roman" w:cs="Times New Roman"/>
          <w:sz w:val="28"/>
          <w:szCs w:val="24"/>
          <w:lang w:eastAsia="en-US"/>
        </w:rPr>
        <w:t xml:space="preserve"> emisiju paaugstināt no 9,0 </w:t>
      </w:r>
      <w:r w:rsidRPr="00921D7E">
        <w:rPr>
          <w:rFonts w:ascii="Times New Roman" w:eastAsia="Times New Roman" w:hAnsi="Times New Roman" w:cs="Times New Roman"/>
          <w:i/>
          <w:sz w:val="28"/>
          <w:szCs w:val="24"/>
          <w:lang w:eastAsia="en-US"/>
        </w:rPr>
        <w:t>euro</w:t>
      </w:r>
      <w:r w:rsidRPr="00921D7E">
        <w:rPr>
          <w:rFonts w:ascii="Times New Roman" w:eastAsia="Times New Roman" w:hAnsi="Times New Roman" w:cs="Times New Roman"/>
          <w:sz w:val="28"/>
          <w:szCs w:val="24"/>
          <w:lang w:eastAsia="en-US"/>
        </w:rPr>
        <w:t xml:space="preserve"> līdz 12,0 </w:t>
      </w:r>
      <w:r w:rsidRPr="00921D7E">
        <w:rPr>
          <w:rFonts w:ascii="Times New Roman" w:eastAsia="Times New Roman" w:hAnsi="Times New Roman" w:cs="Times New Roman"/>
          <w:i/>
          <w:sz w:val="28"/>
          <w:szCs w:val="24"/>
          <w:lang w:eastAsia="en-US"/>
        </w:rPr>
        <w:t>euro</w:t>
      </w:r>
      <w:r w:rsidRPr="00921D7E">
        <w:rPr>
          <w:rFonts w:ascii="Times New Roman" w:eastAsia="Times New Roman" w:hAnsi="Times New Roman" w:cs="Times New Roman"/>
          <w:sz w:val="28"/>
          <w:szCs w:val="24"/>
          <w:lang w:eastAsia="en-US"/>
        </w:rPr>
        <w:t xml:space="preserve"> par tonnu, bet ar 2022.gada 1.janvāri – līdz 15,0 </w:t>
      </w:r>
      <w:r w:rsidRPr="00921D7E">
        <w:rPr>
          <w:rFonts w:ascii="Times New Roman" w:eastAsia="Times New Roman" w:hAnsi="Times New Roman" w:cs="Times New Roman"/>
          <w:i/>
          <w:sz w:val="28"/>
          <w:szCs w:val="24"/>
          <w:lang w:eastAsia="en-US"/>
        </w:rPr>
        <w:t>euro</w:t>
      </w:r>
      <w:r w:rsidRPr="00921D7E">
        <w:rPr>
          <w:rFonts w:ascii="Times New Roman" w:eastAsia="Times New Roman" w:hAnsi="Times New Roman" w:cs="Times New Roman"/>
          <w:sz w:val="28"/>
          <w:szCs w:val="24"/>
          <w:lang w:eastAsia="en-US"/>
        </w:rPr>
        <w:t xml:space="preserve"> par tonnu;</w:t>
      </w:r>
    </w:p>
    <w:p w14:paraId="0CDB28FB" w14:textId="07672573" w:rsidR="00DB596B" w:rsidRPr="00921D7E" w:rsidRDefault="00921D7E" w:rsidP="00FB2B77">
      <w:pPr>
        <w:numPr>
          <w:ilvl w:val="0"/>
          <w:numId w:val="24"/>
        </w:numPr>
        <w:ind w:left="993" w:hanging="426"/>
        <w:contextualSpacing/>
        <w:jc w:val="both"/>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24"/>
          <w:lang w:eastAsia="en-US"/>
        </w:rPr>
        <w:t>VTBIL 2021., 2022. un 2023.gadam projekta</w:t>
      </w:r>
      <w:r w:rsidR="00DB596B" w:rsidRPr="00921D7E">
        <w:rPr>
          <w:rFonts w:ascii="Times New Roman" w:eastAsia="Times New Roman" w:hAnsi="Times New Roman" w:cs="Times New Roman"/>
          <w:sz w:val="28"/>
          <w:szCs w:val="24"/>
          <w:lang w:eastAsia="en-US"/>
        </w:rPr>
        <w:t xml:space="preserve"> izstrādes gaitā 2020.gada 22.septembrī </w:t>
      </w:r>
      <w:r>
        <w:rPr>
          <w:rFonts w:ascii="Times New Roman" w:eastAsia="Times New Roman" w:hAnsi="Times New Roman" w:cs="Times New Roman"/>
          <w:sz w:val="28"/>
          <w:szCs w:val="24"/>
          <w:lang w:eastAsia="en-US"/>
        </w:rPr>
        <w:t>MK</w:t>
      </w:r>
      <w:r w:rsidR="00DB596B" w:rsidRPr="00921D7E">
        <w:rPr>
          <w:rFonts w:ascii="Times New Roman" w:eastAsia="Times New Roman" w:hAnsi="Times New Roman" w:cs="Times New Roman"/>
          <w:sz w:val="28"/>
          <w:szCs w:val="24"/>
          <w:lang w:eastAsia="en-US"/>
        </w:rPr>
        <w:t xml:space="preserve"> atbalstītie pasākumi paredz vairākas dabas resursu nodokļa izmaiņas: </w:t>
      </w:r>
    </w:p>
    <w:p w14:paraId="4EBFD510" w14:textId="77777777" w:rsidR="00DB596B" w:rsidRPr="00921D7E" w:rsidRDefault="00DB596B" w:rsidP="00FB2B77">
      <w:pPr>
        <w:numPr>
          <w:ilvl w:val="1"/>
          <w:numId w:val="45"/>
        </w:numPr>
        <w:ind w:left="1701" w:hanging="283"/>
        <w:contextualSpacing/>
        <w:jc w:val="both"/>
        <w:rPr>
          <w:rFonts w:ascii="Times New Roman" w:eastAsia="Times New Roman" w:hAnsi="Times New Roman" w:cs="Times New Roman"/>
          <w:sz w:val="28"/>
          <w:szCs w:val="24"/>
          <w:lang w:eastAsia="en-US"/>
        </w:rPr>
      </w:pPr>
      <w:r w:rsidRPr="00921D7E">
        <w:rPr>
          <w:rFonts w:ascii="Times New Roman" w:eastAsia="Times New Roman" w:hAnsi="Times New Roman" w:cs="Times New Roman"/>
          <w:sz w:val="28"/>
          <w:szCs w:val="24"/>
          <w:lang w:eastAsia="en-US"/>
        </w:rPr>
        <w:t>ar 2021.gada 1.janvāri atcelt atbrīvojumu par CO</w:t>
      </w:r>
      <w:r w:rsidRPr="00921D7E">
        <w:rPr>
          <w:rFonts w:ascii="Times New Roman" w:eastAsia="Times New Roman" w:hAnsi="Times New Roman" w:cs="Times New Roman"/>
          <w:sz w:val="28"/>
          <w:szCs w:val="24"/>
          <w:vertAlign w:val="subscript"/>
          <w:lang w:eastAsia="en-US"/>
        </w:rPr>
        <w:t>2</w:t>
      </w:r>
      <w:r w:rsidRPr="00921D7E">
        <w:rPr>
          <w:rFonts w:ascii="Times New Roman" w:eastAsia="Times New Roman" w:hAnsi="Times New Roman" w:cs="Times New Roman"/>
          <w:sz w:val="28"/>
          <w:szCs w:val="24"/>
          <w:lang w:eastAsia="en-US"/>
        </w:rPr>
        <w:t xml:space="preserve"> emisijām kūdras izmantošanai stacionārajās tehnoloģiskajās iekārtās;</w:t>
      </w:r>
    </w:p>
    <w:p w14:paraId="305DA346" w14:textId="63137F77" w:rsidR="00DB596B" w:rsidRDefault="00DB596B" w:rsidP="00FB2B77">
      <w:pPr>
        <w:numPr>
          <w:ilvl w:val="1"/>
          <w:numId w:val="45"/>
        </w:numPr>
        <w:ind w:left="1701" w:hanging="283"/>
        <w:contextualSpacing/>
        <w:jc w:val="both"/>
        <w:rPr>
          <w:rFonts w:ascii="Times New Roman" w:eastAsia="Times New Roman" w:hAnsi="Times New Roman" w:cs="Times New Roman"/>
          <w:sz w:val="28"/>
          <w:szCs w:val="24"/>
          <w:lang w:eastAsia="en-US"/>
        </w:rPr>
      </w:pPr>
      <w:r w:rsidRPr="00921D7E">
        <w:rPr>
          <w:rFonts w:ascii="Times New Roman" w:eastAsia="Times New Roman" w:hAnsi="Times New Roman" w:cs="Times New Roman"/>
          <w:sz w:val="28"/>
          <w:szCs w:val="24"/>
          <w:lang w:eastAsia="en-US"/>
        </w:rPr>
        <w:t>ar 2021., 2022. un 2023.gada 1.janvāri paaugstināt dabas resursu nodokļa likmes par sadzīves, ražošanas un bīstamo atkritumu apglabāšanu (skat. 3.14.tabulu);</w:t>
      </w:r>
    </w:p>
    <w:p w14:paraId="7E0DF6C8" w14:textId="014773DB" w:rsidR="0089579E" w:rsidRDefault="0089579E" w:rsidP="0089579E">
      <w:pPr>
        <w:contextualSpacing/>
        <w:jc w:val="both"/>
        <w:rPr>
          <w:rFonts w:ascii="Times New Roman" w:eastAsia="Times New Roman" w:hAnsi="Times New Roman" w:cs="Times New Roman"/>
          <w:sz w:val="28"/>
          <w:szCs w:val="24"/>
          <w:lang w:eastAsia="en-US"/>
        </w:rPr>
      </w:pPr>
    </w:p>
    <w:p w14:paraId="2D343A0E" w14:textId="167CE43E" w:rsidR="0089579E" w:rsidRDefault="0089579E" w:rsidP="0089579E">
      <w:pPr>
        <w:contextualSpacing/>
        <w:jc w:val="both"/>
        <w:rPr>
          <w:rFonts w:ascii="Times New Roman" w:eastAsia="Times New Roman" w:hAnsi="Times New Roman" w:cs="Times New Roman"/>
          <w:sz w:val="28"/>
          <w:szCs w:val="24"/>
          <w:lang w:eastAsia="en-US"/>
        </w:rPr>
      </w:pPr>
    </w:p>
    <w:p w14:paraId="504CD705" w14:textId="43F795E3" w:rsidR="0089579E" w:rsidRDefault="0089579E" w:rsidP="0089579E">
      <w:pPr>
        <w:contextualSpacing/>
        <w:jc w:val="both"/>
        <w:rPr>
          <w:rFonts w:ascii="Times New Roman" w:eastAsia="Times New Roman" w:hAnsi="Times New Roman" w:cs="Times New Roman"/>
          <w:sz w:val="28"/>
          <w:szCs w:val="24"/>
          <w:lang w:eastAsia="en-US"/>
        </w:rPr>
      </w:pPr>
    </w:p>
    <w:p w14:paraId="0C3DF258" w14:textId="09853F8A" w:rsidR="0089579E" w:rsidRDefault="0089579E" w:rsidP="0089579E">
      <w:pPr>
        <w:contextualSpacing/>
        <w:jc w:val="both"/>
        <w:rPr>
          <w:rFonts w:ascii="Times New Roman" w:eastAsia="Times New Roman" w:hAnsi="Times New Roman" w:cs="Times New Roman"/>
          <w:sz w:val="28"/>
          <w:szCs w:val="24"/>
          <w:lang w:eastAsia="en-US"/>
        </w:rPr>
      </w:pPr>
    </w:p>
    <w:p w14:paraId="57E342CF" w14:textId="77777777" w:rsidR="0089579E" w:rsidRPr="00921D7E" w:rsidRDefault="0089579E" w:rsidP="0089579E">
      <w:pPr>
        <w:contextualSpacing/>
        <w:jc w:val="both"/>
        <w:rPr>
          <w:rFonts w:ascii="Times New Roman" w:eastAsia="Times New Roman" w:hAnsi="Times New Roman" w:cs="Times New Roman"/>
          <w:sz w:val="28"/>
          <w:szCs w:val="24"/>
          <w:lang w:eastAsia="en-US"/>
        </w:rPr>
      </w:pPr>
    </w:p>
    <w:p w14:paraId="134D93D1" w14:textId="77777777" w:rsidR="00DB596B" w:rsidRPr="00DB596B" w:rsidRDefault="00DB596B" w:rsidP="00401A5B">
      <w:pPr>
        <w:ind w:firstLine="720"/>
        <w:jc w:val="both"/>
        <w:rPr>
          <w:rFonts w:ascii="Times New Roman" w:eastAsia="Times New Roman" w:hAnsi="Times New Roman" w:cs="Times New Roman"/>
          <w:sz w:val="24"/>
          <w:szCs w:val="24"/>
          <w:lang w:eastAsia="en-US"/>
        </w:rPr>
      </w:pPr>
    </w:p>
    <w:p w14:paraId="222C752C" w14:textId="77777777" w:rsidR="00DB596B" w:rsidRPr="00624BB8" w:rsidRDefault="00DB596B" w:rsidP="00624BB8">
      <w:pPr>
        <w:ind w:left="2149" w:firstLine="11"/>
        <w:contextualSpacing/>
        <w:jc w:val="right"/>
        <w:rPr>
          <w:rFonts w:ascii="Times New Roman" w:eastAsia="Times New Roman" w:hAnsi="Times New Roman" w:cs="Times New Roman"/>
          <w:b/>
          <w:i/>
          <w:sz w:val="24"/>
          <w:szCs w:val="24"/>
          <w:lang w:eastAsia="en-US"/>
        </w:rPr>
      </w:pPr>
      <w:r w:rsidRPr="00624BB8">
        <w:rPr>
          <w:rFonts w:ascii="Times New Roman" w:eastAsia="Times New Roman" w:hAnsi="Times New Roman" w:cs="Times New Roman"/>
          <w:b/>
          <w:i/>
          <w:sz w:val="24"/>
          <w:szCs w:val="20"/>
          <w:lang w:eastAsia="en-US"/>
        </w:rPr>
        <w:t>3.14. tabula. Dabas resursu nodokļa likmes par atkritumu apglabāšanu 2020.</w:t>
      </w:r>
      <w:r w:rsidRPr="00624BB8">
        <w:rPr>
          <w:rFonts w:ascii="Times New Roman" w:eastAsia="Times New Roman" w:hAnsi="Times New Roman" w:cs="Times New Roman"/>
          <w:sz w:val="24"/>
          <w:szCs w:val="20"/>
          <w:lang w:eastAsia="en-US"/>
        </w:rPr>
        <w:t>–</w:t>
      </w:r>
      <w:r w:rsidRPr="00624BB8">
        <w:rPr>
          <w:rFonts w:ascii="Times New Roman" w:eastAsia="Times New Roman" w:hAnsi="Times New Roman" w:cs="Times New Roman"/>
          <w:b/>
          <w:i/>
          <w:sz w:val="24"/>
          <w:szCs w:val="20"/>
          <w:lang w:eastAsia="en-US"/>
        </w:rPr>
        <w:t>2023.gadā, euro</w:t>
      </w:r>
    </w:p>
    <w:tbl>
      <w:tblPr>
        <w:tblStyle w:val="TableGrid1"/>
        <w:tblW w:w="0" w:type="auto"/>
        <w:tblInd w:w="-5" w:type="dxa"/>
        <w:tblLook w:val="04A0" w:firstRow="1" w:lastRow="0" w:firstColumn="1" w:lastColumn="0" w:noHBand="0" w:noVBand="1"/>
      </w:tblPr>
      <w:tblGrid>
        <w:gridCol w:w="4395"/>
        <w:gridCol w:w="1166"/>
        <w:gridCol w:w="1166"/>
        <w:gridCol w:w="1166"/>
        <w:gridCol w:w="1166"/>
      </w:tblGrid>
      <w:tr w:rsidR="00DB596B" w:rsidRPr="00624BB8" w14:paraId="403C2060" w14:textId="77777777" w:rsidTr="00624BB8">
        <w:trPr>
          <w:trHeight w:val="148"/>
        </w:trPr>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97CDF6" w14:textId="77777777" w:rsidR="00DB596B" w:rsidRPr="00624BB8" w:rsidRDefault="00DB596B" w:rsidP="00401A5B">
            <w:pPr>
              <w:widowControl w:val="0"/>
              <w:contextualSpacing/>
              <w:rPr>
                <w:b/>
                <w:sz w:val="20"/>
                <w:szCs w:val="20"/>
                <w:lang w:eastAsia="en-US"/>
              </w:rPr>
            </w:pPr>
            <w:r w:rsidRPr="00624BB8">
              <w:rPr>
                <w:b/>
                <w:sz w:val="20"/>
                <w:szCs w:val="20"/>
                <w:lang w:eastAsia="en-US"/>
              </w:rPr>
              <w:t>Atkritumu veids</w:t>
            </w:r>
          </w:p>
        </w:tc>
        <w:tc>
          <w:tcPr>
            <w:tcW w:w="11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C519F4"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01.01.2020.</w:t>
            </w:r>
          </w:p>
        </w:tc>
        <w:tc>
          <w:tcPr>
            <w:tcW w:w="11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817955"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01.01.2021.</w:t>
            </w:r>
          </w:p>
        </w:tc>
        <w:tc>
          <w:tcPr>
            <w:tcW w:w="11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18ADF6"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01.01.2022.</w:t>
            </w:r>
          </w:p>
        </w:tc>
        <w:tc>
          <w:tcPr>
            <w:tcW w:w="11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D6886B"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01.01.2023.</w:t>
            </w:r>
          </w:p>
        </w:tc>
      </w:tr>
      <w:tr w:rsidR="00DB596B" w:rsidRPr="00624BB8" w14:paraId="222C1CD4" w14:textId="77777777" w:rsidTr="00624BB8">
        <w:trPr>
          <w:trHeight w:val="482"/>
        </w:trPr>
        <w:tc>
          <w:tcPr>
            <w:tcW w:w="4395" w:type="dxa"/>
            <w:tcBorders>
              <w:top w:val="single" w:sz="4" w:space="0" w:color="auto"/>
            </w:tcBorders>
          </w:tcPr>
          <w:p w14:paraId="5DB2E2DB" w14:textId="77777777" w:rsidR="00DB596B" w:rsidRPr="00624BB8" w:rsidRDefault="00DB596B" w:rsidP="00401A5B">
            <w:pPr>
              <w:widowControl w:val="0"/>
              <w:contextualSpacing/>
              <w:jc w:val="both"/>
              <w:rPr>
                <w:sz w:val="20"/>
                <w:szCs w:val="20"/>
                <w:lang w:eastAsia="en-US"/>
              </w:rPr>
            </w:pPr>
            <w:r w:rsidRPr="00624BB8">
              <w:rPr>
                <w:sz w:val="20"/>
                <w:szCs w:val="20"/>
                <w:lang w:eastAsia="en-US"/>
              </w:rPr>
              <w:t xml:space="preserve">Sadzīves atkritumi un ražošanas atkritumi, kas nav uzskatāmi par bīstamiem atkritumiem, </w:t>
            </w:r>
            <w:r w:rsidRPr="00624BB8">
              <w:rPr>
                <w:bCs/>
                <w:i/>
                <w:sz w:val="20"/>
                <w:szCs w:val="20"/>
                <w:lang w:eastAsia="en-US"/>
              </w:rPr>
              <w:t>euro</w:t>
            </w:r>
            <w:r w:rsidRPr="00624BB8">
              <w:rPr>
                <w:sz w:val="20"/>
                <w:szCs w:val="20"/>
                <w:lang w:eastAsia="en-US"/>
              </w:rPr>
              <w:t xml:space="preserve"> par tonnu</w:t>
            </w:r>
          </w:p>
        </w:tc>
        <w:tc>
          <w:tcPr>
            <w:tcW w:w="1166" w:type="dxa"/>
            <w:tcBorders>
              <w:top w:val="single" w:sz="4" w:space="0" w:color="auto"/>
            </w:tcBorders>
            <w:vAlign w:val="center"/>
          </w:tcPr>
          <w:p w14:paraId="32B5DF8C"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50,0</w:t>
            </w:r>
          </w:p>
        </w:tc>
        <w:tc>
          <w:tcPr>
            <w:tcW w:w="1166" w:type="dxa"/>
            <w:tcBorders>
              <w:top w:val="single" w:sz="4" w:space="0" w:color="auto"/>
            </w:tcBorders>
            <w:vAlign w:val="center"/>
          </w:tcPr>
          <w:p w14:paraId="064DDE98"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65,0</w:t>
            </w:r>
          </w:p>
        </w:tc>
        <w:tc>
          <w:tcPr>
            <w:tcW w:w="1166" w:type="dxa"/>
            <w:tcBorders>
              <w:top w:val="single" w:sz="4" w:space="0" w:color="auto"/>
            </w:tcBorders>
            <w:vAlign w:val="center"/>
          </w:tcPr>
          <w:p w14:paraId="746133CC"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80,0</w:t>
            </w:r>
          </w:p>
        </w:tc>
        <w:tc>
          <w:tcPr>
            <w:tcW w:w="1166" w:type="dxa"/>
            <w:tcBorders>
              <w:top w:val="single" w:sz="4" w:space="0" w:color="auto"/>
            </w:tcBorders>
            <w:vAlign w:val="center"/>
          </w:tcPr>
          <w:p w14:paraId="500D1D5B"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95,0</w:t>
            </w:r>
          </w:p>
        </w:tc>
      </w:tr>
      <w:tr w:rsidR="00DB596B" w:rsidRPr="00624BB8" w14:paraId="3E390AD7" w14:textId="77777777" w:rsidTr="00624BB8">
        <w:trPr>
          <w:trHeight w:val="502"/>
        </w:trPr>
        <w:tc>
          <w:tcPr>
            <w:tcW w:w="4395" w:type="dxa"/>
          </w:tcPr>
          <w:p w14:paraId="115AB2A8" w14:textId="77777777" w:rsidR="00DB596B" w:rsidRPr="00624BB8" w:rsidRDefault="00DB596B" w:rsidP="00401A5B">
            <w:pPr>
              <w:widowControl w:val="0"/>
              <w:contextualSpacing/>
              <w:jc w:val="both"/>
              <w:rPr>
                <w:sz w:val="20"/>
                <w:szCs w:val="20"/>
                <w:lang w:eastAsia="en-US"/>
              </w:rPr>
            </w:pPr>
            <w:r w:rsidRPr="00624BB8">
              <w:rPr>
                <w:sz w:val="20"/>
                <w:szCs w:val="20"/>
                <w:lang w:eastAsia="en-US"/>
              </w:rPr>
              <w:t xml:space="preserve">Bīstamie atkritumi un ražošanas atkritumi, kas ir uzskatāmi par bīstamiem atkritumiem, </w:t>
            </w:r>
            <w:r w:rsidRPr="00624BB8">
              <w:rPr>
                <w:bCs/>
                <w:i/>
                <w:sz w:val="20"/>
                <w:szCs w:val="20"/>
                <w:lang w:eastAsia="en-US"/>
              </w:rPr>
              <w:t>euro</w:t>
            </w:r>
            <w:r w:rsidRPr="00624BB8">
              <w:rPr>
                <w:sz w:val="20"/>
                <w:szCs w:val="20"/>
                <w:lang w:eastAsia="en-US"/>
              </w:rPr>
              <w:t xml:space="preserve"> par tonnu</w:t>
            </w:r>
          </w:p>
        </w:tc>
        <w:tc>
          <w:tcPr>
            <w:tcW w:w="1166" w:type="dxa"/>
            <w:vAlign w:val="center"/>
          </w:tcPr>
          <w:p w14:paraId="5F848F00"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60,0</w:t>
            </w:r>
          </w:p>
        </w:tc>
        <w:tc>
          <w:tcPr>
            <w:tcW w:w="1166" w:type="dxa"/>
            <w:vAlign w:val="center"/>
          </w:tcPr>
          <w:p w14:paraId="7B6EE723"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70,0</w:t>
            </w:r>
          </w:p>
        </w:tc>
        <w:tc>
          <w:tcPr>
            <w:tcW w:w="1166" w:type="dxa"/>
            <w:vAlign w:val="center"/>
          </w:tcPr>
          <w:p w14:paraId="68A61862"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85,0</w:t>
            </w:r>
          </w:p>
        </w:tc>
        <w:tc>
          <w:tcPr>
            <w:tcW w:w="1166" w:type="dxa"/>
            <w:vAlign w:val="center"/>
          </w:tcPr>
          <w:p w14:paraId="47024C61" w14:textId="77777777" w:rsidR="00DB596B" w:rsidRPr="00624BB8" w:rsidRDefault="00DB596B" w:rsidP="00401A5B">
            <w:pPr>
              <w:widowControl w:val="0"/>
              <w:contextualSpacing/>
              <w:jc w:val="center"/>
              <w:rPr>
                <w:b/>
                <w:sz w:val="20"/>
                <w:szCs w:val="20"/>
                <w:lang w:eastAsia="en-US"/>
              </w:rPr>
            </w:pPr>
            <w:r w:rsidRPr="00624BB8">
              <w:rPr>
                <w:b/>
                <w:sz w:val="20"/>
                <w:szCs w:val="20"/>
                <w:lang w:eastAsia="en-US"/>
              </w:rPr>
              <w:t>100,0</w:t>
            </w:r>
          </w:p>
        </w:tc>
      </w:tr>
    </w:tbl>
    <w:p w14:paraId="2D61BFA2" w14:textId="77777777" w:rsidR="00DB596B" w:rsidRPr="00DB596B" w:rsidRDefault="00DB596B" w:rsidP="00401A5B">
      <w:pPr>
        <w:ind w:firstLine="720"/>
        <w:jc w:val="both"/>
        <w:rPr>
          <w:rFonts w:ascii="Times New Roman" w:eastAsia="Times New Roman" w:hAnsi="Times New Roman" w:cs="Times New Roman"/>
          <w:szCs w:val="24"/>
          <w:lang w:eastAsia="en-US"/>
        </w:rPr>
      </w:pPr>
    </w:p>
    <w:p w14:paraId="1A01886A" w14:textId="77777777" w:rsidR="00DB596B" w:rsidRPr="00624BB8" w:rsidRDefault="00DB596B" w:rsidP="00FB2B77">
      <w:pPr>
        <w:numPr>
          <w:ilvl w:val="0"/>
          <w:numId w:val="46"/>
        </w:numPr>
        <w:ind w:left="1843" w:hanging="425"/>
        <w:contextualSpacing/>
        <w:jc w:val="both"/>
        <w:rPr>
          <w:rFonts w:ascii="Times New Roman" w:eastAsia="Times New Roman" w:hAnsi="Times New Roman" w:cs="Times New Roman"/>
          <w:sz w:val="28"/>
          <w:szCs w:val="28"/>
          <w:lang w:eastAsia="en-US"/>
        </w:rPr>
      </w:pPr>
      <w:r w:rsidRPr="00624BB8">
        <w:rPr>
          <w:rFonts w:ascii="Times New Roman" w:eastAsia="Times New Roman" w:hAnsi="Times New Roman" w:cs="Times New Roman"/>
          <w:sz w:val="28"/>
          <w:szCs w:val="28"/>
          <w:lang w:eastAsia="en-US"/>
        </w:rPr>
        <w:t>mainīt nodokļa ieņēmumu sadalījumu starp valsts un pašvaldību budžetiem, 2021.gadā samazinot valsts budžetā ieskaitāmo nodokļa ieņēmumu daļu par bīstamo atkritumu apglabāšanu no 100% uz 80% un samazinot valsts budžetā ieskaitāmo nodokļa ieņēmumu daļu par sadzīves atkritumu apglabāšanu 2022.gadā no 100% uz 90%, bet 2023.gadā to samazinot līdz 85%;</w:t>
      </w:r>
    </w:p>
    <w:p w14:paraId="47DB06D3" w14:textId="2EEB7707" w:rsidR="00DB596B" w:rsidRDefault="00DB596B" w:rsidP="00FB2B77">
      <w:pPr>
        <w:numPr>
          <w:ilvl w:val="0"/>
          <w:numId w:val="46"/>
        </w:numPr>
        <w:ind w:left="1843" w:hanging="425"/>
        <w:contextualSpacing/>
        <w:jc w:val="both"/>
        <w:rPr>
          <w:rFonts w:ascii="Times New Roman" w:eastAsia="Times New Roman" w:hAnsi="Times New Roman" w:cs="Times New Roman"/>
          <w:sz w:val="28"/>
          <w:szCs w:val="28"/>
          <w:lang w:eastAsia="en-US"/>
        </w:rPr>
      </w:pPr>
      <w:r w:rsidRPr="00624BB8">
        <w:rPr>
          <w:rFonts w:ascii="Times New Roman" w:eastAsia="Times New Roman" w:hAnsi="Times New Roman" w:cs="Times New Roman"/>
          <w:sz w:val="28"/>
          <w:szCs w:val="28"/>
          <w:lang w:eastAsia="en-US"/>
        </w:rPr>
        <w:t>ar 2021., 2022. un 2023.gada 1.janvāri paaugstināt nodokļa likmes par gaisa piesārņošanu (skat. 3.15.tabulu);</w:t>
      </w:r>
    </w:p>
    <w:p w14:paraId="1A420450" w14:textId="77777777" w:rsidR="00624BB8" w:rsidRPr="00624BB8" w:rsidRDefault="00624BB8" w:rsidP="00624BB8">
      <w:pPr>
        <w:ind w:left="1843"/>
        <w:contextualSpacing/>
        <w:jc w:val="both"/>
        <w:rPr>
          <w:rFonts w:ascii="Times New Roman" w:eastAsia="Times New Roman" w:hAnsi="Times New Roman" w:cs="Times New Roman"/>
          <w:sz w:val="28"/>
          <w:szCs w:val="28"/>
          <w:lang w:eastAsia="en-US"/>
        </w:rPr>
      </w:pPr>
    </w:p>
    <w:p w14:paraId="38A1AEF6" w14:textId="77777777" w:rsidR="00DB596B" w:rsidRPr="00DB596B" w:rsidRDefault="00DB596B" w:rsidP="00624BB8">
      <w:pPr>
        <w:ind w:left="1440" w:firstLine="720"/>
        <w:jc w:val="right"/>
        <w:rPr>
          <w:rFonts w:ascii="Times New Roman" w:eastAsia="Times New Roman" w:hAnsi="Times New Roman" w:cs="Times New Roman"/>
          <w:b/>
          <w:i/>
          <w:sz w:val="24"/>
          <w:szCs w:val="24"/>
          <w:highlight w:val="yellow"/>
          <w:lang w:eastAsia="en-US"/>
        </w:rPr>
      </w:pPr>
      <w:r w:rsidRPr="00624BB8">
        <w:rPr>
          <w:rFonts w:ascii="Times New Roman" w:eastAsia="Times New Roman" w:hAnsi="Times New Roman" w:cs="Times New Roman"/>
          <w:b/>
          <w:i/>
          <w:sz w:val="24"/>
          <w:szCs w:val="20"/>
          <w:lang w:eastAsia="en-US"/>
        </w:rPr>
        <w:t>3.15. tabula</w:t>
      </w:r>
      <w:r w:rsidRPr="00DB596B">
        <w:rPr>
          <w:rFonts w:ascii="Times New Roman" w:eastAsia="Times New Roman" w:hAnsi="Times New Roman" w:cs="Times New Roman"/>
          <w:b/>
          <w:i/>
          <w:sz w:val="24"/>
          <w:szCs w:val="20"/>
          <w:lang w:eastAsia="en-US"/>
        </w:rPr>
        <w:t>. Dabas resursu nodokļa likmes par gaisa piesārņošanu</w:t>
      </w:r>
      <w:r w:rsidRPr="00DB596B">
        <w:rPr>
          <w:rFonts w:ascii="Times New Roman" w:eastAsia="Times New Roman" w:hAnsi="Times New Roman" w:cs="Times New Roman"/>
          <w:b/>
          <w:i/>
          <w:sz w:val="24"/>
          <w:szCs w:val="24"/>
          <w:lang w:eastAsia="en-US"/>
        </w:rPr>
        <w:tab/>
      </w:r>
      <w:r w:rsidRPr="00DB596B">
        <w:rPr>
          <w:rFonts w:ascii="Times New Roman" w:eastAsia="Times New Roman" w:hAnsi="Times New Roman" w:cs="Times New Roman"/>
          <w:b/>
          <w:i/>
          <w:sz w:val="24"/>
          <w:szCs w:val="20"/>
          <w:lang w:eastAsia="en-US"/>
        </w:rPr>
        <w:t xml:space="preserve"> 2020.</w:t>
      </w:r>
      <w:r w:rsidRPr="00DB596B">
        <w:rPr>
          <w:rFonts w:ascii="Times New Roman" w:eastAsia="Times New Roman" w:hAnsi="Times New Roman" w:cs="Times New Roman"/>
          <w:sz w:val="24"/>
          <w:szCs w:val="20"/>
          <w:lang w:eastAsia="en-US"/>
        </w:rPr>
        <w:t>–</w:t>
      </w:r>
      <w:r w:rsidRPr="00DB596B">
        <w:rPr>
          <w:rFonts w:ascii="Times New Roman" w:eastAsia="Times New Roman" w:hAnsi="Times New Roman" w:cs="Times New Roman"/>
          <w:b/>
          <w:i/>
          <w:sz w:val="24"/>
          <w:szCs w:val="20"/>
          <w:lang w:eastAsia="en-US"/>
        </w:rPr>
        <w:t>2023.gadā, euro</w:t>
      </w:r>
    </w:p>
    <w:tbl>
      <w:tblPr>
        <w:tblStyle w:val="TableGrid1"/>
        <w:tblW w:w="9072" w:type="dxa"/>
        <w:tblInd w:w="-5" w:type="dxa"/>
        <w:tblLook w:val="04A0" w:firstRow="1" w:lastRow="0" w:firstColumn="1" w:lastColumn="0" w:noHBand="0" w:noVBand="1"/>
      </w:tblPr>
      <w:tblGrid>
        <w:gridCol w:w="4408"/>
        <w:gridCol w:w="1166"/>
        <w:gridCol w:w="1166"/>
        <w:gridCol w:w="1166"/>
        <w:gridCol w:w="1166"/>
      </w:tblGrid>
      <w:tr w:rsidR="00DB596B" w:rsidRPr="00DB596B" w14:paraId="34C7E5E5" w14:textId="77777777" w:rsidTr="00624BB8">
        <w:trPr>
          <w:trHeight w:val="148"/>
        </w:trPr>
        <w:tc>
          <w:tcPr>
            <w:tcW w:w="44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C1D2D5" w14:textId="77777777" w:rsidR="00DB596B" w:rsidRPr="00DB596B" w:rsidRDefault="00DB596B" w:rsidP="00401A5B">
            <w:pPr>
              <w:widowControl w:val="0"/>
              <w:contextualSpacing/>
              <w:rPr>
                <w:b/>
                <w:sz w:val="20"/>
                <w:szCs w:val="24"/>
                <w:lang w:eastAsia="en-US"/>
              </w:rPr>
            </w:pPr>
          </w:p>
        </w:tc>
        <w:tc>
          <w:tcPr>
            <w:tcW w:w="11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C20972"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2020</w:t>
            </w:r>
          </w:p>
        </w:tc>
        <w:tc>
          <w:tcPr>
            <w:tcW w:w="11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F152F9"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01.01.2021.</w:t>
            </w:r>
          </w:p>
        </w:tc>
        <w:tc>
          <w:tcPr>
            <w:tcW w:w="11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08FE56"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01.01.2022.</w:t>
            </w:r>
          </w:p>
        </w:tc>
        <w:tc>
          <w:tcPr>
            <w:tcW w:w="11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1207F4"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01.01.2023.</w:t>
            </w:r>
          </w:p>
        </w:tc>
      </w:tr>
      <w:tr w:rsidR="00DB596B" w:rsidRPr="00DB596B" w14:paraId="5A252FB8" w14:textId="77777777" w:rsidTr="00624BB8">
        <w:trPr>
          <w:trHeight w:val="482"/>
        </w:trPr>
        <w:tc>
          <w:tcPr>
            <w:tcW w:w="4408" w:type="dxa"/>
            <w:tcBorders>
              <w:top w:val="single" w:sz="4" w:space="0" w:color="auto"/>
            </w:tcBorders>
            <w:vAlign w:val="center"/>
          </w:tcPr>
          <w:p w14:paraId="73CB5C41" w14:textId="77777777" w:rsidR="00DB596B" w:rsidRPr="00DB596B" w:rsidRDefault="00DB596B" w:rsidP="00401A5B">
            <w:pPr>
              <w:widowControl w:val="0"/>
              <w:contextualSpacing/>
              <w:jc w:val="both"/>
              <w:rPr>
                <w:sz w:val="20"/>
                <w:szCs w:val="24"/>
                <w:lang w:eastAsia="en-US"/>
              </w:rPr>
            </w:pPr>
            <w:r w:rsidRPr="00DB596B">
              <w:rPr>
                <w:sz w:val="20"/>
                <w:lang w:eastAsia="en-US"/>
              </w:rPr>
              <w:t>Daļiņas PM</w:t>
            </w:r>
            <w:r w:rsidRPr="00DB596B">
              <w:rPr>
                <w:sz w:val="20"/>
                <w:vertAlign w:val="subscript"/>
                <w:lang w:eastAsia="en-US"/>
              </w:rPr>
              <w:t>10</w:t>
            </w:r>
            <w:r w:rsidRPr="00DB596B">
              <w:rPr>
                <w:sz w:val="20"/>
                <w:lang w:eastAsia="en-US"/>
              </w:rPr>
              <w:t>,</w:t>
            </w:r>
            <w:r w:rsidRPr="00DB596B">
              <w:rPr>
                <w:i/>
                <w:sz w:val="20"/>
                <w:lang w:eastAsia="en-US"/>
              </w:rPr>
              <w:t xml:space="preserve"> euro </w:t>
            </w:r>
            <w:r w:rsidRPr="00DB596B">
              <w:rPr>
                <w:sz w:val="20"/>
                <w:lang w:eastAsia="en-US"/>
              </w:rPr>
              <w:t>par tonnu</w:t>
            </w:r>
          </w:p>
        </w:tc>
        <w:tc>
          <w:tcPr>
            <w:tcW w:w="1166" w:type="dxa"/>
            <w:tcBorders>
              <w:top w:val="single" w:sz="4" w:space="0" w:color="auto"/>
            </w:tcBorders>
            <w:vAlign w:val="center"/>
          </w:tcPr>
          <w:p w14:paraId="5B9F1030"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75,0</w:t>
            </w:r>
          </w:p>
        </w:tc>
        <w:tc>
          <w:tcPr>
            <w:tcW w:w="1166" w:type="dxa"/>
            <w:tcBorders>
              <w:top w:val="single" w:sz="4" w:space="0" w:color="auto"/>
            </w:tcBorders>
            <w:vAlign w:val="center"/>
          </w:tcPr>
          <w:p w14:paraId="003CF4E8"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105,0</w:t>
            </w:r>
          </w:p>
        </w:tc>
        <w:tc>
          <w:tcPr>
            <w:tcW w:w="1166" w:type="dxa"/>
            <w:tcBorders>
              <w:top w:val="single" w:sz="4" w:space="0" w:color="auto"/>
            </w:tcBorders>
            <w:vAlign w:val="center"/>
          </w:tcPr>
          <w:p w14:paraId="3D8C183C"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120,0</w:t>
            </w:r>
          </w:p>
        </w:tc>
        <w:tc>
          <w:tcPr>
            <w:tcW w:w="1166" w:type="dxa"/>
            <w:tcBorders>
              <w:top w:val="single" w:sz="4" w:space="0" w:color="auto"/>
            </w:tcBorders>
            <w:vAlign w:val="center"/>
          </w:tcPr>
          <w:p w14:paraId="428A993A"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135,0</w:t>
            </w:r>
          </w:p>
        </w:tc>
      </w:tr>
      <w:tr w:rsidR="00DB596B" w:rsidRPr="00DB596B" w14:paraId="5587D697" w14:textId="77777777" w:rsidTr="00624BB8">
        <w:trPr>
          <w:trHeight w:val="502"/>
        </w:trPr>
        <w:tc>
          <w:tcPr>
            <w:tcW w:w="4408" w:type="dxa"/>
            <w:tcBorders>
              <w:bottom w:val="single" w:sz="4" w:space="0" w:color="595959" w:themeColor="text1" w:themeTint="A6"/>
            </w:tcBorders>
            <w:vAlign w:val="bottom"/>
          </w:tcPr>
          <w:p w14:paraId="5FA48407" w14:textId="77777777" w:rsidR="00DB596B" w:rsidRPr="00DB596B" w:rsidRDefault="00DB596B" w:rsidP="00401A5B">
            <w:pPr>
              <w:widowControl w:val="0"/>
              <w:contextualSpacing/>
              <w:jc w:val="both"/>
              <w:rPr>
                <w:sz w:val="20"/>
                <w:szCs w:val="24"/>
                <w:lang w:eastAsia="en-US"/>
              </w:rPr>
            </w:pPr>
            <w:r w:rsidRPr="00DB596B">
              <w:rPr>
                <w:sz w:val="20"/>
                <w:lang w:eastAsia="en-US"/>
              </w:rPr>
              <w:t>Amonjaks (NH</w:t>
            </w:r>
            <w:r w:rsidRPr="00DB596B">
              <w:rPr>
                <w:sz w:val="20"/>
                <w:vertAlign w:val="subscript"/>
                <w:lang w:eastAsia="en-US"/>
              </w:rPr>
              <w:t>3</w:t>
            </w:r>
            <w:r w:rsidRPr="00DB596B">
              <w:rPr>
                <w:sz w:val="20"/>
                <w:lang w:eastAsia="en-US"/>
              </w:rPr>
              <w:t>), sērūdeņradis (H</w:t>
            </w:r>
            <w:r w:rsidRPr="00DB596B">
              <w:rPr>
                <w:sz w:val="20"/>
                <w:vertAlign w:val="subscript"/>
                <w:lang w:eastAsia="en-US"/>
              </w:rPr>
              <w:t>2</w:t>
            </w:r>
            <w:r w:rsidRPr="00DB596B">
              <w:rPr>
                <w:sz w:val="20"/>
                <w:lang w:eastAsia="en-US"/>
              </w:rPr>
              <w:t>S) un pārējie neorganiskie savienojumi,</w:t>
            </w:r>
            <w:r w:rsidRPr="00DB596B">
              <w:rPr>
                <w:i/>
                <w:sz w:val="20"/>
                <w:lang w:eastAsia="en-US"/>
              </w:rPr>
              <w:t xml:space="preserve"> euro </w:t>
            </w:r>
            <w:r w:rsidRPr="00DB596B">
              <w:rPr>
                <w:sz w:val="20"/>
                <w:lang w:eastAsia="en-US"/>
              </w:rPr>
              <w:t>par tonnu</w:t>
            </w:r>
          </w:p>
        </w:tc>
        <w:tc>
          <w:tcPr>
            <w:tcW w:w="1166" w:type="dxa"/>
            <w:vAlign w:val="center"/>
          </w:tcPr>
          <w:p w14:paraId="4569E6BF"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18,50</w:t>
            </w:r>
          </w:p>
        </w:tc>
        <w:tc>
          <w:tcPr>
            <w:tcW w:w="1166" w:type="dxa"/>
            <w:vAlign w:val="center"/>
          </w:tcPr>
          <w:p w14:paraId="0AC5FDF0"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50,0</w:t>
            </w:r>
          </w:p>
        </w:tc>
        <w:tc>
          <w:tcPr>
            <w:tcW w:w="1166" w:type="dxa"/>
            <w:vAlign w:val="center"/>
          </w:tcPr>
          <w:p w14:paraId="68AB9DC7"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70,0</w:t>
            </w:r>
          </w:p>
        </w:tc>
        <w:tc>
          <w:tcPr>
            <w:tcW w:w="1166" w:type="dxa"/>
            <w:vAlign w:val="center"/>
          </w:tcPr>
          <w:p w14:paraId="1AD0C0F9"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90,0</w:t>
            </w:r>
          </w:p>
        </w:tc>
      </w:tr>
      <w:tr w:rsidR="00DB596B" w:rsidRPr="00DB596B" w14:paraId="4BA1410B" w14:textId="77777777" w:rsidTr="00624BB8">
        <w:trPr>
          <w:trHeight w:val="387"/>
        </w:trPr>
        <w:tc>
          <w:tcPr>
            <w:tcW w:w="44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bottom"/>
          </w:tcPr>
          <w:p w14:paraId="5740394B" w14:textId="3BA5477F" w:rsidR="00DB596B" w:rsidRPr="00DB596B" w:rsidRDefault="00624BB8" w:rsidP="00624BB8">
            <w:pPr>
              <w:widowControl w:val="0"/>
              <w:contextualSpacing/>
              <w:jc w:val="both"/>
              <w:rPr>
                <w:color w:val="414142"/>
                <w:sz w:val="20"/>
                <w:shd w:val="clear" w:color="auto" w:fill="FFFFFF"/>
                <w:lang w:eastAsia="en-US"/>
              </w:rPr>
            </w:pPr>
            <w:r w:rsidRPr="00DB596B">
              <w:rPr>
                <w:sz w:val="20"/>
                <w:lang w:eastAsia="en-US"/>
              </w:rPr>
              <w:t>Sēra dioksīds (SO</w:t>
            </w:r>
            <w:r w:rsidRPr="00DB596B">
              <w:rPr>
                <w:sz w:val="20"/>
                <w:vertAlign w:val="subscript"/>
                <w:lang w:eastAsia="en-US"/>
              </w:rPr>
              <w:t>2</w:t>
            </w:r>
            <w:r w:rsidRPr="00DB596B">
              <w:rPr>
                <w:sz w:val="20"/>
                <w:lang w:eastAsia="en-US"/>
              </w:rPr>
              <w:t>), slāpekļa oksīdi (NOx – slāpekļa oksīdu summa, pārrēķināta uz NO</w:t>
            </w:r>
            <w:r w:rsidRPr="00DB596B">
              <w:rPr>
                <w:sz w:val="20"/>
                <w:vertAlign w:val="subscript"/>
                <w:lang w:eastAsia="en-US"/>
              </w:rPr>
              <w:t>2</w:t>
            </w:r>
            <w:r w:rsidRPr="00DB596B">
              <w:rPr>
                <w:sz w:val="20"/>
                <w:lang w:eastAsia="en-US"/>
              </w:rPr>
              <w:t>),</w:t>
            </w:r>
            <w:r w:rsidRPr="00DB596B">
              <w:rPr>
                <w:i/>
                <w:sz w:val="20"/>
                <w:lang w:eastAsia="en-US"/>
              </w:rPr>
              <w:t xml:space="preserve"> euro </w:t>
            </w:r>
            <w:r w:rsidRPr="00DB596B">
              <w:rPr>
                <w:sz w:val="20"/>
                <w:lang w:eastAsia="en-US"/>
              </w:rPr>
              <w:t>par tonnu</w:t>
            </w:r>
          </w:p>
        </w:tc>
        <w:tc>
          <w:tcPr>
            <w:tcW w:w="1166" w:type="dxa"/>
            <w:tcBorders>
              <w:left w:val="single" w:sz="4" w:space="0" w:color="595959" w:themeColor="text1" w:themeTint="A6"/>
            </w:tcBorders>
            <w:vAlign w:val="center"/>
          </w:tcPr>
          <w:p w14:paraId="55E2D54D" w14:textId="77777777" w:rsidR="00DB596B" w:rsidRPr="00DB596B" w:rsidRDefault="00DB596B" w:rsidP="00624BB8">
            <w:pPr>
              <w:widowControl w:val="0"/>
              <w:contextualSpacing/>
              <w:jc w:val="center"/>
              <w:rPr>
                <w:b/>
                <w:sz w:val="20"/>
                <w:szCs w:val="24"/>
                <w:lang w:eastAsia="en-US"/>
              </w:rPr>
            </w:pPr>
            <w:r w:rsidRPr="00DB596B">
              <w:rPr>
                <w:b/>
                <w:sz w:val="20"/>
                <w:szCs w:val="24"/>
                <w:lang w:eastAsia="en-US"/>
              </w:rPr>
              <w:t>85,37</w:t>
            </w:r>
          </w:p>
        </w:tc>
        <w:tc>
          <w:tcPr>
            <w:tcW w:w="1166" w:type="dxa"/>
            <w:vAlign w:val="center"/>
          </w:tcPr>
          <w:p w14:paraId="7A1DC9C1"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125,0</w:t>
            </w:r>
          </w:p>
        </w:tc>
        <w:tc>
          <w:tcPr>
            <w:tcW w:w="1166" w:type="dxa"/>
            <w:vAlign w:val="center"/>
          </w:tcPr>
          <w:p w14:paraId="63D1E8B2"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140,0</w:t>
            </w:r>
          </w:p>
        </w:tc>
        <w:tc>
          <w:tcPr>
            <w:tcW w:w="1166" w:type="dxa"/>
            <w:vAlign w:val="center"/>
          </w:tcPr>
          <w:p w14:paraId="06D8F0F9" w14:textId="77777777" w:rsidR="00DB596B" w:rsidRPr="00DB596B" w:rsidRDefault="00DB596B" w:rsidP="00401A5B">
            <w:pPr>
              <w:widowControl w:val="0"/>
              <w:contextualSpacing/>
              <w:jc w:val="center"/>
              <w:rPr>
                <w:b/>
                <w:sz w:val="20"/>
                <w:szCs w:val="24"/>
                <w:lang w:eastAsia="en-US"/>
              </w:rPr>
            </w:pPr>
            <w:r w:rsidRPr="00DB596B">
              <w:rPr>
                <w:b/>
                <w:sz w:val="20"/>
                <w:szCs w:val="24"/>
                <w:lang w:eastAsia="en-US"/>
              </w:rPr>
              <w:t>160,0</w:t>
            </w:r>
          </w:p>
        </w:tc>
      </w:tr>
    </w:tbl>
    <w:p w14:paraId="044932DE" w14:textId="77777777" w:rsidR="00DB596B" w:rsidRPr="00DB596B" w:rsidRDefault="00DB596B" w:rsidP="00401A5B">
      <w:pPr>
        <w:ind w:left="1843" w:firstLine="720"/>
        <w:jc w:val="both"/>
        <w:rPr>
          <w:rFonts w:ascii="Times New Roman" w:eastAsia="Times New Roman" w:hAnsi="Times New Roman" w:cs="Times New Roman"/>
          <w:szCs w:val="24"/>
          <w:lang w:eastAsia="en-US"/>
        </w:rPr>
      </w:pPr>
    </w:p>
    <w:p w14:paraId="07312965" w14:textId="77777777" w:rsidR="00DB596B" w:rsidRPr="00624BB8" w:rsidRDefault="00DB596B" w:rsidP="00FB2B77">
      <w:pPr>
        <w:numPr>
          <w:ilvl w:val="0"/>
          <w:numId w:val="47"/>
        </w:numPr>
        <w:ind w:left="1985"/>
        <w:contextualSpacing/>
        <w:jc w:val="both"/>
        <w:rPr>
          <w:rFonts w:ascii="Times New Roman" w:eastAsia="Times New Roman" w:hAnsi="Times New Roman" w:cs="Times New Roman"/>
          <w:sz w:val="28"/>
          <w:szCs w:val="24"/>
          <w:lang w:eastAsia="en-US"/>
        </w:rPr>
      </w:pPr>
      <w:r w:rsidRPr="00624BB8">
        <w:rPr>
          <w:rFonts w:ascii="Times New Roman" w:eastAsia="Times New Roman" w:hAnsi="Times New Roman" w:cs="Times New Roman"/>
          <w:sz w:val="28"/>
          <w:szCs w:val="24"/>
          <w:lang w:eastAsia="en-US"/>
        </w:rPr>
        <w:t>ar 2021., 2022. un 2023.gada 1.janvāri paaugstināt fiksēto nodokļa maksājumu par C kategorijas piesārņojošo darbību emisijām (skat. 3.16.tabulu).</w:t>
      </w:r>
    </w:p>
    <w:p w14:paraId="040DCAC2" w14:textId="77777777" w:rsidR="00DB596B" w:rsidRPr="00DB596B" w:rsidRDefault="00DB596B" w:rsidP="00401A5B">
      <w:pPr>
        <w:ind w:left="2869"/>
        <w:contextualSpacing/>
        <w:jc w:val="both"/>
        <w:rPr>
          <w:rFonts w:ascii="Times New Roman" w:eastAsia="Times New Roman" w:hAnsi="Times New Roman" w:cs="Times New Roman"/>
          <w:sz w:val="28"/>
          <w:szCs w:val="24"/>
          <w:lang w:eastAsia="en-US"/>
        </w:rPr>
      </w:pPr>
    </w:p>
    <w:p w14:paraId="20281765" w14:textId="77777777" w:rsidR="00DB596B" w:rsidRPr="00DB596B" w:rsidRDefault="00DB596B" w:rsidP="00624BB8">
      <w:pPr>
        <w:ind w:left="1440" w:firstLine="720"/>
        <w:contextualSpacing/>
        <w:jc w:val="right"/>
        <w:rPr>
          <w:rFonts w:ascii="Times New Roman" w:eastAsia="Times New Roman" w:hAnsi="Times New Roman" w:cs="Times New Roman"/>
          <w:b/>
          <w:i/>
          <w:sz w:val="24"/>
          <w:szCs w:val="24"/>
          <w:lang w:eastAsia="en-US"/>
        </w:rPr>
      </w:pPr>
      <w:r w:rsidRPr="00624BB8">
        <w:rPr>
          <w:rFonts w:ascii="Times New Roman" w:eastAsia="Times New Roman" w:hAnsi="Times New Roman" w:cs="Times New Roman"/>
          <w:b/>
          <w:i/>
          <w:sz w:val="24"/>
          <w:szCs w:val="20"/>
          <w:lang w:eastAsia="en-US"/>
        </w:rPr>
        <w:t>3.16. tabula. Dabas resursu nodokļa likmes par gaisa piesārņošanu</w:t>
      </w:r>
      <w:r w:rsidRPr="00624BB8">
        <w:rPr>
          <w:rFonts w:ascii="Times New Roman" w:eastAsia="Times New Roman" w:hAnsi="Times New Roman" w:cs="Times New Roman"/>
          <w:b/>
          <w:i/>
          <w:sz w:val="24"/>
          <w:szCs w:val="24"/>
          <w:lang w:eastAsia="en-US"/>
        </w:rPr>
        <w:tab/>
      </w:r>
      <w:r w:rsidRPr="00624BB8">
        <w:rPr>
          <w:rFonts w:ascii="Times New Roman" w:eastAsia="Times New Roman" w:hAnsi="Times New Roman" w:cs="Times New Roman"/>
          <w:b/>
          <w:i/>
          <w:sz w:val="24"/>
          <w:szCs w:val="20"/>
          <w:lang w:eastAsia="en-US"/>
        </w:rPr>
        <w:t xml:space="preserve"> 2020.</w:t>
      </w:r>
      <w:r w:rsidRPr="00624BB8">
        <w:rPr>
          <w:rFonts w:ascii="Times New Roman" w:eastAsia="Times New Roman" w:hAnsi="Times New Roman" w:cs="Times New Roman"/>
          <w:sz w:val="24"/>
          <w:szCs w:val="20"/>
          <w:lang w:eastAsia="en-US"/>
        </w:rPr>
        <w:t>–</w:t>
      </w:r>
      <w:r w:rsidRPr="00624BB8">
        <w:rPr>
          <w:rFonts w:ascii="Times New Roman" w:eastAsia="Times New Roman" w:hAnsi="Times New Roman" w:cs="Times New Roman"/>
          <w:b/>
          <w:i/>
          <w:sz w:val="24"/>
          <w:szCs w:val="20"/>
          <w:lang w:eastAsia="en-US"/>
        </w:rPr>
        <w:t xml:space="preserve">2023.gadā, </w:t>
      </w:r>
      <w:r w:rsidRPr="00624BB8">
        <w:rPr>
          <w:rFonts w:ascii="Times New Roman" w:eastAsia="Times New Roman" w:hAnsi="Times New Roman" w:cs="Times New Roman"/>
          <w:b/>
          <w:bCs/>
          <w:i/>
          <w:sz w:val="24"/>
          <w:szCs w:val="24"/>
          <w:lang w:eastAsia="en-US"/>
        </w:rPr>
        <w:t>euro</w:t>
      </w:r>
    </w:p>
    <w:tbl>
      <w:tblPr>
        <w:tblW w:w="9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134"/>
        <w:gridCol w:w="1275"/>
        <w:gridCol w:w="1134"/>
        <w:gridCol w:w="1102"/>
      </w:tblGrid>
      <w:tr w:rsidR="00DB596B" w:rsidRPr="00624BB8" w14:paraId="610F4CF0" w14:textId="77777777" w:rsidTr="00624BB8">
        <w:trPr>
          <w:trHeight w:val="313"/>
        </w:trPr>
        <w:tc>
          <w:tcPr>
            <w:tcW w:w="4395" w:type="dxa"/>
            <w:shd w:val="clear" w:color="auto" w:fill="DEEAF6" w:themeFill="accent1" w:themeFillTint="33"/>
          </w:tcPr>
          <w:p w14:paraId="3D1649E5" w14:textId="77777777" w:rsidR="00DB596B" w:rsidRPr="00624BB8" w:rsidRDefault="00DB596B" w:rsidP="00401A5B">
            <w:pPr>
              <w:widowControl w:val="0"/>
              <w:contextualSpacing/>
              <w:rPr>
                <w:rFonts w:ascii="Times New Roman" w:eastAsia="Times New Roman" w:hAnsi="Times New Roman" w:cs="Times New Roman"/>
                <w:b/>
                <w:sz w:val="20"/>
                <w:szCs w:val="20"/>
                <w:lang w:eastAsia="en-US"/>
              </w:rPr>
            </w:pPr>
          </w:p>
        </w:tc>
        <w:tc>
          <w:tcPr>
            <w:tcW w:w="1134" w:type="dxa"/>
            <w:shd w:val="clear" w:color="auto" w:fill="DEEAF6" w:themeFill="accent1" w:themeFillTint="33"/>
            <w:tcMar>
              <w:left w:w="57" w:type="dxa"/>
              <w:right w:w="57" w:type="dxa"/>
            </w:tcMar>
          </w:tcPr>
          <w:p w14:paraId="1B1DA59E" w14:textId="77777777" w:rsidR="00DB596B" w:rsidRPr="00624BB8" w:rsidRDefault="00DB596B" w:rsidP="00401A5B">
            <w:pPr>
              <w:widowControl w:val="0"/>
              <w:contextualSpacing/>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2020</w:t>
            </w:r>
          </w:p>
        </w:tc>
        <w:tc>
          <w:tcPr>
            <w:tcW w:w="1275" w:type="dxa"/>
            <w:shd w:val="clear" w:color="auto" w:fill="DEEAF6" w:themeFill="accent1" w:themeFillTint="33"/>
            <w:tcMar>
              <w:left w:w="57" w:type="dxa"/>
              <w:right w:w="57" w:type="dxa"/>
            </w:tcMar>
          </w:tcPr>
          <w:p w14:paraId="5B67668E" w14:textId="77777777" w:rsidR="00DB596B" w:rsidRPr="00624BB8" w:rsidRDefault="00DB596B" w:rsidP="00401A5B">
            <w:pPr>
              <w:widowControl w:val="0"/>
              <w:contextualSpacing/>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01.01.2021.</w:t>
            </w:r>
          </w:p>
        </w:tc>
        <w:tc>
          <w:tcPr>
            <w:tcW w:w="1134" w:type="dxa"/>
            <w:shd w:val="clear" w:color="auto" w:fill="DEEAF6" w:themeFill="accent1" w:themeFillTint="33"/>
            <w:tcMar>
              <w:left w:w="57" w:type="dxa"/>
              <w:right w:w="57" w:type="dxa"/>
            </w:tcMar>
          </w:tcPr>
          <w:p w14:paraId="28D62C5B" w14:textId="77777777" w:rsidR="00DB596B" w:rsidRPr="00624BB8" w:rsidRDefault="00DB596B" w:rsidP="00401A5B">
            <w:pPr>
              <w:widowControl w:val="0"/>
              <w:contextualSpacing/>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01.01.2022.</w:t>
            </w:r>
          </w:p>
        </w:tc>
        <w:tc>
          <w:tcPr>
            <w:tcW w:w="1102" w:type="dxa"/>
            <w:shd w:val="clear" w:color="auto" w:fill="DEEAF6" w:themeFill="accent1" w:themeFillTint="33"/>
            <w:tcMar>
              <w:left w:w="57" w:type="dxa"/>
              <w:right w:w="57" w:type="dxa"/>
            </w:tcMar>
          </w:tcPr>
          <w:p w14:paraId="3B705F93" w14:textId="77777777" w:rsidR="00DB596B" w:rsidRPr="00624BB8" w:rsidRDefault="00DB596B" w:rsidP="00401A5B">
            <w:pPr>
              <w:widowControl w:val="0"/>
              <w:contextualSpacing/>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01.01.2023.</w:t>
            </w:r>
          </w:p>
        </w:tc>
      </w:tr>
      <w:tr w:rsidR="00DB596B" w:rsidRPr="00624BB8" w14:paraId="0C0D2C29" w14:textId="77777777" w:rsidTr="00624BB8">
        <w:trPr>
          <w:trHeight w:val="497"/>
        </w:trPr>
        <w:tc>
          <w:tcPr>
            <w:tcW w:w="4395" w:type="dxa"/>
            <w:shd w:val="clear" w:color="auto" w:fill="auto"/>
          </w:tcPr>
          <w:p w14:paraId="2307786B" w14:textId="77777777" w:rsidR="00DB596B" w:rsidRPr="00624BB8" w:rsidRDefault="00DB596B" w:rsidP="00401A5B">
            <w:pPr>
              <w:rPr>
                <w:rFonts w:ascii="Times New Roman" w:eastAsia="Times New Roman" w:hAnsi="Times New Roman" w:cs="Times New Roman"/>
                <w:sz w:val="20"/>
                <w:szCs w:val="20"/>
                <w:lang w:eastAsia="en-US"/>
              </w:rPr>
            </w:pPr>
            <w:r w:rsidRPr="00624BB8">
              <w:rPr>
                <w:rFonts w:ascii="Times New Roman" w:eastAsia="Times New Roman" w:hAnsi="Times New Roman" w:cs="Times New Roman"/>
                <w:sz w:val="20"/>
                <w:szCs w:val="20"/>
                <w:lang w:eastAsia="en-US"/>
              </w:rPr>
              <w:t>Fiksētais nodokļa maksājums par C kategorijas piesārņojošu darbību,</w:t>
            </w:r>
            <w:r w:rsidRPr="00624BB8">
              <w:rPr>
                <w:rFonts w:ascii="Times New Roman" w:eastAsia="Times New Roman" w:hAnsi="Times New Roman" w:cs="Times New Roman"/>
                <w:i/>
                <w:sz w:val="20"/>
                <w:szCs w:val="20"/>
                <w:lang w:eastAsia="en-US"/>
              </w:rPr>
              <w:t xml:space="preserve"> euro</w:t>
            </w:r>
          </w:p>
        </w:tc>
        <w:tc>
          <w:tcPr>
            <w:tcW w:w="1134" w:type="dxa"/>
            <w:shd w:val="clear" w:color="auto" w:fill="auto"/>
            <w:vAlign w:val="center"/>
          </w:tcPr>
          <w:p w14:paraId="70A3638E"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71,14</w:t>
            </w:r>
          </w:p>
        </w:tc>
        <w:tc>
          <w:tcPr>
            <w:tcW w:w="1275" w:type="dxa"/>
            <w:shd w:val="clear" w:color="auto" w:fill="auto"/>
            <w:vAlign w:val="center"/>
          </w:tcPr>
          <w:p w14:paraId="472F31C0"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178,0</w:t>
            </w:r>
          </w:p>
        </w:tc>
        <w:tc>
          <w:tcPr>
            <w:tcW w:w="1134" w:type="dxa"/>
            <w:shd w:val="clear" w:color="auto" w:fill="auto"/>
            <w:vAlign w:val="center"/>
          </w:tcPr>
          <w:p w14:paraId="789473A1"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200,0</w:t>
            </w:r>
          </w:p>
        </w:tc>
        <w:tc>
          <w:tcPr>
            <w:tcW w:w="1102" w:type="dxa"/>
            <w:shd w:val="clear" w:color="auto" w:fill="auto"/>
            <w:vAlign w:val="center"/>
          </w:tcPr>
          <w:p w14:paraId="7224E25E"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250,0</w:t>
            </w:r>
          </w:p>
        </w:tc>
      </w:tr>
    </w:tbl>
    <w:p w14:paraId="7063C5AF" w14:textId="77777777" w:rsidR="00DB596B" w:rsidRPr="00DB596B" w:rsidRDefault="00DB596B" w:rsidP="00401A5B">
      <w:pPr>
        <w:ind w:left="1429"/>
        <w:contextualSpacing/>
        <w:jc w:val="both"/>
        <w:rPr>
          <w:rFonts w:ascii="Times New Roman" w:eastAsia="Times New Roman" w:hAnsi="Times New Roman" w:cs="Times New Roman"/>
          <w:sz w:val="28"/>
          <w:szCs w:val="20"/>
          <w:lang w:eastAsia="en-US"/>
        </w:rPr>
      </w:pPr>
    </w:p>
    <w:p w14:paraId="3EA3AB88" w14:textId="44FD154E" w:rsidR="00DB596B" w:rsidRDefault="00DB596B" w:rsidP="00624BB8">
      <w:pPr>
        <w:ind w:firstLine="720"/>
        <w:contextualSpacing/>
        <w:jc w:val="both"/>
        <w:rPr>
          <w:rFonts w:ascii="Times New Roman" w:eastAsia="Times New Roman" w:hAnsi="Times New Roman" w:cs="Times New Roman"/>
          <w:sz w:val="28"/>
          <w:szCs w:val="20"/>
          <w:lang w:eastAsia="en-US"/>
        </w:rPr>
      </w:pPr>
      <w:r w:rsidRPr="00624BB8">
        <w:rPr>
          <w:rFonts w:ascii="Times New Roman" w:eastAsia="Times New Roman" w:hAnsi="Times New Roman" w:cs="Times New Roman"/>
          <w:sz w:val="28"/>
          <w:szCs w:val="20"/>
          <w:lang w:eastAsia="en-US"/>
        </w:rPr>
        <w:t>Fiskālā ietekme 2021.gadā kopā +2,6 milj. </w:t>
      </w:r>
      <w:r w:rsidRPr="00624BB8">
        <w:rPr>
          <w:rFonts w:ascii="Times New Roman" w:eastAsia="Times New Roman" w:hAnsi="Times New Roman" w:cs="Times New Roman"/>
          <w:bCs/>
          <w:i/>
          <w:sz w:val="28"/>
          <w:szCs w:val="24"/>
          <w:lang w:eastAsia="en-US"/>
        </w:rPr>
        <w:t>euro</w:t>
      </w:r>
      <w:r w:rsidRPr="00624BB8">
        <w:rPr>
          <w:rFonts w:ascii="Times New Roman" w:eastAsia="Times New Roman" w:hAnsi="Times New Roman" w:cs="Times New Roman"/>
          <w:sz w:val="28"/>
          <w:szCs w:val="20"/>
          <w:lang w:eastAsia="en-US"/>
        </w:rPr>
        <w:t>, t.sk. valsts pamatbudžetā +2,3 milj. </w:t>
      </w:r>
      <w:r w:rsidRPr="00624BB8">
        <w:rPr>
          <w:rFonts w:ascii="Times New Roman" w:eastAsia="Times New Roman" w:hAnsi="Times New Roman" w:cs="Times New Roman"/>
          <w:bCs/>
          <w:i/>
          <w:sz w:val="28"/>
          <w:szCs w:val="24"/>
          <w:lang w:eastAsia="en-US"/>
        </w:rPr>
        <w:t>euro</w:t>
      </w:r>
      <w:r w:rsidRPr="00624BB8">
        <w:rPr>
          <w:rFonts w:ascii="Times New Roman" w:eastAsia="Times New Roman" w:hAnsi="Times New Roman" w:cs="Times New Roman"/>
          <w:sz w:val="28"/>
          <w:szCs w:val="20"/>
          <w:lang w:eastAsia="en-US"/>
        </w:rPr>
        <w:t xml:space="preserve">, pašvaldību budžetā +0,3 milj. </w:t>
      </w:r>
      <w:r w:rsidRPr="00624BB8">
        <w:rPr>
          <w:rFonts w:ascii="Times New Roman" w:eastAsia="Times New Roman" w:hAnsi="Times New Roman" w:cs="Times New Roman"/>
          <w:bCs/>
          <w:i/>
          <w:sz w:val="28"/>
          <w:szCs w:val="24"/>
          <w:lang w:eastAsia="en-US"/>
        </w:rPr>
        <w:t>euro</w:t>
      </w:r>
      <w:r w:rsidRPr="00624BB8">
        <w:rPr>
          <w:rFonts w:ascii="Times New Roman" w:eastAsia="Times New Roman" w:hAnsi="Times New Roman" w:cs="Times New Roman"/>
          <w:sz w:val="28"/>
          <w:szCs w:val="20"/>
          <w:lang w:eastAsia="en-US"/>
        </w:rPr>
        <w:t xml:space="preserve">, 2022.gadā +5,1 milj. </w:t>
      </w:r>
      <w:r w:rsidRPr="00624BB8">
        <w:rPr>
          <w:rFonts w:ascii="Times New Roman" w:eastAsia="Times New Roman" w:hAnsi="Times New Roman" w:cs="Times New Roman"/>
          <w:bCs/>
          <w:i/>
          <w:sz w:val="28"/>
          <w:szCs w:val="24"/>
          <w:lang w:eastAsia="en-US"/>
        </w:rPr>
        <w:t>euro</w:t>
      </w:r>
      <w:r w:rsidRPr="00624BB8">
        <w:rPr>
          <w:rFonts w:ascii="Times New Roman" w:eastAsia="Times New Roman" w:hAnsi="Times New Roman" w:cs="Times New Roman"/>
          <w:sz w:val="28"/>
          <w:szCs w:val="20"/>
          <w:lang w:eastAsia="en-US"/>
        </w:rPr>
        <w:t>, t.sk. valsts pamatbudžetā +3,4 milj. </w:t>
      </w:r>
      <w:r w:rsidRPr="00624BB8">
        <w:rPr>
          <w:rFonts w:ascii="Times New Roman" w:eastAsia="Times New Roman" w:hAnsi="Times New Roman" w:cs="Times New Roman"/>
          <w:bCs/>
          <w:i/>
          <w:sz w:val="28"/>
          <w:szCs w:val="24"/>
          <w:lang w:eastAsia="en-US"/>
        </w:rPr>
        <w:t>euro</w:t>
      </w:r>
      <w:r w:rsidRPr="00624BB8">
        <w:rPr>
          <w:rFonts w:ascii="Times New Roman" w:eastAsia="Times New Roman" w:hAnsi="Times New Roman" w:cs="Times New Roman"/>
          <w:sz w:val="28"/>
          <w:szCs w:val="20"/>
          <w:lang w:eastAsia="en-US"/>
        </w:rPr>
        <w:t xml:space="preserve">, pašvaldību budžetā +1,7 milj. </w:t>
      </w:r>
      <w:r w:rsidRPr="00624BB8">
        <w:rPr>
          <w:rFonts w:ascii="Times New Roman" w:eastAsia="Times New Roman" w:hAnsi="Times New Roman" w:cs="Times New Roman"/>
          <w:bCs/>
          <w:i/>
          <w:sz w:val="28"/>
          <w:szCs w:val="24"/>
          <w:lang w:eastAsia="en-US"/>
        </w:rPr>
        <w:t>euro</w:t>
      </w:r>
      <w:r w:rsidRPr="00624BB8">
        <w:rPr>
          <w:rFonts w:ascii="Times New Roman" w:eastAsia="Times New Roman" w:hAnsi="Times New Roman" w:cs="Times New Roman"/>
          <w:sz w:val="28"/>
          <w:szCs w:val="20"/>
          <w:lang w:eastAsia="en-US"/>
        </w:rPr>
        <w:t xml:space="preserve"> un 2023.gadā +7,3 milj. </w:t>
      </w:r>
      <w:r w:rsidRPr="00624BB8">
        <w:rPr>
          <w:rFonts w:ascii="Times New Roman" w:eastAsia="Times New Roman" w:hAnsi="Times New Roman" w:cs="Times New Roman"/>
          <w:bCs/>
          <w:i/>
          <w:sz w:val="28"/>
          <w:szCs w:val="24"/>
          <w:lang w:eastAsia="en-US"/>
        </w:rPr>
        <w:t>euro</w:t>
      </w:r>
      <w:r w:rsidRPr="00624BB8">
        <w:rPr>
          <w:rFonts w:ascii="Times New Roman" w:eastAsia="Times New Roman" w:hAnsi="Times New Roman" w:cs="Times New Roman"/>
          <w:sz w:val="28"/>
          <w:szCs w:val="20"/>
          <w:lang w:eastAsia="en-US"/>
        </w:rPr>
        <w:t>, t.sk. valsts pamatbudžetā +4,5 milj. </w:t>
      </w:r>
      <w:r w:rsidRPr="00624BB8">
        <w:rPr>
          <w:rFonts w:ascii="Times New Roman" w:eastAsia="Times New Roman" w:hAnsi="Times New Roman" w:cs="Times New Roman"/>
          <w:bCs/>
          <w:i/>
          <w:sz w:val="28"/>
          <w:szCs w:val="24"/>
          <w:lang w:eastAsia="en-US"/>
        </w:rPr>
        <w:t>euro</w:t>
      </w:r>
      <w:r w:rsidRPr="00624BB8">
        <w:rPr>
          <w:rFonts w:ascii="Times New Roman" w:eastAsia="Times New Roman" w:hAnsi="Times New Roman" w:cs="Times New Roman"/>
          <w:sz w:val="28"/>
          <w:szCs w:val="20"/>
          <w:lang w:eastAsia="en-US"/>
        </w:rPr>
        <w:t xml:space="preserve">, pašvaldību budžetā +2,8 milj. </w:t>
      </w:r>
      <w:r w:rsidRPr="00624BB8">
        <w:rPr>
          <w:rFonts w:ascii="Times New Roman" w:eastAsia="Times New Roman" w:hAnsi="Times New Roman" w:cs="Times New Roman"/>
          <w:bCs/>
          <w:i/>
          <w:sz w:val="28"/>
          <w:szCs w:val="24"/>
          <w:lang w:eastAsia="en-US"/>
        </w:rPr>
        <w:t>euro</w:t>
      </w:r>
      <w:r w:rsidRPr="00624BB8">
        <w:rPr>
          <w:rFonts w:ascii="Times New Roman" w:eastAsia="Times New Roman" w:hAnsi="Times New Roman" w:cs="Times New Roman"/>
          <w:sz w:val="28"/>
          <w:szCs w:val="20"/>
          <w:lang w:eastAsia="en-US"/>
        </w:rPr>
        <w:t>.</w:t>
      </w:r>
    </w:p>
    <w:p w14:paraId="3C2726E8" w14:textId="77777777" w:rsidR="00624BB8" w:rsidRPr="00624BB8" w:rsidRDefault="00624BB8" w:rsidP="00624BB8">
      <w:pPr>
        <w:ind w:firstLine="720"/>
        <w:contextualSpacing/>
        <w:jc w:val="both"/>
        <w:rPr>
          <w:rFonts w:ascii="Times New Roman" w:eastAsia="Times New Roman" w:hAnsi="Times New Roman" w:cs="Times New Roman"/>
          <w:sz w:val="28"/>
          <w:szCs w:val="24"/>
          <w:lang w:eastAsia="en-US"/>
        </w:rPr>
      </w:pPr>
    </w:p>
    <w:p w14:paraId="27F85C0C" w14:textId="77777777" w:rsidR="00DB596B" w:rsidRPr="00DB596B" w:rsidRDefault="00DB596B" w:rsidP="00624BB8">
      <w:pPr>
        <w:jc w:val="right"/>
        <w:rPr>
          <w:rFonts w:ascii="Times New Roman" w:eastAsia="Times New Roman" w:hAnsi="Times New Roman" w:cs="Times New Roman"/>
          <w:b/>
          <w:i/>
          <w:sz w:val="24"/>
          <w:szCs w:val="20"/>
          <w:lang w:eastAsia="en-US"/>
        </w:rPr>
      </w:pPr>
      <w:r w:rsidRPr="00624BB8">
        <w:rPr>
          <w:rFonts w:ascii="Times New Roman" w:eastAsia="Times New Roman" w:hAnsi="Times New Roman" w:cs="Times New Roman"/>
          <w:b/>
          <w:i/>
          <w:sz w:val="24"/>
          <w:szCs w:val="20"/>
          <w:lang w:eastAsia="en-US"/>
        </w:rPr>
        <w:t>3.17. tabula. Dabas resursu nodokļa ieņēmumi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2"/>
        <w:gridCol w:w="993"/>
        <w:gridCol w:w="992"/>
        <w:gridCol w:w="987"/>
        <w:gridCol w:w="1412"/>
      </w:tblGrid>
      <w:tr w:rsidR="00DB596B" w:rsidRPr="00624BB8" w14:paraId="6EA6C632" w14:textId="77777777" w:rsidTr="00624BB8">
        <w:trPr>
          <w:jc w:val="center"/>
        </w:trPr>
        <w:tc>
          <w:tcPr>
            <w:tcW w:w="4542" w:type="dxa"/>
            <w:shd w:val="clear" w:color="auto" w:fill="DEEAF6" w:themeFill="accent1" w:themeFillTint="33"/>
          </w:tcPr>
          <w:p w14:paraId="7DEFF174" w14:textId="77777777" w:rsidR="00DB596B" w:rsidRPr="00624BB8" w:rsidRDefault="00DB596B" w:rsidP="00401A5B">
            <w:pPr>
              <w:keepNext/>
              <w:jc w:val="both"/>
              <w:rPr>
                <w:rFonts w:ascii="Times New Roman" w:eastAsia="Times New Roman" w:hAnsi="Times New Roman" w:cs="Times New Roman"/>
                <w:sz w:val="20"/>
                <w:szCs w:val="20"/>
                <w:lang w:eastAsia="en-US"/>
              </w:rPr>
            </w:pPr>
          </w:p>
        </w:tc>
        <w:tc>
          <w:tcPr>
            <w:tcW w:w="993" w:type="dxa"/>
            <w:shd w:val="clear" w:color="auto" w:fill="DEEAF6" w:themeFill="accent1" w:themeFillTint="33"/>
            <w:vAlign w:val="center"/>
          </w:tcPr>
          <w:p w14:paraId="790ED8B6" w14:textId="77777777" w:rsidR="00DB596B" w:rsidRPr="00624BB8" w:rsidRDefault="00DB596B" w:rsidP="00401A5B">
            <w:pPr>
              <w:keepNext/>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color w:val="000000"/>
                <w:sz w:val="20"/>
                <w:szCs w:val="20"/>
              </w:rPr>
              <w:t>2020</w:t>
            </w:r>
          </w:p>
        </w:tc>
        <w:tc>
          <w:tcPr>
            <w:tcW w:w="992" w:type="dxa"/>
            <w:shd w:val="clear" w:color="auto" w:fill="DEEAF6" w:themeFill="accent1" w:themeFillTint="33"/>
            <w:vAlign w:val="center"/>
          </w:tcPr>
          <w:p w14:paraId="499CBBC6" w14:textId="77777777" w:rsidR="00DB596B" w:rsidRPr="00624BB8" w:rsidRDefault="00DB596B" w:rsidP="00401A5B">
            <w:pPr>
              <w:keepNext/>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2021</w:t>
            </w:r>
          </w:p>
        </w:tc>
        <w:tc>
          <w:tcPr>
            <w:tcW w:w="987" w:type="dxa"/>
            <w:shd w:val="clear" w:color="auto" w:fill="DEEAF6" w:themeFill="accent1" w:themeFillTint="33"/>
            <w:vAlign w:val="center"/>
          </w:tcPr>
          <w:p w14:paraId="1CDC65EF" w14:textId="77777777" w:rsidR="00DB596B" w:rsidRPr="00624BB8" w:rsidRDefault="00DB596B" w:rsidP="00401A5B">
            <w:pPr>
              <w:keepNext/>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2022</w:t>
            </w:r>
          </w:p>
        </w:tc>
        <w:tc>
          <w:tcPr>
            <w:tcW w:w="1412" w:type="dxa"/>
            <w:shd w:val="clear" w:color="auto" w:fill="DEEAF6" w:themeFill="accent1" w:themeFillTint="33"/>
            <w:vAlign w:val="center"/>
          </w:tcPr>
          <w:p w14:paraId="4E3F54D8" w14:textId="77777777" w:rsidR="00DB596B" w:rsidRPr="00624BB8" w:rsidRDefault="00DB596B" w:rsidP="00401A5B">
            <w:pPr>
              <w:keepNext/>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2023</w:t>
            </w:r>
          </w:p>
        </w:tc>
      </w:tr>
      <w:tr w:rsidR="00DB596B" w:rsidRPr="00624BB8" w14:paraId="401B5F16" w14:textId="77777777" w:rsidTr="00624BB8">
        <w:trPr>
          <w:jc w:val="center"/>
        </w:trPr>
        <w:tc>
          <w:tcPr>
            <w:tcW w:w="4542" w:type="dxa"/>
          </w:tcPr>
          <w:p w14:paraId="0F0E634E" w14:textId="5DF71706" w:rsidR="00DB596B" w:rsidRPr="00624BB8" w:rsidRDefault="00DB596B" w:rsidP="00624BB8">
            <w:pPr>
              <w:keepNext/>
              <w:jc w:val="both"/>
              <w:rPr>
                <w:rFonts w:ascii="Times New Roman" w:eastAsia="Times New Roman" w:hAnsi="Times New Roman" w:cs="Times New Roman"/>
                <w:b/>
                <w:i/>
                <w:color w:val="000000"/>
                <w:sz w:val="20"/>
                <w:szCs w:val="20"/>
              </w:rPr>
            </w:pPr>
            <w:r w:rsidRPr="00624BB8">
              <w:rPr>
                <w:rFonts w:ascii="Times New Roman" w:eastAsia="Times New Roman" w:hAnsi="Times New Roman" w:cs="Times New Roman"/>
                <w:b/>
                <w:color w:val="000000"/>
                <w:sz w:val="20"/>
                <w:szCs w:val="20"/>
              </w:rPr>
              <w:t>Dabas resursu nodoklis</w:t>
            </w:r>
            <w:r w:rsidRPr="00624BB8">
              <w:rPr>
                <w:rFonts w:ascii="Times New Roman" w:eastAsia="Times New Roman" w:hAnsi="Times New Roman" w:cs="Times New Roman"/>
                <w:b/>
                <w:i/>
                <w:color w:val="000000"/>
                <w:sz w:val="20"/>
                <w:szCs w:val="20"/>
              </w:rPr>
              <w:t xml:space="preserve"> </w:t>
            </w:r>
            <w:r w:rsidRPr="00624BB8">
              <w:rPr>
                <w:rFonts w:ascii="Times New Roman" w:eastAsia="Times New Roman" w:hAnsi="Times New Roman" w:cs="Times New Roman"/>
                <w:color w:val="000000"/>
                <w:sz w:val="20"/>
                <w:szCs w:val="20"/>
              </w:rPr>
              <w:t xml:space="preserve">saskaņā </w:t>
            </w:r>
            <w:r w:rsidR="00624BB8">
              <w:rPr>
                <w:rFonts w:ascii="Times New Roman" w:eastAsia="Times New Roman" w:hAnsi="Times New Roman" w:cs="Times New Roman"/>
                <w:color w:val="000000"/>
                <w:sz w:val="20"/>
                <w:szCs w:val="20"/>
              </w:rPr>
              <w:t>VTBIL 2021., 2022. un 2023.gadam projektu</w:t>
            </w:r>
            <w:r w:rsidRPr="00624BB8">
              <w:rPr>
                <w:rFonts w:ascii="Times New Roman" w:eastAsia="Times New Roman" w:hAnsi="Times New Roman" w:cs="Times New Roman"/>
                <w:color w:val="000000"/>
                <w:sz w:val="20"/>
                <w:szCs w:val="20"/>
              </w:rPr>
              <w:t>, milj. </w:t>
            </w:r>
            <w:r w:rsidRPr="00624BB8">
              <w:rPr>
                <w:rFonts w:ascii="Times New Roman" w:eastAsia="Times New Roman" w:hAnsi="Times New Roman" w:cs="Times New Roman"/>
                <w:i/>
                <w:color w:val="000000"/>
                <w:sz w:val="20"/>
                <w:szCs w:val="20"/>
              </w:rPr>
              <w:t>euro</w:t>
            </w:r>
          </w:p>
        </w:tc>
        <w:tc>
          <w:tcPr>
            <w:tcW w:w="993" w:type="dxa"/>
            <w:vAlign w:val="center"/>
          </w:tcPr>
          <w:p w14:paraId="3604539F" w14:textId="77777777" w:rsidR="00DB596B" w:rsidRPr="00624BB8" w:rsidRDefault="00DB596B" w:rsidP="00401A5B">
            <w:pPr>
              <w:jc w:val="center"/>
              <w:rPr>
                <w:rFonts w:ascii="Times New Roman" w:eastAsia="Times New Roman" w:hAnsi="Times New Roman" w:cs="Times New Roman"/>
                <w:b/>
                <w:snapToGrid w:val="0"/>
                <w:sz w:val="20"/>
                <w:szCs w:val="20"/>
                <w:lang w:eastAsia="en-US"/>
              </w:rPr>
            </w:pPr>
            <w:r w:rsidRPr="00624BB8">
              <w:rPr>
                <w:rFonts w:ascii="Times New Roman" w:eastAsia="Times New Roman" w:hAnsi="Times New Roman" w:cs="Times New Roman"/>
                <w:b/>
                <w:snapToGrid w:val="0"/>
                <w:sz w:val="20"/>
                <w:szCs w:val="20"/>
                <w:lang w:eastAsia="en-US"/>
              </w:rPr>
              <w:t>31,8*</w:t>
            </w:r>
          </w:p>
        </w:tc>
        <w:tc>
          <w:tcPr>
            <w:tcW w:w="992" w:type="dxa"/>
            <w:vAlign w:val="center"/>
          </w:tcPr>
          <w:p w14:paraId="5F08BBA6" w14:textId="77777777" w:rsidR="00DB596B" w:rsidRPr="00624BB8" w:rsidRDefault="00DB596B" w:rsidP="00401A5B">
            <w:pPr>
              <w:jc w:val="center"/>
              <w:rPr>
                <w:rFonts w:ascii="Times New Roman" w:eastAsia="Times New Roman" w:hAnsi="Times New Roman" w:cs="Times New Roman"/>
                <w:b/>
                <w:snapToGrid w:val="0"/>
                <w:sz w:val="20"/>
                <w:szCs w:val="20"/>
                <w:lang w:eastAsia="en-US"/>
              </w:rPr>
            </w:pPr>
            <w:r w:rsidRPr="00624BB8">
              <w:rPr>
                <w:rFonts w:ascii="Times New Roman" w:eastAsia="Times New Roman" w:hAnsi="Times New Roman" w:cs="Times New Roman"/>
                <w:b/>
                <w:snapToGrid w:val="0"/>
                <w:sz w:val="20"/>
                <w:szCs w:val="20"/>
                <w:lang w:eastAsia="en-US"/>
              </w:rPr>
              <w:t>38,9</w:t>
            </w:r>
          </w:p>
        </w:tc>
        <w:tc>
          <w:tcPr>
            <w:tcW w:w="987" w:type="dxa"/>
            <w:vAlign w:val="center"/>
          </w:tcPr>
          <w:p w14:paraId="6D13B4AE" w14:textId="77777777" w:rsidR="00DB596B" w:rsidRPr="00624BB8" w:rsidRDefault="00DB596B" w:rsidP="00401A5B">
            <w:pPr>
              <w:jc w:val="center"/>
              <w:rPr>
                <w:rFonts w:ascii="Times New Roman" w:eastAsia="Times New Roman" w:hAnsi="Times New Roman" w:cs="Times New Roman"/>
                <w:b/>
                <w:snapToGrid w:val="0"/>
                <w:sz w:val="20"/>
                <w:szCs w:val="20"/>
                <w:lang w:eastAsia="en-US"/>
              </w:rPr>
            </w:pPr>
            <w:r w:rsidRPr="00624BB8">
              <w:rPr>
                <w:rFonts w:ascii="Times New Roman" w:eastAsia="Times New Roman" w:hAnsi="Times New Roman" w:cs="Times New Roman"/>
                <w:b/>
                <w:snapToGrid w:val="0"/>
                <w:sz w:val="20"/>
                <w:szCs w:val="20"/>
                <w:lang w:eastAsia="en-US"/>
              </w:rPr>
              <w:t>44,5</w:t>
            </w:r>
          </w:p>
        </w:tc>
        <w:tc>
          <w:tcPr>
            <w:tcW w:w="1412" w:type="dxa"/>
            <w:vAlign w:val="center"/>
          </w:tcPr>
          <w:p w14:paraId="28076E33" w14:textId="77777777" w:rsidR="00DB596B" w:rsidRPr="00624BB8" w:rsidRDefault="00DB596B" w:rsidP="00401A5B">
            <w:pPr>
              <w:jc w:val="center"/>
              <w:rPr>
                <w:rFonts w:ascii="Times New Roman" w:eastAsia="Times New Roman" w:hAnsi="Times New Roman" w:cs="Times New Roman"/>
                <w:b/>
                <w:snapToGrid w:val="0"/>
                <w:sz w:val="20"/>
                <w:szCs w:val="20"/>
                <w:lang w:eastAsia="en-US"/>
              </w:rPr>
            </w:pPr>
            <w:r w:rsidRPr="00624BB8">
              <w:rPr>
                <w:rFonts w:ascii="Times New Roman" w:eastAsia="Times New Roman" w:hAnsi="Times New Roman" w:cs="Times New Roman"/>
                <w:b/>
                <w:snapToGrid w:val="0"/>
                <w:sz w:val="20"/>
                <w:szCs w:val="20"/>
                <w:lang w:eastAsia="en-US"/>
              </w:rPr>
              <w:t>48,4</w:t>
            </w:r>
          </w:p>
        </w:tc>
      </w:tr>
      <w:tr w:rsidR="00DB596B" w:rsidRPr="00624BB8" w14:paraId="122AE9C4" w14:textId="77777777" w:rsidTr="00624BB8">
        <w:trPr>
          <w:trHeight w:val="487"/>
          <w:jc w:val="center"/>
        </w:trPr>
        <w:tc>
          <w:tcPr>
            <w:tcW w:w="4542" w:type="dxa"/>
          </w:tcPr>
          <w:p w14:paraId="751BB08C" w14:textId="4F03DFDA" w:rsidR="00DB596B" w:rsidRPr="00624BB8" w:rsidRDefault="00DB596B" w:rsidP="00624BB8">
            <w:pPr>
              <w:keepNext/>
              <w:jc w:val="both"/>
              <w:rPr>
                <w:rFonts w:ascii="Times New Roman" w:eastAsia="Times New Roman" w:hAnsi="Times New Roman" w:cs="Times New Roman"/>
                <w:i/>
                <w:iCs/>
                <w:color w:val="000000"/>
                <w:sz w:val="20"/>
                <w:szCs w:val="20"/>
              </w:rPr>
            </w:pPr>
            <w:r w:rsidRPr="00624BB8">
              <w:rPr>
                <w:rFonts w:ascii="Times New Roman" w:eastAsia="Times New Roman" w:hAnsi="Times New Roman" w:cs="Times New Roman"/>
                <w:b/>
                <w:color w:val="000000"/>
                <w:sz w:val="20"/>
                <w:szCs w:val="20"/>
              </w:rPr>
              <w:t xml:space="preserve">Dabas resursu nodoklis </w:t>
            </w:r>
            <w:r w:rsidRPr="00624BB8">
              <w:rPr>
                <w:rFonts w:ascii="Times New Roman" w:eastAsia="Times New Roman" w:hAnsi="Times New Roman" w:cs="Times New Roman"/>
                <w:iCs/>
                <w:color w:val="000000"/>
                <w:sz w:val="20"/>
                <w:szCs w:val="20"/>
              </w:rPr>
              <w:t xml:space="preserve">saskaņā ar </w:t>
            </w:r>
            <w:r w:rsidR="00624BB8">
              <w:rPr>
                <w:rFonts w:ascii="Times New Roman" w:eastAsia="Times New Roman" w:hAnsi="Times New Roman" w:cs="Times New Roman"/>
                <w:iCs/>
                <w:color w:val="000000"/>
                <w:sz w:val="20"/>
                <w:szCs w:val="20"/>
              </w:rPr>
              <w:t>VTBIL</w:t>
            </w:r>
            <w:r w:rsidRPr="00624BB8">
              <w:rPr>
                <w:rFonts w:ascii="Times New Roman" w:eastAsia="Times New Roman" w:hAnsi="Times New Roman" w:cs="Times New Roman"/>
                <w:color w:val="000000"/>
                <w:sz w:val="20"/>
                <w:szCs w:val="20"/>
              </w:rPr>
              <w:t>, milj. </w:t>
            </w:r>
            <w:r w:rsidRPr="00624BB8">
              <w:rPr>
                <w:rFonts w:ascii="Times New Roman" w:eastAsia="Times New Roman" w:hAnsi="Times New Roman" w:cs="Times New Roman"/>
                <w:i/>
                <w:color w:val="000000"/>
                <w:sz w:val="20"/>
                <w:szCs w:val="20"/>
              </w:rPr>
              <w:t>euro</w:t>
            </w:r>
          </w:p>
        </w:tc>
        <w:tc>
          <w:tcPr>
            <w:tcW w:w="993" w:type="dxa"/>
            <w:vAlign w:val="center"/>
          </w:tcPr>
          <w:p w14:paraId="4250D7BB" w14:textId="77777777" w:rsidR="00DB596B" w:rsidRPr="00624BB8" w:rsidRDefault="00DB596B" w:rsidP="00401A5B">
            <w:pPr>
              <w:jc w:val="center"/>
              <w:rPr>
                <w:rFonts w:ascii="Times New Roman" w:eastAsia="Times New Roman" w:hAnsi="Times New Roman" w:cs="Times New Roman"/>
                <w:snapToGrid w:val="0"/>
                <w:sz w:val="20"/>
                <w:szCs w:val="20"/>
                <w:lang w:eastAsia="en-US"/>
              </w:rPr>
            </w:pPr>
            <w:r w:rsidRPr="00624BB8">
              <w:rPr>
                <w:rFonts w:ascii="Times New Roman" w:eastAsia="Times New Roman" w:hAnsi="Times New Roman" w:cs="Times New Roman"/>
                <w:snapToGrid w:val="0"/>
                <w:sz w:val="20"/>
                <w:szCs w:val="20"/>
                <w:lang w:eastAsia="en-US"/>
              </w:rPr>
              <w:t>37,9</w:t>
            </w:r>
          </w:p>
        </w:tc>
        <w:tc>
          <w:tcPr>
            <w:tcW w:w="992" w:type="dxa"/>
            <w:vAlign w:val="center"/>
          </w:tcPr>
          <w:p w14:paraId="3270F7ED" w14:textId="77777777" w:rsidR="00DB596B" w:rsidRPr="00624BB8" w:rsidRDefault="00DB596B" w:rsidP="00401A5B">
            <w:pPr>
              <w:jc w:val="center"/>
              <w:rPr>
                <w:rFonts w:ascii="Times New Roman" w:eastAsia="Times New Roman" w:hAnsi="Times New Roman" w:cs="Times New Roman"/>
                <w:snapToGrid w:val="0"/>
                <w:sz w:val="20"/>
                <w:szCs w:val="20"/>
                <w:lang w:eastAsia="en-US"/>
              </w:rPr>
            </w:pPr>
            <w:r w:rsidRPr="00624BB8">
              <w:rPr>
                <w:rFonts w:ascii="Times New Roman" w:eastAsia="Times New Roman" w:hAnsi="Times New Roman" w:cs="Times New Roman"/>
                <w:snapToGrid w:val="0"/>
                <w:sz w:val="20"/>
                <w:szCs w:val="20"/>
                <w:lang w:eastAsia="en-US"/>
              </w:rPr>
              <w:t>40,9</w:t>
            </w:r>
          </w:p>
        </w:tc>
        <w:tc>
          <w:tcPr>
            <w:tcW w:w="987" w:type="dxa"/>
            <w:vAlign w:val="center"/>
          </w:tcPr>
          <w:p w14:paraId="32E41484" w14:textId="77777777" w:rsidR="00DB596B" w:rsidRPr="00624BB8" w:rsidRDefault="00DB596B" w:rsidP="00401A5B">
            <w:pPr>
              <w:jc w:val="center"/>
              <w:rPr>
                <w:rFonts w:ascii="Times New Roman" w:eastAsia="Times New Roman" w:hAnsi="Times New Roman" w:cs="Times New Roman"/>
                <w:snapToGrid w:val="0"/>
                <w:sz w:val="20"/>
                <w:szCs w:val="20"/>
                <w:lang w:eastAsia="en-US"/>
              </w:rPr>
            </w:pPr>
            <w:r w:rsidRPr="00624BB8">
              <w:rPr>
                <w:rFonts w:ascii="Times New Roman" w:eastAsia="Times New Roman" w:hAnsi="Times New Roman" w:cs="Times New Roman"/>
                <w:snapToGrid w:val="0"/>
                <w:sz w:val="20"/>
                <w:szCs w:val="20"/>
                <w:lang w:eastAsia="en-US"/>
              </w:rPr>
              <w:t>43,4</w:t>
            </w:r>
          </w:p>
        </w:tc>
        <w:tc>
          <w:tcPr>
            <w:tcW w:w="1412" w:type="dxa"/>
            <w:vAlign w:val="center"/>
          </w:tcPr>
          <w:p w14:paraId="72F3E87D" w14:textId="77777777" w:rsidR="00DB596B" w:rsidRPr="00624BB8" w:rsidRDefault="00DB596B" w:rsidP="00401A5B">
            <w:pPr>
              <w:keepNext/>
              <w:jc w:val="center"/>
              <w:rPr>
                <w:rFonts w:ascii="Times New Roman" w:eastAsia="Times New Roman" w:hAnsi="Times New Roman" w:cs="Times New Roman"/>
                <w:sz w:val="20"/>
                <w:szCs w:val="20"/>
                <w:lang w:eastAsia="en-US"/>
              </w:rPr>
            </w:pPr>
          </w:p>
        </w:tc>
      </w:tr>
      <w:tr w:rsidR="00DB596B" w:rsidRPr="00624BB8" w14:paraId="1515BF4B" w14:textId="77777777" w:rsidTr="00624BB8">
        <w:trPr>
          <w:jc w:val="center"/>
        </w:trPr>
        <w:tc>
          <w:tcPr>
            <w:tcW w:w="4542" w:type="dxa"/>
          </w:tcPr>
          <w:p w14:paraId="1356BC7A" w14:textId="02FD99AA" w:rsidR="00DB596B" w:rsidRPr="00624BB8" w:rsidRDefault="00DB596B" w:rsidP="00624BB8">
            <w:pPr>
              <w:keepNext/>
              <w:jc w:val="both"/>
              <w:rPr>
                <w:rFonts w:ascii="Times New Roman" w:eastAsia="Times New Roman" w:hAnsi="Times New Roman" w:cs="Times New Roman"/>
                <w:sz w:val="20"/>
                <w:szCs w:val="20"/>
                <w:lang w:eastAsia="en-US"/>
              </w:rPr>
            </w:pPr>
            <w:r w:rsidRPr="00624BB8">
              <w:rPr>
                <w:rFonts w:ascii="Times New Roman" w:eastAsia="Times New Roman" w:hAnsi="Times New Roman" w:cs="Times New Roman"/>
                <w:i/>
                <w:iCs/>
                <w:color w:val="000000"/>
                <w:sz w:val="20"/>
                <w:szCs w:val="20"/>
              </w:rPr>
              <w:t xml:space="preserve">pieaugums, salīdzinot ar </w:t>
            </w:r>
            <w:r w:rsidR="00624BB8">
              <w:rPr>
                <w:rFonts w:ascii="Times New Roman" w:eastAsia="Times New Roman" w:hAnsi="Times New Roman" w:cs="Times New Roman"/>
                <w:i/>
                <w:iCs/>
                <w:color w:val="000000"/>
                <w:sz w:val="20"/>
                <w:szCs w:val="20"/>
              </w:rPr>
              <w:t>VTBIL</w:t>
            </w:r>
            <w:r w:rsidRPr="00624BB8">
              <w:rPr>
                <w:rFonts w:ascii="Times New Roman" w:eastAsia="Times New Roman" w:hAnsi="Times New Roman" w:cs="Times New Roman"/>
                <w:i/>
                <w:iCs/>
                <w:color w:val="000000"/>
                <w:sz w:val="20"/>
                <w:szCs w:val="20"/>
              </w:rPr>
              <w:t xml:space="preserve"> 2020., 2021. un 2022.gadam”, milj. </w:t>
            </w:r>
            <w:r w:rsidRPr="00624BB8">
              <w:rPr>
                <w:rFonts w:ascii="Times New Roman" w:eastAsia="Times New Roman" w:hAnsi="Times New Roman" w:cs="Times New Roman"/>
                <w:i/>
                <w:iCs/>
                <w:color w:val="000000"/>
                <w:spacing w:val="-6"/>
                <w:sz w:val="20"/>
                <w:szCs w:val="20"/>
              </w:rPr>
              <w:t>euro</w:t>
            </w:r>
          </w:p>
        </w:tc>
        <w:tc>
          <w:tcPr>
            <w:tcW w:w="993" w:type="dxa"/>
            <w:vAlign w:val="center"/>
          </w:tcPr>
          <w:p w14:paraId="0189579C"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-6,1</w:t>
            </w:r>
          </w:p>
        </w:tc>
        <w:tc>
          <w:tcPr>
            <w:tcW w:w="992" w:type="dxa"/>
            <w:vAlign w:val="center"/>
          </w:tcPr>
          <w:p w14:paraId="0CF2B37F"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-2,0</w:t>
            </w:r>
          </w:p>
        </w:tc>
        <w:tc>
          <w:tcPr>
            <w:tcW w:w="987" w:type="dxa"/>
            <w:vAlign w:val="center"/>
          </w:tcPr>
          <w:p w14:paraId="55DCCEFA"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+1,1</w:t>
            </w:r>
          </w:p>
        </w:tc>
        <w:tc>
          <w:tcPr>
            <w:tcW w:w="1412" w:type="dxa"/>
            <w:vAlign w:val="center"/>
          </w:tcPr>
          <w:p w14:paraId="12FD28DF" w14:textId="77777777" w:rsidR="00DB596B" w:rsidRPr="00624BB8" w:rsidRDefault="00DB596B" w:rsidP="00401A5B">
            <w:pPr>
              <w:keepNext/>
              <w:jc w:val="center"/>
              <w:rPr>
                <w:rFonts w:ascii="Times New Roman" w:eastAsia="Times New Roman" w:hAnsi="Times New Roman" w:cs="Times New Roman"/>
                <w:sz w:val="20"/>
                <w:szCs w:val="20"/>
                <w:lang w:eastAsia="en-US"/>
              </w:rPr>
            </w:pPr>
          </w:p>
        </w:tc>
      </w:tr>
      <w:tr w:rsidR="00DB596B" w:rsidRPr="00624BB8" w14:paraId="10FB6496" w14:textId="77777777" w:rsidTr="00624BB8">
        <w:trPr>
          <w:jc w:val="center"/>
        </w:trPr>
        <w:tc>
          <w:tcPr>
            <w:tcW w:w="4542" w:type="dxa"/>
          </w:tcPr>
          <w:p w14:paraId="7E585046" w14:textId="6E4CBEA6" w:rsidR="00DB596B" w:rsidRPr="00624BB8" w:rsidRDefault="00DB596B" w:rsidP="00624BB8">
            <w:pPr>
              <w:keepNext/>
              <w:jc w:val="both"/>
              <w:rPr>
                <w:rFonts w:ascii="Times New Roman" w:eastAsia="Times New Roman" w:hAnsi="Times New Roman" w:cs="Times New Roman"/>
                <w:sz w:val="20"/>
                <w:szCs w:val="20"/>
                <w:lang w:eastAsia="en-US"/>
              </w:rPr>
            </w:pPr>
            <w:r w:rsidRPr="00624BB8">
              <w:rPr>
                <w:rFonts w:ascii="Times New Roman" w:eastAsia="Times New Roman" w:hAnsi="Times New Roman" w:cs="Times New Roman"/>
                <w:i/>
                <w:iCs/>
                <w:color w:val="000000"/>
                <w:sz w:val="20"/>
                <w:szCs w:val="20"/>
              </w:rPr>
              <w:t xml:space="preserve">pieaugums, salīdzinot ar </w:t>
            </w:r>
            <w:r w:rsidR="00624BB8">
              <w:rPr>
                <w:rFonts w:ascii="Times New Roman" w:eastAsia="Times New Roman" w:hAnsi="Times New Roman" w:cs="Times New Roman"/>
                <w:i/>
                <w:iCs/>
                <w:color w:val="000000"/>
                <w:sz w:val="20"/>
                <w:szCs w:val="20"/>
              </w:rPr>
              <w:t>VTBIL</w:t>
            </w:r>
            <w:r w:rsidRPr="00624BB8">
              <w:rPr>
                <w:rFonts w:ascii="Times New Roman" w:eastAsia="Times New Roman" w:hAnsi="Times New Roman" w:cs="Times New Roman"/>
                <w:i/>
                <w:iCs/>
                <w:color w:val="000000"/>
                <w:sz w:val="20"/>
                <w:szCs w:val="20"/>
              </w:rPr>
              <w:t xml:space="preserve"> 2020., 2021. un 2022.gadam”, %</w:t>
            </w:r>
          </w:p>
        </w:tc>
        <w:tc>
          <w:tcPr>
            <w:tcW w:w="993" w:type="dxa"/>
            <w:vAlign w:val="center"/>
          </w:tcPr>
          <w:p w14:paraId="1D0C77D5"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-16,1</w:t>
            </w:r>
          </w:p>
        </w:tc>
        <w:tc>
          <w:tcPr>
            <w:tcW w:w="992" w:type="dxa"/>
            <w:vAlign w:val="center"/>
          </w:tcPr>
          <w:p w14:paraId="025DD729"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-4,9</w:t>
            </w:r>
          </w:p>
        </w:tc>
        <w:tc>
          <w:tcPr>
            <w:tcW w:w="987" w:type="dxa"/>
            <w:vAlign w:val="center"/>
          </w:tcPr>
          <w:p w14:paraId="6513FCE2"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+2,6</w:t>
            </w:r>
          </w:p>
        </w:tc>
        <w:tc>
          <w:tcPr>
            <w:tcW w:w="1412" w:type="dxa"/>
            <w:vAlign w:val="center"/>
          </w:tcPr>
          <w:p w14:paraId="4AD964C3" w14:textId="77777777" w:rsidR="00DB596B" w:rsidRPr="00624BB8" w:rsidRDefault="00DB596B" w:rsidP="00401A5B">
            <w:pPr>
              <w:keepNext/>
              <w:jc w:val="center"/>
              <w:rPr>
                <w:rFonts w:ascii="Times New Roman" w:eastAsia="Times New Roman" w:hAnsi="Times New Roman" w:cs="Times New Roman"/>
                <w:sz w:val="20"/>
                <w:szCs w:val="20"/>
                <w:lang w:eastAsia="en-US"/>
              </w:rPr>
            </w:pPr>
          </w:p>
        </w:tc>
      </w:tr>
      <w:tr w:rsidR="00DB596B" w:rsidRPr="00624BB8" w14:paraId="21EE794D" w14:textId="77777777" w:rsidTr="00624BB8">
        <w:trPr>
          <w:jc w:val="center"/>
        </w:trPr>
        <w:tc>
          <w:tcPr>
            <w:tcW w:w="4542" w:type="dxa"/>
          </w:tcPr>
          <w:p w14:paraId="174E7682" w14:textId="77777777" w:rsidR="00DB596B" w:rsidRPr="00624BB8" w:rsidRDefault="00DB596B" w:rsidP="00401A5B">
            <w:pPr>
              <w:keepNext/>
              <w:jc w:val="both"/>
              <w:rPr>
                <w:rFonts w:ascii="Times New Roman" w:eastAsia="Times New Roman" w:hAnsi="Times New Roman" w:cs="Times New Roman"/>
                <w:i/>
                <w:iCs/>
                <w:color w:val="000000"/>
                <w:sz w:val="20"/>
                <w:szCs w:val="20"/>
              </w:rPr>
            </w:pPr>
            <w:r w:rsidRPr="00624BB8">
              <w:rPr>
                <w:rFonts w:ascii="Times New Roman" w:eastAsia="Times New Roman" w:hAnsi="Times New Roman" w:cs="Times New Roman"/>
                <w:i/>
                <w:iCs/>
                <w:color w:val="000000"/>
                <w:sz w:val="20"/>
                <w:szCs w:val="20"/>
              </w:rPr>
              <w:t>% no IKP</w:t>
            </w:r>
          </w:p>
        </w:tc>
        <w:tc>
          <w:tcPr>
            <w:tcW w:w="993" w:type="dxa"/>
            <w:vAlign w:val="center"/>
          </w:tcPr>
          <w:p w14:paraId="38250C8E"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0,1</w:t>
            </w:r>
          </w:p>
        </w:tc>
        <w:tc>
          <w:tcPr>
            <w:tcW w:w="992" w:type="dxa"/>
            <w:vAlign w:val="center"/>
          </w:tcPr>
          <w:p w14:paraId="005F6753"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0,1</w:t>
            </w:r>
          </w:p>
        </w:tc>
        <w:tc>
          <w:tcPr>
            <w:tcW w:w="987" w:type="dxa"/>
            <w:vAlign w:val="center"/>
          </w:tcPr>
          <w:p w14:paraId="670B966B"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0,1</w:t>
            </w:r>
          </w:p>
        </w:tc>
        <w:tc>
          <w:tcPr>
            <w:tcW w:w="1412" w:type="dxa"/>
            <w:vAlign w:val="center"/>
          </w:tcPr>
          <w:p w14:paraId="42967AB6" w14:textId="77777777" w:rsidR="00DB596B" w:rsidRPr="00624BB8" w:rsidRDefault="00DB596B" w:rsidP="00401A5B">
            <w:pPr>
              <w:jc w:val="center"/>
              <w:rPr>
                <w:rFonts w:ascii="Times New Roman" w:eastAsia="Times New Roman" w:hAnsi="Times New Roman" w:cs="Times New Roman"/>
                <w:i/>
                <w:snapToGrid w:val="0"/>
                <w:sz w:val="20"/>
                <w:szCs w:val="20"/>
                <w:lang w:eastAsia="en-US"/>
              </w:rPr>
            </w:pPr>
            <w:r w:rsidRPr="00624BB8">
              <w:rPr>
                <w:rFonts w:ascii="Times New Roman" w:eastAsia="Times New Roman" w:hAnsi="Times New Roman" w:cs="Times New Roman"/>
                <w:i/>
                <w:snapToGrid w:val="0"/>
                <w:sz w:val="20"/>
                <w:szCs w:val="20"/>
                <w:lang w:eastAsia="en-US"/>
              </w:rPr>
              <w:t>0,1</w:t>
            </w:r>
          </w:p>
        </w:tc>
      </w:tr>
    </w:tbl>
    <w:p w14:paraId="54B04900" w14:textId="77777777" w:rsidR="00DB596B" w:rsidRPr="00624BB8" w:rsidRDefault="00DB596B" w:rsidP="00401A5B">
      <w:pPr>
        <w:ind w:left="567"/>
        <w:jc w:val="both"/>
        <w:rPr>
          <w:rFonts w:ascii="Times New Roman" w:eastAsia="Times New Roman" w:hAnsi="Times New Roman" w:cs="Times New Roman"/>
          <w:sz w:val="20"/>
          <w:szCs w:val="20"/>
          <w:lang w:eastAsia="en-US"/>
        </w:rPr>
      </w:pPr>
      <w:r w:rsidRPr="00624BB8">
        <w:rPr>
          <w:rFonts w:ascii="Times New Roman" w:eastAsia="Times New Roman" w:hAnsi="Times New Roman" w:cs="Times New Roman"/>
          <w:sz w:val="20"/>
          <w:szCs w:val="20"/>
          <w:lang w:eastAsia="en-US"/>
        </w:rPr>
        <w:t>*Prognoze</w:t>
      </w:r>
    </w:p>
    <w:p w14:paraId="09ED7087" w14:textId="77777777" w:rsidR="00DB596B" w:rsidRPr="00DB596B" w:rsidRDefault="00DB596B" w:rsidP="00401A5B">
      <w:pPr>
        <w:ind w:left="567"/>
        <w:jc w:val="both"/>
        <w:rPr>
          <w:rFonts w:ascii="Times New Roman" w:eastAsia="Times New Roman" w:hAnsi="Times New Roman" w:cs="Times New Roman"/>
          <w:sz w:val="18"/>
          <w:szCs w:val="20"/>
          <w:highlight w:val="yellow"/>
          <w:lang w:eastAsia="en-US"/>
        </w:rPr>
      </w:pPr>
    </w:p>
    <w:p w14:paraId="13A48A1A" w14:textId="3CCF66DC" w:rsidR="00624BB8" w:rsidRDefault="00624BB8" w:rsidP="00624BB8">
      <w:pPr>
        <w:ind w:firstLine="720"/>
        <w:jc w:val="center"/>
        <w:rPr>
          <w:rFonts w:ascii="Times New Roman" w:eastAsia="Times New Roman" w:hAnsi="Times New Roman" w:cs="Times New Roman"/>
          <w:b/>
          <w:sz w:val="28"/>
          <w:szCs w:val="20"/>
          <w:lang w:eastAsia="en-US"/>
        </w:rPr>
      </w:pPr>
      <w:r w:rsidRPr="00624BB8">
        <w:rPr>
          <w:rFonts w:ascii="Times New Roman" w:eastAsia="Times New Roman" w:hAnsi="Times New Roman" w:cs="Times New Roman"/>
          <w:b/>
          <w:sz w:val="28"/>
          <w:szCs w:val="20"/>
          <w:lang w:eastAsia="en-US"/>
        </w:rPr>
        <w:t>Izložu un azartspēļu nodokli</w:t>
      </w:r>
      <w:r>
        <w:rPr>
          <w:rFonts w:ascii="Times New Roman" w:eastAsia="Times New Roman" w:hAnsi="Times New Roman" w:cs="Times New Roman"/>
          <w:b/>
          <w:sz w:val="28"/>
          <w:szCs w:val="20"/>
          <w:lang w:eastAsia="en-US"/>
        </w:rPr>
        <w:t>s</w:t>
      </w:r>
    </w:p>
    <w:p w14:paraId="7BA9D80A" w14:textId="77777777" w:rsidR="00624BB8" w:rsidRPr="00624BB8" w:rsidRDefault="00624BB8" w:rsidP="00624BB8">
      <w:pPr>
        <w:ind w:firstLine="720"/>
        <w:jc w:val="center"/>
        <w:rPr>
          <w:rFonts w:ascii="Times New Roman" w:eastAsia="Times New Roman" w:hAnsi="Times New Roman" w:cs="Times New Roman"/>
          <w:b/>
          <w:sz w:val="28"/>
          <w:szCs w:val="20"/>
          <w:lang w:eastAsia="en-US"/>
        </w:rPr>
      </w:pPr>
    </w:p>
    <w:p w14:paraId="75029141" w14:textId="74058AA3" w:rsidR="00DB596B" w:rsidRPr="00624BB8" w:rsidRDefault="00DB596B" w:rsidP="00401A5B">
      <w:pPr>
        <w:ind w:firstLine="720"/>
        <w:jc w:val="both"/>
        <w:rPr>
          <w:rFonts w:ascii="Times New Roman" w:eastAsia="Times New Roman" w:hAnsi="Times New Roman" w:cs="Times New Roman"/>
          <w:sz w:val="28"/>
          <w:szCs w:val="20"/>
          <w:highlight w:val="yellow"/>
          <w:lang w:eastAsia="en-US"/>
        </w:rPr>
      </w:pPr>
      <w:r w:rsidRPr="00624BB8">
        <w:rPr>
          <w:rFonts w:ascii="Times New Roman" w:eastAsia="Times New Roman" w:hAnsi="Times New Roman" w:cs="Times New Roman"/>
          <w:sz w:val="28"/>
          <w:szCs w:val="20"/>
          <w:lang w:eastAsia="en-US"/>
        </w:rPr>
        <w:t>Izložu un azartspēļu nodokli</w:t>
      </w:r>
      <w:r w:rsidRPr="00624BB8">
        <w:rPr>
          <w:rFonts w:ascii="Times New Roman" w:eastAsia="Times New Roman" w:hAnsi="Times New Roman" w:cs="Times New Roman"/>
          <w:b/>
          <w:sz w:val="28"/>
          <w:szCs w:val="20"/>
          <w:lang w:eastAsia="en-US"/>
        </w:rPr>
        <w:t xml:space="preserve"> </w:t>
      </w:r>
      <w:r w:rsidRPr="00624BB8">
        <w:rPr>
          <w:rFonts w:ascii="Times New Roman" w:eastAsia="Times New Roman" w:hAnsi="Times New Roman" w:cs="Times New Roman"/>
          <w:sz w:val="28"/>
          <w:szCs w:val="20"/>
          <w:lang w:eastAsia="en-US"/>
        </w:rPr>
        <w:t xml:space="preserve">maksā uzņēmumi, kas likumā „Par izložu un azartspēļu nodevu un nodokli” noteiktajā kārtībā saņēmuši speciālu atļauju izložu un azartspēļu organizēšanai un uzturēšanai. Ienākumi no azartspēļu nodokļa (izņemot </w:t>
      </w:r>
      <w:r w:rsidRPr="00624BB8">
        <w:rPr>
          <w:rFonts w:ascii="Times New Roman" w:eastAsia="Calibri" w:hAnsi="Times New Roman" w:cs="Times New Roman"/>
          <w:sz w:val="28"/>
          <w:szCs w:val="28"/>
        </w:rPr>
        <w:t>ieņēmumus no izložu un azartspēļu nodokļa par azartspēlēm, ko organizē izmantojot telekomunikācijas, un sākot ar 2018.gada 1.janvāri 100% apmērā ieskaita valsts budžetā)</w:t>
      </w:r>
      <w:r w:rsidRPr="00624BB8">
        <w:rPr>
          <w:rFonts w:ascii="Times New Roman" w:eastAsia="Times New Roman" w:hAnsi="Times New Roman" w:cs="Times New Roman"/>
          <w:sz w:val="28"/>
          <w:szCs w:val="20"/>
          <w:lang w:eastAsia="en-US"/>
        </w:rPr>
        <w:t xml:space="preserve"> līdz 2020.gadam 75% apmērā tika ieskaitīti valsts pamatbudžetā, bet 25% apmērā tās pašvaldības budžetā, kuras teritorijā tiek organizēta azartspēle. Ar 2020.gada 1.janvāri valsts pamatbudžetā tiks skaitīti 95% no šiem azartspēļu nodokļa ienākumiem, bet pašvaldību budžetā – 5 procenti. Ienākumi no valsts mēroga izložu nodokļa tiek ieskaitīti valsts pamatbudžetā, bet no vietējā mēroga izložu nodokļa – tās pašvaldības budžetā, kuras teritorijā tiek organizēta izloze.</w:t>
      </w:r>
    </w:p>
    <w:p w14:paraId="7E8B5CE0" w14:textId="77777777" w:rsidR="00DB596B" w:rsidRPr="00624BB8" w:rsidRDefault="00DB596B" w:rsidP="00401A5B">
      <w:pPr>
        <w:ind w:firstLine="720"/>
        <w:jc w:val="both"/>
        <w:rPr>
          <w:rFonts w:ascii="Times New Roman" w:eastAsia="Times New Roman" w:hAnsi="Times New Roman" w:cs="Times New Roman"/>
          <w:sz w:val="28"/>
          <w:szCs w:val="20"/>
          <w:lang w:eastAsia="en-US"/>
        </w:rPr>
      </w:pPr>
      <w:r w:rsidRPr="00624BB8">
        <w:rPr>
          <w:rFonts w:ascii="Times New Roman" w:eastAsia="Times New Roman" w:hAnsi="Times New Roman" w:cs="Times New Roman"/>
          <w:sz w:val="28"/>
          <w:szCs w:val="20"/>
          <w:lang w:eastAsia="en-US"/>
        </w:rPr>
        <w:t>2020.gada sešos mēnešos izložu un azartspēļu nodokļa ieņēmumi bija 16,4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kas, salīdzinot ar 2019.gada sešiem mēnešiem, ir samazinājušies par 8,4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jeb 33,9 procentiem – valsts pamatbudžetā iekasēts par 4,9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jeb 24,7% mazāk un pašvaldību budžetā ieņēmumi ir samazinājušies par 3,5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jeb 72,2 procentiem. Salīdzinājumā ar plānu 2020.gada sešos mēnešos nodokļa ieņēmumi ir iekasēti par 11,2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jeb 40,6% mazāk.</w:t>
      </w:r>
    </w:p>
    <w:p w14:paraId="4376FDBA" w14:textId="77777777" w:rsidR="00DB596B" w:rsidRPr="00624BB8" w:rsidRDefault="00DB596B" w:rsidP="00401A5B">
      <w:pPr>
        <w:ind w:firstLine="709"/>
        <w:jc w:val="both"/>
        <w:rPr>
          <w:rFonts w:ascii="Times New Roman" w:eastAsia="Times New Roman" w:hAnsi="Times New Roman" w:cs="Times New Roman"/>
          <w:sz w:val="28"/>
          <w:szCs w:val="20"/>
          <w:lang w:eastAsia="en-US"/>
        </w:rPr>
      </w:pPr>
      <w:r w:rsidRPr="00624BB8">
        <w:rPr>
          <w:rFonts w:ascii="Times New Roman" w:eastAsia="Times New Roman" w:hAnsi="Times New Roman" w:cs="Times New Roman"/>
          <w:sz w:val="28"/>
          <w:szCs w:val="20"/>
          <w:lang w:eastAsia="en-US"/>
        </w:rPr>
        <w:t xml:space="preserve">Sešu mēnešu plāna neizpildi galvenokārt ietekmēja 2020.gada 20.marta Saeimā pieņemta likuma “Par valsts apdraudējuma un tā seku novēršanas un pārvarēšanas pasākumiem sakarā ar Covid-19 izplatību” 8. un 9.panta ierobežojumi. Ar 2020.gada 22.martu līdz 9.jūnijam azartspēļu zāles, kazino, bingo zāles un totalizatora likmju pieņemšanas vietas tika slēgtas, un no 2020.gada 8.aprīļa līdz 9.jūnijam tika slēgtas arī interaktīvo azartspēļu vietnes. Ņemot vērā minēto, kā arī Izložu un azartspēļu uzraudzības inspekcijas sniegtās prognozes un viedokli, prognoze 2020.gadam ir piesardzīga un aprēķināta, ņemot vērā dīkstāvi un vidējo azartspēļu iekārtu skaitu gadā. Līdz ar to prognoze 2020.gadam ir samazināta par 15,1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jeb par 26,9% no plāna.</w:t>
      </w:r>
    </w:p>
    <w:p w14:paraId="46F0A841" w14:textId="208B7764" w:rsidR="00DB596B" w:rsidRPr="00624BB8" w:rsidRDefault="00DB596B" w:rsidP="00401A5B">
      <w:pPr>
        <w:ind w:firstLine="720"/>
        <w:jc w:val="both"/>
        <w:rPr>
          <w:rFonts w:ascii="Times New Roman" w:eastAsia="Times New Roman" w:hAnsi="Times New Roman" w:cs="Times New Roman"/>
          <w:sz w:val="28"/>
          <w:szCs w:val="20"/>
          <w:highlight w:val="yellow"/>
          <w:lang w:eastAsia="en-US"/>
        </w:rPr>
      </w:pPr>
      <w:r w:rsidRPr="00624BB8">
        <w:rPr>
          <w:rFonts w:ascii="Times New Roman" w:eastAsia="Times New Roman" w:hAnsi="Times New Roman" w:cs="Times New Roman"/>
          <w:sz w:val="28"/>
          <w:szCs w:val="24"/>
          <w:lang w:eastAsia="en-US"/>
        </w:rPr>
        <w:t xml:space="preserve">Saskaņā ar </w:t>
      </w:r>
      <w:r w:rsidR="00624BB8">
        <w:rPr>
          <w:rFonts w:ascii="Times New Roman" w:eastAsia="Times New Roman" w:hAnsi="Times New Roman" w:cs="Times New Roman"/>
          <w:sz w:val="28"/>
          <w:szCs w:val="24"/>
          <w:lang w:eastAsia="en-US"/>
        </w:rPr>
        <w:t xml:space="preserve">VTBIL 2021., 2022. un 2023.gadam projektu </w:t>
      </w:r>
      <w:r w:rsidRPr="00624BB8">
        <w:rPr>
          <w:rFonts w:ascii="Times New Roman" w:eastAsia="Times New Roman" w:hAnsi="Times New Roman" w:cs="Times New Roman"/>
          <w:sz w:val="28"/>
          <w:szCs w:val="20"/>
          <w:lang w:eastAsia="en-US"/>
        </w:rPr>
        <w:t>2021.gadā kopējie izložu un azartspēļu nodokļa ieņēmumi tiek plānoti 53,4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apmērā (t.sk. valsts pamatbudžetā 51,3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pašvaldību pamatbudžetā 2,1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2022.gadā 49,1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apmērā (t.sk. valsts pamatbudžetā 47,2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pašvaldību pamatbudžetā 1,9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un 2023.gadā 49,2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apmērā (t.sk. valsts pamatbudžetā 47,3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pašvaldību pamatbudžetā 1,9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w:t>
      </w:r>
    </w:p>
    <w:p w14:paraId="19739DBB" w14:textId="77777777" w:rsidR="00DB596B" w:rsidRPr="00624BB8" w:rsidRDefault="00DB596B" w:rsidP="00401A5B">
      <w:pPr>
        <w:shd w:val="clear" w:color="auto" w:fill="FFFFFF"/>
        <w:ind w:firstLine="709"/>
        <w:jc w:val="both"/>
        <w:rPr>
          <w:rFonts w:ascii="Times New Roman" w:eastAsia="Times New Roman" w:hAnsi="Times New Roman" w:cs="Times New Roman"/>
          <w:sz w:val="28"/>
          <w:szCs w:val="24"/>
          <w:lang w:eastAsia="en-US"/>
        </w:rPr>
      </w:pPr>
      <w:r w:rsidRPr="00624BB8">
        <w:rPr>
          <w:rFonts w:ascii="Times New Roman" w:eastAsia="Times New Roman" w:hAnsi="Times New Roman" w:cs="Times New Roman"/>
          <w:sz w:val="28"/>
          <w:szCs w:val="20"/>
          <w:lang w:eastAsia="en-US"/>
        </w:rPr>
        <w:t xml:space="preserve">Sagatavojot izložu un azartspēļu nodokļa ieņēmumu plānu 2021.gadam, tika </w:t>
      </w:r>
      <w:r w:rsidRPr="00624BB8">
        <w:rPr>
          <w:rFonts w:ascii="Times New Roman" w:eastAsia="Times New Roman" w:hAnsi="Times New Roman" w:cs="Times New Roman"/>
          <w:sz w:val="28"/>
          <w:szCs w:val="24"/>
          <w:lang w:eastAsia="en-US"/>
        </w:rPr>
        <w:t>ņemtas vērā</w:t>
      </w:r>
      <w:r w:rsidRPr="00624BB8">
        <w:rPr>
          <w:rFonts w:ascii="Times New Roman" w:eastAsia="Times New Roman" w:hAnsi="Times New Roman" w:cs="Times New Roman"/>
          <w:sz w:val="28"/>
          <w:szCs w:val="20"/>
          <w:lang w:eastAsia="en-US"/>
        </w:rPr>
        <w:t xml:space="preserve"> nozares attīstības </w:t>
      </w:r>
      <w:r w:rsidRPr="00624BB8">
        <w:rPr>
          <w:rFonts w:ascii="Times New Roman" w:eastAsia="Times New Roman" w:hAnsi="Times New Roman" w:cs="Times New Roman"/>
          <w:sz w:val="28"/>
          <w:szCs w:val="24"/>
          <w:lang w:eastAsia="en-US"/>
        </w:rPr>
        <w:t>tendences, nodokļu samaksas termiņa pagarinājumi, kā arī 2019.gada 14.novembrī Saeimā pieņemtās izmaiņas normatīvajos aktos, kas, sākot ar 2020.gadu, paredz</w:t>
      </w:r>
      <w:r w:rsidRPr="00624BB8">
        <w:rPr>
          <w:rFonts w:ascii="Times New Roman" w:eastAsia="Times New Roman" w:hAnsi="Times New Roman" w:cs="Times New Roman"/>
          <w:noProof/>
          <w:sz w:val="28"/>
          <w:szCs w:val="20"/>
          <w:lang w:eastAsia="en-US"/>
        </w:rPr>
        <w:t xml:space="preserve"> paaugstinātas azartspēļu nodokļa likmes azartspēļu </w:t>
      </w:r>
      <w:r w:rsidRPr="00624BB8">
        <w:rPr>
          <w:rFonts w:ascii="Times New Roman" w:eastAsia="Times New Roman" w:hAnsi="Times New Roman" w:cs="Times New Roman"/>
          <w:bCs/>
          <w:iCs/>
          <w:noProof/>
          <w:sz w:val="28"/>
          <w:szCs w:val="20"/>
          <w:shd w:val="clear" w:color="auto" w:fill="FFFFFF"/>
          <w:lang w:eastAsia="en-US"/>
        </w:rPr>
        <w:t xml:space="preserve">automātiem, </w:t>
      </w:r>
      <w:r w:rsidRPr="00624BB8">
        <w:rPr>
          <w:rFonts w:ascii="Times New Roman" w:eastAsia="Times New Roman" w:hAnsi="Times New Roman" w:cs="Times New Roman"/>
          <w:sz w:val="28"/>
          <w:szCs w:val="24"/>
          <w:lang w:eastAsia="en-US"/>
        </w:rPr>
        <w:t>ruletei, kāršu un kauliņu spēlei.</w:t>
      </w:r>
    </w:p>
    <w:p w14:paraId="0376D9CA" w14:textId="77777777" w:rsidR="00DB596B" w:rsidRPr="00DB596B" w:rsidRDefault="00DB596B" w:rsidP="00401A5B">
      <w:pPr>
        <w:ind w:firstLine="720"/>
        <w:jc w:val="both"/>
        <w:rPr>
          <w:rFonts w:ascii="Times New Roman" w:eastAsia="Times New Roman" w:hAnsi="Times New Roman" w:cs="Times New Roman"/>
          <w:sz w:val="24"/>
          <w:szCs w:val="24"/>
          <w:highlight w:val="yellow"/>
          <w:lang w:eastAsia="en-US"/>
        </w:rPr>
      </w:pPr>
    </w:p>
    <w:p w14:paraId="018DDF79" w14:textId="77777777" w:rsidR="00DB596B" w:rsidRPr="00624BB8" w:rsidRDefault="00DB596B" w:rsidP="00624BB8">
      <w:pPr>
        <w:jc w:val="right"/>
        <w:rPr>
          <w:rFonts w:ascii="Times New Roman" w:eastAsia="Times New Roman" w:hAnsi="Times New Roman" w:cs="Times New Roman"/>
          <w:b/>
          <w:i/>
          <w:sz w:val="24"/>
          <w:szCs w:val="20"/>
          <w:lang w:eastAsia="en-US"/>
        </w:rPr>
      </w:pPr>
      <w:r w:rsidRPr="00624BB8">
        <w:rPr>
          <w:rFonts w:ascii="Times New Roman" w:eastAsia="Times New Roman" w:hAnsi="Times New Roman" w:cs="Times New Roman"/>
          <w:b/>
          <w:i/>
          <w:sz w:val="24"/>
          <w:szCs w:val="20"/>
          <w:lang w:eastAsia="en-US"/>
        </w:rPr>
        <w:t>3.18.tabula. Izložu un azartspēļu nodokļa ieņēmumi</w:t>
      </w:r>
    </w:p>
    <w:tbl>
      <w:tblPr>
        <w:tblW w:w="8994" w:type="dxa"/>
        <w:jc w:val="center"/>
        <w:tblLook w:val="04A0" w:firstRow="1" w:lastRow="0" w:firstColumn="1" w:lastColumn="0" w:noHBand="0" w:noVBand="1"/>
      </w:tblPr>
      <w:tblGrid>
        <w:gridCol w:w="5069"/>
        <w:gridCol w:w="1032"/>
        <w:gridCol w:w="1045"/>
        <w:gridCol w:w="800"/>
        <w:gridCol w:w="1048"/>
      </w:tblGrid>
      <w:tr w:rsidR="00DB596B" w:rsidRPr="00624BB8" w14:paraId="41E3360D" w14:textId="77777777" w:rsidTr="00FD5F28">
        <w:trPr>
          <w:trHeight w:val="144"/>
          <w:tblHeader/>
          <w:jc w:val="center"/>
        </w:trPr>
        <w:tc>
          <w:tcPr>
            <w:tcW w:w="506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AC2C434" w14:textId="77777777" w:rsidR="00DB596B" w:rsidRPr="00624BB8" w:rsidRDefault="00DB596B" w:rsidP="00401A5B">
            <w:pPr>
              <w:jc w:val="center"/>
              <w:rPr>
                <w:rFonts w:ascii="Times New Roman" w:eastAsia="Times New Roman" w:hAnsi="Times New Roman" w:cs="Times New Roman"/>
                <w:color w:val="000000"/>
                <w:sz w:val="20"/>
                <w:szCs w:val="18"/>
                <w:highlight w:val="yellow"/>
              </w:rPr>
            </w:pPr>
          </w:p>
        </w:tc>
        <w:tc>
          <w:tcPr>
            <w:tcW w:w="1032"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5CEDCEEA" w14:textId="77777777" w:rsidR="00DB596B" w:rsidRPr="00624BB8" w:rsidRDefault="00DB596B" w:rsidP="00401A5B">
            <w:pPr>
              <w:jc w:val="center"/>
              <w:rPr>
                <w:rFonts w:ascii="Times New Roman" w:eastAsia="Times New Roman" w:hAnsi="Times New Roman" w:cs="Times New Roman"/>
                <w:b/>
                <w:color w:val="000000"/>
                <w:sz w:val="20"/>
                <w:szCs w:val="18"/>
              </w:rPr>
            </w:pPr>
            <w:r w:rsidRPr="00624BB8">
              <w:rPr>
                <w:rFonts w:ascii="Times New Roman" w:eastAsia="Times New Roman" w:hAnsi="Times New Roman" w:cs="Times New Roman"/>
                <w:b/>
                <w:color w:val="000000"/>
                <w:sz w:val="20"/>
                <w:szCs w:val="18"/>
              </w:rPr>
              <w:t>2020</w:t>
            </w:r>
          </w:p>
        </w:tc>
        <w:tc>
          <w:tcPr>
            <w:tcW w:w="1045"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2A27CC03" w14:textId="77777777" w:rsidR="00DB596B" w:rsidRPr="00624BB8" w:rsidRDefault="00DB596B" w:rsidP="00401A5B">
            <w:pPr>
              <w:jc w:val="center"/>
              <w:rPr>
                <w:rFonts w:ascii="Times New Roman" w:eastAsia="Times New Roman" w:hAnsi="Times New Roman" w:cs="Times New Roman"/>
                <w:b/>
                <w:color w:val="000000"/>
                <w:sz w:val="20"/>
                <w:szCs w:val="18"/>
              </w:rPr>
            </w:pPr>
            <w:r w:rsidRPr="00624BB8">
              <w:rPr>
                <w:rFonts w:ascii="Times New Roman" w:eastAsia="Times New Roman" w:hAnsi="Times New Roman" w:cs="Times New Roman"/>
                <w:b/>
                <w:color w:val="000000"/>
                <w:sz w:val="20"/>
                <w:szCs w:val="18"/>
              </w:rPr>
              <w:t>2021</w:t>
            </w:r>
          </w:p>
        </w:tc>
        <w:tc>
          <w:tcPr>
            <w:tcW w:w="80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3CA633C" w14:textId="77777777" w:rsidR="00DB596B" w:rsidRPr="00624BB8" w:rsidRDefault="00DB596B" w:rsidP="00401A5B">
            <w:pPr>
              <w:jc w:val="center"/>
              <w:rPr>
                <w:rFonts w:ascii="Times New Roman" w:eastAsia="Times New Roman" w:hAnsi="Times New Roman" w:cs="Times New Roman"/>
                <w:b/>
                <w:color w:val="000000"/>
                <w:sz w:val="20"/>
                <w:szCs w:val="18"/>
              </w:rPr>
            </w:pPr>
            <w:r w:rsidRPr="00624BB8">
              <w:rPr>
                <w:rFonts w:ascii="Times New Roman" w:eastAsia="Times New Roman" w:hAnsi="Times New Roman" w:cs="Times New Roman"/>
                <w:b/>
                <w:color w:val="000000"/>
                <w:sz w:val="20"/>
                <w:szCs w:val="18"/>
              </w:rPr>
              <w:t>2022</w:t>
            </w:r>
          </w:p>
        </w:tc>
        <w:tc>
          <w:tcPr>
            <w:tcW w:w="1048" w:type="dxa"/>
            <w:tcBorders>
              <w:top w:val="single" w:sz="4" w:space="0" w:color="auto"/>
              <w:left w:val="nil"/>
              <w:bottom w:val="single" w:sz="4" w:space="0" w:color="auto"/>
              <w:right w:val="single" w:sz="4" w:space="0" w:color="auto"/>
            </w:tcBorders>
            <w:shd w:val="clear" w:color="auto" w:fill="DEEAF6" w:themeFill="accent1" w:themeFillTint="33"/>
          </w:tcPr>
          <w:p w14:paraId="164DCDF7" w14:textId="77777777" w:rsidR="00DB596B" w:rsidRPr="00624BB8" w:rsidRDefault="00DB596B" w:rsidP="00401A5B">
            <w:pPr>
              <w:jc w:val="center"/>
              <w:rPr>
                <w:rFonts w:ascii="Times New Roman" w:eastAsia="Times New Roman" w:hAnsi="Times New Roman" w:cs="Times New Roman"/>
                <w:b/>
                <w:color w:val="000000"/>
                <w:sz w:val="20"/>
                <w:szCs w:val="18"/>
              </w:rPr>
            </w:pPr>
            <w:r w:rsidRPr="00624BB8">
              <w:rPr>
                <w:rFonts w:ascii="Times New Roman" w:eastAsia="Times New Roman" w:hAnsi="Times New Roman" w:cs="Times New Roman"/>
                <w:b/>
                <w:color w:val="000000"/>
                <w:sz w:val="20"/>
                <w:szCs w:val="18"/>
              </w:rPr>
              <w:t>2023</w:t>
            </w:r>
          </w:p>
        </w:tc>
      </w:tr>
      <w:tr w:rsidR="00DB596B" w:rsidRPr="00624BB8" w14:paraId="2856B1EF" w14:textId="77777777" w:rsidTr="00FD5F28">
        <w:trPr>
          <w:trHeight w:val="136"/>
          <w:jc w:val="center"/>
        </w:trPr>
        <w:tc>
          <w:tcPr>
            <w:tcW w:w="5069" w:type="dxa"/>
            <w:tcBorders>
              <w:top w:val="nil"/>
              <w:left w:val="single" w:sz="4" w:space="0" w:color="auto"/>
              <w:bottom w:val="single" w:sz="4" w:space="0" w:color="auto"/>
              <w:right w:val="single" w:sz="4" w:space="0" w:color="auto"/>
            </w:tcBorders>
            <w:shd w:val="clear" w:color="auto" w:fill="auto"/>
            <w:vAlign w:val="center"/>
            <w:hideMark/>
          </w:tcPr>
          <w:p w14:paraId="449D68D7" w14:textId="47BC3A90" w:rsidR="00DB596B" w:rsidRPr="00624BB8" w:rsidRDefault="00DB596B" w:rsidP="00401A5B">
            <w:pPr>
              <w:rPr>
                <w:rFonts w:ascii="Times New Roman" w:eastAsia="Times New Roman" w:hAnsi="Times New Roman" w:cs="Times New Roman"/>
                <w:color w:val="000000"/>
                <w:sz w:val="20"/>
                <w:szCs w:val="18"/>
              </w:rPr>
            </w:pPr>
            <w:r w:rsidRPr="00624BB8">
              <w:rPr>
                <w:rFonts w:ascii="Times New Roman" w:eastAsia="Times New Roman" w:hAnsi="Times New Roman" w:cs="Times New Roman"/>
                <w:b/>
                <w:color w:val="000000"/>
                <w:sz w:val="20"/>
                <w:szCs w:val="18"/>
              </w:rPr>
              <w:t>Izložu un azartspēļu nodoklis</w:t>
            </w:r>
            <w:r w:rsidRPr="00624BB8">
              <w:rPr>
                <w:rFonts w:ascii="Times New Roman" w:eastAsia="Times New Roman" w:hAnsi="Times New Roman" w:cs="Times New Roman"/>
                <w:b/>
                <w:i/>
                <w:color w:val="000000"/>
                <w:sz w:val="20"/>
                <w:szCs w:val="18"/>
              </w:rPr>
              <w:t xml:space="preserve"> </w:t>
            </w:r>
            <w:r w:rsidR="00624BB8" w:rsidRPr="00624BB8">
              <w:rPr>
                <w:rFonts w:ascii="Times New Roman" w:eastAsia="Times New Roman" w:hAnsi="Times New Roman" w:cs="Times New Roman"/>
                <w:color w:val="000000"/>
                <w:sz w:val="20"/>
                <w:szCs w:val="20"/>
              </w:rPr>
              <w:t xml:space="preserve">saskaņā </w:t>
            </w:r>
            <w:r w:rsidR="00624BB8">
              <w:rPr>
                <w:rFonts w:ascii="Times New Roman" w:eastAsia="Times New Roman" w:hAnsi="Times New Roman" w:cs="Times New Roman"/>
                <w:color w:val="000000"/>
                <w:sz w:val="20"/>
                <w:szCs w:val="20"/>
              </w:rPr>
              <w:t>VTBIL 2021., 2022. un 2023.gadam projektu</w:t>
            </w:r>
            <w:r w:rsidR="00624BB8" w:rsidRPr="00624BB8">
              <w:rPr>
                <w:rFonts w:ascii="Times New Roman" w:eastAsia="Times New Roman" w:hAnsi="Times New Roman" w:cs="Times New Roman"/>
                <w:color w:val="000000"/>
                <w:sz w:val="20"/>
                <w:szCs w:val="20"/>
              </w:rPr>
              <w:t>, milj. </w:t>
            </w:r>
            <w:r w:rsidR="00624BB8" w:rsidRPr="00624BB8">
              <w:rPr>
                <w:rFonts w:ascii="Times New Roman" w:eastAsia="Times New Roman" w:hAnsi="Times New Roman" w:cs="Times New Roman"/>
                <w:i/>
                <w:color w:val="000000"/>
                <w:sz w:val="20"/>
                <w:szCs w:val="20"/>
              </w:rPr>
              <w:t>euro</w:t>
            </w:r>
          </w:p>
        </w:tc>
        <w:tc>
          <w:tcPr>
            <w:tcW w:w="1032" w:type="dxa"/>
            <w:tcBorders>
              <w:top w:val="nil"/>
              <w:left w:val="nil"/>
              <w:bottom w:val="single" w:sz="4" w:space="0" w:color="auto"/>
              <w:right w:val="single" w:sz="4" w:space="0" w:color="auto"/>
            </w:tcBorders>
            <w:shd w:val="clear" w:color="auto" w:fill="auto"/>
            <w:noWrap/>
            <w:vAlign w:val="center"/>
          </w:tcPr>
          <w:p w14:paraId="65CBCAF5" w14:textId="77777777" w:rsidR="00DB596B" w:rsidRPr="00624BB8" w:rsidRDefault="00DB596B" w:rsidP="00401A5B">
            <w:pPr>
              <w:jc w:val="center"/>
              <w:rPr>
                <w:rFonts w:ascii="Times New Roman" w:eastAsia="Times New Roman" w:hAnsi="Times New Roman" w:cs="Times New Roman"/>
                <w:b/>
                <w:sz w:val="20"/>
                <w:szCs w:val="18"/>
                <w:lang w:eastAsia="en-US"/>
              </w:rPr>
            </w:pPr>
            <w:r w:rsidRPr="00624BB8">
              <w:rPr>
                <w:rFonts w:ascii="Times New Roman" w:eastAsia="Times New Roman" w:hAnsi="Times New Roman" w:cs="Times New Roman"/>
                <w:b/>
                <w:sz w:val="20"/>
                <w:szCs w:val="18"/>
                <w:lang w:eastAsia="en-US"/>
              </w:rPr>
              <w:t>41,2*</w:t>
            </w:r>
          </w:p>
        </w:tc>
        <w:tc>
          <w:tcPr>
            <w:tcW w:w="1045" w:type="dxa"/>
            <w:tcBorders>
              <w:top w:val="nil"/>
              <w:left w:val="nil"/>
              <w:bottom w:val="single" w:sz="4" w:space="0" w:color="auto"/>
              <w:right w:val="single" w:sz="4" w:space="0" w:color="auto"/>
            </w:tcBorders>
            <w:shd w:val="clear" w:color="auto" w:fill="auto"/>
            <w:noWrap/>
            <w:vAlign w:val="center"/>
          </w:tcPr>
          <w:p w14:paraId="56360473" w14:textId="77777777" w:rsidR="00DB596B" w:rsidRPr="00624BB8" w:rsidRDefault="00DB596B" w:rsidP="00401A5B">
            <w:pPr>
              <w:jc w:val="center"/>
              <w:rPr>
                <w:rFonts w:ascii="Times New Roman" w:eastAsia="Times New Roman" w:hAnsi="Times New Roman" w:cs="Times New Roman"/>
                <w:b/>
                <w:sz w:val="20"/>
                <w:szCs w:val="18"/>
                <w:lang w:eastAsia="en-US"/>
              </w:rPr>
            </w:pPr>
            <w:r w:rsidRPr="00624BB8">
              <w:rPr>
                <w:rFonts w:ascii="Times New Roman" w:eastAsia="Times New Roman" w:hAnsi="Times New Roman" w:cs="Times New Roman"/>
                <w:b/>
                <w:sz w:val="20"/>
                <w:szCs w:val="18"/>
                <w:lang w:eastAsia="en-US"/>
              </w:rPr>
              <w:t>53,4</w:t>
            </w:r>
          </w:p>
        </w:tc>
        <w:tc>
          <w:tcPr>
            <w:tcW w:w="800" w:type="dxa"/>
            <w:tcBorders>
              <w:top w:val="nil"/>
              <w:left w:val="nil"/>
              <w:bottom w:val="single" w:sz="4" w:space="0" w:color="auto"/>
              <w:right w:val="single" w:sz="4" w:space="0" w:color="auto"/>
            </w:tcBorders>
            <w:shd w:val="clear" w:color="auto" w:fill="auto"/>
            <w:noWrap/>
            <w:vAlign w:val="center"/>
          </w:tcPr>
          <w:p w14:paraId="71559BBF" w14:textId="77777777" w:rsidR="00DB596B" w:rsidRPr="00624BB8" w:rsidRDefault="00DB596B" w:rsidP="00401A5B">
            <w:pPr>
              <w:jc w:val="center"/>
              <w:rPr>
                <w:rFonts w:ascii="Times New Roman" w:eastAsia="Times New Roman" w:hAnsi="Times New Roman" w:cs="Times New Roman"/>
                <w:b/>
                <w:color w:val="000000"/>
                <w:sz w:val="20"/>
                <w:szCs w:val="18"/>
              </w:rPr>
            </w:pPr>
            <w:r w:rsidRPr="00624BB8">
              <w:rPr>
                <w:rFonts w:ascii="Times New Roman" w:eastAsia="Times New Roman" w:hAnsi="Times New Roman" w:cs="Times New Roman"/>
                <w:b/>
                <w:color w:val="000000"/>
                <w:sz w:val="20"/>
                <w:szCs w:val="18"/>
              </w:rPr>
              <w:t>49,1</w:t>
            </w:r>
          </w:p>
        </w:tc>
        <w:tc>
          <w:tcPr>
            <w:tcW w:w="1048" w:type="dxa"/>
            <w:tcBorders>
              <w:top w:val="nil"/>
              <w:left w:val="nil"/>
              <w:bottom w:val="single" w:sz="4" w:space="0" w:color="auto"/>
              <w:right w:val="single" w:sz="4" w:space="0" w:color="auto"/>
            </w:tcBorders>
          </w:tcPr>
          <w:p w14:paraId="7C44E4C5" w14:textId="77777777" w:rsidR="00DB596B" w:rsidRPr="00624BB8" w:rsidRDefault="00DB596B" w:rsidP="00401A5B">
            <w:pPr>
              <w:jc w:val="center"/>
              <w:rPr>
                <w:rFonts w:ascii="Times New Roman" w:eastAsia="Times New Roman" w:hAnsi="Times New Roman" w:cs="Times New Roman"/>
                <w:b/>
                <w:color w:val="000000"/>
                <w:sz w:val="20"/>
                <w:szCs w:val="18"/>
              </w:rPr>
            </w:pPr>
          </w:p>
          <w:p w14:paraId="7A095977" w14:textId="77777777" w:rsidR="00DB596B" w:rsidRPr="00624BB8" w:rsidRDefault="00DB596B" w:rsidP="00401A5B">
            <w:pPr>
              <w:jc w:val="center"/>
              <w:rPr>
                <w:rFonts w:ascii="Times New Roman" w:eastAsia="Times New Roman" w:hAnsi="Times New Roman" w:cs="Times New Roman"/>
                <w:b/>
                <w:color w:val="000000"/>
                <w:sz w:val="20"/>
                <w:szCs w:val="18"/>
              </w:rPr>
            </w:pPr>
            <w:r w:rsidRPr="00624BB8">
              <w:rPr>
                <w:rFonts w:ascii="Times New Roman" w:eastAsia="Times New Roman" w:hAnsi="Times New Roman" w:cs="Times New Roman"/>
                <w:b/>
                <w:color w:val="000000"/>
                <w:sz w:val="20"/>
                <w:szCs w:val="18"/>
              </w:rPr>
              <w:t>49,2</w:t>
            </w:r>
          </w:p>
          <w:p w14:paraId="53BA2CD4" w14:textId="77777777" w:rsidR="00DB596B" w:rsidRPr="00624BB8" w:rsidRDefault="00DB596B" w:rsidP="00401A5B">
            <w:pPr>
              <w:jc w:val="center"/>
              <w:rPr>
                <w:rFonts w:ascii="Times New Roman" w:eastAsia="Times New Roman" w:hAnsi="Times New Roman" w:cs="Times New Roman"/>
                <w:b/>
                <w:color w:val="000000"/>
                <w:sz w:val="20"/>
                <w:szCs w:val="18"/>
              </w:rPr>
            </w:pPr>
          </w:p>
        </w:tc>
      </w:tr>
      <w:tr w:rsidR="00DB596B" w:rsidRPr="00624BB8" w14:paraId="06D84735" w14:textId="77777777" w:rsidTr="00FD5F28">
        <w:trPr>
          <w:trHeight w:val="340"/>
          <w:jc w:val="center"/>
        </w:trPr>
        <w:tc>
          <w:tcPr>
            <w:tcW w:w="5069" w:type="dxa"/>
            <w:tcBorders>
              <w:top w:val="nil"/>
              <w:left w:val="single" w:sz="4" w:space="0" w:color="auto"/>
              <w:bottom w:val="single" w:sz="4" w:space="0" w:color="auto"/>
              <w:right w:val="single" w:sz="4" w:space="0" w:color="auto"/>
            </w:tcBorders>
            <w:shd w:val="clear" w:color="auto" w:fill="auto"/>
            <w:vAlign w:val="center"/>
          </w:tcPr>
          <w:p w14:paraId="20F4ED66" w14:textId="60F388AC" w:rsidR="00DB596B" w:rsidRPr="00624BB8" w:rsidRDefault="00DB596B" w:rsidP="00401A5B">
            <w:pPr>
              <w:rPr>
                <w:rFonts w:ascii="Times New Roman" w:eastAsia="Times New Roman" w:hAnsi="Times New Roman" w:cs="Times New Roman"/>
                <w:i/>
                <w:sz w:val="20"/>
                <w:szCs w:val="18"/>
              </w:rPr>
            </w:pPr>
            <w:r w:rsidRPr="00624BB8">
              <w:rPr>
                <w:rFonts w:ascii="Times New Roman" w:eastAsia="Times New Roman" w:hAnsi="Times New Roman" w:cs="Times New Roman"/>
                <w:b/>
                <w:color w:val="000000"/>
                <w:sz w:val="20"/>
                <w:szCs w:val="18"/>
              </w:rPr>
              <w:t xml:space="preserve">Izložu un azartspēļu </w:t>
            </w:r>
            <w:r w:rsidR="00624BB8" w:rsidRPr="00624BB8">
              <w:rPr>
                <w:rFonts w:ascii="Times New Roman" w:eastAsia="Times New Roman" w:hAnsi="Times New Roman" w:cs="Times New Roman"/>
                <w:iCs/>
                <w:color w:val="000000"/>
                <w:sz w:val="20"/>
                <w:szCs w:val="20"/>
              </w:rPr>
              <w:t xml:space="preserve">saskaņā ar </w:t>
            </w:r>
            <w:r w:rsidR="00624BB8">
              <w:rPr>
                <w:rFonts w:ascii="Times New Roman" w:eastAsia="Times New Roman" w:hAnsi="Times New Roman" w:cs="Times New Roman"/>
                <w:iCs/>
                <w:color w:val="000000"/>
                <w:sz w:val="20"/>
                <w:szCs w:val="20"/>
              </w:rPr>
              <w:t xml:space="preserve">VTBIL </w:t>
            </w:r>
            <w:r w:rsidR="00624BB8" w:rsidRPr="00624BB8">
              <w:rPr>
                <w:rFonts w:ascii="Times New Roman" w:eastAsia="Times New Roman" w:hAnsi="Times New Roman" w:cs="Times New Roman"/>
                <w:i/>
                <w:color w:val="000000"/>
                <w:sz w:val="20"/>
                <w:szCs w:val="18"/>
              </w:rPr>
              <w:t>2020., 2021. un 2022.gadam</w:t>
            </w:r>
            <w:r w:rsidR="00624BB8" w:rsidRPr="00624BB8">
              <w:rPr>
                <w:rFonts w:ascii="Times New Roman" w:eastAsia="Times New Roman" w:hAnsi="Times New Roman" w:cs="Times New Roman"/>
                <w:color w:val="000000"/>
                <w:sz w:val="20"/>
                <w:szCs w:val="20"/>
              </w:rPr>
              <w:t>, milj. </w:t>
            </w:r>
            <w:r w:rsidR="00624BB8" w:rsidRPr="00624BB8">
              <w:rPr>
                <w:rFonts w:ascii="Times New Roman" w:eastAsia="Times New Roman" w:hAnsi="Times New Roman" w:cs="Times New Roman"/>
                <w:i/>
                <w:color w:val="000000"/>
                <w:sz w:val="20"/>
                <w:szCs w:val="20"/>
              </w:rPr>
              <w:t>euro</w:t>
            </w:r>
          </w:p>
        </w:tc>
        <w:tc>
          <w:tcPr>
            <w:tcW w:w="1032" w:type="dxa"/>
            <w:tcBorders>
              <w:top w:val="nil"/>
              <w:left w:val="nil"/>
              <w:bottom w:val="single" w:sz="4" w:space="0" w:color="auto"/>
              <w:right w:val="single" w:sz="4" w:space="0" w:color="auto"/>
            </w:tcBorders>
            <w:shd w:val="clear" w:color="auto" w:fill="auto"/>
            <w:noWrap/>
            <w:vAlign w:val="center"/>
          </w:tcPr>
          <w:p w14:paraId="6F443825" w14:textId="77777777" w:rsidR="00DB596B" w:rsidRPr="00624BB8" w:rsidRDefault="00DB596B" w:rsidP="00401A5B">
            <w:pPr>
              <w:jc w:val="center"/>
              <w:rPr>
                <w:rFonts w:ascii="Times New Roman" w:eastAsia="Times New Roman" w:hAnsi="Times New Roman" w:cs="Times New Roman"/>
                <w:b/>
                <w:sz w:val="20"/>
                <w:szCs w:val="18"/>
                <w:lang w:eastAsia="en-US"/>
              </w:rPr>
            </w:pPr>
            <w:r w:rsidRPr="00624BB8">
              <w:rPr>
                <w:rFonts w:ascii="Times New Roman" w:eastAsia="Times New Roman" w:hAnsi="Times New Roman" w:cs="Times New Roman"/>
                <w:b/>
                <w:sz w:val="20"/>
                <w:szCs w:val="18"/>
                <w:lang w:eastAsia="en-US"/>
              </w:rPr>
              <w:t>56,3</w:t>
            </w:r>
          </w:p>
        </w:tc>
        <w:tc>
          <w:tcPr>
            <w:tcW w:w="1045" w:type="dxa"/>
            <w:tcBorders>
              <w:top w:val="nil"/>
              <w:left w:val="nil"/>
              <w:bottom w:val="single" w:sz="4" w:space="0" w:color="auto"/>
              <w:right w:val="single" w:sz="4" w:space="0" w:color="auto"/>
            </w:tcBorders>
            <w:shd w:val="clear" w:color="auto" w:fill="auto"/>
            <w:noWrap/>
            <w:vAlign w:val="center"/>
          </w:tcPr>
          <w:p w14:paraId="272AD855" w14:textId="77777777" w:rsidR="00DB596B" w:rsidRPr="00624BB8" w:rsidRDefault="00DB596B" w:rsidP="00401A5B">
            <w:pPr>
              <w:jc w:val="center"/>
              <w:rPr>
                <w:rFonts w:ascii="Times New Roman" w:eastAsia="Times New Roman" w:hAnsi="Times New Roman" w:cs="Times New Roman"/>
                <w:b/>
                <w:sz w:val="20"/>
                <w:szCs w:val="18"/>
                <w:lang w:eastAsia="en-US"/>
              </w:rPr>
            </w:pPr>
            <w:r w:rsidRPr="00624BB8">
              <w:rPr>
                <w:rFonts w:ascii="Times New Roman" w:eastAsia="Times New Roman" w:hAnsi="Times New Roman" w:cs="Times New Roman"/>
                <w:b/>
                <w:sz w:val="20"/>
                <w:szCs w:val="18"/>
                <w:lang w:eastAsia="en-US"/>
              </w:rPr>
              <w:t>57,0</w:t>
            </w:r>
          </w:p>
        </w:tc>
        <w:tc>
          <w:tcPr>
            <w:tcW w:w="800" w:type="dxa"/>
            <w:tcBorders>
              <w:top w:val="nil"/>
              <w:left w:val="nil"/>
              <w:bottom w:val="single" w:sz="4" w:space="0" w:color="auto"/>
              <w:right w:val="single" w:sz="4" w:space="0" w:color="auto"/>
            </w:tcBorders>
            <w:shd w:val="clear" w:color="auto" w:fill="auto"/>
            <w:noWrap/>
            <w:vAlign w:val="center"/>
          </w:tcPr>
          <w:p w14:paraId="31B9F625" w14:textId="77777777" w:rsidR="00DB596B" w:rsidRPr="00624BB8" w:rsidRDefault="00DB596B" w:rsidP="00401A5B">
            <w:pPr>
              <w:jc w:val="center"/>
              <w:rPr>
                <w:rFonts w:ascii="Times New Roman" w:eastAsia="Times New Roman" w:hAnsi="Times New Roman" w:cs="Times New Roman"/>
                <w:b/>
                <w:sz w:val="20"/>
                <w:szCs w:val="18"/>
                <w:lang w:eastAsia="en-US"/>
              </w:rPr>
            </w:pPr>
            <w:r w:rsidRPr="00624BB8">
              <w:rPr>
                <w:rFonts w:ascii="Times New Roman" w:eastAsia="Times New Roman" w:hAnsi="Times New Roman" w:cs="Times New Roman"/>
                <w:b/>
                <w:sz w:val="20"/>
                <w:szCs w:val="18"/>
                <w:lang w:eastAsia="en-US"/>
              </w:rPr>
              <w:t>57,8</w:t>
            </w:r>
          </w:p>
        </w:tc>
        <w:tc>
          <w:tcPr>
            <w:tcW w:w="1048" w:type="dxa"/>
            <w:tcBorders>
              <w:top w:val="nil"/>
              <w:left w:val="nil"/>
              <w:bottom w:val="single" w:sz="4" w:space="0" w:color="auto"/>
              <w:right w:val="single" w:sz="4" w:space="0" w:color="auto"/>
            </w:tcBorders>
            <w:vAlign w:val="center"/>
          </w:tcPr>
          <w:p w14:paraId="4624A4EF" w14:textId="77777777" w:rsidR="00DB596B" w:rsidRPr="00624BB8" w:rsidRDefault="00DB596B" w:rsidP="00401A5B">
            <w:pPr>
              <w:jc w:val="center"/>
              <w:rPr>
                <w:rFonts w:ascii="Times New Roman" w:eastAsia="Times New Roman" w:hAnsi="Times New Roman" w:cs="Times New Roman"/>
                <w:b/>
                <w:sz w:val="20"/>
                <w:szCs w:val="18"/>
                <w:lang w:eastAsia="en-US"/>
              </w:rPr>
            </w:pPr>
            <w:r w:rsidRPr="00624BB8">
              <w:rPr>
                <w:rFonts w:ascii="Times New Roman" w:eastAsia="Times New Roman" w:hAnsi="Times New Roman" w:cs="Times New Roman"/>
                <w:b/>
                <w:sz w:val="20"/>
                <w:szCs w:val="18"/>
                <w:lang w:eastAsia="en-US"/>
              </w:rPr>
              <w:t>-</w:t>
            </w:r>
          </w:p>
        </w:tc>
      </w:tr>
      <w:tr w:rsidR="00DB596B" w:rsidRPr="00624BB8" w14:paraId="5F6DB853" w14:textId="77777777" w:rsidTr="00FD5F28">
        <w:trPr>
          <w:trHeight w:val="340"/>
          <w:jc w:val="center"/>
        </w:trPr>
        <w:tc>
          <w:tcPr>
            <w:tcW w:w="5069" w:type="dxa"/>
            <w:tcBorders>
              <w:top w:val="nil"/>
              <w:left w:val="single" w:sz="4" w:space="0" w:color="auto"/>
              <w:bottom w:val="single" w:sz="4" w:space="0" w:color="auto"/>
              <w:right w:val="single" w:sz="4" w:space="0" w:color="auto"/>
            </w:tcBorders>
            <w:shd w:val="clear" w:color="auto" w:fill="auto"/>
            <w:vAlign w:val="center"/>
            <w:hideMark/>
          </w:tcPr>
          <w:p w14:paraId="323082B0" w14:textId="20010894" w:rsidR="00DB596B" w:rsidRPr="00624BB8" w:rsidRDefault="00DB596B" w:rsidP="00624BB8">
            <w:pPr>
              <w:rPr>
                <w:rFonts w:ascii="Times New Roman" w:eastAsia="Times New Roman" w:hAnsi="Times New Roman" w:cs="Times New Roman"/>
                <w:i/>
                <w:color w:val="000000"/>
                <w:sz w:val="20"/>
                <w:szCs w:val="18"/>
              </w:rPr>
            </w:pPr>
            <w:r w:rsidRPr="00624BB8">
              <w:rPr>
                <w:rFonts w:ascii="Times New Roman" w:eastAsia="Times New Roman" w:hAnsi="Times New Roman" w:cs="Times New Roman"/>
                <w:i/>
                <w:color w:val="000000"/>
                <w:sz w:val="20"/>
                <w:szCs w:val="18"/>
              </w:rPr>
              <w:t>pieaugums, salīdzinot ar</w:t>
            </w:r>
            <w:r w:rsidR="00624BB8">
              <w:rPr>
                <w:rFonts w:ascii="Times New Roman" w:eastAsia="Times New Roman" w:hAnsi="Times New Roman" w:cs="Times New Roman"/>
                <w:i/>
                <w:color w:val="000000"/>
                <w:sz w:val="20"/>
                <w:szCs w:val="18"/>
              </w:rPr>
              <w:t xml:space="preserve"> VTBIL</w:t>
            </w:r>
            <w:r w:rsidRPr="00624BB8">
              <w:rPr>
                <w:rFonts w:ascii="Times New Roman" w:eastAsia="Times New Roman" w:hAnsi="Times New Roman" w:cs="Times New Roman"/>
                <w:i/>
                <w:color w:val="000000"/>
                <w:sz w:val="20"/>
                <w:szCs w:val="18"/>
              </w:rPr>
              <w:t xml:space="preserve">, </w:t>
            </w:r>
            <w:r w:rsidRPr="00624BB8">
              <w:rPr>
                <w:rFonts w:ascii="Times New Roman" w:eastAsia="Times New Roman" w:hAnsi="Times New Roman" w:cs="Times New Roman"/>
                <w:color w:val="000000"/>
                <w:sz w:val="20"/>
                <w:szCs w:val="18"/>
              </w:rPr>
              <w:t>milj.</w:t>
            </w:r>
            <w:r w:rsidRPr="00624BB8">
              <w:rPr>
                <w:rFonts w:ascii="Times New Roman" w:eastAsia="Times New Roman" w:hAnsi="Times New Roman" w:cs="Times New Roman"/>
                <w:i/>
                <w:color w:val="000000"/>
                <w:sz w:val="20"/>
                <w:szCs w:val="18"/>
              </w:rPr>
              <w:t> euro</w:t>
            </w:r>
          </w:p>
        </w:tc>
        <w:tc>
          <w:tcPr>
            <w:tcW w:w="1032" w:type="dxa"/>
            <w:tcBorders>
              <w:top w:val="nil"/>
              <w:left w:val="nil"/>
              <w:bottom w:val="single" w:sz="4" w:space="0" w:color="auto"/>
              <w:right w:val="single" w:sz="4" w:space="0" w:color="auto"/>
            </w:tcBorders>
            <w:shd w:val="clear" w:color="auto" w:fill="auto"/>
            <w:noWrap/>
            <w:vAlign w:val="center"/>
          </w:tcPr>
          <w:p w14:paraId="0A1269E4" w14:textId="77777777" w:rsidR="00DB596B" w:rsidRPr="00624BB8" w:rsidRDefault="00DB596B" w:rsidP="00401A5B">
            <w:pPr>
              <w:jc w:val="center"/>
              <w:rPr>
                <w:rFonts w:ascii="Times New Roman" w:eastAsia="Times New Roman" w:hAnsi="Times New Roman" w:cs="Times New Roman"/>
                <w:sz w:val="20"/>
                <w:szCs w:val="18"/>
              </w:rPr>
            </w:pPr>
            <w:r w:rsidRPr="00624BB8">
              <w:rPr>
                <w:rFonts w:ascii="Times New Roman" w:eastAsia="Times New Roman" w:hAnsi="Times New Roman" w:cs="Times New Roman"/>
                <w:sz w:val="20"/>
                <w:szCs w:val="18"/>
              </w:rPr>
              <w:t>-15,1</w:t>
            </w:r>
          </w:p>
        </w:tc>
        <w:tc>
          <w:tcPr>
            <w:tcW w:w="1045" w:type="dxa"/>
            <w:tcBorders>
              <w:top w:val="nil"/>
              <w:left w:val="nil"/>
              <w:bottom w:val="single" w:sz="4" w:space="0" w:color="auto"/>
              <w:right w:val="single" w:sz="4" w:space="0" w:color="auto"/>
            </w:tcBorders>
            <w:shd w:val="clear" w:color="auto" w:fill="auto"/>
            <w:noWrap/>
            <w:vAlign w:val="center"/>
          </w:tcPr>
          <w:p w14:paraId="7F74FC08" w14:textId="77777777" w:rsidR="00DB596B" w:rsidRPr="00624BB8" w:rsidRDefault="00DB596B" w:rsidP="00401A5B">
            <w:pPr>
              <w:jc w:val="center"/>
              <w:rPr>
                <w:rFonts w:ascii="Times New Roman" w:eastAsia="Times New Roman" w:hAnsi="Times New Roman" w:cs="Times New Roman"/>
                <w:sz w:val="20"/>
                <w:szCs w:val="18"/>
              </w:rPr>
            </w:pPr>
            <w:r w:rsidRPr="00624BB8">
              <w:rPr>
                <w:rFonts w:ascii="Times New Roman" w:eastAsia="Times New Roman" w:hAnsi="Times New Roman" w:cs="Times New Roman"/>
                <w:sz w:val="20"/>
                <w:szCs w:val="18"/>
              </w:rPr>
              <w:t>-3,6</w:t>
            </w:r>
          </w:p>
        </w:tc>
        <w:tc>
          <w:tcPr>
            <w:tcW w:w="800" w:type="dxa"/>
            <w:tcBorders>
              <w:top w:val="nil"/>
              <w:left w:val="nil"/>
              <w:bottom w:val="single" w:sz="4" w:space="0" w:color="auto"/>
              <w:right w:val="single" w:sz="4" w:space="0" w:color="auto"/>
            </w:tcBorders>
            <w:shd w:val="clear" w:color="auto" w:fill="auto"/>
            <w:noWrap/>
            <w:vAlign w:val="center"/>
            <w:hideMark/>
          </w:tcPr>
          <w:p w14:paraId="45F5C58D" w14:textId="77777777" w:rsidR="00DB596B" w:rsidRPr="00624BB8" w:rsidRDefault="00DB596B" w:rsidP="00401A5B">
            <w:pPr>
              <w:jc w:val="center"/>
              <w:rPr>
                <w:rFonts w:ascii="Times New Roman" w:eastAsia="Times New Roman" w:hAnsi="Times New Roman" w:cs="Times New Roman"/>
                <w:sz w:val="20"/>
                <w:szCs w:val="18"/>
              </w:rPr>
            </w:pPr>
            <w:r w:rsidRPr="00624BB8">
              <w:rPr>
                <w:rFonts w:ascii="Times New Roman" w:eastAsia="Times New Roman" w:hAnsi="Times New Roman" w:cs="Times New Roman"/>
                <w:sz w:val="20"/>
                <w:szCs w:val="18"/>
              </w:rPr>
              <w:t>-8,7</w:t>
            </w:r>
          </w:p>
        </w:tc>
        <w:tc>
          <w:tcPr>
            <w:tcW w:w="1048" w:type="dxa"/>
            <w:tcBorders>
              <w:top w:val="nil"/>
              <w:left w:val="nil"/>
              <w:bottom w:val="single" w:sz="4" w:space="0" w:color="auto"/>
              <w:right w:val="single" w:sz="4" w:space="0" w:color="auto"/>
            </w:tcBorders>
            <w:shd w:val="clear" w:color="auto" w:fill="auto"/>
          </w:tcPr>
          <w:p w14:paraId="00A89BCD" w14:textId="77777777" w:rsidR="00DB596B" w:rsidRPr="00624BB8" w:rsidRDefault="00DB596B" w:rsidP="00401A5B">
            <w:pPr>
              <w:jc w:val="center"/>
              <w:rPr>
                <w:rFonts w:ascii="Times New Roman" w:eastAsia="Times New Roman" w:hAnsi="Times New Roman" w:cs="Times New Roman"/>
                <w:sz w:val="20"/>
                <w:szCs w:val="18"/>
              </w:rPr>
            </w:pPr>
            <w:r w:rsidRPr="00624BB8">
              <w:rPr>
                <w:rFonts w:ascii="Times New Roman" w:eastAsia="Times New Roman" w:hAnsi="Times New Roman" w:cs="Times New Roman"/>
                <w:sz w:val="20"/>
                <w:szCs w:val="18"/>
              </w:rPr>
              <w:t>-</w:t>
            </w:r>
          </w:p>
        </w:tc>
      </w:tr>
      <w:tr w:rsidR="00DB596B" w:rsidRPr="00624BB8" w14:paraId="6888DFAD" w14:textId="77777777" w:rsidTr="00FD5F28">
        <w:trPr>
          <w:trHeight w:val="321"/>
          <w:jc w:val="center"/>
        </w:trPr>
        <w:tc>
          <w:tcPr>
            <w:tcW w:w="5069" w:type="dxa"/>
            <w:tcBorders>
              <w:top w:val="nil"/>
              <w:left w:val="single" w:sz="4" w:space="0" w:color="auto"/>
              <w:bottom w:val="single" w:sz="4" w:space="0" w:color="auto"/>
              <w:right w:val="single" w:sz="4" w:space="0" w:color="auto"/>
            </w:tcBorders>
            <w:shd w:val="clear" w:color="auto" w:fill="auto"/>
            <w:vAlign w:val="center"/>
            <w:hideMark/>
          </w:tcPr>
          <w:p w14:paraId="0F45327B" w14:textId="75030990" w:rsidR="00DB596B" w:rsidRPr="00624BB8" w:rsidRDefault="00DB596B" w:rsidP="00624BB8">
            <w:pPr>
              <w:rPr>
                <w:rFonts w:ascii="Times New Roman" w:eastAsia="Times New Roman" w:hAnsi="Times New Roman" w:cs="Times New Roman"/>
                <w:i/>
                <w:color w:val="000000"/>
                <w:sz w:val="20"/>
                <w:szCs w:val="18"/>
              </w:rPr>
            </w:pPr>
            <w:r w:rsidRPr="00624BB8">
              <w:rPr>
                <w:rFonts w:ascii="Times New Roman" w:eastAsia="Times New Roman" w:hAnsi="Times New Roman" w:cs="Times New Roman"/>
                <w:i/>
                <w:color w:val="000000"/>
                <w:sz w:val="20"/>
                <w:szCs w:val="18"/>
              </w:rPr>
              <w:t xml:space="preserve">pieaugums, salīdzinot ar </w:t>
            </w:r>
            <w:r w:rsidR="00624BB8">
              <w:rPr>
                <w:rFonts w:ascii="Times New Roman" w:eastAsia="Times New Roman" w:hAnsi="Times New Roman" w:cs="Times New Roman"/>
                <w:i/>
                <w:color w:val="000000"/>
                <w:sz w:val="20"/>
                <w:szCs w:val="18"/>
              </w:rPr>
              <w:t>VTBIL 2020., 2021. un 2022.gadam</w:t>
            </w:r>
            <w:r w:rsidRPr="00624BB8">
              <w:rPr>
                <w:rFonts w:ascii="Times New Roman" w:eastAsia="Times New Roman" w:hAnsi="Times New Roman" w:cs="Times New Roman"/>
                <w:i/>
                <w:color w:val="000000"/>
                <w:sz w:val="20"/>
                <w:szCs w:val="18"/>
              </w:rPr>
              <w:t>, %</w:t>
            </w:r>
          </w:p>
        </w:tc>
        <w:tc>
          <w:tcPr>
            <w:tcW w:w="1032" w:type="dxa"/>
            <w:tcBorders>
              <w:top w:val="nil"/>
              <w:left w:val="nil"/>
              <w:bottom w:val="single" w:sz="4" w:space="0" w:color="auto"/>
              <w:right w:val="single" w:sz="4" w:space="0" w:color="auto"/>
            </w:tcBorders>
            <w:shd w:val="clear" w:color="auto" w:fill="auto"/>
            <w:noWrap/>
            <w:vAlign w:val="center"/>
          </w:tcPr>
          <w:p w14:paraId="6CAE4DF5" w14:textId="77777777" w:rsidR="00DB596B" w:rsidRPr="00624BB8" w:rsidRDefault="00DB596B" w:rsidP="00401A5B">
            <w:pPr>
              <w:jc w:val="center"/>
              <w:rPr>
                <w:rFonts w:ascii="Times New Roman" w:eastAsia="Times New Roman" w:hAnsi="Times New Roman" w:cs="Times New Roman"/>
                <w:i/>
                <w:sz w:val="20"/>
                <w:szCs w:val="18"/>
              </w:rPr>
            </w:pPr>
            <w:r w:rsidRPr="00624BB8">
              <w:rPr>
                <w:rFonts w:ascii="Times New Roman" w:eastAsia="Times New Roman" w:hAnsi="Times New Roman" w:cs="Times New Roman"/>
                <w:i/>
                <w:sz w:val="20"/>
                <w:szCs w:val="18"/>
              </w:rPr>
              <w:t>-26,9</w:t>
            </w:r>
          </w:p>
        </w:tc>
        <w:tc>
          <w:tcPr>
            <w:tcW w:w="1045" w:type="dxa"/>
            <w:tcBorders>
              <w:top w:val="nil"/>
              <w:left w:val="nil"/>
              <w:bottom w:val="single" w:sz="4" w:space="0" w:color="auto"/>
              <w:right w:val="single" w:sz="4" w:space="0" w:color="auto"/>
            </w:tcBorders>
            <w:shd w:val="clear" w:color="auto" w:fill="auto"/>
            <w:noWrap/>
            <w:vAlign w:val="center"/>
          </w:tcPr>
          <w:p w14:paraId="75F18F76" w14:textId="77777777" w:rsidR="00DB596B" w:rsidRPr="00624BB8" w:rsidRDefault="00DB596B" w:rsidP="00401A5B">
            <w:pPr>
              <w:jc w:val="center"/>
              <w:rPr>
                <w:rFonts w:ascii="Times New Roman" w:eastAsia="Times New Roman" w:hAnsi="Times New Roman" w:cs="Times New Roman"/>
                <w:i/>
                <w:sz w:val="20"/>
                <w:szCs w:val="18"/>
              </w:rPr>
            </w:pPr>
            <w:r w:rsidRPr="00624BB8">
              <w:rPr>
                <w:rFonts w:ascii="Times New Roman" w:eastAsia="Times New Roman" w:hAnsi="Times New Roman" w:cs="Times New Roman"/>
                <w:i/>
                <w:sz w:val="20"/>
                <w:szCs w:val="18"/>
              </w:rPr>
              <w:t>-6,2</w:t>
            </w:r>
          </w:p>
        </w:tc>
        <w:tc>
          <w:tcPr>
            <w:tcW w:w="800" w:type="dxa"/>
            <w:tcBorders>
              <w:top w:val="nil"/>
              <w:left w:val="nil"/>
              <w:bottom w:val="single" w:sz="4" w:space="0" w:color="auto"/>
              <w:right w:val="single" w:sz="4" w:space="0" w:color="auto"/>
            </w:tcBorders>
            <w:shd w:val="clear" w:color="auto" w:fill="auto"/>
            <w:noWrap/>
            <w:vAlign w:val="center"/>
            <w:hideMark/>
          </w:tcPr>
          <w:p w14:paraId="4F198B97" w14:textId="77777777" w:rsidR="00DB596B" w:rsidRPr="00624BB8" w:rsidRDefault="00DB596B" w:rsidP="00401A5B">
            <w:pPr>
              <w:jc w:val="center"/>
              <w:rPr>
                <w:rFonts w:ascii="Times New Roman" w:eastAsia="Times New Roman" w:hAnsi="Times New Roman" w:cs="Times New Roman"/>
                <w:sz w:val="20"/>
                <w:szCs w:val="18"/>
              </w:rPr>
            </w:pPr>
            <w:r w:rsidRPr="00624BB8">
              <w:rPr>
                <w:rFonts w:ascii="Times New Roman" w:eastAsia="Times New Roman" w:hAnsi="Times New Roman" w:cs="Times New Roman"/>
                <w:sz w:val="20"/>
                <w:szCs w:val="18"/>
              </w:rPr>
              <w:t>-15,1</w:t>
            </w:r>
          </w:p>
        </w:tc>
        <w:tc>
          <w:tcPr>
            <w:tcW w:w="1048" w:type="dxa"/>
            <w:tcBorders>
              <w:top w:val="nil"/>
              <w:left w:val="nil"/>
              <w:bottom w:val="single" w:sz="4" w:space="0" w:color="auto"/>
              <w:right w:val="single" w:sz="4" w:space="0" w:color="auto"/>
            </w:tcBorders>
            <w:shd w:val="clear" w:color="auto" w:fill="auto"/>
          </w:tcPr>
          <w:p w14:paraId="220D0516" w14:textId="77777777" w:rsidR="00DB596B" w:rsidRPr="00624BB8" w:rsidRDefault="00DB596B" w:rsidP="00401A5B">
            <w:pPr>
              <w:jc w:val="center"/>
              <w:rPr>
                <w:rFonts w:ascii="Times New Roman" w:eastAsia="Times New Roman" w:hAnsi="Times New Roman" w:cs="Times New Roman"/>
                <w:sz w:val="20"/>
                <w:szCs w:val="18"/>
              </w:rPr>
            </w:pPr>
            <w:r w:rsidRPr="00624BB8">
              <w:rPr>
                <w:rFonts w:ascii="Times New Roman" w:eastAsia="Times New Roman" w:hAnsi="Times New Roman" w:cs="Times New Roman"/>
                <w:sz w:val="20"/>
                <w:szCs w:val="18"/>
              </w:rPr>
              <w:t>-</w:t>
            </w:r>
          </w:p>
        </w:tc>
      </w:tr>
      <w:tr w:rsidR="00DB596B" w:rsidRPr="00624BB8" w14:paraId="125D4352" w14:textId="77777777" w:rsidTr="00FD5F28">
        <w:trPr>
          <w:trHeight w:val="170"/>
          <w:jc w:val="center"/>
        </w:trPr>
        <w:tc>
          <w:tcPr>
            <w:tcW w:w="5069" w:type="dxa"/>
            <w:tcBorders>
              <w:top w:val="nil"/>
              <w:left w:val="single" w:sz="4" w:space="0" w:color="auto"/>
              <w:bottom w:val="single" w:sz="4" w:space="0" w:color="auto"/>
              <w:right w:val="single" w:sz="4" w:space="0" w:color="auto"/>
            </w:tcBorders>
            <w:shd w:val="clear" w:color="auto" w:fill="auto"/>
            <w:noWrap/>
            <w:vAlign w:val="center"/>
            <w:hideMark/>
          </w:tcPr>
          <w:p w14:paraId="65F9E303" w14:textId="77777777" w:rsidR="00DB596B" w:rsidRPr="00624BB8" w:rsidRDefault="00DB596B" w:rsidP="00401A5B">
            <w:pPr>
              <w:rPr>
                <w:rFonts w:ascii="Times New Roman" w:eastAsia="Times New Roman" w:hAnsi="Times New Roman" w:cs="Times New Roman"/>
                <w:color w:val="000000"/>
                <w:sz w:val="20"/>
                <w:szCs w:val="18"/>
              </w:rPr>
            </w:pPr>
            <w:r w:rsidRPr="00624BB8">
              <w:rPr>
                <w:rFonts w:ascii="Times New Roman" w:eastAsia="Times New Roman" w:hAnsi="Times New Roman" w:cs="Times New Roman"/>
                <w:color w:val="000000"/>
                <w:sz w:val="20"/>
                <w:szCs w:val="18"/>
              </w:rPr>
              <w:t>% no IKP</w:t>
            </w:r>
          </w:p>
        </w:tc>
        <w:tc>
          <w:tcPr>
            <w:tcW w:w="1032" w:type="dxa"/>
            <w:tcBorders>
              <w:top w:val="nil"/>
              <w:left w:val="nil"/>
              <w:bottom w:val="single" w:sz="4" w:space="0" w:color="auto"/>
              <w:right w:val="single" w:sz="4" w:space="0" w:color="auto"/>
            </w:tcBorders>
            <w:shd w:val="clear" w:color="auto" w:fill="auto"/>
            <w:noWrap/>
          </w:tcPr>
          <w:p w14:paraId="3E86CAE6" w14:textId="77777777" w:rsidR="00DB596B" w:rsidRPr="00624BB8" w:rsidRDefault="00DB596B" w:rsidP="00401A5B">
            <w:pPr>
              <w:jc w:val="center"/>
              <w:rPr>
                <w:rFonts w:ascii="Times New Roman" w:eastAsia="Times New Roman" w:hAnsi="Times New Roman" w:cs="Times New Roman"/>
                <w:i/>
                <w:sz w:val="20"/>
                <w:szCs w:val="18"/>
              </w:rPr>
            </w:pPr>
            <w:r w:rsidRPr="00624BB8">
              <w:rPr>
                <w:rFonts w:ascii="Times New Roman" w:eastAsia="Times New Roman" w:hAnsi="Times New Roman" w:cs="Times New Roman"/>
                <w:i/>
                <w:sz w:val="20"/>
                <w:szCs w:val="18"/>
              </w:rPr>
              <w:t>0,2</w:t>
            </w:r>
          </w:p>
        </w:tc>
        <w:tc>
          <w:tcPr>
            <w:tcW w:w="1045" w:type="dxa"/>
            <w:tcBorders>
              <w:top w:val="nil"/>
              <w:left w:val="nil"/>
              <w:bottom w:val="single" w:sz="4" w:space="0" w:color="auto"/>
              <w:right w:val="single" w:sz="4" w:space="0" w:color="auto"/>
            </w:tcBorders>
            <w:shd w:val="clear" w:color="auto" w:fill="auto"/>
            <w:noWrap/>
          </w:tcPr>
          <w:p w14:paraId="5422A71B" w14:textId="77777777" w:rsidR="00DB596B" w:rsidRPr="00624BB8" w:rsidRDefault="00DB596B" w:rsidP="00401A5B">
            <w:pPr>
              <w:jc w:val="center"/>
              <w:rPr>
                <w:rFonts w:ascii="Times New Roman" w:eastAsia="Times New Roman" w:hAnsi="Times New Roman" w:cs="Times New Roman"/>
                <w:i/>
                <w:sz w:val="20"/>
                <w:szCs w:val="18"/>
              </w:rPr>
            </w:pPr>
            <w:r w:rsidRPr="00624BB8">
              <w:rPr>
                <w:rFonts w:ascii="Times New Roman" w:eastAsia="Times New Roman" w:hAnsi="Times New Roman" w:cs="Times New Roman"/>
                <w:i/>
                <w:sz w:val="20"/>
                <w:szCs w:val="18"/>
              </w:rPr>
              <w:t>0,2</w:t>
            </w:r>
          </w:p>
        </w:tc>
        <w:tc>
          <w:tcPr>
            <w:tcW w:w="800" w:type="dxa"/>
            <w:tcBorders>
              <w:top w:val="nil"/>
              <w:left w:val="nil"/>
              <w:bottom w:val="single" w:sz="4" w:space="0" w:color="auto"/>
              <w:right w:val="single" w:sz="4" w:space="0" w:color="auto"/>
            </w:tcBorders>
            <w:shd w:val="clear" w:color="auto" w:fill="auto"/>
            <w:noWrap/>
          </w:tcPr>
          <w:p w14:paraId="50719092" w14:textId="77777777" w:rsidR="00DB596B" w:rsidRPr="00624BB8" w:rsidRDefault="00DB596B" w:rsidP="00401A5B">
            <w:pPr>
              <w:jc w:val="center"/>
              <w:rPr>
                <w:rFonts w:ascii="Times New Roman" w:eastAsia="Times New Roman" w:hAnsi="Times New Roman" w:cs="Times New Roman"/>
                <w:i/>
                <w:sz w:val="20"/>
                <w:szCs w:val="18"/>
              </w:rPr>
            </w:pPr>
            <w:r w:rsidRPr="00624BB8">
              <w:rPr>
                <w:rFonts w:ascii="Times New Roman" w:eastAsia="Times New Roman" w:hAnsi="Times New Roman" w:cs="Times New Roman"/>
                <w:i/>
                <w:sz w:val="20"/>
                <w:szCs w:val="18"/>
              </w:rPr>
              <w:t>0,2</w:t>
            </w:r>
          </w:p>
        </w:tc>
        <w:tc>
          <w:tcPr>
            <w:tcW w:w="1048" w:type="dxa"/>
            <w:tcBorders>
              <w:top w:val="nil"/>
              <w:left w:val="nil"/>
              <w:bottom w:val="single" w:sz="4" w:space="0" w:color="auto"/>
              <w:right w:val="single" w:sz="4" w:space="0" w:color="auto"/>
            </w:tcBorders>
          </w:tcPr>
          <w:p w14:paraId="2FC4221B" w14:textId="77777777" w:rsidR="00DB596B" w:rsidRPr="00624BB8" w:rsidRDefault="00DB596B" w:rsidP="00401A5B">
            <w:pPr>
              <w:jc w:val="center"/>
              <w:rPr>
                <w:rFonts w:ascii="Times New Roman" w:eastAsia="Times New Roman" w:hAnsi="Times New Roman" w:cs="Times New Roman"/>
                <w:i/>
                <w:sz w:val="20"/>
                <w:szCs w:val="18"/>
              </w:rPr>
            </w:pPr>
            <w:r w:rsidRPr="00624BB8">
              <w:rPr>
                <w:rFonts w:ascii="Times New Roman" w:eastAsia="Times New Roman" w:hAnsi="Times New Roman" w:cs="Times New Roman"/>
                <w:i/>
                <w:sz w:val="20"/>
                <w:szCs w:val="18"/>
              </w:rPr>
              <w:t>0,2</w:t>
            </w:r>
          </w:p>
        </w:tc>
      </w:tr>
    </w:tbl>
    <w:p w14:paraId="1EEC6EA4" w14:textId="77777777" w:rsidR="00DB596B" w:rsidRPr="00624BB8" w:rsidRDefault="00DB596B" w:rsidP="00401A5B">
      <w:pPr>
        <w:rPr>
          <w:rFonts w:ascii="Times New Roman" w:eastAsia="Times New Roman" w:hAnsi="Times New Roman" w:cs="Times New Roman"/>
          <w:sz w:val="20"/>
          <w:szCs w:val="20"/>
          <w:lang w:eastAsia="en-US"/>
        </w:rPr>
      </w:pPr>
      <w:r w:rsidRPr="00624BB8">
        <w:rPr>
          <w:rFonts w:ascii="Times New Roman" w:eastAsia="Times New Roman" w:hAnsi="Times New Roman" w:cs="Times New Roman"/>
          <w:b/>
          <w:i/>
          <w:sz w:val="28"/>
          <w:szCs w:val="20"/>
          <w:lang w:eastAsia="en-US"/>
        </w:rPr>
        <w:t xml:space="preserve">      </w:t>
      </w:r>
      <w:r w:rsidRPr="00624BB8">
        <w:rPr>
          <w:rFonts w:ascii="Times New Roman" w:eastAsia="Times New Roman" w:hAnsi="Times New Roman" w:cs="Times New Roman"/>
          <w:sz w:val="20"/>
          <w:szCs w:val="20"/>
          <w:lang w:eastAsia="en-US"/>
        </w:rPr>
        <w:t xml:space="preserve"> *Prognoze</w:t>
      </w:r>
    </w:p>
    <w:p w14:paraId="6F5D58DA" w14:textId="77777777" w:rsidR="00DB596B" w:rsidRPr="00DB596B" w:rsidRDefault="00DB596B" w:rsidP="00401A5B">
      <w:pPr>
        <w:rPr>
          <w:rFonts w:ascii="Times New Roman" w:eastAsia="Times New Roman" w:hAnsi="Times New Roman" w:cs="Times New Roman"/>
          <w:sz w:val="18"/>
          <w:szCs w:val="20"/>
          <w:lang w:eastAsia="en-US"/>
        </w:rPr>
      </w:pPr>
    </w:p>
    <w:p w14:paraId="405BCA88" w14:textId="25C81B55" w:rsidR="00624BB8" w:rsidRPr="00624BB8" w:rsidRDefault="00624BB8" w:rsidP="00624BB8">
      <w:pPr>
        <w:ind w:firstLine="720"/>
        <w:jc w:val="center"/>
        <w:rPr>
          <w:rFonts w:ascii="Times New Roman" w:eastAsia="Times New Roman" w:hAnsi="Times New Roman" w:cs="Times New Roman"/>
          <w:b/>
          <w:sz w:val="28"/>
          <w:szCs w:val="20"/>
          <w:lang w:eastAsia="en-US"/>
        </w:rPr>
      </w:pPr>
      <w:r w:rsidRPr="00624BB8">
        <w:rPr>
          <w:rFonts w:ascii="Times New Roman" w:eastAsia="Times New Roman" w:hAnsi="Times New Roman" w:cs="Times New Roman"/>
          <w:b/>
          <w:sz w:val="28"/>
          <w:szCs w:val="20"/>
          <w:lang w:eastAsia="en-US"/>
        </w:rPr>
        <w:t>Elektroenerģijas nodoklis</w:t>
      </w:r>
    </w:p>
    <w:p w14:paraId="08CD59BC" w14:textId="77777777" w:rsidR="00624BB8" w:rsidRPr="00624BB8" w:rsidRDefault="00624BB8" w:rsidP="00624BB8">
      <w:pPr>
        <w:ind w:firstLine="720"/>
        <w:jc w:val="center"/>
        <w:rPr>
          <w:rFonts w:ascii="Times New Roman" w:eastAsia="Times New Roman" w:hAnsi="Times New Roman" w:cs="Times New Roman"/>
          <w:b/>
          <w:sz w:val="28"/>
          <w:szCs w:val="20"/>
          <w:lang w:eastAsia="en-US"/>
        </w:rPr>
      </w:pPr>
    </w:p>
    <w:p w14:paraId="6B2683C7" w14:textId="65030821" w:rsidR="00DB596B" w:rsidRPr="00624BB8" w:rsidRDefault="00DB596B" w:rsidP="00401A5B">
      <w:pPr>
        <w:ind w:firstLine="720"/>
        <w:jc w:val="both"/>
        <w:rPr>
          <w:rFonts w:ascii="Times New Roman" w:eastAsia="Times New Roman" w:hAnsi="Times New Roman" w:cs="Times New Roman"/>
          <w:sz w:val="28"/>
          <w:szCs w:val="20"/>
          <w:lang w:eastAsia="en-US"/>
        </w:rPr>
      </w:pPr>
      <w:r w:rsidRPr="00624BB8">
        <w:rPr>
          <w:rFonts w:ascii="Times New Roman" w:eastAsia="Times New Roman" w:hAnsi="Times New Roman" w:cs="Times New Roman"/>
          <w:sz w:val="28"/>
          <w:szCs w:val="20"/>
          <w:lang w:eastAsia="en-US"/>
        </w:rPr>
        <w:t>Elektroenerģijas nodoklis ir daļa no izmaksām, kuras tiek iecenotas tirdzniecības pakalpojumu cenā, jo nodokļu maksātājs ir elektroenerģijas tirgotājs un elektroenerģijas ražotājs. Elektroenerģijas nodokļa likme ir 1,01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par megavatstundu, tas ir 0,10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par 100 kilovatiem</w:t>
      </w:r>
      <w:r w:rsidRPr="00624BB8">
        <w:rPr>
          <w:rFonts w:ascii="Times New Roman" w:eastAsia="Times New Roman" w:hAnsi="Times New Roman" w:cs="Times New Roman"/>
          <w:i/>
          <w:sz w:val="28"/>
          <w:szCs w:val="20"/>
          <w:lang w:eastAsia="en-US"/>
        </w:rPr>
        <w:t>.</w:t>
      </w:r>
    </w:p>
    <w:p w14:paraId="3F9A4861" w14:textId="77777777" w:rsidR="00DB596B" w:rsidRPr="00624BB8" w:rsidRDefault="00DB596B" w:rsidP="00401A5B">
      <w:pPr>
        <w:ind w:firstLine="709"/>
        <w:jc w:val="both"/>
        <w:rPr>
          <w:rFonts w:ascii="Times New Roman" w:eastAsia="Times New Roman" w:hAnsi="Times New Roman" w:cs="Times New Roman"/>
          <w:sz w:val="28"/>
          <w:szCs w:val="20"/>
          <w:lang w:eastAsia="en-US"/>
        </w:rPr>
      </w:pPr>
      <w:r w:rsidRPr="00624BB8">
        <w:rPr>
          <w:rFonts w:ascii="Times New Roman" w:eastAsia="Times New Roman" w:hAnsi="Times New Roman" w:cs="Times New Roman"/>
          <w:sz w:val="28"/>
          <w:szCs w:val="20"/>
          <w:lang w:eastAsia="en-US"/>
        </w:rPr>
        <w:t xml:space="preserve">Elektroenerģijas nodokļa ieņēmumi 2020.gada sešos mēnešos bija 2,5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kas salīdzinājumā ar 2019.gada sešiem mēnešiem ir par 0,1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jeb 5,0% mazāk. Arī pret plānu ieņēmumi sešos mēnešos ir zemāki – neizpilde ir 0,3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jeb 10,1%. Līdz ar to prognoze 2020.gadam ir samazināta par 0,7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jeb par 12,4% no plāna, un, balstoties uz zemo izpildi ir samazināts arī nodokļa ieņēmumu pieauguma temps. </w:t>
      </w:r>
    </w:p>
    <w:p w14:paraId="1CD7780C" w14:textId="77777777" w:rsidR="00DB596B" w:rsidRPr="00624BB8" w:rsidRDefault="00DB596B" w:rsidP="00401A5B">
      <w:pPr>
        <w:ind w:firstLine="720"/>
        <w:jc w:val="both"/>
        <w:rPr>
          <w:rFonts w:ascii="Times New Roman" w:eastAsia="Times New Roman" w:hAnsi="Times New Roman" w:cs="Times New Roman"/>
          <w:color w:val="FF0000"/>
          <w:sz w:val="28"/>
          <w:szCs w:val="20"/>
          <w:lang w:eastAsia="en-US"/>
        </w:rPr>
      </w:pPr>
      <w:r w:rsidRPr="00624BB8">
        <w:rPr>
          <w:rFonts w:ascii="Times New Roman" w:eastAsia="Times New Roman" w:hAnsi="Times New Roman" w:cs="Times New Roman"/>
          <w:sz w:val="28"/>
          <w:szCs w:val="20"/>
          <w:lang w:eastAsia="en-US"/>
        </w:rPr>
        <w:t xml:space="preserve"> Izmaiņas normatīvos aktos netiek paredzētas.</w:t>
      </w:r>
    </w:p>
    <w:p w14:paraId="112530CA" w14:textId="203DA523" w:rsidR="00DB596B" w:rsidRDefault="00DB596B" w:rsidP="00401A5B">
      <w:pPr>
        <w:ind w:firstLine="720"/>
        <w:jc w:val="both"/>
        <w:rPr>
          <w:rFonts w:ascii="Times New Roman" w:eastAsia="Times New Roman" w:hAnsi="Times New Roman" w:cs="Times New Roman"/>
          <w:sz w:val="28"/>
          <w:szCs w:val="20"/>
          <w:lang w:eastAsia="en-US"/>
        </w:rPr>
      </w:pPr>
      <w:r w:rsidRPr="00624BB8">
        <w:rPr>
          <w:rFonts w:ascii="Times New Roman" w:eastAsia="Times New Roman" w:hAnsi="Times New Roman" w:cs="Times New Roman"/>
          <w:sz w:val="28"/>
          <w:szCs w:val="24"/>
          <w:lang w:eastAsia="en-US"/>
        </w:rPr>
        <w:t xml:space="preserve">Saskaņā ar </w:t>
      </w:r>
      <w:r w:rsidR="00624BB8">
        <w:rPr>
          <w:rFonts w:ascii="Times New Roman" w:eastAsia="Times New Roman" w:hAnsi="Times New Roman" w:cs="Times New Roman"/>
          <w:sz w:val="28"/>
          <w:szCs w:val="24"/>
          <w:lang w:eastAsia="en-US"/>
        </w:rPr>
        <w:t>VTBIL 2021., 2022. un 2023.gadam projektu</w:t>
      </w:r>
      <w:r w:rsidRPr="00624BB8">
        <w:rPr>
          <w:rFonts w:ascii="Times New Roman" w:eastAsia="Times New Roman" w:hAnsi="Times New Roman" w:cs="Times New Roman"/>
          <w:sz w:val="28"/>
          <w:szCs w:val="24"/>
          <w:lang w:eastAsia="en-US"/>
        </w:rPr>
        <w:t xml:space="preserve"> </w:t>
      </w:r>
      <w:r w:rsidRPr="00624BB8">
        <w:rPr>
          <w:rFonts w:ascii="Times New Roman" w:eastAsia="Times New Roman" w:hAnsi="Times New Roman" w:cs="Times New Roman"/>
          <w:sz w:val="28"/>
          <w:szCs w:val="20"/>
          <w:lang w:eastAsia="en-US"/>
        </w:rPr>
        <w:t>elektroenerģijas nodokļa ieņēmumi 2021.gadā tiek plānoti 4,8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apmērā, 2022.gadā 4,9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apmērā un 2023.gadā 4,9 milj. </w:t>
      </w:r>
      <w:r w:rsidRPr="00624BB8">
        <w:rPr>
          <w:rFonts w:ascii="Times New Roman" w:eastAsia="Times New Roman" w:hAnsi="Times New Roman" w:cs="Times New Roman"/>
          <w:i/>
          <w:sz w:val="28"/>
          <w:szCs w:val="20"/>
          <w:lang w:eastAsia="en-US"/>
        </w:rPr>
        <w:t>euro</w:t>
      </w:r>
      <w:r w:rsidRPr="00624BB8">
        <w:rPr>
          <w:rFonts w:ascii="Times New Roman" w:eastAsia="Times New Roman" w:hAnsi="Times New Roman" w:cs="Times New Roman"/>
          <w:sz w:val="28"/>
          <w:szCs w:val="20"/>
          <w:lang w:eastAsia="en-US"/>
        </w:rPr>
        <w:t xml:space="preserve"> apmērā. </w:t>
      </w:r>
    </w:p>
    <w:p w14:paraId="77F4F34C" w14:textId="07336CE1" w:rsidR="0089579E" w:rsidRDefault="0089579E" w:rsidP="00401A5B">
      <w:pPr>
        <w:ind w:firstLine="720"/>
        <w:jc w:val="both"/>
        <w:rPr>
          <w:rFonts w:ascii="Times New Roman" w:eastAsia="Times New Roman" w:hAnsi="Times New Roman" w:cs="Times New Roman"/>
          <w:sz w:val="28"/>
          <w:szCs w:val="20"/>
          <w:lang w:eastAsia="en-US"/>
        </w:rPr>
      </w:pPr>
    </w:p>
    <w:p w14:paraId="5AE49CCC" w14:textId="4483C11E" w:rsidR="0089579E" w:rsidRDefault="0089579E" w:rsidP="00401A5B">
      <w:pPr>
        <w:ind w:firstLine="720"/>
        <w:jc w:val="both"/>
        <w:rPr>
          <w:rFonts w:ascii="Times New Roman" w:eastAsia="Times New Roman" w:hAnsi="Times New Roman" w:cs="Times New Roman"/>
          <w:sz w:val="28"/>
          <w:szCs w:val="20"/>
          <w:lang w:eastAsia="en-US"/>
        </w:rPr>
      </w:pPr>
    </w:p>
    <w:p w14:paraId="0D94791D" w14:textId="0104C65B" w:rsidR="0089579E" w:rsidRDefault="0089579E" w:rsidP="00401A5B">
      <w:pPr>
        <w:ind w:firstLine="720"/>
        <w:jc w:val="both"/>
        <w:rPr>
          <w:rFonts w:ascii="Times New Roman" w:eastAsia="Times New Roman" w:hAnsi="Times New Roman" w:cs="Times New Roman"/>
          <w:sz w:val="28"/>
          <w:szCs w:val="20"/>
          <w:lang w:eastAsia="en-US"/>
        </w:rPr>
      </w:pPr>
    </w:p>
    <w:p w14:paraId="2F3A3001" w14:textId="27A6CA30" w:rsidR="0089579E" w:rsidRDefault="0089579E" w:rsidP="00401A5B">
      <w:pPr>
        <w:ind w:firstLine="720"/>
        <w:jc w:val="both"/>
        <w:rPr>
          <w:rFonts w:ascii="Times New Roman" w:eastAsia="Times New Roman" w:hAnsi="Times New Roman" w:cs="Times New Roman"/>
          <w:sz w:val="28"/>
          <w:szCs w:val="20"/>
          <w:lang w:eastAsia="en-US"/>
        </w:rPr>
      </w:pPr>
    </w:p>
    <w:p w14:paraId="44A76735" w14:textId="77777777" w:rsidR="0089579E" w:rsidRPr="00624BB8" w:rsidRDefault="0089579E" w:rsidP="00401A5B">
      <w:pPr>
        <w:ind w:firstLine="720"/>
        <w:jc w:val="both"/>
        <w:rPr>
          <w:rFonts w:ascii="Times New Roman" w:eastAsia="Times New Roman" w:hAnsi="Times New Roman" w:cs="Times New Roman"/>
          <w:b/>
          <w:i/>
          <w:sz w:val="28"/>
          <w:szCs w:val="20"/>
          <w:lang w:eastAsia="en-US"/>
        </w:rPr>
      </w:pPr>
    </w:p>
    <w:p w14:paraId="5ACD7359" w14:textId="77777777" w:rsidR="00DB596B" w:rsidRPr="00DB596B" w:rsidRDefault="00DB596B" w:rsidP="00401A5B">
      <w:pPr>
        <w:ind w:firstLine="720"/>
        <w:jc w:val="both"/>
        <w:rPr>
          <w:rFonts w:ascii="Times New Roman" w:eastAsia="Times New Roman" w:hAnsi="Times New Roman" w:cs="Times New Roman"/>
          <w:b/>
          <w:i/>
          <w:sz w:val="24"/>
          <w:szCs w:val="20"/>
          <w:lang w:eastAsia="en-US"/>
        </w:rPr>
      </w:pPr>
    </w:p>
    <w:p w14:paraId="16CEFF7E" w14:textId="77777777" w:rsidR="00DB596B" w:rsidRPr="00624BB8" w:rsidRDefault="00DB596B" w:rsidP="00624BB8">
      <w:pPr>
        <w:jc w:val="right"/>
        <w:rPr>
          <w:rFonts w:ascii="Times New Roman" w:eastAsia="Times New Roman" w:hAnsi="Times New Roman" w:cs="Times New Roman"/>
          <w:b/>
          <w:i/>
          <w:sz w:val="24"/>
          <w:szCs w:val="20"/>
          <w:lang w:eastAsia="en-US"/>
        </w:rPr>
      </w:pPr>
      <w:r w:rsidRPr="00624BB8">
        <w:rPr>
          <w:rFonts w:ascii="Times New Roman" w:eastAsia="Times New Roman" w:hAnsi="Times New Roman" w:cs="Times New Roman"/>
          <w:b/>
          <w:i/>
          <w:sz w:val="24"/>
          <w:szCs w:val="20"/>
          <w:lang w:eastAsia="en-US"/>
        </w:rPr>
        <w:t>3.19.tabula. Elektroenerģijas nodokļa ieņēmumi</w:t>
      </w:r>
    </w:p>
    <w:tbl>
      <w:tblPr>
        <w:tblW w:w="8999" w:type="dxa"/>
        <w:jc w:val="center"/>
        <w:tblLook w:val="04A0" w:firstRow="1" w:lastRow="0" w:firstColumn="1" w:lastColumn="0" w:noHBand="0" w:noVBand="1"/>
      </w:tblPr>
      <w:tblGrid>
        <w:gridCol w:w="4905"/>
        <w:gridCol w:w="999"/>
        <w:gridCol w:w="1011"/>
        <w:gridCol w:w="774"/>
        <w:gridCol w:w="1310"/>
      </w:tblGrid>
      <w:tr w:rsidR="00DB596B" w:rsidRPr="00624BB8" w14:paraId="66B83CC3" w14:textId="77777777" w:rsidTr="00FD5F28">
        <w:trPr>
          <w:trHeight w:val="148"/>
          <w:tblHeader/>
          <w:jc w:val="center"/>
        </w:trPr>
        <w:tc>
          <w:tcPr>
            <w:tcW w:w="490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E2C364E" w14:textId="77777777" w:rsidR="00DB596B" w:rsidRPr="00624BB8" w:rsidRDefault="00DB596B" w:rsidP="00401A5B">
            <w:pPr>
              <w:jc w:val="center"/>
              <w:rPr>
                <w:rFonts w:ascii="Times New Roman" w:eastAsia="Times New Roman" w:hAnsi="Times New Roman" w:cs="Times New Roman"/>
                <w:color w:val="000000"/>
                <w:sz w:val="20"/>
                <w:szCs w:val="20"/>
                <w:highlight w:val="yellow"/>
              </w:rPr>
            </w:pPr>
          </w:p>
        </w:tc>
        <w:tc>
          <w:tcPr>
            <w:tcW w:w="999"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212C0449" w14:textId="77777777" w:rsidR="00DB596B" w:rsidRPr="00624BB8" w:rsidRDefault="00DB596B" w:rsidP="00401A5B">
            <w:pPr>
              <w:jc w:val="center"/>
              <w:rPr>
                <w:rFonts w:ascii="Times New Roman" w:eastAsia="Times New Roman" w:hAnsi="Times New Roman" w:cs="Times New Roman"/>
                <w:b/>
                <w:color w:val="000000"/>
                <w:sz w:val="20"/>
                <w:szCs w:val="20"/>
              </w:rPr>
            </w:pPr>
            <w:r w:rsidRPr="00624BB8">
              <w:rPr>
                <w:rFonts w:ascii="Times New Roman" w:eastAsia="Times New Roman" w:hAnsi="Times New Roman" w:cs="Times New Roman"/>
                <w:b/>
                <w:color w:val="000000"/>
                <w:sz w:val="20"/>
                <w:szCs w:val="20"/>
              </w:rPr>
              <w:t>2020</w:t>
            </w:r>
          </w:p>
        </w:tc>
        <w:tc>
          <w:tcPr>
            <w:tcW w:w="1011"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30AD35F8" w14:textId="77777777" w:rsidR="00DB596B" w:rsidRPr="00624BB8" w:rsidRDefault="00DB596B" w:rsidP="00401A5B">
            <w:pPr>
              <w:jc w:val="center"/>
              <w:rPr>
                <w:rFonts w:ascii="Times New Roman" w:eastAsia="Times New Roman" w:hAnsi="Times New Roman" w:cs="Times New Roman"/>
                <w:b/>
                <w:color w:val="000000"/>
                <w:sz w:val="20"/>
                <w:szCs w:val="20"/>
              </w:rPr>
            </w:pPr>
            <w:r w:rsidRPr="00624BB8">
              <w:rPr>
                <w:rFonts w:ascii="Times New Roman" w:eastAsia="Times New Roman" w:hAnsi="Times New Roman" w:cs="Times New Roman"/>
                <w:b/>
                <w:color w:val="000000"/>
                <w:sz w:val="20"/>
                <w:szCs w:val="20"/>
              </w:rPr>
              <w:t>2021</w:t>
            </w:r>
          </w:p>
        </w:tc>
        <w:tc>
          <w:tcPr>
            <w:tcW w:w="77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FFC2F93" w14:textId="77777777" w:rsidR="00DB596B" w:rsidRPr="00624BB8" w:rsidRDefault="00DB596B" w:rsidP="00401A5B">
            <w:pPr>
              <w:jc w:val="center"/>
              <w:rPr>
                <w:rFonts w:ascii="Times New Roman" w:eastAsia="Times New Roman" w:hAnsi="Times New Roman" w:cs="Times New Roman"/>
                <w:b/>
                <w:color w:val="000000"/>
                <w:sz w:val="20"/>
                <w:szCs w:val="20"/>
              </w:rPr>
            </w:pPr>
            <w:r w:rsidRPr="00624BB8">
              <w:rPr>
                <w:rFonts w:ascii="Times New Roman" w:eastAsia="Times New Roman" w:hAnsi="Times New Roman" w:cs="Times New Roman"/>
                <w:b/>
                <w:color w:val="000000"/>
                <w:sz w:val="20"/>
                <w:szCs w:val="20"/>
              </w:rPr>
              <w:t>2022</w:t>
            </w:r>
          </w:p>
        </w:tc>
        <w:tc>
          <w:tcPr>
            <w:tcW w:w="1310" w:type="dxa"/>
            <w:tcBorders>
              <w:top w:val="single" w:sz="4" w:space="0" w:color="auto"/>
              <w:left w:val="nil"/>
              <w:bottom w:val="single" w:sz="4" w:space="0" w:color="auto"/>
              <w:right w:val="single" w:sz="4" w:space="0" w:color="auto"/>
            </w:tcBorders>
            <w:shd w:val="clear" w:color="auto" w:fill="DEEAF6" w:themeFill="accent1" w:themeFillTint="33"/>
          </w:tcPr>
          <w:p w14:paraId="08BA1B5C" w14:textId="77777777" w:rsidR="00DB596B" w:rsidRPr="00624BB8" w:rsidRDefault="00DB596B" w:rsidP="00401A5B">
            <w:pPr>
              <w:jc w:val="center"/>
              <w:rPr>
                <w:rFonts w:ascii="Times New Roman" w:eastAsia="Times New Roman" w:hAnsi="Times New Roman" w:cs="Times New Roman"/>
                <w:b/>
                <w:color w:val="000000"/>
                <w:sz w:val="20"/>
                <w:szCs w:val="20"/>
              </w:rPr>
            </w:pPr>
            <w:r w:rsidRPr="00624BB8">
              <w:rPr>
                <w:rFonts w:ascii="Times New Roman" w:eastAsia="Times New Roman" w:hAnsi="Times New Roman" w:cs="Times New Roman"/>
                <w:b/>
                <w:color w:val="000000"/>
                <w:sz w:val="20"/>
                <w:szCs w:val="20"/>
              </w:rPr>
              <w:t>2023</w:t>
            </w:r>
          </w:p>
        </w:tc>
      </w:tr>
      <w:tr w:rsidR="00DB596B" w:rsidRPr="00624BB8" w14:paraId="0BA53CEA" w14:textId="77777777" w:rsidTr="00FD5F28">
        <w:trPr>
          <w:trHeight w:val="140"/>
          <w:jc w:val="center"/>
        </w:trPr>
        <w:tc>
          <w:tcPr>
            <w:tcW w:w="4905" w:type="dxa"/>
            <w:tcBorders>
              <w:top w:val="nil"/>
              <w:left w:val="single" w:sz="4" w:space="0" w:color="auto"/>
              <w:bottom w:val="single" w:sz="4" w:space="0" w:color="auto"/>
              <w:right w:val="single" w:sz="4" w:space="0" w:color="auto"/>
            </w:tcBorders>
            <w:shd w:val="clear" w:color="auto" w:fill="auto"/>
            <w:vAlign w:val="center"/>
            <w:hideMark/>
          </w:tcPr>
          <w:p w14:paraId="44FFE25A" w14:textId="67F8DA97" w:rsidR="00DB596B" w:rsidRPr="00624BB8" w:rsidRDefault="00DB596B" w:rsidP="00624BB8">
            <w:pPr>
              <w:rPr>
                <w:rFonts w:ascii="Times New Roman" w:eastAsia="Times New Roman" w:hAnsi="Times New Roman" w:cs="Times New Roman"/>
                <w:color w:val="000000"/>
                <w:sz w:val="20"/>
                <w:szCs w:val="20"/>
              </w:rPr>
            </w:pPr>
            <w:r w:rsidRPr="00624BB8">
              <w:rPr>
                <w:rFonts w:ascii="Times New Roman" w:eastAsia="Times New Roman" w:hAnsi="Times New Roman" w:cs="Times New Roman"/>
                <w:b/>
                <w:color w:val="000000"/>
                <w:sz w:val="20"/>
                <w:szCs w:val="20"/>
              </w:rPr>
              <w:t>Elektroenerģijas nodoklis</w:t>
            </w:r>
            <w:r w:rsidRPr="00624BB8">
              <w:rPr>
                <w:rFonts w:ascii="Times New Roman" w:eastAsia="Times New Roman" w:hAnsi="Times New Roman" w:cs="Times New Roman"/>
                <w:color w:val="000000"/>
                <w:sz w:val="20"/>
                <w:szCs w:val="20"/>
              </w:rPr>
              <w:t xml:space="preserve"> saskaņā </w:t>
            </w:r>
            <w:r w:rsidR="00624BB8">
              <w:rPr>
                <w:rFonts w:ascii="Times New Roman" w:eastAsia="Times New Roman" w:hAnsi="Times New Roman" w:cs="Times New Roman"/>
                <w:color w:val="000000"/>
                <w:sz w:val="20"/>
                <w:szCs w:val="20"/>
              </w:rPr>
              <w:t>VTBIL 2021., 2022. un 2023.gadam projektu</w:t>
            </w:r>
            <w:r w:rsidRPr="00624BB8">
              <w:rPr>
                <w:rFonts w:ascii="Times New Roman" w:eastAsia="Times New Roman" w:hAnsi="Times New Roman" w:cs="Times New Roman"/>
                <w:color w:val="000000"/>
                <w:sz w:val="20"/>
                <w:szCs w:val="20"/>
              </w:rPr>
              <w:t>, milj. </w:t>
            </w:r>
            <w:r w:rsidRPr="00624BB8">
              <w:rPr>
                <w:rFonts w:ascii="Times New Roman" w:eastAsia="Times New Roman" w:hAnsi="Times New Roman" w:cs="Times New Roman"/>
                <w:i/>
                <w:color w:val="000000"/>
                <w:sz w:val="20"/>
                <w:szCs w:val="20"/>
              </w:rPr>
              <w:t>euro</w:t>
            </w:r>
          </w:p>
        </w:tc>
        <w:tc>
          <w:tcPr>
            <w:tcW w:w="999" w:type="dxa"/>
            <w:tcBorders>
              <w:top w:val="nil"/>
              <w:left w:val="nil"/>
              <w:bottom w:val="single" w:sz="4" w:space="0" w:color="auto"/>
              <w:right w:val="single" w:sz="4" w:space="0" w:color="auto"/>
            </w:tcBorders>
            <w:shd w:val="clear" w:color="auto" w:fill="auto"/>
            <w:noWrap/>
            <w:vAlign w:val="center"/>
          </w:tcPr>
          <w:p w14:paraId="279B648C"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4,8*</w:t>
            </w:r>
          </w:p>
        </w:tc>
        <w:tc>
          <w:tcPr>
            <w:tcW w:w="1011" w:type="dxa"/>
            <w:tcBorders>
              <w:top w:val="nil"/>
              <w:left w:val="nil"/>
              <w:bottom w:val="single" w:sz="4" w:space="0" w:color="auto"/>
              <w:right w:val="single" w:sz="4" w:space="0" w:color="auto"/>
            </w:tcBorders>
            <w:shd w:val="clear" w:color="auto" w:fill="auto"/>
            <w:noWrap/>
            <w:vAlign w:val="center"/>
          </w:tcPr>
          <w:p w14:paraId="0F6D1E23"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4,8</w:t>
            </w:r>
          </w:p>
        </w:tc>
        <w:tc>
          <w:tcPr>
            <w:tcW w:w="774" w:type="dxa"/>
            <w:tcBorders>
              <w:top w:val="nil"/>
              <w:left w:val="nil"/>
              <w:bottom w:val="single" w:sz="4" w:space="0" w:color="auto"/>
              <w:right w:val="single" w:sz="4" w:space="0" w:color="auto"/>
            </w:tcBorders>
            <w:shd w:val="clear" w:color="auto" w:fill="auto"/>
            <w:noWrap/>
            <w:vAlign w:val="center"/>
          </w:tcPr>
          <w:p w14:paraId="6829DEEF" w14:textId="77777777" w:rsidR="00DB596B" w:rsidRPr="00624BB8" w:rsidRDefault="00DB596B" w:rsidP="00401A5B">
            <w:pPr>
              <w:jc w:val="center"/>
              <w:rPr>
                <w:rFonts w:ascii="Times New Roman" w:eastAsia="Times New Roman" w:hAnsi="Times New Roman" w:cs="Times New Roman"/>
                <w:b/>
                <w:color w:val="000000"/>
                <w:sz w:val="20"/>
                <w:szCs w:val="20"/>
              </w:rPr>
            </w:pPr>
            <w:r w:rsidRPr="00624BB8">
              <w:rPr>
                <w:rFonts w:ascii="Times New Roman" w:eastAsia="Times New Roman" w:hAnsi="Times New Roman" w:cs="Times New Roman"/>
                <w:b/>
                <w:color w:val="000000"/>
                <w:sz w:val="20"/>
                <w:szCs w:val="20"/>
              </w:rPr>
              <w:t>4,9</w:t>
            </w:r>
          </w:p>
        </w:tc>
        <w:tc>
          <w:tcPr>
            <w:tcW w:w="1310" w:type="dxa"/>
            <w:tcBorders>
              <w:top w:val="nil"/>
              <w:left w:val="nil"/>
              <w:bottom w:val="single" w:sz="4" w:space="0" w:color="auto"/>
              <w:right w:val="single" w:sz="4" w:space="0" w:color="auto"/>
            </w:tcBorders>
          </w:tcPr>
          <w:p w14:paraId="295A55D6" w14:textId="77777777" w:rsidR="00DB596B" w:rsidRPr="00624BB8" w:rsidRDefault="00DB596B" w:rsidP="00401A5B">
            <w:pPr>
              <w:jc w:val="center"/>
              <w:rPr>
                <w:rFonts w:ascii="Times New Roman" w:eastAsia="Times New Roman" w:hAnsi="Times New Roman" w:cs="Times New Roman"/>
                <w:b/>
                <w:color w:val="000000"/>
                <w:sz w:val="20"/>
                <w:szCs w:val="20"/>
              </w:rPr>
            </w:pPr>
          </w:p>
          <w:p w14:paraId="099BB283" w14:textId="77777777" w:rsidR="00DB596B" w:rsidRPr="00624BB8" w:rsidRDefault="00DB596B" w:rsidP="00401A5B">
            <w:pPr>
              <w:jc w:val="center"/>
              <w:rPr>
                <w:rFonts w:ascii="Times New Roman" w:eastAsia="Times New Roman" w:hAnsi="Times New Roman" w:cs="Times New Roman"/>
                <w:b/>
                <w:color w:val="000000"/>
                <w:sz w:val="20"/>
                <w:szCs w:val="20"/>
              </w:rPr>
            </w:pPr>
            <w:r w:rsidRPr="00624BB8">
              <w:rPr>
                <w:rFonts w:ascii="Times New Roman" w:eastAsia="Times New Roman" w:hAnsi="Times New Roman" w:cs="Times New Roman"/>
                <w:b/>
                <w:color w:val="000000"/>
                <w:sz w:val="20"/>
                <w:szCs w:val="20"/>
              </w:rPr>
              <w:t>4,9</w:t>
            </w:r>
          </w:p>
          <w:p w14:paraId="351BEECF" w14:textId="77777777" w:rsidR="00DB596B" w:rsidRPr="00624BB8" w:rsidRDefault="00DB596B" w:rsidP="00401A5B">
            <w:pPr>
              <w:jc w:val="center"/>
              <w:rPr>
                <w:rFonts w:ascii="Times New Roman" w:eastAsia="Times New Roman" w:hAnsi="Times New Roman" w:cs="Times New Roman"/>
                <w:b/>
                <w:color w:val="000000"/>
                <w:sz w:val="20"/>
                <w:szCs w:val="20"/>
              </w:rPr>
            </w:pPr>
          </w:p>
        </w:tc>
      </w:tr>
      <w:tr w:rsidR="00DB596B" w:rsidRPr="00624BB8" w14:paraId="56B59844" w14:textId="77777777" w:rsidTr="00FD5F28">
        <w:trPr>
          <w:trHeight w:val="348"/>
          <w:jc w:val="center"/>
        </w:trPr>
        <w:tc>
          <w:tcPr>
            <w:tcW w:w="4905" w:type="dxa"/>
            <w:tcBorders>
              <w:top w:val="nil"/>
              <w:left w:val="single" w:sz="4" w:space="0" w:color="auto"/>
              <w:bottom w:val="single" w:sz="4" w:space="0" w:color="auto"/>
              <w:right w:val="single" w:sz="4" w:space="0" w:color="auto"/>
            </w:tcBorders>
            <w:shd w:val="clear" w:color="auto" w:fill="auto"/>
            <w:vAlign w:val="center"/>
          </w:tcPr>
          <w:p w14:paraId="5D1E9BF2" w14:textId="135B2A4F" w:rsidR="00DB596B" w:rsidRPr="00624BB8" w:rsidRDefault="00DB596B" w:rsidP="00624BB8">
            <w:pPr>
              <w:rPr>
                <w:rFonts w:ascii="Times New Roman" w:eastAsia="Times New Roman" w:hAnsi="Times New Roman" w:cs="Times New Roman"/>
                <w:i/>
                <w:sz w:val="20"/>
                <w:szCs w:val="20"/>
              </w:rPr>
            </w:pPr>
            <w:r w:rsidRPr="00624BB8">
              <w:rPr>
                <w:rFonts w:ascii="Times New Roman" w:eastAsia="Times New Roman" w:hAnsi="Times New Roman" w:cs="Times New Roman"/>
                <w:b/>
                <w:color w:val="000000"/>
                <w:sz w:val="20"/>
                <w:szCs w:val="20"/>
              </w:rPr>
              <w:t>Elektroenerģijas nodoklis</w:t>
            </w:r>
            <w:r w:rsidRPr="00624BB8">
              <w:rPr>
                <w:rFonts w:ascii="Times New Roman" w:eastAsia="Times New Roman" w:hAnsi="Times New Roman" w:cs="Times New Roman"/>
                <w:sz w:val="20"/>
                <w:szCs w:val="20"/>
              </w:rPr>
              <w:t xml:space="preserve"> saskaņā ar </w:t>
            </w:r>
            <w:r w:rsidR="00624BB8">
              <w:rPr>
                <w:rFonts w:ascii="Times New Roman" w:eastAsia="Times New Roman" w:hAnsi="Times New Roman" w:cs="Times New Roman"/>
                <w:sz w:val="20"/>
                <w:szCs w:val="20"/>
              </w:rPr>
              <w:t>VTBIL</w:t>
            </w:r>
            <w:r w:rsidRPr="00624BB8">
              <w:rPr>
                <w:rFonts w:ascii="Times New Roman" w:eastAsia="Times New Roman" w:hAnsi="Times New Roman" w:cs="Times New Roman"/>
                <w:sz w:val="20"/>
                <w:szCs w:val="20"/>
              </w:rPr>
              <w:t xml:space="preserve"> 2020., 2021. un 2022.gadam”</w:t>
            </w:r>
            <w:r w:rsidRPr="00624BB8">
              <w:rPr>
                <w:rFonts w:ascii="Times New Roman" w:eastAsia="Times New Roman" w:hAnsi="Times New Roman" w:cs="Times New Roman"/>
                <w:color w:val="000000"/>
                <w:sz w:val="20"/>
                <w:szCs w:val="20"/>
              </w:rPr>
              <w:t>, milj. </w:t>
            </w:r>
            <w:r w:rsidRPr="00624BB8">
              <w:rPr>
                <w:rFonts w:ascii="Times New Roman" w:eastAsia="Times New Roman" w:hAnsi="Times New Roman" w:cs="Times New Roman"/>
                <w:i/>
                <w:color w:val="000000"/>
                <w:sz w:val="20"/>
                <w:szCs w:val="20"/>
              </w:rPr>
              <w:t>euro</w:t>
            </w:r>
          </w:p>
        </w:tc>
        <w:tc>
          <w:tcPr>
            <w:tcW w:w="999" w:type="dxa"/>
            <w:tcBorders>
              <w:top w:val="nil"/>
              <w:left w:val="nil"/>
              <w:bottom w:val="single" w:sz="4" w:space="0" w:color="auto"/>
              <w:right w:val="single" w:sz="4" w:space="0" w:color="auto"/>
            </w:tcBorders>
            <w:shd w:val="clear" w:color="auto" w:fill="auto"/>
            <w:noWrap/>
            <w:vAlign w:val="center"/>
          </w:tcPr>
          <w:p w14:paraId="7A5182EE"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5,4</w:t>
            </w:r>
          </w:p>
        </w:tc>
        <w:tc>
          <w:tcPr>
            <w:tcW w:w="1011" w:type="dxa"/>
            <w:tcBorders>
              <w:top w:val="nil"/>
              <w:left w:val="nil"/>
              <w:bottom w:val="single" w:sz="4" w:space="0" w:color="auto"/>
              <w:right w:val="single" w:sz="4" w:space="0" w:color="auto"/>
            </w:tcBorders>
            <w:shd w:val="clear" w:color="auto" w:fill="auto"/>
            <w:noWrap/>
            <w:vAlign w:val="center"/>
          </w:tcPr>
          <w:p w14:paraId="2418D382"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5,5</w:t>
            </w:r>
          </w:p>
        </w:tc>
        <w:tc>
          <w:tcPr>
            <w:tcW w:w="774" w:type="dxa"/>
            <w:tcBorders>
              <w:top w:val="nil"/>
              <w:left w:val="nil"/>
              <w:bottom w:val="single" w:sz="4" w:space="0" w:color="auto"/>
              <w:right w:val="single" w:sz="4" w:space="0" w:color="auto"/>
            </w:tcBorders>
            <w:shd w:val="clear" w:color="auto" w:fill="auto"/>
            <w:noWrap/>
            <w:vAlign w:val="center"/>
          </w:tcPr>
          <w:p w14:paraId="6776DD31"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5,6</w:t>
            </w:r>
          </w:p>
        </w:tc>
        <w:tc>
          <w:tcPr>
            <w:tcW w:w="1310" w:type="dxa"/>
            <w:tcBorders>
              <w:top w:val="nil"/>
              <w:left w:val="nil"/>
              <w:bottom w:val="single" w:sz="4" w:space="0" w:color="auto"/>
              <w:right w:val="single" w:sz="4" w:space="0" w:color="auto"/>
            </w:tcBorders>
            <w:vAlign w:val="center"/>
          </w:tcPr>
          <w:p w14:paraId="56109F21" w14:textId="77777777" w:rsidR="00DB596B" w:rsidRPr="00624BB8" w:rsidRDefault="00DB596B" w:rsidP="00401A5B">
            <w:pPr>
              <w:jc w:val="center"/>
              <w:rPr>
                <w:rFonts w:ascii="Times New Roman" w:eastAsia="Times New Roman" w:hAnsi="Times New Roman" w:cs="Times New Roman"/>
                <w:b/>
                <w:sz w:val="20"/>
                <w:szCs w:val="20"/>
                <w:lang w:eastAsia="en-US"/>
              </w:rPr>
            </w:pPr>
            <w:r w:rsidRPr="00624BB8">
              <w:rPr>
                <w:rFonts w:ascii="Times New Roman" w:eastAsia="Times New Roman" w:hAnsi="Times New Roman" w:cs="Times New Roman"/>
                <w:b/>
                <w:sz w:val="20"/>
                <w:szCs w:val="20"/>
                <w:lang w:eastAsia="en-US"/>
              </w:rPr>
              <w:t>-</w:t>
            </w:r>
          </w:p>
        </w:tc>
      </w:tr>
      <w:tr w:rsidR="00DB596B" w:rsidRPr="00624BB8" w14:paraId="3C81A231" w14:textId="77777777" w:rsidTr="00FD5F28">
        <w:trPr>
          <w:trHeight w:val="348"/>
          <w:jc w:val="center"/>
        </w:trPr>
        <w:tc>
          <w:tcPr>
            <w:tcW w:w="4905" w:type="dxa"/>
            <w:tcBorders>
              <w:top w:val="nil"/>
              <w:left w:val="single" w:sz="4" w:space="0" w:color="auto"/>
              <w:bottom w:val="single" w:sz="4" w:space="0" w:color="auto"/>
              <w:right w:val="single" w:sz="4" w:space="0" w:color="auto"/>
            </w:tcBorders>
            <w:shd w:val="clear" w:color="auto" w:fill="auto"/>
            <w:vAlign w:val="center"/>
            <w:hideMark/>
          </w:tcPr>
          <w:p w14:paraId="0F9F5C65" w14:textId="23AF4199" w:rsidR="00DB596B" w:rsidRPr="00624BB8" w:rsidRDefault="00DB596B" w:rsidP="00ED16E3">
            <w:pPr>
              <w:rPr>
                <w:rFonts w:ascii="Times New Roman" w:eastAsia="Times New Roman" w:hAnsi="Times New Roman" w:cs="Times New Roman"/>
                <w:i/>
                <w:color w:val="000000"/>
                <w:sz w:val="20"/>
                <w:szCs w:val="20"/>
              </w:rPr>
            </w:pPr>
            <w:r w:rsidRPr="00624BB8">
              <w:rPr>
                <w:rFonts w:ascii="Times New Roman" w:eastAsia="Times New Roman" w:hAnsi="Times New Roman" w:cs="Times New Roman"/>
                <w:i/>
                <w:color w:val="000000"/>
                <w:sz w:val="20"/>
                <w:szCs w:val="20"/>
              </w:rPr>
              <w:t xml:space="preserve">pieaugums, salīdzinot ar likumu </w:t>
            </w:r>
            <w:r w:rsidR="00ED16E3">
              <w:rPr>
                <w:rFonts w:ascii="Times New Roman" w:eastAsia="Times New Roman" w:hAnsi="Times New Roman" w:cs="Times New Roman"/>
                <w:i/>
                <w:color w:val="000000"/>
                <w:sz w:val="20"/>
                <w:szCs w:val="20"/>
              </w:rPr>
              <w:t>VTBIL 2020., 2021. un 2022.gadam</w:t>
            </w:r>
            <w:r w:rsidRPr="00624BB8">
              <w:rPr>
                <w:rFonts w:ascii="Times New Roman" w:eastAsia="Times New Roman" w:hAnsi="Times New Roman" w:cs="Times New Roman"/>
                <w:i/>
                <w:color w:val="000000"/>
                <w:sz w:val="20"/>
                <w:szCs w:val="20"/>
              </w:rPr>
              <w:t xml:space="preserve">, </w:t>
            </w:r>
            <w:r w:rsidRPr="00624BB8">
              <w:rPr>
                <w:rFonts w:ascii="Times New Roman" w:eastAsia="Times New Roman" w:hAnsi="Times New Roman" w:cs="Times New Roman"/>
                <w:color w:val="000000"/>
                <w:sz w:val="20"/>
                <w:szCs w:val="20"/>
              </w:rPr>
              <w:t>milj.</w:t>
            </w:r>
            <w:r w:rsidRPr="00624BB8">
              <w:rPr>
                <w:rFonts w:ascii="Times New Roman" w:eastAsia="Times New Roman" w:hAnsi="Times New Roman" w:cs="Times New Roman"/>
                <w:i/>
                <w:color w:val="000000"/>
                <w:sz w:val="20"/>
                <w:szCs w:val="20"/>
              </w:rPr>
              <w:t> euro</w:t>
            </w:r>
          </w:p>
        </w:tc>
        <w:tc>
          <w:tcPr>
            <w:tcW w:w="999" w:type="dxa"/>
            <w:tcBorders>
              <w:top w:val="nil"/>
              <w:left w:val="nil"/>
              <w:bottom w:val="single" w:sz="4" w:space="0" w:color="auto"/>
              <w:right w:val="single" w:sz="4" w:space="0" w:color="auto"/>
            </w:tcBorders>
            <w:shd w:val="clear" w:color="auto" w:fill="auto"/>
            <w:noWrap/>
            <w:vAlign w:val="center"/>
          </w:tcPr>
          <w:p w14:paraId="6FA8538C" w14:textId="77777777" w:rsidR="00DB596B" w:rsidRPr="00624BB8" w:rsidRDefault="00DB596B" w:rsidP="00401A5B">
            <w:pPr>
              <w:jc w:val="center"/>
              <w:rPr>
                <w:rFonts w:ascii="Times New Roman" w:eastAsia="Times New Roman" w:hAnsi="Times New Roman" w:cs="Times New Roman"/>
                <w:sz w:val="20"/>
                <w:szCs w:val="20"/>
              </w:rPr>
            </w:pPr>
            <w:r w:rsidRPr="00624BB8">
              <w:rPr>
                <w:rFonts w:ascii="Times New Roman" w:eastAsia="Times New Roman" w:hAnsi="Times New Roman" w:cs="Times New Roman"/>
                <w:sz w:val="20"/>
                <w:szCs w:val="20"/>
              </w:rPr>
              <w:t>-0,6</w:t>
            </w:r>
          </w:p>
        </w:tc>
        <w:tc>
          <w:tcPr>
            <w:tcW w:w="1011" w:type="dxa"/>
            <w:tcBorders>
              <w:top w:val="nil"/>
              <w:left w:val="nil"/>
              <w:bottom w:val="single" w:sz="4" w:space="0" w:color="auto"/>
              <w:right w:val="single" w:sz="4" w:space="0" w:color="auto"/>
            </w:tcBorders>
            <w:shd w:val="clear" w:color="auto" w:fill="auto"/>
            <w:noWrap/>
            <w:vAlign w:val="center"/>
          </w:tcPr>
          <w:p w14:paraId="279A1F4B" w14:textId="77777777" w:rsidR="00DB596B" w:rsidRPr="00624BB8" w:rsidRDefault="00DB596B" w:rsidP="00401A5B">
            <w:pPr>
              <w:jc w:val="center"/>
              <w:rPr>
                <w:rFonts w:ascii="Times New Roman" w:eastAsia="Times New Roman" w:hAnsi="Times New Roman" w:cs="Times New Roman"/>
                <w:sz w:val="20"/>
                <w:szCs w:val="20"/>
              </w:rPr>
            </w:pPr>
            <w:r w:rsidRPr="00624BB8">
              <w:rPr>
                <w:rFonts w:ascii="Times New Roman" w:eastAsia="Times New Roman" w:hAnsi="Times New Roman" w:cs="Times New Roman"/>
                <w:sz w:val="20"/>
                <w:szCs w:val="20"/>
              </w:rPr>
              <w:t>-0,7</w:t>
            </w:r>
          </w:p>
        </w:tc>
        <w:tc>
          <w:tcPr>
            <w:tcW w:w="774" w:type="dxa"/>
            <w:tcBorders>
              <w:top w:val="nil"/>
              <w:left w:val="nil"/>
              <w:bottom w:val="single" w:sz="4" w:space="0" w:color="auto"/>
              <w:right w:val="single" w:sz="4" w:space="0" w:color="auto"/>
            </w:tcBorders>
            <w:shd w:val="clear" w:color="auto" w:fill="auto"/>
            <w:noWrap/>
            <w:vAlign w:val="center"/>
            <w:hideMark/>
          </w:tcPr>
          <w:p w14:paraId="5EAF366B" w14:textId="77777777" w:rsidR="00DB596B" w:rsidRPr="00624BB8" w:rsidRDefault="00DB596B" w:rsidP="00401A5B">
            <w:pPr>
              <w:jc w:val="center"/>
              <w:rPr>
                <w:rFonts w:ascii="Times New Roman" w:eastAsia="Times New Roman" w:hAnsi="Times New Roman" w:cs="Times New Roman"/>
                <w:sz w:val="20"/>
                <w:szCs w:val="20"/>
              </w:rPr>
            </w:pPr>
            <w:r w:rsidRPr="00624BB8">
              <w:rPr>
                <w:rFonts w:ascii="Times New Roman" w:eastAsia="Times New Roman" w:hAnsi="Times New Roman" w:cs="Times New Roman"/>
                <w:sz w:val="20"/>
                <w:szCs w:val="20"/>
              </w:rPr>
              <w:t>-0,7</w:t>
            </w:r>
          </w:p>
        </w:tc>
        <w:tc>
          <w:tcPr>
            <w:tcW w:w="1310" w:type="dxa"/>
            <w:tcBorders>
              <w:top w:val="nil"/>
              <w:left w:val="nil"/>
              <w:bottom w:val="single" w:sz="4" w:space="0" w:color="auto"/>
              <w:right w:val="single" w:sz="4" w:space="0" w:color="auto"/>
            </w:tcBorders>
            <w:shd w:val="clear" w:color="auto" w:fill="auto"/>
          </w:tcPr>
          <w:p w14:paraId="02C78D3A" w14:textId="77777777" w:rsidR="00DB596B" w:rsidRPr="00624BB8" w:rsidRDefault="00DB596B" w:rsidP="00401A5B">
            <w:pPr>
              <w:jc w:val="center"/>
              <w:rPr>
                <w:rFonts w:ascii="Times New Roman" w:eastAsia="Times New Roman" w:hAnsi="Times New Roman" w:cs="Times New Roman"/>
                <w:sz w:val="20"/>
                <w:szCs w:val="20"/>
              </w:rPr>
            </w:pPr>
            <w:r w:rsidRPr="00624BB8">
              <w:rPr>
                <w:rFonts w:ascii="Times New Roman" w:eastAsia="Times New Roman" w:hAnsi="Times New Roman" w:cs="Times New Roman"/>
                <w:sz w:val="20"/>
                <w:szCs w:val="20"/>
              </w:rPr>
              <w:t>-</w:t>
            </w:r>
          </w:p>
        </w:tc>
      </w:tr>
      <w:tr w:rsidR="00DB596B" w:rsidRPr="00624BB8" w14:paraId="102211C8" w14:textId="77777777" w:rsidTr="00FD5F28">
        <w:trPr>
          <w:trHeight w:val="329"/>
          <w:jc w:val="center"/>
        </w:trPr>
        <w:tc>
          <w:tcPr>
            <w:tcW w:w="4905" w:type="dxa"/>
            <w:tcBorders>
              <w:top w:val="nil"/>
              <w:left w:val="single" w:sz="4" w:space="0" w:color="auto"/>
              <w:bottom w:val="single" w:sz="4" w:space="0" w:color="auto"/>
              <w:right w:val="single" w:sz="4" w:space="0" w:color="auto"/>
            </w:tcBorders>
            <w:shd w:val="clear" w:color="auto" w:fill="auto"/>
            <w:vAlign w:val="center"/>
            <w:hideMark/>
          </w:tcPr>
          <w:p w14:paraId="54380D84" w14:textId="33F0583E" w:rsidR="00DB596B" w:rsidRPr="00624BB8" w:rsidRDefault="00DB596B" w:rsidP="00ED16E3">
            <w:pPr>
              <w:rPr>
                <w:rFonts w:ascii="Times New Roman" w:eastAsia="Times New Roman" w:hAnsi="Times New Roman" w:cs="Times New Roman"/>
                <w:i/>
                <w:color w:val="000000"/>
                <w:sz w:val="20"/>
                <w:szCs w:val="20"/>
              </w:rPr>
            </w:pPr>
            <w:r w:rsidRPr="00624BB8">
              <w:rPr>
                <w:rFonts w:ascii="Times New Roman" w:eastAsia="Times New Roman" w:hAnsi="Times New Roman" w:cs="Times New Roman"/>
                <w:i/>
                <w:color w:val="000000"/>
                <w:sz w:val="20"/>
                <w:szCs w:val="20"/>
              </w:rPr>
              <w:t xml:space="preserve">pieaugums, salīdzinot ar </w:t>
            </w:r>
            <w:r w:rsidR="00ED16E3">
              <w:rPr>
                <w:rFonts w:ascii="Times New Roman" w:eastAsia="Times New Roman" w:hAnsi="Times New Roman" w:cs="Times New Roman"/>
                <w:i/>
                <w:color w:val="000000"/>
                <w:sz w:val="20"/>
                <w:szCs w:val="20"/>
              </w:rPr>
              <w:t>VTBIL  2020., 2021. un 2022.gadam</w:t>
            </w:r>
            <w:r w:rsidRPr="00624BB8">
              <w:rPr>
                <w:rFonts w:ascii="Times New Roman" w:eastAsia="Times New Roman" w:hAnsi="Times New Roman" w:cs="Times New Roman"/>
                <w:i/>
                <w:color w:val="000000"/>
                <w:sz w:val="20"/>
                <w:szCs w:val="20"/>
              </w:rPr>
              <w:t>, %</w:t>
            </w:r>
          </w:p>
        </w:tc>
        <w:tc>
          <w:tcPr>
            <w:tcW w:w="999" w:type="dxa"/>
            <w:tcBorders>
              <w:top w:val="nil"/>
              <w:left w:val="nil"/>
              <w:bottom w:val="single" w:sz="4" w:space="0" w:color="auto"/>
              <w:right w:val="single" w:sz="4" w:space="0" w:color="auto"/>
            </w:tcBorders>
            <w:shd w:val="clear" w:color="auto" w:fill="auto"/>
            <w:noWrap/>
            <w:vAlign w:val="center"/>
          </w:tcPr>
          <w:p w14:paraId="056B5806" w14:textId="77777777" w:rsidR="00DB596B" w:rsidRPr="00624BB8" w:rsidRDefault="00DB596B" w:rsidP="00401A5B">
            <w:pPr>
              <w:jc w:val="center"/>
              <w:rPr>
                <w:rFonts w:ascii="Times New Roman" w:eastAsia="Times New Roman" w:hAnsi="Times New Roman" w:cs="Times New Roman"/>
                <w:i/>
                <w:sz w:val="20"/>
                <w:szCs w:val="20"/>
              </w:rPr>
            </w:pPr>
            <w:r w:rsidRPr="00624BB8">
              <w:rPr>
                <w:rFonts w:ascii="Times New Roman" w:eastAsia="Times New Roman" w:hAnsi="Times New Roman" w:cs="Times New Roman"/>
                <w:i/>
                <w:sz w:val="20"/>
                <w:szCs w:val="20"/>
              </w:rPr>
              <w:t>-12,4</w:t>
            </w:r>
          </w:p>
        </w:tc>
        <w:tc>
          <w:tcPr>
            <w:tcW w:w="1011" w:type="dxa"/>
            <w:tcBorders>
              <w:top w:val="nil"/>
              <w:left w:val="nil"/>
              <w:bottom w:val="single" w:sz="4" w:space="0" w:color="auto"/>
              <w:right w:val="single" w:sz="4" w:space="0" w:color="auto"/>
            </w:tcBorders>
            <w:shd w:val="clear" w:color="auto" w:fill="auto"/>
            <w:noWrap/>
            <w:vAlign w:val="center"/>
          </w:tcPr>
          <w:p w14:paraId="021C9435" w14:textId="77777777" w:rsidR="00DB596B" w:rsidRPr="00624BB8" w:rsidRDefault="00DB596B" w:rsidP="00401A5B">
            <w:pPr>
              <w:jc w:val="center"/>
              <w:rPr>
                <w:rFonts w:ascii="Times New Roman" w:eastAsia="Times New Roman" w:hAnsi="Times New Roman" w:cs="Times New Roman"/>
                <w:i/>
                <w:sz w:val="20"/>
                <w:szCs w:val="20"/>
              </w:rPr>
            </w:pPr>
            <w:r w:rsidRPr="00624BB8">
              <w:rPr>
                <w:rFonts w:ascii="Times New Roman" w:eastAsia="Times New Roman" w:hAnsi="Times New Roman" w:cs="Times New Roman"/>
                <w:i/>
                <w:sz w:val="20"/>
                <w:szCs w:val="20"/>
              </w:rPr>
              <w:t>-12,4</w:t>
            </w:r>
          </w:p>
        </w:tc>
        <w:tc>
          <w:tcPr>
            <w:tcW w:w="774" w:type="dxa"/>
            <w:tcBorders>
              <w:top w:val="nil"/>
              <w:left w:val="nil"/>
              <w:bottom w:val="single" w:sz="4" w:space="0" w:color="auto"/>
              <w:right w:val="single" w:sz="4" w:space="0" w:color="auto"/>
            </w:tcBorders>
            <w:shd w:val="clear" w:color="auto" w:fill="auto"/>
            <w:noWrap/>
            <w:vAlign w:val="center"/>
            <w:hideMark/>
          </w:tcPr>
          <w:p w14:paraId="1D6E674F" w14:textId="77777777" w:rsidR="00DB596B" w:rsidRPr="00624BB8" w:rsidRDefault="00DB596B" w:rsidP="00401A5B">
            <w:pPr>
              <w:jc w:val="center"/>
              <w:rPr>
                <w:rFonts w:ascii="Times New Roman" w:eastAsia="Times New Roman" w:hAnsi="Times New Roman" w:cs="Times New Roman"/>
                <w:sz w:val="20"/>
                <w:szCs w:val="20"/>
              </w:rPr>
            </w:pPr>
            <w:r w:rsidRPr="00624BB8">
              <w:rPr>
                <w:rFonts w:ascii="Times New Roman" w:eastAsia="Times New Roman" w:hAnsi="Times New Roman" w:cs="Times New Roman"/>
                <w:sz w:val="20"/>
                <w:szCs w:val="20"/>
              </w:rPr>
              <w:t>-12,4</w:t>
            </w:r>
          </w:p>
        </w:tc>
        <w:tc>
          <w:tcPr>
            <w:tcW w:w="1310" w:type="dxa"/>
            <w:tcBorders>
              <w:top w:val="nil"/>
              <w:left w:val="nil"/>
              <w:bottom w:val="single" w:sz="4" w:space="0" w:color="auto"/>
              <w:right w:val="single" w:sz="4" w:space="0" w:color="auto"/>
            </w:tcBorders>
            <w:shd w:val="clear" w:color="auto" w:fill="auto"/>
          </w:tcPr>
          <w:p w14:paraId="2F7E0211" w14:textId="77777777" w:rsidR="00DB596B" w:rsidRPr="00624BB8" w:rsidRDefault="00DB596B" w:rsidP="00401A5B">
            <w:pPr>
              <w:jc w:val="center"/>
              <w:rPr>
                <w:rFonts w:ascii="Times New Roman" w:eastAsia="Times New Roman" w:hAnsi="Times New Roman" w:cs="Times New Roman"/>
                <w:sz w:val="20"/>
                <w:szCs w:val="20"/>
              </w:rPr>
            </w:pPr>
            <w:r w:rsidRPr="00624BB8">
              <w:rPr>
                <w:rFonts w:ascii="Times New Roman" w:eastAsia="Times New Roman" w:hAnsi="Times New Roman" w:cs="Times New Roman"/>
                <w:sz w:val="20"/>
                <w:szCs w:val="20"/>
              </w:rPr>
              <w:t>-</w:t>
            </w:r>
          </w:p>
        </w:tc>
      </w:tr>
      <w:tr w:rsidR="00DB596B" w:rsidRPr="00624BB8" w14:paraId="71DBAB3B" w14:textId="77777777" w:rsidTr="00FD5F28">
        <w:trPr>
          <w:trHeight w:val="174"/>
          <w:jc w:val="center"/>
        </w:trPr>
        <w:tc>
          <w:tcPr>
            <w:tcW w:w="4905" w:type="dxa"/>
            <w:tcBorders>
              <w:top w:val="nil"/>
              <w:left w:val="single" w:sz="4" w:space="0" w:color="auto"/>
              <w:bottom w:val="single" w:sz="4" w:space="0" w:color="auto"/>
              <w:right w:val="single" w:sz="4" w:space="0" w:color="auto"/>
            </w:tcBorders>
            <w:shd w:val="clear" w:color="auto" w:fill="auto"/>
            <w:noWrap/>
            <w:vAlign w:val="center"/>
            <w:hideMark/>
          </w:tcPr>
          <w:p w14:paraId="0610E3B3" w14:textId="77777777" w:rsidR="00DB596B" w:rsidRPr="00624BB8" w:rsidRDefault="00DB596B" w:rsidP="00401A5B">
            <w:pPr>
              <w:rPr>
                <w:rFonts w:ascii="Times New Roman" w:eastAsia="Times New Roman" w:hAnsi="Times New Roman" w:cs="Times New Roman"/>
                <w:color w:val="000000"/>
                <w:sz w:val="20"/>
                <w:szCs w:val="20"/>
              </w:rPr>
            </w:pPr>
            <w:r w:rsidRPr="00624BB8">
              <w:rPr>
                <w:rFonts w:ascii="Times New Roman" w:eastAsia="Times New Roman" w:hAnsi="Times New Roman" w:cs="Times New Roman"/>
                <w:color w:val="000000"/>
                <w:sz w:val="20"/>
                <w:szCs w:val="20"/>
              </w:rPr>
              <w:t>% no IKP</w:t>
            </w:r>
          </w:p>
        </w:tc>
        <w:tc>
          <w:tcPr>
            <w:tcW w:w="999" w:type="dxa"/>
            <w:tcBorders>
              <w:top w:val="nil"/>
              <w:left w:val="nil"/>
              <w:bottom w:val="single" w:sz="4" w:space="0" w:color="auto"/>
              <w:right w:val="single" w:sz="4" w:space="0" w:color="auto"/>
            </w:tcBorders>
            <w:shd w:val="clear" w:color="auto" w:fill="auto"/>
            <w:noWrap/>
          </w:tcPr>
          <w:p w14:paraId="50FC0CCA" w14:textId="77777777" w:rsidR="00DB596B" w:rsidRPr="00624BB8" w:rsidRDefault="00DB596B" w:rsidP="00401A5B">
            <w:pPr>
              <w:jc w:val="center"/>
              <w:rPr>
                <w:rFonts w:ascii="Times New Roman" w:eastAsia="Times New Roman" w:hAnsi="Times New Roman" w:cs="Times New Roman"/>
                <w:i/>
                <w:sz w:val="20"/>
                <w:szCs w:val="20"/>
              </w:rPr>
            </w:pPr>
            <w:r w:rsidRPr="00624BB8">
              <w:rPr>
                <w:rFonts w:ascii="Times New Roman" w:eastAsia="Times New Roman" w:hAnsi="Times New Roman" w:cs="Times New Roman"/>
                <w:i/>
                <w:sz w:val="20"/>
                <w:szCs w:val="20"/>
              </w:rPr>
              <w:t>0,02</w:t>
            </w:r>
          </w:p>
        </w:tc>
        <w:tc>
          <w:tcPr>
            <w:tcW w:w="1011" w:type="dxa"/>
            <w:tcBorders>
              <w:top w:val="nil"/>
              <w:left w:val="nil"/>
              <w:bottom w:val="single" w:sz="4" w:space="0" w:color="auto"/>
              <w:right w:val="single" w:sz="4" w:space="0" w:color="auto"/>
            </w:tcBorders>
            <w:shd w:val="clear" w:color="auto" w:fill="auto"/>
            <w:noWrap/>
          </w:tcPr>
          <w:p w14:paraId="70837526" w14:textId="77777777" w:rsidR="00DB596B" w:rsidRPr="00624BB8" w:rsidRDefault="00DB596B" w:rsidP="00401A5B">
            <w:pPr>
              <w:jc w:val="center"/>
              <w:rPr>
                <w:rFonts w:ascii="Times New Roman" w:eastAsia="Times New Roman" w:hAnsi="Times New Roman" w:cs="Times New Roman"/>
                <w:i/>
                <w:sz w:val="20"/>
                <w:szCs w:val="20"/>
              </w:rPr>
            </w:pPr>
            <w:r w:rsidRPr="00624BB8">
              <w:rPr>
                <w:rFonts w:ascii="Times New Roman" w:eastAsia="Times New Roman" w:hAnsi="Times New Roman" w:cs="Times New Roman"/>
                <w:i/>
                <w:sz w:val="20"/>
                <w:szCs w:val="20"/>
              </w:rPr>
              <w:t>0,02</w:t>
            </w:r>
          </w:p>
        </w:tc>
        <w:tc>
          <w:tcPr>
            <w:tcW w:w="774" w:type="dxa"/>
            <w:tcBorders>
              <w:top w:val="nil"/>
              <w:left w:val="nil"/>
              <w:bottom w:val="single" w:sz="4" w:space="0" w:color="auto"/>
              <w:right w:val="single" w:sz="4" w:space="0" w:color="auto"/>
            </w:tcBorders>
            <w:shd w:val="clear" w:color="auto" w:fill="auto"/>
            <w:noWrap/>
          </w:tcPr>
          <w:p w14:paraId="7E3235DA" w14:textId="77777777" w:rsidR="00DB596B" w:rsidRPr="00624BB8" w:rsidRDefault="00DB596B" w:rsidP="00401A5B">
            <w:pPr>
              <w:jc w:val="center"/>
              <w:rPr>
                <w:rFonts w:ascii="Times New Roman" w:eastAsia="Times New Roman" w:hAnsi="Times New Roman" w:cs="Times New Roman"/>
                <w:i/>
                <w:sz w:val="20"/>
                <w:szCs w:val="20"/>
              </w:rPr>
            </w:pPr>
            <w:r w:rsidRPr="00624BB8">
              <w:rPr>
                <w:rFonts w:ascii="Times New Roman" w:eastAsia="Times New Roman" w:hAnsi="Times New Roman" w:cs="Times New Roman"/>
                <w:i/>
                <w:sz w:val="20"/>
                <w:szCs w:val="20"/>
              </w:rPr>
              <w:t>0,02</w:t>
            </w:r>
          </w:p>
        </w:tc>
        <w:tc>
          <w:tcPr>
            <w:tcW w:w="1310" w:type="dxa"/>
            <w:tcBorders>
              <w:top w:val="nil"/>
              <w:left w:val="nil"/>
              <w:bottom w:val="single" w:sz="4" w:space="0" w:color="auto"/>
              <w:right w:val="single" w:sz="4" w:space="0" w:color="auto"/>
            </w:tcBorders>
          </w:tcPr>
          <w:p w14:paraId="6748E08F" w14:textId="77777777" w:rsidR="00DB596B" w:rsidRPr="00624BB8" w:rsidRDefault="00DB596B" w:rsidP="00401A5B">
            <w:pPr>
              <w:jc w:val="center"/>
              <w:rPr>
                <w:rFonts w:ascii="Times New Roman" w:eastAsia="Times New Roman" w:hAnsi="Times New Roman" w:cs="Times New Roman"/>
                <w:i/>
                <w:sz w:val="20"/>
                <w:szCs w:val="20"/>
              </w:rPr>
            </w:pPr>
            <w:r w:rsidRPr="00624BB8">
              <w:rPr>
                <w:rFonts w:ascii="Times New Roman" w:eastAsia="Times New Roman" w:hAnsi="Times New Roman" w:cs="Times New Roman"/>
                <w:i/>
                <w:sz w:val="20"/>
                <w:szCs w:val="20"/>
              </w:rPr>
              <w:t>0,01</w:t>
            </w:r>
          </w:p>
        </w:tc>
      </w:tr>
    </w:tbl>
    <w:p w14:paraId="1344FC1C" w14:textId="77777777" w:rsidR="00DB596B" w:rsidRPr="00624BB8" w:rsidRDefault="00DB596B" w:rsidP="00401A5B">
      <w:pPr>
        <w:rPr>
          <w:rFonts w:ascii="Times New Roman" w:eastAsia="Times New Roman" w:hAnsi="Times New Roman" w:cs="Times New Roman"/>
          <w:sz w:val="20"/>
          <w:szCs w:val="20"/>
          <w:lang w:eastAsia="en-US"/>
        </w:rPr>
      </w:pPr>
      <w:r w:rsidRPr="00624BB8">
        <w:rPr>
          <w:rFonts w:ascii="Times New Roman" w:eastAsia="Times New Roman" w:hAnsi="Times New Roman" w:cs="Times New Roman"/>
          <w:sz w:val="20"/>
          <w:szCs w:val="20"/>
          <w:lang w:eastAsia="en-US"/>
        </w:rPr>
        <w:t xml:space="preserve">        *Prognoze</w:t>
      </w:r>
    </w:p>
    <w:p w14:paraId="7AB8C9D2" w14:textId="77777777" w:rsidR="003F3FCD" w:rsidRDefault="003F3FCD" w:rsidP="00401A5B">
      <w:pPr>
        <w:widowControl w:val="0"/>
        <w:ind w:left="426"/>
        <w:rPr>
          <w:rFonts w:ascii="Times New Roman" w:eastAsia="Times New Roman" w:hAnsi="Times New Roman" w:cs="Times New Roman"/>
          <w:sz w:val="18"/>
        </w:rPr>
      </w:pPr>
    </w:p>
    <w:p w14:paraId="1E238091" w14:textId="5C2325CB" w:rsidR="003F3FCD" w:rsidRPr="001C5161" w:rsidRDefault="000548A5" w:rsidP="00401A5B">
      <w:pPr>
        <w:pStyle w:val="Heading2"/>
        <w:numPr>
          <w:ilvl w:val="0"/>
          <w:numId w:val="0"/>
        </w:numPr>
        <w:spacing w:before="0"/>
        <w:jc w:val="center"/>
        <w:rPr>
          <w:rFonts w:ascii="Times New Roman" w:eastAsia="Times New Roman" w:hAnsi="Times New Roman" w:cs="Times New Roman"/>
          <w:sz w:val="32"/>
          <w:szCs w:val="32"/>
        </w:rPr>
      </w:pPr>
      <w:bookmarkStart w:id="67" w:name="_Toc53154116"/>
      <w:r w:rsidRPr="001C5161">
        <w:rPr>
          <w:rFonts w:ascii="Times New Roman" w:eastAsia="Times New Roman" w:hAnsi="Times New Roman" w:cs="Times New Roman"/>
          <w:sz w:val="32"/>
          <w:szCs w:val="32"/>
        </w:rPr>
        <w:t>3.3. Valsts pamatbudžeta nenodokļu ieņēmumi</w:t>
      </w:r>
      <w:bookmarkEnd w:id="67"/>
    </w:p>
    <w:p w14:paraId="5307F724" w14:textId="77777777" w:rsidR="003F3FCD" w:rsidRDefault="003F3FCD" w:rsidP="00401A5B">
      <w:pPr>
        <w:keepNext/>
        <w:keepLines/>
        <w:widowControl w:val="0"/>
        <w:jc w:val="center"/>
        <w:rPr>
          <w:rFonts w:ascii="Times New Roman" w:eastAsia="Times New Roman" w:hAnsi="Times New Roman" w:cs="Times New Roman"/>
          <w:b/>
          <w:color w:val="000000"/>
          <w:sz w:val="32"/>
        </w:rPr>
      </w:pPr>
    </w:p>
    <w:p w14:paraId="059A00ED" w14:textId="77777777" w:rsidR="00ED16E3" w:rsidRPr="00ED16E3" w:rsidRDefault="00ED16E3" w:rsidP="00ED16E3">
      <w:pPr>
        <w:ind w:firstLine="720"/>
        <w:jc w:val="both"/>
        <w:rPr>
          <w:rFonts w:ascii="Times New Roman" w:eastAsia="Times New Roman" w:hAnsi="Times New Roman" w:cs="Times New Roman"/>
          <w:sz w:val="28"/>
          <w:szCs w:val="20"/>
          <w:lang w:eastAsia="en-US"/>
        </w:rPr>
      </w:pPr>
      <w:r w:rsidRPr="00ED16E3">
        <w:rPr>
          <w:rFonts w:ascii="Times New Roman" w:eastAsia="Times New Roman" w:hAnsi="Times New Roman" w:cs="Times New Roman"/>
          <w:sz w:val="28"/>
          <w:szCs w:val="20"/>
          <w:lang w:eastAsia="en-US"/>
        </w:rPr>
        <w:t>Valsts budžetā atbilstoši likumdošanā noteiktajam tiek ieskaitīti dažādi nenodokļu ieņēmumi – valsts nodevas, naudas sodi un citi maksājumi.</w:t>
      </w:r>
    </w:p>
    <w:p w14:paraId="002226CB" w14:textId="77777777" w:rsidR="00ED16E3" w:rsidRPr="00ED16E3" w:rsidRDefault="00ED16E3" w:rsidP="00ED16E3">
      <w:pPr>
        <w:ind w:firstLine="720"/>
        <w:jc w:val="both"/>
        <w:rPr>
          <w:rFonts w:ascii="Times New Roman" w:eastAsia="Times New Roman" w:hAnsi="Times New Roman" w:cs="Times New Roman"/>
          <w:sz w:val="28"/>
          <w:szCs w:val="20"/>
          <w:lang w:eastAsia="en-US"/>
        </w:rPr>
      </w:pPr>
      <w:r w:rsidRPr="00ED16E3">
        <w:rPr>
          <w:rFonts w:ascii="Times New Roman" w:eastAsia="Times New Roman" w:hAnsi="Times New Roman" w:cs="Times New Roman"/>
          <w:sz w:val="28"/>
          <w:szCs w:val="20"/>
          <w:lang w:eastAsia="en-US"/>
        </w:rPr>
        <w:t>Lielāko daļu no nenodokļu ieņēmumiem valsts pamatbudžetā veido ieņēmumi no dividendēm (no valsts kapitāla izmantošanas), valsts nodevas par valsts sniegto nodrošinājumu un juridiskajiem un citiem pakalpojumiem, speciāliem mērķiem paredzētās valsts nodevas, kā arī naudas sodi un sankcijas.</w:t>
      </w:r>
    </w:p>
    <w:p w14:paraId="3936F10B" w14:textId="77777777" w:rsidR="00ED16E3" w:rsidRPr="00ED16E3" w:rsidRDefault="00ED16E3" w:rsidP="00ED16E3">
      <w:pPr>
        <w:ind w:firstLine="720"/>
        <w:jc w:val="both"/>
        <w:rPr>
          <w:rFonts w:ascii="Times New Roman" w:eastAsia="Times New Roman" w:hAnsi="Times New Roman" w:cs="Times New Roman"/>
          <w:sz w:val="28"/>
          <w:szCs w:val="24"/>
          <w:lang w:eastAsia="en-US"/>
        </w:rPr>
      </w:pPr>
      <w:r w:rsidRPr="00ED16E3">
        <w:rPr>
          <w:rFonts w:ascii="Times New Roman" w:eastAsia="Times New Roman" w:hAnsi="Times New Roman" w:cs="Times New Roman"/>
          <w:bCs/>
          <w:sz w:val="28"/>
          <w:szCs w:val="24"/>
          <w:lang w:eastAsia="en-US"/>
        </w:rPr>
        <w:t xml:space="preserve">Pamatbudžeta nenodokļu ieņēmumi 2020.gada sešos mēnešos bija 396,6 milj. </w:t>
      </w:r>
      <w:r w:rsidRPr="00ED16E3">
        <w:rPr>
          <w:rFonts w:ascii="Times New Roman" w:eastAsia="Times New Roman" w:hAnsi="Times New Roman" w:cs="Times New Roman"/>
          <w:bCs/>
          <w:i/>
          <w:sz w:val="28"/>
          <w:szCs w:val="24"/>
          <w:lang w:eastAsia="en-US"/>
        </w:rPr>
        <w:t>euro</w:t>
      </w:r>
      <w:r w:rsidRPr="00ED16E3">
        <w:rPr>
          <w:rFonts w:ascii="Times New Roman" w:eastAsia="Times New Roman" w:hAnsi="Times New Roman" w:cs="Times New Roman"/>
          <w:bCs/>
          <w:sz w:val="28"/>
          <w:szCs w:val="24"/>
          <w:lang w:eastAsia="en-US"/>
        </w:rPr>
        <w:t xml:space="preserve">, kas ir par 39,6 milj. </w:t>
      </w:r>
      <w:r w:rsidRPr="00ED16E3">
        <w:rPr>
          <w:rFonts w:ascii="Times New Roman" w:eastAsia="Times New Roman" w:hAnsi="Times New Roman" w:cs="Times New Roman"/>
          <w:bCs/>
          <w:i/>
          <w:sz w:val="28"/>
          <w:szCs w:val="24"/>
          <w:lang w:eastAsia="en-US"/>
        </w:rPr>
        <w:t>euro</w:t>
      </w:r>
      <w:r w:rsidRPr="00ED16E3">
        <w:rPr>
          <w:rFonts w:ascii="Times New Roman" w:eastAsia="Times New Roman" w:hAnsi="Times New Roman" w:cs="Times New Roman"/>
          <w:bCs/>
          <w:sz w:val="28"/>
          <w:szCs w:val="24"/>
          <w:lang w:eastAsia="en-US"/>
        </w:rPr>
        <w:t xml:space="preserve"> jeb 11,1% vairāk kā plānots. Salīdzinot ar 2019.gada sešiem mēnešiem, nenodokļu ieņēmumi ir iekasēti par 18,1 milj. </w:t>
      </w:r>
      <w:r w:rsidRPr="00ED16E3">
        <w:rPr>
          <w:rFonts w:ascii="Times New Roman" w:eastAsia="Times New Roman" w:hAnsi="Times New Roman" w:cs="Times New Roman"/>
          <w:bCs/>
          <w:i/>
          <w:sz w:val="28"/>
          <w:szCs w:val="24"/>
          <w:lang w:eastAsia="en-US"/>
        </w:rPr>
        <w:t>euro</w:t>
      </w:r>
      <w:r w:rsidRPr="00ED16E3">
        <w:rPr>
          <w:rFonts w:ascii="Times New Roman" w:eastAsia="Times New Roman" w:hAnsi="Times New Roman" w:cs="Times New Roman"/>
          <w:bCs/>
          <w:sz w:val="28"/>
          <w:szCs w:val="24"/>
          <w:lang w:eastAsia="en-US"/>
        </w:rPr>
        <w:t xml:space="preserve"> jeb 4,8% vairāk.</w:t>
      </w:r>
      <w:r w:rsidRPr="00ED16E3">
        <w:rPr>
          <w:rFonts w:ascii="Times New Roman" w:eastAsia="Times New Roman" w:hAnsi="Times New Roman" w:cs="Times New Roman"/>
          <w:sz w:val="28"/>
          <w:szCs w:val="24"/>
          <w:lang w:eastAsia="en-US"/>
        </w:rPr>
        <w:t xml:space="preserve"> </w:t>
      </w:r>
    </w:p>
    <w:p w14:paraId="0BCA0ECA" w14:textId="77777777" w:rsidR="00ED16E3" w:rsidRPr="00ED16E3" w:rsidRDefault="00ED16E3" w:rsidP="00ED16E3">
      <w:pPr>
        <w:ind w:firstLine="720"/>
        <w:jc w:val="both"/>
        <w:rPr>
          <w:rFonts w:ascii="Times New Roman" w:eastAsia="Times New Roman" w:hAnsi="Times New Roman" w:cs="Times New Roman"/>
          <w:sz w:val="28"/>
          <w:szCs w:val="24"/>
          <w:u w:val="single"/>
          <w:lang w:eastAsia="en-US"/>
        </w:rPr>
      </w:pPr>
      <w:r w:rsidRPr="00ED16E3">
        <w:rPr>
          <w:rFonts w:ascii="Times New Roman" w:eastAsia="Times New Roman" w:hAnsi="Times New Roman" w:cs="Times New Roman"/>
          <w:sz w:val="28"/>
          <w:szCs w:val="24"/>
          <w:lang w:eastAsia="en-US"/>
        </w:rPr>
        <w:t xml:space="preserve">Nenodokļu ieņēmumu sešu mēnešu plāna pārpildi pamatā nodrošināja ieņēmumi no dividendēm. Plānoto 193,0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vietā sešos mēnešos ieskaitīti 227,5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w:t>
      </w:r>
      <w:r w:rsidRPr="00ED16E3">
        <w:rPr>
          <w:rFonts w:ascii="Times New Roman" w:eastAsia="Times New Roman" w:hAnsi="Times New Roman" w:cs="Times New Roman"/>
          <w:sz w:val="28"/>
          <w:szCs w:val="24"/>
          <w:u w:val="single"/>
          <w:lang w:eastAsia="en-US"/>
        </w:rPr>
        <w:t xml:space="preserve"> </w:t>
      </w:r>
    </w:p>
    <w:p w14:paraId="61A60A70" w14:textId="77777777" w:rsidR="00ED16E3" w:rsidRPr="00ED16E3" w:rsidRDefault="00ED16E3" w:rsidP="00ED16E3">
      <w:pPr>
        <w:ind w:firstLine="720"/>
        <w:jc w:val="both"/>
        <w:rPr>
          <w:rFonts w:ascii="Times New Roman" w:eastAsia="Times New Roman" w:hAnsi="Times New Roman" w:cs="Times New Roman"/>
          <w:sz w:val="28"/>
          <w:szCs w:val="24"/>
          <w:lang w:eastAsia="en-US"/>
        </w:rPr>
      </w:pPr>
      <w:r w:rsidRPr="00ED16E3">
        <w:rPr>
          <w:rFonts w:ascii="Times New Roman" w:eastAsia="Times New Roman" w:hAnsi="Times New Roman" w:cs="Times New Roman"/>
          <w:sz w:val="28"/>
          <w:szCs w:val="24"/>
          <w:lang w:eastAsia="en-US"/>
        </w:rPr>
        <w:t xml:space="preserve">Ievērojama pārpilde ir arī šādiem nenodokļiem: </w:t>
      </w:r>
    </w:p>
    <w:p w14:paraId="39EB473A" w14:textId="48D3C766" w:rsidR="00ED16E3" w:rsidRPr="00ED16E3" w:rsidRDefault="00ED16E3" w:rsidP="00FB2B77">
      <w:pPr>
        <w:numPr>
          <w:ilvl w:val="0"/>
          <w:numId w:val="50"/>
        </w:numPr>
        <w:jc w:val="both"/>
        <w:rPr>
          <w:rFonts w:ascii="Times New Roman" w:eastAsia="Times New Roman" w:hAnsi="Times New Roman" w:cs="Times New Roman"/>
          <w:bCs/>
          <w:sz w:val="28"/>
          <w:szCs w:val="24"/>
          <w:lang w:eastAsia="en-US"/>
        </w:rPr>
      </w:pPr>
      <w:r w:rsidRPr="00ED16E3">
        <w:rPr>
          <w:rFonts w:ascii="Times New Roman" w:eastAsia="Times New Roman" w:hAnsi="Times New Roman" w:cs="Times New Roman"/>
          <w:b/>
          <w:bCs/>
          <w:sz w:val="28"/>
          <w:szCs w:val="24"/>
          <w:lang w:eastAsia="en-US"/>
        </w:rPr>
        <w:t>Pārējie nenodokļu ieņēmumi</w:t>
      </w:r>
      <w:r>
        <w:rPr>
          <w:rFonts w:ascii="Times New Roman" w:eastAsia="Times New Roman" w:hAnsi="Times New Roman" w:cs="Times New Roman"/>
          <w:b/>
          <w:bCs/>
          <w:sz w:val="28"/>
          <w:szCs w:val="24"/>
          <w:lang w:eastAsia="en-US"/>
        </w:rPr>
        <w:t xml:space="preserve"> - s</w:t>
      </w:r>
      <w:r w:rsidRPr="00ED16E3">
        <w:rPr>
          <w:rFonts w:ascii="Times New Roman" w:eastAsia="Times New Roman" w:hAnsi="Times New Roman" w:cs="Times New Roman"/>
          <w:bCs/>
          <w:sz w:val="28"/>
          <w:szCs w:val="24"/>
          <w:lang w:eastAsia="en-US"/>
        </w:rPr>
        <w:t xml:space="preserve">ešos mēnešos plāna pārpilde ir 19,1 milj. </w:t>
      </w:r>
      <w:r w:rsidRPr="00ED16E3">
        <w:rPr>
          <w:rFonts w:ascii="Times New Roman" w:eastAsia="Times New Roman" w:hAnsi="Times New Roman" w:cs="Times New Roman"/>
          <w:bCs/>
          <w:i/>
          <w:sz w:val="28"/>
          <w:szCs w:val="24"/>
          <w:lang w:eastAsia="en-US"/>
        </w:rPr>
        <w:t>euro</w:t>
      </w:r>
      <w:r w:rsidRPr="00ED16E3">
        <w:rPr>
          <w:rFonts w:ascii="Times New Roman" w:eastAsia="Times New Roman" w:hAnsi="Times New Roman" w:cs="Times New Roman"/>
          <w:bCs/>
          <w:sz w:val="28"/>
          <w:szCs w:val="24"/>
          <w:lang w:eastAsia="en-US"/>
        </w:rPr>
        <w:t xml:space="preserve"> jeb 52,2 procenti. Šīs pozīcijas pārpildi nodrošināja ieņēmumi no konfiscēto noziedzīgi iegūto līdzekļu realizācijas, ko budžetā ieskaitā zvērināti tiesu izpildītāji;</w:t>
      </w:r>
    </w:p>
    <w:p w14:paraId="12183C10" w14:textId="3BB9AC92" w:rsidR="00ED16E3" w:rsidRPr="00ED16E3" w:rsidRDefault="00ED16E3" w:rsidP="00FB2B77">
      <w:pPr>
        <w:numPr>
          <w:ilvl w:val="0"/>
          <w:numId w:val="50"/>
        </w:numPr>
        <w:jc w:val="both"/>
        <w:rPr>
          <w:rFonts w:ascii="Times New Roman" w:eastAsia="Times New Roman" w:hAnsi="Times New Roman" w:cs="Times New Roman"/>
          <w:bCs/>
          <w:sz w:val="28"/>
          <w:szCs w:val="24"/>
          <w:lang w:eastAsia="en-US"/>
        </w:rPr>
      </w:pPr>
      <w:r w:rsidRPr="00ED16E3">
        <w:rPr>
          <w:rFonts w:ascii="Times New Roman" w:eastAsia="Times New Roman" w:hAnsi="Times New Roman" w:cs="Times New Roman"/>
          <w:b/>
          <w:bCs/>
          <w:sz w:val="28"/>
          <w:szCs w:val="24"/>
          <w:lang w:eastAsia="en-US"/>
        </w:rPr>
        <w:t>Naudas sodi un sankcijas</w:t>
      </w:r>
      <w:r>
        <w:rPr>
          <w:rFonts w:ascii="Times New Roman" w:eastAsia="Times New Roman" w:hAnsi="Times New Roman" w:cs="Times New Roman"/>
          <w:b/>
          <w:bCs/>
          <w:sz w:val="28"/>
          <w:szCs w:val="24"/>
          <w:lang w:eastAsia="en-US"/>
        </w:rPr>
        <w:t xml:space="preserve"> - s</w:t>
      </w:r>
      <w:r w:rsidRPr="00ED16E3">
        <w:rPr>
          <w:rFonts w:ascii="Times New Roman" w:eastAsia="Times New Roman" w:hAnsi="Times New Roman" w:cs="Times New Roman"/>
          <w:bCs/>
          <w:sz w:val="28"/>
          <w:szCs w:val="24"/>
          <w:lang w:eastAsia="en-US"/>
        </w:rPr>
        <w:t xml:space="preserve">ešos mēnešos plāna pārpilde ir 4,9 milj. </w:t>
      </w:r>
      <w:r w:rsidRPr="00ED16E3">
        <w:rPr>
          <w:rFonts w:ascii="Times New Roman" w:eastAsia="Times New Roman" w:hAnsi="Times New Roman" w:cs="Times New Roman"/>
          <w:bCs/>
          <w:i/>
          <w:sz w:val="28"/>
          <w:szCs w:val="24"/>
          <w:lang w:eastAsia="en-US"/>
        </w:rPr>
        <w:t xml:space="preserve">euro </w:t>
      </w:r>
      <w:r w:rsidRPr="00ED16E3">
        <w:rPr>
          <w:rFonts w:ascii="Times New Roman" w:eastAsia="Times New Roman" w:hAnsi="Times New Roman" w:cs="Times New Roman"/>
          <w:bCs/>
          <w:sz w:val="28"/>
          <w:szCs w:val="24"/>
          <w:lang w:eastAsia="en-US"/>
        </w:rPr>
        <w:t>jeb 34,0 procenti;</w:t>
      </w:r>
    </w:p>
    <w:p w14:paraId="0B4F518A" w14:textId="0EF496A8" w:rsidR="00ED16E3" w:rsidRPr="00ED16E3" w:rsidRDefault="00ED16E3" w:rsidP="00FB2B77">
      <w:pPr>
        <w:numPr>
          <w:ilvl w:val="0"/>
          <w:numId w:val="50"/>
        </w:numPr>
        <w:jc w:val="both"/>
        <w:rPr>
          <w:rFonts w:ascii="Times New Roman" w:eastAsia="Times New Roman" w:hAnsi="Times New Roman" w:cs="Times New Roman"/>
          <w:bCs/>
          <w:sz w:val="28"/>
          <w:szCs w:val="24"/>
          <w:lang w:eastAsia="en-US"/>
        </w:rPr>
      </w:pPr>
      <w:r w:rsidRPr="00ED16E3">
        <w:rPr>
          <w:rFonts w:ascii="Times New Roman" w:eastAsia="Times New Roman" w:hAnsi="Times New Roman" w:cs="Times New Roman"/>
          <w:b/>
          <w:bCs/>
          <w:sz w:val="28"/>
          <w:szCs w:val="24"/>
          <w:lang w:eastAsia="en-US"/>
        </w:rPr>
        <w:t>Procentu ieņēmumi</w:t>
      </w:r>
      <w:r>
        <w:rPr>
          <w:rFonts w:ascii="Times New Roman" w:eastAsia="Times New Roman" w:hAnsi="Times New Roman" w:cs="Times New Roman"/>
          <w:b/>
          <w:bCs/>
          <w:sz w:val="28"/>
          <w:szCs w:val="24"/>
          <w:lang w:eastAsia="en-US"/>
        </w:rPr>
        <w:t xml:space="preserve"> - s</w:t>
      </w:r>
      <w:r w:rsidRPr="00ED16E3">
        <w:rPr>
          <w:rFonts w:ascii="Times New Roman" w:eastAsia="Times New Roman" w:hAnsi="Times New Roman" w:cs="Times New Roman"/>
          <w:bCs/>
          <w:sz w:val="28"/>
          <w:szCs w:val="24"/>
          <w:lang w:eastAsia="en-US"/>
        </w:rPr>
        <w:t xml:space="preserve">ešos mēnešos plāna pārpilde ir 2,5 milj. </w:t>
      </w:r>
      <w:r w:rsidRPr="00ED16E3">
        <w:rPr>
          <w:rFonts w:ascii="Times New Roman" w:eastAsia="Times New Roman" w:hAnsi="Times New Roman" w:cs="Times New Roman"/>
          <w:bCs/>
          <w:i/>
          <w:sz w:val="28"/>
          <w:szCs w:val="24"/>
          <w:lang w:eastAsia="en-US"/>
        </w:rPr>
        <w:t>euro</w:t>
      </w:r>
      <w:r w:rsidRPr="00ED16E3">
        <w:rPr>
          <w:rFonts w:ascii="Times New Roman" w:eastAsia="Times New Roman" w:hAnsi="Times New Roman" w:cs="Times New Roman"/>
          <w:bCs/>
          <w:sz w:val="28"/>
          <w:szCs w:val="24"/>
          <w:lang w:eastAsia="en-US"/>
        </w:rPr>
        <w:t xml:space="preserve"> jeb 2,9 reizes vairāk kā plānots. Šīs pozīcijas pārpildi nodrošināja procentu ieņēmumi par aizdevumiem.</w:t>
      </w:r>
    </w:p>
    <w:p w14:paraId="7CF7DB31" w14:textId="77777777" w:rsidR="00ED16E3" w:rsidRPr="00ED16E3" w:rsidRDefault="00ED16E3" w:rsidP="00ED16E3">
      <w:pPr>
        <w:ind w:firstLine="720"/>
        <w:jc w:val="both"/>
        <w:rPr>
          <w:rFonts w:ascii="Times New Roman" w:eastAsia="Times New Roman" w:hAnsi="Times New Roman" w:cs="Times New Roman"/>
          <w:bCs/>
          <w:sz w:val="28"/>
          <w:szCs w:val="24"/>
          <w:lang w:eastAsia="en-US"/>
        </w:rPr>
      </w:pPr>
      <w:r w:rsidRPr="00ED16E3">
        <w:rPr>
          <w:rFonts w:ascii="Times New Roman" w:eastAsia="Times New Roman" w:hAnsi="Times New Roman" w:cs="Times New Roman"/>
          <w:bCs/>
          <w:sz w:val="28"/>
          <w:szCs w:val="24"/>
          <w:lang w:eastAsia="en-US"/>
        </w:rPr>
        <w:t>Tāpat ir pozīcijas, kurās šī gada pirmajā pusgadā ir būtiska neizpilde:</w:t>
      </w:r>
    </w:p>
    <w:p w14:paraId="4BA0F29E" w14:textId="77777777" w:rsidR="00ED16E3" w:rsidRPr="00ED16E3" w:rsidRDefault="00ED16E3" w:rsidP="00FB2B77">
      <w:pPr>
        <w:numPr>
          <w:ilvl w:val="0"/>
          <w:numId w:val="49"/>
        </w:numPr>
        <w:jc w:val="both"/>
        <w:rPr>
          <w:rFonts w:ascii="Times New Roman" w:eastAsia="Times New Roman" w:hAnsi="Times New Roman" w:cs="Times New Roman"/>
          <w:sz w:val="28"/>
          <w:szCs w:val="24"/>
          <w:lang w:eastAsia="en-US"/>
        </w:rPr>
      </w:pPr>
      <w:r w:rsidRPr="00ED16E3">
        <w:rPr>
          <w:rFonts w:ascii="Times New Roman" w:eastAsia="Times New Roman" w:hAnsi="Times New Roman" w:cs="Times New Roman"/>
          <w:b/>
          <w:sz w:val="28"/>
          <w:szCs w:val="24"/>
          <w:lang w:eastAsia="en-US"/>
        </w:rPr>
        <w:t>Ieņēmumi no valsts nodevas par valsts sniegto nodrošinājumu un juridiskajiem un citiem pakalpojumiem</w:t>
      </w:r>
      <w:r w:rsidRPr="00ED16E3">
        <w:rPr>
          <w:rFonts w:ascii="Times New Roman" w:eastAsia="Times New Roman" w:hAnsi="Times New Roman" w:cs="Times New Roman"/>
          <w:sz w:val="28"/>
          <w:szCs w:val="24"/>
          <w:lang w:eastAsia="en-US"/>
        </w:rPr>
        <w:t xml:space="preserve"> – sešu mēnešu neizpilde ir 8,3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jeb 20,7 procenti;</w:t>
      </w:r>
    </w:p>
    <w:p w14:paraId="78886F23" w14:textId="77777777" w:rsidR="00ED16E3" w:rsidRPr="00ED16E3" w:rsidRDefault="00ED16E3" w:rsidP="00FB2B77">
      <w:pPr>
        <w:numPr>
          <w:ilvl w:val="0"/>
          <w:numId w:val="48"/>
        </w:numPr>
        <w:jc w:val="both"/>
        <w:rPr>
          <w:rFonts w:ascii="Times New Roman" w:eastAsia="Calibri" w:hAnsi="Times New Roman" w:cs="Times New Roman"/>
          <w:sz w:val="28"/>
          <w:szCs w:val="24"/>
          <w:lang w:eastAsia="en-US"/>
        </w:rPr>
      </w:pPr>
      <w:r w:rsidRPr="00ED16E3">
        <w:rPr>
          <w:rFonts w:ascii="Times New Roman" w:eastAsia="Times New Roman" w:hAnsi="Times New Roman" w:cs="Times New Roman"/>
          <w:b/>
          <w:sz w:val="28"/>
          <w:szCs w:val="24"/>
          <w:lang w:eastAsia="en-US"/>
        </w:rPr>
        <w:t>Ieņēmumi no valsts nodevas par speciālu atļauju (licenču) izsniegšanu un profesionālās kvalifikācijas atbilstības dokumentu reģistrāciju</w:t>
      </w:r>
      <w:r w:rsidRPr="00ED16E3">
        <w:rPr>
          <w:rFonts w:ascii="Times New Roman" w:eastAsia="Times New Roman" w:hAnsi="Times New Roman" w:cs="Times New Roman"/>
          <w:sz w:val="28"/>
          <w:szCs w:val="24"/>
          <w:lang w:eastAsia="en-US"/>
        </w:rPr>
        <w:t xml:space="preserve"> – sešu mēnešu neizpilde ir 4,7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jeb 68,8 procenti. Šīs pozīcijas neizpildi galvenokārt veido ieņēmumi no valsts nodevas par kreditēšanas pakalpojumu sniedzēja darbības uzraudzību;</w:t>
      </w:r>
    </w:p>
    <w:p w14:paraId="251C8675" w14:textId="77777777" w:rsidR="00ED16E3" w:rsidRPr="00ED16E3" w:rsidRDefault="00ED16E3" w:rsidP="00FB2B77">
      <w:pPr>
        <w:numPr>
          <w:ilvl w:val="0"/>
          <w:numId w:val="48"/>
        </w:numPr>
        <w:jc w:val="both"/>
        <w:rPr>
          <w:rFonts w:ascii="Times New Roman" w:eastAsia="Calibri" w:hAnsi="Times New Roman" w:cs="Times New Roman"/>
          <w:sz w:val="28"/>
          <w:szCs w:val="24"/>
          <w:lang w:eastAsia="en-US"/>
        </w:rPr>
      </w:pPr>
      <w:r w:rsidRPr="00ED16E3">
        <w:rPr>
          <w:rFonts w:ascii="Times New Roman" w:eastAsia="Calibri" w:hAnsi="Times New Roman" w:cs="Times New Roman"/>
          <w:b/>
          <w:sz w:val="28"/>
          <w:szCs w:val="24"/>
          <w:lang w:eastAsia="en-US"/>
        </w:rPr>
        <w:t>Ieņēmumi no Latvijai piešķirto emisijas kvotu izsolīšanas</w:t>
      </w:r>
      <w:r w:rsidRPr="00ED16E3">
        <w:rPr>
          <w:rFonts w:ascii="Times New Roman" w:eastAsia="Calibri" w:hAnsi="Times New Roman" w:cs="Times New Roman"/>
          <w:sz w:val="28"/>
          <w:szCs w:val="24"/>
          <w:lang w:eastAsia="en-US"/>
        </w:rPr>
        <w:t xml:space="preserve">  – -3,3 milj. </w:t>
      </w:r>
      <w:r w:rsidRPr="00ED16E3">
        <w:rPr>
          <w:rFonts w:ascii="Times New Roman" w:eastAsia="Calibri" w:hAnsi="Times New Roman" w:cs="Times New Roman"/>
          <w:i/>
          <w:sz w:val="28"/>
          <w:szCs w:val="24"/>
          <w:lang w:eastAsia="en-US"/>
        </w:rPr>
        <w:t>euro</w:t>
      </w:r>
      <w:r w:rsidRPr="00ED16E3">
        <w:rPr>
          <w:rFonts w:ascii="Times New Roman" w:eastAsia="Calibri" w:hAnsi="Times New Roman" w:cs="Times New Roman"/>
          <w:sz w:val="28"/>
          <w:szCs w:val="24"/>
          <w:lang w:eastAsia="en-US"/>
        </w:rPr>
        <w:t xml:space="preserve"> jeb plāna izpilde sešos mēnešos ir 15,1 procenti;</w:t>
      </w:r>
    </w:p>
    <w:p w14:paraId="1E4313DC" w14:textId="73430F72" w:rsidR="00ED16E3" w:rsidRPr="00ED16E3" w:rsidRDefault="00ED16E3" w:rsidP="00FB2B77">
      <w:pPr>
        <w:numPr>
          <w:ilvl w:val="0"/>
          <w:numId w:val="48"/>
        </w:numPr>
        <w:jc w:val="both"/>
        <w:rPr>
          <w:rFonts w:ascii="Times New Roman" w:eastAsia="Calibri" w:hAnsi="Times New Roman" w:cs="Times New Roman"/>
          <w:sz w:val="28"/>
          <w:szCs w:val="24"/>
          <w:lang w:eastAsia="en-US"/>
        </w:rPr>
      </w:pPr>
      <w:r w:rsidRPr="00ED16E3">
        <w:rPr>
          <w:rFonts w:ascii="Times New Roman" w:eastAsia="Calibri" w:hAnsi="Times New Roman" w:cs="Times New Roman"/>
          <w:b/>
          <w:sz w:val="28"/>
          <w:szCs w:val="24"/>
          <w:lang w:eastAsia="en-US"/>
        </w:rPr>
        <w:t>Autoceļu lietošanas nodeva</w:t>
      </w:r>
      <w:r w:rsidRPr="00ED16E3">
        <w:rPr>
          <w:rFonts w:ascii="Times New Roman" w:eastAsia="Calibri" w:hAnsi="Times New Roman" w:cs="Times New Roman"/>
          <w:sz w:val="28"/>
          <w:szCs w:val="24"/>
          <w:lang w:eastAsia="en-US"/>
        </w:rPr>
        <w:t xml:space="preserve"> – sešu mēnešu neizpilde 2,1 milj. </w:t>
      </w:r>
      <w:r w:rsidRPr="00ED16E3">
        <w:rPr>
          <w:rFonts w:ascii="Times New Roman" w:eastAsia="Calibri" w:hAnsi="Times New Roman" w:cs="Times New Roman"/>
          <w:i/>
          <w:sz w:val="28"/>
          <w:szCs w:val="24"/>
          <w:lang w:eastAsia="en-US"/>
        </w:rPr>
        <w:t>euro</w:t>
      </w:r>
      <w:r w:rsidRPr="00ED16E3">
        <w:rPr>
          <w:rFonts w:ascii="Times New Roman" w:eastAsia="Calibri" w:hAnsi="Times New Roman" w:cs="Times New Roman"/>
          <w:sz w:val="28"/>
          <w:szCs w:val="24"/>
          <w:lang w:eastAsia="en-US"/>
        </w:rPr>
        <w:t xml:space="preserve"> jeb 13,5 procenti.</w:t>
      </w:r>
    </w:p>
    <w:p w14:paraId="5E0AF953" w14:textId="7C6769AB" w:rsidR="00ED16E3" w:rsidRDefault="00ED16E3" w:rsidP="00DC73D6">
      <w:pPr>
        <w:ind w:firstLine="720"/>
        <w:jc w:val="both"/>
        <w:rPr>
          <w:rFonts w:ascii="Times New Roman" w:eastAsia="Times New Roman" w:hAnsi="Times New Roman" w:cs="Times New Roman"/>
          <w:sz w:val="28"/>
          <w:szCs w:val="20"/>
          <w:lang w:eastAsia="en-US"/>
        </w:rPr>
      </w:pPr>
      <w:r w:rsidRPr="00ED16E3">
        <w:rPr>
          <w:rFonts w:ascii="Times New Roman" w:eastAsia="Times New Roman" w:hAnsi="Times New Roman" w:cs="Times New Roman"/>
          <w:sz w:val="28"/>
          <w:szCs w:val="20"/>
          <w:lang w:eastAsia="en-US"/>
        </w:rPr>
        <w:t xml:space="preserve">Saskaņā ar </w:t>
      </w:r>
      <w:r>
        <w:rPr>
          <w:rFonts w:ascii="Times New Roman" w:eastAsia="Times New Roman" w:hAnsi="Times New Roman" w:cs="Times New Roman"/>
          <w:sz w:val="28"/>
          <w:szCs w:val="20"/>
          <w:lang w:eastAsia="en-US"/>
        </w:rPr>
        <w:t>VTBIL 2021., 2022. un 2023.gadam projektu</w:t>
      </w:r>
      <w:r w:rsidRPr="00ED16E3">
        <w:rPr>
          <w:rFonts w:ascii="Times New Roman" w:eastAsia="Times New Roman" w:hAnsi="Times New Roman" w:cs="Times New Roman"/>
          <w:sz w:val="28"/>
          <w:szCs w:val="20"/>
          <w:lang w:eastAsia="en-US"/>
        </w:rPr>
        <w:t xml:space="preserve"> 2021.gadā valsts pamatbudžeta nenodokļu ieņēmumi tiek plānoti 447,9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2022.gadā 415,1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xml:space="preserve"> un 2023.gadā 404,9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xml:space="preserve"> apmērā. </w:t>
      </w:r>
    </w:p>
    <w:p w14:paraId="264DC3FA" w14:textId="77777777" w:rsidR="0089579E" w:rsidRPr="00DC73D6" w:rsidRDefault="0089579E" w:rsidP="00DC73D6">
      <w:pPr>
        <w:ind w:firstLine="720"/>
        <w:jc w:val="both"/>
        <w:rPr>
          <w:rFonts w:ascii="Times New Roman" w:eastAsia="Times New Roman" w:hAnsi="Times New Roman" w:cs="Times New Roman"/>
          <w:sz w:val="28"/>
          <w:szCs w:val="20"/>
          <w:lang w:eastAsia="en-US"/>
        </w:rPr>
      </w:pPr>
    </w:p>
    <w:p w14:paraId="3F48B188" w14:textId="745835E6" w:rsidR="00ED16E3" w:rsidRDefault="00ED16E3" w:rsidP="00ED16E3">
      <w:pPr>
        <w:ind w:firstLine="720"/>
        <w:jc w:val="center"/>
        <w:rPr>
          <w:rFonts w:ascii="Times New Roman" w:eastAsia="Times New Roman" w:hAnsi="Times New Roman" w:cs="Times New Roman"/>
          <w:b/>
          <w:sz w:val="28"/>
          <w:szCs w:val="20"/>
          <w:lang w:eastAsia="en-US"/>
        </w:rPr>
      </w:pPr>
      <w:r w:rsidRPr="00ED16E3">
        <w:rPr>
          <w:rFonts w:ascii="Times New Roman" w:eastAsia="Times New Roman" w:hAnsi="Times New Roman" w:cs="Times New Roman"/>
          <w:b/>
          <w:sz w:val="28"/>
          <w:szCs w:val="20"/>
          <w:lang w:eastAsia="en-US"/>
        </w:rPr>
        <w:t>Ieņēmumi no dividendēm</w:t>
      </w:r>
    </w:p>
    <w:p w14:paraId="1AA0A099" w14:textId="77777777" w:rsidR="00ED16E3" w:rsidRDefault="00ED16E3" w:rsidP="00ED16E3">
      <w:pPr>
        <w:ind w:firstLine="720"/>
        <w:jc w:val="both"/>
        <w:rPr>
          <w:rFonts w:ascii="Times New Roman" w:eastAsia="Times New Roman" w:hAnsi="Times New Roman" w:cs="Times New Roman"/>
          <w:b/>
          <w:sz w:val="28"/>
          <w:szCs w:val="20"/>
          <w:lang w:eastAsia="en-US"/>
        </w:rPr>
      </w:pPr>
    </w:p>
    <w:p w14:paraId="36B4E581" w14:textId="749887DA" w:rsidR="00ED16E3" w:rsidRPr="00ED16E3" w:rsidRDefault="00ED16E3" w:rsidP="00ED16E3">
      <w:pPr>
        <w:ind w:firstLine="720"/>
        <w:jc w:val="both"/>
        <w:rPr>
          <w:rFonts w:ascii="Times New Roman" w:eastAsia="Times New Roman" w:hAnsi="Times New Roman" w:cs="Times New Roman"/>
          <w:sz w:val="28"/>
          <w:szCs w:val="20"/>
          <w:lang w:eastAsia="en-US"/>
        </w:rPr>
      </w:pPr>
      <w:r w:rsidRPr="00ED16E3">
        <w:rPr>
          <w:rFonts w:ascii="Times New Roman" w:eastAsia="Times New Roman" w:hAnsi="Times New Roman" w:cs="Times New Roman"/>
          <w:sz w:val="28"/>
          <w:szCs w:val="20"/>
          <w:lang w:eastAsia="en-US"/>
        </w:rPr>
        <w:t>Ieņēmumi no dividendēm 2021.gadā tiek plānoti 186,0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xml:space="preserve">, 2022.gadā 149,9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xml:space="preserve">, 2023.gadā 136,7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xml:space="preserve"> apmērā. Prognoze veidota, pamatojoties uz valsts kapitālsabiedrību sniegtajām 2020. – 2022.gadu peļņas prognozēm</w:t>
      </w:r>
      <w:r w:rsidRPr="00ED16E3">
        <w:rPr>
          <w:rFonts w:ascii="Times New Roman" w:eastAsia="Times New Roman" w:hAnsi="Times New Roman" w:cs="Times New Roman"/>
          <w:sz w:val="28"/>
          <w:szCs w:val="24"/>
          <w:lang w:eastAsia="en-US"/>
        </w:rPr>
        <w:t xml:space="preserve">, kā arī saskaņā ar </w:t>
      </w:r>
      <w:r>
        <w:rPr>
          <w:rFonts w:ascii="Times New Roman" w:eastAsia="Times New Roman" w:hAnsi="Times New Roman" w:cs="Times New Roman"/>
          <w:sz w:val="28"/>
          <w:szCs w:val="24"/>
          <w:lang w:eastAsia="en-US"/>
        </w:rPr>
        <w:t>MK</w:t>
      </w:r>
      <w:r w:rsidRPr="00ED16E3">
        <w:rPr>
          <w:rFonts w:ascii="Times New Roman" w:eastAsia="Times New Roman" w:hAnsi="Times New Roman" w:cs="Times New Roman"/>
          <w:sz w:val="28"/>
          <w:szCs w:val="24"/>
          <w:lang w:eastAsia="en-US"/>
        </w:rPr>
        <w:t xml:space="preserve"> noteikumiem Nr.806 “</w:t>
      </w:r>
      <w:r w:rsidRPr="00ED16E3">
        <w:rPr>
          <w:rFonts w:ascii="Times New Roman" w:eastAsia="Times New Roman" w:hAnsi="Times New Roman" w:cs="Times New Roman"/>
          <w:bCs/>
          <w:sz w:val="28"/>
          <w:szCs w:val="24"/>
          <w:lang w:eastAsia="en-US"/>
        </w:rPr>
        <w:t>Kārtība, kādā valsts kapitālsabiedrības un publiski privātās kapitālsabiedrības, kurās valsts ir dalībnieks (akcionārs), prognozē un nosaka dividendēs izmaksājamo peļņas daļu un veic maksājumus valsts budžetā par valsts kapitāla izmantošanu</w:t>
      </w:r>
      <w:r w:rsidRPr="00ED16E3">
        <w:rPr>
          <w:rFonts w:ascii="Times New Roman" w:eastAsia="Times New Roman" w:hAnsi="Times New Roman" w:cs="Times New Roman"/>
          <w:sz w:val="28"/>
          <w:szCs w:val="24"/>
          <w:lang w:eastAsia="en-US"/>
        </w:rPr>
        <w:t>”, kurā noteikts, ka minimālo dividendēs izmaksājamo peļņas daļu nosaka 80% apmērā no attiecīgās kapitālsabiedrības neto peļņas</w:t>
      </w:r>
      <w:r w:rsidRPr="00ED16E3">
        <w:rPr>
          <w:rFonts w:ascii="Times New Roman" w:eastAsia="Times New Roman" w:hAnsi="Times New Roman" w:cs="Times New Roman"/>
          <w:sz w:val="28"/>
          <w:szCs w:val="20"/>
          <w:lang w:eastAsia="en-US"/>
        </w:rPr>
        <w:t xml:space="preserve">. </w:t>
      </w:r>
      <w:r w:rsidRPr="00ED16E3">
        <w:rPr>
          <w:rFonts w:ascii="Times New Roman" w:eastAsia="Times New Roman" w:hAnsi="Times New Roman" w:cs="Times New Roman"/>
          <w:sz w:val="28"/>
          <w:szCs w:val="24"/>
          <w:lang w:eastAsia="en-US"/>
        </w:rPr>
        <w:t xml:space="preserve">Papildus tam dividenžu ieņēmumus ietekmē arī Ministru kabineta </w:t>
      </w:r>
      <w:r w:rsidRPr="00ED16E3">
        <w:rPr>
          <w:rFonts w:ascii="Times New Roman" w:eastAsia="Times New Roman" w:hAnsi="Times New Roman" w:cs="Times New Roman"/>
          <w:sz w:val="28"/>
          <w:szCs w:val="20"/>
          <w:lang w:eastAsia="en-US"/>
        </w:rPr>
        <w:t>atbalstīti pasākumi:</w:t>
      </w:r>
    </w:p>
    <w:p w14:paraId="54D5519D" w14:textId="450A5F57" w:rsidR="00ED16E3" w:rsidRPr="00ED16E3" w:rsidRDefault="00ED16E3" w:rsidP="00FB2B77">
      <w:pPr>
        <w:numPr>
          <w:ilvl w:val="0"/>
          <w:numId w:val="51"/>
        </w:numPr>
        <w:spacing w:beforeLines="60" w:before="144"/>
        <w:contextualSpacing/>
        <w:jc w:val="both"/>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20"/>
          <w:lang w:eastAsia="en-US"/>
        </w:rPr>
        <w:t>p</w:t>
      </w:r>
      <w:r w:rsidRPr="00ED16E3">
        <w:rPr>
          <w:rFonts w:ascii="Times New Roman" w:eastAsia="Times New Roman" w:hAnsi="Times New Roman" w:cs="Times New Roman"/>
          <w:sz w:val="28"/>
          <w:szCs w:val="20"/>
          <w:lang w:eastAsia="en-US"/>
        </w:rPr>
        <w:t xml:space="preserve">alielināt valsts </w:t>
      </w:r>
      <w:r>
        <w:rPr>
          <w:rFonts w:ascii="Times New Roman" w:eastAsia="Times New Roman" w:hAnsi="Times New Roman" w:cs="Times New Roman"/>
          <w:sz w:val="28"/>
          <w:szCs w:val="20"/>
          <w:lang w:eastAsia="en-US"/>
        </w:rPr>
        <w:t>AS</w:t>
      </w:r>
      <w:r w:rsidRPr="00ED16E3">
        <w:rPr>
          <w:rFonts w:ascii="Times New Roman" w:eastAsia="Times New Roman" w:hAnsi="Times New Roman" w:cs="Times New Roman"/>
          <w:sz w:val="28"/>
          <w:szCs w:val="20"/>
          <w:lang w:eastAsia="en-US"/>
        </w:rPr>
        <w:t xml:space="preserve"> “Latvijas valsts meži” dividendēs izmaksājamo peļņas daļu par 2020.gadu </w:t>
      </w:r>
      <w:r w:rsidRPr="00ED16E3">
        <w:rPr>
          <w:rFonts w:ascii="Times New Roman" w:eastAsia="Times New Roman" w:hAnsi="Times New Roman" w:cs="Times New Roman"/>
          <w:sz w:val="28"/>
          <w:szCs w:val="24"/>
          <w:lang w:eastAsia="en-US"/>
        </w:rPr>
        <w:t>(fiskālā ietekme 2021.gadā +14,4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2022. un 2023.gadā +2,4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w:t>
      </w:r>
    </w:p>
    <w:p w14:paraId="16A8E661" w14:textId="705B692B" w:rsidR="00ED16E3" w:rsidRPr="00ED16E3" w:rsidRDefault="00ED16E3" w:rsidP="00FB2B77">
      <w:pPr>
        <w:numPr>
          <w:ilvl w:val="0"/>
          <w:numId w:val="51"/>
        </w:numPr>
        <w:spacing w:beforeLines="60" w:before="144"/>
        <w:contextualSpacing/>
        <w:jc w:val="both"/>
        <w:rPr>
          <w:rFonts w:ascii="Times New Roman" w:eastAsia="Times New Roman" w:hAnsi="Times New Roman" w:cs="Times New Roman"/>
          <w:sz w:val="28"/>
          <w:szCs w:val="24"/>
          <w:lang w:eastAsia="en-US"/>
        </w:rPr>
      </w:pPr>
      <w:r w:rsidRPr="00ED16E3">
        <w:rPr>
          <w:rFonts w:ascii="Times New Roman" w:eastAsia="Times New Roman" w:hAnsi="Times New Roman" w:cs="Times New Roman"/>
          <w:sz w:val="28"/>
          <w:szCs w:val="24"/>
          <w:lang w:eastAsia="en-US"/>
        </w:rPr>
        <w:t xml:space="preserve">askaņā ar konceptuālo ziņojumu “Kompleksi pasākumi obligātā iepirkuma komponentes problemātikas risināšanai un elektroenerģijas tirgus attīstībai” paredzēt </w:t>
      </w:r>
      <w:r>
        <w:rPr>
          <w:rFonts w:ascii="Times New Roman" w:eastAsia="Times New Roman" w:hAnsi="Times New Roman" w:cs="Times New Roman"/>
          <w:sz w:val="28"/>
          <w:szCs w:val="24"/>
          <w:lang w:eastAsia="en-US"/>
        </w:rPr>
        <w:t>AS</w:t>
      </w:r>
      <w:r w:rsidRPr="00ED16E3">
        <w:rPr>
          <w:rFonts w:ascii="Times New Roman" w:eastAsia="Times New Roman" w:hAnsi="Times New Roman" w:cs="Times New Roman"/>
          <w:sz w:val="28"/>
          <w:szCs w:val="24"/>
          <w:lang w:eastAsia="en-US"/>
        </w:rPr>
        <w:t xml:space="preserve"> “Latvenergo” dividenžu maksājumus (fiskālā ietekme 2021.gadā +71,7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2022.gadā +59,6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un 2023.gadā +46,7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w:t>
      </w:r>
    </w:p>
    <w:p w14:paraId="0C8FE0E4" w14:textId="77777777" w:rsidR="00ED16E3" w:rsidRDefault="00ED16E3" w:rsidP="00FB2B77">
      <w:pPr>
        <w:numPr>
          <w:ilvl w:val="0"/>
          <w:numId w:val="51"/>
        </w:numPr>
        <w:spacing w:beforeLines="60" w:before="144"/>
        <w:contextualSpacing/>
        <w:jc w:val="both"/>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24"/>
          <w:lang w:eastAsia="en-US"/>
        </w:rPr>
        <w:t>p</w:t>
      </w:r>
      <w:r w:rsidRPr="00ED16E3">
        <w:rPr>
          <w:rFonts w:ascii="Times New Roman" w:eastAsia="Times New Roman" w:hAnsi="Times New Roman" w:cs="Times New Roman"/>
          <w:sz w:val="28"/>
          <w:szCs w:val="24"/>
          <w:lang w:eastAsia="en-US"/>
        </w:rPr>
        <w:t xml:space="preserve">alielināt pamatbudžeta prognozējamos ieņēmumus valsts budžetā no </w:t>
      </w:r>
      <w:r>
        <w:rPr>
          <w:rFonts w:ascii="Times New Roman" w:eastAsia="Times New Roman" w:hAnsi="Times New Roman" w:cs="Times New Roman"/>
          <w:sz w:val="28"/>
          <w:szCs w:val="24"/>
          <w:lang w:eastAsia="en-US"/>
        </w:rPr>
        <w:t>AS</w:t>
      </w:r>
      <w:r w:rsidRPr="00ED16E3">
        <w:rPr>
          <w:rFonts w:ascii="Times New Roman" w:eastAsia="Times New Roman" w:hAnsi="Times New Roman" w:cs="Times New Roman"/>
          <w:sz w:val="28"/>
          <w:szCs w:val="24"/>
          <w:lang w:eastAsia="en-US"/>
        </w:rPr>
        <w:t xml:space="preserve"> “Latvenergo” dividendēm (fiskālā ietekme 2021.gadā +6,9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2022.gadā +10,6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un 2023.gadā +10,1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w:t>
      </w:r>
    </w:p>
    <w:p w14:paraId="05EE83C4" w14:textId="77777777" w:rsidR="00ED16E3" w:rsidRDefault="00ED16E3" w:rsidP="00ED16E3">
      <w:pPr>
        <w:spacing w:beforeLines="60" w:before="144"/>
        <w:ind w:firstLine="360"/>
        <w:contextualSpacing/>
        <w:jc w:val="both"/>
        <w:rPr>
          <w:rFonts w:ascii="Times New Roman" w:eastAsia="Times New Roman" w:hAnsi="Times New Roman" w:cs="Times New Roman"/>
          <w:i/>
          <w:sz w:val="28"/>
          <w:szCs w:val="20"/>
          <w:lang w:eastAsia="en-US"/>
        </w:rPr>
      </w:pPr>
    </w:p>
    <w:p w14:paraId="7E9DFD21" w14:textId="4EF07E5E" w:rsidR="00ED16E3" w:rsidRDefault="00ED16E3" w:rsidP="00ED16E3">
      <w:pPr>
        <w:spacing w:beforeLines="60" w:before="144"/>
        <w:ind w:firstLine="360"/>
        <w:contextualSpacing/>
        <w:jc w:val="center"/>
        <w:rPr>
          <w:rFonts w:ascii="Times New Roman" w:eastAsia="Times New Roman" w:hAnsi="Times New Roman" w:cs="Times New Roman"/>
          <w:b/>
          <w:sz w:val="28"/>
          <w:szCs w:val="20"/>
          <w:lang w:eastAsia="en-US"/>
        </w:rPr>
      </w:pPr>
      <w:r w:rsidRPr="00ED16E3">
        <w:rPr>
          <w:rFonts w:ascii="Times New Roman" w:eastAsia="Times New Roman" w:hAnsi="Times New Roman" w:cs="Times New Roman"/>
          <w:b/>
          <w:sz w:val="28"/>
          <w:szCs w:val="20"/>
          <w:lang w:eastAsia="en-US"/>
        </w:rPr>
        <w:t>Ieņēmumi no valsts nodevām par speciālu atļauju (licenču) izsniegšanu un profesionālās kvalifikācijas atbilstības dokumentu reģistrāciju</w:t>
      </w:r>
    </w:p>
    <w:p w14:paraId="7B2CBF20" w14:textId="77777777" w:rsidR="00ED16E3" w:rsidRPr="00ED16E3" w:rsidRDefault="00ED16E3" w:rsidP="00ED16E3">
      <w:pPr>
        <w:spacing w:beforeLines="60" w:before="144"/>
        <w:ind w:firstLine="360"/>
        <w:contextualSpacing/>
        <w:jc w:val="center"/>
        <w:rPr>
          <w:rFonts w:ascii="Times New Roman" w:eastAsia="Times New Roman" w:hAnsi="Times New Roman" w:cs="Times New Roman"/>
          <w:b/>
          <w:sz w:val="28"/>
          <w:szCs w:val="20"/>
          <w:lang w:eastAsia="en-US"/>
        </w:rPr>
      </w:pPr>
    </w:p>
    <w:p w14:paraId="7A7A087C" w14:textId="07CBE5FE" w:rsidR="00ED16E3" w:rsidRDefault="00ED16E3" w:rsidP="00ED16E3">
      <w:pPr>
        <w:spacing w:beforeLines="60" w:before="144"/>
        <w:ind w:firstLine="360"/>
        <w:contextualSpacing/>
        <w:jc w:val="both"/>
        <w:rPr>
          <w:rFonts w:ascii="Times New Roman" w:eastAsia="Times New Roman" w:hAnsi="Times New Roman" w:cs="Times New Roman"/>
          <w:sz w:val="28"/>
          <w:szCs w:val="24"/>
          <w:lang w:eastAsia="en-US"/>
        </w:rPr>
      </w:pPr>
      <w:r w:rsidRPr="00ED16E3">
        <w:rPr>
          <w:rFonts w:ascii="Times New Roman" w:eastAsia="Times New Roman" w:hAnsi="Times New Roman" w:cs="Times New Roman"/>
          <w:sz w:val="28"/>
          <w:szCs w:val="20"/>
          <w:lang w:eastAsia="en-US"/>
        </w:rPr>
        <w:t>Ieņēmumi no valsts nodevām par speciālu atļauju (licenču) izsniegšanu un profesionālās kvalifikācijas atbilstības dokumentu reģistrāciju 2021., 2022. un 2023.gadā tiek plānoti 7,5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xml:space="preserve"> apmērā. Vidēja termiņa plāns ir sagatavots, ņemot vērā iepriekšējo gadu ieņēmumu izpildes tendences un ņemot vērā atbildīgo ministriju sniegtās prognozes. Papildus saskaņā ar 2020.gada 22.septembra Ministru kabineta lēmumu precizēti ieņēmumi pārējām nodevām par speciālu atļauju (licenču) izsniegšanu atsevišķiem komercdarbības veidiem (fiskālā ietekme 2021.gadā +0,005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2022.gadā +0,019 milj.</w:t>
      </w:r>
      <w:r w:rsidRPr="00ED16E3">
        <w:rPr>
          <w:rFonts w:ascii="Times New Roman" w:eastAsia="Times New Roman" w:hAnsi="Times New Roman" w:cs="Times New Roman"/>
          <w:i/>
          <w:sz w:val="28"/>
          <w:szCs w:val="20"/>
          <w:lang w:eastAsia="en-US"/>
        </w:rPr>
        <w:t xml:space="preserve"> euro</w:t>
      </w:r>
      <w:r w:rsidRPr="00ED16E3">
        <w:rPr>
          <w:rFonts w:ascii="Times New Roman" w:eastAsia="Times New Roman" w:hAnsi="Times New Roman" w:cs="Times New Roman"/>
          <w:sz w:val="28"/>
          <w:szCs w:val="20"/>
          <w:lang w:eastAsia="en-US"/>
        </w:rPr>
        <w:t xml:space="preserve"> un 2023.gadā +0,005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w:t>
      </w:r>
    </w:p>
    <w:p w14:paraId="344301CA" w14:textId="77777777" w:rsidR="00ED16E3" w:rsidRDefault="00ED16E3" w:rsidP="00ED16E3">
      <w:pPr>
        <w:spacing w:beforeLines="60" w:before="144"/>
        <w:ind w:firstLine="360"/>
        <w:contextualSpacing/>
        <w:jc w:val="both"/>
        <w:rPr>
          <w:rFonts w:ascii="Times New Roman" w:eastAsia="Times New Roman" w:hAnsi="Times New Roman" w:cs="Times New Roman"/>
          <w:sz w:val="28"/>
          <w:szCs w:val="24"/>
          <w:lang w:eastAsia="en-US"/>
        </w:rPr>
      </w:pPr>
    </w:p>
    <w:p w14:paraId="15AD4C5E" w14:textId="0DEB99B8" w:rsidR="00ED16E3" w:rsidRDefault="00ED16E3" w:rsidP="00ED16E3">
      <w:pPr>
        <w:ind w:firstLine="720"/>
        <w:jc w:val="center"/>
        <w:rPr>
          <w:rFonts w:ascii="Times New Roman" w:eastAsia="Times New Roman" w:hAnsi="Times New Roman" w:cs="Times New Roman"/>
          <w:b/>
          <w:sz w:val="28"/>
          <w:szCs w:val="24"/>
          <w:lang w:eastAsia="en-US"/>
        </w:rPr>
      </w:pPr>
      <w:r w:rsidRPr="00ED16E3">
        <w:rPr>
          <w:rFonts w:ascii="Times New Roman" w:eastAsia="Times New Roman" w:hAnsi="Times New Roman" w:cs="Times New Roman"/>
          <w:b/>
          <w:sz w:val="28"/>
          <w:szCs w:val="24"/>
          <w:lang w:eastAsia="en-US"/>
        </w:rPr>
        <w:t>Naudas sodi un sankcijas</w:t>
      </w:r>
    </w:p>
    <w:p w14:paraId="2274E13E" w14:textId="77777777" w:rsidR="00ED16E3" w:rsidRPr="00ED16E3" w:rsidRDefault="00ED16E3" w:rsidP="00ED16E3">
      <w:pPr>
        <w:ind w:firstLine="720"/>
        <w:jc w:val="center"/>
        <w:rPr>
          <w:rFonts w:ascii="Times New Roman" w:eastAsia="Times New Roman" w:hAnsi="Times New Roman" w:cs="Times New Roman"/>
          <w:b/>
          <w:sz w:val="28"/>
          <w:szCs w:val="24"/>
          <w:lang w:eastAsia="en-US"/>
        </w:rPr>
      </w:pPr>
    </w:p>
    <w:p w14:paraId="58E7DEC1" w14:textId="42F00C1A" w:rsidR="00ED16E3" w:rsidRPr="00ED16E3" w:rsidRDefault="00ED16E3" w:rsidP="00ED16E3">
      <w:pPr>
        <w:ind w:firstLine="720"/>
        <w:jc w:val="both"/>
        <w:rPr>
          <w:rFonts w:ascii="Times New Roman" w:eastAsia="Times New Roman" w:hAnsi="Times New Roman" w:cs="Times New Roman"/>
          <w:sz w:val="28"/>
          <w:szCs w:val="20"/>
          <w:lang w:eastAsia="en-US"/>
        </w:rPr>
      </w:pPr>
      <w:r w:rsidRPr="00ED16E3">
        <w:rPr>
          <w:rFonts w:ascii="Times New Roman" w:eastAsia="Times New Roman" w:hAnsi="Times New Roman" w:cs="Times New Roman"/>
          <w:sz w:val="28"/>
          <w:szCs w:val="24"/>
          <w:lang w:eastAsia="en-US"/>
        </w:rPr>
        <w:t>Naudas sodi un sankcijas 2021.gadā tiek plānoti 32,3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2022.gadā 31,8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un 2023.gadā 27,3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apmērā. Vidēja termiņa ieņēmumu prognozes veidota, balstoties uz iepriekšējo gadu tendencēm un atbildīgo valsts institūciju un ministriju sniegtajām prognozēm.</w:t>
      </w:r>
      <w:r w:rsidRPr="00ED16E3">
        <w:rPr>
          <w:rFonts w:ascii="Times New Roman" w:eastAsia="Times New Roman" w:hAnsi="Times New Roman" w:cs="Times New Roman"/>
          <w:sz w:val="28"/>
          <w:szCs w:val="20"/>
          <w:lang w:eastAsia="en-US"/>
        </w:rPr>
        <w:t xml:space="preserve"> Papildus saskaņā ar 2020.gada 22.septembra </w:t>
      </w:r>
      <w:r>
        <w:rPr>
          <w:rFonts w:ascii="Times New Roman" w:eastAsia="Times New Roman" w:hAnsi="Times New Roman" w:cs="Times New Roman"/>
          <w:sz w:val="28"/>
          <w:szCs w:val="20"/>
          <w:lang w:eastAsia="en-US"/>
        </w:rPr>
        <w:t>MK</w:t>
      </w:r>
      <w:r w:rsidRPr="00ED16E3">
        <w:rPr>
          <w:rFonts w:ascii="Times New Roman" w:eastAsia="Times New Roman" w:hAnsi="Times New Roman" w:cs="Times New Roman"/>
          <w:sz w:val="28"/>
          <w:szCs w:val="20"/>
          <w:lang w:eastAsia="en-US"/>
        </w:rPr>
        <w:t xml:space="preserve"> lēmumu precizēti ieņēmumi no naudas sodiem, ko uzliek Valsts policija (izņemot ceļu policija) (fiskālā ietekme 2021., 2022. un 2023.gadā +0,4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xml:space="preserve">), </w:t>
      </w:r>
      <w:r w:rsidRPr="00ED16E3">
        <w:rPr>
          <w:rFonts w:ascii="Times New Roman" w:eastAsia="Times New Roman" w:hAnsi="Times New Roman" w:cs="Times New Roman"/>
          <w:sz w:val="28"/>
          <w:szCs w:val="24"/>
          <w:lang w:eastAsia="en-US"/>
        </w:rPr>
        <w:t xml:space="preserve">naudas sodiem, ko uzliek </w:t>
      </w:r>
      <w:r>
        <w:rPr>
          <w:rFonts w:ascii="Times New Roman" w:eastAsia="Times New Roman" w:hAnsi="Times New Roman" w:cs="Times New Roman"/>
          <w:sz w:val="28"/>
          <w:szCs w:val="24"/>
          <w:lang w:eastAsia="en-US"/>
        </w:rPr>
        <w:t>VID</w:t>
      </w:r>
      <w:r w:rsidRPr="00ED16E3">
        <w:rPr>
          <w:rFonts w:ascii="Times New Roman" w:eastAsia="Times New Roman" w:hAnsi="Times New Roman" w:cs="Times New Roman"/>
          <w:sz w:val="28"/>
          <w:szCs w:val="24"/>
          <w:lang w:eastAsia="en-US"/>
        </w:rPr>
        <w:t xml:space="preserve">, izņemot naudas sodus, ko uzliek </w:t>
      </w:r>
      <w:r>
        <w:rPr>
          <w:rFonts w:ascii="Times New Roman" w:eastAsia="Times New Roman" w:hAnsi="Times New Roman" w:cs="Times New Roman"/>
          <w:sz w:val="28"/>
          <w:szCs w:val="24"/>
          <w:lang w:eastAsia="en-US"/>
        </w:rPr>
        <w:t>VID</w:t>
      </w:r>
      <w:r w:rsidRPr="00ED16E3">
        <w:rPr>
          <w:rFonts w:ascii="Times New Roman" w:eastAsia="Times New Roman" w:hAnsi="Times New Roman" w:cs="Times New Roman"/>
          <w:sz w:val="28"/>
          <w:szCs w:val="24"/>
          <w:lang w:eastAsia="en-US"/>
        </w:rPr>
        <w:t xml:space="preserve"> Muitas pārvalde (fiskālā ietekme 2021., 2022. un 2023.gadā +0,07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 xml:space="preserve">) un naudas sodiem, ko uzliek Pārtikas un veterinārais dienests (fiskālā ietekme 2021., 2022. un 2023.gadā +0,03 milj. </w:t>
      </w:r>
      <w:r w:rsidRPr="00ED16E3">
        <w:rPr>
          <w:rFonts w:ascii="Times New Roman" w:eastAsia="Times New Roman" w:hAnsi="Times New Roman" w:cs="Times New Roman"/>
          <w:i/>
          <w:sz w:val="28"/>
          <w:szCs w:val="24"/>
          <w:lang w:eastAsia="en-US"/>
        </w:rPr>
        <w:t>euro</w:t>
      </w:r>
      <w:r w:rsidRPr="00ED16E3">
        <w:rPr>
          <w:rFonts w:ascii="Times New Roman" w:eastAsia="Times New Roman" w:hAnsi="Times New Roman" w:cs="Times New Roman"/>
          <w:sz w:val="28"/>
          <w:szCs w:val="24"/>
          <w:lang w:eastAsia="en-US"/>
        </w:rPr>
        <w:t>).</w:t>
      </w:r>
      <w:r w:rsidRPr="00ED16E3">
        <w:rPr>
          <w:rFonts w:ascii="Times New Roman" w:eastAsia="Times New Roman" w:hAnsi="Times New Roman" w:cs="Times New Roman"/>
          <w:sz w:val="28"/>
          <w:szCs w:val="20"/>
          <w:lang w:eastAsia="en-US"/>
        </w:rPr>
        <w:t xml:space="preserve"> </w:t>
      </w:r>
    </w:p>
    <w:p w14:paraId="5E3D1A26" w14:textId="607DD81D" w:rsidR="00ED16E3" w:rsidRPr="00ED16E3" w:rsidRDefault="00ED16E3" w:rsidP="00ED16E3">
      <w:pPr>
        <w:spacing w:before="240"/>
        <w:ind w:firstLine="720"/>
        <w:jc w:val="center"/>
        <w:rPr>
          <w:rFonts w:ascii="Times New Roman" w:eastAsia="Times New Roman" w:hAnsi="Times New Roman" w:cs="Times New Roman"/>
          <w:b/>
          <w:sz w:val="28"/>
          <w:szCs w:val="24"/>
          <w:lang w:eastAsia="en-US"/>
        </w:rPr>
      </w:pPr>
      <w:r w:rsidRPr="00ED16E3">
        <w:rPr>
          <w:rFonts w:ascii="Times New Roman" w:eastAsia="Times New Roman" w:hAnsi="Times New Roman" w:cs="Times New Roman"/>
          <w:b/>
          <w:sz w:val="28"/>
          <w:szCs w:val="24"/>
          <w:lang w:eastAsia="en-US"/>
        </w:rPr>
        <w:t>Pārējie nenodokļi</w:t>
      </w:r>
    </w:p>
    <w:p w14:paraId="6D72C630" w14:textId="06B82C7A" w:rsidR="00ED16E3" w:rsidRPr="00FB2B77" w:rsidRDefault="00ED16E3" w:rsidP="00FB2B77">
      <w:pPr>
        <w:spacing w:before="240"/>
        <w:ind w:firstLine="720"/>
        <w:jc w:val="both"/>
        <w:rPr>
          <w:rFonts w:ascii="Times New Roman" w:eastAsia="Times New Roman" w:hAnsi="Times New Roman" w:cs="Times New Roman"/>
          <w:sz w:val="28"/>
          <w:szCs w:val="20"/>
          <w:highlight w:val="yellow"/>
          <w:lang w:eastAsia="en-US"/>
        </w:rPr>
      </w:pPr>
      <w:r w:rsidRPr="00ED16E3">
        <w:rPr>
          <w:rFonts w:ascii="Times New Roman" w:eastAsia="Times New Roman" w:hAnsi="Times New Roman" w:cs="Times New Roman"/>
          <w:sz w:val="28"/>
          <w:szCs w:val="24"/>
          <w:lang w:eastAsia="en-US"/>
        </w:rPr>
        <w:t xml:space="preserve"> </w:t>
      </w:r>
      <w:r w:rsidRPr="00ED16E3">
        <w:rPr>
          <w:rFonts w:ascii="Times New Roman" w:eastAsia="Times New Roman" w:hAnsi="Times New Roman" w:cs="Times New Roman"/>
          <w:sz w:val="28"/>
          <w:szCs w:val="20"/>
          <w:lang w:eastAsia="en-US"/>
        </w:rPr>
        <w:t>Pārējie nenodokļi 2021.gadā tiek plānoti 30,0 milj. </w:t>
      </w:r>
      <w:r w:rsidRPr="00ED16E3">
        <w:rPr>
          <w:rFonts w:ascii="Times New Roman" w:eastAsia="Times New Roman" w:hAnsi="Times New Roman" w:cs="Times New Roman"/>
          <w:i/>
          <w:sz w:val="28"/>
          <w:szCs w:val="20"/>
          <w:lang w:eastAsia="en-US"/>
        </w:rPr>
        <w:t xml:space="preserve">euro </w:t>
      </w:r>
      <w:r w:rsidRPr="00ED16E3">
        <w:rPr>
          <w:rFonts w:ascii="Times New Roman" w:eastAsia="Times New Roman" w:hAnsi="Times New Roman" w:cs="Times New Roman"/>
          <w:sz w:val="28"/>
          <w:szCs w:val="20"/>
          <w:lang w:eastAsia="en-US"/>
        </w:rPr>
        <w:t>apmērā, 2022.gadā 29,5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 xml:space="preserve"> un 2023.gadā 29,4 milj. </w:t>
      </w:r>
      <w:r w:rsidRPr="00ED16E3">
        <w:rPr>
          <w:rFonts w:ascii="Times New Roman" w:eastAsia="Times New Roman" w:hAnsi="Times New Roman" w:cs="Times New Roman"/>
          <w:i/>
          <w:sz w:val="28"/>
          <w:szCs w:val="20"/>
          <w:lang w:eastAsia="en-US"/>
        </w:rPr>
        <w:t>euro</w:t>
      </w:r>
      <w:r w:rsidR="00FB2B77">
        <w:rPr>
          <w:rFonts w:ascii="Times New Roman" w:eastAsia="Times New Roman" w:hAnsi="Times New Roman" w:cs="Times New Roman"/>
          <w:sz w:val="28"/>
          <w:szCs w:val="20"/>
          <w:lang w:eastAsia="en-US"/>
        </w:rPr>
        <w:t xml:space="preserve">. Ir </w:t>
      </w:r>
      <w:r w:rsidR="001D00AC">
        <w:rPr>
          <w:rFonts w:ascii="Times New Roman" w:eastAsia="Times New Roman" w:hAnsi="Times New Roman" w:cs="Times New Roman"/>
          <w:sz w:val="28"/>
          <w:szCs w:val="20"/>
          <w:lang w:eastAsia="en-US"/>
        </w:rPr>
        <w:t xml:space="preserve">precizētas prognozes attiecībā uz ieņēmumiem </w:t>
      </w:r>
      <w:r w:rsidRPr="00ED16E3">
        <w:rPr>
          <w:rFonts w:ascii="Times New Roman" w:eastAsia="Times New Roman" w:hAnsi="Times New Roman" w:cs="Times New Roman"/>
          <w:sz w:val="28"/>
          <w:szCs w:val="20"/>
          <w:lang w:eastAsia="en-US"/>
        </w:rPr>
        <w:t xml:space="preserve">no valstij piekritīgās mantas realizācijas pēc citu valsts institūciju pieņemtā lēmuma (fiskālā ietekme 2021., 2022. un 2023.gadā +0,3 milj. </w:t>
      </w:r>
      <w:r w:rsidRPr="00ED16E3">
        <w:rPr>
          <w:rFonts w:ascii="Times New Roman" w:eastAsia="Times New Roman" w:hAnsi="Times New Roman" w:cs="Times New Roman"/>
          <w:i/>
          <w:sz w:val="28"/>
          <w:szCs w:val="20"/>
          <w:lang w:eastAsia="en-US"/>
        </w:rPr>
        <w:t>euro</w:t>
      </w:r>
      <w:r w:rsidR="00FB2B77">
        <w:rPr>
          <w:rFonts w:ascii="Times New Roman" w:eastAsia="Times New Roman" w:hAnsi="Times New Roman" w:cs="Times New Roman"/>
          <w:sz w:val="28"/>
          <w:szCs w:val="20"/>
          <w:lang w:eastAsia="en-US"/>
        </w:rPr>
        <w:t xml:space="preserve">), kā arī </w:t>
      </w:r>
      <w:r w:rsidR="001D00AC">
        <w:rPr>
          <w:rFonts w:ascii="Times New Roman" w:eastAsia="Times New Roman" w:hAnsi="Times New Roman" w:cs="Times New Roman"/>
          <w:sz w:val="28"/>
          <w:szCs w:val="20"/>
          <w:lang w:eastAsia="en-US"/>
        </w:rPr>
        <w:t xml:space="preserve">precizētas prognozes attiecībā uz ieņēmumiem </w:t>
      </w:r>
      <w:r w:rsidRPr="00ED16E3">
        <w:rPr>
          <w:rFonts w:ascii="Times New Roman" w:eastAsia="Times New Roman" w:hAnsi="Times New Roman" w:cs="Times New Roman"/>
          <w:sz w:val="28"/>
          <w:szCs w:val="20"/>
          <w:lang w:eastAsia="en-US"/>
        </w:rPr>
        <w:t xml:space="preserve">nekustamā īpašuma darījumu starpnieka reģistrācijas maksas un ikgadējās nekustamā īpašuma darījumu starpnieka uzraudzības maksas (fiskālā ietekme 2021., 2022. un 2023.gadā +0,06 milj. </w:t>
      </w:r>
      <w:r w:rsidRPr="00ED16E3">
        <w:rPr>
          <w:rFonts w:ascii="Times New Roman" w:eastAsia="Times New Roman" w:hAnsi="Times New Roman" w:cs="Times New Roman"/>
          <w:i/>
          <w:sz w:val="28"/>
          <w:szCs w:val="20"/>
          <w:lang w:eastAsia="en-US"/>
        </w:rPr>
        <w:t>euro</w:t>
      </w:r>
      <w:r w:rsidRPr="00ED16E3">
        <w:rPr>
          <w:rFonts w:ascii="Times New Roman" w:eastAsia="Times New Roman" w:hAnsi="Times New Roman" w:cs="Times New Roman"/>
          <w:sz w:val="28"/>
          <w:szCs w:val="20"/>
          <w:lang w:eastAsia="en-US"/>
        </w:rPr>
        <w:t>).</w:t>
      </w:r>
    </w:p>
    <w:p w14:paraId="672A0AA8" w14:textId="77777777" w:rsidR="00ED16E3" w:rsidRPr="00ED16E3" w:rsidRDefault="00ED16E3" w:rsidP="00ED16E3">
      <w:pPr>
        <w:spacing w:after="120"/>
        <w:jc w:val="both"/>
        <w:rPr>
          <w:rFonts w:ascii="Times New Roman" w:eastAsia="Times New Roman" w:hAnsi="Times New Roman" w:cs="Times New Roman"/>
          <w:sz w:val="24"/>
          <w:szCs w:val="20"/>
          <w:highlight w:val="yellow"/>
          <w:lang w:eastAsia="en-US"/>
        </w:rPr>
      </w:pPr>
    </w:p>
    <w:p w14:paraId="52E7CC89" w14:textId="77777777" w:rsidR="00ED16E3" w:rsidRPr="00ED16E3" w:rsidRDefault="00ED16E3" w:rsidP="00ED16E3">
      <w:pPr>
        <w:spacing w:after="120"/>
        <w:jc w:val="right"/>
        <w:rPr>
          <w:rFonts w:ascii="Times New Roman" w:eastAsia="Times New Roman" w:hAnsi="Times New Roman" w:cs="Times New Roman"/>
          <w:b/>
          <w:i/>
          <w:sz w:val="24"/>
          <w:szCs w:val="20"/>
          <w:lang w:eastAsia="en-US"/>
        </w:rPr>
      </w:pPr>
      <w:r w:rsidRPr="00ED16E3">
        <w:rPr>
          <w:rFonts w:ascii="Times New Roman" w:eastAsia="Times New Roman" w:hAnsi="Times New Roman" w:cs="Times New Roman"/>
          <w:b/>
          <w:i/>
          <w:sz w:val="24"/>
          <w:szCs w:val="20"/>
          <w:lang w:eastAsia="en-US"/>
        </w:rPr>
        <w:t>3.20.tabula. Valsts pamatbudžeta nenodokļu ieņēmumi</w:t>
      </w:r>
    </w:p>
    <w:tbl>
      <w:tblPr>
        <w:tblW w:w="8784" w:type="dxa"/>
        <w:jc w:val="center"/>
        <w:tblLook w:val="04A0" w:firstRow="1" w:lastRow="0" w:firstColumn="1" w:lastColumn="0" w:noHBand="0" w:noVBand="1"/>
      </w:tblPr>
      <w:tblGrid>
        <w:gridCol w:w="4787"/>
        <w:gridCol w:w="975"/>
        <w:gridCol w:w="987"/>
        <w:gridCol w:w="756"/>
        <w:gridCol w:w="1279"/>
      </w:tblGrid>
      <w:tr w:rsidR="00ED16E3" w:rsidRPr="00ED16E3" w14:paraId="4817FF8B" w14:textId="77777777" w:rsidTr="00ED16E3">
        <w:trPr>
          <w:trHeight w:val="144"/>
          <w:tblHeader/>
          <w:jc w:val="center"/>
        </w:trPr>
        <w:tc>
          <w:tcPr>
            <w:tcW w:w="478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19E8720" w14:textId="77777777" w:rsidR="00ED16E3" w:rsidRPr="00ED16E3" w:rsidRDefault="00ED16E3" w:rsidP="00ED16E3">
            <w:pPr>
              <w:jc w:val="center"/>
              <w:rPr>
                <w:rFonts w:ascii="Times New Roman" w:eastAsia="Times New Roman" w:hAnsi="Times New Roman" w:cs="Times New Roman"/>
                <w:color w:val="000000"/>
                <w:sz w:val="20"/>
                <w:szCs w:val="20"/>
                <w:highlight w:val="yellow"/>
              </w:rPr>
            </w:pPr>
          </w:p>
        </w:tc>
        <w:tc>
          <w:tcPr>
            <w:tcW w:w="975"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59B2AAEB" w14:textId="77777777" w:rsidR="00ED16E3" w:rsidRPr="00ED16E3" w:rsidRDefault="00ED16E3" w:rsidP="00ED16E3">
            <w:pPr>
              <w:jc w:val="center"/>
              <w:rPr>
                <w:rFonts w:ascii="Times New Roman" w:eastAsia="Times New Roman" w:hAnsi="Times New Roman" w:cs="Times New Roman"/>
                <w:b/>
                <w:color w:val="000000"/>
                <w:sz w:val="20"/>
                <w:szCs w:val="20"/>
              </w:rPr>
            </w:pPr>
            <w:r w:rsidRPr="00ED16E3">
              <w:rPr>
                <w:rFonts w:ascii="Times New Roman" w:eastAsia="Times New Roman" w:hAnsi="Times New Roman" w:cs="Times New Roman"/>
                <w:b/>
                <w:color w:val="000000"/>
                <w:sz w:val="20"/>
                <w:szCs w:val="20"/>
              </w:rPr>
              <w:t>2020</w:t>
            </w:r>
          </w:p>
        </w:tc>
        <w:tc>
          <w:tcPr>
            <w:tcW w:w="987" w:type="dxa"/>
            <w:tcBorders>
              <w:top w:val="single" w:sz="4" w:space="0" w:color="auto"/>
              <w:left w:val="nil"/>
              <w:bottom w:val="single" w:sz="4" w:space="0" w:color="auto"/>
              <w:right w:val="single" w:sz="4" w:space="0" w:color="000000"/>
            </w:tcBorders>
            <w:shd w:val="clear" w:color="auto" w:fill="DEEAF6" w:themeFill="accent1" w:themeFillTint="33"/>
            <w:vAlign w:val="center"/>
          </w:tcPr>
          <w:p w14:paraId="3653E079" w14:textId="77777777" w:rsidR="00ED16E3" w:rsidRPr="00ED16E3" w:rsidRDefault="00ED16E3" w:rsidP="00ED16E3">
            <w:pPr>
              <w:jc w:val="center"/>
              <w:rPr>
                <w:rFonts w:ascii="Times New Roman" w:eastAsia="Times New Roman" w:hAnsi="Times New Roman" w:cs="Times New Roman"/>
                <w:b/>
                <w:color w:val="000000"/>
                <w:sz w:val="20"/>
                <w:szCs w:val="20"/>
              </w:rPr>
            </w:pPr>
            <w:r w:rsidRPr="00ED16E3">
              <w:rPr>
                <w:rFonts w:ascii="Times New Roman" w:eastAsia="Times New Roman" w:hAnsi="Times New Roman" w:cs="Times New Roman"/>
                <w:b/>
                <w:color w:val="000000"/>
                <w:sz w:val="20"/>
                <w:szCs w:val="20"/>
              </w:rPr>
              <w:t>2021</w:t>
            </w:r>
          </w:p>
        </w:tc>
        <w:tc>
          <w:tcPr>
            <w:tcW w:w="75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AD75966" w14:textId="77777777" w:rsidR="00ED16E3" w:rsidRPr="00ED16E3" w:rsidRDefault="00ED16E3" w:rsidP="00ED16E3">
            <w:pPr>
              <w:jc w:val="center"/>
              <w:rPr>
                <w:rFonts w:ascii="Times New Roman" w:eastAsia="Times New Roman" w:hAnsi="Times New Roman" w:cs="Times New Roman"/>
                <w:b/>
                <w:color w:val="000000"/>
                <w:sz w:val="20"/>
                <w:szCs w:val="20"/>
              </w:rPr>
            </w:pPr>
            <w:r w:rsidRPr="00ED16E3">
              <w:rPr>
                <w:rFonts w:ascii="Times New Roman" w:eastAsia="Times New Roman" w:hAnsi="Times New Roman" w:cs="Times New Roman"/>
                <w:b/>
                <w:color w:val="000000"/>
                <w:sz w:val="20"/>
                <w:szCs w:val="20"/>
              </w:rPr>
              <w:t>2022</w:t>
            </w:r>
          </w:p>
        </w:tc>
        <w:tc>
          <w:tcPr>
            <w:tcW w:w="1279" w:type="dxa"/>
            <w:tcBorders>
              <w:top w:val="single" w:sz="4" w:space="0" w:color="auto"/>
              <w:left w:val="nil"/>
              <w:bottom w:val="single" w:sz="4" w:space="0" w:color="auto"/>
              <w:right w:val="single" w:sz="4" w:space="0" w:color="auto"/>
            </w:tcBorders>
            <w:shd w:val="clear" w:color="auto" w:fill="DEEAF6" w:themeFill="accent1" w:themeFillTint="33"/>
          </w:tcPr>
          <w:p w14:paraId="428D76EB" w14:textId="77777777" w:rsidR="00ED16E3" w:rsidRPr="00ED16E3" w:rsidRDefault="00ED16E3" w:rsidP="00ED16E3">
            <w:pPr>
              <w:jc w:val="center"/>
              <w:rPr>
                <w:rFonts w:ascii="Times New Roman" w:eastAsia="Times New Roman" w:hAnsi="Times New Roman" w:cs="Times New Roman"/>
                <w:b/>
                <w:color w:val="000000"/>
                <w:sz w:val="20"/>
                <w:szCs w:val="20"/>
              </w:rPr>
            </w:pPr>
            <w:r w:rsidRPr="00ED16E3">
              <w:rPr>
                <w:rFonts w:ascii="Times New Roman" w:eastAsia="Times New Roman" w:hAnsi="Times New Roman" w:cs="Times New Roman"/>
                <w:b/>
                <w:color w:val="000000"/>
                <w:sz w:val="20"/>
                <w:szCs w:val="20"/>
              </w:rPr>
              <w:t>2023</w:t>
            </w:r>
          </w:p>
        </w:tc>
      </w:tr>
      <w:tr w:rsidR="00ED16E3" w:rsidRPr="00ED16E3" w14:paraId="6D1BC583" w14:textId="77777777" w:rsidTr="00ED16E3">
        <w:trPr>
          <w:trHeight w:val="136"/>
          <w:jc w:val="center"/>
        </w:trPr>
        <w:tc>
          <w:tcPr>
            <w:tcW w:w="4787" w:type="dxa"/>
            <w:tcBorders>
              <w:top w:val="nil"/>
              <w:left w:val="single" w:sz="4" w:space="0" w:color="auto"/>
              <w:bottom w:val="single" w:sz="4" w:space="0" w:color="auto"/>
              <w:right w:val="single" w:sz="4" w:space="0" w:color="auto"/>
            </w:tcBorders>
            <w:shd w:val="clear" w:color="auto" w:fill="auto"/>
            <w:vAlign w:val="center"/>
            <w:hideMark/>
          </w:tcPr>
          <w:p w14:paraId="5BB36018" w14:textId="24A09DAC" w:rsidR="00ED16E3" w:rsidRPr="00ED16E3" w:rsidRDefault="00ED16E3" w:rsidP="00ED16E3">
            <w:pPr>
              <w:rPr>
                <w:rFonts w:ascii="Times New Roman" w:eastAsia="Times New Roman" w:hAnsi="Times New Roman" w:cs="Times New Roman"/>
                <w:color w:val="000000"/>
                <w:sz w:val="20"/>
                <w:szCs w:val="20"/>
              </w:rPr>
            </w:pPr>
            <w:r w:rsidRPr="00ED16E3">
              <w:rPr>
                <w:rFonts w:ascii="Times New Roman" w:eastAsia="Times New Roman" w:hAnsi="Times New Roman" w:cs="Times New Roman"/>
                <w:b/>
                <w:color w:val="000000"/>
                <w:sz w:val="20"/>
                <w:szCs w:val="20"/>
              </w:rPr>
              <w:t>Nenodokļu ieņēmumi</w:t>
            </w:r>
            <w:r w:rsidRPr="00ED16E3">
              <w:rPr>
                <w:rFonts w:ascii="Times New Roman" w:eastAsia="Times New Roman" w:hAnsi="Times New Roman" w:cs="Times New Roman"/>
                <w:color w:val="000000"/>
                <w:sz w:val="20"/>
                <w:szCs w:val="20"/>
              </w:rPr>
              <w:t xml:space="preserve"> saskaņā </w:t>
            </w:r>
            <w:r>
              <w:rPr>
                <w:rFonts w:ascii="Times New Roman" w:eastAsia="Times New Roman" w:hAnsi="Times New Roman" w:cs="Times New Roman"/>
                <w:color w:val="000000"/>
                <w:sz w:val="20"/>
                <w:szCs w:val="20"/>
              </w:rPr>
              <w:t>VTBIL</w:t>
            </w:r>
            <w:r w:rsidRPr="00ED16E3">
              <w:rPr>
                <w:rFonts w:ascii="Times New Roman" w:eastAsia="Times New Roman" w:hAnsi="Times New Roman" w:cs="Times New Roman"/>
                <w:color w:val="000000"/>
                <w:sz w:val="20"/>
                <w:szCs w:val="20"/>
              </w:rPr>
              <w:t xml:space="preserve"> 2021., 2022. un 2023.</w:t>
            </w:r>
            <w:r w:rsidR="00891B25">
              <w:rPr>
                <w:rFonts w:ascii="Times New Roman" w:eastAsia="Times New Roman" w:hAnsi="Times New Roman" w:cs="Times New Roman"/>
                <w:color w:val="000000"/>
                <w:sz w:val="20"/>
                <w:szCs w:val="20"/>
              </w:rPr>
              <w:t>gadam projektu</w:t>
            </w:r>
            <w:r w:rsidRPr="00ED16E3">
              <w:rPr>
                <w:rFonts w:ascii="Times New Roman" w:eastAsia="Times New Roman" w:hAnsi="Times New Roman" w:cs="Times New Roman"/>
                <w:color w:val="000000"/>
                <w:sz w:val="20"/>
                <w:szCs w:val="20"/>
              </w:rPr>
              <w:t>, milj. </w:t>
            </w:r>
            <w:r w:rsidRPr="00ED16E3">
              <w:rPr>
                <w:rFonts w:ascii="Times New Roman" w:eastAsia="Times New Roman" w:hAnsi="Times New Roman" w:cs="Times New Roman"/>
                <w:i/>
                <w:color w:val="000000"/>
                <w:sz w:val="20"/>
                <w:szCs w:val="20"/>
              </w:rPr>
              <w:t>euro</w:t>
            </w:r>
          </w:p>
        </w:tc>
        <w:tc>
          <w:tcPr>
            <w:tcW w:w="975" w:type="dxa"/>
            <w:tcBorders>
              <w:top w:val="nil"/>
              <w:left w:val="nil"/>
              <w:bottom w:val="single" w:sz="4" w:space="0" w:color="auto"/>
              <w:right w:val="single" w:sz="4" w:space="0" w:color="auto"/>
            </w:tcBorders>
            <w:shd w:val="clear" w:color="auto" w:fill="auto"/>
            <w:noWrap/>
            <w:vAlign w:val="center"/>
          </w:tcPr>
          <w:p w14:paraId="0B7A6871" w14:textId="77777777" w:rsidR="00ED16E3" w:rsidRPr="00ED16E3" w:rsidRDefault="00ED16E3" w:rsidP="00ED16E3">
            <w:pPr>
              <w:jc w:val="center"/>
              <w:rPr>
                <w:rFonts w:ascii="Times New Roman" w:eastAsia="Times New Roman" w:hAnsi="Times New Roman" w:cs="Times New Roman"/>
                <w:b/>
                <w:sz w:val="20"/>
                <w:szCs w:val="20"/>
                <w:lang w:eastAsia="en-US"/>
              </w:rPr>
            </w:pPr>
            <w:r w:rsidRPr="00ED16E3">
              <w:rPr>
                <w:rFonts w:ascii="Times New Roman" w:eastAsia="Times New Roman" w:hAnsi="Times New Roman" w:cs="Times New Roman"/>
                <w:b/>
                <w:sz w:val="20"/>
                <w:szCs w:val="20"/>
                <w:lang w:eastAsia="en-US"/>
              </w:rPr>
              <w:t>546,7*</w:t>
            </w:r>
          </w:p>
        </w:tc>
        <w:tc>
          <w:tcPr>
            <w:tcW w:w="987" w:type="dxa"/>
            <w:tcBorders>
              <w:top w:val="nil"/>
              <w:left w:val="nil"/>
              <w:bottom w:val="single" w:sz="4" w:space="0" w:color="auto"/>
              <w:right w:val="single" w:sz="4" w:space="0" w:color="auto"/>
            </w:tcBorders>
            <w:shd w:val="clear" w:color="auto" w:fill="auto"/>
            <w:noWrap/>
            <w:vAlign w:val="center"/>
          </w:tcPr>
          <w:p w14:paraId="720563DB" w14:textId="77777777" w:rsidR="00ED16E3" w:rsidRPr="00ED16E3" w:rsidRDefault="00ED16E3" w:rsidP="00ED16E3">
            <w:pPr>
              <w:jc w:val="center"/>
              <w:rPr>
                <w:rFonts w:ascii="Times New Roman" w:eastAsia="Times New Roman" w:hAnsi="Times New Roman" w:cs="Times New Roman"/>
                <w:b/>
                <w:sz w:val="20"/>
                <w:szCs w:val="20"/>
                <w:lang w:eastAsia="en-US"/>
              </w:rPr>
            </w:pPr>
            <w:r w:rsidRPr="00ED16E3">
              <w:rPr>
                <w:rFonts w:ascii="Times New Roman" w:eastAsia="Times New Roman" w:hAnsi="Times New Roman" w:cs="Times New Roman"/>
                <w:b/>
                <w:sz w:val="20"/>
                <w:szCs w:val="20"/>
                <w:lang w:eastAsia="en-US"/>
              </w:rPr>
              <w:t>447,9</w:t>
            </w:r>
          </w:p>
        </w:tc>
        <w:tc>
          <w:tcPr>
            <w:tcW w:w="756" w:type="dxa"/>
            <w:tcBorders>
              <w:top w:val="nil"/>
              <w:left w:val="nil"/>
              <w:bottom w:val="single" w:sz="4" w:space="0" w:color="auto"/>
              <w:right w:val="single" w:sz="4" w:space="0" w:color="auto"/>
            </w:tcBorders>
            <w:shd w:val="clear" w:color="auto" w:fill="auto"/>
            <w:noWrap/>
            <w:vAlign w:val="center"/>
          </w:tcPr>
          <w:p w14:paraId="53D4BA39" w14:textId="77777777" w:rsidR="00ED16E3" w:rsidRPr="00ED16E3" w:rsidRDefault="00ED16E3" w:rsidP="00ED16E3">
            <w:pPr>
              <w:jc w:val="center"/>
              <w:rPr>
                <w:rFonts w:ascii="Times New Roman" w:eastAsia="Times New Roman" w:hAnsi="Times New Roman" w:cs="Times New Roman"/>
                <w:b/>
                <w:color w:val="000000"/>
                <w:sz w:val="20"/>
                <w:szCs w:val="20"/>
              </w:rPr>
            </w:pPr>
            <w:r w:rsidRPr="00ED16E3">
              <w:rPr>
                <w:rFonts w:ascii="Times New Roman" w:eastAsia="Times New Roman" w:hAnsi="Times New Roman" w:cs="Times New Roman"/>
                <w:b/>
                <w:color w:val="000000"/>
                <w:sz w:val="20"/>
                <w:szCs w:val="20"/>
              </w:rPr>
              <w:t>415,1</w:t>
            </w:r>
          </w:p>
        </w:tc>
        <w:tc>
          <w:tcPr>
            <w:tcW w:w="1279" w:type="dxa"/>
            <w:tcBorders>
              <w:top w:val="nil"/>
              <w:left w:val="nil"/>
              <w:bottom w:val="single" w:sz="4" w:space="0" w:color="auto"/>
              <w:right w:val="single" w:sz="4" w:space="0" w:color="auto"/>
            </w:tcBorders>
          </w:tcPr>
          <w:p w14:paraId="22F90BAE" w14:textId="77777777" w:rsidR="00ED16E3" w:rsidRPr="00ED16E3" w:rsidRDefault="00ED16E3" w:rsidP="00ED16E3">
            <w:pPr>
              <w:jc w:val="center"/>
              <w:rPr>
                <w:rFonts w:ascii="Times New Roman" w:eastAsia="Times New Roman" w:hAnsi="Times New Roman" w:cs="Times New Roman"/>
                <w:b/>
                <w:color w:val="000000"/>
                <w:sz w:val="20"/>
                <w:szCs w:val="20"/>
              </w:rPr>
            </w:pPr>
          </w:p>
          <w:p w14:paraId="4741C610" w14:textId="77777777" w:rsidR="00ED16E3" w:rsidRPr="00ED16E3" w:rsidRDefault="00ED16E3" w:rsidP="00ED16E3">
            <w:pPr>
              <w:jc w:val="center"/>
              <w:rPr>
                <w:rFonts w:ascii="Times New Roman" w:eastAsia="Times New Roman" w:hAnsi="Times New Roman" w:cs="Times New Roman"/>
                <w:b/>
                <w:color w:val="000000"/>
                <w:sz w:val="20"/>
                <w:szCs w:val="20"/>
              </w:rPr>
            </w:pPr>
            <w:r w:rsidRPr="00ED16E3">
              <w:rPr>
                <w:rFonts w:ascii="Times New Roman" w:eastAsia="Times New Roman" w:hAnsi="Times New Roman" w:cs="Times New Roman"/>
                <w:b/>
                <w:color w:val="000000"/>
                <w:sz w:val="20"/>
                <w:szCs w:val="20"/>
              </w:rPr>
              <w:t>404,9</w:t>
            </w:r>
          </w:p>
          <w:p w14:paraId="415821F7" w14:textId="77777777" w:rsidR="00ED16E3" w:rsidRPr="00ED16E3" w:rsidRDefault="00ED16E3" w:rsidP="00ED16E3">
            <w:pPr>
              <w:jc w:val="center"/>
              <w:rPr>
                <w:rFonts w:ascii="Times New Roman" w:eastAsia="Times New Roman" w:hAnsi="Times New Roman" w:cs="Times New Roman"/>
                <w:b/>
                <w:color w:val="000000"/>
                <w:sz w:val="20"/>
                <w:szCs w:val="20"/>
              </w:rPr>
            </w:pPr>
          </w:p>
        </w:tc>
      </w:tr>
      <w:tr w:rsidR="00ED16E3" w:rsidRPr="00ED16E3" w14:paraId="47D5EC78" w14:textId="77777777" w:rsidTr="00ED16E3">
        <w:trPr>
          <w:trHeight w:val="338"/>
          <w:jc w:val="center"/>
        </w:trPr>
        <w:tc>
          <w:tcPr>
            <w:tcW w:w="4787" w:type="dxa"/>
            <w:tcBorders>
              <w:top w:val="nil"/>
              <w:left w:val="single" w:sz="4" w:space="0" w:color="auto"/>
              <w:bottom w:val="single" w:sz="4" w:space="0" w:color="auto"/>
              <w:right w:val="single" w:sz="4" w:space="0" w:color="auto"/>
            </w:tcBorders>
            <w:shd w:val="clear" w:color="auto" w:fill="auto"/>
            <w:vAlign w:val="center"/>
          </w:tcPr>
          <w:p w14:paraId="5D75290D" w14:textId="562E8823" w:rsidR="00ED16E3" w:rsidRPr="00ED16E3" w:rsidRDefault="00ED16E3" w:rsidP="00891B25">
            <w:pPr>
              <w:rPr>
                <w:rFonts w:ascii="Times New Roman" w:eastAsia="Times New Roman" w:hAnsi="Times New Roman" w:cs="Times New Roman"/>
                <w:i/>
                <w:sz w:val="20"/>
                <w:szCs w:val="20"/>
              </w:rPr>
            </w:pPr>
            <w:r w:rsidRPr="00ED16E3">
              <w:rPr>
                <w:rFonts w:ascii="Times New Roman" w:eastAsia="Times New Roman" w:hAnsi="Times New Roman" w:cs="Times New Roman"/>
                <w:b/>
                <w:color w:val="000000"/>
                <w:sz w:val="20"/>
                <w:szCs w:val="20"/>
              </w:rPr>
              <w:t>Nenodokļu ieņēmumi</w:t>
            </w:r>
            <w:r w:rsidRPr="00ED16E3">
              <w:rPr>
                <w:rFonts w:ascii="Times New Roman" w:eastAsia="Times New Roman" w:hAnsi="Times New Roman" w:cs="Times New Roman"/>
                <w:sz w:val="20"/>
                <w:szCs w:val="20"/>
              </w:rPr>
              <w:t xml:space="preserve"> saskaņā ar </w:t>
            </w:r>
            <w:r w:rsidR="00891B25">
              <w:rPr>
                <w:rFonts w:ascii="Times New Roman" w:eastAsia="Times New Roman" w:hAnsi="Times New Roman" w:cs="Times New Roman"/>
                <w:sz w:val="20"/>
                <w:szCs w:val="20"/>
              </w:rPr>
              <w:t>VTBIL</w:t>
            </w:r>
            <w:r w:rsidRPr="00ED16E3">
              <w:rPr>
                <w:rFonts w:ascii="Times New Roman" w:eastAsia="Times New Roman" w:hAnsi="Times New Roman" w:cs="Times New Roman"/>
                <w:sz w:val="20"/>
                <w:szCs w:val="20"/>
              </w:rPr>
              <w:t xml:space="preserve"> 2020., 2021. un 2022.gadam”</w:t>
            </w:r>
            <w:r w:rsidRPr="00ED16E3">
              <w:rPr>
                <w:rFonts w:ascii="Times New Roman" w:eastAsia="Times New Roman" w:hAnsi="Times New Roman" w:cs="Times New Roman"/>
                <w:color w:val="000000"/>
                <w:sz w:val="20"/>
                <w:szCs w:val="20"/>
              </w:rPr>
              <w:t>, milj. </w:t>
            </w:r>
            <w:r w:rsidRPr="00ED16E3">
              <w:rPr>
                <w:rFonts w:ascii="Times New Roman" w:eastAsia="Times New Roman" w:hAnsi="Times New Roman" w:cs="Times New Roman"/>
                <w:i/>
                <w:color w:val="000000"/>
                <w:sz w:val="20"/>
                <w:szCs w:val="20"/>
              </w:rPr>
              <w:t>euro</w:t>
            </w:r>
          </w:p>
        </w:tc>
        <w:tc>
          <w:tcPr>
            <w:tcW w:w="975" w:type="dxa"/>
            <w:tcBorders>
              <w:top w:val="nil"/>
              <w:left w:val="nil"/>
              <w:bottom w:val="single" w:sz="4" w:space="0" w:color="auto"/>
              <w:right w:val="single" w:sz="4" w:space="0" w:color="auto"/>
            </w:tcBorders>
            <w:shd w:val="clear" w:color="auto" w:fill="auto"/>
            <w:noWrap/>
            <w:vAlign w:val="center"/>
          </w:tcPr>
          <w:p w14:paraId="72B4B84D" w14:textId="77777777" w:rsidR="00ED16E3" w:rsidRPr="00ED16E3" w:rsidRDefault="00ED16E3" w:rsidP="00ED16E3">
            <w:pPr>
              <w:jc w:val="center"/>
              <w:rPr>
                <w:rFonts w:ascii="Times New Roman" w:eastAsia="Times New Roman" w:hAnsi="Times New Roman" w:cs="Times New Roman"/>
                <w:b/>
                <w:sz w:val="20"/>
                <w:szCs w:val="20"/>
                <w:lang w:eastAsia="en-US"/>
              </w:rPr>
            </w:pPr>
            <w:r w:rsidRPr="00ED16E3">
              <w:rPr>
                <w:rFonts w:ascii="Times New Roman" w:eastAsia="Times New Roman" w:hAnsi="Times New Roman" w:cs="Times New Roman"/>
                <w:b/>
                <w:sz w:val="20"/>
                <w:szCs w:val="20"/>
                <w:lang w:eastAsia="en-US"/>
              </w:rPr>
              <w:t>523,0</w:t>
            </w:r>
          </w:p>
        </w:tc>
        <w:tc>
          <w:tcPr>
            <w:tcW w:w="987" w:type="dxa"/>
            <w:tcBorders>
              <w:top w:val="nil"/>
              <w:left w:val="nil"/>
              <w:bottom w:val="single" w:sz="4" w:space="0" w:color="auto"/>
              <w:right w:val="single" w:sz="4" w:space="0" w:color="auto"/>
            </w:tcBorders>
            <w:shd w:val="clear" w:color="auto" w:fill="auto"/>
            <w:noWrap/>
            <w:vAlign w:val="center"/>
          </w:tcPr>
          <w:p w14:paraId="1A0F6759" w14:textId="77777777" w:rsidR="00ED16E3" w:rsidRPr="00ED16E3" w:rsidRDefault="00ED16E3" w:rsidP="00ED16E3">
            <w:pPr>
              <w:jc w:val="center"/>
              <w:rPr>
                <w:rFonts w:ascii="Times New Roman" w:eastAsia="Times New Roman" w:hAnsi="Times New Roman" w:cs="Times New Roman"/>
                <w:b/>
                <w:sz w:val="20"/>
                <w:szCs w:val="20"/>
                <w:lang w:eastAsia="en-US"/>
              </w:rPr>
            </w:pPr>
            <w:r w:rsidRPr="00ED16E3">
              <w:rPr>
                <w:rFonts w:ascii="Times New Roman" w:eastAsia="Times New Roman" w:hAnsi="Times New Roman" w:cs="Times New Roman"/>
                <w:b/>
                <w:sz w:val="20"/>
                <w:szCs w:val="20"/>
                <w:lang w:eastAsia="en-US"/>
              </w:rPr>
              <w:t>334,5</w:t>
            </w:r>
          </w:p>
        </w:tc>
        <w:tc>
          <w:tcPr>
            <w:tcW w:w="756" w:type="dxa"/>
            <w:tcBorders>
              <w:top w:val="nil"/>
              <w:left w:val="nil"/>
              <w:bottom w:val="single" w:sz="4" w:space="0" w:color="auto"/>
              <w:right w:val="single" w:sz="4" w:space="0" w:color="auto"/>
            </w:tcBorders>
            <w:shd w:val="clear" w:color="auto" w:fill="auto"/>
            <w:noWrap/>
            <w:vAlign w:val="center"/>
          </w:tcPr>
          <w:p w14:paraId="5BFC8118" w14:textId="77777777" w:rsidR="00ED16E3" w:rsidRPr="00ED16E3" w:rsidRDefault="00ED16E3" w:rsidP="00ED16E3">
            <w:pPr>
              <w:jc w:val="center"/>
              <w:rPr>
                <w:rFonts w:ascii="Times New Roman" w:eastAsia="Times New Roman" w:hAnsi="Times New Roman" w:cs="Times New Roman"/>
                <w:b/>
                <w:sz w:val="20"/>
                <w:szCs w:val="20"/>
                <w:lang w:eastAsia="en-US"/>
              </w:rPr>
            </w:pPr>
            <w:r w:rsidRPr="00ED16E3">
              <w:rPr>
                <w:rFonts w:ascii="Times New Roman" w:eastAsia="Times New Roman" w:hAnsi="Times New Roman" w:cs="Times New Roman"/>
                <w:b/>
                <w:sz w:val="20"/>
                <w:szCs w:val="20"/>
                <w:lang w:eastAsia="en-US"/>
              </w:rPr>
              <w:t>326,0</w:t>
            </w:r>
          </w:p>
        </w:tc>
        <w:tc>
          <w:tcPr>
            <w:tcW w:w="1279" w:type="dxa"/>
            <w:tcBorders>
              <w:top w:val="nil"/>
              <w:left w:val="nil"/>
              <w:bottom w:val="single" w:sz="4" w:space="0" w:color="auto"/>
              <w:right w:val="single" w:sz="4" w:space="0" w:color="auto"/>
            </w:tcBorders>
            <w:vAlign w:val="center"/>
          </w:tcPr>
          <w:p w14:paraId="00F165AA" w14:textId="77777777" w:rsidR="00ED16E3" w:rsidRPr="00ED16E3" w:rsidRDefault="00ED16E3" w:rsidP="00ED16E3">
            <w:pPr>
              <w:jc w:val="center"/>
              <w:rPr>
                <w:rFonts w:ascii="Times New Roman" w:eastAsia="Times New Roman" w:hAnsi="Times New Roman" w:cs="Times New Roman"/>
                <w:b/>
                <w:sz w:val="20"/>
                <w:szCs w:val="20"/>
                <w:lang w:eastAsia="en-US"/>
              </w:rPr>
            </w:pPr>
            <w:r w:rsidRPr="00ED16E3">
              <w:rPr>
                <w:rFonts w:ascii="Times New Roman" w:eastAsia="Times New Roman" w:hAnsi="Times New Roman" w:cs="Times New Roman"/>
                <w:b/>
                <w:sz w:val="20"/>
                <w:szCs w:val="20"/>
                <w:lang w:eastAsia="en-US"/>
              </w:rPr>
              <w:t>-</w:t>
            </w:r>
          </w:p>
        </w:tc>
      </w:tr>
      <w:tr w:rsidR="00ED16E3" w:rsidRPr="00ED16E3" w14:paraId="77403ACC" w14:textId="77777777" w:rsidTr="00ED16E3">
        <w:trPr>
          <w:trHeight w:val="338"/>
          <w:jc w:val="center"/>
        </w:trPr>
        <w:tc>
          <w:tcPr>
            <w:tcW w:w="4787" w:type="dxa"/>
            <w:tcBorders>
              <w:top w:val="nil"/>
              <w:left w:val="single" w:sz="4" w:space="0" w:color="auto"/>
              <w:bottom w:val="single" w:sz="4" w:space="0" w:color="auto"/>
              <w:right w:val="single" w:sz="4" w:space="0" w:color="auto"/>
            </w:tcBorders>
            <w:shd w:val="clear" w:color="auto" w:fill="auto"/>
            <w:vAlign w:val="center"/>
            <w:hideMark/>
          </w:tcPr>
          <w:p w14:paraId="74DD9CE5" w14:textId="35EC8F47" w:rsidR="00ED16E3" w:rsidRPr="00ED16E3" w:rsidRDefault="00ED16E3" w:rsidP="00891B25">
            <w:pPr>
              <w:rPr>
                <w:rFonts w:ascii="Times New Roman" w:eastAsia="Times New Roman" w:hAnsi="Times New Roman" w:cs="Times New Roman"/>
                <w:i/>
                <w:color w:val="000000"/>
                <w:sz w:val="20"/>
                <w:szCs w:val="20"/>
              </w:rPr>
            </w:pPr>
            <w:r w:rsidRPr="00ED16E3">
              <w:rPr>
                <w:rFonts w:ascii="Times New Roman" w:eastAsia="Times New Roman" w:hAnsi="Times New Roman" w:cs="Times New Roman"/>
                <w:i/>
                <w:color w:val="000000"/>
                <w:sz w:val="20"/>
                <w:szCs w:val="20"/>
              </w:rPr>
              <w:t xml:space="preserve">pieaugums, salīdzinot ar </w:t>
            </w:r>
            <w:r w:rsidR="00891B25">
              <w:rPr>
                <w:rFonts w:ascii="Times New Roman" w:eastAsia="Times New Roman" w:hAnsi="Times New Roman" w:cs="Times New Roman"/>
                <w:i/>
                <w:color w:val="000000"/>
                <w:sz w:val="20"/>
                <w:szCs w:val="20"/>
              </w:rPr>
              <w:t>VTBIL</w:t>
            </w:r>
            <w:r w:rsidRPr="00ED16E3">
              <w:rPr>
                <w:rFonts w:ascii="Times New Roman" w:eastAsia="Times New Roman" w:hAnsi="Times New Roman" w:cs="Times New Roman"/>
                <w:i/>
                <w:color w:val="000000"/>
                <w:sz w:val="20"/>
                <w:szCs w:val="20"/>
              </w:rPr>
              <w:t xml:space="preserve"> 2020., 2021. un 2022.gadam”, </w:t>
            </w:r>
            <w:r w:rsidRPr="00ED16E3">
              <w:rPr>
                <w:rFonts w:ascii="Times New Roman" w:eastAsia="Times New Roman" w:hAnsi="Times New Roman" w:cs="Times New Roman"/>
                <w:color w:val="000000"/>
                <w:sz w:val="20"/>
                <w:szCs w:val="20"/>
              </w:rPr>
              <w:t>milj.</w:t>
            </w:r>
            <w:r w:rsidRPr="00ED16E3">
              <w:rPr>
                <w:rFonts w:ascii="Times New Roman" w:eastAsia="Times New Roman" w:hAnsi="Times New Roman" w:cs="Times New Roman"/>
                <w:i/>
                <w:color w:val="000000"/>
                <w:sz w:val="20"/>
                <w:szCs w:val="20"/>
              </w:rPr>
              <w:t> euro</w:t>
            </w:r>
          </w:p>
        </w:tc>
        <w:tc>
          <w:tcPr>
            <w:tcW w:w="975" w:type="dxa"/>
            <w:tcBorders>
              <w:top w:val="nil"/>
              <w:left w:val="nil"/>
              <w:bottom w:val="single" w:sz="4" w:space="0" w:color="auto"/>
              <w:right w:val="single" w:sz="4" w:space="0" w:color="auto"/>
            </w:tcBorders>
            <w:shd w:val="clear" w:color="auto" w:fill="auto"/>
            <w:noWrap/>
            <w:vAlign w:val="center"/>
          </w:tcPr>
          <w:p w14:paraId="74D8F8AC" w14:textId="77777777" w:rsidR="00ED16E3" w:rsidRPr="00ED16E3" w:rsidRDefault="00ED16E3" w:rsidP="00ED16E3">
            <w:pPr>
              <w:jc w:val="center"/>
              <w:rPr>
                <w:rFonts w:ascii="Times New Roman" w:eastAsia="Times New Roman" w:hAnsi="Times New Roman" w:cs="Times New Roman"/>
                <w:sz w:val="20"/>
                <w:szCs w:val="20"/>
              </w:rPr>
            </w:pPr>
            <w:r w:rsidRPr="00ED16E3">
              <w:rPr>
                <w:rFonts w:ascii="Times New Roman" w:eastAsia="Times New Roman" w:hAnsi="Times New Roman" w:cs="Times New Roman"/>
                <w:sz w:val="20"/>
                <w:szCs w:val="20"/>
              </w:rPr>
              <w:t>+23,8</w:t>
            </w:r>
          </w:p>
        </w:tc>
        <w:tc>
          <w:tcPr>
            <w:tcW w:w="987" w:type="dxa"/>
            <w:tcBorders>
              <w:top w:val="nil"/>
              <w:left w:val="nil"/>
              <w:bottom w:val="single" w:sz="4" w:space="0" w:color="auto"/>
              <w:right w:val="single" w:sz="4" w:space="0" w:color="auto"/>
            </w:tcBorders>
            <w:shd w:val="clear" w:color="auto" w:fill="auto"/>
            <w:noWrap/>
            <w:vAlign w:val="center"/>
          </w:tcPr>
          <w:p w14:paraId="42C8C583" w14:textId="77777777" w:rsidR="00ED16E3" w:rsidRPr="00ED16E3" w:rsidRDefault="00ED16E3" w:rsidP="00ED16E3">
            <w:pPr>
              <w:jc w:val="center"/>
              <w:rPr>
                <w:rFonts w:ascii="Times New Roman" w:eastAsia="Times New Roman" w:hAnsi="Times New Roman" w:cs="Times New Roman"/>
                <w:sz w:val="20"/>
                <w:szCs w:val="20"/>
              </w:rPr>
            </w:pPr>
            <w:r w:rsidRPr="00ED16E3">
              <w:rPr>
                <w:rFonts w:ascii="Times New Roman" w:eastAsia="Times New Roman" w:hAnsi="Times New Roman" w:cs="Times New Roman"/>
                <w:sz w:val="20"/>
                <w:szCs w:val="20"/>
              </w:rPr>
              <w:t>+113,4</w:t>
            </w:r>
          </w:p>
        </w:tc>
        <w:tc>
          <w:tcPr>
            <w:tcW w:w="756" w:type="dxa"/>
            <w:tcBorders>
              <w:top w:val="nil"/>
              <w:left w:val="nil"/>
              <w:bottom w:val="single" w:sz="4" w:space="0" w:color="auto"/>
              <w:right w:val="single" w:sz="4" w:space="0" w:color="auto"/>
            </w:tcBorders>
            <w:shd w:val="clear" w:color="auto" w:fill="auto"/>
            <w:noWrap/>
            <w:vAlign w:val="center"/>
            <w:hideMark/>
          </w:tcPr>
          <w:p w14:paraId="2B4E0324" w14:textId="77777777" w:rsidR="00ED16E3" w:rsidRPr="00ED16E3" w:rsidRDefault="00ED16E3" w:rsidP="00ED16E3">
            <w:pPr>
              <w:jc w:val="center"/>
              <w:rPr>
                <w:rFonts w:ascii="Times New Roman" w:eastAsia="Times New Roman" w:hAnsi="Times New Roman" w:cs="Times New Roman"/>
                <w:sz w:val="20"/>
                <w:szCs w:val="20"/>
              </w:rPr>
            </w:pPr>
            <w:r w:rsidRPr="00ED16E3">
              <w:rPr>
                <w:rFonts w:ascii="Times New Roman" w:eastAsia="Times New Roman" w:hAnsi="Times New Roman" w:cs="Times New Roman"/>
                <w:sz w:val="20"/>
                <w:szCs w:val="20"/>
              </w:rPr>
              <w:t>+89,2</w:t>
            </w:r>
          </w:p>
        </w:tc>
        <w:tc>
          <w:tcPr>
            <w:tcW w:w="1279" w:type="dxa"/>
            <w:tcBorders>
              <w:top w:val="nil"/>
              <w:left w:val="nil"/>
              <w:bottom w:val="single" w:sz="4" w:space="0" w:color="auto"/>
              <w:right w:val="single" w:sz="4" w:space="0" w:color="auto"/>
            </w:tcBorders>
            <w:shd w:val="clear" w:color="auto" w:fill="auto"/>
          </w:tcPr>
          <w:p w14:paraId="6ADB39AB" w14:textId="77777777" w:rsidR="00ED16E3" w:rsidRPr="00ED16E3" w:rsidRDefault="00ED16E3" w:rsidP="00ED16E3">
            <w:pPr>
              <w:jc w:val="center"/>
              <w:rPr>
                <w:rFonts w:ascii="Times New Roman" w:eastAsia="Times New Roman" w:hAnsi="Times New Roman" w:cs="Times New Roman"/>
                <w:sz w:val="20"/>
                <w:szCs w:val="20"/>
              </w:rPr>
            </w:pPr>
            <w:r w:rsidRPr="00ED16E3">
              <w:rPr>
                <w:rFonts w:ascii="Times New Roman" w:eastAsia="Times New Roman" w:hAnsi="Times New Roman" w:cs="Times New Roman"/>
                <w:sz w:val="20"/>
                <w:szCs w:val="20"/>
              </w:rPr>
              <w:t>-</w:t>
            </w:r>
          </w:p>
        </w:tc>
      </w:tr>
      <w:tr w:rsidR="00ED16E3" w:rsidRPr="00ED16E3" w14:paraId="2E2F9828" w14:textId="77777777" w:rsidTr="00ED16E3">
        <w:trPr>
          <w:trHeight w:val="319"/>
          <w:jc w:val="center"/>
        </w:trPr>
        <w:tc>
          <w:tcPr>
            <w:tcW w:w="4787" w:type="dxa"/>
            <w:tcBorders>
              <w:top w:val="nil"/>
              <w:left w:val="single" w:sz="4" w:space="0" w:color="auto"/>
              <w:bottom w:val="single" w:sz="4" w:space="0" w:color="auto"/>
              <w:right w:val="single" w:sz="4" w:space="0" w:color="auto"/>
            </w:tcBorders>
            <w:shd w:val="clear" w:color="auto" w:fill="auto"/>
            <w:vAlign w:val="center"/>
            <w:hideMark/>
          </w:tcPr>
          <w:p w14:paraId="761C90AD" w14:textId="0332FDB8" w:rsidR="00ED16E3" w:rsidRPr="00ED16E3" w:rsidRDefault="00ED16E3" w:rsidP="00891B25">
            <w:pPr>
              <w:rPr>
                <w:rFonts w:ascii="Times New Roman" w:eastAsia="Times New Roman" w:hAnsi="Times New Roman" w:cs="Times New Roman"/>
                <w:i/>
                <w:color w:val="000000"/>
                <w:sz w:val="20"/>
                <w:szCs w:val="20"/>
              </w:rPr>
            </w:pPr>
            <w:r w:rsidRPr="00ED16E3">
              <w:rPr>
                <w:rFonts w:ascii="Times New Roman" w:eastAsia="Times New Roman" w:hAnsi="Times New Roman" w:cs="Times New Roman"/>
                <w:i/>
                <w:color w:val="000000"/>
                <w:sz w:val="20"/>
                <w:szCs w:val="20"/>
              </w:rPr>
              <w:t xml:space="preserve">pieaugums, salīdzinot ar </w:t>
            </w:r>
            <w:r w:rsidR="00891B25">
              <w:rPr>
                <w:rFonts w:ascii="Times New Roman" w:eastAsia="Times New Roman" w:hAnsi="Times New Roman" w:cs="Times New Roman"/>
                <w:i/>
                <w:color w:val="000000"/>
                <w:sz w:val="20"/>
                <w:szCs w:val="20"/>
              </w:rPr>
              <w:t>VTBIL</w:t>
            </w:r>
            <w:r w:rsidRPr="00ED16E3">
              <w:rPr>
                <w:rFonts w:ascii="Times New Roman" w:eastAsia="Times New Roman" w:hAnsi="Times New Roman" w:cs="Times New Roman"/>
                <w:i/>
                <w:color w:val="000000"/>
                <w:sz w:val="20"/>
                <w:szCs w:val="20"/>
              </w:rPr>
              <w:t xml:space="preserve"> 2020., 2021. un 2022.gadam”, %</w:t>
            </w:r>
          </w:p>
        </w:tc>
        <w:tc>
          <w:tcPr>
            <w:tcW w:w="975" w:type="dxa"/>
            <w:tcBorders>
              <w:top w:val="nil"/>
              <w:left w:val="nil"/>
              <w:bottom w:val="single" w:sz="4" w:space="0" w:color="auto"/>
              <w:right w:val="single" w:sz="4" w:space="0" w:color="auto"/>
            </w:tcBorders>
            <w:shd w:val="clear" w:color="auto" w:fill="auto"/>
            <w:noWrap/>
            <w:vAlign w:val="center"/>
          </w:tcPr>
          <w:p w14:paraId="40E744B1" w14:textId="77777777" w:rsidR="00ED16E3" w:rsidRPr="00ED16E3" w:rsidRDefault="00ED16E3" w:rsidP="00ED16E3">
            <w:pPr>
              <w:jc w:val="center"/>
              <w:rPr>
                <w:rFonts w:ascii="Times New Roman" w:eastAsia="Times New Roman" w:hAnsi="Times New Roman" w:cs="Times New Roman"/>
                <w:i/>
                <w:sz w:val="20"/>
                <w:szCs w:val="20"/>
              </w:rPr>
            </w:pPr>
            <w:r w:rsidRPr="00ED16E3">
              <w:rPr>
                <w:rFonts w:ascii="Times New Roman" w:eastAsia="Times New Roman" w:hAnsi="Times New Roman" w:cs="Times New Roman"/>
                <w:i/>
                <w:sz w:val="20"/>
                <w:szCs w:val="20"/>
              </w:rPr>
              <w:t>+4,5</w:t>
            </w:r>
          </w:p>
        </w:tc>
        <w:tc>
          <w:tcPr>
            <w:tcW w:w="987" w:type="dxa"/>
            <w:tcBorders>
              <w:top w:val="nil"/>
              <w:left w:val="nil"/>
              <w:bottom w:val="single" w:sz="4" w:space="0" w:color="auto"/>
              <w:right w:val="single" w:sz="4" w:space="0" w:color="auto"/>
            </w:tcBorders>
            <w:shd w:val="clear" w:color="auto" w:fill="auto"/>
            <w:noWrap/>
            <w:vAlign w:val="center"/>
          </w:tcPr>
          <w:p w14:paraId="03432048" w14:textId="77777777" w:rsidR="00ED16E3" w:rsidRPr="00ED16E3" w:rsidRDefault="00ED16E3" w:rsidP="00ED16E3">
            <w:pPr>
              <w:jc w:val="center"/>
              <w:rPr>
                <w:rFonts w:ascii="Times New Roman" w:eastAsia="Times New Roman" w:hAnsi="Times New Roman" w:cs="Times New Roman"/>
                <w:i/>
                <w:sz w:val="20"/>
                <w:szCs w:val="20"/>
              </w:rPr>
            </w:pPr>
            <w:r w:rsidRPr="00ED16E3">
              <w:rPr>
                <w:rFonts w:ascii="Times New Roman" w:eastAsia="Times New Roman" w:hAnsi="Times New Roman" w:cs="Times New Roman"/>
                <w:i/>
                <w:sz w:val="20"/>
                <w:szCs w:val="20"/>
              </w:rPr>
              <w:t>+33,9</w:t>
            </w:r>
          </w:p>
        </w:tc>
        <w:tc>
          <w:tcPr>
            <w:tcW w:w="756" w:type="dxa"/>
            <w:tcBorders>
              <w:top w:val="nil"/>
              <w:left w:val="nil"/>
              <w:bottom w:val="single" w:sz="4" w:space="0" w:color="auto"/>
              <w:right w:val="single" w:sz="4" w:space="0" w:color="auto"/>
            </w:tcBorders>
            <w:shd w:val="clear" w:color="auto" w:fill="auto"/>
            <w:noWrap/>
            <w:vAlign w:val="center"/>
            <w:hideMark/>
          </w:tcPr>
          <w:p w14:paraId="413A25CD" w14:textId="77777777" w:rsidR="00ED16E3" w:rsidRPr="00ED16E3" w:rsidRDefault="00ED16E3" w:rsidP="00ED16E3">
            <w:pPr>
              <w:jc w:val="center"/>
              <w:rPr>
                <w:rFonts w:ascii="Times New Roman" w:eastAsia="Times New Roman" w:hAnsi="Times New Roman" w:cs="Times New Roman"/>
                <w:sz w:val="20"/>
                <w:szCs w:val="20"/>
              </w:rPr>
            </w:pPr>
            <w:r w:rsidRPr="00ED16E3">
              <w:rPr>
                <w:rFonts w:ascii="Times New Roman" w:eastAsia="Times New Roman" w:hAnsi="Times New Roman" w:cs="Times New Roman"/>
                <w:sz w:val="20"/>
                <w:szCs w:val="20"/>
              </w:rPr>
              <w:t>+27,4</w:t>
            </w:r>
          </w:p>
        </w:tc>
        <w:tc>
          <w:tcPr>
            <w:tcW w:w="1279" w:type="dxa"/>
            <w:tcBorders>
              <w:top w:val="nil"/>
              <w:left w:val="nil"/>
              <w:bottom w:val="single" w:sz="4" w:space="0" w:color="auto"/>
              <w:right w:val="single" w:sz="4" w:space="0" w:color="auto"/>
            </w:tcBorders>
            <w:shd w:val="clear" w:color="auto" w:fill="auto"/>
          </w:tcPr>
          <w:p w14:paraId="6EC8F36D" w14:textId="77777777" w:rsidR="00ED16E3" w:rsidRPr="00ED16E3" w:rsidRDefault="00ED16E3" w:rsidP="00ED16E3">
            <w:pPr>
              <w:jc w:val="center"/>
              <w:rPr>
                <w:rFonts w:ascii="Times New Roman" w:eastAsia="Times New Roman" w:hAnsi="Times New Roman" w:cs="Times New Roman"/>
                <w:sz w:val="20"/>
                <w:szCs w:val="20"/>
              </w:rPr>
            </w:pPr>
            <w:r w:rsidRPr="00ED16E3">
              <w:rPr>
                <w:rFonts w:ascii="Times New Roman" w:eastAsia="Times New Roman" w:hAnsi="Times New Roman" w:cs="Times New Roman"/>
                <w:sz w:val="20"/>
                <w:szCs w:val="20"/>
              </w:rPr>
              <w:t>-</w:t>
            </w:r>
          </w:p>
        </w:tc>
      </w:tr>
      <w:tr w:rsidR="00ED16E3" w:rsidRPr="00ED16E3" w14:paraId="29C0A199" w14:textId="77777777" w:rsidTr="00ED16E3">
        <w:trPr>
          <w:trHeight w:val="169"/>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14:paraId="72ECFE3C" w14:textId="77777777" w:rsidR="00ED16E3" w:rsidRPr="00ED16E3" w:rsidRDefault="00ED16E3" w:rsidP="00ED16E3">
            <w:pPr>
              <w:rPr>
                <w:rFonts w:ascii="Times New Roman" w:eastAsia="Times New Roman" w:hAnsi="Times New Roman" w:cs="Times New Roman"/>
                <w:color w:val="000000"/>
                <w:sz w:val="20"/>
                <w:szCs w:val="20"/>
              </w:rPr>
            </w:pPr>
            <w:r w:rsidRPr="00ED16E3">
              <w:rPr>
                <w:rFonts w:ascii="Times New Roman" w:eastAsia="Times New Roman" w:hAnsi="Times New Roman" w:cs="Times New Roman"/>
                <w:color w:val="000000"/>
                <w:sz w:val="20"/>
                <w:szCs w:val="20"/>
              </w:rPr>
              <w:t>% no IKP</w:t>
            </w:r>
          </w:p>
        </w:tc>
        <w:tc>
          <w:tcPr>
            <w:tcW w:w="975" w:type="dxa"/>
            <w:tcBorders>
              <w:top w:val="nil"/>
              <w:left w:val="nil"/>
              <w:bottom w:val="single" w:sz="4" w:space="0" w:color="auto"/>
              <w:right w:val="single" w:sz="4" w:space="0" w:color="auto"/>
            </w:tcBorders>
            <w:shd w:val="clear" w:color="auto" w:fill="auto"/>
            <w:noWrap/>
          </w:tcPr>
          <w:p w14:paraId="08E23D7C" w14:textId="77777777" w:rsidR="00ED16E3" w:rsidRPr="00ED16E3" w:rsidRDefault="00ED16E3" w:rsidP="00ED16E3">
            <w:pPr>
              <w:jc w:val="center"/>
              <w:rPr>
                <w:rFonts w:ascii="Times New Roman" w:eastAsia="Times New Roman" w:hAnsi="Times New Roman" w:cs="Times New Roman"/>
                <w:i/>
                <w:sz w:val="20"/>
                <w:szCs w:val="20"/>
              </w:rPr>
            </w:pPr>
            <w:r w:rsidRPr="00ED16E3">
              <w:rPr>
                <w:rFonts w:ascii="Times New Roman" w:eastAsia="Times New Roman" w:hAnsi="Times New Roman" w:cs="Times New Roman"/>
                <w:i/>
                <w:sz w:val="20"/>
                <w:szCs w:val="20"/>
              </w:rPr>
              <w:t>1,9</w:t>
            </w:r>
          </w:p>
        </w:tc>
        <w:tc>
          <w:tcPr>
            <w:tcW w:w="987" w:type="dxa"/>
            <w:tcBorders>
              <w:top w:val="nil"/>
              <w:left w:val="nil"/>
              <w:bottom w:val="single" w:sz="4" w:space="0" w:color="auto"/>
              <w:right w:val="single" w:sz="4" w:space="0" w:color="auto"/>
            </w:tcBorders>
            <w:shd w:val="clear" w:color="auto" w:fill="auto"/>
            <w:noWrap/>
          </w:tcPr>
          <w:p w14:paraId="6A5D70EC" w14:textId="77777777" w:rsidR="00ED16E3" w:rsidRPr="00ED16E3" w:rsidRDefault="00ED16E3" w:rsidP="00ED16E3">
            <w:pPr>
              <w:jc w:val="center"/>
              <w:rPr>
                <w:rFonts w:ascii="Times New Roman" w:eastAsia="Times New Roman" w:hAnsi="Times New Roman" w:cs="Times New Roman"/>
                <w:i/>
                <w:sz w:val="20"/>
                <w:szCs w:val="20"/>
              </w:rPr>
            </w:pPr>
            <w:r w:rsidRPr="00ED16E3">
              <w:rPr>
                <w:rFonts w:ascii="Times New Roman" w:eastAsia="Times New Roman" w:hAnsi="Times New Roman" w:cs="Times New Roman"/>
                <w:i/>
                <w:sz w:val="20"/>
                <w:szCs w:val="20"/>
              </w:rPr>
              <w:t>1,5</w:t>
            </w:r>
          </w:p>
        </w:tc>
        <w:tc>
          <w:tcPr>
            <w:tcW w:w="756" w:type="dxa"/>
            <w:tcBorders>
              <w:top w:val="nil"/>
              <w:left w:val="nil"/>
              <w:bottom w:val="single" w:sz="4" w:space="0" w:color="auto"/>
              <w:right w:val="single" w:sz="4" w:space="0" w:color="auto"/>
            </w:tcBorders>
            <w:shd w:val="clear" w:color="auto" w:fill="auto"/>
            <w:noWrap/>
          </w:tcPr>
          <w:p w14:paraId="1DC1F463" w14:textId="77777777" w:rsidR="00ED16E3" w:rsidRPr="00ED16E3" w:rsidRDefault="00ED16E3" w:rsidP="00ED16E3">
            <w:pPr>
              <w:jc w:val="center"/>
              <w:rPr>
                <w:rFonts w:ascii="Times New Roman" w:eastAsia="Times New Roman" w:hAnsi="Times New Roman" w:cs="Times New Roman"/>
                <w:i/>
                <w:sz w:val="20"/>
                <w:szCs w:val="20"/>
              </w:rPr>
            </w:pPr>
            <w:r w:rsidRPr="00ED16E3">
              <w:rPr>
                <w:rFonts w:ascii="Times New Roman" w:eastAsia="Times New Roman" w:hAnsi="Times New Roman" w:cs="Times New Roman"/>
                <w:i/>
                <w:sz w:val="20"/>
                <w:szCs w:val="20"/>
              </w:rPr>
              <w:t>1,3</w:t>
            </w:r>
          </w:p>
        </w:tc>
        <w:tc>
          <w:tcPr>
            <w:tcW w:w="1279" w:type="dxa"/>
            <w:tcBorders>
              <w:top w:val="nil"/>
              <w:left w:val="nil"/>
              <w:bottom w:val="single" w:sz="4" w:space="0" w:color="auto"/>
              <w:right w:val="single" w:sz="4" w:space="0" w:color="auto"/>
            </w:tcBorders>
          </w:tcPr>
          <w:p w14:paraId="34C94DF6" w14:textId="77777777" w:rsidR="00ED16E3" w:rsidRPr="00ED16E3" w:rsidRDefault="00ED16E3" w:rsidP="00ED16E3">
            <w:pPr>
              <w:jc w:val="center"/>
              <w:rPr>
                <w:rFonts w:ascii="Times New Roman" w:eastAsia="Times New Roman" w:hAnsi="Times New Roman" w:cs="Times New Roman"/>
                <w:i/>
                <w:sz w:val="20"/>
                <w:szCs w:val="20"/>
              </w:rPr>
            </w:pPr>
            <w:r w:rsidRPr="00ED16E3">
              <w:rPr>
                <w:rFonts w:ascii="Times New Roman" w:eastAsia="Times New Roman" w:hAnsi="Times New Roman" w:cs="Times New Roman"/>
                <w:i/>
                <w:sz w:val="20"/>
                <w:szCs w:val="20"/>
              </w:rPr>
              <w:t>0,1</w:t>
            </w:r>
          </w:p>
        </w:tc>
      </w:tr>
    </w:tbl>
    <w:p w14:paraId="55696C4A" w14:textId="1AF0EF51" w:rsidR="001C5161" w:rsidRPr="0089579E" w:rsidRDefault="00ED16E3" w:rsidP="0089579E">
      <w:pPr>
        <w:spacing w:after="120"/>
        <w:jc w:val="both"/>
        <w:rPr>
          <w:rFonts w:ascii="Times New Roman" w:eastAsia="Times New Roman" w:hAnsi="Times New Roman" w:cs="Times New Roman"/>
          <w:sz w:val="28"/>
          <w:szCs w:val="20"/>
          <w:lang w:eastAsia="en-US"/>
        </w:rPr>
      </w:pPr>
      <w:r w:rsidRPr="00ED16E3">
        <w:rPr>
          <w:rFonts w:ascii="Times New Roman" w:eastAsia="Times New Roman" w:hAnsi="Times New Roman" w:cs="Times New Roman"/>
          <w:sz w:val="20"/>
          <w:szCs w:val="16"/>
          <w:lang w:eastAsia="en-US"/>
        </w:rPr>
        <w:t xml:space="preserve">         *Prognoze</w:t>
      </w:r>
    </w:p>
    <w:p w14:paraId="486C242E" w14:textId="2E67DDBD" w:rsidR="003F3FCD" w:rsidRPr="001C5161" w:rsidRDefault="000548A5" w:rsidP="00401A5B">
      <w:pPr>
        <w:pStyle w:val="Heading1"/>
        <w:numPr>
          <w:ilvl w:val="0"/>
          <w:numId w:val="0"/>
        </w:numPr>
        <w:spacing w:before="0"/>
        <w:ind w:left="432"/>
        <w:jc w:val="center"/>
        <w:rPr>
          <w:rFonts w:eastAsia="Times New Roman" w:cs="Times New Roman"/>
        </w:rPr>
      </w:pPr>
      <w:bookmarkStart w:id="68" w:name="_Toc53154117"/>
      <w:r w:rsidRPr="001C5161">
        <w:rPr>
          <w:rFonts w:eastAsia="Times New Roman" w:cs="Times New Roman"/>
        </w:rPr>
        <w:t>4. Valdības parāda vidējā termiņa attīstības tendences</w:t>
      </w:r>
      <w:bookmarkEnd w:id="68"/>
    </w:p>
    <w:p w14:paraId="77B4D59E" w14:textId="77777777" w:rsidR="003F3FCD" w:rsidRDefault="003F3FCD" w:rsidP="00401A5B">
      <w:pPr>
        <w:widowControl w:val="0"/>
        <w:ind w:firstLine="720"/>
        <w:jc w:val="both"/>
        <w:rPr>
          <w:rFonts w:ascii="Times New Roman" w:eastAsia="Times New Roman" w:hAnsi="Times New Roman" w:cs="Times New Roman"/>
          <w:sz w:val="24"/>
        </w:rPr>
      </w:pPr>
    </w:p>
    <w:p w14:paraId="48FAFA4B" w14:textId="77777777" w:rsidR="00891B25" w:rsidRPr="00130AF9" w:rsidRDefault="00891B25" w:rsidP="00891B25">
      <w:pPr>
        <w:ind w:firstLine="720"/>
        <w:jc w:val="both"/>
        <w:rPr>
          <w:rFonts w:ascii="Times New Roman" w:eastAsia="Times New Roman" w:hAnsi="Times New Roman" w:cs="Times New Roman"/>
          <w:sz w:val="28"/>
          <w:szCs w:val="28"/>
        </w:rPr>
      </w:pPr>
      <w:r w:rsidRPr="00130AF9">
        <w:rPr>
          <w:rFonts w:ascii="Times New Roman" w:eastAsia="Times New Roman" w:hAnsi="Times New Roman" w:cs="Times New Roman"/>
          <w:sz w:val="28"/>
          <w:szCs w:val="28"/>
        </w:rPr>
        <w:t>Valsts parāda vadības pamatprincipus un uzdevumus vidējam termiņam nosaka Valsts parāda un naudas līdzekļu vadības stratēģija, kuru apstiprina finanšu ministrs. Saskaņā ar Valsts parāda un naudas līdzekļu vadības stratēģiju valsts parāda un naudas līdzekļu vadības mērķis ir savlaicīgi nodrošināt finanšu resursu pieejamību finansēšanas nepieciešamības segšanai ar zemām valsts parāda apkalpošanas izmaksām, ierobežojot finanšu riskus un vienlaikus sekmējot iekšējā finanšu tirgus attīstību. Valsts parāda un budžeta saistību izpildē tiek izmantota stratēģiska pieeja valsts aizņemšanās un parāda vadības procesa nodrošināšanā, saglabājot pēc iespējas lielāku elastību finanšu tirgos veicamo aizņēmumu nosacījumu (aizņemšanās laiks, valūta, apjoms, termiņš) izvēlē. Tas ļauj ierobežot finanšu riskus ilgtermiņā, kā arī nodrošināt kopējās finansēšanas nepieciešamības segšanai nepieciešamos resursus ar pēc iespējas labvēlīgākiem un izdevīgākiem nosacījumiem.</w:t>
      </w:r>
    </w:p>
    <w:p w14:paraId="5F60F49F" w14:textId="74CD08B5" w:rsidR="00891B25" w:rsidRPr="00130AF9" w:rsidRDefault="00891B25" w:rsidP="00891B25">
      <w:pPr>
        <w:ind w:firstLine="720"/>
        <w:jc w:val="both"/>
        <w:rPr>
          <w:rFonts w:ascii="Times New Roman" w:eastAsia="Times New Roman" w:hAnsi="Times New Roman" w:cs="Times New Roman"/>
          <w:sz w:val="28"/>
          <w:szCs w:val="28"/>
        </w:rPr>
      </w:pPr>
      <w:r w:rsidRPr="00130AF9">
        <w:rPr>
          <w:rFonts w:ascii="Times New Roman" w:eastAsia="Times New Roman" w:hAnsi="Times New Roman" w:cs="Times New Roman"/>
          <w:sz w:val="28"/>
          <w:szCs w:val="28"/>
        </w:rPr>
        <w:t xml:space="preserve">Saskaņā ar valsts budžeta deficīta un parāda 2020.gada oktobra notifikācijas datiem, kuri sagatavoti atbilstoši </w:t>
      </w:r>
      <w:r>
        <w:rPr>
          <w:rFonts w:ascii="Times New Roman" w:eastAsia="Times New Roman" w:hAnsi="Times New Roman" w:cs="Times New Roman"/>
          <w:sz w:val="28"/>
          <w:szCs w:val="28"/>
        </w:rPr>
        <w:t>EKS</w:t>
      </w:r>
      <w:r w:rsidRPr="00130AF9">
        <w:rPr>
          <w:rFonts w:ascii="Times New Roman" w:eastAsia="Times New Roman" w:hAnsi="Times New Roman" w:cs="Times New Roman"/>
          <w:sz w:val="28"/>
          <w:szCs w:val="28"/>
        </w:rPr>
        <w:t xml:space="preserve"> metodoloģijai, vispārējās valdības parāds 2019.gada beigās sasniedza 11,2 mljrd. </w:t>
      </w:r>
      <w:r w:rsidRPr="00130AF9">
        <w:rPr>
          <w:rFonts w:ascii="Times New Roman" w:eastAsia="Times New Roman" w:hAnsi="Times New Roman" w:cs="Times New Roman"/>
          <w:i/>
          <w:sz w:val="28"/>
          <w:szCs w:val="28"/>
        </w:rPr>
        <w:t>euro</w:t>
      </w:r>
      <w:r w:rsidRPr="00130AF9">
        <w:rPr>
          <w:rFonts w:ascii="Times New Roman" w:eastAsia="Times New Roman" w:hAnsi="Times New Roman" w:cs="Times New Roman"/>
          <w:sz w:val="28"/>
          <w:szCs w:val="28"/>
        </w:rPr>
        <w:t xml:space="preserve"> jeb 37% no iekšzemes kopprodukta. Vispārējās valdības parāda līmeni galvenokārt ietekmē valsts parāds, kas 2019.gada beigās bija 10,6 mljrd. </w:t>
      </w:r>
      <w:r w:rsidRPr="00130AF9">
        <w:rPr>
          <w:rFonts w:ascii="Times New Roman" w:eastAsia="Times New Roman" w:hAnsi="Times New Roman" w:cs="Times New Roman"/>
          <w:i/>
          <w:sz w:val="28"/>
          <w:szCs w:val="28"/>
        </w:rPr>
        <w:t>euro</w:t>
      </w:r>
      <w:r w:rsidRPr="00130AF9">
        <w:rPr>
          <w:rFonts w:ascii="Times New Roman" w:eastAsia="Times New Roman" w:hAnsi="Times New Roman" w:cs="Times New Roman"/>
          <w:sz w:val="28"/>
          <w:szCs w:val="28"/>
          <w:vertAlign w:val="superscript"/>
        </w:rPr>
        <w:footnoteReference w:id="17"/>
      </w:r>
      <w:r w:rsidRPr="00130AF9">
        <w:rPr>
          <w:rFonts w:ascii="Times New Roman" w:eastAsia="Times New Roman" w:hAnsi="Times New Roman" w:cs="Times New Roman"/>
          <w:i/>
          <w:sz w:val="28"/>
          <w:szCs w:val="28"/>
        </w:rPr>
        <w:t>.</w:t>
      </w:r>
      <w:r w:rsidRPr="00130AF9">
        <w:rPr>
          <w:rFonts w:ascii="Times New Roman" w:eastAsia="Times New Roman" w:hAnsi="Times New Roman" w:cs="Times New Roman"/>
          <w:sz w:val="28"/>
          <w:szCs w:val="28"/>
        </w:rPr>
        <w:t xml:space="preserve"> </w:t>
      </w:r>
    </w:p>
    <w:p w14:paraId="25956EC0" w14:textId="77777777" w:rsidR="00891B25" w:rsidRPr="00364E29" w:rsidRDefault="00891B25" w:rsidP="00891B25">
      <w:pPr>
        <w:ind w:firstLine="720"/>
        <w:jc w:val="both"/>
        <w:rPr>
          <w:rFonts w:ascii="Times New Roman" w:eastAsia="Times New Roman" w:hAnsi="Times New Roman" w:cs="Times New Roman"/>
          <w:sz w:val="28"/>
          <w:szCs w:val="28"/>
        </w:rPr>
      </w:pPr>
      <w:r w:rsidRPr="00364E29">
        <w:rPr>
          <w:rFonts w:ascii="Times New Roman" w:eastAsia="Times New Roman" w:hAnsi="Times New Roman" w:cs="Times New Roman"/>
          <w:sz w:val="28"/>
          <w:szCs w:val="28"/>
        </w:rPr>
        <w:t xml:space="preserve">Covid-19 uzliesmojums izraisīja nepieciešamību 2020.gada martā - jūnijā operatīvi nodrošināt segumu valdības lēmumiem Covid-19 uzliesmojuma ietekmes mazināšanai un ekonomikas atbalstam ārkārtas situācijā, veicot aizņemšanos finanšu tirgos, kā rezultātā </w:t>
      </w:r>
      <w:r w:rsidRPr="00130AF9">
        <w:rPr>
          <w:rFonts w:ascii="Times New Roman" w:eastAsia="Times New Roman" w:hAnsi="Times New Roman" w:cs="Times New Roman"/>
          <w:sz w:val="28"/>
          <w:szCs w:val="28"/>
        </w:rPr>
        <w:t xml:space="preserve">2020.gada augusta beigās valsts parāds salīdzinājumā ar 2019.gada beigām ir pieaudzis par 1,9 mljrd. </w:t>
      </w:r>
      <w:r w:rsidRPr="00130AF9">
        <w:rPr>
          <w:rFonts w:ascii="Times New Roman" w:eastAsia="Times New Roman" w:hAnsi="Times New Roman" w:cs="Times New Roman"/>
          <w:i/>
          <w:sz w:val="28"/>
          <w:szCs w:val="28"/>
        </w:rPr>
        <w:t>euro</w:t>
      </w:r>
      <w:r w:rsidRPr="00130AF9">
        <w:rPr>
          <w:rFonts w:ascii="Times New Roman" w:eastAsia="Times New Roman" w:hAnsi="Times New Roman" w:cs="Times New Roman"/>
          <w:sz w:val="28"/>
          <w:szCs w:val="28"/>
        </w:rPr>
        <w:t xml:space="preserve">, sasniedzot 12,6 mljrd. </w:t>
      </w:r>
      <w:r w:rsidRPr="00130AF9">
        <w:rPr>
          <w:rFonts w:ascii="Times New Roman" w:eastAsia="Times New Roman" w:hAnsi="Times New Roman" w:cs="Times New Roman"/>
          <w:i/>
          <w:sz w:val="28"/>
          <w:szCs w:val="28"/>
        </w:rPr>
        <w:t>euro</w:t>
      </w:r>
      <w:r w:rsidRPr="00130AF9">
        <w:rPr>
          <w:rFonts w:ascii="Times New Roman" w:eastAsia="Times New Roman" w:hAnsi="Times New Roman" w:cs="Times New Roman"/>
          <w:sz w:val="28"/>
          <w:szCs w:val="28"/>
          <w:vertAlign w:val="superscript"/>
        </w:rPr>
        <w:t>1</w:t>
      </w:r>
      <w:r w:rsidRPr="00130AF9">
        <w:rPr>
          <w:rFonts w:ascii="Times New Roman" w:eastAsia="Times New Roman" w:hAnsi="Times New Roman" w:cs="Times New Roman"/>
          <w:i/>
          <w:sz w:val="28"/>
          <w:szCs w:val="28"/>
        </w:rPr>
        <w:t>.</w:t>
      </w:r>
      <w:r w:rsidRPr="00364E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w:t>
      </w:r>
      <w:r w:rsidRPr="00364E29">
        <w:rPr>
          <w:rFonts w:ascii="Times New Roman" w:eastAsia="Times New Roman" w:hAnsi="Times New Roman" w:cs="Times New Roman"/>
          <w:sz w:val="28"/>
          <w:szCs w:val="28"/>
        </w:rPr>
        <w:t>ugstais, investīciju “A” kategorijā esošais, Latvijas valsts kredītreitings veicināja investoru aktivitāti un interesi parāda vērtspapīru emisijas darījumos, taču Covid-19 globālā uzliesmojuma izraisītā finanšu tirgu svārstīguma un nenoteiktības apstākļos pieauga arī valstu (emitentu) kredītriska uzcenojuma līmeņi. Lai mazinātu šādos finanšu tirgus apstākļos veicamās aizņemšanās izmaksu (procentu izdevumu) ietekmi uz valsts budžetu vidējā termiņā, resursi tika piesaistīti uz relatīvi īsiem termiņiem un arī ar iespējami zemākām (tuvu nullei) procentu likmēm, vienlaikus ievērojot valsts parāda portfeļa vadības principus un nepalielinot valsts parāda pārfinansēšanas risku tuvākajos gados.</w:t>
      </w:r>
    </w:p>
    <w:p w14:paraId="70C6804F" w14:textId="7B91A16D" w:rsidR="00891B25" w:rsidRPr="00364E29" w:rsidRDefault="00891B25" w:rsidP="00891B25">
      <w:pPr>
        <w:ind w:firstLine="720"/>
        <w:jc w:val="both"/>
        <w:rPr>
          <w:rFonts w:ascii="Times New Roman" w:eastAsia="Times New Roman" w:hAnsi="Times New Roman" w:cs="Times New Roman"/>
          <w:sz w:val="28"/>
          <w:szCs w:val="28"/>
        </w:rPr>
      </w:pPr>
      <w:r w:rsidRPr="00364E29">
        <w:rPr>
          <w:rFonts w:ascii="Times New Roman" w:eastAsia="Times New Roman" w:hAnsi="Times New Roman" w:cs="Times New Roman"/>
          <w:sz w:val="28"/>
          <w:szCs w:val="28"/>
        </w:rPr>
        <w:t>Starptautiskajos finanšu tirgos piesaistīti resursi 1,550 mljrd.</w:t>
      </w:r>
      <w:r>
        <w:rPr>
          <w:rFonts w:ascii="Times New Roman" w:eastAsia="Times New Roman" w:hAnsi="Times New Roman" w:cs="Times New Roman"/>
          <w:sz w:val="28"/>
          <w:szCs w:val="28"/>
        </w:rPr>
        <w:t xml:space="preserve"> </w:t>
      </w:r>
      <w:r w:rsidRPr="00364E29">
        <w:rPr>
          <w:rFonts w:ascii="Times New Roman" w:eastAsia="Times New Roman" w:hAnsi="Times New Roman" w:cs="Times New Roman"/>
          <w:i/>
          <w:sz w:val="28"/>
          <w:szCs w:val="28"/>
        </w:rPr>
        <w:t>euro</w:t>
      </w:r>
      <w:r w:rsidRPr="00364E29">
        <w:rPr>
          <w:rFonts w:ascii="Times New Roman" w:eastAsia="Times New Roman" w:hAnsi="Times New Roman" w:cs="Times New Roman"/>
          <w:sz w:val="28"/>
          <w:szCs w:val="28"/>
        </w:rPr>
        <w:t xml:space="preserve"> apmērā, veicot papildu emisiju 2026.gadā dzēšamajām eiroobligācijām (550 milj.</w:t>
      </w:r>
      <w:r>
        <w:rPr>
          <w:rFonts w:ascii="Times New Roman" w:eastAsia="Times New Roman" w:hAnsi="Times New Roman" w:cs="Times New Roman"/>
          <w:sz w:val="28"/>
          <w:szCs w:val="28"/>
        </w:rPr>
        <w:t xml:space="preserve"> </w:t>
      </w:r>
      <w:r w:rsidRPr="00364E29">
        <w:rPr>
          <w:rFonts w:ascii="Times New Roman" w:eastAsia="Times New Roman" w:hAnsi="Times New Roman" w:cs="Times New Roman"/>
          <w:i/>
          <w:sz w:val="28"/>
          <w:szCs w:val="28"/>
        </w:rPr>
        <w:t>euro</w:t>
      </w:r>
      <w:r w:rsidRPr="00364E29">
        <w:rPr>
          <w:rFonts w:ascii="Times New Roman" w:eastAsia="Times New Roman" w:hAnsi="Times New Roman" w:cs="Times New Roman"/>
          <w:sz w:val="28"/>
          <w:szCs w:val="28"/>
        </w:rPr>
        <w:t xml:space="preserve">) pie iepriekš fiksētas procentu (kupona) likmes 0,375% gadā (ienesīgums  0,406%) </w:t>
      </w:r>
      <w:r>
        <w:rPr>
          <w:rFonts w:ascii="Times New Roman" w:eastAsia="Times New Roman" w:hAnsi="Times New Roman" w:cs="Times New Roman"/>
          <w:sz w:val="28"/>
          <w:szCs w:val="28"/>
        </w:rPr>
        <w:t>un jaunu trīs gadu eiroobligāciju emisiju viena</w:t>
      </w:r>
      <w:r w:rsidRPr="00364E29">
        <w:rPr>
          <w:rFonts w:ascii="Times New Roman" w:eastAsia="Times New Roman" w:hAnsi="Times New Roman" w:cs="Times New Roman"/>
          <w:sz w:val="28"/>
          <w:szCs w:val="28"/>
        </w:rPr>
        <w:t xml:space="preserve"> mljrd.</w:t>
      </w:r>
      <w:r>
        <w:rPr>
          <w:rFonts w:ascii="Times New Roman" w:eastAsia="Times New Roman" w:hAnsi="Times New Roman" w:cs="Times New Roman"/>
          <w:sz w:val="28"/>
          <w:szCs w:val="28"/>
        </w:rPr>
        <w:t xml:space="preserve"> </w:t>
      </w:r>
      <w:r w:rsidRPr="00364E29">
        <w:rPr>
          <w:rFonts w:ascii="Times New Roman" w:eastAsia="Times New Roman" w:hAnsi="Times New Roman" w:cs="Times New Roman"/>
          <w:i/>
          <w:sz w:val="28"/>
          <w:szCs w:val="28"/>
        </w:rPr>
        <w:t>euro</w:t>
      </w:r>
      <w:r w:rsidRPr="00364E29">
        <w:rPr>
          <w:rFonts w:ascii="Times New Roman" w:eastAsia="Times New Roman" w:hAnsi="Times New Roman" w:cs="Times New Roman"/>
          <w:sz w:val="28"/>
          <w:szCs w:val="28"/>
        </w:rPr>
        <w:t xml:space="preserve"> apmērā ar procentu (kupona) likmi 0,125% gadā (ienesīgums 0,209%). </w:t>
      </w:r>
    </w:p>
    <w:p w14:paraId="0A353842" w14:textId="19DC2820" w:rsidR="00891B25" w:rsidRPr="00364E29" w:rsidRDefault="00891B25" w:rsidP="00891B25">
      <w:pPr>
        <w:ind w:firstLine="720"/>
        <w:jc w:val="both"/>
        <w:rPr>
          <w:rFonts w:ascii="Times New Roman" w:eastAsia="Times New Roman" w:hAnsi="Times New Roman" w:cs="Times New Roman"/>
          <w:sz w:val="28"/>
          <w:szCs w:val="28"/>
        </w:rPr>
      </w:pPr>
      <w:r w:rsidRPr="00364E29">
        <w:rPr>
          <w:rFonts w:ascii="Times New Roman" w:eastAsia="Times New Roman" w:hAnsi="Times New Roman" w:cs="Times New Roman"/>
          <w:sz w:val="28"/>
          <w:szCs w:val="28"/>
        </w:rPr>
        <w:t>Savukārt, iek</w:t>
      </w:r>
      <w:r>
        <w:rPr>
          <w:rFonts w:ascii="Times New Roman" w:eastAsia="Times New Roman" w:hAnsi="Times New Roman" w:cs="Times New Roman"/>
          <w:sz w:val="28"/>
          <w:szCs w:val="28"/>
        </w:rPr>
        <w:t>šējā finanšu tirgū organizētas divu, piecu un septiņu</w:t>
      </w:r>
      <w:r w:rsidRPr="00364E29">
        <w:rPr>
          <w:rFonts w:ascii="Times New Roman" w:eastAsia="Times New Roman" w:hAnsi="Times New Roman" w:cs="Times New Roman"/>
          <w:sz w:val="28"/>
          <w:szCs w:val="28"/>
        </w:rPr>
        <w:t xml:space="preserve"> gadu obligāciju izsoles pie fiksētas kupona likmes 0%</w:t>
      </w:r>
      <w:r>
        <w:rPr>
          <w:rFonts w:ascii="Times New Roman" w:eastAsia="Times New Roman" w:hAnsi="Times New Roman" w:cs="Times New Roman"/>
          <w:sz w:val="28"/>
          <w:szCs w:val="28"/>
        </w:rPr>
        <w:t>, atsevišķās izsolēs sasniedzot negatīvu ienesīgumu</w:t>
      </w:r>
      <w:r w:rsidRPr="00364E29">
        <w:rPr>
          <w:rFonts w:ascii="Times New Roman" w:eastAsia="Times New Roman" w:hAnsi="Times New Roman" w:cs="Times New Roman"/>
          <w:sz w:val="28"/>
          <w:szCs w:val="28"/>
        </w:rPr>
        <w:t xml:space="preserve">. Pēc sākotnēji piesardzīgas tirgus aktivitātes atjaunošanās Covid-19 izplatības sākumā, palielinoties vērtspapīru piedāvājumam, pieprasījums pēc Latvijas valsts iekšējā aizņēmuma vērtspapīriem ievērojami (vairākas reizes) pārsniedza piedāvājumu, līdz ar to joprojām investoru konkurence visās izsolēs nodrošināja resursu piesaisti ar finansiāli izdevīgiem nosacījumiem. Finanšu tirgos būtiski mazinoties nenoteiktībai saistībā ar Covid-19 uzliesmojuma ietekmi, arī veidojoties īpaši labvēlīgai finanšu tirgus situācijai, ko sekmē </w:t>
      </w:r>
      <w:r w:rsidRPr="00891B25">
        <w:rPr>
          <w:rFonts w:ascii="Times New Roman" w:eastAsia="Times New Roman" w:hAnsi="Times New Roman" w:cs="Times New Roman"/>
          <w:i/>
          <w:sz w:val="28"/>
          <w:szCs w:val="28"/>
        </w:rPr>
        <w:t>euro</w:t>
      </w:r>
      <w:r>
        <w:rPr>
          <w:rFonts w:ascii="Times New Roman" w:eastAsia="Times New Roman" w:hAnsi="Times New Roman" w:cs="Times New Roman"/>
          <w:sz w:val="28"/>
          <w:szCs w:val="28"/>
        </w:rPr>
        <w:t xml:space="preserve"> </w:t>
      </w:r>
      <w:r w:rsidRPr="00364E29">
        <w:rPr>
          <w:rFonts w:ascii="Times New Roman" w:eastAsia="Times New Roman" w:hAnsi="Times New Roman" w:cs="Times New Roman"/>
          <w:sz w:val="28"/>
          <w:szCs w:val="28"/>
        </w:rPr>
        <w:t xml:space="preserve">zonas monetārās politikas atbalstošie pasākumi, vidējās svērtās likmes valsts iekšējā aizņēmuma obligāciju sākotnējās izvietošanas pēdējās izsolēs sasniedz arvien jaunus, vēsturiski zemākos līmeņus, ļaujot </w:t>
      </w:r>
      <w:r>
        <w:rPr>
          <w:rFonts w:ascii="Times New Roman" w:eastAsia="Times New Roman" w:hAnsi="Times New Roman" w:cs="Times New Roman"/>
          <w:sz w:val="28"/>
          <w:szCs w:val="28"/>
        </w:rPr>
        <w:t>fiksēt negatīvu ienesīgumu pat septiņu</w:t>
      </w:r>
      <w:r w:rsidRPr="00364E29">
        <w:rPr>
          <w:rFonts w:ascii="Times New Roman" w:eastAsia="Times New Roman" w:hAnsi="Times New Roman" w:cs="Times New Roman"/>
          <w:sz w:val="28"/>
          <w:szCs w:val="28"/>
        </w:rPr>
        <w:t xml:space="preserve"> gadu obligāciju izsolēs.</w:t>
      </w:r>
    </w:p>
    <w:p w14:paraId="36BC02A3" w14:textId="7B7D0DB3" w:rsidR="00891B25" w:rsidRDefault="00891B25" w:rsidP="00891B25">
      <w:pPr>
        <w:ind w:firstLine="720"/>
        <w:jc w:val="both"/>
        <w:rPr>
          <w:rFonts w:ascii="Times New Roman" w:eastAsia="Times New Roman" w:hAnsi="Times New Roman" w:cs="Times New Roman"/>
          <w:sz w:val="28"/>
          <w:szCs w:val="28"/>
        </w:rPr>
      </w:pPr>
      <w:r w:rsidRPr="00364E29">
        <w:rPr>
          <w:rFonts w:ascii="Times New Roman" w:eastAsia="Times New Roman" w:hAnsi="Times New Roman" w:cs="Times New Roman"/>
          <w:sz w:val="28"/>
          <w:szCs w:val="28"/>
        </w:rPr>
        <w:t>Paralēli tiek nodrošinātas arī papildu aizņemšanās iespējas no starptautiska</w:t>
      </w:r>
      <w:r>
        <w:rPr>
          <w:rFonts w:ascii="Times New Roman" w:eastAsia="Times New Roman" w:hAnsi="Times New Roman" w:cs="Times New Roman"/>
          <w:sz w:val="28"/>
          <w:szCs w:val="28"/>
        </w:rPr>
        <w:t>jām finanšu institūcijām. 2020.gada 9.</w:t>
      </w:r>
      <w:r w:rsidRPr="00364E29">
        <w:rPr>
          <w:rFonts w:ascii="Times New Roman" w:eastAsia="Times New Roman" w:hAnsi="Times New Roman" w:cs="Times New Roman"/>
          <w:sz w:val="28"/>
          <w:szCs w:val="28"/>
        </w:rPr>
        <w:t>aprīlī noslēgts aizņēmuma līgums ar Ziemeļu Investīciju banku, kura ietvaros ir iespējams piesaistīt i</w:t>
      </w:r>
      <w:r>
        <w:rPr>
          <w:rFonts w:ascii="Times New Roman" w:eastAsia="Times New Roman" w:hAnsi="Times New Roman" w:cs="Times New Roman"/>
          <w:sz w:val="28"/>
          <w:szCs w:val="28"/>
        </w:rPr>
        <w:t xml:space="preserve">lgtermiņa finansējumu 500 milj. </w:t>
      </w:r>
      <w:r w:rsidRPr="00364E29">
        <w:rPr>
          <w:rFonts w:ascii="Times New Roman" w:eastAsia="Times New Roman" w:hAnsi="Times New Roman" w:cs="Times New Roman"/>
          <w:i/>
          <w:sz w:val="28"/>
          <w:szCs w:val="28"/>
        </w:rPr>
        <w:t>euro</w:t>
      </w:r>
      <w:r w:rsidRPr="00364E29">
        <w:rPr>
          <w:rFonts w:ascii="Times New Roman" w:eastAsia="Times New Roman" w:hAnsi="Times New Roman" w:cs="Times New Roman"/>
          <w:sz w:val="28"/>
          <w:szCs w:val="28"/>
        </w:rPr>
        <w:t xml:space="preserve"> apmērā Covid-19 seku mazināšanas un pārvarēšanas pasākumiem, un kura ietvaros 2020.gada septembrī un oktobrī jau saņemti aizdevuma resursi 250 milj.</w:t>
      </w:r>
      <w:r>
        <w:rPr>
          <w:rFonts w:ascii="Times New Roman" w:eastAsia="Times New Roman" w:hAnsi="Times New Roman" w:cs="Times New Roman"/>
          <w:sz w:val="28"/>
          <w:szCs w:val="28"/>
        </w:rPr>
        <w:t xml:space="preserve"> </w:t>
      </w:r>
      <w:r w:rsidRPr="00364E29">
        <w:rPr>
          <w:rFonts w:ascii="Times New Roman" w:eastAsia="Times New Roman" w:hAnsi="Times New Roman" w:cs="Times New Roman"/>
          <w:i/>
          <w:sz w:val="28"/>
          <w:szCs w:val="28"/>
        </w:rPr>
        <w:t>euro</w:t>
      </w:r>
      <w:r w:rsidRPr="00364E29">
        <w:rPr>
          <w:rFonts w:ascii="Times New Roman" w:eastAsia="Times New Roman" w:hAnsi="Times New Roman" w:cs="Times New Roman"/>
          <w:sz w:val="28"/>
          <w:szCs w:val="28"/>
        </w:rPr>
        <w:t xml:space="preserve"> apmērā. Saglabāta aizņemšanās iespēja no Eiropas Investīciju bankas 400 milj.</w:t>
      </w:r>
      <w:r>
        <w:rPr>
          <w:rFonts w:ascii="Times New Roman" w:eastAsia="Times New Roman" w:hAnsi="Times New Roman" w:cs="Times New Roman"/>
          <w:sz w:val="28"/>
          <w:szCs w:val="28"/>
        </w:rPr>
        <w:t xml:space="preserve"> </w:t>
      </w:r>
      <w:r w:rsidRPr="00364E29">
        <w:rPr>
          <w:rFonts w:ascii="Times New Roman" w:eastAsia="Times New Roman" w:hAnsi="Times New Roman" w:cs="Times New Roman"/>
          <w:i/>
          <w:sz w:val="28"/>
          <w:szCs w:val="28"/>
        </w:rPr>
        <w:t>euro</w:t>
      </w:r>
      <w:r w:rsidRPr="00364E29">
        <w:rPr>
          <w:rFonts w:ascii="Times New Roman" w:eastAsia="Times New Roman" w:hAnsi="Times New Roman" w:cs="Times New Roman"/>
          <w:sz w:val="28"/>
          <w:szCs w:val="28"/>
        </w:rPr>
        <w:t xml:space="preserve"> apmērā noslēgto līgumu ietvaros, kā arī ir apstiprināta aizņemšanās iespēja no Eiropas Padomes attīstības bankas 150 milj.</w:t>
      </w:r>
      <w:r>
        <w:rPr>
          <w:rFonts w:ascii="Times New Roman" w:eastAsia="Times New Roman" w:hAnsi="Times New Roman" w:cs="Times New Roman"/>
          <w:sz w:val="28"/>
          <w:szCs w:val="28"/>
        </w:rPr>
        <w:t xml:space="preserve"> </w:t>
      </w:r>
      <w:r w:rsidRPr="00364E29">
        <w:rPr>
          <w:rFonts w:ascii="Times New Roman" w:eastAsia="Times New Roman" w:hAnsi="Times New Roman" w:cs="Times New Roman"/>
          <w:i/>
          <w:sz w:val="28"/>
          <w:szCs w:val="28"/>
        </w:rPr>
        <w:t>euro</w:t>
      </w:r>
      <w:r w:rsidRPr="00364E29">
        <w:rPr>
          <w:rFonts w:ascii="Times New Roman" w:eastAsia="Times New Roman" w:hAnsi="Times New Roman" w:cs="Times New Roman"/>
          <w:sz w:val="28"/>
          <w:szCs w:val="28"/>
        </w:rPr>
        <w:t xml:space="preserve"> apmērā. Tāpat arī saskaņā ar Padomes 2020.gada 25.septembra īstenošanas lēmumu (ES) Nr.2020/1351, ar ko Latvijas Republikai piešķir pagaidu atbalstu bezdarba risku mazināšanai ārkārtas situācijā pēc Covid-19 uzliesmojuma, Latvijai pieejams </w:t>
      </w:r>
      <w:r w:rsidRPr="00064FFA">
        <w:rPr>
          <w:rFonts w:ascii="Times New Roman" w:eastAsia="Times New Roman" w:hAnsi="Times New Roman" w:cs="Times New Roman"/>
          <w:i/>
          <w:sz w:val="28"/>
          <w:szCs w:val="28"/>
        </w:rPr>
        <w:t>SURE</w:t>
      </w:r>
      <w:r w:rsidRPr="00364E29">
        <w:rPr>
          <w:rFonts w:ascii="Times New Roman" w:eastAsia="Times New Roman" w:hAnsi="Times New Roman" w:cs="Times New Roman"/>
          <w:sz w:val="28"/>
          <w:szCs w:val="28"/>
        </w:rPr>
        <w:t xml:space="preserve"> aizņēmums no </w:t>
      </w:r>
      <w:r>
        <w:rPr>
          <w:rFonts w:ascii="Times New Roman" w:eastAsia="Times New Roman" w:hAnsi="Times New Roman" w:cs="Times New Roman"/>
          <w:sz w:val="28"/>
          <w:szCs w:val="28"/>
        </w:rPr>
        <w:t>EK</w:t>
      </w:r>
      <w:r w:rsidRPr="00364E29">
        <w:rPr>
          <w:rFonts w:ascii="Times New Roman" w:eastAsia="Times New Roman" w:hAnsi="Times New Roman" w:cs="Times New Roman"/>
          <w:sz w:val="28"/>
          <w:szCs w:val="28"/>
        </w:rPr>
        <w:t xml:space="preserve"> 192,7 milj.</w:t>
      </w:r>
      <w:r>
        <w:rPr>
          <w:rFonts w:ascii="Times New Roman" w:eastAsia="Times New Roman" w:hAnsi="Times New Roman" w:cs="Times New Roman"/>
          <w:sz w:val="28"/>
          <w:szCs w:val="28"/>
        </w:rPr>
        <w:t xml:space="preserve"> </w:t>
      </w:r>
      <w:r w:rsidRPr="00364E29">
        <w:rPr>
          <w:rFonts w:ascii="Times New Roman" w:eastAsia="Times New Roman" w:hAnsi="Times New Roman" w:cs="Times New Roman"/>
          <w:i/>
          <w:sz w:val="28"/>
          <w:szCs w:val="28"/>
        </w:rPr>
        <w:t>euro</w:t>
      </w:r>
      <w:r w:rsidRPr="00364E29">
        <w:rPr>
          <w:rFonts w:ascii="Times New Roman" w:eastAsia="Times New Roman" w:hAnsi="Times New Roman" w:cs="Times New Roman"/>
          <w:sz w:val="28"/>
          <w:szCs w:val="28"/>
        </w:rPr>
        <w:t xml:space="preserve"> apmērā.</w:t>
      </w:r>
    </w:p>
    <w:p w14:paraId="08EBCAA6" w14:textId="0688DE6C" w:rsidR="00891B25" w:rsidRDefault="00891B25" w:rsidP="00891B25">
      <w:pPr>
        <w:ind w:firstLine="720"/>
        <w:jc w:val="both"/>
        <w:rPr>
          <w:rFonts w:ascii="Times New Roman" w:eastAsia="Times New Roman" w:hAnsi="Times New Roman" w:cs="Times New Roman"/>
          <w:sz w:val="24"/>
          <w:szCs w:val="24"/>
        </w:rPr>
      </w:pPr>
      <w:r w:rsidRPr="00130AF9">
        <w:rPr>
          <w:rFonts w:ascii="Times New Roman" w:eastAsia="Times New Roman" w:hAnsi="Times New Roman" w:cs="Times New Roman"/>
          <w:sz w:val="28"/>
          <w:szCs w:val="28"/>
        </w:rPr>
        <w:t xml:space="preserve">Ņemot vērā līdz 2020.gada 31.augustam uzņemtās valsts parāda saistības, saskaņā ar valsts parāda atmaksas grafiku 2020.gada septembrī – 2023.gada decembrī jāpārfinansē valsts parāda saistības ~4,2 </w:t>
      </w:r>
      <w:r>
        <w:rPr>
          <w:rFonts w:ascii="Times New Roman" w:eastAsia="Times New Roman" w:hAnsi="Times New Roman" w:cs="Times New Roman"/>
          <w:sz w:val="28"/>
          <w:szCs w:val="28"/>
        </w:rPr>
        <w:t>mljrd.</w:t>
      </w:r>
      <w:r w:rsidRPr="00130AF9">
        <w:rPr>
          <w:rFonts w:ascii="Times New Roman" w:eastAsia="Times New Roman" w:hAnsi="Times New Roman" w:cs="Times New Roman"/>
          <w:i/>
          <w:sz w:val="28"/>
          <w:szCs w:val="28"/>
        </w:rPr>
        <w:t>euro</w:t>
      </w:r>
      <w:r w:rsidRPr="00130AF9">
        <w:rPr>
          <w:rFonts w:ascii="Times New Roman" w:eastAsia="Times New Roman" w:hAnsi="Times New Roman" w:cs="Times New Roman"/>
          <w:sz w:val="28"/>
          <w:szCs w:val="28"/>
        </w:rPr>
        <w:t xml:space="preserve"> apmērā (sk. 1.attēlu). Lielāko daļu no minētajā periodā pārfinansējamā parāda apjoma veido starptautiskajos finanšu tirgos emitētās eiroobligācijas, kurām pienāks dzēšanas termiņš</w:t>
      </w:r>
      <w:r>
        <w:rPr>
          <w:rFonts w:ascii="Times New Roman" w:eastAsia="Times New Roman" w:hAnsi="Times New Roman" w:cs="Times New Roman"/>
          <w:sz w:val="28"/>
          <w:szCs w:val="28"/>
        </w:rPr>
        <w:t xml:space="preserve"> (skat. 4.1.att.).</w:t>
      </w:r>
    </w:p>
    <w:p w14:paraId="07838CFC" w14:textId="77777777" w:rsidR="00891B25" w:rsidRPr="00130AF9" w:rsidRDefault="00891B25" w:rsidP="00891B25">
      <w:pPr>
        <w:ind w:firstLine="720"/>
        <w:jc w:val="both"/>
        <w:rPr>
          <w:rFonts w:ascii="Times New Roman" w:eastAsia="Times New Roman" w:hAnsi="Times New Roman" w:cs="Times New Roman"/>
          <w:sz w:val="28"/>
          <w:szCs w:val="28"/>
        </w:rPr>
      </w:pPr>
    </w:p>
    <w:p w14:paraId="65BDE5B4" w14:textId="77777777" w:rsidR="00891B25" w:rsidRDefault="00891B25" w:rsidP="00891B25">
      <w:pPr>
        <w:rPr>
          <w:rFonts w:ascii="Times New Roman" w:eastAsia="Times New Roman" w:hAnsi="Times New Roman" w:cs="Times New Roman"/>
          <w:b/>
          <w:sz w:val="24"/>
          <w:szCs w:val="24"/>
        </w:rPr>
      </w:pPr>
    </w:p>
    <w:p w14:paraId="412216F6" w14:textId="77777777" w:rsidR="00891B25" w:rsidRPr="00D3403D" w:rsidRDefault="00891B25" w:rsidP="00891B25">
      <w:pPr>
        <w:ind w:hanging="284"/>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7B0B28C" wp14:editId="20BE67B3">
            <wp:extent cx="6030410" cy="1736316"/>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70946" cy="1747988"/>
                    </a:xfrm>
                    <a:prstGeom prst="rect">
                      <a:avLst/>
                    </a:prstGeom>
                    <a:noFill/>
                  </pic:spPr>
                </pic:pic>
              </a:graphicData>
            </a:graphic>
          </wp:inline>
        </w:drawing>
      </w:r>
    </w:p>
    <w:p w14:paraId="53D7BCC6" w14:textId="77777777" w:rsidR="00891B25" w:rsidRPr="00D3403D" w:rsidRDefault="00891B25" w:rsidP="00891B25">
      <w:pPr>
        <w:jc w:val="both"/>
        <w:rPr>
          <w:rFonts w:ascii="Times New Roman" w:eastAsia="Times New Roman" w:hAnsi="Times New Roman" w:cs="Times New Roman"/>
          <w:i/>
          <w:sz w:val="24"/>
          <w:szCs w:val="24"/>
        </w:rPr>
      </w:pPr>
    </w:p>
    <w:p w14:paraId="0BE67D00" w14:textId="77777777" w:rsidR="00891B25" w:rsidRPr="00891B25" w:rsidRDefault="00891B25" w:rsidP="00891B25">
      <w:pPr>
        <w:ind w:left="142" w:hanging="142"/>
        <w:jc w:val="both"/>
        <w:rPr>
          <w:rFonts w:ascii="Times New Roman" w:eastAsia="Times New Roman" w:hAnsi="Times New Roman" w:cs="Times New Roman"/>
          <w:i/>
          <w:sz w:val="20"/>
          <w:szCs w:val="20"/>
        </w:rPr>
      </w:pPr>
      <w:r w:rsidRPr="00891B25">
        <w:rPr>
          <w:rFonts w:ascii="Times New Roman" w:eastAsia="Times New Roman" w:hAnsi="Times New Roman" w:cs="Times New Roman"/>
          <w:i/>
          <w:sz w:val="20"/>
          <w:szCs w:val="20"/>
        </w:rPr>
        <w:t>* nav iekļauti sektori S130130, S130140, S130330, S130340, kā arī pieprasījuma un īstermiņa noguldījumi; aprēķinos izmantoti ECB 28.08.2019. noteiktie valūtu kursi</w:t>
      </w:r>
    </w:p>
    <w:p w14:paraId="24562937" w14:textId="77777777" w:rsidR="00891B25" w:rsidRPr="00891B25" w:rsidRDefault="00891B25" w:rsidP="00891B25">
      <w:pPr>
        <w:ind w:left="142" w:hanging="142"/>
        <w:jc w:val="both"/>
        <w:rPr>
          <w:rFonts w:ascii="Times New Roman" w:eastAsia="Times New Roman" w:hAnsi="Times New Roman" w:cs="Times New Roman"/>
          <w:i/>
          <w:sz w:val="20"/>
          <w:szCs w:val="20"/>
        </w:rPr>
      </w:pPr>
      <w:r w:rsidRPr="00891B25">
        <w:rPr>
          <w:rFonts w:ascii="Times New Roman" w:eastAsia="Times New Roman" w:hAnsi="Times New Roman" w:cs="Times New Roman"/>
          <w:i/>
          <w:sz w:val="20"/>
          <w:szCs w:val="20"/>
        </w:rPr>
        <w:t>** 2009.-2011.gada starptautiskā aizņēmuma programmas ietvaros</w:t>
      </w:r>
    </w:p>
    <w:p w14:paraId="38F269F8" w14:textId="77777777" w:rsidR="00891B25" w:rsidRPr="00891B25" w:rsidRDefault="00891B25" w:rsidP="00891B25">
      <w:pPr>
        <w:rPr>
          <w:rFonts w:ascii="Times New Roman" w:eastAsia="Times New Roman" w:hAnsi="Times New Roman" w:cs="Times New Roman"/>
          <w:i/>
          <w:sz w:val="24"/>
          <w:szCs w:val="24"/>
        </w:rPr>
      </w:pPr>
    </w:p>
    <w:p w14:paraId="33EC8A3D" w14:textId="202EA811" w:rsidR="00891B25" w:rsidRPr="00891B25" w:rsidRDefault="00891B25" w:rsidP="00891B25">
      <w:pPr>
        <w:jc w:val="center"/>
        <w:rPr>
          <w:rFonts w:ascii="Times New Roman" w:eastAsia="Times New Roman" w:hAnsi="Times New Roman" w:cs="Times New Roman"/>
          <w:b/>
          <w:i/>
          <w:sz w:val="24"/>
          <w:szCs w:val="24"/>
        </w:rPr>
      </w:pPr>
      <w:r w:rsidRPr="00891B25">
        <w:rPr>
          <w:rFonts w:ascii="Times New Roman" w:eastAsia="Times New Roman" w:hAnsi="Times New Roman" w:cs="Times New Roman"/>
          <w:b/>
          <w:i/>
          <w:sz w:val="24"/>
          <w:szCs w:val="24"/>
        </w:rPr>
        <w:t xml:space="preserve">4.1.att. Centrālās valdības aizņēmumu atmaksas grafiks </w:t>
      </w:r>
      <w:r w:rsidRPr="00891B25">
        <w:rPr>
          <w:rFonts w:ascii="Times New Roman" w:eastAsia="Times New Roman" w:hAnsi="Times New Roman" w:cs="Times New Roman"/>
          <w:b/>
          <w:i/>
          <w:szCs w:val="20"/>
        </w:rPr>
        <w:t>(līdz 2020.gada 31.augustam uzņemtās saistības, nominālvērtībā)</w:t>
      </w:r>
    </w:p>
    <w:p w14:paraId="148008A0" w14:textId="77777777" w:rsidR="00891B25" w:rsidRPr="00130AF9" w:rsidRDefault="00891B25" w:rsidP="00891B25">
      <w:pPr>
        <w:jc w:val="center"/>
        <w:rPr>
          <w:rFonts w:ascii="Times New Roman" w:eastAsia="Times New Roman" w:hAnsi="Times New Roman" w:cs="Times New Roman"/>
          <w:sz w:val="28"/>
          <w:szCs w:val="24"/>
        </w:rPr>
      </w:pPr>
    </w:p>
    <w:p w14:paraId="003C9EFE" w14:textId="0DD8E1EF" w:rsidR="00891B25" w:rsidRPr="00130AF9" w:rsidRDefault="00891B25" w:rsidP="00891B25">
      <w:pPr>
        <w:ind w:firstLine="720"/>
        <w:jc w:val="both"/>
        <w:rPr>
          <w:rFonts w:ascii="Times New Roman" w:eastAsia="Times New Roman" w:hAnsi="Times New Roman" w:cs="Times New Roman"/>
          <w:sz w:val="28"/>
          <w:szCs w:val="24"/>
        </w:rPr>
      </w:pPr>
      <w:r w:rsidRPr="0030554D">
        <w:rPr>
          <w:rFonts w:ascii="Times New Roman" w:eastAsia="Times New Roman" w:hAnsi="Times New Roman" w:cs="Times New Roman"/>
          <w:sz w:val="28"/>
          <w:szCs w:val="24"/>
        </w:rPr>
        <w:t>Ņemot vērā 2020.gada astoņos mēnešos veiktos aizņemšanās pasākumus, valstij šobrīd jau ir pieejams finansējums Covid-19 uzliesmojuma ietekmes mazināšanai un ekonomikas atbalstam. 2020.gada atlikušajā periodā kopējai finansēšanas nepieciešamības segšanai, t.sk. līdz 2020. gada beigām un 2021. gada sākumā plānoto valsts parāda saistību izpildei, tiks izmantoti Valsts kases kontos pieejamie resursi, kā arī finansiāli izdevīgas aizņemšanās iespējas no starpta</w:t>
      </w:r>
      <w:r>
        <w:rPr>
          <w:rFonts w:ascii="Times New Roman" w:eastAsia="Times New Roman" w:hAnsi="Times New Roman" w:cs="Times New Roman"/>
          <w:sz w:val="28"/>
          <w:szCs w:val="24"/>
        </w:rPr>
        <w:t xml:space="preserve">utiskajām finanšu institūcijām. </w:t>
      </w:r>
      <w:r w:rsidRPr="0030554D">
        <w:rPr>
          <w:rFonts w:ascii="Times New Roman" w:eastAsia="Times New Roman" w:hAnsi="Times New Roman" w:cs="Times New Roman"/>
          <w:sz w:val="28"/>
          <w:szCs w:val="24"/>
        </w:rPr>
        <w:t>Savukārt, vidējā termiņā, līdzīgi kā iepriekšējos gados, aizņemšanos plānots nodrošināt galvenokārt ar publiskām ilgtermiņa etalona eiroobligāciju emisijām, prioritāri izvēloties garākus atmaksas termiņus, lai fiksētu zemas valsts parāda apkalpošanas izmaksas ilgtermiņā, kā arī uzturot pēc iespējas plašākas un elastīgākas finansiāli izdevīgākā aizņemšanās instrumenta izvēles iespējas, lai arī nākamajos gados veiktu valsts budžeta izpildei un parāda pārfinansēšanai nepieciešamo resursu piesaisti ar labvēlīgiem nosacījumiem. Iekšējā finanšu tirgū arī turpmāk plānots uzturēt pieprasījumam atbilstošu vērtspapīru piedāvājumu primāro dīleru sistēmas ietvaros, sekmējot valsts vērtspapīru ti</w:t>
      </w:r>
      <w:r w:rsidR="00934057">
        <w:rPr>
          <w:rFonts w:ascii="Times New Roman" w:eastAsia="Times New Roman" w:hAnsi="Times New Roman" w:cs="Times New Roman"/>
          <w:sz w:val="28"/>
          <w:szCs w:val="24"/>
        </w:rPr>
        <w:t xml:space="preserve">rgus aktivitāti un likviditāti. </w:t>
      </w:r>
      <w:r w:rsidRPr="0030554D">
        <w:rPr>
          <w:rFonts w:ascii="Times New Roman" w:eastAsia="Times New Roman" w:hAnsi="Times New Roman" w:cs="Times New Roman"/>
          <w:sz w:val="28"/>
          <w:szCs w:val="24"/>
        </w:rPr>
        <w:t xml:space="preserve">Papildus vidēja termiņa obligāciju piedāvājumam iekšējā tirgū tiks piedāvātas arī ilgtermiņa obligācijas, </w:t>
      </w:r>
      <w:r>
        <w:rPr>
          <w:rFonts w:ascii="Times New Roman" w:eastAsia="Times New Roman" w:hAnsi="Times New Roman" w:cs="Times New Roman"/>
          <w:sz w:val="28"/>
          <w:szCs w:val="24"/>
        </w:rPr>
        <w:t>kas jau tika aizsākts ar jauno septiņu</w:t>
      </w:r>
      <w:r w:rsidRPr="0030554D">
        <w:rPr>
          <w:rFonts w:ascii="Times New Roman" w:eastAsia="Times New Roman" w:hAnsi="Times New Roman" w:cs="Times New Roman"/>
          <w:sz w:val="28"/>
          <w:szCs w:val="24"/>
        </w:rPr>
        <w:t xml:space="preserve"> gadu obligāciju emisijas programmu.</w:t>
      </w:r>
    </w:p>
    <w:p w14:paraId="30AC1C57" w14:textId="0ED3D52B" w:rsidR="00891B25" w:rsidRPr="00130AF9" w:rsidRDefault="00891B25" w:rsidP="00891B25">
      <w:pPr>
        <w:ind w:firstLine="720"/>
        <w:jc w:val="both"/>
        <w:rPr>
          <w:rFonts w:ascii="Times New Roman" w:eastAsia="Times New Roman" w:hAnsi="Times New Roman" w:cs="Times New Roman"/>
          <w:sz w:val="28"/>
          <w:szCs w:val="24"/>
        </w:rPr>
      </w:pPr>
      <w:r w:rsidRPr="00130AF9">
        <w:rPr>
          <w:rFonts w:ascii="Times New Roman" w:eastAsia="Times New Roman" w:hAnsi="Times New Roman" w:cs="Times New Roman"/>
          <w:sz w:val="28"/>
          <w:szCs w:val="24"/>
        </w:rPr>
        <w:t>Kopš 2017.gada un līdz 2020.gada sākumam bija iezīmējusies vispārējās valdības parāda stabilizēšanās un samazināšanās tendence attiecībā pret iekšzemes kopproduktu. Bet ņemot vērā ievērojamu aizņemšanās apjomu pieaugumu, ko izraisīja Covid-19 uzliesmojuma seku mazināšanai un ekonomikas atbalstam veicamo un plānoto pasākumu finansēšanas nepieciešamība, atbilstoši šī brīža prognozei</w:t>
      </w:r>
      <w:r>
        <w:rPr>
          <w:rFonts w:ascii="Times New Roman" w:eastAsia="Times New Roman" w:hAnsi="Times New Roman" w:cs="Times New Roman"/>
          <w:sz w:val="28"/>
          <w:szCs w:val="24"/>
        </w:rPr>
        <w:t xml:space="preserve"> </w:t>
      </w:r>
      <w:r w:rsidRPr="00130AF9">
        <w:rPr>
          <w:rFonts w:ascii="Times New Roman" w:eastAsia="Times New Roman" w:hAnsi="Times New Roman" w:cs="Times New Roman"/>
          <w:sz w:val="28"/>
          <w:szCs w:val="24"/>
        </w:rPr>
        <w:t>indikatīvi sagaidāms, ka vispārējās valdības parāda līmenis varētu pieaugt līdz 47% no IKP 2020.gadā (sk</w:t>
      </w:r>
      <w:r>
        <w:rPr>
          <w:rFonts w:ascii="Times New Roman" w:eastAsia="Times New Roman" w:hAnsi="Times New Roman" w:cs="Times New Roman"/>
          <w:sz w:val="28"/>
          <w:szCs w:val="24"/>
        </w:rPr>
        <w:t>at</w:t>
      </w:r>
      <w:r w:rsidRPr="00130AF9">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4.</w:t>
      </w:r>
      <w:r w:rsidRPr="00130AF9">
        <w:rPr>
          <w:rFonts w:ascii="Times New Roman" w:eastAsia="Times New Roman" w:hAnsi="Times New Roman" w:cs="Times New Roman"/>
          <w:sz w:val="28"/>
          <w:szCs w:val="24"/>
        </w:rPr>
        <w:t>2.att</w:t>
      </w:r>
      <w:r>
        <w:rPr>
          <w:rFonts w:ascii="Times New Roman" w:eastAsia="Times New Roman" w:hAnsi="Times New Roman" w:cs="Times New Roman"/>
          <w:sz w:val="28"/>
          <w:szCs w:val="24"/>
        </w:rPr>
        <w:t>.</w:t>
      </w:r>
      <w:r w:rsidRPr="00130AF9">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Pēc 2020.</w:t>
      </w:r>
      <w:r w:rsidRPr="00130AF9">
        <w:rPr>
          <w:rFonts w:ascii="Times New Roman" w:eastAsia="Times New Roman" w:hAnsi="Times New Roman" w:cs="Times New Roman"/>
          <w:sz w:val="28"/>
          <w:szCs w:val="24"/>
        </w:rPr>
        <w:t>gada pēdējā ceturksnī</w:t>
      </w:r>
      <w:r>
        <w:rPr>
          <w:rFonts w:ascii="Times New Roman" w:eastAsia="Times New Roman" w:hAnsi="Times New Roman" w:cs="Times New Roman"/>
          <w:sz w:val="28"/>
          <w:szCs w:val="24"/>
        </w:rPr>
        <w:t xml:space="preserve"> un 2021.</w:t>
      </w:r>
      <w:r w:rsidRPr="00130AF9">
        <w:rPr>
          <w:rFonts w:ascii="Times New Roman" w:eastAsia="Times New Roman" w:hAnsi="Times New Roman" w:cs="Times New Roman"/>
          <w:sz w:val="28"/>
          <w:szCs w:val="24"/>
        </w:rPr>
        <w:t xml:space="preserve">gadā plānotās valsts parāda atmaksas, kā arī stabilizējoties situācijai sakarā ar Covid-19 uzliesmojuma ietekmi uz valsts budžeta fiskālajiem radītajiem, sagaidāms, ka vispārējās valdības parāda apjoms sākot ar 2021.gadu nedaudz samazināsies un stabilizēsies attiecībā pret iekšzemes </w:t>
      </w:r>
      <w:r>
        <w:rPr>
          <w:rFonts w:ascii="Times New Roman" w:eastAsia="Times New Roman" w:hAnsi="Times New Roman" w:cs="Times New Roman"/>
          <w:sz w:val="28"/>
          <w:szCs w:val="24"/>
        </w:rPr>
        <w:t>kopproduktu vidējā termiņā (skat</w:t>
      </w:r>
      <w:r w:rsidRPr="00130AF9">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4.2. att.</w:t>
      </w:r>
      <w:r w:rsidRPr="00130AF9">
        <w:rPr>
          <w:rFonts w:ascii="Times New Roman" w:eastAsia="Times New Roman" w:hAnsi="Times New Roman" w:cs="Times New Roman"/>
          <w:sz w:val="28"/>
          <w:szCs w:val="24"/>
        </w:rPr>
        <w:t xml:space="preserve">). Atbilstoši </w:t>
      </w:r>
      <w:r>
        <w:rPr>
          <w:rFonts w:ascii="Times New Roman" w:eastAsia="Times New Roman" w:hAnsi="Times New Roman" w:cs="Times New Roman"/>
          <w:sz w:val="28"/>
          <w:szCs w:val="24"/>
        </w:rPr>
        <w:t>EKS</w:t>
      </w:r>
      <w:r w:rsidRPr="00130AF9">
        <w:rPr>
          <w:rFonts w:ascii="Times New Roman" w:eastAsia="Times New Roman" w:hAnsi="Times New Roman" w:cs="Times New Roman"/>
          <w:sz w:val="28"/>
          <w:szCs w:val="24"/>
        </w:rPr>
        <w:t xml:space="preserve"> metodoloģijai vispārējās valdības institucionālajā sektorā iekļauto uzņēmumu parāda tendenču ietekme uz vispārējās valdības parāda izmaiņām vēsturiski nav bijusi būtiska. Sagaidāms, ka vispārējās valdības institucionālajā sektorā iekļauto uzņēmumu parāda saistību īpatsvars vispārējās valdības parāda kopējā apjomā vidējā termiņā svārstīsies ap 6%. </w:t>
      </w:r>
    </w:p>
    <w:p w14:paraId="55C7F392" w14:textId="77777777" w:rsidR="00891B25" w:rsidRPr="0030554D" w:rsidRDefault="00891B25" w:rsidP="00891B25">
      <w:pPr>
        <w:rPr>
          <w:rFonts w:ascii="Times New Roman" w:eastAsia="Times New Roman" w:hAnsi="Times New Roman" w:cs="Times New Roman"/>
          <w:sz w:val="28"/>
          <w:szCs w:val="24"/>
        </w:rPr>
      </w:pPr>
    </w:p>
    <w:p w14:paraId="72D81894" w14:textId="77777777" w:rsidR="00891B25" w:rsidRPr="00891B25" w:rsidRDefault="00891B25" w:rsidP="00891B25">
      <w:pPr>
        <w:jc w:val="center"/>
        <w:rPr>
          <w:rFonts w:ascii="Times New Roman" w:eastAsia="Times New Roman" w:hAnsi="Times New Roman" w:cs="Times New Roman"/>
          <w:sz w:val="28"/>
          <w:szCs w:val="24"/>
        </w:rPr>
      </w:pPr>
      <w:r w:rsidRPr="00891B25">
        <w:rPr>
          <w:rFonts w:ascii="Times New Roman" w:eastAsia="Times New Roman" w:hAnsi="Times New Roman" w:cs="Times New Roman"/>
          <w:noProof/>
          <w:sz w:val="28"/>
          <w:szCs w:val="24"/>
        </w:rPr>
        <w:drawing>
          <wp:inline distT="0" distB="0" distL="0" distR="0" wp14:anchorId="439CF267" wp14:editId="770C31FB">
            <wp:extent cx="4271655" cy="252328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0849" cy="2528712"/>
                    </a:xfrm>
                    <a:prstGeom prst="rect">
                      <a:avLst/>
                    </a:prstGeom>
                    <a:noFill/>
                  </pic:spPr>
                </pic:pic>
              </a:graphicData>
            </a:graphic>
          </wp:inline>
        </w:drawing>
      </w:r>
    </w:p>
    <w:p w14:paraId="6733DF39" w14:textId="77777777" w:rsidR="00891B25" w:rsidRPr="00891B25" w:rsidRDefault="00891B25" w:rsidP="00891B25">
      <w:pPr>
        <w:spacing w:after="120"/>
        <w:rPr>
          <w:rFonts w:ascii="Times New Roman" w:eastAsia="Times New Roman" w:hAnsi="Times New Roman" w:cs="Times New Roman"/>
          <w:bCs/>
          <w:i/>
          <w:sz w:val="20"/>
          <w:szCs w:val="18"/>
        </w:rPr>
      </w:pPr>
      <w:r w:rsidRPr="00891B25">
        <w:rPr>
          <w:rFonts w:ascii="Times New Roman" w:eastAsia="Times New Roman" w:hAnsi="Times New Roman" w:cs="Times New Roman"/>
          <w:bCs/>
          <w:i/>
          <w:sz w:val="20"/>
          <w:szCs w:val="18"/>
        </w:rPr>
        <w:t>p – prognoze</w:t>
      </w:r>
    </w:p>
    <w:p w14:paraId="24B75045" w14:textId="523993D0" w:rsidR="00891B25" w:rsidRPr="00891B25" w:rsidRDefault="00891B25" w:rsidP="00891B25">
      <w:pPr>
        <w:jc w:val="center"/>
        <w:rPr>
          <w:rFonts w:ascii="Times New Roman" w:eastAsia="Times New Roman" w:hAnsi="Times New Roman" w:cs="Times New Roman"/>
          <w:sz w:val="24"/>
          <w:szCs w:val="24"/>
        </w:rPr>
      </w:pPr>
      <w:r w:rsidRPr="00891B25">
        <w:rPr>
          <w:rFonts w:ascii="Times New Roman" w:eastAsia="Times New Roman" w:hAnsi="Times New Roman" w:cs="Times New Roman"/>
          <w:b/>
          <w:i/>
          <w:sz w:val="24"/>
          <w:szCs w:val="24"/>
        </w:rPr>
        <w:t xml:space="preserve">4.2.att. Vispārējās valdības parāda attīstības tendences (pēc </w:t>
      </w:r>
      <w:r>
        <w:rPr>
          <w:rFonts w:ascii="Times New Roman" w:eastAsia="Times New Roman" w:hAnsi="Times New Roman" w:cs="Times New Roman"/>
          <w:b/>
          <w:i/>
          <w:sz w:val="24"/>
          <w:szCs w:val="24"/>
        </w:rPr>
        <w:t>EKS</w:t>
      </w:r>
      <w:r w:rsidRPr="00891B25">
        <w:rPr>
          <w:rFonts w:ascii="Times New Roman" w:eastAsia="Times New Roman" w:hAnsi="Times New Roman" w:cs="Times New Roman"/>
          <w:b/>
          <w:i/>
          <w:sz w:val="24"/>
          <w:szCs w:val="24"/>
        </w:rPr>
        <w:t xml:space="preserve"> metodoloģijas, % no IKP)</w:t>
      </w:r>
    </w:p>
    <w:p w14:paraId="4C07787B" w14:textId="08C95D84" w:rsidR="00891B25" w:rsidRPr="00D3403D" w:rsidRDefault="00891B25" w:rsidP="00891B25">
      <w:pPr>
        <w:jc w:val="center"/>
        <w:rPr>
          <w:rFonts w:ascii="Times New Roman" w:eastAsia="Times New Roman" w:hAnsi="Times New Roman" w:cs="Times New Roman"/>
          <w:b/>
          <w:i/>
          <w:sz w:val="24"/>
          <w:szCs w:val="24"/>
        </w:rPr>
      </w:pPr>
      <w:r w:rsidRPr="00D3403D">
        <w:rPr>
          <w:rFonts w:ascii="Times New Roman" w:eastAsia="Times New Roman" w:hAnsi="Times New Roman" w:cs="Times New Roman"/>
          <w:b/>
          <w:i/>
          <w:sz w:val="24"/>
          <w:szCs w:val="24"/>
        </w:rPr>
        <w:t xml:space="preserve"> </w:t>
      </w:r>
    </w:p>
    <w:p w14:paraId="6CFA6F28" w14:textId="71A48C21" w:rsidR="00891B25" w:rsidRPr="00130AF9" w:rsidRDefault="00891B25" w:rsidP="000F6C00">
      <w:pPr>
        <w:ind w:firstLine="720"/>
        <w:jc w:val="both"/>
        <w:rPr>
          <w:rFonts w:ascii="Times New Roman" w:eastAsia="Times New Roman" w:hAnsi="Times New Roman" w:cs="Times New Roman"/>
          <w:sz w:val="28"/>
          <w:szCs w:val="24"/>
        </w:rPr>
      </w:pPr>
      <w:r w:rsidRPr="00130AF9">
        <w:rPr>
          <w:rFonts w:ascii="Times New Roman" w:eastAsia="Times New Roman" w:hAnsi="Times New Roman" w:cs="Times New Roman"/>
          <w:sz w:val="28"/>
          <w:szCs w:val="24"/>
        </w:rPr>
        <w:t xml:space="preserve">Neskatoties uz prognozēto parāda pieaugumu 2020.gadā, sagaidāms, ka gan 2020.gadā, gan vidējā termiņā </w:t>
      </w:r>
      <w:r w:rsidR="000F6C00">
        <w:rPr>
          <w:rFonts w:ascii="Times New Roman" w:eastAsia="Times New Roman" w:hAnsi="Times New Roman" w:cs="Times New Roman"/>
          <w:sz w:val="28"/>
          <w:szCs w:val="24"/>
        </w:rPr>
        <w:t>FDL</w:t>
      </w:r>
      <w:r w:rsidRPr="00130AF9">
        <w:rPr>
          <w:rFonts w:ascii="Times New Roman" w:eastAsia="Times New Roman" w:hAnsi="Times New Roman" w:cs="Times New Roman"/>
          <w:sz w:val="28"/>
          <w:szCs w:val="24"/>
        </w:rPr>
        <w:t xml:space="preserve"> noteiktais parāda nosacījums tiks ievērots.</w:t>
      </w:r>
    </w:p>
    <w:p w14:paraId="5E874D63" w14:textId="77777777" w:rsidR="00891B25" w:rsidRPr="003172EE" w:rsidRDefault="00891B25" w:rsidP="00891B25">
      <w:pPr>
        <w:ind w:firstLine="720"/>
        <w:jc w:val="both"/>
        <w:rPr>
          <w:rFonts w:ascii="Times New Roman" w:eastAsia="Times New Roman" w:hAnsi="Times New Roman" w:cs="Times New Roman"/>
          <w:sz w:val="28"/>
          <w:szCs w:val="24"/>
        </w:rPr>
      </w:pPr>
    </w:p>
    <w:p w14:paraId="04D38F6D" w14:textId="77777777" w:rsidR="001C5161" w:rsidRDefault="001C5161" w:rsidP="00401A5B">
      <w:pPr>
        <w:widowControl w:val="0"/>
        <w:ind w:firstLine="720"/>
        <w:jc w:val="both"/>
        <w:rPr>
          <w:rFonts w:ascii="Times New Roman" w:eastAsia="Times New Roman" w:hAnsi="Times New Roman" w:cs="Times New Roman"/>
          <w:sz w:val="24"/>
        </w:rPr>
      </w:pPr>
    </w:p>
    <w:p w14:paraId="4331EF8F" w14:textId="77777777" w:rsidR="001C5161" w:rsidRDefault="001C5161" w:rsidP="00401A5B">
      <w:pPr>
        <w:widowControl w:val="0"/>
        <w:ind w:firstLine="720"/>
        <w:jc w:val="both"/>
        <w:rPr>
          <w:rFonts w:ascii="Times New Roman" w:eastAsia="Times New Roman" w:hAnsi="Times New Roman" w:cs="Times New Roman"/>
          <w:sz w:val="24"/>
        </w:rPr>
      </w:pPr>
    </w:p>
    <w:p w14:paraId="6DC02C2B" w14:textId="77777777" w:rsidR="001C5161" w:rsidRDefault="001C5161" w:rsidP="00401A5B">
      <w:pPr>
        <w:widowControl w:val="0"/>
        <w:ind w:firstLine="720"/>
        <w:jc w:val="both"/>
        <w:rPr>
          <w:rFonts w:ascii="Times New Roman" w:eastAsia="Times New Roman" w:hAnsi="Times New Roman" w:cs="Times New Roman"/>
          <w:sz w:val="24"/>
        </w:rPr>
      </w:pPr>
    </w:p>
    <w:p w14:paraId="006B6B0E" w14:textId="77777777" w:rsidR="001C5161" w:rsidRDefault="001C5161" w:rsidP="00401A5B">
      <w:pPr>
        <w:widowControl w:val="0"/>
        <w:ind w:firstLine="720"/>
        <w:jc w:val="both"/>
        <w:rPr>
          <w:rFonts w:ascii="Times New Roman" w:eastAsia="Times New Roman" w:hAnsi="Times New Roman" w:cs="Times New Roman"/>
          <w:sz w:val="24"/>
        </w:rPr>
      </w:pPr>
    </w:p>
    <w:p w14:paraId="33F6AE43" w14:textId="77777777" w:rsidR="001C5161" w:rsidRDefault="001C5161" w:rsidP="00401A5B">
      <w:pPr>
        <w:widowControl w:val="0"/>
        <w:ind w:firstLine="720"/>
        <w:jc w:val="both"/>
        <w:rPr>
          <w:rFonts w:ascii="Times New Roman" w:eastAsia="Times New Roman" w:hAnsi="Times New Roman" w:cs="Times New Roman"/>
          <w:sz w:val="24"/>
        </w:rPr>
      </w:pPr>
    </w:p>
    <w:p w14:paraId="19880055" w14:textId="77777777" w:rsidR="001C5161" w:rsidRDefault="001C5161" w:rsidP="00401A5B">
      <w:pPr>
        <w:widowControl w:val="0"/>
        <w:ind w:firstLine="720"/>
        <w:jc w:val="both"/>
        <w:rPr>
          <w:rFonts w:ascii="Times New Roman" w:eastAsia="Times New Roman" w:hAnsi="Times New Roman" w:cs="Times New Roman"/>
          <w:sz w:val="24"/>
        </w:rPr>
      </w:pPr>
    </w:p>
    <w:p w14:paraId="11818081" w14:textId="77777777" w:rsidR="001C5161" w:rsidRDefault="001C5161" w:rsidP="00401A5B">
      <w:pPr>
        <w:widowControl w:val="0"/>
        <w:ind w:firstLine="720"/>
        <w:jc w:val="both"/>
        <w:rPr>
          <w:rFonts w:ascii="Times New Roman" w:eastAsia="Times New Roman" w:hAnsi="Times New Roman" w:cs="Times New Roman"/>
          <w:sz w:val="24"/>
        </w:rPr>
      </w:pPr>
    </w:p>
    <w:p w14:paraId="302B98DD" w14:textId="77777777" w:rsidR="001C5161" w:rsidRDefault="001C5161" w:rsidP="00401A5B">
      <w:pPr>
        <w:widowControl w:val="0"/>
        <w:ind w:firstLine="720"/>
        <w:jc w:val="both"/>
        <w:rPr>
          <w:rFonts w:ascii="Times New Roman" w:eastAsia="Times New Roman" w:hAnsi="Times New Roman" w:cs="Times New Roman"/>
          <w:sz w:val="24"/>
        </w:rPr>
      </w:pPr>
    </w:p>
    <w:p w14:paraId="139416C4" w14:textId="77777777" w:rsidR="001C5161" w:rsidRDefault="001C5161" w:rsidP="00401A5B">
      <w:pPr>
        <w:widowControl w:val="0"/>
        <w:ind w:firstLine="720"/>
        <w:jc w:val="both"/>
        <w:rPr>
          <w:rFonts w:ascii="Times New Roman" w:eastAsia="Times New Roman" w:hAnsi="Times New Roman" w:cs="Times New Roman"/>
          <w:sz w:val="24"/>
        </w:rPr>
      </w:pPr>
    </w:p>
    <w:p w14:paraId="333A0913" w14:textId="77777777" w:rsidR="001C5161" w:rsidRDefault="001C5161" w:rsidP="00401A5B">
      <w:pPr>
        <w:widowControl w:val="0"/>
        <w:ind w:firstLine="720"/>
        <w:jc w:val="both"/>
        <w:rPr>
          <w:rFonts w:ascii="Times New Roman" w:eastAsia="Times New Roman" w:hAnsi="Times New Roman" w:cs="Times New Roman"/>
          <w:sz w:val="24"/>
        </w:rPr>
      </w:pPr>
    </w:p>
    <w:p w14:paraId="547AF202" w14:textId="77777777" w:rsidR="001C5161" w:rsidRDefault="001C5161" w:rsidP="00401A5B">
      <w:pPr>
        <w:widowControl w:val="0"/>
        <w:ind w:firstLine="720"/>
        <w:jc w:val="both"/>
        <w:rPr>
          <w:rFonts w:ascii="Times New Roman" w:eastAsia="Times New Roman" w:hAnsi="Times New Roman" w:cs="Times New Roman"/>
          <w:sz w:val="24"/>
        </w:rPr>
      </w:pPr>
    </w:p>
    <w:p w14:paraId="0BA31F98" w14:textId="77777777" w:rsidR="001C5161" w:rsidRDefault="001C5161" w:rsidP="00401A5B">
      <w:pPr>
        <w:widowControl w:val="0"/>
        <w:ind w:firstLine="720"/>
        <w:jc w:val="both"/>
        <w:rPr>
          <w:rFonts w:ascii="Times New Roman" w:eastAsia="Times New Roman" w:hAnsi="Times New Roman" w:cs="Times New Roman"/>
          <w:sz w:val="24"/>
        </w:rPr>
      </w:pPr>
    </w:p>
    <w:p w14:paraId="0BFFB262" w14:textId="77777777" w:rsidR="001C5161" w:rsidRDefault="001C5161" w:rsidP="00401A5B">
      <w:pPr>
        <w:widowControl w:val="0"/>
        <w:ind w:firstLine="720"/>
        <w:jc w:val="both"/>
        <w:rPr>
          <w:rFonts w:ascii="Times New Roman" w:eastAsia="Times New Roman" w:hAnsi="Times New Roman" w:cs="Times New Roman"/>
          <w:sz w:val="24"/>
        </w:rPr>
      </w:pPr>
    </w:p>
    <w:p w14:paraId="6B6B1ADD" w14:textId="77777777" w:rsidR="001C5161" w:rsidRDefault="001C5161" w:rsidP="00401A5B">
      <w:pPr>
        <w:widowControl w:val="0"/>
        <w:ind w:firstLine="720"/>
        <w:jc w:val="both"/>
        <w:rPr>
          <w:rFonts w:ascii="Calibri" w:eastAsia="Calibri" w:hAnsi="Calibri" w:cs="Calibri"/>
        </w:rPr>
      </w:pPr>
    </w:p>
    <w:p w14:paraId="06F27225" w14:textId="77777777" w:rsidR="001C5161" w:rsidRDefault="001C5161" w:rsidP="00401A5B">
      <w:pPr>
        <w:pStyle w:val="Heading1"/>
        <w:numPr>
          <w:ilvl w:val="0"/>
          <w:numId w:val="0"/>
        </w:numPr>
        <w:spacing w:before="0"/>
        <w:jc w:val="center"/>
        <w:rPr>
          <w:rFonts w:eastAsia="Times New Roman" w:cs="Times New Roman"/>
        </w:rPr>
        <w:sectPr w:rsidR="001C5161" w:rsidSect="0060325A">
          <w:headerReference w:type="default" r:id="rId59"/>
          <w:footerReference w:type="default" r:id="rId60"/>
          <w:pgSz w:w="11906" w:h="16838" w:code="9"/>
          <w:pgMar w:top="1418" w:right="1134" w:bottom="1134" w:left="1701" w:header="709" w:footer="709" w:gutter="0"/>
          <w:cols w:space="708"/>
          <w:titlePg/>
          <w:docGrid w:linePitch="360"/>
        </w:sectPr>
      </w:pPr>
    </w:p>
    <w:p w14:paraId="63C7E6F3" w14:textId="77777777" w:rsidR="003C0B3A" w:rsidRDefault="003C0B3A" w:rsidP="00401A5B">
      <w:pPr>
        <w:pStyle w:val="Heading1"/>
        <w:numPr>
          <w:ilvl w:val="0"/>
          <w:numId w:val="0"/>
        </w:numPr>
        <w:spacing w:before="0"/>
        <w:jc w:val="center"/>
        <w:rPr>
          <w:rFonts w:eastAsia="Times New Roman" w:cs="Times New Roman"/>
        </w:rPr>
      </w:pPr>
    </w:p>
    <w:p w14:paraId="656BD920" w14:textId="77777777" w:rsidR="003C0B3A" w:rsidRDefault="003C0B3A" w:rsidP="00401A5B">
      <w:pPr>
        <w:pStyle w:val="Heading1"/>
        <w:numPr>
          <w:ilvl w:val="0"/>
          <w:numId w:val="0"/>
        </w:numPr>
        <w:spacing w:before="0"/>
        <w:jc w:val="center"/>
        <w:rPr>
          <w:rFonts w:eastAsia="Times New Roman" w:cs="Times New Roman"/>
        </w:rPr>
      </w:pPr>
    </w:p>
    <w:p w14:paraId="340B7D82" w14:textId="3C0D84E3" w:rsidR="003C0B3A" w:rsidRDefault="003C0B3A" w:rsidP="00401A5B">
      <w:pPr>
        <w:pStyle w:val="Heading1"/>
        <w:numPr>
          <w:ilvl w:val="0"/>
          <w:numId w:val="0"/>
        </w:numPr>
        <w:spacing w:before="0"/>
        <w:jc w:val="center"/>
        <w:rPr>
          <w:rFonts w:eastAsia="Times New Roman" w:cs="Times New Roman"/>
        </w:rPr>
      </w:pPr>
    </w:p>
    <w:p w14:paraId="6DAFBD2C" w14:textId="25BFA752" w:rsidR="003C0B3A" w:rsidRDefault="003C0B3A" w:rsidP="00401A5B"/>
    <w:p w14:paraId="4482B3E2" w14:textId="1D749EF1" w:rsidR="003C0B3A" w:rsidRDefault="003C0B3A" w:rsidP="00401A5B"/>
    <w:p w14:paraId="1E024A5C" w14:textId="77777777" w:rsidR="003C0B3A" w:rsidRPr="003C0B3A" w:rsidRDefault="003C0B3A" w:rsidP="00401A5B"/>
    <w:p w14:paraId="29F001CE" w14:textId="77777777" w:rsidR="003C0B3A" w:rsidRDefault="003C0B3A" w:rsidP="00401A5B">
      <w:pPr>
        <w:pStyle w:val="Heading1"/>
        <w:numPr>
          <w:ilvl w:val="0"/>
          <w:numId w:val="0"/>
        </w:numPr>
        <w:spacing w:before="0"/>
        <w:jc w:val="center"/>
        <w:rPr>
          <w:rFonts w:eastAsia="Times New Roman" w:cs="Times New Roman"/>
        </w:rPr>
      </w:pPr>
    </w:p>
    <w:p w14:paraId="4B44832D" w14:textId="77777777" w:rsidR="003C0B3A" w:rsidRDefault="003C0B3A" w:rsidP="00401A5B">
      <w:pPr>
        <w:pStyle w:val="Heading1"/>
        <w:numPr>
          <w:ilvl w:val="0"/>
          <w:numId w:val="0"/>
        </w:numPr>
        <w:spacing w:before="0"/>
        <w:jc w:val="center"/>
        <w:rPr>
          <w:rFonts w:eastAsia="Times New Roman" w:cs="Times New Roman"/>
        </w:rPr>
      </w:pPr>
    </w:p>
    <w:p w14:paraId="2DDEC849" w14:textId="77777777" w:rsidR="000F6C00" w:rsidRDefault="000F6C00" w:rsidP="00401A5B">
      <w:pPr>
        <w:pStyle w:val="Heading1"/>
        <w:numPr>
          <w:ilvl w:val="0"/>
          <w:numId w:val="0"/>
        </w:numPr>
        <w:spacing w:before="0"/>
        <w:jc w:val="center"/>
        <w:rPr>
          <w:rFonts w:eastAsia="Times New Roman" w:cs="Times New Roman"/>
        </w:rPr>
      </w:pPr>
    </w:p>
    <w:p w14:paraId="4388087F" w14:textId="77777777" w:rsidR="000F6C00" w:rsidRDefault="000F6C00" w:rsidP="00401A5B">
      <w:pPr>
        <w:pStyle w:val="Heading1"/>
        <w:numPr>
          <w:ilvl w:val="0"/>
          <w:numId w:val="0"/>
        </w:numPr>
        <w:spacing w:before="0"/>
        <w:jc w:val="center"/>
        <w:rPr>
          <w:rFonts w:eastAsia="Times New Roman" w:cs="Times New Roman"/>
        </w:rPr>
      </w:pPr>
    </w:p>
    <w:p w14:paraId="5880E654" w14:textId="77777777" w:rsidR="000F6C00" w:rsidRDefault="000F6C00" w:rsidP="00401A5B">
      <w:pPr>
        <w:pStyle w:val="Heading1"/>
        <w:numPr>
          <w:ilvl w:val="0"/>
          <w:numId w:val="0"/>
        </w:numPr>
        <w:spacing w:before="0"/>
        <w:jc w:val="center"/>
        <w:rPr>
          <w:rFonts w:eastAsia="Times New Roman" w:cs="Times New Roman"/>
        </w:rPr>
      </w:pPr>
    </w:p>
    <w:p w14:paraId="72D1D98E" w14:textId="77777777" w:rsidR="000F6C00" w:rsidRDefault="000F6C00" w:rsidP="00401A5B">
      <w:pPr>
        <w:pStyle w:val="Heading1"/>
        <w:numPr>
          <w:ilvl w:val="0"/>
          <w:numId w:val="0"/>
        </w:numPr>
        <w:spacing w:before="0"/>
        <w:jc w:val="center"/>
        <w:rPr>
          <w:rFonts w:eastAsia="Times New Roman" w:cs="Times New Roman"/>
        </w:rPr>
      </w:pPr>
    </w:p>
    <w:p w14:paraId="2159557F" w14:textId="77777777" w:rsidR="000F6C00" w:rsidRDefault="000F6C00" w:rsidP="00401A5B">
      <w:pPr>
        <w:pStyle w:val="Heading1"/>
        <w:numPr>
          <w:ilvl w:val="0"/>
          <w:numId w:val="0"/>
        </w:numPr>
        <w:spacing w:before="0"/>
        <w:jc w:val="center"/>
        <w:rPr>
          <w:rFonts w:eastAsia="Times New Roman" w:cs="Times New Roman"/>
        </w:rPr>
      </w:pPr>
    </w:p>
    <w:p w14:paraId="1E11B19C" w14:textId="094E7133" w:rsidR="003F3FCD" w:rsidRDefault="000548A5" w:rsidP="00401A5B">
      <w:pPr>
        <w:pStyle w:val="Heading1"/>
        <w:numPr>
          <w:ilvl w:val="0"/>
          <w:numId w:val="0"/>
        </w:numPr>
        <w:spacing w:before="0"/>
        <w:jc w:val="center"/>
        <w:rPr>
          <w:rFonts w:eastAsia="Times New Roman" w:cs="Times New Roman"/>
        </w:rPr>
      </w:pPr>
      <w:bookmarkStart w:id="69" w:name="_Toc53154118"/>
      <w:r w:rsidRPr="001C5161">
        <w:rPr>
          <w:rFonts w:eastAsia="Times New Roman" w:cs="Times New Roman"/>
        </w:rPr>
        <w:t>Pielikumi</w:t>
      </w:r>
      <w:bookmarkEnd w:id="69"/>
    </w:p>
    <w:p w14:paraId="4D3DB797" w14:textId="07D0CDE6" w:rsidR="003C0B3A" w:rsidRDefault="003C0B3A" w:rsidP="00401A5B"/>
    <w:p w14:paraId="70779D36" w14:textId="6D522451" w:rsidR="003C0B3A" w:rsidRDefault="003C0B3A" w:rsidP="00401A5B"/>
    <w:p w14:paraId="03481A8F" w14:textId="55D7A738" w:rsidR="003C0B3A" w:rsidRDefault="003C0B3A" w:rsidP="00401A5B"/>
    <w:p w14:paraId="4D36DFD1" w14:textId="076CFDBA" w:rsidR="003C0B3A" w:rsidRDefault="003C0B3A" w:rsidP="00401A5B"/>
    <w:p w14:paraId="7B4E72FA" w14:textId="3CBA238C" w:rsidR="003C0B3A" w:rsidRDefault="003C0B3A" w:rsidP="00401A5B"/>
    <w:p w14:paraId="4BF28D0C" w14:textId="7678114D" w:rsidR="003C0B3A" w:rsidRDefault="003C0B3A" w:rsidP="00401A5B"/>
    <w:p w14:paraId="773CB2AD" w14:textId="15048E80" w:rsidR="003C0B3A" w:rsidRDefault="003C0B3A" w:rsidP="00401A5B"/>
    <w:p w14:paraId="6ADB7700" w14:textId="7612CA0A" w:rsidR="003C0B3A" w:rsidRDefault="003C0B3A" w:rsidP="00401A5B"/>
    <w:p w14:paraId="49DDD240" w14:textId="290417E9" w:rsidR="003C0B3A" w:rsidRDefault="003C0B3A" w:rsidP="00401A5B"/>
    <w:p w14:paraId="52DDC934" w14:textId="5AD5CFE9" w:rsidR="003C0B3A" w:rsidRDefault="003C0B3A" w:rsidP="00401A5B"/>
    <w:p w14:paraId="57961322" w14:textId="77777777" w:rsidR="003347CE" w:rsidRDefault="003347CE" w:rsidP="00401A5B"/>
    <w:p w14:paraId="664D520E" w14:textId="77777777" w:rsidR="003347CE" w:rsidRPr="003C0B3A" w:rsidRDefault="003347CE" w:rsidP="00401A5B"/>
    <w:p w14:paraId="027CE37A" w14:textId="0E21E1B5" w:rsidR="003C0B3A" w:rsidRPr="003C0B3A" w:rsidRDefault="003C0B3A" w:rsidP="00401A5B">
      <w:pPr>
        <w:widowControl w:val="0"/>
        <w:jc w:val="right"/>
        <w:rPr>
          <w:rFonts w:ascii="Times New Roman" w:eastAsia="Times New Roman" w:hAnsi="Times New Roman" w:cs="Times New Roman"/>
          <w:color w:val="000000"/>
          <w:sz w:val="28"/>
          <w:szCs w:val="28"/>
        </w:rPr>
      </w:pPr>
      <w:r w:rsidRPr="003C0B3A">
        <w:rPr>
          <w:rFonts w:ascii="Times New Roman" w:eastAsia="Times New Roman" w:hAnsi="Times New Roman" w:cs="Times New Roman"/>
          <w:color w:val="000000"/>
          <w:sz w:val="28"/>
          <w:szCs w:val="28"/>
        </w:rPr>
        <w:t>1.pielikums</w:t>
      </w:r>
    </w:p>
    <w:p w14:paraId="1B9A69AC" w14:textId="0BD60795" w:rsidR="003C0B3A" w:rsidRDefault="003347CE" w:rsidP="00FD5F28">
      <w:pPr>
        <w:widowControl w:val="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AMR</w:t>
      </w:r>
      <w:r w:rsidR="003C0B3A" w:rsidRPr="003C0B3A">
        <w:rPr>
          <w:rFonts w:ascii="Times New Roman" w:eastAsia="Times New Roman" w:hAnsi="Times New Roman" w:cs="Times New Roman"/>
          <w:b/>
          <w:color w:val="000000"/>
          <w:sz w:val="28"/>
          <w:szCs w:val="28"/>
        </w:rPr>
        <w:t xml:space="preserve"> rādītāju dinamika Latvijā kopš nelīdzsvarotības uzraudzības sākuma</w:t>
      </w:r>
      <w:r>
        <w:rPr>
          <w:rStyle w:val="FootnoteReference"/>
          <w:rFonts w:ascii="Times New Roman" w:eastAsia="Times New Roman" w:hAnsi="Times New Roman" w:cs="Times New Roman"/>
          <w:b/>
          <w:color w:val="000000"/>
          <w:sz w:val="28"/>
          <w:szCs w:val="28"/>
        </w:rPr>
        <w:footnoteReference w:id="18"/>
      </w:r>
      <w:r>
        <w:rPr>
          <w:rFonts w:ascii="Times New Roman" w:eastAsia="Times New Roman" w:hAnsi="Times New Roman" w:cs="Times New Roman"/>
          <w:b/>
          <w:color w:val="000000"/>
          <w:sz w:val="28"/>
          <w:szCs w:val="28"/>
        </w:rPr>
        <w:t xml:space="preserve"> </w:t>
      </w:r>
      <w:r>
        <w:rPr>
          <w:rStyle w:val="FootnoteReference"/>
          <w:rFonts w:ascii="Times New Roman" w:eastAsia="Times New Roman" w:hAnsi="Times New Roman" w:cs="Times New Roman"/>
          <w:b/>
          <w:color w:val="000000"/>
          <w:sz w:val="28"/>
          <w:szCs w:val="28"/>
        </w:rPr>
        <w:footnoteReference w:id="19"/>
      </w:r>
    </w:p>
    <w:p w14:paraId="2CED8FE9" w14:textId="77777777" w:rsidR="00FB2B77" w:rsidRPr="00FD5F28" w:rsidRDefault="00FB2B77" w:rsidP="00FD5F28">
      <w:pPr>
        <w:widowControl w:val="0"/>
        <w:jc w:val="right"/>
        <w:rPr>
          <w:rFonts w:ascii="Times New Roman" w:eastAsia="Times New Roman" w:hAnsi="Times New Roman" w:cs="Times New Roman"/>
          <w:b/>
          <w:color w:val="000000"/>
          <w:sz w:val="28"/>
          <w:szCs w:val="28"/>
        </w:rPr>
      </w:pPr>
    </w:p>
    <w:tbl>
      <w:tblPr>
        <w:tblW w:w="4955"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left w:w="57" w:type="dxa"/>
          <w:right w:w="57" w:type="dxa"/>
        </w:tblCellMar>
        <w:tblLook w:val="04A0" w:firstRow="1" w:lastRow="0" w:firstColumn="1" w:lastColumn="0" w:noHBand="0" w:noVBand="1"/>
      </w:tblPr>
      <w:tblGrid>
        <w:gridCol w:w="3681"/>
        <w:gridCol w:w="1559"/>
        <w:gridCol w:w="851"/>
        <w:gridCol w:w="850"/>
        <w:gridCol w:w="851"/>
        <w:gridCol w:w="850"/>
        <w:gridCol w:w="851"/>
        <w:gridCol w:w="850"/>
        <w:gridCol w:w="709"/>
        <w:gridCol w:w="709"/>
        <w:gridCol w:w="708"/>
        <w:gridCol w:w="709"/>
        <w:gridCol w:w="689"/>
      </w:tblGrid>
      <w:tr w:rsidR="003347CE" w:rsidRPr="003347CE" w14:paraId="422C9322" w14:textId="77777777" w:rsidTr="00FD5F28">
        <w:trPr>
          <w:trHeight w:val="196"/>
          <w:jc w:val="center"/>
        </w:trPr>
        <w:tc>
          <w:tcPr>
            <w:tcW w:w="3681" w:type="dxa"/>
            <w:shd w:val="clear" w:color="auto" w:fill="DEEAF6" w:themeFill="accent1" w:themeFillTint="33"/>
            <w:noWrap/>
            <w:vAlign w:val="center"/>
            <w:hideMark/>
          </w:tcPr>
          <w:p w14:paraId="35DBCC94" w14:textId="77777777" w:rsidR="003347CE" w:rsidRPr="003347CE" w:rsidRDefault="003347CE" w:rsidP="00401A5B">
            <w:pPr>
              <w:spacing w:line="259" w:lineRule="auto"/>
              <w:ind w:left="-14"/>
              <w:jc w:val="center"/>
              <w:rPr>
                <w:rFonts w:ascii="Times New Roman" w:eastAsia="Times New Roman" w:hAnsi="Times New Roman" w:cs="Times New Roman"/>
                <w:sz w:val="20"/>
                <w:szCs w:val="20"/>
              </w:rPr>
            </w:pPr>
          </w:p>
        </w:tc>
        <w:tc>
          <w:tcPr>
            <w:tcW w:w="2410" w:type="dxa"/>
            <w:gridSpan w:val="2"/>
            <w:shd w:val="clear" w:color="auto" w:fill="DEEAF6" w:themeFill="accent1" w:themeFillTint="33"/>
            <w:noWrap/>
            <w:vAlign w:val="center"/>
            <w:hideMark/>
          </w:tcPr>
          <w:p w14:paraId="4C441B4A"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20"/>
                <w:szCs w:val="20"/>
              </w:rPr>
            </w:pPr>
            <w:r w:rsidRPr="003347CE">
              <w:rPr>
                <w:rFonts w:ascii="Times New Roman" w:eastAsia="Times New Roman" w:hAnsi="Times New Roman" w:cs="Times New Roman"/>
                <w:color w:val="000000"/>
                <w:sz w:val="20"/>
                <w:szCs w:val="20"/>
              </w:rPr>
              <w:t>Robežvērtības</w:t>
            </w:r>
          </w:p>
        </w:tc>
        <w:tc>
          <w:tcPr>
            <w:tcW w:w="850" w:type="dxa"/>
            <w:shd w:val="clear" w:color="auto" w:fill="DEEAF6" w:themeFill="accent1" w:themeFillTint="33"/>
            <w:noWrap/>
            <w:vAlign w:val="center"/>
            <w:hideMark/>
          </w:tcPr>
          <w:p w14:paraId="6BD7B155"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2010</w:t>
            </w:r>
          </w:p>
        </w:tc>
        <w:tc>
          <w:tcPr>
            <w:tcW w:w="851" w:type="dxa"/>
            <w:shd w:val="clear" w:color="auto" w:fill="DEEAF6" w:themeFill="accent1" w:themeFillTint="33"/>
            <w:noWrap/>
            <w:vAlign w:val="center"/>
            <w:hideMark/>
          </w:tcPr>
          <w:p w14:paraId="4CBB06B6"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2011</w:t>
            </w:r>
          </w:p>
        </w:tc>
        <w:tc>
          <w:tcPr>
            <w:tcW w:w="850" w:type="dxa"/>
            <w:shd w:val="clear" w:color="auto" w:fill="DEEAF6" w:themeFill="accent1" w:themeFillTint="33"/>
            <w:noWrap/>
            <w:vAlign w:val="center"/>
            <w:hideMark/>
          </w:tcPr>
          <w:p w14:paraId="3DFD3F45"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2012</w:t>
            </w:r>
          </w:p>
        </w:tc>
        <w:tc>
          <w:tcPr>
            <w:tcW w:w="851" w:type="dxa"/>
            <w:shd w:val="clear" w:color="auto" w:fill="DEEAF6" w:themeFill="accent1" w:themeFillTint="33"/>
            <w:noWrap/>
            <w:vAlign w:val="center"/>
            <w:hideMark/>
          </w:tcPr>
          <w:p w14:paraId="37711B06"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2013</w:t>
            </w:r>
          </w:p>
        </w:tc>
        <w:tc>
          <w:tcPr>
            <w:tcW w:w="850" w:type="dxa"/>
            <w:shd w:val="clear" w:color="auto" w:fill="DEEAF6" w:themeFill="accent1" w:themeFillTint="33"/>
            <w:noWrap/>
            <w:vAlign w:val="center"/>
            <w:hideMark/>
          </w:tcPr>
          <w:p w14:paraId="092690AC"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2014</w:t>
            </w:r>
          </w:p>
        </w:tc>
        <w:tc>
          <w:tcPr>
            <w:tcW w:w="709" w:type="dxa"/>
            <w:shd w:val="clear" w:color="auto" w:fill="DEEAF6" w:themeFill="accent1" w:themeFillTint="33"/>
            <w:noWrap/>
            <w:vAlign w:val="center"/>
            <w:hideMark/>
          </w:tcPr>
          <w:p w14:paraId="2788C1A5"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2015</w:t>
            </w:r>
          </w:p>
        </w:tc>
        <w:tc>
          <w:tcPr>
            <w:tcW w:w="709" w:type="dxa"/>
            <w:shd w:val="clear" w:color="auto" w:fill="DEEAF6" w:themeFill="accent1" w:themeFillTint="33"/>
            <w:noWrap/>
            <w:vAlign w:val="center"/>
            <w:hideMark/>
          </w:tcPr>
          <w:p w14:paraId="4479A265"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2016</w:t>
            </w:r>
          </w:p>
        </w:tc>
        <w:tc>
          <w:tcPr>
            <w:tcW w:w="708" w:type="dxa"/>
            <w:shd w:val="clear" w:color="auto" w:fill="DEEAF6" w:themeFill="accent1" w:themeFillTint="33"/>
            <w:noWrap/>
            <w:vAlign w:val="center"/>
            <w:hideMark/>
          </w:tcPr>
          <w:p w14:paraId="0957D32A"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2017</w:t>
            </w:r>
          </w:p>
        </w:tc>
        <w:tc>
          <w:tcPr>
            <w:tcW w:w="709" w:type="dxa"/>
            <w:shd w:val="clear" w:color="auto" w:fill="DEEAF6" w:themeFill="accent1" w:themeFillTint="33"/>
            <w:vAlign w:val="center"/>
            <w:hideMark/>
          </w:tcPr>
          <w:p w14:paraId="094C96E7"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2018</w:t>
            </w:r>
          </w:p>
        </w:tc>
        <w:tc>
          <w:tcPr>
            <w:tcW w:w="689" w:type="dxa"/>
            <w:shd w:val="clear" w:color="auto" w:fill="DEEAF6" w:themeFill="accent1" w:themeFillTint="33"/>
            <w:vAlign w:val="center"/>
            <w:hideMark/>
          </w:tcPr>
          <w:p w14:paraId="5A45C893"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8"/>
                <w:szCs w:val="18"/>
              </w:rPr>
            </w:pPr>
            <w:r w:rsidRPr="003347CE">
              <w:rPr>
                <w:rFonts w:ascii="Times New Roman" w:eastAsia="Times New Roman" w:hAnsi="Times New Roman" w:cs="Times New Roman"/>
                <w:color w:val="000000"/>
                <w:sz w:val="18"/>
                <w:szCs w:val="18"/>
              </w:rPr>
              <w:t>2019</w:t>
            </w:r>
          </w:p>
        </w:tc>
      </w:tr>
      <w:tr w:rsidR="003347CE" w:rsidRPr="003347CE" w14:paraId="582C54E3" w14:textId="77777777" w:rsidTr="00FD5F28">
        <w:trPr>
          <w:trHeight w:val="343"/>
          <w:jc w:val="center"/>
        </w:trPr>
        <w:tc>
          <w:tcPr>
            <w:tcW w:w="3681" w:type="dxa"/>
            <w:shd w:val="clear" w:color="auto" w:fill="auto"/>
            <w:vAlign w:val="center"/>
            <w:hideMark/>
          </w:tcPr>
          <w:p w14:paraId="43155020"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Tekošā konta bilance % no IKP</w:t>
            </w:r>
          </w:p>
        </w:tc>
        <w:tc>
          <w:tcPr>
            <w:tcW w:w="1559" w:type="dxa"/>
            <w:shd w:val="clear" w:color="auto" w:fill="auto"/>
            <w:vAlign w:val="center"/>
            <w:hideMark/>
          </w:tcPr>
          <w:p w14:paraId="23AFAE20"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 gadu vidējais</w:t>
            </w:r>
          </w:p>
        </w:tc>
        <w:tc>
          <w:tcPr>
            <w:tcW w:w="851" w:type="dxa"/>
            <w:shd w:val="clear" w:color="auto" w:fill="auto"/>
            <w:vAlign w:val="center"/>
            <w:hideMark/>
          </w:tcPr>
          <w:p w14:paraId="25B7B494"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w:t>
            </w:r>
          </w:p>
        </w:tc>
        <w:tc>
          <w:tcPr>
            <w:tcW w:w="850" w:type="dxa"/>
            <w:shd w:val="clear" w:color="auto" w:fill="auto"/>
            <w:noWrap/>
            <w:vAlign w:val="center"/>
            <w:hideMark/>
          </w:tcPr>
          <w:p w14:paraId="13975907"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-0,9</w:t>
            </w:r>
          </w:p>
        </w:tc>
        <w:tc>
          <w:tcPr>
            <w:tcW w:w="851" w:type="dxa"/>
            <w:shd w:val="clear" w:color="auto" w:fill="auto"/>
            <w:noWrap/>
            <w:vAlign w:val="center"/>
            <w:hideMark/>
          </w:tcPr>
          <w:p w14:paraId="303F0B0E"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2,1</w:t>
            </w:r>
          </w:p>
        </w:tc>
        <w:tc>
          <w:tcPr>
            <w:tcW w:w="850" w:type="dxa"/>
            <w:shd w:val="clear" w:color="auto" w:fill="auto"/>
            <w:noWrap/>
            <w:vAlign w:val="center"/>
            <w:hideMark/>
          </w:tcPr>
          <w:p w14:paraId="7D97E3AF"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-1,7</w:t>
            </w:r>
          </w:p>
        </w:tc>
        <w:tc>
          <w:tcPr>
            <w:tcW w:w="851" w:type="dxa"/>
            <w:shd w:val="clear" w:color="auto" w:fill="auto"/>
            <w:noWrap/>
            <w:vAlign w:val="center"/>
            <w:hideMark/>
          </w:tcPr>
          <w:p w14:paraId="4706BB57"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-3,2</w:t>
            </w:r>
          </w:p>
        </w:tc>
        <w:tc>
          <w:tcPr>
            <w:tcW w:w="850" w:type="dxa"/>
            <w:shd w:val="clear" w:color="auto" w:fill="auto"/>
            <w:noWrap/>
            <w:vAlign w:val="center"/>
            <w:hideMark/>
          </w:tcPr>
          <w:p w14:paraId="684DE1B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-2,9</w:t>
            </w:r>
          </w:p>
        </w:tc>
        <w:tc>
          <w:tcPr>
            <w:tcW w:w="709" w:type="dxa"/>
            <w:shd w:val="clear" w:color="auto" w:fill="auto"/>
            <w:noWrap/>
            <w:vAlign w:val="center"/>
            <w:hideMark/>
          </w:tcPr>
          <w:p w14:paraId="0ED996B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-2,0</w:t>
            </w:r>
          </w:p>
        </w:tc>
        <w:tc>
          <w:tcPr>
            <w:tcW w:w="709" w:type="dxa"/>
            <w:shd w:val="clear" w:color="auto" w:fill="auto"/>
            <w:noWrap/>
            <w:vAlign w:val="center"/>
            <w:hideMark/>
          </w:tcPr>
          <w:p w14:paraId="4C77541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-0,6</w:t>
            </w:r>
          </w:p>
        </w:tc>
        <w:tc>
          <w:tcPr>
            <w:tcW w:w="708" w:type="dxa"/>
            <w:shd w:val="clear" w:color="auto" w:fill="auto"/>
            <w:noWrap/>
            <w:vAlign w:val="center"/>
            <w:hideMark/>
          </w:tcPr>
          <w:p w14:paraId="18E1513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0,5</w:t>
            </w:r>
          </w:p>
        </w:tc>
        <w:tc>
          <w:tcPr>
            <w:tcW w:w="709" w:type="dxa"/>
            <w:shd w:val="clear" w:color="auto" w:fill="auto"/>
            <w:vAlign w:val="center"/>
            <w:hideMark/>
          </w:tcPr>
          <w:p w14:paraId="16F49B0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0,6</w:t>
            </w:r>
          </w:p>
        </w:tc>
        <w:tc>
          <w:tcPr>
            <w:tcW w:w="689" w:type="dxa"/>
            <w:shd w:val="clear" w:color="auto" w:fill="DEEAF6" w:themeFill="accent1" w:themeFillTint="33"/>
            <w:vAlign w:val="center"/>
            <w:hideMark/>
          </w:tcPr>
          <w:p w14:paraId="40ECD17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-0,1</w:t>
            </w:r>
          </w:p>
        </w:tc>
      </w:tr>
      <w:tr w:rsidR="003347CE" w:rsidRPr="003347CE" w14:paraId="0E44689C" w14:textId="77777777" w:rsidTr="00FD5F28">
        <w:trPr>
          <w:trHeight w:val="343"/>
          <w:jc w:val="center"/>
        </w:trPr>
        <w:tc>
          <w:tcPr>
            <w:tcW w:w="3681" w:type="dxa"/>
            <w:shd w:val="clear" w:color="auto" w:fill="auto"/>
            <w:vAlign w:val="center"/>
            <w:hideMark/>
          </w:tcPr>
          <w:p w14:paraId="37C16B12"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Neto starptautiskā investīciju pozīcija</w:t>
            </w:r>
          </w:p>
        </w:tc>
        <w:tc>
          <w:tcPr>
            <w:tcW w:w="1559" w:type="dxa"/>
            <w:shd w:val="clear" w:color="auto" w:fill="auto"/>
            <w:vAlign w:val="center"/>
            <w:hideMark/>
          </w:tcPr>
          <w:p w14:paraId="12356CE1"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 no IKP</w:t>
            </w:r>
          </w:p>
        </w:tc>
        <w:tc>
          <w:tcPr>
            <w:tcW w:w="851" w:type="dxa"/>
            <w:shd w:val="clear" w:color="auto" w:fill="auto"/>
            <w:vAlign w:val="center"/>
            <w:hideMark/>
          </w:tcPr>
          <w:p w14:paraId="269EB753"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-35%</w:t>
            </w:r>
          </w:p>
        </w:tc>
        <w:tc>
          <w:tcPr>
            <w:tcW w:w="850" w:type="dxa"/>
            <w:shd w:val="clear" w:color="000000" w:fill="FFCCCC"/>
            <w:noWrap/>
            <w:vAlign w:val="center"/>
            <w:hideMark/>
          </w:tcPr>
          <w:p w14:paraId="31EBBED9"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-83,0</w:t>
            </w:r>
          </w:p>
        </w:tc>
        <w:tc>
          <w:tcPr>
            <w:tcW w:w="851" w:type="dxa"/>
            <w:shd w:val="clear" w:color="000000" w:fill="FFCCCC"/>
            <w:noWrap/>
            <w:vAlign w:val="center"/>
            <w:hideMark/>
          </w:tcPr>
          <w:p w14:paraId="3C05608D"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-74,7</w:t>
            </w:r>
          </w:p>
        </w:tc>
        <w:tc>
          <w:tcPr>
            <w:tcW w:w="850" w:type="dxa"/>
            <w:shd w:val="clear" w:color="000000" w:fill="FFCCCC"/>
            <w:noWrap/>
            <w:vAlign w:val="center"/>
            <w:hideMark/>
          </w:tcPr>
          <w:p w14:paraId="3555D34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-67,5</w:t>
            </w:r>
          </w:p>
        </w:tc>
        <w:tc>
          <w:tcPr>
            <w:tcW w:w="851" w:type="dxa"/>
            <w:shd w:val="clear" w:color="000000" w:fill="FFCCCC"/>
            <w:noWrap/>
            <w:vAlign w:val="center"/>
            <w:hideMark/>
          </w:tcPr>
          <w:p w14:paraId="3896D3EF"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-66,7</w:t>
            </w:r>
          </w:p>
        </w:tc>
        <w:tc>
          <w:tcPr>
            <w:tcW w:w="850" w:type="dxa"/>
            <w:shd w:val="clear" w:color="000000" w:fill="FFCCCC"/>
            <w:noWrap/>
            <w:vAlign w:val="center"/>
            <w:hideMark/>
          </w:tcPr>
          <w:p w14:paraId="0D4D57D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-67,1</w:t>
            </w:r>
          </w:p>
        </w:tc>
        <w:tc>
          <w:tcPr>
            <w:tcW w:w="709" w:type="dxa"/>
            <w:shd w:val="clear" w:color="000000" w:fill="FFCCCC"/>
            <w:noWrap/>
            <w:vAlign w:val="center"/>
            <w:hideMark/>
          </w:tcPr>
          <w:p w14:paraId="6B2E6DD3"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-64,1</w:t>
            </w:r>
          </w:p>
        </w:tc>
        <w:tc>
          <w:tcPr>
            <w:tcW w:w="709" w:type="dxa"/>
            <w:shd w:val="clear" w:color="000000" w:fill="FFCCCC"/>
            <w:noWrap/>
            <w:vAlign w:val="center"/>
            <w:hideMark/>
          </w:tcPr>
          <w:p w14:paraId="6F38186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-59,0</w:t>
            </w:r>
          </w:p>
        </w:tc>
        <w:tc>
          <w:tcPr>
            <w:tcW w:w="708" w:type="dxa"/>
            <w:shd w:val="clear" w:color="000000" w:fill="FFCCCC"/>
            <w:noWrap/>
            <w:vAlign w:val="center"/>
            <w:hideMark/>
          </w:tcPr>
          <w:p w14:paraId="560C549F"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-56,2</w:t>
            </w:r>
          </w:p>
        </w:tc>
        <w:tc>
          <w:tcPr>
            <w:tcW w:w="709" w:type="dxa"/>
            <w:shd w:val="clear" w:color="000000" w:fill="FFCCCC"/>
            <w:vAlign w:val="center"/>
            <w:hideMark/>
          </w:tcPr>
          <w:p w14:paraId="32173CB1"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-49,0</w:t>
            </w:r>
          </w:p>
        </w:tc>
        <w:tc>
          <w:tcPr>
            <w:tcW w:w="689" w:type="dxa"/>
            <w:shd w:val="clear" w:color="000000" w:fill="FFCCCC"/>
            <w:vAlign w:val="center"/>
            <w:hideMark/>
          </w:tcPr>
          <w:p w14:paraId="40801F7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-44,1</w:t>
            </w:r>
          </w:p>
        </w:tc>
      </w:tr>
      <w:tr w:rsidR="003347CE" w:rsidRPr="003347CE" w14:paraId="7E3CED9D" w14:textId="77777777" w:rsidTr="00FD5F28">
        <w:trPr>
          <w:trHeight w:val="343"/>
          <w:jc w:val="center"/>
        </w:trPr>
        <w:tc>
          <w:tcPr>
            <w:tcW w:w="3681" w:type="dxa"/>
            <w:shd w:val="clear" w:color="auto" w:fill="auto"/>
            <w:vAlign w:val="center"/>
            <w:hideMark/>
          </w:tcPr>
          <w:p w14:paraId="716DE19D"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Reālais efektīvais valūtas maiņas kurss - 42 tirdzniecības partneri</w:t>
            </w:r>
          </w:p>
        </w:tc>
        <w:tc>
          <w:tcPr>
            <w:tcW w:w="1559" w:type="dxa"/>
            <w:shd w:val="clear" w:color="auto" w:fill="auto"/>
            <w:vAlign w:val="center"/>
            <w:hideMark/>
          </w:tcPr>
          <w:p w14:paraId="1F75460A"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 gadu % izmaiņas</w:t>
            </w:r>
          </w:p>
        </w:tc>
        <w:tc>
          <w:tcPr>
            <w:tcW w:w="851" w:type="dxa"/>
            <w:shd w:val="clear" w:color="auto" w:fill="auto"/>
            <w:vAlign w:val="center"/>
            <w:hideMark/>
          </w:tcPr>
          <w:p w14:paraId="710CA6CD"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w:t>
            </w:r>
          </w:p>
        </w:tc>
        <w:tc>
          <w:tcPr>
            <w:tcW w:w="850" w:type="dxa"/>
            <w:shd w:val="clear" w:color="000000" w:fill="FFCCCC"/>
            <w:noWrap/>
            <w:vAlign w:val="center"/>
            <w:hideMark/>
          </w:tcPr>
          <w:p w14:paraId="0D67F70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6,7</w:t>
            </w:r>
          </w:p>
        </w:tc>
        <w:tc>
          <w:tcPr>
            <w:tcW w:w="851" w:type="dxa"/>
            <w:shd w:val="clear" w:color="auto" w:fill="auto"/>
            <w:noWrap/>
            <w:vAlign w:val="center"/>
            <w:hideMark/>
          </w:tcPr>
          <w:p w14:paraId="687C27B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-2,4</w:t>
            </w:r>
          </w:p>
        </w:tc>
        <w:tc>
          <w:tcPr>
            <w:tcW w:w="850" w:type="dxa"/>
            <w:shd w:val="clear" w:color="000000" w:fill="FFCCCC"/>
            <w:noWrap/>
            <w:vAlign w:val="center"/>
            <w:hideMark/>
          </w:tcPr>
          <w:p w14:paraId="7E0BD04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-8,6</w:t>
            </w:r>
          </w:p>
        </w:tc>
        <w:tc>
          <w:tcPr>
            <w:tcW w:w="851" w:type="dxa"/>
            <w:shd w:val="clear" w:color="auto" w:fill="auto"/>
            <w:noWrap/>
            <w:vAlign w:val="center"/>
            <w:hideMark/>
          </w:tcPr>
          <w:p w14:paraId="2642DE6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-1,7</w:t>
            </w:r>
          </w:p>
        </w:tc>
        <w:tc>
          <w:tcPr>
            <w:tcW w:w="850" w:type="dxa"/>
            <w:shd w:val="clear" w:color="auto" w:fill="auto"/>
            <w:noWrap/>
            <w:vAlign w:val="center"/>
            <w:hideMark/>
          </w:tcPr>
          <w:p w14:paraId="6E5A294B"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0,4</w:t>
            </w:r>
          </w:p>
        </w:tc>
        <w:tc>
          <w:tcPr>
            <w:tcW w:w="709" w:type="dxa"/>
            <w:shd w:val="clear" w:color="auto" w:fill="auto"/>
            <w:noWrap/>
            <w:vAlign w:val="center"/>
            <w:hideMark/>
          </w:tcPr>
          <w:p w14:paraId="13EF1E5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2,5</w:t>
            </w:r>
          </w:p>
        </w:tc>
        <w:tc>
          <w:tcPr>
            <w:tcW w:w="709" w:type="dxa"/>
            <w:shd w:val="clear" w:color="auto" w:fill="auto"/>
            <w:noWrap/>
            <w:vAlign w:val="center"/>
            <w:hideMark/>
          </w:tcPr>
          <w:p w14:paraId="576B4E9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4,8</w:t>
            </w:r>
          </w:p>
        </w:tc>
        <w:tc>
          <w:tcPr>
            <w:tcW w:w="708" w:type="dxa"/>
            <w:shd w:val="clear" w:color="auto" w:fill="auto"/>
            <w:noWrap/>
            <w:vAlign w:val="center"/>
            <w:hideMark/>
          </w:tcPr>
          <w:p w14:paraId="4AB1C02E"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1,7</w:t>
            </w:r>
          </w:p>
        </w:tc>
        <w:tc>
          <w:tcPr>
            <w:tcW w:w="709" w:type="dxa"/>
            <w:shd w:val="clear" w:color="auto" w:fill="auto"/>
            <w:vAlign w:val="center"/>
            <w:hideMark/>
          </w:tcPr>
          <w:p w14:paraId="202684B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4,9</w:t>
            </w:r>
          </w:p>
        </w:tc>
        <w:tc>
          <w:tcPr>
            <w:tcW w:w="689" w:type="dxa"/>
            <w:shd w:val="clear" w:color="auto" w:fill="DEEAF6" w:themeFill="accent1" w:themeFillTint="33"/>
            <w:vAlign w:val="center"/>
            <w:hideMark/>
          </w:tcPr>
          <w:p w14:paraId="00BD6E4B"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3,7</w:t>
            </w:r>
          </w:p>
        </w:tc>
      </w:tr>
      <w:tr w:rsidR="003347CE" w:rsidRPr="003347CE" w14:paraId="4B584B6E" w14:textId="77777777" w:rsidTr="00FD5F28">
        <w:trPr>
          <w:trHeight w:val="343"/>
          <w:jc w:val="center"/>
        </w:trPr>
        <w:tc>
          <w:tcPr>
            <w:tcW w:w="3681" w:type="dxa"/>
            <w:shd w:val="clear" w:color="auto" w:fill="auto"/>
            <w:vAlign w:val="center"/>
            <w:hideMark/>
          </w:tcPr>
          <w:p w14:paraId="02748CFC"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Eksporta tirgus daļa % no pasaules eksporta</w:t>
            </w:r>
          </w:p>
        </w:tc>
        <w:tc>
          <w:tcPr>
            <w:tcW w:w="1559" w:type="dxa"/>
            <w:shd w:val="clear" w:color="auto" w:fill="auto"/>
            <w:vAlign w:val="center"/>
            <w:hideMark/>
          </w:tcPr>
          <w:p w14:paraId="4C51629B"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 gadu % izmaiņas</w:t>
            </w:r>
          </w:p>
        </w:tc>
        <w:tc>
          <w:tcPr>
            <w:tcW w:w="851" w:type="dxa"/>
            <w:shd w:val="clear" w:color="auto" w:fill="auto"/>
            <w:vAlign w:val="center"/>
            <w:hideMark/>
          </w:tcPr>
          <w:p w14:paraId="6940C3F4"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w:t>
            </w:r>
          </w:p>
        </w:tc>
        <w:tc>
          <w:tcPr>
            <w:tcW w:w="850" w:type="dxa"/>
            <w:shd w:val="clear" w:color="auto" w:fill="auto"/>
            <w:noWrap/>
            <w:vAlign w:val="center"/>
            <w:hideMark/>
          </w:tcPr>
          <w:p w14:paraId="74AA4AD8"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21,65</w:t>
            </w:r>
          </w:p>
        </w:tc>
        <w:tc>
          <w:tcPr>
            <w:tcW w:w="851" w:type="dxa"/>
            <w:shd w:val="clear" w:color="auto" w:fill="auto"/>
            <w:noWrap/>
            <w:vAlign w:val="center"/>
            <w:hideMark/>
          </w:tcPr>
          <w:p w14:paraId="44062D31"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26,53</w:t>
            </w:r>
          </w:p>
        </w:tc>
        <w:tc>
          <w:tcPr>
            <w:tcW w:w="850" w:type="dxa"/>
            <w:shd w:val="clear" w:color="auto" w:fill="auto"/>
            <w:noWrap/>
            <w:vAlign w:val="center"/>
            <w:hideMark/>
          </w:tcPr>
          <w:p w14:paraId="3C0079DB"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7,91</w:t>
            </w:r>
          </w:p>
        </w:tc>
        <w:tc>
          <w:tcPr>
            <w:tcW w:w="851" w:type="dxa"/>
            <w:shd w:val="clear" w:color="auto" w:fill="auto"/>
            <w:noWrap/>
            <w:vAlign w:val="center"/>
            <w:hideMark/>
          </w:tcPr>
          <w:p w14:paraId="794FA437"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5,89</w:t>
            </w:r>
          </w:p>
        </w:tc>
        <w:tc>
          <w:tcPr>
            <w:tcW w:w="850" w:type="dxa"/>
            <w:shd w:val="clear" w:color="auto" w:fill="auto"/>
            <w:noWrap/>
            <w:vAlign w:val="center"/>
            <w:hideMark/>
          </w:tcPr>
          <w:p w14:paraId="7F5BD421"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11,98</w:t>
            </w:r>
          </w:p>
        </w:tc>
        <w:tc>
          <w:tcPr>
            <w:tcW w:w="709" w:type="dxa"/>
            <w:shd w:val="clear" w:color="auto" w:fill="auto"/>
            <w:noWrap/>
            <w:vAlign w:val="center"/>
            <w:hideMark/>
          </w:tcPr>
          <w:p w14:paraId="00E5E37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13,52</w:t>
            </w:r>
          </w:p>
        </w:tc>
        <w:tc>
          <w:tcPr>
            <w:tcW w:w="709" w:type="dxa"/>
            <w:shd w:val="clear" w:color="auto" w:fill="auto"/>
            <w:noWrap/>
            <w:vAlign w:val="center"/>
            <w:hideMark/>
          </w:tcPr>
          <w:p w14:paraId="0E53E7E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10,22</w:t>
            </w:r>
          </w:p>
        </w:tc>
        <w:tc>
          <w:tcPr>
            <w:tcW w:w="708" w:type="dxa"/>
            <w:shd w:val="clear" w:color="auto" w:fill="auto"/>
            <w:noWrap/>
            <w:vAlign w:val="center"/>
            <w:hideMark/>
          </w:tcPr>
          <w:p w14:paraId="43F37D8D"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8,2</w:t>
            </w:r>
          </w:p>
        </w:tc>
        <w:tc>
          <w:tcPr>
            <w:tcW w:w="709" w:type="dxa"/>
            <w:shd w:val="clear" w:color="auto" w:fill="auto"/>
            <w:vAlign w:val="center"/>
            <w:hideMark/>
          </w:tcPr>
          <w:p w14:paraId="6F247541"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8,63</w:t>
            </w:r>
          </w:p>
        </w:tc>
        <w:tc>
          <w:tcPr>
            <w:tcW w:w="689" w:type="dxa"/>
            <w:shd w:val="clear" w:color="auto" w:fill="DEEAF6" w:themeFill="accent1" w:themeFillTint="33"/>
            <w:vAlign w:val="center"/>
            <w:hideMark/>
          </w:tcPr>
          <w:p w14:paraId="64B33DD7"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2,91</w:t>
            </w:r>
          </w:p>
        </w:tc>
      </w:tr>
      <w:tr w:rsidR="003347CE" w:rsidRPr="003347CE" w14:paraId="1446DE80" w14:textId="77777777" w:rsidTr="00FD5F28">
        <w:trPr>
          <w:trHeight w:val="343"/>
          <w:jc w:val="center"/>
        </w:trPr>
        <w:tc>
          <w:tcPr>
            <w:tcW w:w="3681" w:type="dxa"/>
            <w:shd w:val="clear" w:color="auto" w:fill="auto"/>
            <w:vAlign w:val="center"/>
            <w:hideMark/>
          </w:tcPr>
          <w:p w14:paraId="15528B23"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Nominālo vienības darbaspēka izmaksu indekss (2010=100)</w:t>
            </w:r>
          </w:p>
        </w:tc>
        <w:tc>
          <w:tcPr>
            <w:tcW w:w="1559" w:type="dxa"/>
            <w:shd w:val="clear" w:color="auto" w:fill="auto"/>
            <w:vAlign w:val="center"/>
            <w:hideMark/>
          </w:tcPr>
          <w:p w14:paraId="1AB07ED5"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 gadu % izmaiņas</w:t>
            </w:r>
          </w:p>
        </w:tc>
        <w:tc>
          <w:tcPr>
            <w:tcW w:w="851" w:type="dxa"/>
            <w:shd w:val="clear" w:color="auto" w:fill="auto"/>
            <w:vAlign w:val="center"/>
            <w:hideMark/>
          </w:tcPr>
          <w:p w14:paraId="7FFE5EEF"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9%</w:t>
            </w:r>
          </w:p>
        </w:tc>
        <w:tc>
          <w:tcPr>
            <w:tcW w:w="850" w:type="dxa"/>
            <w:shd w:val="clear" w:color="auto" w:fill="auto"/>
            <w:noWrap/>
            <w:vAlign w:val="center"/>
            <w:hideMark/>
          </w:tcPr>
          <w:p w14:paraId="5C8CE17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-2,0</w:t>
            </w:r>
          </w:p>
        </w:tc>
        <w:tc>
          <w:tcPr>
            <w:tcW w:w="851" w:type="dxa"/>
            <w:shd w:val="clear" w:color="auto" w:fill="auto"/>
            <w:noWrap/>
            <w:vAlign w:val="center"/>
            <w:hideMark/>
          </w:tcPr>
          <w:p w14:paraId="23B1BE8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-20,6</w:t>
            </w:r>
          </w:p>
        </w:tc>
        <w:tc>
          <w:tcPr>
            <w:tcW w:w="850" w:type="dxa"/>
            <w:shd w:val="clear" w:color="auto" w:fill="auto"/>
            <w:noWrap/>
            <w:vAlign w:val="center"/>
            <w:hideMark/>
          </w:tcPr>
          <w:p w14:paraId="74E76BB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-6,5</w:t>
            </w:r>
          </w:p>
        </w:tc>
        <w:tc>
          <w:tcPr>
            <w:tcW w:w="851" w:type="dxa"/>
            <w:shd w:val="clear" w:color="auto" w:fill="auto"/>
            <w:noWrap/>
            <w:vAlign w:val="center"/>
            <w:hideMark/>
          </w:tcPr>
          <w:p w14:paraId="6D1CB63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8,0</w:t>
            </w:r>
          </w:p>
        </w:tc>
        <w:tc>
          <w:tcPr>
            <w:tcW w:w="850" w:type="dxa"/>
            <w:shd w:val="clear" w:color="000000" w:fill="FFCCCC"/>
            <w:noWrap/>
            <w:vAlign w:val="center"/>
            <w:hideMark/>
          </w:tcPr>
          <w:p w14:paraId="0187D26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16,0</w:t>
            </w:r>
          </w:p>
        </w:tc>
        <w:tc>
          <w:tcPr>
            <w:tcW w:w="709" w:type="dxa"/>
            <w:shd w:val="clear" w:color="000000" w:fill="FFCCCC"/>
            <w:noWrap/>
            <w:vAlign w:val="center"/>
            <w:hideMark/>
          </w:tcPr>
          <w:p w14:paraId="52A03CBE"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17,2</w:t>
            </w:r>
          </w:p>
        </w:tc>
        <w:tc>
          <w:tcPr>
            <w:tcW w:w="709" w:type="dxa"/>
            <w:shd w:val="clear" w:color="000000" w:fill="FFCCCC"/>
            <w:noWrap/>
            <w:vAlign w:val="center"/>
            <w:hideMark/>
          </w:tcPr>
          <w:p w14:paraId="6847381D"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16,7</w:t>
            </w:r>
          </w:p>
        </w:tc>
        <w:tc>
          <w:tcPr>
            <w:tcW w:w="708" w:type="dxa"/>
            <w:shd w:val="clear" w:color="000000" w:fill="FFCCCC"/>
            <w:noWrap/>
            <w:vAlign w:val="center"/>
            <w:hideMark/>
          </w:tcPr>
          <w:p w14:paraId="0F4095D7"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15,2</w:t>
            </w:r>
          </w:p>
        </w:tc>
        <w:tc>
          <w:tcPr>
            <w:tcW w:w="709" w:type="dxa"/>
            <w:shd w:val="clear" w:color="000000" w:fill="FFCCCC"/>
            <w:vAlign w:val="center"/>
            <w:hideMark/>
          </w:tcPr>
          <w:p w14:paraId="3BC122C3"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15,1</w:t>
            </w:r>
          </w:p>
        </w:tc>
        <w:tc>
          <w:tcPr>
            <w:tcW w:w="689" w:type="dxa"/>
            <w:shd w:val="clear" w:color="000000" w:fill="FFCCCC"/>
            <w:vAlign w:val="center"/>
            <w:hideMark/>
          </w:tcPr>
          <w:p w14:paraId="7B5F5B8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16,5</w:t>
            </w:r>
          </w:p>
        </w:tc>
      </w:tr>
      <w:tr w:rsidR="003347CE" w:rsidRPr="003347CE" w14:paraId="2363DE2D" w14:textId="77777777" w:rsidTr="00FD5F28">
        <w:trPr>
          <w:trHeight w:val="343"/>
          <w:jc w:val="center"/>
        </w:trPr>
        <w:tc>
          <w:tcPr>
            <w:tcW w:w="3681" w:type="dxa"/>
            <w:shd w:val="clear" w:color="auto" w:fill="auto"/>
            <w:vAlign w:val="center"/>
            <w:hideMark/>
          </w:tcPr>
          <w:p w14:paraId="7DD29E9A"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Mājokļu cenu indekss (2015=100)</w:t>
            </w:r>
          </w:p>
        </w:tc>
        <w:tc>
          <w:tcPr>
            <w:tcW w:w="1559" w:type="dxa"/>
            <w:shd w:val="clear" w:color="auto" w:fill="auto"/>
            <w:vAlign w:val="center"/>
            <w:hideMark/>
          </w:tcPr>
          <w:p w14:paraId="141B6C70"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 gada % izmaiņas</w:t>
            </w:r>
          </w:p>
        </w:tc>
        <w:tc>
          <w:tcPr>
            <w:tcW w:w="851" w:type="dxa"/>
            <w:shd w:val="clear" w:color="auto" w:fill="auto"/>
            <w:vAlign w:val="center"/>
            <w:hideMark/>
          </w:tcPr>
          <w:p w14:paraId="7B1BCD24"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w:t>
            </w:r>
          </w:p>
        </w:tc>
        <w:tc>
          <w:tcPr>
            <w:tcW w:w="850" w:type="dxa"/>
            <w:shd w:val="clear" w:color="auto" w:fill="auto"/>
            <w:noWrap/>
            <w:vAlign w:val="center"/>
            <w:hideMark/>
          </w:tcPr>
          <w:p w14:paraId="7499D0B7"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-8,7</w:t>
            </w:r>
          </w:p>
        </w:tc>
        <w:tc>
          <w:tcPr>
            <w:tcW w:w="851" w:type="dxa"/>
            <w:shd w:val="clear" w:color="auto" w:fill="auto"/>
            <w:noWrap/>
            <w:vAlign w:val="center"/>
            <w:hideMark/>
          </w:tcPr>
          <w:p w14:paraId="4BE8F963"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4,1</w:t>
            </w:r>
          </w:p>
        </w:tc>
        <w:tc>
          <w:tcPr>
            <w:tcW w:w="850" w:type="dxa"/>
            <w:shd w:val="clear" w:color="auto" w:fill="auto"/>
            <w:noWrap/>
            <w:vAlign w:val="center"/>
            <w:hideMark/>
          </w:tcPr>
          <w:p w14:paraId="43B41D03"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-0,3</w:t>
            </w:r>
          </w:p>
        </w:tc>
        <w:tc>
          <w:tcPr>
            <w:tcW w:w="851" w:type="dxa"/>
            <w:shd w:val="clear" w:color="000000" w:fill="FFCCCC"/>
            <w:noWrap/>
            <w:vAlign w:val="center"/>
            <w:hideMark/>
          </w:tcPr>
          <w:p w14:paraId="6FC9D1F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6,8</w:t>
            </w:r>
          </w:p>
        </w:tc>
        <w:tc>
          <w:tcPr>
            <w:tcW w:w="850" w:type="dxa"/>
            <w:shd w:val="clear" w:color="auto" w:fill="auto"/>
            <w:noWrap/>
            <w:vAlign w:val="center"/>
            <w:hideMark/>
          </w:tcPr>
          <w:p w14:paraId="2C8883FD"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4,3</w:t>
            </w:r>
          </w:p>
        </w:tc>
        <w:tc>
          <w:tcPr>
            <w:tcW w:w="709" w:type="dxa"/>
            <w:shd w:val="clear" w:color="auto" w:fill="auto"/>
            <w:noWrap/>
            <w:vAlign w:val="center"/>
            <w:hideMark/>
          </w:tcPr>
          <w:p w14:paraId="0C3C4E9D"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-2,4</w:t>
            </w:r>
          </w:p>
        </w:tc>
        <w:tc>
          <w:tcPr>
            <w:tcW w:w="709" w:type="dxa"/>
            <w:shd w:val="clear" w:color="000000" w:fill="FFCCCC"/>
            <w:noWrap/>
            <w:vAlign w:val="center"/>
            <w:hideMark/>
          </w:tcPr>
          <w:p w14:paraId="00A09E6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7,4</w:t>
            </w:r>
          </w:p>
        </w:tc>
        <w:tc>
          <w:tcPr>
            <w:tcW w:w="708" w:type="dxa"/>
            <w:shd w:val="clear" w:color="auto" w:fill="auto"/>
            <w:noWrap/>
            <w:vAlign w:val="center"/>
            <w:hideMark/>
          </w:tcPr>
          <w:p w14:paraId="2CE88B5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5,6</w:t>
            </w:r>
          </w:p>
        </w:tc>
        <w:tc>
          <w:tcPr>
            <w:tcW w:w="709" w:type="dxa"/>
            <w:shd w:val="clear" w:color="000000" w:fill="FFCCCC"/>
            <w:noWrap/>
            <w:vAlign w:val="center"/>
            <w:hideMark/>
          </w:tcPr>
          <w:p w14:paraId="7036408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6,6</w:t>
            </w:r>
          </w:p>
        </w:tc>
        <w:tc>
          <w:tcPr>
            <w:tcW w:w="689" w:type="dxa"/>
            <w:shd w:val="clear" w:color="auto" w:fill="DEEAF6" w:themeFill="accent1" w:themeFillTint="33"/>
            <w:vAlign w:val="center"/>
            <w:hideMark/>
          </w:tcPr>
          <w:p w14:paraId="6C55672B"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5,9</w:t>
            </w:r>
          </w:p>
        </w:tc>
      </w:tr>
      <w:tr w:rsidR="003347CE" w:rsidRPr="003347CE" w14:paraId="32A4A875" w14:textId="77777777" w:rsidTr="00FD5F28">
        <w:trPr>
          <w:trHeight w:val="343"/>
          <w:jc w:val="center"/>
        </w:trPr>
        <w:tc>
          <w:tcPr>
            <w:tcW w:w="3681" w:type="dxa"/>
            <w:shd w:val="clear" w:color="auto" w:fill="auto"/>
            <w:vAlign w:val="center"/>
            <w:hideMark/>
          </w:tcPr>
          <w:p w14:paraId="494F1A12"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Privātā sektora kredītplūsma - konsolidēta</w:t>
            </w:r>
          </w:p>
        </w:tc>
        <w:tc>
          <w:tcPr>
            <w:tcW w:w="1559" w:type="dxa"/>
            <w:shd w:val="clear" w:color="auto" w:fill="auto"/>
            <w:vAlign w:val="center"/>
            <w:hideMark/>
          </w:tcPr>
          <w:p w14:paraId="7AA80771"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 no IKP</w:t>
            </w:r>
          </w:p>
        </w:tc>
        <w:tc>
          <w:tcPr>
            <w:tcW w:w="851" w:type="dxa"/>
            <w:shd w:val="clear" w:color="auto" w:fill="auto"/>
            <w:vAlign w:val="center"/>
            <w:hideMark/>
          </w:tcPr>
          <w:p w14:paraId="1B327144"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14%</w:t>
            </w:r>
          </w:p>
        </w:tc>
        <w:tc>
          <w:tcPr>
            <w:tcW w:w="850" w:type="dxa"/>
            <w:shd w:val="clear" w:color="auto" w:fill="auto"/>
            <w:noWrap/>
            <w:vAlign w:val="center"/>
            <w:hideMark/>
          </w:tcPr>
          <w:p w14:paraId="792FF0E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-9,1</w:t>
            </w:r>
          </w:p>
        </w:tc>
        <w:tc>
          <w:tcPr>
            <w:tcW w:w="851" w:type="dxa"/>
            <w:shd w:val="clear" w:color="auto" w:fill="auto"/>
            <w:noWrap/>
            <w:vAlign w:val="center"/>
            <w:hideMark/>
          </w:tcPr>
          <w:p w14:paraId="3F38C3E7"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-2,4</w:t>
            </w:r>
          </w:p>
        </w:tc>
        <w:tc>
          <w:tcPr>
            <w:tcW w:w="850" w:type="dxa"/>
            <w:shd w:val="clear" w:color="auto" w:fill="auto"/>
            <w:noWrap/>
            <w:vAlign w:val="center"/>
            <w:hideMark/>
          </w:tcPr>
          <w:p w14:paraId="7FC03893"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-5,4</w:t>
            </w:r>
          </w:p>
        </w:tc>
        <w:tc>
          <w:tcPr>
            <w:tcW w:w="851" w:type="dxa"/>
            <w:shd w:val="clear" w:color="auto" w:fill="auto"/>
            <w:noWrap/>
            <w:vAlign w:val="center"/>
            <w:hideMark/>
          </w:tcPr>
          <w:p w14:paraId="0C47606F"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-0,6</w:t>
            </w:r>
          </w:p>
        </w:tc>
        <w:tc>
          <w:tcPr>
            <w:tcW w:w="850" w:type="dxa"/>
            <w:shd w:val="clear" w:color="auto" w:fill="auto"/>
            <w:noWrap/>
            <w:vAlign w:val="center"/>
            <w:hideMark/>
          </w:tcPr>
          <w:p w14:paraId="294B2DB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-4,4</w:t>
            </w:r>
          </w:p>
        </w:tc>
        <w:tc>
          <w:tcPr>
            <w:tcW w:w="709" w:type="dxa"/>
            <w:shd w:val="clear" w:color="auto" w:fill="auto"/>
            <w:noWrap/>
            <w:vAlign w:val="center"/>
            <w:hideMark/>
          </w:tcPr>
          <w:p w14:paraId="4425591D"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-0,5</w:t>
            </w:r>
          </w:p>
        </w:tc>
        <w:tc>
          <w:tcPr>
            <w:tcW w:w="709" w:type="dxa"/>
            <w:shd w:val="clear" w:color="auto" w:fill="auto"/>
            <w:noWrap/>
            <w:vAlign w:val="center"/>
            <w:hideMark/>
          </w:tcPr>
          <w:p w14:paraId="67D877A3"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2,3</w:t>
            </w:r>
          </w:p>
        </w:tc>
        <w:tc>
          <w:tcPr>
            <w:tcW w:w="708" w:type="dxa"/>
            <w:shd w:val="clear" w:color="auto" w:fill="auto"/>
            <w:noWrap/>
            <w:vAlign w:val="center"/>
            <w:hideMark/>
          </w:tcPr>
          <w:p w14:paraId="76729AB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2,4</w:t>
            </w:r>
          </w:p>
        </w:tc>
        <w:tc>
          <w:tcPr>
            <w:tcW w:w="709" w:type="dxa"/>
            <w:shd w:val="clear" w:color="auto" w:fill="auto"/>
            <w:vAlign w:val="center"/>
            <w:hideMark/>
          </w:tcPr>
          <w:p w14:paraId="25A5DA3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-0,2</w:t>
            </w:r>
          </w:p>
        </w:tc>
        <w:tc>
          <w:tcPr>
            <w:tcW w:w="689" w:type="dxa"/>
            <w:shd w:val="clear" w:color="auto" w:fill="DEEAF6" w:themeFill="accent1" w:themeFillTint="33"/>
            <w:vAlign w:val="center"/>
            <w:hideMark/>
          </w:tcPr>
          <w:p w14:paraId="66B115F8"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w:t>
            </w:r>
          </w:p>
        </w:tc>
      </w:tr>
      <w:tr w:rsidR="003347CE" w:rsidRPr="003347CE" w14:paraId="1809C52D" w14:textId="77777777" w:rsidTr="00FD5F28">
        <w:trPr>
          <w:trHeight w:val="343"/>
          <w:jc w:val="center"/>
        </w:trPr>
        <w:tc>
          <w:tcPr>
            <w:tcW w:w="3681" w:type="dxa"/>
            <w:shd w:val="clear" w:color="auto" w:fill="auto"/>
            <w:vAlign w:val="center"/>
            <w:hideMark/>
          </w:tcPr>
          <w:p w14:paraId="71DF506A"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Privātā sektora konsolidētais parāds</w:t>
            </w:r>
          </w:p>
        </w:tc>
        <w:tc>
          <w:tcPr>
            <w:tcW w:w="1559" w:type="dxa"/>
            <w:shd w:val="clear" w:color="auto" w:fill="auto"/>
            <w:vAlign w:val="center"/>
            <w:hideMark/>
          </w:tcPr>
          <w:p w14:paraId="1F1CF064"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 no IKP</w:t>
            </w:r>
          </w:p>
        </w:tc>
        <w:tc>
          <w:tcPr>
            <w:tcW w:w="851" w:type="dxa"/>
            <w:shd w:val="clear" w:color="auto" w:fill="auto"/>
            <w:vAlign w:val="center"/>
            <w:hideMark/>
          </w:tcPr>
          <w:p w14:paraId="343EE5CD"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133%</w:t>
            </w:r>
          </w:p>
        </w:tc>
        <w:tc>
          <w:tcPr>
            <w:tcW w:w="850" w:type="dxa"/>
            <w:shd w:val="clear" w:color="000000" w:fill="FFCCCC"/>
            <w:noWrap/>
            <w:vAlign w:val="center"/>
            <w:hideMark/>
          </w:tcPr>
          <w:p w14:paraId="6C02A929"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134</w:t>
            </w:r>
          </w:p>
        </w:tc>
        <w:tc>
          <w:tcPr>
            <w:tcW w:w="851" w:type="dxa"/>
            <w:shd w:val="clear" w:color="auto" w:fill="auto"/>
            <w:noWrap/>
            <w:vAlign w:val="center"/>
            <w:hideMark/>
          </w:tcPr>
          <w:p w14:paraId="3D2072DF"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115,2</w:t>
            </w:r>
          </w:p>
        </w:tc>
        <w:tc>
          <w:tcPr>
            <w:tcW w:w="850" w:type="dxa"/>
            <w:shd w:val="clear" w:color="auto" w:fill="auto"/>
            <w:noWrap/>
            <w:vAlign w:val="center"/>
            <w:hideMark/>
          </w:tcPr>
          <w:p w14:paraId="20E39AE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96,8</w:t>
            </w:r>
          </w:p>
        </w:tc>
        <w:tc>
          <w:tcPr>
            <w:tcW w:w="851" w:type="dxa"/>
            <w:shd w:val="clear" w:color="auto" w:fill="auto"/>
            <w:noWrap/>
            <w:vAlign w:val="center"/>
            <w:hideMark/>
          </w:tcPr>
          <w:p w14:paraId="56BB154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91,0</w:t>
            </w:r>
          </w:p>
        </w:tc>
        <w:tc>
          <w:tcPr>
            <w:tcW w:w="850" w:type="dxa"/>
            <w:shd w:val="clear" w:color="auto" w:fill="auto"/>
            <w:noWrap/>
            <w:vAlign w:val="center"/>
            <w:hideMark/>
          </w:tcPr>
          <w:p w14:paraId="622BC11F"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82,2</w:t>
            </w:r>
          </w:p>
        </w:tc>
        <w:tc>
          <w:tcPr>
            <w:tcW w:w="709" w:type="dxa"/>
            <w:shd w:val="clear" w:color="auto" w:fill="auto"/>
            <w:noWrap/>
            <w:vAlign w:val="center"/>
            <w:hideMark/>
          </w:tcPr>
          <w:p w14:paraId="439C9FE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80,4</w:t>
            </w:r>
          </w:p>
        </w:tc>
        <w:tc>
          <w:tcPr>
            <w:tcW w:w="709" w:type="dxa"/>
            <w:shd w:val="clear" w:color="auto" w:fill="auto"/>
            <w:noWrap/>
            <w:vAlign w:val="center"/>
            <w:hideMark/>
          </w:tcPr>
          <w:p w14:paraId="6AAFFC8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80,5</w:t>
            </w:r>
          </w:p>
        </w:tc>
        <w:tc>
          <w:tcPr>
            <w:tcW w:w="708" w:type="dxa"/>
            <w:shd w:val="clear" w:color="auto" w:fill="auto"/>
            <w:noWrap/>
            <w:vAlign w:val="center"/>
            <w:hideMark/>
          </w:tcPr>
          <w:p w14:paraId="7C7767B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76,9</w:t>
            </w:r>
          </w:p>
        </w:tc>
        <w:tc>
          <w:tcPr>
            <w:tcW w:w="709" w:type="dxa"/>
            <w:shd w:val="clear" w:color="auto" w:fill="auto"/>
            <w:vAlign w:val="center"/>
            <w:hideMark/>
          </w:tcPr>
          <w:p w14:paraId="0BD2927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 xml:space="preserve">70,5 </w:t>
            </w:r>
          </w:p>
        </w:tc>
        <w:tc>
          <w:tcPr>
            <w:tcW w:w="689" w:type="dxa"/>
            <w:shd w:val="clear" w:color="auto" w:fill="DEEAF6" w:themeFill="accent1" w:themeFillTint="33"/>
            <w:vAlign w:val="center"/>
            <w:hideMark/>
          </w:tcPr>
          <w:p w14:paraId="28491DD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w:t>
            </w:r>
          </w:p>
        </w:tc>
      </w:tr>
      <w:tr w:rsidR="003347CE" w:rsidRPr="003347CE" w14:paraId="10D5EA7A" w14:textId="77777777" w:rsidTr="00FD5F28">
        <w:trPr>
          <w:trHeight w:val="343"/>
          <w:jc w:val="center"/>
        </w:trPr>
        <w:tc>
          <w:tcPr>
            <w:tcW w:w="3681" w:type="dxa"/>
            <w:shd w:val="clear" w:color="auto" w:fill="auto"/>
            <w:vAlign w:val="center"/>
            <w:hideMark/>
          </w:tcPr>
          <w:p w14:paraId="49DE188D"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Vispārējais valdības parāds</w:t>
            </w:r>
          </w:p>
        </w:tc>
        <w:tc>
          <w:tcPr>
            <w:tcW w:w="1559" w:type="dxa"/>
            <w:shd w:val="clear" w:color="auto" w:fill="auto"/>
            <w:vAlign w:val="center"/>
            <w:hideMark/>
          </w:tcPr>
          <w:p w14:paraId="6860C4D1"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 no IKP</w:t>
            </w:r>
          </w:p>
        </w:tc>
        <w:tc>
          <w:tcPr>
            <w:tcW w:w="851" w:type="dxa"/>
            <w:shd w:val="clear" w:color="auto" w:fill="auto"/>
            <w:vAlign w:val="center"/>
            <w:hideMark/>
          </w:tcPr>
          <w:p w14:paraId="636B7FD5"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60%</w:t>
            </w:r>
          </w:p>
        </w:tc>
        <w:tc>
          <w:tcPr>
            <w:tcW w:w="850" w:type="dxa"/>
            <w:shd w:val="clear" w:color="auto" w:fill="auto"/>
            <w:noWrap/>
            <w:vAlign w:val="center"/>
            <w:hideMark/>
          </w:tcPr>
          <w:p w14:paraId="2E13FC8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48,1</w:t>
            </w:r>
          </w:p>
        </w:tc>
        <w:tc>
          <w:tcPr>
            <w:tcW w:w="851" w:type="dxa"/>
            <w:shd w:val="clear" w:color="auto" w:fill="auto"/>
            <w:noWrap/>
            <w:vAlign w:val="center"/>
            <w:hideMark/>
          </w:tcPr>
          <w:p w14:paraId="4FCB7AF8"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43,9</w:t>
            </w:r>
          </w:p>
        </w:tc>
        <w:tc>
          <w:tcPr>
            <w:tcW w:w="850" w:type="dxa"/>
            <w:shd w:val="clear" w:color="auto" w:fill="auto"/>
            <w:noWrap/>
            <w:vAlign w:val="center"/>
            <w:hideMark/>
          </w:tcPr>
          <w:p w14:paraId="4C39513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42,4</w:t>
            </w:r>
          </w:p>
        </w:tc>
        <w:tc>
          <w:tcPr>
            <w:tcW w:w="851" w:type="dxa"/>
            <w:shd w:val="clear" w:color="auto" w:fill="auto"/>
            <w:noWrap/>
            <w:vAlign w:val="center"/>
            <w:hideMark/>
          </w:tcPr>
          <w:p w14:paraId="4DED6BA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40,3</w:t>
            </w:r>
          </w:p>
        </w:tc>
        <w:tc>
          <w:tcPr>
            <w:tcW w:w="850" w:type="dxa"/>
            <w:shd w:val="clear" w:color="auto" w:fill="auto"/>
            <w:noWrap/>
            <w:vAlign w:val="center"/>
            <w:hideMark/>
          </w:tcPr>
          <w:p w14:paraId="2847696B"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41,6</w:t>
            </w:r>
          </w:p>
        </w:tc>
        <w:tc>
          <w:tcPr>
            <w:tcW w:w="709" w:type="dxa"/>
            <w:shd w:val="clear" w:color="auto" w:fill="auto"/>
            <w:noWrap/>
            <w:vAlign w:val="center"/>
            <w:hideMark/>
          </w:tcPr>
          <w:p w14:paraId="56A3E47E"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37,3</w:t>
            </w:r>
          </w:p>
        </w:tc>
        <w:tc>
          <w:tcPr>
            <w:tcW w:w="709" w:type="dxa"/>
            <w:shd w:val="clear" w:color="auto" w:fill="auto"/>
            <w:noWrap/>
            <w:vAlign w:val="center"/>
            <w:hideMark/>
          </w:tcPr>
          <w:p w14:paraId="68819F9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40,9</w:t>
            </w:r>
          </w:p>
        </w:tc>
        <w:tc>
          <w:tcPr>
            <w:tcW w:w="708" w:type="dxa"/>
            <w:shd w:val="clear" w:color="auto" w:fill="auto"/>
            <w:noWrap/>
            <w:vAlign w:val="center"/>
            <w:hideMark/>
          </w:tcPr>
          <w:p w14:paraId="4FD39029"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39,3</w:t>
            </w:r>
          </w:p>
        </w:tc>
        <w:tc>
          <w:tcPr>
            <w:tcW w:w="709" w:type="dxa"/>
            <w:shd w:val="clear" w:color="auto" w:fill="auto"/>
            <w:vAlign w:val="center"/>
            <w:hideMark/>
          </w:tcPr>
          <w:p w14:paraId="024E52D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37,2</w:t>
            </w:r>
          </w:p>
        </w:tc>
        <w:tc>
          <w:tcPr>
            <w:tcW w:w="689" w:type="dxa"/>
            <w:shd w:val="clear" w:color="auto" w:fill="DEEAF6" w:themeFill="accent1" w:themeFillTint="33"/>
            <w:vAlign w:val="center"/>
            <w:hideMark/>
          </w:tcPr>
          <w:p w14:paraId="11CD6CD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36,9</w:t>
            </w:r>
          </w:p>
        </w:tc>
      </w:tr>
      <w:tr w:rsidR="003347CE" w:rsidRPr="003347CE" w14:paraId="26A367BC" w14:textId="77777777" w:rsidTr="00FD5F28">
        <w:trPr>
          <w:trHeight w:val="343"/>
          <w:jc w:val="center"/>
        </w:trPr>
        <w:tc>
          <w:tcPr>
            <w:tcW w:w="3681" w:type="dxa"/>
            <w:shd w:val="clear" w:color="auto" w:fill="auto"/>
            <w:vAlign w:val="center"/>
            <w:hideMark/>
          </w:tcPr>
          <w:p w14:paraId="7990F76D"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Bezdarba līmenis</w:t>
            </w:r>
          </w:p>
        </w:tc>
        <w:tc>
          <w:tcPr>
            <w:tcW w:w="1559" w:type="dxa"/>
            <w:shd w:val="clear" w:color="auto" w:fill="auto"/>
            <w:vAlign w:val="center"/>
            <w:hideMark/>
          </w:tcPr>
          <w:p w14:paraId="4970F7C6"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 gadu vidējais</w:t>
            </w:r>
          </w:p>
        </w:tc>
        <w:tc>
          <w:tcPr>
            <w:tcW w:w="851" w:type="dxa"/>
            <w:shd w:val="clear" w:color="auto" w:fill="auto"/>
            <w:vAlign w:val="center"/>
            <w:hideMark/>
          </w:tcPr>
          <w:p w14:paraId="0DDE456B"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10%</w:t>
            </w:r>
          </w:p>
        </w:tc>
        <w:tc>
          <w:tcPr>
            <w:tcW w:w="850" w:type="dxa"/>
            <w:shd w:val="clear" w:color="000000" w:fill="FFCCCC"/>
            <w:noWrap/>
            <w:vAlign w:val="center"/>
            <w:hideMark/>
          </w:tcPr>
          <w:p w14:paraId="2319CF39"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14,9</w:t>
            </w:r>
          </w:p>
        </w:tc>
        <w:tc>
          <w:tcPr>
            <w:tcW w:w="851" w:type="dxa"/>
            <w:shd w:val="clear" w:color="000000" w:fill="FFCCCC"/>
            <w:noWrap/>
            <w:vAlign w:val="center"/>
            <w:hideMark/>
          </w:tcPr>
          <w:p w14:paraId="302F7DC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17,7</w:t>
            </w:r>
          </w:p>
        </w:tc>
        <w:tc>
          <w:tcPr>
            <w:tcW w:w="850" w:type="dxa"/>
            <w:shd w:val="clear" w:color="000000" w:fill="FFCCCC"/>
            <w:noWrap/>
            <w:vAlign w:val="center"/>
            <w:hideMark/>
          </w:tcPr>
          <w:p w14:paraId="28F8D40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16,9</w:t>
            </w:r>
          </w:p>
        </w:tc>
        <w:tc>
          <w:tcPr>
            <w:tcW w:w="851" w:type="dxa"/>
            <w:shd w:val="clear" w:color="000000" w:fill="FFCCCC"/>
            <w:noWrap/>
            <w:vAlign w:val="center"/>
            <w:hideMark/>
          </w:tcPr>
          <w:p w14:paraId="6CEA9B68"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14,4</w:t>
            </w:r>
          </w:p>
        </w:tc>
        <w:tc>
          <w:tcPr>
            <w:tcW w:w="850" w:type="dxa"/>
            <w:shd w:val="clear" w:color="000000" w:fill="FFCCCC"/>
            <w:noWrap/>
            <w:vAlign w:val="center"/>
            <w:hideMark/>
          </w:tcPr>
          <w:p w14:paraId="7F58CB9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12,6</w:t>
            </w:r>
          </w:p>
        </w:tc>
        <w:tc>
          <w:tcPr>
            <w:tcW w:w="709" w:type="dxa"/>
            <w:shd w:val="clear" w:color="000000" w:fill="FFCCCC"/>
            <w:noWrap/>
            <w:vAlign w:val="center"/>
            <w:hideMark/>
          </w:tcPr>
          <w:p w14:paraId="0C86F51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10,9</w:t>
            </w:r>
          </w:p>
        </w:tc>
        <w:tc>
          <w:tcPr>
            <w:tcW w:w="709" w:type="dxa"/>
            <w:shd w:val="clear" w:color="000000" w:fill="FFCCCC"/>
            <w:noWrap/>
            <w:vAlign w:val="center"/>
            <w:hideMark/>
          </w:tcPr>
          <w:p w14:paraId="307429E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10,1</w:t>
            </w:r>
          </w:p>
        </w:tc>
        <w:tc>
          <w:tcPr>
            <w:tcW w:w="708" w:type="dxa"/>
            <w:shd w:val="clear" w:color="auto" w:fill="auto"/>
            <w:noWrap/>
            <w:vAlign w:val="center"/>
            <w:hideMark/>
          </w:tcPr>
          <w:p w14:paraId="73773FA7"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9,4</w:t>
            </w:r>
          </w:p>
        </w:tc>
        <w:tc>
          <w:tcPr>
            <w:tcW w:w="709" w:type="dxa"/>
            <w:shd w:val="clear" w:color="auto" w:fill="auto"/>
            <w:vAlign w:val="center"/>
            <w:hideMark/>
          </w:tcPr>
          <w:p w14:paraId="40D1DC3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8,6</w:t>
            </w:r>
          </w:p>
        </w:tc>
        <w:tc>
          <w:tcPr>
            <w:tcW w:w="689" w:type="dxa"/>
            <w:shd w:val="clear" w:color="auto" w:fill="DEEAF6" w:themeFill="accent1" w:themeFillTint="33"/>
            <w:vAlign w:val="center"/>
            <w:hideMark/>
          </w:tcPr>
          <w:p w14:paraId="4DFAB94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7,5</w:t>
            </w:r>
          </w:p>
        </w:tc>
      </w:tr>
      <w:tr w:rsidR="003347CE" w:rsidRPr="003347CE" w14:paraId="1A240D41" w14:textId="77777777" w:rsidTr="00FD5F28">
        <w:trPr>
          <w:trHeight w:val="343"/>
          <w:jc w:val="center"/>
        </w:trPr>
        <w:tc>
          <w:tcPr>
            <w:tcW w:w="3681" w:type="dxa"/>
            <w:shd w:val="clear" w:color="auto" w:fill="auto"/>
            <w:vAlign w:val="center"/>
            <w:hideMark/>
          </w:tcPr>
          <w:p w14:paraId="65CF69F1"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Finanšu sektora saistības kopā -nekonsolidētas</w:t>
            </w:r>
          </w:p>
        </w:tc>
        <w:tc>
          <w:tcPr>
            <w:tcW w:w="1559" w:type="dxa"/>
            <w:shd w:val="clear" w:color="auto" w:fill="auto"/>
            <w:vAlign w:val="center"/>
            <w:hideMark/>
          </w:tcPr>
          <w:p w14:paraId="612029CD"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 gada % izmaiņas</w:t>
            </w:r>
          </w:p>
        </w:tc>
        <w:tc>
          <w:tcPr>
            <w:tcW w:w="851" w:type="dxa"/>
            <w:shd w:val="clear" w:color="auto" w:fill="auto"/>
            <w:vAlign w:val="center"/>
            <w:hideMark/>
          </w:tcPr>
          <w:p w14:paraId="29F082DA"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16,5%</w:t>
            </w:r>
          </w:p>
        </w:tc>
        <w:tc>
          <w:tcPr>
            <w:tcW w:w="850" w:type="dxa"/>
            <w:shd w:val="clear" w:color="auto" w:fill="auto"/>
            <w:noWrap/>
            <w:vAlign w:val="center"/>
            <w:hideMark/>
          </w:tcPr>
          <w:p w14:paraId="0AD8B5D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0,5</w:t>
            </w:r>
          </w:p>
        </w:tc>
        <w:tc>
          <w:tcPr>
            <w:tcW w:w="851" w:type="dxa"/>
            <w:shd w:val="clear" w:color="auto" w:fill="auto"/>
            <w:noWrap/>
            <w:vAlign w:val="center"/>
            <w:hideMark/>
          </w:tcPr>
          <w:p w14:paraId="36C3FDD9"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-6,2</w:t>
            </w:r>
          </w:p>
        </w:tc>
        <w:tc>
          <w:tcPr>
            <w:tcW w:w="850" w:type="dxa"/>
            <w:shd w:val="clear" w:color="auto" w:fill="auto"/>
            <w:noWrap/>
            <w:vAlign w:val="center"/>
            <w:hideMark/>
          </w:tcPr>
          <w:p w14:paraId="17EE4F6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5,6</w:t>
            </w:r>
          </w:p>
        </w:tc>
        <w:tc>
          <w:tcPr>
            <w:tcW w:w="851" w:type="dxa"/>
            <w:shd w:val="clear" w:color="auto" w:fill="auto"/>
            <w:noWrap/>
            <w:vAlign w:val="center"/>
            <w:hideMark/>
          </w:tcPr>
          <w:p w14:paraId="2C6875D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5,7</w:t>
            </w:r>
          </w:p>
        </w:tc>
        <w:tc>
          <w:tcPr>
            <w:tcW w:w="850" w:type="dxa"/>
            <w:shd w:val="clear" w:color="auto" w:fill="auto"/>
            <w:noWrap/>
            <w:vAlign w:val="center"/>
            <w:hideMark/>
          </w:tcPr>
          <w:p w14:paraId="3E7D69A9"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11,4</w:t>
            </w:r>
          </w:p>
        </w:tc>
        <w:tc>
          <w:tcPr>
            <w:tcW w:w="709" w:type="dxa"/>
            <w:shd w:val="clear" w:color="auto" w:fill="auto"/>
            <w:noWrap/>
            <w:vAlign w:val="center"/>
            <w:hideMark/>
          </w:tcPr>
          <w:p w14:paraId="6C4B46D8"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13,2</w:t>
            </w:r>
          </w:p>
        </w:tc>
        <w:tc>
          <w:tcPr>
            <w:tcW w:w="709" w:type="dxa"/>
            <w:shd w:val="clear" w:color="auto" w:fill="auto"/>
            <w:noWrap/>
            <w:vAlign w:val="center"/>
            <w:hideMark/>
          </w:tcPr>
          <w:p w14:paraId="1EE9AD21"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4,7</w:t>
            </w:r>
          </w:p>
        </w:tc>
        <w:tc>
          <w:tcPr>
            <w:tcW w:w="708" w:type="dxa"/>
            <w:shd w:val="clear" w:color="auto" w:fill="auto"/>
            <w:noWrap/>
            <w:vAlign w:val="center"/>
            <w:hideMark/>
          </w:tcPr>
          <w:p w14:paraId="05A38AC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6,2</w:t>
            </w:r>
          </w:p>
        </w:tc>
        <w:tc>
          <w:tcPr>
            <w:tcW w:w="709" w:type="dxa"/>
            <w:shd w:val="clear" w:color="auto" w:fill="auto"/>
            <w:vAlign w:val="center"/>
            <w:hideMark/>
          </w:tcPr>
          <w:p w14:paraId="6E0ED7B1"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-3,0</w:t>
            </w:r>
          </w:p>
        </w:tc>
        <w:tc>
          <w:tcPr>
            <w:tcW w:w="689" w:type="dxa"/>
            <w:shd w:val="clear" w:color="auto" w:fill="DEEAF6" w:themeFill="accent1" w:themeFillTint="33"/>
            <w:vAlign w:val="center"/>
            <w:hideMark/>
          </w:tcPr>
          <w:p w14:paraId="4A75896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w:t>
            </w:r>
          </w:p>
        </w:tc>
      </w:tr>
      <w:tr w:rsidR="003347CE" w:rsidRPr="003347CE" w14:paraId="545911F5" w14:textId="77777777" w:rsidTr="00FD5F28">
        <w:trPr>
          <w:trHeight w:val="343"/>
          <w:jc w:val="center"/>
        </w:trPr>
        <w:tc>
          <w:tcPr>
            <w:tcW w:w="3681" w:type="dxa"/>
            <w:shd w:val="clear" w:color="auto" w:fill="auto"/>
            <w:vAlign w:val="center"/>
            <w:hideMark/>
          </w:tcPr>
          <w:p w14:paraId="741D473C"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Ekonomiski aktīvo iedzīvotāju īpatsvars % no visiem iedzīvotājiem vecuma grupā no 15-64 gadiem</w:t>
            </w:r>
          </w:p>
        </w:tc>
        <w:tc>
          <w:tcPr>
            <w:tcW w:w="1559" w:type="dxa"/>
            <w:shd w:val="clear" w:color="auto" w:fill="auto"/>
            <w:vAlign w:val="center"/>
            <w:hideMark/>
          </w:tcPr>
          <w:p w14:paraId="2242B3B9" w14:textId="69D691BD" w:rsidR="003347CE" w:rsidRPr="003347CE" w:rsidRDefault="003347CE" w:rsidP="00C404D5">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 xml:space="preserve">3 gadu izmaiņas </w:t>
            </w:r>
            <w:r w:rsidR="00C404D5">
              <w:rPr>
                <w:rFonts w:ascii="Times New Roman" w:eastAsia="Times New Roman" w:hAnsi="Times New Roman" w:cs="Times New Roman"/>
                <w:color w:val="000000"/>
                <w:sz w:val="19"/>
                <w:szCs w:val="19"/>
              </w:rPr>
              <w:t>procentpunktos</w:t>
            </w:r>
          </w:p>
        </w:tc>
        <w:tc>
          <w:tcPr>
            <w:tcW w:w="851" w:type="dxa"/>
            <w:shd w:val="clear" w:color="auto" w:fill="auto"/>
            <w:vAlign w:val="center"/>
            <w:hideMark/>
          </w:tcPr>
          <w:p w14:paraId="73F57B79"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-0,2 pp</w:t>
            </w:r>
          </w:p>
        </w:tc>
        <w:tc>
          <w:tcPr>
            <w:tcW w:w="850" w:type="dxa"/>
            <w:shd w:val="clear" w:color="auto" w:fill="auto"/>
            <w:noWrap/>
            <w:vAlign w:val="center"/>
            <w:hideMark/>
          </w:tcPr>
          <w:p w14:paraId="2B8EC4C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0,4</w:t>
            </w:r>
          </w:p>
        </w:tc>
        <w:tc>
          <w:tcPr>
            <w:tcW w:w="851" w:type="dxa"/>
            <w:shd w:val="clear" w:color="auto" w:fill="auto"/>
            <w:noWrap/>
            <w:vAlign w:val="center"/>
            <w:hideMark/>
          </w:tcPr>
          <w:p w14:paraId="1F20990F"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-1,4</w:t>
            </w:r>
          </w:p>
        </w:tc>
        <w:tc>
          <w:tcPr>
            <w:tcW w:w="850" w:type="dxa"/>
            <w:shd w:val="clear" w:color="auto" w:fill="auto"/>
            <w:noWrap/>
            <w:vAlign w:val="center"/>
            <w:hideMark/>
          </w:tcPr>
          <w:p w14:paraId="409C8AD9"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0,9</w:t>
            </w:r>
          </w:p>
        </w:tc>
        <w:tc>
          <w:tcPr>
            <w:tcW w:w="851" w:type="dxa"/>
            <w:shd w:val="clear" w:color="auto" w:fill="auto"/>
            <w:noWrap/>
            <w:vAlign w:val="center"/>
            <w:hideMark/>
          </w:tcPr>
          <w:p w14:paraId="50877BB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w:t>
            </w:r>
          </w:p>
        </w:tc>
        <w:tc>
          <w:tcPr>
            <w:tcW w:w="850" w:type="dxa"/>
            <w:shd w:val="clear" w:color="auto" w:fill="auto"/>
            <w:noWrap/>
            <w:vAlign w:val="center"/>
            <w:hideMark/>
          </w:tcPr>
          <w:p w14:paraId="78A260B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1,8</w:t>
            </w:r>
          </w:p>
        </w:tc>
        <w:tc>
          <w:tcPr>
            <w:tcW w:w="709" w:type="dxa"/>
            <w:shd w:val="clear" w:color="auto" w:fill="auto"/>
            <w:noWrap/>
            <w:vAlign w:val="center"/>
            <w:hideMark/>
          </w:tcPr>
          <w:p w14:paraId="0864432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1,3</w:t>
            </w:r>
          </w:p>
        </w:tc>
        <w:tc>
          <w:tcPr>
            <w:tcW w:w="709" w:type="dxa"/>
            <w:shd w:val="clear" w:color="auto" w:fill="auto"/>
            <w:noWrap/>
            <w:vAlign w:val="center"/>
            <w:hideMark/>
          </w:tcPr>
          <w:p w14:paraId="097071A8"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2,3</w:t>
            </w:r>
          </w:p>
        </w:tc>
        <w:tc>
          <w:tcPr>
            <w:tcW w:w="708" w:type="dxa"/>
            <w:shd w:val="clear" w:color="auto" w:fill="auto"/>
            <w:noWrap/>
            <w:vAlign w:val="center"/>
            <w:hideMark/>
          </w:tcPr>
          <w:p w14:paraId="39C4E8A3"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2,4</w:t>
            </w:r>
          </w:p>
        </w:tc>
        <w:tc>
          <w:tcPr>
            <w:tcW w:w="709" w:type="dxa"/>
            <w:shd w:val="clear" w:color="auto" w:fill="auto"/>
            <w:vAlign w:val="center"/>
            <w:hideMark/>
          </w:tcPr>
          <w:p w14:paraId="521D8E4E"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2,0</w:t>
            </w:r>
          </w:p>
        </w:tc>
        <w:tc>
          <w:tcPr>
            <w:tcW w:w="689" w:type="dxa"/>
            <w:shd w:val="clear" w:color="auto" w:fill="DEEAF6" w:themeFill="accent1" w:themeFillTint="33"/>
            <w:vAlign w:val="center"/>
            <w:hideMark/>
          </w:tcPr>
          <w:p w14:paraId="52E91F0D"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1,0</w:t>
            </w:r>
          </w:p>
        </w:tc>
      </w:tr>
      <w:tr w:rsidR="003347CE" w:rsidRPr="003347CE" w14:paraId="2906FC5C" w14:textId="77777777" w:rsidTr="00FD5F28">
        <w:trPr>
          <w:trHeight w:val="343"/>
          <w:jc w:val="center"/>
        </w:trPr>
        <w:tc>
          <w:tcPr>
            <w:tcW w:w="3681" w:type="dxa"/>
            <w:shd w:val="clear" w:color="auto" w:fill="auto"/>
            <w:vAlign w:val="center"/>
            <w:hideMark/>
          </w:tcPr>
          <w:p w14:paraId="7812D4D8"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Ilgtermiņa bezdarba līmenis % no ekonomiski aktīvajiem iedzīvotājiem vecuma grupā no 15-74 gadiem</w:t>
            </w:r>
          </w:p>
        </w:tc>
        <w:tc>
          <w:tcPr>
            <w:tcW w:w="1559" w:type="dxa"/>
            <w:shd w:val="clear" w:color="auto" w:fill="auto"/>
            <w:vAlign w:val="center"/>
            <w:hideMark/>
          </w:tcPr>
          <w:p w14:paraId="057C5171" w14:textId="1215F0B4"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 xml:space="preserve">3 gadu izmaiņas </w:t>
            </w:r>
            <w:r w:rsidR="00C404D5">
              <w:rPr>
                <w:rFonts w:ascii="Times New Roman" w:eastAsia="Times New Roman" w:hAnsi="Times New Roman" w:cs="Times New Roman"/>
                <w:color w:val="000000"/>
                <w:sz w:val="19"/>
                <w:szCs w:val="19"/>
              </w:rPr>
              <w:t>procentpunktos</w:t>
            </w:r>
          </w:p>
        </w:tc>
        <w:tc>
          <w:tcPr>
            <w:tcW w:w="851" w:type="dxa"/>
            <w:shd w:val="clear" w:color="auto" w:fill="auto"/>
            <w:vAlign w:val="center"/>
            <w:hideMark/>
          </w:tcPr>
          <w:p w14:paraId="0D4D0FFB"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0,5 pp</w:t>
            </w:r>
          </w:p>
        </w:tc>
        <w:tc>
          <w:tcPr>
            <w:tcW w:w="850" w:type="dxa"/>
            <w:shd w:val="clear" w:color="000000" w:fill="FFCCCC"/>
            <w:noWrap/>
            <w:vAlign w:val="center"/>
            <w:hideMark/>
          </w:tcPr>
          <w:p w14:paraId="606ABEF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7,2</w:t>
            </w:r>
          </w:p>
        </w:tc>
        <w:tc>
          <w:tcPr>
            <w:tcW w:w="851" w:type="dxa"/>
            <w:shd w:val="clear" w:color="000000" w:fill="FFCCCC"/>
            <w:noWrap/>
            <w:vAlign w:val="center"/>
            <w:hideMark/>
          </w:tcPr>
          <w:p w14:paraId="7A2BE43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6,9</w:t>
            </w:r>
          </w:p>
        </w:tc>
        <w:tc>
          <w:tcPr>
            <w:tcW w:w="850" w:type="dxa"/>
            <w:shd w:val="clear" w:color="000000" w:fill="FFCCCC"/>
            <w:noWrap/>
            <w:vAlign w:val="center"/>
            <w:hideMark/>
          </w:tcPr>
          <w:p w14:paraId="00DEE275"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3,3</w:t>
            </w:r>
          </w:p>
        </w:tc>
        <w:tc>
          <w:tcPr>
            <w:tcW w:w="851" w:type="dxa"/>
            <w:shd w:val="clear" w:color="auto" w:fill="auto"/>
            <w:noWrap/>
            <w:vAlign w:val="center"/>
            <w:hideMark/>
          </w:tcPr>
          <w:p w14:paraId="01A25948"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-3,1</w:t>
            </w:r>
          </w:p>
        </w:tc>
        <w:tc>
          <w:tcPr>
            <w:tcW w:w="850" w:type="dxa"/>
            <w:shd w:val="clear" w:color="auto" w:fill="auto"/>
            <w:noWrap/>
            <w:vAlign w:val="center"/>
            <w:hideMark/>
          </w:tcPr>
          <w:p w14:paraId="4C47CA2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-4,2</w:t>
            </w:r>
          </w:p>
        </w:tc>
        <w:tc>
          <w:tcPr>
            <w:tcW w:w="709" w:type="dxa"/>
            <w:shd w:val="clear" w:color="auto" w:fill="auto"/>
            <w:noWrap/>
            <w:vAlign w:val="center"/>
            <w:hideMark/>
          </w:tcPr>
          <w:p w14:paraId="79239CA2"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-3,3</w:t>
            </w:r>
          </w:p>
        </w:tc>
        <w:tc>
          <w:tcPr>
            <w:tcW w:w="709" w:type="dxa"/>
            <w:shd w:val="clear" w:color="auto" w:fill="auto"/>
            <w:noWrap/>
            <w:vAlign w:val="center"/>
            <w:hideMark/>
          </w:tcPr>
          <w:p w14:paraId="663CEF9B"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-1,7</w:t>
            </w:r>
          </w:p>
        </w:tc>
        <w:tc>
          <w:tcPr>
            <w:tcW w:w="708" w:type="dxa"/>
            <w:shd w:val="clear" w:color="auto" w:fill="auto"/>
            <w:noWrap/>
            <w:vAlign w:val="center"/>
            <w:hideMark/>
          </w:tcPr>
          <w:p w14:paraId="4AC0F7C8"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-1,3</w:t>
            </w:r>
          </w:p>
        </w:tc>
        <w:tc>
          <w:tcPr>
            <w:tcW w:w="709" w:type="dxa"/>
            <w:shd w:val="clear" w:color="auto" w:fill="auto"/>
            <w:vAlign w:val="center"/>
            <w:hideMark/>
          </w:tcPr>
          <w:p w14:paraId="67EE91C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-1,4</w:t>
            </w:r>
          </w:p>
        </w:tc>
        <w:tc>
          <w:tcPr>
            <w:tcW w:w="689" w:type="dxa"/>
            <w:shd w:val="clear" w:color="auto" w:fill="DEEAF6" w:themeFill="accent1" w:themeFillTint="33"/>
            <w:vAlign w:val="center"/>
            <w:hideMark/>
          </w:tcPr>
          <w:p w14:paraId="465AEB70"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-1,6</w:t>
            </w:r>
          </w:p>
        </w:tc>
      </w:tr>
      <w:tr w:rsidR="003347CE" w:rsidRPr="003347CE" w14:paraId="21AEEE98" w14:textId="77777777" w:rsidTr="00FD5F28">
        <w:trPr>
          <w:trHeight w:val="343"/>
          <w:jc w:val="center"/>
        </w:trPr>
        <w:tc>
          <w:tcPr>
            <w:tcW w:w="3681" w:type="dxa"/>
            <w:shd w:val="clear" w:color="auto" w:fill="auto"/>
            <w:vAlign w:val="center"/>
            <w:hideMark/>
          </w:tcPr>
          <w:p w14:paraId="0C0C12A4" w14:textId="77777777" w:rsidR="003347CE" w:rsidRPr="003347CE" w:rsidRDefault="003347CE" w:rsidP="00401A5B">
            <w:pPr>
              <w:spacing w:line="259" w:lineRule="auto"/>
              <w:ind w:left="-14"/>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Jauniešu bezdarba līmenis % no ekonomiski aktīvajiem iedzīvotājiem vecuma grupā no 15-24 gadiem</w:t>
            </w:r>
          </w:p>
        </w:tc>
        <w:tc>
          <w:tcPr>
            <w:tcW w:w="1559" w:type="dxa"/>
            <w:shd w:val="clear" w:color="auto" w:fill="auto"/>
            <w:vAlign w:val="center"/>
            <w:hideMark/>
          </w:tcPr>
          <w:p w14:paraId="4633E06A" w14:textId="283CF396"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 xml:space="preserve">3 gadu izmaiņas </w:t>
            </w:r>
            <w:r w:rsidR="00C404D5">
              <w:rPr>
                <w:rFonts w:ascii="Times New Roman" w:eastAsia="Times New Roman" w:hAnsi="Times New Roman" w:cs="Times New Roman"/>
                <w:color w:val="000000"/>
                <w:sz w:val="19"/>
                <w:szCs w:val="19"/>
              </w:rPr>
              <w:t>procentpunktos</w:t>
            </w:r>
          </w:p>
        </w:tc>
        <w:tc>
          <w:tcPr>
            <w:tcW w:w="851" w:type="dxa"/>
            <w:shd w:val="clear" w:color="auto" w:fill="auto"/>
            <w:vAlign w:val="center"/>
            <w:hideMark/>
          </w:tcPr>
          <w:p w14:paraId="4F351D3F" w14:textId="77777777" w:rsidR="003347CE" w:rsidRPr="003347CE" w:rsidRDefault="003347CE" w:rsidP="00401A5B">
            <w:pPr>
              <w:spacing w:line="259" w:lineRule="auto"/>
              <w:ind w:left="-14"/>
              <w:jc w:val="center"/>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 pp</w:t>
            </w:r>
          </w:p>
        </w:tc>
        <w:tc>
          <w:tcPr>
            <w:tcW w:w="850" w:type="dxa"/>
            <w:shd w:val="clear" w:color="000000" w:fill="FFCCCC"/>
            <w:noWrap/>
            <w:vAlign w:val="center"/>
            <w:hideMark/>
          </w:tcPr>
          <w:p w14:paraId="43AFD274"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25,6</w:t>
            </w:r>
          </w:p>
        </w:tc>
        <w:tc>
          <w:tcPr>
            <w:tcW w:w="851" w:type="dxa"/>
            <w:shd w:val="clear" w:color="000000" w:fill="FFCCCC"/>
            <w:noWrap/>
            <w:vAlign w:val="center"/>
            <w:hideMark/>
          </w:tcPr>
          <w:p w14:paraId="4B297A71"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17,4</w:t>
            </w:r>
          </w:p>
        </w:tc>
        <w:tc>
          <w:tcPr>
            <w:tcW w:w="850" w:type="dxa"/>
            <w:shd w:val="clear" w:color="auto" w:fill="auto"/>
            <w:noWrap/>
            <w:vAlign w:val="center"/>
            <w:hideMark/>
          </w:tcPr>
          <w:p w14:paraId="114B13C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-4,8</w:t>
            </w:r>
          </w:p>
        </w:tc>
        <w:tc>
          <w:tcPr>
            <w:tcW w:w="851" w:type="dxa"/>
            <w:shd w:val="clear" w:color="auto" w:fill="auto"/>
            <w:noWrap/>
            <w:vAlign w:val="center"/>
            <w:hideMark/>
          </w:tcPr>
          <w:p w14:paraId="08425AC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-13</w:t>
            </w:r>
          </w:p>
        </w:tc>
        <w:tc>
          <w:tcPr>
            <w:tcW w:w="850" w:type="dxa"/>
            <w:shd w:val="clear" w:color="auto" w:fill="auto"/>
            <w:noWrap/>
            <w:vAlign w:val="center"/>
            <w:hideMark/>
          </w:tcPr>
          <w:p w14:paraId="74A1B246"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-11,4</w:t>
            </w:r>
          </w:p>
        </w:tc>
        <w:tc>
          <w:tcPr>
            <w:tcW w:w="709" w:type="dxa"/>
            <w:shd w:val="clear" w:color="auto" w:fill="auto"/>
            <w:noWrap/>
            <w:vAlign w:val="center"/>
            <w:hideMark/>
          </w:tcPr>
          <w:p w14:paraId="7A411EC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-12,2</w:t>
            </w:r>
          </w:p>
        </w:tc>
        <w:tc>
          <w:tcPr>
            <w:tcW w:w="709" w:type="dxa"/>
            <w:shd w:val="clear" w:color="auto" w:fill="auto"/>
            <w:noWrap/>
            <w:vAlign w:val="center"/>
            <w:hideMark/>
          </w:tcPr>
          <w:p w14:paraId="2F4712DC"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-5,9</w:t>
            </w:r>
          </w:p>
        </w:tc>
        <w:tc>
          <w:tcPr>
            <w:tcW w:w="708" w:type="dxa"/>
            <w:shd w:val="clear" w:color="auto" w:fill="auto"/>
            <w:noWrap/>
            <w:vAlign w:val="center"/>
            <w:hideMark/>
          </w:tcPr>
          <w:p w14:paraId="54AB55EA"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-2,6</w:t>
            </w:r>
          </w:p>
        </w:tc>
        <w:tc>
          <w:tcPr>
            <w:tcW w:w="709" w:type="dxa"/>
            <w:shd w:val="clear" w:color="auto" w:fill="auto"/>
            <w:vAlign w:val="center"/>
            <w:hideMark/>
          </w:tcPr>
          <w:p w14:paraId="4C0BE399"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-4,1</w:t>
            </w:r>
          </w:p>
        </w:tc>
        <w:tc>
          <w:tcPr>
            <w:tcW w:w="689" w:type="dxa"/>
            <w:shd w:val="clear" w:color="auto" w:fill="DEEAF6" w:themeFill="accent1" w:themeFillTint="33"/>
            <w:vAlign w:val="center"/>
            <w:hideMark/>
          </w:tcPr>
          <w:p w14:paraId="7F274C81" w14:textId="77777777" w:rsidR="003347CE" w:rsidRPr="003347CE" w:rsidRDefault="003347CE" w:rsidP="00401A5B">
            <w:pPr>
              <w:spacing w:line="259" w:lineRule="auto"/>
              <w:ind w:left="-14"/>
              <w:jc w:val="right"/>
              <w:rPr>
                <w:rFonts w:ascii="Times New Roman" w:eastAsia="Times New Roman" w:hAnsi="Times New Roman" w:cs="Times New Roman"/>
                <w:color w:val="000000"/>
                <w:sz w:val="19"/>
                <w:szCs w:val="19"/>
              </w:rPr>
            </w:pPr>
            <w:r w:rsidRPr="003347CE">
              <w:rPr>
                <w:rFonts w:ascii="Times New Roman" w:eastAsia="Times New Roman" w:hAnsi="Times New Roman" w:cs="Times New Roman"/>
                <w:color w:val="000000"/>
                <w:sz w:val="19"/>
                <w:szCs w:val="19"/>
              </w:rPr>
              <w:t>-4,9</w:t>
            </w:r>
          </w:p>
        </w:tc>
      </w:tr>
    </w:tbl>
    <w:p w14:paraId="700BF138" w14:textId="3D3CC8AB" w:rsidR="00C404D5" w:rsidRPr="00FB2B77" w:rsidRDefault="00C404D5" w:rsidP="00FB2B77">
      <w:pPr>
        <w:widowControl w:val="0"/>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Datu avots: FM</w:t>
      </w:r>
    </w:p>
    <w:p w14:paraId="077C2162" w14:textId="4BC2177D" w:rsidR="003C0B3A" w:rsidRPr="004F391E" w:rsidRDefault="004F391E" w:rsidP="00401A5B">
      <w:pPr>
        <w:widowControl w:val="0"/>
        <w:jc w:val="right"/>
        <w:rPr>
          <w:rFonts w:ascii="Times New Roman" w:eastAsia="Times New Roman" w:hAnsi="Times New Roman" w:cs="Times New Roman"/>
          <w:color w:val="000000"/>
          <w:sz w:val="28"/>
        </w:rPr>
      </w:pPr>
      <w:r w:rsidRPr="004F391E">
        <w:rPr>
          <w:rFonts w:ascii="Times New Roman" w:eastAsia="Times New Roman" w:hAnsi="Times New Roman" w:cs="Times New Roman"/>
          <w:color w:val="000000"/>
          <w:sz w:val="28"/>
        </w:rPr>
        <w:t>2.pielikums</w:t>
      </w:r>
    </w:p>
    <w:p w14:paraId="5C504576" w14:textId="1E988C80" w:rsidR="003C0B3A" w:rsidRPr="004F391E" w:rsidRDefault="004F391E" w:rsidP="00401A5B">
      <w:pPr>
        <w:widowControl w:val="0"/>
        <w:jc w:val="right"/>
        <w:rPr>
          <w:rFonts w:ascii="Times New Roman" w:eastAsia="Times New Roman" w:hAnsi="Times New Roman" w:cs="Times New Roman"/>
          <w:b/>
          <w:color w:val="000000"/>
          <w:sz w:val="28"/>
        </w:rPr>
      </w:pPr>
      <w:r w:rsidRPr="004F391E">
        <w:rPr>
          <w:rFonts w:ascii="Times New Roman" w:eastAsia="Times New Roman" w:hAnsi="Times New Roman" w:cs="Times New Roman"/>
          <w:b/>
          <w:color w:val="000000"/>
          <w:sz w:val="28"/>
        </w:rPr>
        <w:t>Vispārējā valdības sektorā iekļauto kapitālsabiedrību faktiskā ietekme uz vispārējās valdības B.9 neto aizdevumiem(+)/ neto aizņēmumiem(-) un parādu</w:t>
      </w:r>
    </w:p>
    <w:p w14:paraId="46C6C8A5" w14:textId="2530099E" w:rsidR="004F391E" w:rsidRDefault="004F391E" w:rsidP="00401A5B">
      <w:pPr>
        <w:widowControl w:val="0"/>
        <w:rPr>
          <w:rFonts w:ascii="Times New Roman" w:eastAsia="Times New Roman" w:hAnsi="Times New Roman" w:cs="Times New Roman"/>
          <w:color w:val="000000"/>
          <w:sz w:val="24"/>
        </w:rPr>
      </w:pPr>
    </w:p>
    <w:p w14:paraId="425035D8" w14:textId="3B443917" w:rsidR="004F391E" w:rsidRDefault="004F391E" w:rsidP="00401A5B">
      <w:pPr>
        <w:widowControl w:val="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milj. </w:t>
      </w:r>
      <w:r w:rsidRPr="004F391E">
        <w:rPr>
          <w:rFonts w:ascii="Times New Roman" w:eastAsia="Times New Roman" w:hAnsi="Times New Roman" w:cs="Times New Roman"/>
          <w:i/>
          <w:color w:val="000000"/>
          <w:sz w:val="24"/>
        </w:rPr>
        <w:t>euro</w:t>
      </w:r>
    </w:p>
    <w:tbl>
      <w:tblPr>
        <w:tblW w:w="13892" w:type="dxa"/>
        <w:tblInd w:w="-10" w:type="dxa"/>
        <w:tblLook w:val="04A0" w:firstRow="1" w:lastRow="0" w:firstColumn="1" w:lastColumn="0" w:noHBand="0" w:noVBand="1"/>
      </w:tblPr>
      <w:tblGrid>
        <w:gridCol w:w="5563"/>
        <w:gridCol w:w="1236"/>
        <w:gridCol w:w="1949"/>
        <w:gridCol w:w="1534"/>
        <w:gridCol w:w="2645"/>
        <w:gridCol w:w="1066"/>
      </w:tblGrid>
      <w:tr w:rsidR="004F391E" w:rsidRPr="002A0876" w14:paraId="7C17B223" w14:textId="77777777" w:rsidTr="002A0876">
        <w:trPr>
          <w:trHeight w:val="2355"/>
        </w:trPr>
        <w:tc>
          <w:tcPr>
            <w:tcW w:w="5670" w:type="dxa"/>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bottom"/>
            <w:hideMark/>
          </w:tcPr>
          <w:p w14:paraId="222122AF"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256" w:type="dxa"/>
            <w:tcBorders>
              <w:top w:val="single" w:sz="8" w:space="0" w:color="auto"/>
              <w:left w:val="nil"/>
              <w:bottom w:val="single" w:sz="4" w:space="0" w:color="auto"/>
              <w:right w:val="single" w:sz="4" w:space="0" w:color="auto"/>
            </w:tcBorders>
            <w:shd w:val="clear" w:color="auto" w:fill="DEEAF6" w:themeFill="accent1" w:themeFillTint="33"/>
            <w:vAlign w:val="center"/>
            <w:hideMark/>
          </w:tcPr>
          <w:p w14:paraId="6C3C47B9" w14:textId="77777777" w:rsidR="004F391E" w:rsidRPr="002A0876" w:rsidRDefault="004F391E" w:rsidP="00401A5B">
            <w:pPr>
              <w:jc w:val="center"/>
              <w:rPr>
                <w:rFonts w:ascii="Times New Roman" w:eastAsia="Times New Roman" w:hAnsi="Times New Roman" w:cs="Times New Roman"/>
                <w:b/>
                <w:color w:val="000000"/>
                <w:sz w:val="20"/>
                <w:szCs w:val="20"/>
              </w:rPr>
            </w:pPr>
            <w:r w:rsidRPr="002A0876">
              <w:rPr>
                <w:rFonts w:ascii="Times New Roman" w:eastAsia="Times New Roman" w:hAnsi="Times New Roman" w:cs="Times New Roman"/>
                <w:b/>
                <w:color w:val="000000"/>
                <w:sz w:val="20"/>
                <w:szCs w:val="20"/>
              </w:rPr>
              <w:t>Ieņēmumi</w:t>
            </w:r>
          </w:p>
        </w:tc>
        <w:tc>
          <w:tcPr>
            <w:tcW w:w="1984" w:type="dxa"/>
            <w:tcBorders>
              <w:top w:val="single" w:sz="8" w:space="0" w:color="auto"/>
              <w:left w:val="nil"/>
              <w:bottom w:val="single" w:sz="4" w:space="0" w:color="auto"/>
              <w:right w:val="single" w:sz="4" w:space="0" w:color="auto"/>
            </w:tcBorders>
            <w:shd w:val="clear" w:color="auto" w:fill="DEEAF6" w:themeFill="accent1" w:themeFillTint="33"/>
            <w:vAlign w:val="center"/>
            <w:hideMark/>
          </w:tcPr>
          <w:p w14:paraId="5F986E3B" w14:textId="77777777" w:rsidR="004F391E" w:rsidRPr="002A0876" w:rsidRDefault="004F391E" w:rsidP="00401A5B">
            <w:pPr>
              <w:jc w:val="center"/>
              <w:rPr>
                <w:rFonts w:ascii="Times New Roman" w:eastAsia="Times New Roman" w:hAnsi="Times New Roman" w:cs="Times New Roman"/>
                <w:b/>
                <w:color w:val="000000"/>
                <w:sz w:val="20"/>
                <w:szCs w:val="20"/>
              </w:rPr>
            </w:pPr>
            <w:r w:rsidRPr="002A0876">
              <w:rPr>
                <w:rFonts w:ascii="Times New Roman" w:eastAsia="Times New Roman" w:hAnsi="Times New Roman" w:cs="Times New Roman"/>
                <w:b/>
                <w:color w:val="000000"/>
                <w:sz w:val="20"/>
                <w:szCs w:val="20"/>
              </w:rPr>
              <w:t>t.sk. ieņēmumu pozīcijas korekcija par ES fondu finansējuma izlietojumu</w:t>
            </w:r>
          </w:p>
        </w:tc>
        <w:tc>
          <w:tcPr>
            <w:tcW w:w="1560" w:type="dxa"/>
            <w:tcBorders>
              <w:top w:val="single" w:sz="8" w:space="0" w:color="auto"/>
              <w:left w:val="nil"/>
              <w:bottom w:val="single" w:sz="4" w:space="0" w:color="auto"/>
              <w:right w:val="single" w:sz="4" w:space="0" w:color="auto"/>
            </w:tcBorders>
            <w:shd w:val="clear" w:color="auto" w:fill="DEEAF6" w:themeFill="accent1" w:themeFillTint="33"/>
            <w:vAlign w:val="center"/>
            <w:hideMark/>
          </w:tcPr>
          <w:p w14:paraId="75C9A82B" w14:textId="77777777" w:rsidR="004F391E" w:rsidRPr="002A0876" w:rsidRDefault="004F391E" w:rsidP="00401A5B">
            <w:pPr>
              <w:jc w:val="center"/>
              <w:rPr>
                <w:rFonts w:ascii="Times New Roman" w:eastAsia="Times New Roman" w:hAnsi="Times New Roman" w:cs="Times New Roman"/>
                <w:b/>
                <w:color w:val="000000"/>
                <w:sz w:val="20"/>
                <w:szCs w:val="20"/>
              </w:rPr>
            </w:pPr>
            <w:r w:rsidRPr="002A0876">
              <w:rPr>
                <w:rFonts w:ascii="Times New Roman" w:eastAsia="Times New Roman" w:hAnsi="Times New Roman" w:cs="Times New Roman"/>
                <w:b/>
                <w:color w:val="000000"/>
                <w:sz w:val="20"/>
                <w:szCs w:val="20"/>
              </w:rPr>
              <w:t>Izdevumi</w:t>
            </w:r>
          </w:p>
        </w:tc>
        <w:tc>
          <w:tcPr>
            <w:tcW w:w="2693" w:type="dxa"/>
            <w:tcBorders>
              <w:top w:val="single" w:sz="8" w:space="0" w:color="auto"/>
              <w:left w:val="nil"/>
              <w:bottom w:val="single" w:sz="4" w:space="0" w:color="auto"/>
              <w:right w:val="single" w:sz="4" w:space="0" w:color="auto"/>
            </w:tcBorders>
            <w:shd w:val="clear" w:color="auto" w:fill="DEEAF6" w:themeFill="accent1" w:themeFillTint="33"/>
            <w:vAlign w:val="center"/>
            <w:hideMark/>
          </w:tcPr>
          <w:p w14:paraId="5445788C" w14:textId="77777777" w:rsidR="004F391E" w:rsidRPr="002A0876" w:rsidRDefault="004F391E" w:rsidP="00401A5B">
            <w:pPr>
              <w:jc w:val="center"/>
              <w:rPr>
                <w:rFonts w:ascii="Times New Roman" w:eastAsia="Times New Roman" w:hAnsi="Times New Roman" w:cs="Times New Roman"/>
                <w:b/>
                <w:color w:val="000000"/>
                <w:sz w:val="20"/>
                <w:szCs w:val="20"/>
              </w:rPr>
            </w:pPr>
            <w:r w:rsidRPr="002A0876">
              <w:rPr>
                <w:rFonts w:ascii="Times New Roman" w:eastAsia="Times New Roman" w:hAnsi="Times New Roman" w:cs="Times New Roman"/>
                <w:b/>
                <w:color w:val="000000"/>
                <w:sz w:val="20"/>
                <w:szCs w:val="20"/>
              </w:rPr>
              <w:t>Ietekme uz B.9 neto aizdevumiem (+)/neto aizņēmumiem (-) (ieskaitot korekciju par ES fondu finansējuma izlietojumu)</w:t>
            </w:r>
          </w:p>
        </w:tc>
        <w:tc>
          <w:tcPr>
            <w:tcW w:w="729" w:type="dxa"/>
            <w:tcBorders>
              <w:top w:val="single" w:sz="8" w:space="0" w:color="auto"/>
              <w:left w:val="nil"/>
              <w:bottom w:val="single" w:sz="4" w:space="0" w:color="auto"/>
              <w:right w:val="single" w:sz="8" w:space="0" w:color="auto"/>
            </w:tcBorders>
            <w:shd w:val="clear" w:color="auto" w:fill="DEEAF6" w:themeFill="accent1" w:themeFillTint="33"/>
            <w:vAlign w:val="center"/>
            <w:hideMark/>
          </w:tcPr>
          <w:p w14:paraId="082E87AD" w14:textId="77777777" w:rsidR="004F391E" w:rsidRPr="002A0876" w:rsidRDefault="004F391E" w:rsidP="00401A5B">
            <w:pPr>
              <w:jc w:val="center"/>
              <w:rPr>
                <w:rFonts w:ascii="Times New Roman" w:eastAsia="Times New Roman" w:hAnsi="Times New Roman" w:cs="Times New Roman"/>
                <w:b/>
                <w:color w:val="000000"/>
                <w:sz w:val="20"/>
                <w:szCs w:val="20"/>
              </w:rPr>
            </w:pPr>
            <w:r w:rsidRPr="002A0876">
              <w:rPr>
                <w:rFonts w:ascii="Times New Roman" w:eastAsia="Times New Roman" w:hAnsi="Times New Roman" w:cs="Times New Roman"/>
                <w:b/>
                <w:color w:val="000000"/>
                <w:sz w:val="20"/>
                <w:szCs w:val="20"/>
              </w:rPr>
              <w:t>Ietekme uz vispārējās valdības parādu</w:t>
            </w:r>
          </w:p>
        </w:tc>
      </w:tr>
      <w:tr w:rsidR="009D05C2" w:rsidRPr="002A0876" w14:paraId="41389320" w14:textId="77777777" w:rsidTr="002A0876">
        <w:trPr>
          <w:trHeight w:val="315"/>
        </w:trPr>
        <w:tc>
          <w:tcPr>
            <w:tcW w:w="5670" w:type="dxa"/>
            <w:tcBorders>
              <w:top w:val="nil"/>
              <w:left w:val="single" w:sz="8" w:space="0" w:color="auto"/>
              <w:bottom w:val="single" w:sz="4" w:space="0" w:color="auto"/>
              <w:right w:val="single" w:sz="4" w:space="0" w:color="auto"/>
            </w:tcBorders>
            <w:shd w:val="clear" w:color="auto" w:fill="auto"/>
            <w:noWrap/>
            <w:vAlign w:val="bottom"/>
            <w:hideMark/>
          </w:tcPr>
          <w:p w14:paraId="3419F50E"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2017</w:t>
            </w:r>
          </w:p>
        </w:tc>
        <w:tc>
          <w:tcPr>
            <w:tcW w:w="1256" w:type="dxa"/>
            <w:tcBorders>
              <w:top w:val="nil"/>
              <w:left w:val="nil"/>
              <w:bottom w:val="single" w:sz="4" w:space="0" w:color="auto"/>
              <w:right w:val="single" w:sz="4" w:space="0" w:color="auto"/>
            </w:tcBorders>
            <w:shd w:val="clear" w:color="auto" w:fill="auto"/>
            <w:noWrap/>
            <w:vAlign w:val="bottom"/>
            <w:hideMark/>
          </w:tcPr>
          <w:p w14:paraId="62DAFC2A"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0608CE8C"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AE88AEE"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6269D88"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8" w:space="0" w:color="auto"/>
            </w:tcBorders>
            <w:shd w:val="clear" w:color="auto" w:fill="auto"/>
            <w:noWrap/>
            <w:vAlign w:val="bottom"/>
            <w:hideMark/>
          </w:tcPr>
          <w:p w14:paraId="727658C6"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9D05C2" w:rsidRPr="002A0876" w14:paraId="2255CCA7" w14:textId="77777777" w:rsidTr="002A0876">
        <w:trPr>
          <w:trHeight w:val="315"/>
        </w:trPr>
        <w:tc>
          <w:tcPr>
            <w:tcW w:w="5670" w:type="dxa"/>
            <w:tcBorders>
              <w:top w:val="nil"/>
              <w:left w:val="single" w:sz="8" w:space="0" w:color="auto"/>
              <w:bottom w:val="single" w:sz="4" w:space="0" w:color="auto"/>
              <w:right w:val="single" w:sz="4" w:space="0" w:color="auto"/>
            </w:tcBorders>
            <w:shd w:val="clear" w:color="auto" w:fill="auto"/>
            <w:noWrap/>
            <w:vAlign w:val="bottom"/>
            <w:hideMark/>
          </w:tcPr>
          <w:p w14:paraId="3270FB62" w14:textId="1F0B679A" w:rsidR="004F391E" w:rsidRPr="002A0876" w:rsidRDefault="009D05C2" w:rsidP="00401A5B">
            <w:pPr>
              <w:jc w:val="right"/>
              <w:rPr>
                <w:rFonts w:ascii="Times New Roman" w:eastAsia="Times New Roman" w:hAnsi="Times New Roman" w:cs="Times New Roman"/>
                <w:color w:val="000000"/>
                <w:sz w:val="20"/>
                <w:szCs w:val="20"/>
              </w:rPr>
            </w:pPr>
            <w:r w:rsidRPr="002A0876">
              <w:rPr>
                <w:rFonts w:ascii="Times New Roman" w:hAnsi="Times New Roman" w:cs="Times New Roman"/>
                <w:sz w:val="20"/>
                <w:szCs w:val="20"/>
              </w:rPr>
              <w:t>Valsts struktūru kontrolētas un finansētas komercsabiedrības</w:t>
            </w:r>
          </w:p>
        </w:tc>
        <w:tc>
          <w:tcPr>
            <w:tcW w:w="1256" w:type="dxa"/>
            <w:tcBorders>
              <w:top w:val="nil"/>
              <w:left w:val="nil"/>
              <w:bottom w:val="single" w:sz="4" w:space="0" w:color="auto"/>
              <w:right w:val="single" w:sz="4" w:space="0" w:color="auto"/>
            </w:tcBorders>
            <w:shd w:val="clear" w:color="auto" w:fill="auto"/>
            <w:noWrap/>
            <w:vAlign w:val="bottom"/>
            <w:hideMark/>
          </w:tcPr>
          <w:p w14:paraId="3368A064"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950,895</w:t>
            </w:r>
          </w:p>
        </w:tc>
        <w:tc>
          <w:tcPr>
            <w:tcW w:w="1984" w:type="dxa"/>
            <w:tcBorders>
              <w:top w:val="nil"/>
              <w:left w:val="nil"/>
              <w:bottom w:val="single" w:sz="4" w:space="0" w:color="auto"/>
              <w:right w:val="single" w:sz="4" w:space="0" w:color="auto"/>
            </w:tcBorders>
            <w:shd w:val="clear" w:color="auto" w:fill="auto"/>
            <w:noWrap/>
            <w:vAlign w:val="bottom"/>
            <w:hideMark/>
          </w:tcPr>
          <w:p w14:paraId="4FDDE23C"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3,242</w:t>
            </w:r>
          </w:p>
        </w:tc>
        <w:tc>
          <w:tcPr>
            <w:tcW w:w="1560" w:type="dxa"/>
            <w:tcBorders>
              <w:top w:val="nil"/>
              <w:left w:val="nil"/>
              <w:bottom w:val="single" w:sz="4" w:space="0" w:color="auto"/>
              <w:right w:val="single" w:sz="4" w:space="0" w:color="auto"/>
            </w:tcBorders>
            <w:shd w:val="clear" w:color="auto" w:fill="auto"/>
            <w:noWrap/>
            <w:vAlign w:val="bottom"/>
            <w:hideMark/>
          </w:tcPr>
          <w:p w14:paraId="0E3D03B2"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1116,153</w:t>
            </w:r>
          </w:p>
        </w:tc>
        <w:tc>
          <w:tcPr>
            <w:tcW w:w="2693" w:type="dxa"/>
            <w:tcBorders>
              <w:top w:val="nil"/>
              <w:left w:val="nil"/>
              <w:bottom w:val="single" w:sz="4" w:space="0" w:color="auto"/>
              <w:right w:val="single" w:sz="4" w:space="0" w:color="auto"/>
            </w:tcBorders>
            <w:shd w:val="clear" w:color="auto" w:fill="auto"/>
            <w:noWrap/>
            <w:vAlign w:val="bottom"/>
            <w:hideMark/>
          </w:tcPr>
          <w:p w14:paraId="55C38CB8"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-165,258</w:t>
            </w:r>
          </w:p>
        </w:tc>
        <w:tc>
          <w:tcPr>
            <w:tcW w:w="729" w:type="dxa"/>
            <w:tcBorders>
              <w:top w:val="nil"/>
              <w:left w:val="nil"/>
              <w:bottom w:val="single" w:sz="4" w:space="0" w:color="auto"/>
              <w:right w:val="single" w:sz="8" w:space="0" w:color="auto"/>
            </w:tcBorders>
            <w:shd w:val="clear" w:color="auto" w:fill="auto"/>
            <w:noWrap/>
            <w:vAlign w:val="bottom"/>
            <w:hideMark/>
          </w:tcPr>
          <w:p w14:paraId="49FA4C81"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604,497</w:t>
            </w:r>
          </w:p>
        </w:tc>
      </w:tr>
      <w:tr w:rsidR="009D05C2" w:rsidRPr="002A0876" w14:paraId="721EEA3F" w14:textId="77777777" w:rsidTr="002A0876">
        <w:trPr>
          <w:trHeight w:val="315"/>
        </w:trPr>
        <w:tc>
          <w:tcPr>
            <w:tcW w:w="5670" w:type="dxa"/>
            <w:tcBorders>
              <w:top w:val="nil"/>
              <w:left w:val="single" w:sz="8" w:space="0" w:color="auto"/>
              <w:bottom w:val="single" w:sz="4" w:space="0" w:color="auto"/>
              <w:right w:val="single" w:sz="4" w:space="0" w:color="auto"/>
            </w:tcBorders>
            <w:shd w:val="clear" w:color="auto" w:fill="auto"/>
            <w:noWrap/>
            <w:vAlign w:val="bottom"/>
            <w:hideMark/>
          </w:tcPr>
          <w:p w14:paraId="5098E9B3" w14:textId="6269DE95" w:rsidR="004F391E" w:rsidRPr="002A0876" w:rsidRDefault="009D05C2" w:rsidP="00401A5B">
            <w:pPr>
              <w:jc w:val="right"/>
              <w:rPr>
                <w:rFonts w:ascii="Times New Roman" w:eastAsia="Times New Roman" w:hAnsi="Times New Roman" w:cs="Times New Roman"/>
                <w:color w:val="000000"/>
                <w:sz w:val="20"/>
                <w:szCs w:val="20"/>
              </w:rPr>
            </w:pPr>
            <w:r w:rsidRPr="002A0876">
              <w:rPr>
                <w:rFonts w:ascii="Times New Roman" w:hAnsi="Times New Roman" w:cs="Times New Roman"/>
                <w:sz w:val="20"/>
                <w:szCs w:val="20"/>
              </w:rPr>
              <w:t>Pašvaldības struktūru kontrolētas un finansētas komercsabiedrības</w:t>
            </w:r>
          </w:p>
        </w:tc>
        <w:tc>
          <w:tcPr>
            <w:tcW w:w="1256" w:type="dxa"/>
            <w:tcBorders>
              <w:top w:val="nil"/>
              <w:left w:val="nil"/>
              <w:bottom w:val="single" w:sz="4" w:space="0" w:color="auto"/>
              <w:right w:val="single" w:sz="4" w:space="0" w:color="auto"/>
            </w:tcBorders>
            <w:shd w:val="clear" w:color="auto" w:fill="auto"/>
            <w:noWrap/>
            <w:vAlign w:val="bottom"/>
            <w:hideMark/>
          </w:tcPr>
          <w:p w14:paraId="154A595D"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444,789</w:t>
            </w:r>
          </w:p>
        </w:tc>
        <w:tc>
          <w:tcPr>
            <w:tcW w:w="1984" w:type="dxa"/>
            <w:tcBorders>
              <w:top w:val="nil"/>
              <w:left w:val="nil"/>
              <w:bottom w:val="single" w:sz="4" w:space="0" w:color="auto"/>
              <w:right w:val="single" w:sz="4" w:space="0" w:color="auto"/>
            </w:tcBorders>
            <w:shd w:val="clear" w:color="auto" w:fill="auto"/>
            <w:noWrap/>
            <w:vAlign w:val="bottom"/>
            <w:hideMark/>
          </w:tcPr>
          <w:p w14:paraId="6052F663"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-4,965</w:t>
            </w:r>
          </w:p>
        </w:tc>
        <w:tc>
          <w:tcPr>
            <w:tcW w:w="1560" w:type="dxa"/>
            <w:tcBorders>
              <w:top w:val="nil"/>
              <w:left w:val="nil"/>
              <w:bottom w:val="single" w:sz="4" w:space="0" w:color="auto"/>
              <w:right w:val="single" w:sz="4" w:space="0" w:color="auto"/>
            </w:tcBorders>
            <w:shd w:val="clear" w:color="auto" w:fill="auto"/>
            <w:noWrap/>
            <w:vAlign w:val="bottom"/>
            <w:hideMark/>
          </w:tcPr>
          <w:p w14:paraId="69C3173E"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482,665</w:t>
            </w:r>
          </w:p>
        </w:tc>
        <w:tc>
          <w:tcPr>
            <w:tcW w:w="2693" w:type="dxa"/>
            <w:tcBorders>
              <w:top w:val="nil"/>
              <w:left w:val="nil"/>
              <w:bottom w:val="single" w:sz="4" w:space="0" w:color="auto"/>
              <w:right w:val="single" w:sz="4" w:space="0" w:color="auto"/>
            </w:tcBorders>
            <w:shd w:val="clear" w:color="auto" w:fill="auto"/>
            <w:noWrap/>
            <w:vAlign w:val="bottom"/>
            <w:hideMark/>
          </w:tcPr>
          <w:p w14:paraId="7C5F9936"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-37,876</w:t>
            </w:r>
          </w:p>
        </w:tc>
        <w:tc>
          <w:tcPr>
            <w:tcW w:w="729" w:type="dxa"/>
            <w:tcBorders>
              <w:top w:val="nil"/>
              <w:left w:val="nil"/>
              <w:bottom w:val="single" w:sz="4" w:space="0" w:color="auto"/>
              <w:right w:val="single" w:sz="8" w:space="0" w:color="auto"/>
            </w:tcBorders>
            <w:shd w:val="clear" w:color="auto" w:fill="auto"/>
            <w:noWrap/>
            <w:vAlign w:val="bottom"/>
            <w:hideMark/>
          </w:tcPr>
          <w:p w14:paraId="7A8597D6"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239,149</w:t>
            </w:r>
          </w:p>
        </w:tc>
      </w:tr>
      <w:tr w:rsidR="009D05C2" w:rsidRPr="002A0876" w14:paraId="035CEB7F" w14:textId="77777777" w:rsidTr="002A0876">
        <w:trPr>
          <w:trHeight w:val="315"/>
        </w:trPr>
        <w:tc>
          <w:tcPr>
            <w:tcW w:w="5670" w:type="dxa"/>
            <w:tcBorders>
              <w:top w:val="nil"/>
              <w:left w:val="single" w:sz="8" w:space="0" w:color="auto"/>
              <w:bottom w:val="single" w:sz="4" w:space="0" w:color="auto"/>
              <w:right w:val="single" w:sz="4" w:space="0" w:color="auto"/>
            </w:tcBorders>
            <w:shd w:val="clear" w:color="auto" w:fill="auto"/>
            <w:noWrap/>
            <w:vAlign w:val="bottom"/>
            <w:hideMark/>
          </w:tcPr>
          <w:p w14:paraId="52A014F9"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2018</w:t>
            </w:r>
          </w:p>
        </w:tc>
        <w:tc>
          <w:tcPr>
            <w:tcW w:w="1256" w:type="dxa"/>
            <w:tcBorders>
              <w:top w:val="nil"/>
              <w:left w:val="nil"/>
              <w:bottom w:val="single" w:sz="4" w:space="0" w:color="auto"/>
              <w:right w:val="single" w:sz="4" w:space="0" w:color="auto"/>
            </w:tcBorders>
            <w:shd w:val="clear" w:color="auto" w:fill="auto"/>
            <w:noWrap/>
            <w:vAlign w:val="bottom"/>
            <w:hideMark/>
          </w:tcPr>
          <w:p w14:paraId="62518872"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CEC5E25"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E49E63"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79D1A00"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8" w:space="0" w:color="auto"/>
            </w:tcBorders>
            <w:shd w:val="clear" w:color="auto" w:fill="auto"/>
            <w:noWrap/>
            <w:vAlign w:val="bottom"/>
            <w:hideMark/>
          </w:tcPr>
          <w:p w14:paraId="40FB4A44"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9D05C2" w:rsidRPr="002A0876" w14:paraId="3B3304E3" w14:textId="77777777" w:rsidTr="002A0876">
        <w:trPr>
          <w:trHeight w:val="315"/>
        </w:trPr>
        <w:tc>
          <w:tcPr>
            <w:tcW w:w="5670" w:type="dxa"/>
            <w:tcBorders>
              <w:top w:val="nil"/>
              <w:left w:val="single" w:sz="8" w:space="0" w:color="auto"/>
              <w:bottom w:val="single" w:sz="4" w:space="0" w:color="auto"/>
              <w:right w:val="single" w:sz="4" w:space="0" w:color="auto"/>
            </w:tcBorders>
            <w:shd w:val="clear" w:color="auto" w:fill="auto"/>
            <w:noWrap/>
            <w:vAlign w:val="bottom"/>
            <w:hideMark/>
          </w:tcPr>
          <w:p w14:paraId="1EC323FB" w14:textId="0464F7F1" w:rsidR="004F391E" w:rsidRPr="002A0876" w:rsidRDefault="009D05C2" w:rsidP="00401A5B">
            <w:pPr>
              <w:jc w:val="right"/>
              <w:rPr>
                <w:rFonts w:ascii="Times New Roman" w:eastAsia="Times New Roman" w:hAnsi="Times New Roman" w:cs="Times New Roman"/>
                <w:color w:val="000000"/>
                <w:sz w:val="20"/>
                <w:szCs w:val="20"/>
              </w:rPr>
            </w:pPr>
            <w:r w:rsidRPr="002A0876">
              <w:rPr>
                <w:rFonts w:ascii="Times New Roman" w:hAnsi="Times New Roman" w:cs="Times New Roman"/>
                <w:sz w:val="20"/>
                <w:szCs w:val="20"/>
              </w:rPr>
              <w:t>Valsts struktūru kontrolētas un finansētas komercsabiedrības</w:t>
            </w:r>
          </w:p>
        </w:tc>
        <w:tc>
          <w:tcPr>
            <w:tcW w:w="1256" w:type="dxa"/>
            <w:tcBorders>
              <w:top w:val="nil"/>
              <w:left w:val="nil"/>
              <w:bottom w:val="single" w:sz="4" w:space="0" w:color="auto"/>
              <w:right w:val="single" w:sz="4" w:space="0" w:color="auto"/>
            </w:tcBorders>
            <w:shd w:val="clear" w:color="auto" w:fill="auto"/>
            <w:noWrap/>
            <w:vAlign w:val="bottom"/>
            <w:hideMark/>
          </w:tcPr>
          <w:p w14:paraId="3F481A8B"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1059,590</w:t>
            </w:r>
          </w:p>
        </w:tc>
        <w:tc>
          <w:tcPr>
            <w:tcW w:w="1984" w:type="dxa"/>
            <w:tcBorders>
              <w:top w:val="nil"/>
              <w:left w:val="nil"/>
              <w:bottom w:val="single" w:sz="4" w:space="0" w:color="auto"/>
              <w:right w:val="single" w:sz="4" w:space="0" w:color="auto"/>
            </w:tcBorders>
            <w:shd w:val="clear" w:color="auto" w:fill="auto"/>
            <w:noWrap/>
            <w:vAlign w:val="bottom"/>
            <w:hideMark/>
          </w:tcPr>
          <w:p w14:paraId="4C2F0F7A"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7,317</w:t>
            </w:r>
          </w:p>
        </w:tc>
        <w:tc>
          <w:tcPr>
            <w:tcW w:w="1560" w:type="dxa"/>
            <w:tcBorders>
              <w:top w:val="nil"/>
              <w:left w:val="nil"/>
              <w:bottom w:val="single" w:sz="4" w:space="0" w:color="auto"/>
              <w:right w:val="single" w:sz="4" w:space="0" w:color="auto"/>
            </w:tcBorders>
            <w:shd w:val="clear" w:color="auto" w:fill="auto"/>
            <w:noWrap/>
            <w:vAlign w:val="bottom"/>
            <w:hideMark/>
          </w:tcPr>
          <w:p w14:paraId="44719203"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1086,057</w:t>
            </w:r>
          </w:p>
        </w:tc>
        <w:tc>
          <w:tcPr>
            <w:tcW w:w="2693" w:type="dxa"/>
            <w:tcBorders>
              <w:top w:val="nil"/>
              <w:left w:val="nil"/>
              <w:bottom w:val="single" w:sz="4" w:space="0" w:color="auto"/>
              <w:right w:val="single" w:sz="4" w:space="0" w:color="auto"/>
            </w:tcBorders>
            <w:shd w:val="clear" w:color="auto" w:fill="auto"/>
            <w:noWrap/>
            <w:vAlign w:val="bottom"/>
            <w:hideMark/>
          </w:tcPr>
          <w:p w14:paraId="53FB5CFF"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-26,467</w:t>
            </w:r>
          </w:p>
        </w:tc>
        <w:tc>
          <w:tcPr>
            <w:tcW w:w="729" w:type="dxa"/>
            <w:tcBorders>
              <w:top w:val="nil"/>
              <w:left w:val="nil"/>
              <w:bottom w:val="single" w:sz="4" w:space="0" w:color="auto"/>
              <w:right w:val="single" w:sz="8" w:space="0" w:color="auto"/>
            </w:tcBorders>
            <w:shd w:val="clear" w:color="auto" w:fill="auto"/>
            <w:noWrap/>
            <w:vAlign w:val="bottom"/>
            <w:hideMark/>
          </w:tcPr>
          <w:p w14:paraId="6D2B8FA8"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494,18</w:t>
            </w:r>
          </w:p>
        </w:tc>
      </w:tr>
      <w:tr w:rsidR="009D05C2" w:rsidRPr="002A0876" w14:paraId="26E449B5" w14:textId="77777777" w:rsidTr="002A0876">
        <w:trPr>
          <w:trHeight w:val="315"/>
        </w:trPr>
        <w:tc>
          <w:tcPr>
            <w:tcW w:w="5670" w:type="dxa"/>
            <w:tcBorders>
              <w:top w:val="nil"/>
              <w:left w:val="single" w:sz="8" w:space="0" w:color="auto"/>
              <w:bottom w:val="single" w:sz="4" w:space="0" w:color="auto"/>
              <w:right w:val="single" w:sz="4" w:space="0" w:color="auto"/>
            </w:tcBorders>
            <w:shd w:val="clear" w:color="auto" w:fill="auto"/>
            <w:noWrap/>
            <w:vAlign w:val="bottom"/>
            <w:hideMark/>
          </w:tcPr>
          <w:p w14:paraId="2F4F3ED3" w14:textId="5952C931" w:rsidR="004F391E" w:rsidRPr="002A0876" w:rsidRDefault="009D05C2" w:rsidP="00401A5B">
            <w:pPr>
              <w:jc w:val="right"/>
              <w:rPr>
                <w:rFonts w:ascii="Times New Roman" w:eastAsia="Times New Roman" w:hAnsi="Times New Roman" w:cs="Times New Roman"/>
                <w:color w:val="000000"/>
                <w:sz w:val="20"/>
                <w:szCs w:val="20"/>
              </w:rPr>
            </w:pPr>
            <w:r w:rsidRPr="002A0876">
              <w:rPr>
                <w:rFonts w:ascii="Times New Roman" w:hAnsi="Times New Roman" w:cs="Times New Roman"/>
                <w:sz w:val="20"/>
                <w:szCs w:val="20"/>
              </w:rPr>
              <w:t>Pašvaldības struktūru kontrolētas un finansētas komercsabiedrības</w:t>
            </w:r>
          </w:p>
        </w:tc>
        <w:tc>
          <w:tcPr>
            <w:tcW w:w="1256" w:type="dxa"/>
            <w:tcBorders>
              <w:top w:val="nil"/>
              <w:left w:val="nil"/>
              <w:bottom w:val="single" w:sz="4" w:space="0" w:color="auto"/>
              <w:right w:val="single" w:sz="4" w:space="0" w:color="auto"/>
            </w:tcBorders>
            <w:shd w:val="clear" w:color="auto" w:fill="auto"/>
            <w:noWrap/>
            <w:vAlign w:val="bottom"/>
            <w:hideMark/>
          </w:tcPr>
          <w:p w14:paraId="0E29EDA3"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500,378</w:t>
            </w:r>
          </w:p>
        </w:tc>
        <w:tc>
          <w:tcPr>
            <w:tcW w:w="1984" w:type="dxa"/>
            <w:tcBorders>
              <w:top w:val="nil"/>
              <w:left w:val="nil"/>
              <w:bottom w:val="single" w:sz="4" w:space="0" w:color="auto"/>
              <w:right w:val="single" w:sz="4" w:space="0" w:color="auto"/>
            </w:tcBorders>
            <w:shd w:val="clear" w:color="auto" w:fill="auto"/>
            <w:noWrap/>
            <w:vAlign w:val="bottom"/>
            <w:hideMark/>
          </w:tcPr>
          <w:p w14:paraId="798E368A"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4,466</w:t>
            </w:r>
          </w:p>
        </w:tc>
        <w:tc>
          <w:tcPr>
            <w:tcW w:w="1560" w:type="dxa"/>
            <w:tcBorders>
              <w:top w:val="nil"/>
              <w:left w:val="nil"/>
              <w:bottom w:val="single" w:sz="4" w:space="0" w:color="auto"/>
              <w:right w:val="single" w:sz="4" w:space="0" w:color="auto"/>
            </w:tcBorders>
            <w:shd w:val="clear" w:color="auto" w:fill="auto"/>
            <w:noWrap/>
            <w:vAlign w:val="bottom"/>
            <w:hideMark/>
          </w:tcPr>
          <w:p w14:paraId="5FCF5267"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530,479</w:t>
            </w:r>
          </w:p>
        </w:tc>
        <w:tc>
          <w:tcPr>
            <w:tcW w:w="2693" w:type="dxa"/>
            <w:tcBorders>
              <w:top w:val="nil"/>
              <w:left w:val="nil"/>
              <w:bottom w:val="single" w:sz="4" w:space="0" w:color="auto"/>
              <w:right w:val="single" w:sz="4" w:space="0" w:color="auto"/>
            </w:tcBorders>
            <w:shd w:val="clear" w:color="auto" w:fill="auto"/>
            <w:noWrap/>
            <w:vAlign w:val="bottom"/>
            <w:hideMark/>
          </w:tcPr>
          <w:p w14:paraId="2F992671"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-30,101</w:t>
            </w:r>
          </w:p>
        </w:tc>
        <w:tc>
          <w:tcPr>
            <w:tcW w:w="729" w:type="dxa"/>
            <w:tcBorders>
              <w:top w:val="nil"/>
              <w:left w:val="nil"/>
              <w:bottom w:val="single" w:sz="4" w:space="0" w:color="auto"/>
              <w:right w:val="single" w:sz="8" w:space="0" w:color="auto"/>
            </w:tcBorders>
            <w:shd w:val="clear" w:color="auto" w:fill="auto"/>
            <w:noWrap/>
            <w:vAlign w:val="bottom"/>
            <w:hideMark/>
          </w:tcPr>
          <w:p w14:paraId="21647B8B"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292,553</w:t>
            </w:r>
          </w:p>
        </w:tc>
      </w:tr>
      <w:tr w:rsidR="009D05C2" w:rsidRPr="002A0876" w14:paraId="1FFF8E5C" w14:textId="77777777" w:rsidTr="002A0876">
        <w:trPr>
          <w:trHeight w:val="315"/>
        </w:trPr>
        <w:tc>
          <w:tcPr>
            <w:tcW w:w="5670" w:type="dxa"/>
            <w:tcBorders>
              <w:top w:val="nil"/>
              <w:left w:val="single" w:sz="8" w:space="0" w:color="auto"/>
              <w:bottom w:val="single" w:sz="4" w:space="0" w:color="auto"/>
              <w:right w:val="single" w:sz="4" w:space="0" w:color="auto"/>
            </w:tcBorders>
            <w:shd w:val="clear" w:color="auto" w:fill="auto"/>
            <w:noWrap/>
            <w:vAlign w:val="bottom"/>
            <w:hideMark/>
          </w:tcPr>
          <w:p w14:paraId="0D7E8738"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2019</w:t>
            </w:r>
          </w:p>
        </w:tc>
        <w:tc>
          <w:tcPr>
            <w:tcW w:w="1256" w:type="dxa"/>
            <w:tcBorders>
              <w:top w:val="nil"/>
              <w:left w:val="nil"/>
              <w:bottom w:val="single" w:sz="4" w:space="0" w:color="auto"/>
              <w:right w:val="single" w:sz="4" w:space="0" w:color="auto"/>
            </w:tcBorders>
            <w:shd w:val="clear" w:color="auto" w:fill="auto"/>
            <w:noWrap/>
            <w:vAlign w:val="bottom"/>
            <w:hideMark/>
          </w:tcPr>
          <w:p w14:paraId="4A1638EC"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51929DCF"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0BCF382"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BD66584"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729" w:type="dxa"/>
            <w:tcBorders>
              <w:top w:val="nil"/>
              <w:left w:val="nil"/>
              <w:bottom w:val="single" w:sz="4" w:space="0" w:color="auto"/>
              <w:right w:val="single" w:sz="8" w:space="0" w:color="auto"/>
            </w:tcBorders>
            <w:shd w:val="clear" w:color="auto" w:fill="auto"/>
            <w:noWrap/>
            <w:vAlign w:val="bottom"/>
            <w:hideMark/>
          </w:tcPr>
          <w:p w14:paraId="1B016800" w14:textId="77777777" w:rsidR="004F391E" w:rsidRPr="002A0876" w:rsidRDefault="004F391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9D05C2" w:rsidRPr="002A0876" w14:paraId="7B6E2D08" w14:textId="77777777" w:rsidTr="002A0876">
        <w:trPr>
          <w:trHeight w:val="315"/>
        </w:trPr>
        <w:tc>
          <w:tcPr>
            <w:tcW w:w="5670" w:type="dxa"/>
            <w:tcBorders>
              <w:top w:val="nil"/>
              <w:left w:val="single" w:sz="8" w:space="0" w:color="auto"/>
              <w:bottom w:val="single" w:sz="4" w:space="0" w:color="auto"/>
              <w:right w:val="single" w:sz="4" w:space="0" w:color="auto"/>
            </w:tcBorders>
            <w:shd w:val="clear" w:color="auto" w:fill="auto"/>
            <w:noWrap/>
            <w:vAlign w:val="bottom"/>
            <w:hideMark/>
          </w:tcPr>
          <w:p w14:paraId="2A052867" w14:textId="01649188" w:rsidR="004F391E" w:rsidRPr="002A0876" w:rsidRDefault="009D05C2" w:rsidP="00401A5B">
            <w:pPr>
              <w:jc w:val="right"/>
              <w:rPr>
                <w:rFonts w:ascii="Times New Roman" w:eastAsia="Times New Roman" w:hAnsi="Times New Roman" w:cs="Times New Roman"/>
                <w:color w:val="000000"/>
                <w:sz w:val="20"/>
                <w:szCs w:val="20"/>
              </w:rPr>
            </w:pPr>
            <w:r w:rsidRPr="002A0876">
              <w:rPr>
                <w:rFonts w:ascii="Times New Roman" w:hAnsi="Times New Roman" w:cs="Times New Roman"/>
                <w:sz w:val="20"/>
                <w:szCs w:val="20"/>
              </w:rPr>
              <w:t>Valsts struktūru kontrolētas un finansētas komercsabiedrības</w:t>
            </w:r>
          </w:p>
        </w:tc>
        <w:tc>
          <w:tcPr>
            <w:tcW w:w="1256" w:type="dxa"/>
            <w:tcBorders>
              <w:top w:val="nil"/>
              <w:left w:val="nil"/>
              <w:bottom w:val="single" w:sz="4" w:space="0" w:color="auto"/>
              <w:right w:val="single" w:sz="4" w:space="0" w:color="auto"/>
            </w:tcBorders>
            <w:shd w:val="clear" w:color="auto" w:fill="auto"/>
            <w:noWrap/>
            <w:vAlign w:val="bottom"/>
            <w:hideMark/>
          </w:tcPr>
          <w:p w14:paraId="22EBCE1D"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1025,757</w:t>
            </w:r>
          </w:p>
        </w:tc>
        <w:tc>
          <w:tcPr>
            <w:tcW w:w="1984" w:type="dxa"/>
            <w:tcBorders>
              <w:top w:val="nil"/>
              <w:left w:val="nil"/>
              <w:bottom w:val="single" w:sz="4" w:space="0" w:color="auto"/>
              <w:right w:val="single" w:sz="4" w:space="0" w:color="auto"/>
            </w:tcBorders>
            <w:shd w:val="clear" w:color="auto" w:fill="auto"/>
            <w:noWrap/>
            <w:vAlign w:val="bottom"/>
            <w:hideMark/>
          </w:tcPr>
          <w:p w14:paraId="4B4EE814"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8,667</w:t>
            </w:r>
          </w:p>
        </w:tc>
        <w:tc>
          <w:tcPr>
            <w:tcW w:w="1560" w:type="dxa"/>
            <w:tcBorders>
              <w:top w:val="nil"/>
              <w:left w:val="nil"/>
              <w:bottom w:val="single" w:sz="4" w:space="0" w:color="auto"/>
              <w:right w:val="single" w:sz="4" w:space="0" w:color="auto"/>
            </w:tcBorders>
            <w:shd w:val="clear" w:color="auto" w:fill="auto"/>
            <w:noWrap/>
            <w:vAlign w:val="bottom"/>
            <w:hideMark/>
          </w:tcPr>
          <w:p w14:paraId="2D2A344A"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1076,777</w:t>
            </w:r>
          </w:p>
        </w:tc>
        <w:tc>
          <w:tcPr>
            <w:tcW w:w="2693" w:type="dxa"/>
            <w:tcBorders>
              <w:top w:val="nil"/>
              <w:left w:val="nil"/>
              <w:bottom w:val="single" w:sz="4" w:space="0" w:color="auto"/>
              <w:right w:val="single" w:sz="4" w:space="0" w:color="auto"/>
            </w:tcBorders>
            <w:shd w:val="clear" w:color="auto" w:fill="auto"/>
            <w:noWrap/>
            <w:vAlign w:val="bottom"/>
            <w:hideMark/>
          </w:tcPr>
          <w:p w14:paraId="4724B95F"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-51,020</w:t>
            </w:r>
          </w:p>
        </w:tc>
        <w:tc>
          <w:tcPr>
            <w:tcW w:w="729" w:type="dxa"/>
            <w:tcBorders>
              <w:top w:val="nil"/>
              <w:left w:val="nil"/>
              <w:bottom w:val="single" w:sz="4" w:space="0" w:color="auto"/>
              <w:right w:val="single" w:sz="8" w:space="0" w:color="auto"/>
            </w:tcBorders>
            <w:shd w:val="clear" w:color="auto" w:fill="auto"/>
            <w:noWrap/>
            <w:vAlign w:val="bottom"/>
            <w:hideMark/>
          </w:tcPr>
          <w:p w14:paraId="66E85E15"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516,533</w:t>
            </w:r>
          </w:p>
        </w:tc>
      </w:tr>
      <w:tr w:rsidR="009D05C2" w:rsidRPr="002A0876" w14:paraId="511EC464" w14:textId="77777777" w:rsidTr="002A0876">
        <w:trPr>
          <w:trHeight w:val="330"/>
        </w:trPr>
        <w:tc>
          <w:tcPr>
            <w:tcW w:w="5670" w:type="dxa"/>
            <w:tcBorders>
              <w:top w:val="nil"/>
              <w:left w:val="single" w:sz="8" w:space="0" w:color="auto"/>
              <w:bottom w:val="single" w:sz="8" w:space="0" w:color="auto"/>
              <w:right w:val="single" w:sz="4" w:space="0" w:color="auto"/>
            </w:tcBorders>
            <w:shd w:val="clear" w:color="auto" w:fill="auto"/>
            <w:noWrap/>
            <w:vAlign w:val="bottom"/>
            <w:hideMark/>
          </w:tcPr>
          <w:p w14:paraId="4CC29134" w14:textId="35CA7A33" w:rsidR="004F391E" w:rsidRPr="002A0876" w:rsidRDefault="009D05C2" w:rsidP="00401A5B">
            <w:pPr>
              <w:jc w:val="right"/>
              <w:rPr>
                <w:rFonts w:ascii="Times New Roman" w:eastAsia="Times New Roman" w:hAnsi="Times New Roman" w:cs="Times New Roman"/>
                <w:color w:val="000000"/>
                <w:sz w:val="20"/>
                <w:szCs w:val="20"/>
              </w:rPr>
            </w:pPr>
            <w:r w:rsidRPr="002A0876">
              <w:rPr>
                <w:rFonts w:ascii="Times New Roman" w:hAnsi="Times New Roman" w:cs="Times New Roman"/>
                <w:sz w:val="20"/>
                <w:szCs w:val="20"/>
              </w:rPr>
              <w:t>Pašvaldības struktūru kontrolētas un finansētas komercsabiedrības</w:t>
            </w:r>
          </w:p>
        </w:tc>
        <w:tc>
          <w:tcPr>
            <w:tcW w:w="1256" w:type="dxa"/>
            <w:tcBorders>
              <w:top w:val="nil"/>
              <w:left w:val="nil"/>
              <w:bottom w:val="single" w:sz="8" w:space="0" w:color="auto"/>
              <w:right w:val="single" w:sz="4" w:space="0" w:color="auto"/>
            </w:tcBorders>
            <w:shd w:val="clear" w:color="auto" w:fill="auto"/>
            <w:noWrap/>
            <w:vAlign w:val="bottom"/>
            <w:hideMark/>
          </w:tcPr>
          <w:p w14:paraId="5F49571F"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565,478</w:t>
            </w:r>
          </w:p>
        </w:tc>
        <w:tc>
          <w:tcPr>
            <w:tcW w:w="1984" w:type="dxa"/>
            <w:tcBorders>
              <w:top w:val="nil"/>
              <w:left w:val="nil"/>
              <w:bottom w:val="single" w:sz="8" w:space="0" w:color="auto"/>
              <w:right w:val="single" w:sz="4" w:space="0" w:color="auto"/>
            </w:tcBorders>
            <w:shd w:val="clear" w:color="auto" w:fill="auto"/>
            <w:noWrap/>
            <w:vAlign w:val="bottom"/>
            <w:hideMark/>
          </w:tcPr>
          <w:p w14:paraId="1BA03B4C"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7,074</w:t>
            </w:r>
          </w:p>
        </w:tc>
        <w:tc>
          <w:tcPr>
            <w:tcW w:w="1560" w:type="dxa"/>
            <w:tcBorders>
              <w:top w:val="nil"/>
              <w:left w:val="nil"/>
              <w:bottom w:val="single" w:sz="8" w:space="0" w:color="auto"/>
              <w:right w:val="single" w:sz="4" w:space="0" w:color="auto"/>
            </w:tcBorders>
            <w:shd w:val="clear" w:color="auto" w:fill="auto"/>
            <w:noWrap/>
            <w:vAlign w:val="bottom"/>
            <w:hideMark/>
          </w:tcPr>
          <w:p w14:paraId="6D0F8FD3"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524,112</w:t>
            </w:r>
          </w:p>
        </w:tc>
        <w:tc>
          <w:tcPr>
            <w:tcW w:w="2693" w:type="dxa"/>
            <w:tcBorders>
              <w:top w:val="nil"/>
              <w:left w:val="nil"/>
              <w:bottom w:val="single" w:sz="8" w:space="0" w:color="auto"/>
              <w:right w:val="single" w:sz="4" w:space="0" w:color="auto"/>
            </w:tcBorders>
            <w:shd w:val="clear" w:color="auto" w:fill="auto"/>
            <w:noWrap/>
            <w:vAlign w:val="bottom"/>
            <w:hideMark/>
          </w:tcPr>
          <w:p w14:paraId="090D7ADB"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41,366</w:t>
            </w:r>
          </w:p>
        </w:tc>
        <w:tc>
          <w:tcPr>
            <w:tcW w:w="729" w:type="dxa"/>
            <w:tcBorders>
              <w:top w:val="nil"/>
              <w:left w:val="nil"/>
              <w:bottom w:val="single" w:sz="8" w:space="0" w:color="auto"/>
              <w:right w:val="single" w:sz="8" w:space="0" w:color="auto"/>
            </w:tcBorders>
            <w:shd w:val="clear" w:color="auto" w:fill="auto"/>
            <w:noWrap/>
            <w:vAlign w:val="bottom"/>
            <w:hideMark/>
          </w:tcPr>
          <w:p w14:paraId="652ED7EE" w14:textId="77777777" w:rsidR="004F391E" w:rsidRPr="002A0876" w:rsidRDefault="004F391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286,395</w:t>
            </w:r>
          </w:p>
        </w:tc>
      </w:tr>
    </w:tbl>
    <w:p w14:paraId="6D5B1179" w14:textId="1297CF2A" w:rsidR="004F391E" w:rsidRPr="00FD5F28" w:rsidRDefault="00FD5F28" w:rsidP="00FD5F28">
      <w:pPr>
        <w:widowControl w:val="0"/>
        <w:rPr>
          <w:rFonts w:ascii="Times New Roman" w:eastAsia="Times New Roman" w:hAnsi="Times New Roman" w:cs="Times New Roman"/>
          <w:i/>
          <w:color w:val="000000"/>
        </w:rPr>
      </w:pPr>
      <w:r w:rsidRPr="00FD5F28">
        <w:rPr>
          <w:rFonts w:ascii="Times New Roman" w:eastAsia="Times New Roman" w:hAnsi="Times New Roman" w:cs="Times New Roman"/>
          <w:i/>
          <w:color w:val="000000"/>
        </w:rPr>
        <w:t>Datu avots: CSP</w:t>
      </w:r>
    </w:p>
    <w:p w14:paraId="064F0D65" w14:textId="044B2560" w:rsidR="004F391E" w:rsidRDefault="004F391E" w:rsidP="00401A5B">
      <w:pPr>
        <w:widowControl w:val="0"/>
        <w:jc w:val="right"/>
        <w:rPr>
          <w:rFonts w:ascii="Times New Roman" w:eastAsia="Times New Roman" w:hAnsi="Times New Roman" w:cs="Times New Roman"/>
          <w:color w:val="000000"/>
          <w:sz w:val="24"/>
        </w:rPr>
      </w:pPr>
    </w:p>
    <w:p w14:paraId="51E583AE" w14:textId="18B25019" w:rsidR="002A0876" w:rsidRDefault="002A0876" w:rsidP="00401A5B">
      <w:pPr>
        <w:widowControl w:val="0"/>
        <w:jc w:val="right"/>
        <w:rPr>
          <w:rFonts w:ascii="Times New Roman" w:eastAsia="Times New Roman" w:hAnsi="Times New Roman" w:cs="Times New Roman"/>
          <w:color w:val="000000"/>
          <w:sz w:val="24"/>
        </w:rPr>
      </w:pPr>
    </w:p>
    <w:p w14:paraId="0BB77C6B" w14:textId="77777777" w:rsidR="00FD5F28" w:rsidRDefault="00FD5F28" w:rsidP="00401A5B">
      <w:pPr>
        <w:widowControl w:val="0"/>
        <w:jc w:val="right"/>
        <w:rPr>
          <w:rFonts w:ascii="Times New Roman" w:eastAsia="Times New Roman" w:hAnsi="Times New Roman" w:cs="Times New Roman"/>
          <w:color w:val="000000"/>
          <w:sz w:val="24"/>
        </w:rPr>
      </w:pPr>
    </w:p>
    <w:p w14:paraId="3C866AF9" w14:textId="56AD872E" w:rsidR="002A0876" w:rsidRDefault="002A0876" w:rsidP="00401A5B">
      <w:pPr>
        <w:widowControl w:val="0"/>
        <w:jc w:val="right"/>
        <w:rPr>
          <w:rFonts w:ascii="Times New Roman" w:eastAsia="Times New Roman" w:hAnsi="Times New Roman" w:cs="Times New Roman"/>
          <w:color w:val="000000"/>
          <w:sz w:val="24"/>
        </w:rPr>
      </w:pPr>
    </w:p>
    <w:p w14:paraId="5A27DDDB" w14:textId="77777777" w:rsidR="002A0876" w:rsidRDefault="002A0876" w:rsidP="00401A5B">
      <w:pPr>
        <w:widowControl w:val="0"/>
        <w:jc w:val="right"/>
        <w:rPr>
          <w:rFonts w:ascii="Times New Roman" w:eastAsia="Times New Roman" w:hAnsi="Times New Roman" w:cs="Times New Roman"/>
          <w:color w:val="000000"/>
          <w:sz w:val="24"/>
        </w:rPr>
      </w:pPr>
    </w:p>
    <w:p w14:paraId="7D74BE62" w14:textId="24E10648" w:rsidR="004F391E" w:rsidRPr="004F391E" w:rsidRDefault="004F391E" w:rsidP="00401A5B">
      <w:pPr>
        <w:rPr>
          <w:rFonts w:ascii="Times New Roman" w:hAnsi="Times New Roman" w:cs="Times New Roman"/>
          <w:sz w:val="20"/>
          <w:szCs w:val="20"/>
        </w:rPr>
      </w:pPr>
    </w:p>
    <w:p w14:paraId="612FEA04" w14:textId="58DEA730" w:rsidR="009D05C2" w:rsidRPr="009D05C2" w:rsidRDefault="009D05C2" w:rsidP="00401A5B">
      <w:pPr>
        <w:widowControl w:val="0"/>
        <w:jc w:val="right"/>
        <w:rPr>
          <w:rFonts w:ascii="Times New Roman" w:eastAsia="Times New Roman" w:hAnsi="Times New Roman" w:cs="Times New Roman"/>
          <w:color w:val="000000"/>
          <w:sz w:val="28"/>
        </w:rPr>
      </w:pPr>
      <w:r w:rsidRPr="009D05C2">
        <w:rPr>
          <w:rFonts w:ascii="Times New Roman" w:eastAsia="Times New Roman" w:hAnsi="Times New Roman" w:cs="Times New Roman"/>
          <w:color w:val="000000"/>
          <w:sz w:val="28"/>
        </w:rPr>
        <w:t>3.pielikums</w:t>
      </w:r>
    </w:p>
    <w:p w14:paraId="30B93A78" w14:textId="5FCB74B8" w:rsidR="004F391E" w:rsidRDefault="009D05C2" w:rsidP="00401A5B">
      <w:pPr>
        <w:widowControl w:val="0"/>
        <w:jc w:val="right"/>
        <w:rPr>
          <w:rFonts w:ascii="Times New Roman" w:hAnsi="Times New Roman"/>
          <w:b/>
          <w:sz w:val="28"/>
          <w:szCs w:val="24"/>
        </w:rPr>
      </w:pPr>
      <w:r>
        <w:rPr>
          <w:rFonts w:ascii="Times New Roman" w:hAnsi="Times New Roman"/>
          <w:b/>
          <w:sz w:val="28"/>
          <w:szCs w:val="24"/>
        </w:rPr>
        <w:t>V</w:t>
      </w:r>
      <w:r w:rsidRPr="009D05C2">
        <w:rPr>
          <w:rFonts w:ascii="Times New Roman" w:hAnsi="Times New Roman"/>
          <w:b/>
          <w:sz w:val="28"/>
          <w:szCs w:val="24"/>
        </w:rPr>
        <w:t>ispārējās valdības sektorā iekļa</w:t>
      </w:r>
      <w:r>
        <w:rPr>
          <w:rFonts w:ascii="Times New Roman" w:hAnsi="Times New Roman"/>
          <w:b/>
          <w:sz w:val="28"/>
          <w:szCs w:val="24"/>
        </w:rPr>
        <w:t>uto kapitālsabiedrību prognozētā ietekme uz</w:t>
      </w:r>
      <w:r w:rsidRPr="009D05C2">
        <w:rPr>
          <w:rFonts w:ascii="Times New Roman" w:hAnsi="Times New Roman"/>
          <w:b/>
          <w:sz w:val="28"/>
          <w:szCs w:val="24"/>
        </w:rPr>
        <w:t xml:space="preserve"> vispārējās</w:t>
      </w:r>
      <w:r w:rsidR="003B4DAE">
        <w:rPr>
          <w:rFonts w:ascii="Times New Roman" w:hAnsi="Times New Roman"/>
          <w:b/>
          <w:sz w:val="28"/>
          <w:szCs w:val="24"/>
        </w:rPr>
        <w:t xml:space="preserve"> valdības neto aizdevumiem vai </w:t>
      </w:r>
      <w:r w:rsidRPr="009D05C2">
        <w:rPr>
          <w:rFonts w:ascii="Times New Roman" w:hAnsi="Times New Roman"/>
          <w:b/>
          <w:sz w:val="28"/>
          <w:szCs w:val="24"/>
        </w:rPr>
        <w:t>aizņēmumiem  (B.9) 2021., 2022. un 2023. gadā</w:t>
      </w:r>
    </w:p>
    <w:p w14:paraId="1B49969B" w14:textId="789F52B4" w:rsidR="00F65567" w:rsidRDefault="00F65567" w:rsidP="00401A5B">
      <w:pPr>
        <w:widowControl w:val="0"/>
        <w:jc w:val="right"/>
        <w:rPr>
          <w:rFonts w:ascii="Times New Roman" w:hAnsi="Times New Roman"/>
          <w:b/>
          <w:sz w:val="28"/>
          <w:szCs w:val="24"/>
        </w:rPr>
      </w:pPr>
    </w:p>
    <w:p w14:paraId="1334C7A4" w14:textId="6228A27E" w:rsidR="00913134" w:rsidRPr="002A0876" w:rsidRDefault="00913134" w:rsidP="00401A5B">
      <w:pPr>
        <w:widowControl w:val="0"/>
        <w:jc w:val="right"/>
        <w:rPr>
          <w:rFonts w:ascii="Times New Roman" w:hAnsi="Times New Roman"/>
          <w:i/>
          <w:sz w:val="24"/>
          <w:szCs w:val="24"/>
        </w:rPr>
      </w:pPr>
      <w:r w:rsidRPr="002A0876">
        <w:rPr>
          <w:rFonts w:ascii="Times New Roman" w:hAnsi="Times New Roman"/>
          <w:i/>
          <w:sz w:val="24"/>
          <w:szCs w:val="24"/>
        </w:rPr>
        <w:t>euro</w:t>
      </w:r>
    </w:p>
    <w:tbl>
      <w:tblPr>
        <w:tblW w:w="14034" w:type="dxa"/>
        <w:tblInd w:w="-5" w:type="dxa"/>
        <w:tblLook w:val="04A0" w:firstRow="1" w:lastRow="0" w:firstColumn="1" w:lastColumn="0" w:noHBand="0" w:noVBand="1"/>
      </w:tblPr>
      <w:tblGrid>
        <w:gridCol w:w="1070"/>
        <w:gridCol w:w="6868"/>
        <w:gridCol w:w="1985"/>
        <w:gridCol w:w="1984"/>
        <w:gridCol w:w="2127"/>
      </w:tblGrid>
      <w:tr w:rsidR="00F65567" w:rsidRPr="002A0876" w14:paraId="0530BA55" w14:textId="77777777" w:rsidTr="00F65567">
        <w:trPr>
          <w:trHeight w:val="315"/>
        </w:trPr>
        <w:tc>
          <w:tcPr>
            <w:tcW w:w="14034" w:type="dxa"/>
            <w:gridSpan w:val="5"/>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75CAEE9C" w14:textId="77777777" w:rsidR="00F65567" w:rsidRPr="002A0876" w:rsidRDefault="00F65567" w:rsidP="00F65567">
            <w:pPr>
              <w:jc w:val="center"/>
              <w:rPr>
                <w:rFonts w:ascii="Times New Roman" w:eastAsia="Times New Roman" w:hAnsi="Times New Roman" w:cs="Times New Roman"/>
                <w:b/>
                <w:color w:val="000000"/>
                <w:sz w:val="20"/>
                <w:szCs w:val="20"/>
              </w:rPr>
            </w:pPr>
            <w:r w:rsidRPr="002A0876">
              <w:rPr>
                <w:rFonts w:ascii="Times New Roman" w:eastAsia="Times New Roman" w:hAnsi="Times New Roman" w:cs="Times New Roman"/>
                <w:b/>
                <w:color w:val="000000"/>
                <w:sz w:val="20"/>
                <w:szCs w:val="20"/>
              </w:rPr>
              <w:t>2021</w:t>
            </w:r>
          </w:p>
        </w:tc>
      </w:tr>
      <w:tr w:rsidR="00F65567" w:rsidRPr="002A0876" w14:paraId="61788F29" w14:textId="77777777" w:rsidTr="00F65567">
        <w:trPr>
          <w:trHeight w:val="630"/>
        </w:trPr>
        <w:tc>
          <w:tcPr>
            <w:tcW w:w="1070" w:type="dxa"/>
            <w:tcBorders>
              <w:top w:val="nil"/>
              <w:left w:val="single" w:sz="4" w:space="0" w:color="auto"/>
              <w:bottom w:val="single" w:sz="4" w:space="0" w:color="auto"/>
              <w:right w:val="single" w:sz="4" w:space="0" w:color="auto"/>
            </w:tcBorders>
            <w:shd w:val="clear" w:color="000000" w:fill="BDD7EE"/>
            <w:noWrap/>
            <w:vAlign w:val="bottom"/>
            <w:hideMark/>
          </w:tcPr>
          <w:p w14:paraId="3968F278"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N.p.k.</w:t>
            </w:r>
          </w:p>
        </w:tc>
        <w:tc>
          <w:tcPr>
            <w:tcW w:w="6868" w:type="dxa"/>
            <w:tcBorders>
              <w:top w:val="nil"/>
              <w:left w:val="nil"/>
              <w:bottom w:val="single" w:sz="4" w:space="0" w:color="auto"/>
              <w:right w:val="single" w:sz="4" w:space="0" w:color="auto"/>
            </w:tcBorders>
            <w:shd w:val="clear" w:color="000000" w:fill="BDD7EE"/>
            <w:noWrap/>
            <w:vAlign w:val="bottom"/>
            <w:hideMark/>
          </w:tcPr>
          <w:p w14:paraId="0A2ACA27"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5" w:type="dxa"/>
            <w:tcBorders>
              <w:top w:val="nil"/>
              <w:left w:val="nil"/>
              <w:bottom w:val="single" w:sz="4" w:space="0" w:color="auto"/>
              <w:right w:val="single" w:sz="4" w:space="0" w:color="auto"/>
            </w:tcBorders>
            <w:shd w:val="clear" w:color="000000" w:fill="BDD7EE"/>
            <w:vAlign w:val="center"/>
            <w:hideMark/>
          </w:tcPr>
          <w:p w14:paraId="2699E481" w14:textId="77777777" w:rsidR="00F65567" w:rsidRPr="002A0876" w:rsidRDefault="00F65567" w:rsidP="00F65567">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Ieņēmumi</w:t>
            </w:r>
          </w:p>
        </w:tc>
        <w:tc>
          <w:tcPr>
            <w:tcW w:w="1984" w:type="dxa"/>
            <w:tcBorders>
              <w:top w:val="nil"/>
              <w:left w:val="nil"/>
              <w:bottom w:val="single" w:sz="4" w:space="0" w:color="auto"/>
              <w:right w:val="single" w:sz="4" w:space="0" w:color="auto"/>
            </w:tcBorders>
            <w:shd w:val="clear" w:color="000000" w:fill="BDD7EE"/>
            <w:vAlign w:val="center"/>
            <w:hideMark/>
          </w:tcPr>
          <w:p w14:paraId="78DFF463" w14:textId="77777777" w:rsidR="00F65567" w:rsidRPr="002A0876" w:rsidRDefault="00F65567" w:rsidP="00F65567">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Izdevumi</w:t>
            </w:r>
          </w:p>
        </w:tc>
        <w:tc>
          <w:tcPr>
            <w:tcW w:w="2127" w:type="dxa"/>
            <w:tcBorders>
              <w:top w:val="nil"/>
              <w:left w:val="nil"/>
              <w:bottom w:val="single" w:sz="4" w:space="0" w:color="auto"/>
              <w:right w:val="single" w:sz="4" w:space="0" w:color="auto"/>
            </w:tcBorders>
            <w:shd w:val="clear" w:color="000000" w:fill="BDD7EE"/>
            <w:vAlign w:val="center"/>
            <w:hideMark/>
          </w:tcPr>
          <w:p w14:paraId="42AF7DC4" w14:textId="77777777" w:rsidR="00F65567" w:rsidRPr="002A0876" w:rsidRDefault="00F65567" w:rsidP="00F65567">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Ietekme uz B.9 neto aizdevumiem (+)/neto aizņēmumiem (-)</w:t>
            </w:r>
          </w:p>
        </w:tc>
      </w:tr>
      <w:tr w:rsidR="00F65567" w:rsidRPr="002A0876" w14:paraId="7F8DA465" w14:textId="77777777" w:rsidTr="00F65567">
        <w:trPr>
          <w:trHeight w:val="315"/>
        </w:trPr>
        <w:tc>
          <w:tcPr>
            <w:tcW w:w="1070" w:type="dxa"/>
            <w:tcBorders>
              <w:top w:val="nil"/>
              <w:left w:val="single" w:sz="4" w:space="0" w:color="auto"/>
              <w:bottom w:val="single" w:sz="4" w:space="0" w:color="auto"/>
              <w:right w:val="single" w:sz="4" w:space="0" w:color="auto"/>
            </w:tcBorders>
            <w:shd w:val="clear" w:color="000000" w:fill="DDEBF7"/>
            <w:noWrap/>
            <w:vAlign w:val="bottom"/>
            <w:hideMark/>
          </w:tcPr>
          <w:p w14:paraId="6918F242"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S130100</w:t>
            </w:r>
          </w:p>
        </w:tc>
        <w:tc>
          <w:tcPr>
            <w:tcW w:w="6868" w:type="dxa"/>
            <w:tcBorders>
              <w:top w:val="nil"/>
              <w:left w:val="nil"/>
              <w:bottom w:val="single" w:sz="4" w:space="0" w:color="auto"/>
              <w:right w:val="single" w:sz="4" w:space="0" w:color="auto"/>
            </w:tcBorders>
            <w:shd w:val="clear" w:color="000000" w:fill="DDEBF7"/>
            <w:noWrap/>
            <w:vAlign w:val="center"/>
            <w:hideMark/>
          </w:tcPr>
          <w:p w14:paraId="7D12AA0F"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Valsts struktūru kontrolētas un finansētas komercsabiedrības</w:t>
            </w:r>
          </w:p>
        </w:tc>
        <w:tc>
          <w:tcPr>
            <w:tcW w:w="1985" w:type="dxa"/>
            <w:tcBorders>
              <w:top w:val="nil"/>
              <w:left w:val="nil"/>
              <w:bottom w:val="single" w:sz="4" w:space="0" w:color="auto"/>
              <w:right w:val="single" w:sz="4" w:space="0" w:color="auto"/>
            </w:tcBorders>
            <w:shd w:val="clear" w:color="000000" w:fill="DDEBF7"/>
            <w:noWrap/>
            <w:vAlign w:val="bottom"/>
            <w:hideMark/>
          </w:tcPr>
          <w:p w14:paraId="50130AB8"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000000" w:fill="DDEBF7"/>
            <w:noWrap/>
            <w:vAlign w:val="bottom"/>
            <w:hideMark/>
          </w:tcPr>
          <w:p w14:paraId="058F05B2"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2127" w:type="dxa"/>
            <w:tcBorders>
              <w:top w:val="nil"/>
              <w:left w:val="nil"/>
              <w:bottom w:val="single" w:sz="4" w:space="0" w:color="auto"/>
              <w:right w:val="single" w:sz="4" w:space="0" w:color="auto"/>
            </w:tcBorders>
            <w:shd w:val="clear" w:color="000000" w:fill="DDEBF7"/>
            <w:noWrap/>
            <w:vAlign w:val="bottom"/>
            <w:hideMark/>
          </w:tcPr>
          <w:p w14:paraId="5ADA30C4"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F65567" w:rsidRPr="002A0876" w14:paraId="04FE40F3" w14:textId="77777777" w:rsidTr="00913134">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7E8A4A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w:t>
            </w:r>
          </w:p>
        </w:tc>
        <w:tc>
          <w:tcPr>
            <w:tcW w:w="6868" w:type="dxa"/>
            <w:tcBorders>
              <w:top w:val="nil"/>
              <w:left w:val="nil"/>
              <w:bottom w:val="single" w:sz="4" w:space="0" w:color="auto"/>
              <w:right w:val="single" w:sz="4" w:space="0" w:color="auto"/>
            </w:tcBorders>
            <w:shd w:val="clear" w:color="auto" w:fill="auto"/>
            <w:noWrap/>
            <w:vAlign w:val="bottom"/>
            <w:hideMark/>
          </w:tcPr>
          <w:p w14:paraId="3302C04A"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"Iekšlietu ministrijas poliklīnika"</w:t>
            </w:r>
          </w:p>
        </w:tc>
        <w:tc>
          <w:tcPr>
            <w:tcW w:w="1985" w:type="dxa"/>
            <w:tcBorders>
              <w:top w:val="nil"/>
              <w:left w:val="nil"/>
              <w:bottom w:val="single" w:sz="4" w:space="0" w:color="auto"/>
              <w:right w:val="single" w:sz="4" w:space="0" w:color="auto"/>
            </w:tcBorders>
            <w:shd w:val="clear" w:color="auto" w:fill="auto"/>
            <w:noWrap/>
            <w:vAlign w:val="bottom"/>
            <w:hideMark/>
          </w:tcPr>
          <w:p w14:paraId="0B97B45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2 383 700</w:t>
            </w:r>
          </w:p>
        </w:tc>
        <w:tc>
          <w:tcPr>
            <w:tcW w:w="1984" w:type="dxa"/>
            <w:tcBorders>
              <w:top w:val="nil"/>
              <w:left w:val="nil"/>
              <w:bottom w:val="single" w:sz="4" w:space="0" w:color="auto"/>
              <w:right w:val="single" w:sz="4" w:space="0" w:color="auto"/>
            </w:tcBorders>
            <w:shd w:val="clear" w:color="auto" w:fill="auto"/>
            <w:noWrap/>
            <w:vAlign w:val="bottom"/>
            <w:hideMark/>
          </w:tcPr>
          <w:p w14:paraId="55ED74A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2 375 770</w:t>
            </w:r>
          </w:p>
        </w:tc>
        <w:tc>
          <w:tcPr>
            <w:tcW w:w="2127" w:type="dxa"/>
            <w:tcBorders>
              <w:top w:val="nil"/>
              <w:left w:val="nil"/>
              <w:bottom w:val="single" w:sz="4" w:space="0" w:color="auto"/>
              <w:right w:val="single" w:sz="4" w:space="0" w:color="auto"/>
            </w:tcBorders>
            <w:shd w:val="clear" w:color="auto" w:fill="auto"/>
            <w:noWrap/>
            <w:vAlign w:val="bottom"/>
            <w:hideMark/>
          </w:tcPr>
          <w:p w14:paraId="11A1BDE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7 930</w:t>
            </w:r>
          </w:p>
        </w:tc>
      </w:tr>
      <w:tr w:rsidR="00F65567" w:rsidRPr="002A0876" w14:paraId="7506CDD3" w14:textId="77777777" w:rsidTr="00913134">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0E667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w:t>
            </w:r>
          </w:p>
        </w:tc>
        <w:tc>
          <w:tcPr>
            <w:tcW w:w="6868" w:type="dxa"/>
            <w:tcBorders>
              <w:top w:val="single" w:sz="4" w:space="0" w:color="auto"/>
              <w:left w:val="nil"/>
              <w:bottom w:val="single" w:sz="4" w:space="0" w:color="auto"/>
              <w:right w:val="single" w:sz="4" w:space="0" w:color="auto"/>
            </w:tcBorders>
            <w:shd w:val="clear" w:color="auto" w:fill="auto"/>
            <w:noWrap/>
            <w:vAlign w:val="bottom"/>
            <w:hideMark/>
          </w:tcPr>
          <w:p w14:paraId="287CF7C9"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"RTU Inženierzinātņu vidusskola"</w:t>
            </w:r>
          </w:p>
        </w:tc>
        <w:tc>
          <w:tcPr>
            <w:tcW w:w="1985" w:type="dxa"/>
            <w:tcBorders>
              <w:top w:val="nil"/>
              <w:left w:val="nil"/>
              <w:bottom w:val="single" w:sz="4" w:space="0" w:color="auto"/>
              <w:right w:val="single" w:sz="4" w:space="0" w:color="auto"/>
            </w:tcBorders>
            <w:shd w:val="clear" w:color="auto" w:fill="auto"/>
            <w:noWrap/>
            <w:vAlign w:val="bottom"/>
            <w:hideMark/>
          </w:tcPr>
          <w:p w14:paraId="5D3AA1B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330 000</w:t>
            </w:r>
          </w:p>
        </w:tc>
        <w:tc>
          <w:tcPr>
            <w:tcW w:w="1984" w:type="dxa"/>
            <w:tcBorders>
              <w:top w:val="nil"/>
              <w:left w:val="nil"/>
              <w:bottom w:val="single" w:sz="4" w:space="0" w:color="auto"/>
              <w:right w:val="single" w:sz="4" w:space="0" w:color="auto"/>
            </w:tcBorders>
            <w:shd w:val="clear" w:color="auto" w:fill="auto"/>
            <w:noWrap/>
            <w:vAlign w:val="bottom"/>
            <w:hideMark/>
          </w:tcPr>
          <w:p w14:paraId="2D5B2FE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325 000</w:t>
            </w:r>
          </w:p>
        </w:tc>
        <w:tc>
          <w:tcPr>
            <w:tcW w:w="2127" w:type="dxa"/>
            <w:tcBorders>
              <w:top w:val="nil"/>
              <w:left w:val="nil"/>
              <w:bottom w:val="single" w:sz="4" w:space="0" w:color="auto"/>
              <w:right w:val="single" w:sz="4" w:space="0" w:color="auto"/>
            </w:tcBorders>
            <w:shd w:val="clear" w:color="auto" w:fill="auto"/>
            <w:noWrap/>
            <w:vAlign w:val="bottom"/>
            <w:hideMark/>
          </w:tcPr>
          <w:p w14:paraId="1E49171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5 000</w:t>
            </w:r>
          </w:p>
        </w:tc>
      </w:tr>
      <w:tr w:rsidR="00F65567" w:rsidRPr="002A0876" w14:paraId="4AE0536B"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113120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w:t>
            </w:r>
          </w:p>
        </w:tc>
        <w:tc>
          <w:tcPr>
            <w:tcW w:w="6868" w:type="dxa"/>
            <w:tcBorders>
              <w:top w:val="nil"/>
              <w:left w:val="nil"/>
              <w:bottom w:val="single" w:sz="4" w:space="0" w:color="auto"/>
              <w:right w:val="single" w:sz="4" w:space="0" w:color="auto"/>
            </w:tcBorders>
            <w:shd w:val="clear" w:color="auto" w:fill="auto"/>
            <w:noWrap/>
            <w:vAlign w:val="bottom"/>
            <w:hideMark/>
          </w:tcPr>
          <w:p w14:paraId="73A6C864"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"Latvijas Universitātes nekustamā īpašuma aģentūra"</w:t>
            </w:r>
          </w:p>
        </w:tc>
        <w:tc>
          <w:tcPr>
            <w:tcW w:w="1985" w:type="dxa"/>
            <w:tcBorders>
              <w:top w:val="nil"/>
              <w:left w:val="nil"/>
              <w:bottom w:val="single" w:sz="4" w:space="0" w:color="auto"/>
              <w:right w:val="single" w:sz="4" w:space="0" w:color="auto"/>
            </w:tcBorders>
            <w:shd w:val="clear" w:color="auto" w:fill="auto"/>
            <w:noWrap/>
            <w:vAlign w:val="bottom"/>
            <w:hideMark/>
          </w:tcPr>
          <w:p w14:paraId="6062933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10 000</w:t>
            </w:r>
          </w:p>
        </w:tc>
        <w:tc>
          <w:tcPr>
            <w:tcW w:w="1984" w:type="dxa"/>
            <w:tcBorders>
              <w:top w:val="nil"/>
              <w:left w:val="nil"/>
              <w:bottom w:val="single" w:sz="4" w:space="0" w:color="auto"/>
              <w:right w:val="single" w:sz="4" w:space="0" w:color="auto"/>
            </w:tcBorders>
            <w:shd w:val="clear" w:color="auto" w:fill="auto"/>
            <w:noWrap/>
            <w:vAlign w:val="bottom"/>
            <w:hideMark/>
          </w:tcPr>
          <w:p w14:paraId="40B6C4F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-1 963 980</w:t>
            </w:r>
          </w:p>
        </w:tc>
        <w:tc>
          <w:tcPr>
            <w:tcW w:w="2127" w:type="dxa"/>
            <w:tcBorders>
              <w:top w:val="nil"/>
              <w:left w:val="nil"/>
              <w:bottom w:val="single" w:sz="4" w:space="0" w:color="auto"/>
              <w:right w:val="single" w:sz="4" w:space="0" w:color="auto"/>
            </w:tcBorders>
            <w:shd w:val="clear" w:color="auto" w:fill="auto"/>
            <w:noWrap/>
            <w:vAlign w:val="bottom"/>
            <w:hideMark/>
          </w:tcPr>
          <w:p w14:paraId="3EAE96E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1 973 980</w:t>
            </w:r>
          </w:p>
        </w:tc>
      </w:tr>
      <w:tr w:rsidR="00F65567" w:rsidRPr="002A0876" w14:paraId="347BE943"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AED037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w:t>
            </w:r>
          </w:p>
        </w:tc>
        <w:tc>
          <w:tcPr>
            <w:tcW w:w="6868" w:type="dxa"/>
            <w:tcBorders>
              <w:top w:val="nil"/>
              <w:left w:val="nil"/>
              <w:bottom w:val="single" w:sz="4" w:space="0" w:color="auto"/>
              <w:right w:val="single" w:sz="4" w:space="0" w:color="auto"/>
            </w:tcBorders>
            <w:shd w:val="clear" w:color="auto" w:fill="auto"/>
            <w:noWrap/>
            <w:vAlign w:val="bottom"/>
            <w:hideMark/>
          </w:tcPr>
          <w:p w14:paraId="11ABC787"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"Bulduru Dārzkopības vidusskola"</w:t>
            </w:r>
          </w:p>
        </w:tc>
        <w:tc>
          <w:tcPr>
            <w:tcW w:w="1985" w:type="dxa"/>
            <w:tcBorders>
              <w:top w:val="nil"/>
              <w:left w:val="nil"/>
              <w:bottom w:val="single" w:sz="4" w:space="0" w:color="auto"/>
              <w:right w:val="single" w:sz="4" w:space="0" w:color="auto"/>
            </w:tcBorders>
            <w:shd w:val="clear" w:color="auto" w:fill="auto"/>
            <w:noWrap/>
            <w:vAlign w:val="bottom"/>
            <w:hideMark/>
          </w:tcPr>
          <w:p w14:paraId="061235D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520 000</w:t>
            </w:r>
          </w:p>
        </w:tc>
        <w:tc>
          <w:tcPr>
            <w:tcW w:w="1984" w:type="dxa"/>
            <w:tcBorders>
              <w:top w:val="nil"/>
              <w:left w:val="nil"/>
              <w:bottom w:val="single" w:sz="4" w:space="0" w:color="auto"/>
              <w:right w:val="single" w:sz="4" w:space="0" w:color="auto"/>
            </w:tcBorders>
            <w:shd w:val="clear" w:color="auto" w:fill="auto"/>
            <w:noWrap/>
            <w:vAlign w:val="bottom"/>
            <w:hideMark/>
          </w:tcPr>
          <w:p w14:paraId="03A89B5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629 500</w:t>
            </w:r>
          </w:p>
        </w:tc>
        <w:tc>
          <w:tcPr>
            <w:tcW w:w="2127" w:type="dxa"/>
            <w:tcBorders>
              <w:top w:val="nil"/>
              <w:left w:val="nil"/>
              <w:bottom w:val="single" w:sz="4" w:space="0" w:color="auto"/>
              <w:right w:val="single" w:sz="4" w:space="0" w:color="auto"/>
            </w:tcBorders>
            <w:shd w:val="clear" w:color="auto" w:fill="auto"/>
            <w:noWrap/>
            <w:vAlign w:val="bottom"/>
            <w:hideMark/>
          </w:tcPr>
          <w:p w14:paraId="765BA2A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-109 500</w:t>
            </w:r>
          </w:p>
        </w:tc>
      </w:tr>
      <w:tr w:rsidR="00F65567" w:rsidRPr="002A0876" w14:paraId="1BF6823B"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0B08E4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w:t>
            </w:r>
          </w:p>
        </w:tc>
        <w:tc>
          <w:tcPr>
            <w:tcW w:w="6868" w:type="dxa"/>
            <w:tcBorders>
              <w:top w:val="nil"/>
              <w:left w:val="nil"/>
              <w:bottom w:val="single" w:sz="4" w:space="0" w:color="auto"/>
              <w:right w:val="single" w:sz="4" w:space="0" w:color="auto"/>
            </w:tcBorders>
            <w:shd w:val="clear" w:color="auto" w:fill="auto"/>
            <w:noWrap/>
            <w:vAlign w:val="bottom"/>
            <w:hideMark/>
          </w:tcPr>
          <w:p w14:paraId="604EF296"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Attīstības finanšu institūcija Altum"</w:t>
            </w:r>
          </w:p>
        </w:tc>
        <w:tc>
          <w:tcPr>
            <w:tcW w:w="1985" w:type="dxa"/>
            <w:tcBorders>
              <w:top w:val="nil"/>
              <w:left w:val="nil"/>
              <w:bottom w:val="single" w:sz="4" w:space="0" w:color="auto"/>
              <w:right w:val="single" w:sz="4" w:space="0" w:color="auto"/>
            </w:tcBorders>
            <w:shd w:val="clear" w:color="auto" w:fill="auto"/>
            <w:noWrap/>
            <w:vAlign w:val="bottom"/>
            <w:hideMark/>
          </w:tcPr>
          <w:p w14:paraId="4FBD588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25 913 151</w:t>
            </w:r>
          </w:p>
        </w:tc>
        <w:tc>
          <w:tcPr>
            <w:tcW w:w="1984" w:type="dxa"/>
            <w:tcBorders>
              <w:top w:val="nil"/>
              <w:left w:val="nil"/>
              <w:bottom w:val="single" w:sz="4" w:space="0" w:color="auto"/>
              <w:right w:val="single" w:sz="4" w:space="0" w:color="auto"/>
            </w:tcBorders>
            <w:shd w:val="clear" w:color="auto" w:fill="auto"/>
            <w:noWrap/>
            <w:vAlign w:val="bottom"/>
            <w:hideMark/>
          </w:tcPr>
          <w:p w14:paraId="2DFB274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16 201 259</w:t>
            </w:r>
          </w:p>
        </w:tc>
        <w:tc>
          <w:tcPr>
            <w:tcW w:w="2127" w:type="dxa"/>
            <w:tcBorders>
              <w:top w:val="nil"/>
              <w:left w:val="nil"/>
              <w:bottom w:val="single" w:sz="4" w:space="0" w:color="auto"/>
              <w:right w:val="single" w:sz="4" w:space="0" w:color="auto"/>
            </w:tcBorders>
            <w:shd w:val="clear" w:color="auto" w:fill="auto"/>
            <w:noWrap/>
            <w:vAlign w:val="bottom"/>
            <w:hideMark/>
          </w:tcPr>
          <w:p w14:paraId="171F045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9 711 892</w:t>
            </w:r>
          </w:p>
        </w:tc>
      </w:tr>
      <w:tr w:rsidR="00F65567" w:rsidRPr="002A0876" w14:paraId="5B70CA92"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AEED83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w:t>
            </w:r>
          </w:p>
        </w:tc>
        <w:tc>
          <w:tcPr>
            <w:tcW w:w="6868" w:type="dxa"/>
            <w:tcBorders>
              <w:top w:val="nil"/>
              <w:left w:val="nil"/>
              <w:bottom w:val="single" w:sz="4" w:space="0" w:color="auto"/>
              <w:right w:val="single" w:sz="4" w:space="0" w:color="auto"/>
            </w:tcBorders>
            <w:shd w:val="clear" w:color="auto" w:fill="auto"/>
            <w:noWrap/>
            <w:vAlign w:val="bottom"/>
            <w:hideMark/>
          </w:tcPr>
          <w:p w14:paraId="17EA8EF4"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"Šampētera nams"</w:t>
            </w:r>
          </w:p>
        </w:tc>
        <w:tc>
          <w:tcPr>
            <w:tcW w:w="1985" w:type="dxa"/>
            <w:tcBorders>
              <w:top w:val="nil"/>
              <w:left w:val="nil"/>
              <w:bottom w:val="single" w:sz="4" w:space="0" w:color="auto"/>
              <w:right w:val="single" w:sz="4" w:space="0" w:color="auto"/>
            </w:tcBorders>
            <w:shd w:val="clear" w:color="auto" w:fill="auto"/>
            <w:noWrap/>
            <w:vAlign w:val="bottom"/>
            <w:hideMark/>
          </w:tcPr>
          <w:p w14:paraId="1C7AE49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1 920 000</w:t>
            </w:r>
          </w:p>
        </w:tc>
        <w:tc>
          <w:tcPr>
            <w:tcW w:w="1984" w:type="dxa"/>
            <w:tcBorders>
              <w:top w:val="nil"/>
              <w:left w:val="nil"/>
              <w:bottom w:val="single" w:sz="4" w:space="0" w:color="auto"/>
              <w:right w:val="single" w:sz="4" w:space="0" w:color="auto"/>
            </w:tcBorders>
            <w:shd w:val="clear" w:color="auto" w:fill="auto"/>
            <w:noWrap/>
            <w:vAlign w:val="bottom"/>
            <w:hideMark/>
          </w:tcPr>
          <w:p w14:paraId="31A0F07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1 901 614</w:t>
            </w:r>
          </w:p>
        </w:tc>
        <w:tc>
          <w:tcPr>
            <w:tcW w:w="2127" w:type="dxa"/>
            <w:tcBorders>
              <w:top w:val="nil"/>
              <w:left w:val="nil"/>
              <w:bottom w:val="single" w:sz="4" w:space="0" w:color="auto"/>
              <w:right w:val="single" w:sz="4" w:space="0" w:color="auto"/>
            </w:tcBorders>
            <w:shd w:val="clear" w:color="auto" w:fill="auto"/>
            <w:noWrap/>
            <w:vAlign w:val="bottom"/>
            <w:hideMark/>
          </w:tcPr>
          <w:p w14:paraId="0635DD2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18 387</w:t>
            </w:r>
          </w:p>
        </w:tc>
      </w:tr>
      <w:tr w:rsidR="00F65567" w:rsidRPr="002A0876" w14:paraId="479A77E2"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1183AD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w:t>
            </w:r>
          </w:p>
        </w:tc>
        <w:tc>
          <w:tcPr>
            <w:tcW w:w="6868" w:type="dxa"/>
            <w:tcBorders>
              <w:top w:val="nil"/>
              <w:left w:val="nil"/>
              <w:bottom w:val="single" w:sz="4" w:space="0" w:color="auto"/>
              <w:right w:val="single" w:sz="4" w:space="0" w:color="auto"/>
            </w:tcBorders>
            <w:shd w:val="clear" w:color="auto" w:fill="auto"/>
            <w:noWrap/>
            <w:vAlign w:val="bottom"/>
            <w:hideMark/>
          </w:tcPr>
          <w:p w14:paraId="699681AD"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Koncerti”</w:t>
            </w:r>
          </w:p>
        </w:tc>
        <w:tc>
          <w:tcPr>
            <w:tcW w:w="1985" w:type="dxa"/>
            <w:tcBorders>
              <w:top w:val="nil"/>
              <w:left w:val="nil"/>
              <w:bottom w:val="single" w:sz="4" w:space="0" w:color="auto"/>
              <w:right w:val="single" w:sz="4" w:space="0" w:color="auto"/>
            </w:tcBorders>
            <w:shd w:val="clear" w:color="auto" w:fill="auto"/>
            <w:noWrap/>
            <w:vAlign w:val="bottom"/>
            <w:hideMark/>
          </w:tcPr>
          <w:p w14:paraId="4DF9CAC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1 345 064</w:t>
            </w:r>
          </w:p>
        </w:tc>
        <w:tc>
          <w:tcPr>
            <w:tcW w:w="1984" w:type="dxa"/>
            <w:tcBorders>
              <w:top w:val="nil"/>
              <w:left w:val="nil"/>
              <w:bottom w:val="single" w:sz="4" w:space="0" w:color="auto"/>
              <w:right w:val="single" w:sz="4" w:space="0" w:color="auto"/>
            </w:tcBorders>
            <w:shd w:val="clear" w:color="auto" w:fill="auto"/>
            <w:noWrap/>
            <w:vAlign w:val="bottom"/>
            <w:hideMark/>
          </w:tcPr>
          <w:p w14:paraId="02E5E51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1 332 364</w:t>
            </w:r>
          </w:p>
        </w:tc>
        <w:tc>
          <w:tcPr>
            <w:tcW w:w="2127" w:type="dxa"/>
            <w:tcBorders>
              <w:top w:val="nil"/>
              <w:left w:val="nil"/>
              <w:bottom w:val="single" w:sz="4" w:space="0" w:color="auto"/>
              <w:right w:val="single" w:sz="4" w:space="0" w:color="auto"/>
            </w:tcBorders>
            <w:shd w:val="clear" w:color="auto" w:fill="auto"/>
            <w:noWrap/>
            <w:vAlign w:val="bottom"/>
            <w:hideMark/>
          </w:tcPr>
          <w:p w14:paraId="4892ECF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12 700</w:t>
            </w:r>
          </w:p>
        </w:tc>
      </w:tr>
      <w:tr w:rsidR="00F65567" w:rsidRPr="002A0876" w14:paraId="4421C1D6"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F5FF0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w:t>
            </w:r>
          </w:p>
        </w:tc>
        <w:tc>
          <w:tcPr>
            <w:tcW w:w="6868" w:type="dxa"/>
            <w:tcBorders>
              <w:top w:val="nil"/>
              <w:left w:val="nil"/>
              <w:bottom w:val="single" w:sz="4" w:space="0" w:color="auto"/>
              <w:right w:val="single" w:sz="4" w:space="0" w:color="auto"/>
            </w:tcBorders>
            <w:shd w:val="clear" w:color="auto" w:fill="auto"/>
            <w:noWrap/>
            <w:vAlign w:val="bottom"/>
            <w:hideMark/>
          </w:tcPr>
          <w:p w14:paraId="7744A466"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"Valmieras drāmas teātris"</w:t>
            </w:r>
          </w:p>
        </w:tc>
        <w:tc>
          <w:tcPr>
            <w:tcW w:w="1985" w:type="dxa"/>
            <w:tcBorders>
              <w:top w:val="nil"/>
              <w:left w:val="nil"/>
              <w:bottom w:val="single" w:sz="4" w:space="0" w:color="auto"/>
              <w:right w:val="single" w:sz="4" w:space="0" w:color="auto"/>
            </w:tcBorders>
            <w:shd w:val="clear" w:color="auto" w:fill="auto"/>
            <w:noWrap/>
            <w:vAlign w:val="bottom"/>
            <w:hideMark/>
          </w:tcPr>
          <w:p w14:paraId="1F63D17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1 138 968</w:t>
            </w:r>
          </w:p>
        </w:tc>
        <w:tc>
          <w:tcPr>
            <w:tcW w:w="1984" w:type="dxa"/>
            <w:tcBorders>
              <w:top w:val="nil"/>
              <w:left w:val="nil"/>
              <w:bottom w:val="single" w:sz="4" w:space="0" w:color="auto"/>
              <w:right w:val="single" w:sz="4" w:space="0" w:color="auto"/>
            </w:tcBorders>
            <w:shd w:val="clear" w:color="auto" w:fill="auto"/>
            <w:noWrap/>
            <w:vAlign w:val="bottom"/>
            <w:hideMark/>
          </w:tcPr>
          <w:p w14:paraId="5368B31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1 059 908</w:t>
            </w:r>
          </w:p>
        </w:tc>
        <w:tc>
          <w:tcPr>
            <w:tcW w:w="2127" w:type="dxa"/>
            <w:tcBorders>
              <w:top w:val="nil"/>
              <w:left w:val="nil"/>
              <w:bottom w:val="single" w:sz="4" w:space="0" w:color="auto"/>
              <w:right w:val="single" w:sz="4" w:space="0" w:color="auto"/>
            </w:tcBorders>
            <w:shd w:val="clear" w:color="auto" w:fill="auto"/>
            <w:noWrap/>
            <w:vAlign w:val="bottom"/>
            <w:hideMark/>
          </w:tcPr>
          <w:p w14:paraId="72ABCE9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79 060</w:t>
            </w:r>
          </w:p>
        </w:tc>
      </w:tr>
      <w:tr w:rsidR="00F65567" w:rsidRPr="002A0876" w14:paraId="6DEFF581"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E160B2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w:t>
            </w:r>
          </w:p>
        </w:tc>
        <w:tc>
          <w:tcPr>
            <w:tcW w:w="6868" w:type="dxa"/>
            <w:tcBorders>
              <w:top w:val="nil"/>
              <w:left w:val="nil"/>
              <w:bottom w:val="single" w:sz="4" w:space="0" w:color="auto"/>
              <w:right w:val="single" w:sz="4" w:space="0" w:color="auto"/>
            </w:tcBorders>
            <w:shd w:val="clear" w:color="auto" w:fill="auto"/>
            <w:noWrap/>
            <w:vAlign w:val="bottom"/>
            <w:hideMark/>
          </w:tcPr>
          <w:p w14:paraId="0EB5C968"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"Daugavpils teātris"</w:t>
            </w:r>
          </w:p>
        </w:tc>
        <w:tc>
          <w:tcPr>
            <w:tcW w:w="1985" w:type="dxa"/>
            <w:tcBorders>
              <w:top w:val="nil"/>
              <w:left w:val="nil"/>
              <w:bottom w:val="single" w:sz="4" w:space="0" w:color="auto"/>
              <w:right w:val="single" w:sz="4" w:space="0" w:color="auto"/>
            </w:tcBorders>
            <w:shd w:val="clear" w:color="auto" w:fill="auto"/>
            <w:noWrap/>
            <w:vAlign w:val="bottom"/>
            <w:hideMark/>
          </w:tcPr>
          <w:p w14:paraId="6EFC5B2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200 000</w:t>
            </w:r>
          </w:p>
        </w:tc>
        <w:tc>
          <w:tcPr>
            <w:tcW w:w="1984" w:type="dxa"/>
            <w:tcBorders>
              <w:top w:val="nil"/>
              <w:left w:val="nil"/>
              <w:bottom w:val="single" w:sz="4" w:space="0" w:color="auto"/>
              <w:right w:val="single" w:sz="4" w:space="0" w:color="auto"/>
            </w:tcBorders>
            <w:shd w:val="clear" w:color="auto" w:fill="auto"/>
            <w:noWrap/>
            <w:vAlign w:val="bottom"/>
            <w:hideMark/>
          </w:tcPr>
          <w:p w14:paraId="6241756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259 900</w:t>
            </w:r>
          </w:p>
        </w:tc>
        <w:tc>
          <w:tcPr>
            <w:tcW w:w="2127" w:type="dxa"/>
            <w:tcBorders>
              <w:top w:val="nil"/>
              <w:left w:val="nil"/>
              <w:bottom w:val="single" w:sz="4" w:space="0" w:color="auto"/>
              <w:right w:val="single" w:sz="4" w:space="0" w:color="auto"/>
            </w:tcBorders>
            <w:shd w:val="clear" w:color="auto" w:fill="auto"/>
            <w:noWrap/>
            <w:vAlign w:val="bottom"/>
            <w:hideMark/>
          </w:tcPr>
          <w:p w14:paraId="0441DE0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-59 900</w:t>
            </w:r>
          </w:p>
        </w:tc>
      </w:tr>
      <w:tr w:rsidR="00F65567" w:rsidRPr="002A0876" w14:paraId="228B596E"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AA47D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w:t>
            </w:r>
          </w:p>
        </w:tc>
        <w:tc>
          <w:tcPr>
            <w:tcW w:w="6868" w:type="dxa"/>
            <w:tcBorders>
              <w:top w:val="nil"/>
              <w:left w:val="nil"/>
              <w:bottom w:val="single" w:sz="4" w:space="0" w:color="auto"/>
              <w:right w:val="single" w:sz="4" w:space="0" w:color="auto"/>
            </w:tcBorders>
            <w:shd w:val="clear" w:color="auto" w:fill="auto"/>
            <w:noWrap/>
            <w:vAlign w:val="bottom"/>
            <w:hideMark/>
          </w:tcPr>
          <w:p w14:paraId="04927480"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Nacionālais teātris"</w:t>
            </w:r>
          </w:p>
        </w:tc>
        <w:tc>
          <w:tcPr>
            <w:tcW w:w="1985" w:type="dxa"/>
            <w:tcBorders>
              <w:top w:val="nil"/>
              <w:left w:val="nil"/>
              <w:bottom w:val="single" w:sz="4" w:space="0" w:color="auto"/>
              <w:right w:val="single" w:sz="4" w:space="0" w:color="auto"/>
            </w:tcBorders>
            <w:shd w:val="clear" w:color="auto" w:fill="auto"/>
            <w:noWrap/>
            <w:vAlign w:val="bottom"/>
            <w:hideMark/>
          </w:tcPr>
          <w:p w14:paraId="018BF5D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2 000 500</w:t>
            </w:r>
          </w:p>
        </w:tc>
        <w:tc>
          <w:tcPr>
            <w:tcW w:w="1984" w:type="dxa"/>
            <w:tcBorders>
              <w:top w:val="nil"/>
              <w:left w:val="nil"/>
              <w:bottom w:val="single" w:sz="4" w:space="0" w:color="auto"/>
              <w:right w:val="single" w:sz="4" w:space="0" w:color="auto"/>
            </w:tcBorders>
            <w:shd w:val="clear" w:color="auto" w:fill="auto"/>
            <w:noWrap/>
            <w:vAlign w:val="bottom"/>
            <w:hideMark/>
          </w:tcPr>
          <w:p w14:paraId="7164154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2 003 280</w:t>
            </w:r>
          </w:p>
        </w:tc>
        <w:tc>
          <w:tcPr>
            <w:tcW w:w="2127" w:type="dxa"/>
            <w:tcBorders>
              <w:top w:val="nil"/>
              <w:left w:val="nil"/>
              <w:bottom w:val="single" w:sz="4" w:space="0" w:color="auto"/>
              <w:right w:val="single" w:sz="4" w:space="0" w:color="auto"/>
            </w:tcBorders>
            <w:shd w:val="clear" w:color="auto" w:fill="auto"/>
            <w:noWrap/>
            <w:vAlign w:val="bottom"/>
            <w:hideMark/>
          </w:tcPr>
          <w:p w14:paraId="2791E1A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-2 780</w:t>
            </w:r>
          </w:p>
        </w:tc>
      </w:tr>
      <w:tr w:rsidR="00F65567" w:rsidRPr="002A0876" w14:paraId="672A8D51"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6F2918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w:t>
            </w:r>
          </w:p>
        </w:tc>
        <w:tc>
          <w:tcPr>
            <w:tcW w:w="6868" w:type="dxa"/>
            <w:tcBorders>
              <w:top w:val="nil"/>
              <w:left w:val="nil"/>
              <w:bottom w:val="single" w:sz="4" w:space="0" w:color="auto"/>
              <w:right w:val="single" w:sz="4" w:space="0" w:color="auto"/>
            </w:tcBorders>
            <w:shd w:val="clear" w:color="auto" w:fill="auto"/>
            <w:noWrap/>
            <w:vAlign w:val="bottom"/>
            <w:hideMark/>
          </w:tcPr>
          <w:p w14:paraId="32C697BA"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Nacionālais simfoniskais orķestris"</w:t>
            </w:r>
          </w:p>
        </w:tc>
        <w:tc>
          <w:tcPr>
            <w:tcW w:w="1985" w:type="dxa"/>
            <w:tcBorders>
              <w:top w:val="nil"/>
              <w:left w:val="nil"/>
              <w:bottom w:val="single" w:sz="4" w:space="0" w:color="auto"/>
              <w:right w:val="single" w:sz="4" w:space="0" w:color="auto"/>
            </w:tcBorders>
            <w:shd w:val="clear" w:color="auto" w:fill="auto"/>
            <w:noWrap/>
            <w:vAlign w:val="bottom"/>
            <w:hideMark/>
          </w:tcPr>
          <w:p w14:paraId="07B79BA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608 950</w:t>
            </w:r>
          </w:p>
        </w:tc>
        <w:tc>
          <w:tcPr>
            <w:tcW w:w="1984" w:type="dxa"/>
            <w:tcBorders>
              <w:top w:val="nil"/>
              <w:left w:val="nil"/>
              <w:bottom w:val="single" w:sz="4" w:space="0" w:color="auto"/>
              <w:right w:val="single" w:sz="4" w:space="0" w:color="auto"/>
            </w:tcBorders>
            <w:shd w:val="clear" w:color="auto" w:fill="auto"/>
            <w:noWrap/>
            <w:vAlign w:val="bottom"/>
            <w:hideMark/>
          </w:tcPr>
          <w:p w14:paraId="29DC254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601 979</w:t>
            </w:r>
          </w:p>
        </w:tc>
        <w:tc>
          <w:tcPr>
            <w:tcW w:w="2127" w:type="dxa"/>
            <w:tcBorders>
              <w:top w:val="nil"/>
              <w:left w:val="nil"/>
              <w:bottom w:val="single" w:sz="4" w:space="0" w:color="auto"/>
              <w:right w:val="single" w:sz="4" w:space="0" w:color="auto"/>
            </w:tcBorders>
            <w:shd w:val="clear" w:color="auto" w:fill="auto"/>
            <w:noWrap/>
            <w:vAlign w:val="bottom"/>
            <w:hideMark/>
          </w:tcPr>
          <w:p w14:paraId="7D8EB7B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6 971</w:t>
            </w:r>
          </w:p>
        </w:tc>
      </w:tr>
      <w:tr w:rsidR="00F65567" w:rsidRPr="002A0876" w14:paraId="61D7A0B5"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67C524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w:t>
            </w:r>
          </w:p>
        </w:tc>
        <w:tc>
          <w:tcPr>
            <w:tcW w:w="6868" w:type="dxa"/>
            <w:tcBorders>
              <w:top w:val="nil"/>
              <w:left w:val="nil"/>
              <w:bottom w:val="single" w:sz="4" w:space="0" w:color="auto"/>
              <w:right w:val="single" w:sz="4" w:space="0" w:color="auto"/>
            </w:tcBorders>
            <w:shd w:val="clear" w:color="auto" w:fill="auto"/>
            <w:noWrap/>
            <w:vAlign w:val="bottom"/>
            <w:hideMark/>
          </w:tcPr>
          <w:p w14:paraId="4A6DB002"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Nacionālā opera un balets”</w:t>
            </w:r>
          </w:p>
        </w:tc>
        <w:tc>
          <w:tcPr>
            <w:tcW w:w="1985" w:type="dxa"/>
            <w:tcBorders>
              <w:top w:val="nil"/>
              <w:left w:val="nil"/>
              <w:bottom w:val="single" w:sz="4" w:space="0" w:color="auto"/>
              <w:right w:val="single" w:sz="4" w:space="0" w:color="auto"/>
            </w:tcBorders>
            <w:shd w:val="clear" w:color="auto" w:fill="auto"/>
            <w:noWrap/>
            <w:vAlign w:val="bottom"/>
            <w:hideMark/>
          </w:tcPr>
          <w:p w14:paraId="6D060F5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3 700 000</w:t>
            </w:r>
          </w:p>
        </w:tc>
        <w:tc>
          <w:tcPr>
            <w:tcW w:w="1984" w:type="dxa"/>
            <w:tcBorders>
              <w:top w:val="nil"/>
              <w:left w:val="nil"/>
              <w:bottom w:val="single" w:sz="4" w:space="0" w:color="auto"/>
              <w:right w:val="single" w:sz="4" w:space="0" w:color="auto"/>
            </w:tcBorders>
            <w:shd w:val="clear" w:color="auto" w:fill="auto"/>
            <w:noWrap/>
            <w:vAlign w:val="bottom"/>
            <w:hideMark/>
          </w:tcPr>
          <w:p w14:paraId="1C8896C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3 690 000</w:t>
            </w:r>
          </w:p>
        </w:tc>
        <w:tc>
          <w:tcPr>
            <w:tcW w:w="2127" w:type="dxa"/>
            <w:tcBorders>
              <w:top w:val="nil"/>
              <w:left w:val="nil"/>
              <w:bottom w:val="single" w:sz="4" w:space="0" w:color="auto"/>
              <w:right w:val="single" w:sz="4" w:space="0" w:color="auto"/>
            </w:tcBorders>
            <w:shd w:val="clear" w:color="auto" w:fill="auto"/>
            <w:noWrap/>
            <w:vAlign w:val="bottom"/>
            <w:hideMark/>
          </w:tcPr>
          <w:p w14:paraId="3F0C9C5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10 000</w:t>
            </w:r>
          </w:p>
        </w:tc>
      </w:tr>
      <w:tr w:rsidR="00F65567" w:rsidRPr="002A0876" w14:paraId="5930DD6C"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83D227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w:t>
            </w:r>
          </w:p>
        </w:tc>
        <w:tc>
          <w:tcPr>
            <w:tcW w:w="6868" w:type="dxa"/>
            <w:tcBorders>
              <w:top w:val="nil"/>
              <w:left w:val="nil"/>
              <w:bottom w:val="single" w:sz="4" w:space="0" w:color="auto"/>
              <w:right w:val="single" w:sz="4" w:space="0" w:color="auto"/>
            </w:tcBorders>
            <w:shd w:val="clear" w:color="auto" w:fill="auto"/>
            <w:vAlign w:val="bottom"/>
            <w:hideMark/>
          </w:tcPr>
          <w:p w14:paraId="4C5EDEA1"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"Valsts Akadēmiskais koris "Latvija""</w:t>
            </w:r>
          </w:p>
        </w:tc>
        <w:tc>
          <w:tcPr>
            <w:tcW w:w="1985" w:type="dxa"/>
            <w:tcBorders>
              <w:top w:val="nil"/>
              <w:left w:val="nil"/>
              <w:bottom w:val="single" w:sz="4" w:space="0" w:color="auto"/>
              <w:right w:val="single" w:sz="4" w:space="0" w:color="auto"/>
            </w:tcBorders>
            <w:shd w:val="clear" w:color="auto" w:fill="auto"/>
            <w:noWrap/>
            <w:vAlign w:val="bottom"/>
            <w:hideMark/>
          </w:tcPr>
          <w:p w14:paraId="6E8FAC5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218 000</w:t>
            </w:r>
          </w:p>
        </w:tc>
        <w:tc>
          <w:tcPr>
            <w:tcW w:w="1984" w:type="dxa"/>
            <w:tcBorders>
              <w:top w:val="nil"/>
              <w:left w:val="nil"/>
              <w:bottom w:val="single" w:sz="4" w:space="0" w:color="auto"/>
              <w:right w:val="single" w:sz="4" w:space="0" w:color="auto"/>
            </w:tcBorders>
            <w:shd w:val="clear" w:color="auto" w:fill="auto"/>
            <w:noWrap/>
            <w:vAlign w:val="bottom"/>
            <w:hideMark/>
          </w:tcPr>
          <w:p w14:paraId="18D2738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220 800</w:t>
            </w:r>
          </w:p>
        </w:tc>
        <w:tc>
          <w:tcPr>
            <w:tcW w:w="2127" w:type="dxa"/>
            <w:tcBorders>
              <w:top w:val="nil"/>
              <w:left w:val="nil"/>
              <w:bottom w:val="single" w:sz="4" w:space="0" w:color="auto"/>
              <w:right w:val="single" w:sz="4" w:space="0" w:color="auto"/>
            </w:tcBorders>
            <w:shd w:val="clear" w:color="auto" w:fill="auto"/>
            <w:noWrap/>
            <w:vAlign w:val="bottom"/>
            <w:hideMark/>
          </w:tcPr>
          <w:p w14:paraId="5CA5A17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-2 800</w:t>
            </w:r>
          </w:p>
        </w:tc>
      </w:tr>
      <w:tr w:rsidR="00F65567" w:rsidRPr="002A0876" w14:paraId="478CA39A"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2AB6E1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w:t>
            </w:r>
          </w:p>
        </w:tc>
        <w:tc>
          <w:tcPr>
            <w:tcW w:w="6868" w:type="dxa"/>
            <w:tcBorders>
              <w:top w:val="nil"/>
              <w:left w:val="nil"/>
              <w:bottom w:val="single" w:sz="4" w:space="0" w:color="auto"/>
              <w:right w:val="single" w:sz="4" w:space="0" w:color="auto"/>
            </w:tcBorders>
            <w:shd w:val="clear" w:color="auto" w:fill="auto"/>
            <w:vAlign w:val="bottom"/>
            <w:hideMark/>
          </w:tcPr>
          <w:p w14:paraId="45AB8435"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"Liepājas Simfoniskais orķestris"</w:t>
            </w:r>
          </w:p>
        </w:tc>
        <w:tc>
          <w:tcPr>
            <w:tcW w:w="1985" w:type="dxa"/>
            <w:tcBorders>
              <w:top w:val="nil"/>
              <w:left w:val="nil"/>
              <w:bottom w:val="single" w:sz="4" w:space="0" w:color="auto"/>
              <w:right w:val="single" w:sz="4" w:space="0" w:color="auto"/>
            </w:tcBorders>
            <w:shd w:val="clear" w:color="auto" w:fill="auto"/>
            <w:noWrap/>
            <w:vAlign w:val="bottom"/>
            <w:hideMark/>
          </w:tcPr>
          <w:p w14:paraId="5FFBB7E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276 215</w:t>
            </w:r>
          </w:p>
        </w:tc>
        <w:tc>
          <w:tcPr>
            <w:tcW w:w="1984" w:type="dxa"/>
            <w:tcBorders>
              <w:top w:val="nil"/>
              <w:left w:val="nil"/>
              <w:bottom w:val="single" w:sz="4" w:space="0" w:color="auto"/>
              <w:right w:val="single" w:sz="4" w:space="0" w:color="auto"/>
            </w:tcBorders>
            <w:shd w:val="clear" w:color="auto" w:fill="auto"/>
            <w:noWrap/>
            <w:vAlign w:val="bottom"/>
            <w:hideMark/>
          </w:tcPr>
          <w:p w14:paraId="56CAD9C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241 873</w:t>
            </w:r>
          </w:p>
        </w:tc>
        <w:tc>
          <w:tcPr>
            <w:tcW w:w="2127" w:type="dxa"/>
            <w:tcBorders>
              <w:top w:val="nil"/>
              <w:left w:val="nil"/>
              <w:bottom w:val="single" w:sz="4" w:space="0" w:color="auto"/>
              <w:right w:val="single" w:sz="4" w:space="0" w:color="auto"/>
            </w:tcBorders>
            <w:shd w:val="clear" w:color="auto" w:fill="auto"/>
            <w:noWrap/>
            <w:vAlign w:val="bottom"/>
            <w:hideMark/>
          </w:tcPr>
          <w:p w14:paraId="3F12993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34 342</w:t>
            </w:r>
          </w:p>
        </w:tc>
      </w:tr>
      <w:tr w:rsidR="00F65567" w:rsidRPr="002A0876" w14:paraId="67FB400D"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96D35D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w:t>
            </w:r>
          </w:p>
        </w:tc>
        <w:tc>
          <w:tcPr>
            <w:tcW w:w="6868" w:type="dxa"/>
            <w:tcBorders>
              <w:top w:val="nil"/>
              <w:left w:val="nil"/>
              <w:bottom w:val="single" w:sz="4" w:space="0" w:color="auto"/>
              <w:right w:val="single" w:sz="4" w:space="0" w:color="auto"/>
            </w:tcBorders>
            <w:shd w:val="clear" w:color="auto" w:fill="auto"/>
            <w:noWrap/>
            <w:vAlign w:val="bottom"/>
            <w:hideMark/>
          </w:tcPr>
          <w:p w14:paraId="6DB86734"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"Rīgas cirks"</w:t>
            </w:r>
          </w:p>
        </w:tc>
        <w:tc>
          <w:tcPr>
            <w:tcW w:w="1985" w:type="dxa"/>
            <w:tcBorders>
              <w:top w:val="nil"/>
              <w:left w:val="nil"/>
              <w:bottom w:val="single" w:sz="4" w:space="0" w:color="auto"/>
              <w:right w:val="single" w:sz="4" w:space="0" w:color="auto"/>
            </w:tcBorders>
            <w:shd w:val="clear" w:color="auto" w:fill="auto"/>
            <w:noWrap/>
            <w:vAlign w:val="bottom"/>
            <w:hideMark/>
          </w:tcPr>
          <w:p w14:paraId="565C22E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145 661</w:t>
            </w:r>
          </w:p>
        </w:tc>
        <w:tc>
          <w:tcPr>
            <w:tcW w:w="1984" w:type="dxa"/>
            <w:tcBorders>
              <w:top w:val="nil"/>
              <w:left w:val="nil"/>
              <w:bottom w:val="single" w:sz="4" w:space="0" w:color="auto"/>
              <w:right w:val="single" w:sz="4" w:space="0" w:color="auto"/>
            </w:tcBorders>
            <w:shd w:val="clear" w:color="auto" w:fill="auto"/>
            <w:noWrap/>
            <w:vAlign w:val="bottom"/>
            <w:hideMark/>
          </w:tcPr>
          <w:p w14:paraId="27B4299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315 042</w:t>
            </w:r>
          </w:p>
        </w:tc>
        <w:tc>
          <w:tcPr>
            <w:tcW w:w="2127" w:type="dxa"/>
            <w:tcBorders>
              <w:top w:val="nil"/>
              <w:left w:val="nil"/>
              <w:bottom w:val="single" w:sz="4" w:space="0" w:color="auto"/>
              <w:right w:val="single" w:sz="4" w:space="0" w:color="auto"/>
            </w:tcBorders>
            <w:shd w:val="clear" w:color="auto" w:fill="auto"/>
            <w:noWrap/>
            <w:vAlign w:val="bottom"/>
            <w:hideMark/>
          </w:tcPr>
          <w:p w14:paraId="45ABB99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-169 381</w:t>
            </w:r>
          </w:p>
        </w:tc>
      </w:tr>
      <w:tr w:rsidR="00F65567" w:rsidRPr="002A0876" w14:paraId="12DE4A5C" w14:textId="77777777" w:rsidTr="00913134">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CD5120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w:t>
            </w:r>
          </w:p>
        </w:tc>
        <w:tc>
          <w:tcPr>
            <w:tcW w:w="6868" w:type="dxa"/>
            <w:tcBorders>
              <w:top w:val="nil"/>
              <w:left w:val="nil"/>
              <w:bottom w:val="single" w:sz="4" w:space="0" w:color="auto"/>
              <w:right w:val="single" w:sz="4" w:space="0" w:color="auto"/>
            </w:tcBorders>
            <w:shd w:val="clear" w:color="auto" w:fill="auto"/>
            <w:noWrap/>
            <w:vAlign w:val="bottom"/>
            <w:hideMark/>
          </w:tcPr>
          <w:p w14:paraId="0521988C"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"Starptautiskā Rakstnieku un tulkotāju māja"</w:t>
            </w:r>
          </w:p>
        </w:tc>
        <w:tc>
          <w:tcPr>
            <w:tcW w:w="1985" w:type="dxa"/>
            <w:tcBorders>
              <w:top w:val="nil"/>
              <w:left w:val="nil"/>
              <w:bottom w:val="single" w:sz="4" w:space="0" w:color="auto"/>
              <w:right w:val="single" w:sz="4" w:space="0" w:color="auto"/>
            </w:tcBorders>
            <w:shd w:val="clear" w:color="auto" w:fill="auto"/>
            <w:noWrap/>
            <w:vAlign w:val="bottom"/>
            <w:hideMark/>
          </w:tcPr>
          <w:p w14:paraId="74E5EBF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7 500</w:t>
            </w:r>
          </w:p>
        </w:tc>
        <w:tc>
          <w:tcPr>
            <w:tcW w:w="1984" w:type="dxa"/>
            <w:tcBorders>
              <w:top w:val="nil"/>
              <w:left w:val="nil"/>
              <w:bottom w:val="single" w:sz="4" w:space="0" w:color="auto"/>
              <w:right w:val="single" w:sz="4" w:space="0" w:color="auto"/>
            </w:tcBorders>
            <w:shd w:val="clear" w:color="auto" w:fill="auto"/>
            <w:noWrap/>
            <w:vAlign w:val="bottom"/>
            <w:hideMark/>
          </w:tcPr>
          <w:p w14:paraId="3399D93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4 212</w:t>
            </w:r>
          </w:p>
        </w:tc>
        <w:tc>
          <w:tcPr>
            <w:tcW w:w="2127" w:type="dxa"/>
            <w:tcBorders>
              <w:top w:val="nil"/>
              <w:left w:val="nil"/>
              <w:bottom w:val="single" w:sz="4" w:space="0" w:color="auto"/>
              <w:right w:val="single" w:sz="4" w:space="0" w:color="auto"/>
            </w:tcBorders>
            <w:shd w:val="clear" w:color="auto" w:fill="auto"/>
            <w:noWrap/>
            <w:vAlign w:val="bottom"/>
            <w:hideMark/>
          </w:tcPr>
          <w:p w14:paraId="302EEA4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3 288</w:t>
            </w:r>
          </w:p>
        </w:tc>
      </w:tr>
      <w:tr w:rsidR="00F65567" w:rsidRPr="002A0876" w14:paraId="626211A7" w14:textId="77777777" w:rsidTr="00913134">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7777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w:t>
            </w:r>
          </w:p>
        </w:tc>
        <w:tc>
          <w:tcPr>
            <w:tcW w:w="6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F44D0"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"Mihaila Čehova Rīgas Krievu teātris"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F89C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1 650 000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4485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1 710 000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8174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-60 000</w:t>
            </w:r>
          </w:p>
        </w:tc>
      </w:tr>
      <w:tr w:rsidR="00F65567" w:rsidRPr="002A0876" w14:paraId="3A846F80" w14:textId="77777777" w:rsidTr="006C7EFD">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C0E1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w:t>
            </w:r>
          </w:p>
        </w:tc>
        <w:tc>
          <w:tcPr>
            <w:tcW w:w="6868" w:type="dxa"/>
            <w:tcBorders>
              <w:top w:val="single" w:sz="4" w:space="0" w:color="auto"/>
              <w:left w:val="nil"/>
              <w:bottom w:val="single" w:sz="4" w:space="0" w:color="auto"/>
              <w:right w:val="single" w:sz="4" w:space="0" w:color="auto"/>
            </w:tcBorders>
            <w:shd w:val="clear" w:color="auto" w:fill="auto"/>
            <w:noWrap/>
            <w:vAlign w:val="bottom"/>
            <w:hideMark/>
          </w:tcPr>
          <w:p w14:paraId="6BC604DD"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Leļļu teātris"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B5711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311 800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9BF90D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302 610</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5243EA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9 190</w:t>
            </w:r>
          </w:p>
        </w:tc>
      </w:tr>
      <w:tr w:rsidR="00F65567" w:rsidRPr="002A0876" w14:paraId="014EBD7B" w14:textId="77777777" w:rsidTr="006C7EFD">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64B6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w:t>
            </w:r>
          </w:p>
        </w:tc>
        <w:tc>
          <w:tcPr>
            <w:tcW w:w="6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6A5D3"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"Tiesu namu aģentūra"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4647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7 870 000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F411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6 158 000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1B02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1 712 000</w:t>
            </w:r>
          </w:p>
        </w:tc>
      </w:tr>
      <w:tr w:rsidR="00F65567" w:rsidRPr="002A0876" w14:paraId="56A8125E" w14:textId="77777777" w:rsidTr="006C7EFD">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7C2D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w:t>
            </w:r>
          </w:p>
        </w:tc>
        <w:tc>
          <w:tcPr>
            <w:tcW w:w="6868" w:type="dxa"/>
            <w:tcBorders>
              <w:top w:val="single" w:sz="4" w:space="0" w:color="auto"/>
              <w:left w:val="nil"/>
              <w:bottom w:val="single" w:sz="4" w:space="0" w:color="auto"/>
              <w:right w:val="single" w:sz="4" w:space="0" w:color="auto"/>
            </w:tcBorders>
            <w:shd w:val="clear" w:color="auto" w:fill="auto"/>
            <w:noWrap/>
            <w:vAlign w:val="bottom"/>
            <w:hideMark/>
          </w:tcPr>
          <w:p w14:paraId="3E8AA3EC"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"Valsts nekustamie īpašumi"</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BF76A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40 952 798</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738411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45 873 682</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426917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-4 920 884</w:t>
            </w:r>
          </w:p>
        </w:tc>
      </w:tr>
      <w:tr w:rsidR="00F65567" w:rsidRPr="002A0876" w14:paraId="0A89DDE0"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8D5959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w:t>
            </w:r>
          </w:p>
        </w:tc>
        <w:tc>
          <w:tcPr>
            <w:tcW w:w="6868" w:type="dxa"/>
            <w:tcBorders>
              <w:top w:val="nil"/>
              <w:left w:val="nil"/>
              <w:bottom w:val="single" w:sz="4" w:space="0" w:color="auto"/>
              <w:right w:val="single" w:sz="4" w:space="0" w:color="auto"/>
            </w:tcBorders>
            <w:shd w:val="clear" w:color="auto" w:fill="auto"/>
            <w:noWrap/>
            <w:vAlign w:val="bottom"/>
            <w:hideMark/>
          </w:tcPr>
          <w:p w14:paraId="04D780FE"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"Vides investīciju fonds”</w:t>
            </w:r>
          </w:p>
        </w:tc>
        <w:tc>
          <w:tcPr>
            <w:tcW w:w="1985" w:type="dxa"/>
            <w:tcBorders>
              <w:top w:val="nil"/>
              <w:left w:val="nil"/>
              <w:bottom w:val="single" w:sz="4" w:space="0" w:color="auto"/>
              <w:right w:val="single" w:sz="4" w:space="0" w:color="auto"/>
            </w:tcBorders>
            <w:shd w:val="clear" w:color="auto" w:fill="auto"/>
            <w:noWrap/>
            <w:vAlign w:val="bottom"/>
            <w:hideMark/>
          </w:tcPr>
          <w:p w14:paraId="5A7C554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521 797</w:t>
            </w:r>
          </w:p>
        </w:tc>
        <w:tc>
          <w:tcPr>
            <w:tcW w:w="1984" w:type="dxa"/>
            <w:tcBorders>
              <w:top w:val="nil"/>
              <w:left w:val="nil"/>
              <w:bottom w:val="single" w:sz="4" w:space="0" w:color="auto"/>
              <w:right w:val="single" w:sz="4" w:space="0" w:color="auto"/>
            </w:tcBorders>
            <w:shd w:val="clear" w:color="auto" w:fill="auto"/>
            <w:noWrap/>
            <w:vAlign w:val="bottom"/>
            <w:hideMark/>
          </w:tcPr>
          <w:p w14:paraId="6EE0902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478 096</w:t>
            </w:r>
          </w:p>
        </w:tc>
        <w:tc>
          <w:tcPr>
            <w:tcW w:w="2127" w:type="dxa"/>
            <w:tcBorders>
              <w:top w:val="nil"/>
              <w:left w:val="nil"/>
              <w:bottom w:val="single" w:sz="4" w:space="0" w:color="auto"/>
              <w:right w:val="single" w:sz="4" w:space="0" w:color="auto"/>
            </w:tcBorders>
            <w:shd w:val="clear" w:color="auto" w:fill="auto"/>
            <w:noWrap/>
            <w:vAlign w:val="bottom"/>
            <w:hideMark/>
          </w:tcPr>
          <w:p w14:paraId="3807490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43 701</w:t>
            </w:r>
          </w:p>
        </w:tc>
      </w:tr>
      <w:tr w:rsidR="00F65567" w:rsidRPr="002A0876" w14:paraId="604310D3"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6119AA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w:t>
            </w:r>
          </w:p>
        </w:tc>
        <w:tc>
          <w:tcPr>
            <w:tcW w:w="6868" w:type="dxa"/>
            <w:tcBorders>
              <w:top w:val="nil"/>
              <w:left w:val="nil"/>
              <w:bottom w:val="single" w:sz="4" w:space="0" w:color="auto"/>
              <w:right w:val="single" w:sz="4" w:space="0" w:color="auto"/>
            </w:tcBorders>
            <w:shd w:val="clear" w:color="auto" w:fill="auto"/>
            <w:noWrap/>
            <w:vAlign w:val="bottom"/>
            <w:hideMark/>
          </w:tcPr>
          <w:p w14:paraId="4C673FC1"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Vides, ģeoloģijas un meteoroloģijas centrs"</w:t>
            </w:r>
          </w:p>
        </w:tc>
        <w:tc>
          <w:tcPr>
            <w:tcW w:w="1985" w:type="dxa"/>
            <w:tcBorders>
              <w:top w:val="nil"/>
              <w:left w:val="nil"/>
              <w:bottom w:val="single" w:sz="4" w:space="0" w:color="auto"/>
              <w:right w:val="single" w:sz="4" w:space="0" w:color="auto"/>
            </w:tcBorders>
            <w:shd w:val="clear" w:color="auto" w:fill="auto"/>
            <w:noWrap/>
            <w:vAlign w:val="bottom"/>
            <w:hideMark/>
          </w:tcPr>
          <w:p w14:paraId="30059A5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2 380 524</w:t>
            </w:r>
          </w:p>
        </w:tc>
        <w:tc>
          <w:tcPr>
            <w:tcW w:w="1984" w:type="dxa"/>
            <w:tcBorders>
              <w:top w:val="nil"/>
              <w:left w:val="nil"/>
              <w:bottom w:val="single" w:sz="4" w:space="0" w:color="auto"/>
              <w:right w:val="single" w:sz="4" w:space="0" w:color="auto"/>
            </w:tcBorders>
            <w:shd w:val="clear" w:color="auto" w:fill="auto"/>
            <w:noWrap/>
            <w:vAlign w:val="bottom"/>
            <w:hideMark/>
          </w:tcPr>
          <w:p w14:paraId="61FEE38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2 605 894</w:t>
            </w:r>
          </w:p>
        </w:tc>
        <w:tc>
          <w:tcPr>
            <w:tcW w:w="2127" w:type="dxa"/>
            <w:tcBorders>
              <w:top w:val="nil"/>
              <w:left w:val="nil"/>
              <w:bottom w:val="single" w:sz="4" w:space="0" w:color="auto"/>
              <w:right w:val="single" w:sz="4" w:space="0" w:color="auto"/>
            </w:tcBorders>
            <w:shd w:val="clear" w:color="auto" w:fill="auto"/>
            <w:noWrap/>
            <w:vAlign w:val="bottom"/>
            <w:hideMark/>
          </w:tcPr>
          <w:p w14:paraId="0A6BAFC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-225 370</w:t>
            </w:r>
          </w:p>
        </w:tc>
      </w:tr>
      <w:tr w:rsidR="00F65567" w:rsidRPr="002A0876" w14:paraId="7A44D2FB"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7E95CF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23</w:t>
            </w:r>
          </w:p>
        </w:tc>
        <w:tc>
          <w:tcPr>
            <w:tcW w:w="6868" w:type="dxa"/>
            <w:tcBorders>
              <w:top w:val="nil"/>
              <w:left w:val="nil"/>
              <w:bottom w:val="single" w:sz="4" w:space="0" w:color="auto"/>
              <w:right w:val="single" w:sz="4" w:space="0" w:color="auto"/>
            </w:tcBorders>
            <w:shd w:val="clear" w:color="auto" w:fill="auto"/>
            <w:noWrap/>
            <w:vAlign w:val="bottom"/>
            <w:hideMark/>
          </w:tcPr>
          <w:p w14:paraId="1E9F9824"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Televīzija"</w:t>
            </w:r>
          </w:p>
        </w:tc>
        <w:tc>
          <w:tcPr>
            <w:tcW w:w="1985" w:type="dxa"/>
            <w:tcBorders>
              <w:top w:val="nil"/>
              <w:left w:val="nil"/>
              <w:bottom w:val="single" w:sz="4" w:space="0" w:color="auto"/>
              <w:right w:val="single" w:sz="4" w:space="0" w:color="auto"/>
            </w:tcBorders>
            <w:shd w:val="clear" w:color="auto" w:fill="auto"/>
            <w:noWrap/>
            <w:vAlign w:val="bottom"/>
            <w:hideMark/>
          </w:tcPr>
          <w:p w14:paraId="6B9C69F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463 223</w:t>
            </w:r>
          </w:p>
        </w:tc>
        <w:tc>
          <w:tcPr>
            <w:tcW w:w="1984" w:type="dxa"/>
            <w:tcBorders>
              <w:top w:val="nil"/>
              <w:left w:val="nil"/>
              <w:bottom w:val="single" w:sz="4" w:space="0" w:color="auto"/>
              <w:right w:val="single" w:sz="4" w:space="0" w:color="auto"/>
            </w:tcBorders>
            <w:shd w:val="clear" w:color="auto" w:fill="auto"/>
            <w:noWrap/>
            <w:vAlign w:val="bottom"/>
            <w:hideMark/>
          </w:tcPr>
          <w:p w14:paraId="6A999D6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55 919</w:t>
            </w:r>
          </w:p>
        </w:tc>
        <w:tc>
          <w:tcPr>
            <w:tcW w:w="2127" w:type="dxa"/>
            <w:tcBorders>
              <w:top w:val="nil"/>
              <w:left w:val="nil"/>
              <w:bottom w:val="single" w:sz="4" w:space="0" w:color="auto"/>
              <w:right w:val="single" w:sz="4" w:space="0" w:color="auto"/>
            </w:tcBorders>
            <w:shd w:val="clear" w:color="auto" w:fill="auto"/>
            <w:noWrap/>
            <w:vAlign w:val="bottom"/>
            <w:hideMark/>
          </w:tcPr>
          <w:p w14:paraId="2238DB6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407 305</w:t>
            </w:r>
          </w:p>
        </w:tc>
      </w:tr>
      <w:tr w:rsidR="00F65567" w:rsidRPr="002A0876" w14:paraId="322D1740"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D5ED09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24</w:t>
            </w:r>
          </w:p>
        </w:tc>
        <w:tc>
          <w:tcPr>
            <w:tcW w:w="6868" w:type="dxa"/>
            <w:tcBorders>
              <w:top w:val="nil"/>
              <w:left w:val="nil"/>
              <w:bottom w:val="single" w:sz="4" w:space="0" w:color="auto"/>
              <w:right w:val="single" w:sz="4" w:space="0" w:color="auto"/>
            </w:tcBorders>
            <w:shd w:val="clear" w:color="auto" w:fill="auto"/>
            <w:noWrap/>
            <w:vAlign w:val="bottom"/>
            <w:hideMark/>
          </w:tcPr>
          <w:p w14:paraId="7975BA06"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"LatRailNet"</w:t>
            </w:r>
          </w:p>
        </w:tc>
        <w:tc>
          <w:tcPr>
            <w:tcW w:w="1985" w:type="dxa"/>
            <w:tcBorders>
              <w:top w:val="nil"/>
              <w:left w:val="nil"/>
              <w:bottom w:val="single" w:sz="4" w:space="0" w:color="auto"/>
              <w:right w:val="single" w:sz="4" w:space="0" w:color="auto"/>
            </w:tcBorders>
            <w:shd w:val="clear" w:color="auto" w:fill="auto"/>
            <w:noWrap/>
            <w:vAlign w:val="bottom"/>
            <w:hideMark/>
          </w:tcPr>
          <w:p w14:paraId="346E71B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1 084 585</w:t>
            </w:r>
          </w:p>
        </w:tc>
        <w:tc>
          <w:tcPr>
            <w:tcW w:w="1984" w:type="dxa"/>
            <w:tcBorders>
              <w:top w:val="nil"/>
              <w:left w:val="nil"/>
              <w:bottom w:val="single" w:sz="4" w:space="0" w:color="auto"/>
              <w:right w:val="single" w:sz="4" w:space="0" w:color="auto"/>
            </w:tcBorders>
            <w:shd w:val="clear" w:color="auto" w:fill="auto"/>
            <w:noWrap/>
            <w:vAlign w:val="bottom"/>
            <w:hideMark/>
          </w:tcPr>
          <w:p w14:paraId="0C0D44F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1 144 670</w:t>
            </w:r>
          </w:p>
        </w:tc>
        <w:tc>
          <w:tcPr>
            <w:tcW w:w="2127" w:type="dxa"/>
            <w:tcBorders>
              <w:top w:val="nil"/>
              <w:left w:val="nil"/>
              <w:bottom w:val="single" w:sz="4" w:space="0" w:color="auto"/>
              <w:right w:val="single" w:sz="4" w:space="0" w:color="auto"/>
            </w:tcBorders>
            <w:shd w:val="clear" w:color="auto" w:fill="auto"/>
            <w:noWrap/>
            <w:vAlign w:val="bottom"/>
            <w:hideMark/>
          </w:tcPr>
          <w:p w14:paraId="741A5B4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-60 085</w:t>
            </w:r>
          </w:p>
        </w:tc>
      </w:tr>
      <w:tr w:rsidR="00F65567" w:rsidRPr="002A0876" w14:paraId="28F544B9"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6E1C55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25</w:t>
            </w:r>
          </w:p>
        </w:tc>
        <w:tc>
          <w:tcPr>
            <w:tcW w:w="6868" w:type="dxa"/>
            <w:tcBorders>
              <w:top w:val="nil"/>
              <w:left w:val="nil"/>
              <w:bottom w:val="single" w:sz="4" w:space="0" w:color="auto"/>
              <w:right w:val="single" w:sz="4" w:space="0" w:color="auto"/>
            </w:tcBorders>
            <w:shd w:val="clear" w:color="auto" w:fill="auto"/>
            <w:noWrap/>
            <w:vAlign w:val="bottom"/>
            <w:hideMark/>
          </w:tcPr>
          <w:p w14:paraId="1E5CABAB"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Valsts ceļi"</w:t>
            </w:r>
          </w:p>
        </w:tc>
        <w:tc>
          <w:tcPr>
            <w:tcW w:w="1985" w:type="dxa"/>
            <w:tcBorders>
              <w:top w:val="nil"/>
              <w:left w:val="nil"/>
              <w:bottom w:val="single" w:sz="4" w:space="0" w:color="auto"/>
              <w:right w:val="single" w:sz="4" w:space="0" w:color="auto"/>
            </w:tcBorders>
            <w:shd w:val="clear" w:color="auto" w:fill="auto"/>
            <w:noWrap/>
            <w:vAlign w:val="bottom"/>
            <w:hideMark/>
          </w:tcPr>
          <w:p w14:paraId="64328BC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15 570 000</w:t>
            </w:r>
          </w:p>
        </w:tc>
        <w:tc>
          <w:tcPr>
            <w:tcW w:w="1984" w:type="dxa"/>
            <w:tcBorders>
              <w:top w:val="nil"/>
              <w:left w:val="nil"/>
              <w:bottom w:val="single" w:sz="4" w:space="0" w:color="auto"/>
              <w:right w:val="single" w:sz="4" w:space="0" w:color="auto"/>
            </w:tcBorders>
            <w:shd w:val="clear" w:color="auto" w:fill="auto"/>
            <w:noWrap/>
            <w:vAlign w:val="bottom"/>
            <w:hideMark/>
          </w:tcPr>
          <w:p w14:paraId="0228FDC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15 512 000</w:t>
            </w:r>
          </w:p>
        </w:tc>
        <w:tc>
          <w:tcPr>
            <w:tcW w:w="2127" w:type="dxa"/>
            <w:tcBorders>
              <w:top w:val="nil"/>
              <w:left w:val="nil"/>
              <w:bottom w:val="single" w:sz="4" w:space="0" w:color="auto"/>
              <w:right w:val="single" w:sz="4" w:space="0" w:color="auto"/>
            </w:tcBorders>
            <w:shd w:val="clear" w:color="auto" w:fill="auto"/>
            <w:noWrap/>
            <w:vAlign w:val="bottom"/>
            <w:hideMark/>
          </w:tcPr>
          <w:p w14:paraId="799D774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58 000</w:t>
            </w:r>
          </w:p>
        </w:tc>
      </w:tr>
      <w:tr w:rsidR="00F65567" w:rsidRPr="002A0876" w14:paraId="18E96A33"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45A2FA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w:t>
            </w:r>
          </w:p>
        </w:tc>
        <w:tc>
          <w:tcPr>
            <w:tcW w:w="6868" w:type="dxa"/>
            <w:tcBorders>
              <w:top w:val="nil"/>
              <w:left w:val="nil"/>
              <w:bottom w:val="single" w:sz="4" w:space="0" w:color="auto"/>
              <w:right w:val="single" w:sz="4" w:space="0" w:color="auto"/>
            </w:tcBorders>
            <w:shd w:val="clear" w:color="auto" w:fill="auto"/>
            <w:noWrap/>
            <w:vAlign w:val="bottom"/>
            <w:hideMark/>
          </w:tcPr>
          <w:p w14:paraId="72E39161"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"Autotransporta direkcija"</w:t>
            </w:r>
          </w:p>
        </w:tc>
        <w:tc>
          <w:tcPr>
            <w:tcW w:w="1985" w:type="dxa"/>
            <w:tcBorders>
              <w:top w:val="nil"/>
              <w:left w:val="nil"/>
              <w:bottom w:val="single" w:sz="4" w:space="0" w:color="auto"/>
              <w:right w:val="single" w:sz="4" w:space="0" w:color="auto"/>
            </w:tcBorders>
            <w:shd w:val="clear" w:color="auto" w:fill="auto"/>
            <w:noWrap/>
            <w:vAlign w:val="bottom"/>
            <w:hideMark/>
          </w:tcPr>
          <w:p w14:paraId="1F4D236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4 368 146</w:t>
            </w:r>
          </w:p>
        </w:tc>
        <w:tc>
          <w:tcPr>
            <w:tcW w:w="1984" w:type="dxa"/>
            <w:tcBorders>
              <w:top w:val="nil"/>
              <w:left w:val="nil"/>
              <w:bottom w:val="single" w:sz="4" w:space="0" w:color="auto"/>
              <w:right w:val="single" w:sz="4" w:space="0" w:color="auto"/>
            </w:tcBorders>
            <w:shd w:val="clear" w:color="auto" w:fill="auto"/>
            <w:noWrap/>
            <w:vAlign w:val="bottom"/>
            <w:hideMark/>
          </w:tcPr>
          <w:p w14:paraId="6D543FA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3 831 409</w:t>
            </w:r>
          </w:p>
        </w:tc>
        <w:tc>
          <w:tcPr>
            <w:tcW w:w="2127" w:type="dxa"/>
            <w:tcBorders>
              <w:top w:val="nil"/>
              <w:left w:val="nil"/>
              <w:bottom w:val="single" w:sz="4" w:space="0" w:color="auto"/>
              <w:right w:val="single" w:sz="4" w:space="0" w:color="auto"/>
            </w:tcBorders>
            <w:shd w:val="clear" w:color="auto" w:fill="auto"/>
            <w:noWrap/>
            <w:vAlign w:val="bottom"/>
            <w:hideMark/>
          </w:tcPr>
          <w:p w14:paraId="541A883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536 737</w:t>
            </w:r>
          </w:p>
        </w:tc>
      </w:tr>
      <w:tr w:rsidR="00F65567" w:rsidRPr="002A0876" w14:paraId="280AE6C5"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D9BD86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27</w:t>
            </w:r>
          </w:p>
        </w:tc>
        <w:tc>
          <w:tcPr>
            <w:tcW w:w="6868" w:type="dxa"/>
            <w:tcBorders>
              <w:top w:val="nil"/>
              <w:left w:val="nil"/>
              <w:bottom w:val="single" w:sz="4" w:space="0" w:color="auto"/>
              <w:right w:val="single" w:sz="4" w:space="0" w:color="auto"/>
            </w:tcBorders>
            <w:shd w:val="clear" w:color="auto" w:fill="auto"/>
            <w:noWrap/>
            <w:vAlign w:val="bottom"/>
            <w:hideMark/>
          </w:tcPr>
          <w:p w14:paraId="6ECACCC0"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autoceļu uzturētājs"</w:t>
            </w:r>
          </w:p>
        </w:tc>
        <w:tc>
          <w:tcPr>
            <w:tcW w:w="1985" w:type="dxa"/>
            <w:tcBorders>
              <w:top w:val="nil"/>
              <w:left w:val="nil"/>
              <w:bottom w:val="single" w:sz="4" w:space="0" w:color="auto"/>
              <w:right w:val="single" w:sz="4" w:space="0" w:color="auto"/>
            </w:tcBorders>
            <w:shd w:val="clear" w:color="auto" w:fill="auto"/>
            <w:noWrap/>
            <w:vAlign w:val="bottom"/>
            <w:hideMark/>
          </w:tcPr>
          <w:p w14:paraId="751DC4F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79 378 070</w:t>
            </w:r>
          </w:p>
        </w:tc>
        <w:tc>
          <w:tcPr>
            <w:tcW w:w="1984" w:type="dxa"/>
            <w:tcBorders>
              <w:top w:val="nil"/>
              <w:left w:val="nil"/>
              <w:bottom w:val="single" w:sz="4" w:space="0" w:color="auto"/>
              <w:right w:val="single" w:sz="4" w:space="0" w:color="auto"/>
            </w:tcBorders>
            <w:shd w:val="clear" w:color="auto" w:fill="auto"/>
            <w:noWrap/>
            <w:vAlign w:val="bottom"/>
            <w:hideMark/>
          </w:tcPr>
          <w:p w14:paraId="1219B15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77 979 360</w:t>
            </w:r>
          </w:p>
        </w:tc>
        <w:tc>
          <w:tcPr>
            <w:tcW w:w="2127" w:type="dxa"/>
            <w:tcBorders>
              <w:top w:val="nil"/>
              <w:left w:val="nil"/>
              <w:bottom w:val="single" w:sz="4" w:space="0" w:color="auto"/>
              <w:right w:val="single" w:sz="4" w:space="0" w:color="auto"/>
            </w:tcBorders>
            <w:shd w:val="clear" w:color="auto" w:fill="auto"/>
            <w:noWrap/>
            <w:vAlign w:val="bottom"/>
            <w:hideMark/>
          </w:tcPr>
          <w:p w14:paraId="7EB605D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1 398 710</w:t>
            </w:r>
          </w:p>
        </w:tc>
      </w:tr>
      <w:tr w:rsidR="00F65567" w:rsidRPr="002A0876" w14:paraId="42F09F92"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543C92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w:t>
            </w:r>
          </w:p>
        </w:tc>
        <w:tc>
          <w:tcPr>
            <w:tcW w:w="6868" w:type="dxa"/>
            <w:tcBorders>
              <w:top w:val="nil"/>
              <w:left w:val="nil"/>
              <w:bottom w:val="single" w:sz="4" w:space="0" w:color="auto"/>
              <w:right w:val="single" w:sz="4" w:space="0" w:color="auto"/>
            </w:tcBorders>
            <w:shd w:val="clear" w:color="auto" w:fill="auto"/>
            <w:noWrap/>
            <w:vAlign w:val="bottom"/>
            <w:hideMark/>
          </w:tcPr>
          <w:p w14:paraId="54883F0C"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SIA “Eiropas dzelzceļa līnijas” </w:t>
            </w:r>
          </w:p>
        </w:tc>
        <w:tc>
          <w:tcPr>
            <w:tcW w:w="1985" w:type="dxa"/>
            <w:tcBorders>
              <w:top w:val="nil"/>
              <w:left w:val="nil"/>
              <w:bottom w:val="single" w:sz="4" w:space="0" w:color="auto"/>
              <w:right w:val="single" w:sz="4" w:space="0" w:color="auto"/>
            </w:tcBorders>
            <w:shd w:val="clear" w:color="auto" w:fill="auto"/>
            <w:noWrap/>
            <w:vAlign w:val="bottom"/>
            <w:hideMark/>
          </w:tcPr>
          <w:p w14:paraId="09E7887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126A7C7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1A36CA0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F65567" w:rsidRPr="002A0876" w14:paraId="2BC407DE"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4266CA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29</w:t>
            </w:r>
          </w:p>
        </w:tc>
        <w:tc>
          <w:tcPr>
            <w:tcW w:w="6868" w:type="dxa"/>
            <w:tcBorders>
              <w:top w:val="nil"/>
              <w:left w:val="nil"/>
              <w:bottom w:val="single" w:sz="4" w:space="0" w:color="auto"/>
              <w:right w:val="single" w:sz="4" w:space="0" w:color="auto"/>
            </w:tcBorders>
            <w:shd w:val="clear" w:color="auto" w:fill="auto"/>
            <w:noWrap/>
            <w:vAlign w:val="bottom"/>
            <w:hideMark/>
          </w:tcPr>
          <w:p w14:paraId="7122D027"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“Zemkopības ministrijas nekustamie īpašumi”</w:t>
            </w:r>
          </w:p>
        </w:tc>
        <w:tc>
          <w:tcPr>
            <w:tcW w:w="1985" w:type="dxa"/>
            <w:tcBorders>
              <w:top w:val="nil"/>
              <w:left w:val="nil"/>
              <w:bottom w:val="single" w:sz="4" w:space="0" w:color="auto"/>
              <w:right w:val="single" w:sz="4" w:space="0" w:color="auto"/>
            </w:tcBorders>
            <w:shd w:val="clear" w:color="auto" w:fill="auto"/>
            <w:noWrap/>
            <w:vAlign w:val="bottom"/>
            <w:hideMark/>
          </w:tcPr>
          <w:p w14:paraId="5F985CA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2 053 000</w:t>
            </w:r>
          </w:p>
        </w:tc>
        <w:tc>
          <w:tcPr>
            <w:tcW w:w="1984" w:type="dxa"/>
            <w:tcBorders>
              <w:top w:val="nil"/>
              <w:left w:val="nil"/>
              <w:bottom w:val="single" w:sz="4" w:space="0" w:color="auto"/>
              <w:right w:val="single" w:sz="4" w:space="0" w:color="auto"/>
            </w:tcBorders>
            <w:shd w:val="clear" w:color="auto" w:fill="auto"/>
            <w:noWrap/>
            <w:vAlign w:val="bottom"/>
            <w:hideMark/>
          </w:tcPr>
          <w:p w14:paraId="73286A6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2 000 000</w:t>
            </w:r>
          </w:p>
        </w:tc>
        <w:tc>
          <w:tcPr>
            <w:tcW w:w="2127" w:type="dxa"/>
            <w:tcBorders>
              <w:top w:val="nil"/>
              <w:left w:val="nil"/>
              <w:bottom w:val="single" w:sz="4" w:space="0" w:color="auto"/>
              <w:right w:val="single" w:sz="4" w:space="0" w:color="auto"/>
            </w:tcBorders>
            <w:shd w:val="clear" w:color="auto" w:fill="auto"/>
            <w:noWrap/>
            <w:vAlign w:val="bottom"/>
            <w:hideMark/>
          </w:tcPr>
          <w:p w14:paraId="7087FB6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53 000</w:t>
            </w:r>
          </w:p>
        </w:tc>
      </w:tr>
      <w:tr w:rsidR="00F65567" w:rsidRPr="002A0876" w14:paraId="40D2CD87"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A6E8FB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w:t>
            </w:r>
          </w:p>
        </w:tc>
        <w:tc>
          <w:tcPr>
            <w:tcW w:w="6868" w:type="dxa"/>
            <w:tcBorders>
              <w:top w:val="nil"/>
              <w:left w:val="nil"/>
              <w:bottom w:val="single" w:sz="4" w:space="0" w:color="auto"/>
              <w:right w:val="single" w:sz="4" w:space="0" w:color="auto"/>
            </w:tcBorders>
            <w:shd w:val="clear" w:color="auto" w:fill="auto"/>
            <w:noWrap/>
            <w:vAlign w:val="bottom"/>
            <w:hideMark/>
          </w:tcPr>
          <w:p w14:paraId="1E8C1E93"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Proves birojs”</w:t>
            </w:r>
          </w:p>
        </w:tc>
        <w:tc>
          <w:tcPr>
            <w:tcW w:w="1985" w:type="dxa"/>
            <w:tcBorders>
              <w:top w:val="nil"/>
              <w:left w:val="nil"/>
              <w:bottom w:val="single" w:sz="4" w:space="0" w:color="auto"/>
              <w:right w:val="single" w:sz="4" w:space="0" w:color="auto"/>
            </w:tcBorders>
            <w:shd w:val="clear" w:color="auto" w:fill="auto"/>
            <w:noWrap/>
            <w:vAlign w:val="bottom"/>
            <w:hideMark/>
          </w:tcPr>
          <w:p w14:paraId="007D9EA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444 500</w:t>
            </w:r>
          </w:p>
        </w:tc>
        <w:tc>
          <w:tcPr>
            <w:tcW w:w="1984" w:type="dxa"/>
            <w:tcBorders>
              <w:top w:val="nil"/>
              <w:left w:val="nil"/>
              <w:bottom w:val="single" w:sz="4" w:space="0" w:color="auto"/>
              <w:right w:val="single" w:sz="4" w:space="0" w:color="auto"/>
            </w:tcBorders>
            <w:shd w:val="clear" w:color="auto" w:fill="auto"/>
            <w:noWrap/>
            <w:vAlign w:val="bottom"/>
            <w:hideMark/>
          </w:tcPr>
          <w:p w14:paraId="6E3B6D4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531 222</w:t>
            </w:r>
          </w:p>
        </w:tc>
        <w:tc>
          <w:tcPr>
            <w:tcW w:w="2127" w:type="dxa"/>
            <w:tcBorders>
              <w:top w:val="nil"/>
              <w:left w:val="nil"/>
              <w:bottom w:val="single" w:sz="4" w:space="0" w:color="auto"/>
              <w:right w:val="single" w:sz="4" w:space="0" w:color="auto"/>
            </w:tcBorders>
            <w:shd w:val="clear" w:color="auto" w:fill="auto"/>
            <w:noWrap/>
            <w:vAlign w:val="bottom"/>
            <w:hideMark/>
          </w:tcPr>
          <w:p w14:paraId="78DC91D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-86 722</w:t>
            </w:r>
          </w:p>
        </w:tc>
      </w:tr>
      <w:tr w:rsidR="00F65567" w:rsidRPr="002A0876" w14:paraId="489B1F20"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237C5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w:t>
            </w:r>
          </w:p>
        </w:tc>
        <w:tc>
          <w:tcPr>
            <w:tcW w:w="6868" w:type="dxa"/>
            <w:tcBorders>
              <w:top w:val="nil"/>
              <w:left w:val="nil"/>
              <w:bottom w:val="single" w:sz="4" w:space="0" w:color="auto"/>
              <w:right w:val="single" w:sz="4" w:space="0" w:color="auto"/>
            </w:tcBorders>
            <w:shd w:val="clear" w:color="auto" w:fill="auto"/>
            <w:noWrap/>
            <w:vAlign w:val="bottom"/>
            <w:hideMark/>
          </w:tcPr>
          <w:p w14:paraId="56664709"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"Latvijas standarts"</w:t>
            </w:r>
          </w:p>
        </w:tc>
        <w:tc>
          <w:tcPr>
            <w:tcW w:w="1985" w:type="dxa"/>
            <w:tcBorders>
              <w:top w:val="nil"/>
              <w:left w:val="nil"/>
              <w:bottom w:val="single" w:sz="4" w:space="0" w:color="auto"/>
              <w:right w:val="single" w:sz="4" w:space="0" w:color="auto"/>
            </w:tcBorders>
            <w:shd w:val="clear" w:color="auto" w:fill="auto"/>
            <w:noWrap/>
            <w:vAlign w:val="bottom"/>
            <w:hideMark/>
          </w:tcPr>
          <w:p w14:paraId="2CC002E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323 482</w:t>
            </w:r>
          </w:p>
        </w:tc>
        <w:tc>
          <w:tcPr>
            <w:tcW w:w="1984" w:type="dxa"/>
            <w:tcBorders>
              <w:top w:val="nil"/>
              <w:left w:val="nil"/>
              <w:bottom w:val="single" w:sz="4" w:space="0" w:color="auto"/>
              <w:right w:val="single" w:sz="4" w:space="0" w:color="auto"/>
            </w:tcBorders>
            <w:shd w:val="clear" w:color="auto" w:fill="auto"/>
            <w:noWrap/>
            <w:vAlign w:val="bottom"/>
            <w:hideMark/>
          </w:tcPr>
          <w:p w14:paraId="5D3C419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318 877</w:t>
            </w:r>
          </w:p>
        </w:tc>
        <w:tc>
          <w:tcPr>
            <w:tcW w:w="2127" w:type="dxa"/>
            <w:tcBorders>
              <w:top w:val="nil"/>
              <w:left w:val="nil"/>
              <w:bottom w:val="single" w:sz="4" w:space="0" w:color="auto"/>
              <w:right w:val="single" w:sz="4" w:space="0" w:color="auto"/>
            </w:tcBorders>
            <w:shd w:val="clear" w:color="auto" w:fill="auto"/>
            <w:noWrap/>
            <w:vAlign w:val="bottom"/>
            <w:hideMark/>
          </w:tcPr>
          <w:p w14:paraId="6BAC35D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4 605</w:t>
            </w:r>
          </w:p>
        </w:tc>
      </w:tr>
      <w:tr w:rsidR="00F65567" w:rsidRPr="002A0876" w14:paraId="78562334"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205DF2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32</w:t>
            </w:r>
          </w:p>
        </w:tc>
        <w:tc>
          <w:tcPr>
            <w:tcW w:w="6868" w:type="dxa"/>
            <w:tcBorders>
              <w:top w:val="nil"/>
              <w:left w:val="nil"/>
              <w:bottom w:val="single" w:sz="4" w:space="0" w:color="auto"/>
              <w:right w:val="single" w:sz="4" w:space="0" w:color="auto"/>
            </w:tcBorders>
            <w:shd w:val="clear" w:color="auto" w:fill="auto"/>
            <w:noWrap/>
            <w:vAlign w:val="bottom"/>
            <w:hideMark/>
          </w:tcPr>
          <w:p w14:paraId="364F7EF1"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"Hiponia"</w:t>
            </w:r>
          </w:p>
        </w:tc>
        <w:tc>
          <w:tcPr>
            <w:tcW w:w="1985" w:type="dxa"/>
            <w:tcBorders>
              <w:top w:val="nil"/>
              <w:left w:val="nil"/>
              <w:bottom w:val="single" w:sz="4" w:space="0" w:color="auto"/>
              <w:right w:val="single" w:sz="4" w:space="0" w:color="auto"/>
            </w:tcBorders>
            <w:shd w:val="clear" w:color="auto" w:fill="auto"/>
            <w:noWrap/>
            <w:vAlign w:val="bottom"/>
            <w:hideMark/>
          </w:tcPr>
          <w:p w14:paraId="22C5A2D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1305FBC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67991F6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F65567" w:rsidRPr="002A0876" w14:paraId="24E4E204"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B9186F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w:t>
            </w:r>
          </w:p>
        </w:tc>
        <w:tc>
          <w:tcPr>
            <w:tcW w:w="6868" w:type="dxa"/>
            <w:tcBorders>
              <w:top w:val="nil"/>
              <w:left w:val="nil"/>
              <w:bottom w:val="single" w:sz="4" w:space="0" w:color="auto"/>
              <w:right w:val="single" w:sz="4" w:space="0" w:color="auto"/>
            </w:tcBorders>
            <w:shd w:val="clear" w:color="auto" w:fill="auto"/>
            <w:noWrap/>
            <w:vAlign w:val="bottom"/>
            <w:hideMark/>
          </w:tcPr>
          <w:p w14:paraId="38F37BFC"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"Reverta"</w:t>
            </w:r>
          </w:p>
        </w:tc>
        <w:tc>
          <w:tcPr>
            <w:tcW w:w="1985" w:type="dxa"/>
            <w:tcBorders>
              <w:top w:val="nil"/>
              <w:left w:val="nil"/>
              <w:bottom w:val="single" w:sz="4" w:space="0" w:color="auto"/>
              <w:right w:val="single" w:sz="4" w:space="0" w:color="auto"/>
            </w:tcBorders>
            <w:shd w:val="clear" w:color="auto" w:fill="auto"/>
            <w:noWrap/>
            <w:vAlign w:val="bottom"/>
            <w:hideMark/>
          </w:tcPr>
          <w:p w14:paraId="6FE84C9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3DCFE34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39 226</w:t>
            </w:r>
          </w:p>
        </w:tc>
        <w:tc>
          <w:tcPr>
            <w:tcW w:w="2127" w:type="dxa"/>
            <w:tcBorders>
              <w:top w:val="nil"/>
              <w:left w:val="nil"/>
              <w:bottom w:val="single" w:sz="4" w:space="0" w:color="auto"/>
              <w:right w:val="single" w:sz="4" w:space="0" w:color="auto"/>
            </w:tcBorders>
            <w:shd w:val="clear" w:color="auto" w:fill="auto"/>
            <w:noWrap/>
            <w:vAlign w:val="bottom"/>
            <w:hideMark/>
          </w:tcPr>
          <w:p w14:paraId="6B4DDB5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-39 226</w:t>
            </w:r>
          </w:p>
        </w:tc>
      </w:tr>
      <w:tr w:rsidR="00F65567" w:rsidRPr="002A0876" w14:paraId="08E985D1"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BBF708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w:t>
            </w:r>
          </w:p>
        </w:tc>
        <w:tc>
          <w:tcPr>
            <w:tcW w:w="6868" w:type="dxa"/>
            <w:tcBorders>
              <w:top w:val="nil"/>
              <w:left w:val="nil"/>
              <w:bottom w:val="single" w:sz="4" w:space="0" w:color="auto"/>
              <w:right w:val="single" w:sz="4" w:space="0" w:color="auto"/>
            </w:tcBorders>
            <w:shd w:val="clear" w:color="auto" w:fill="auto"/>
            <w:noWrap/>
            <w:vAlign w:val="bottom"/>
            <w:hideMark/>
          </w:tcPr>
          <w:p w14:paraId="7A4C7993"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"FeLM"</w:t>
            </w:r>
          </w:p>
        </w:tc>
        <w:tc>
          <w:tcPr>
            <w:tcW w:w="1985" w:type="dxa"/>
            <w:tcBorders>
              <w:top w:val="nil"/>
              <w:left w:val="nil"/>
              <w:bottom w:val="single" w:sz="4" w:space="0" w:color="auto"/>
              <w:right w:val="single" w:sz="4" w:space="0" w:color="auto"/>
            </w:tcBorders>
            <w:shd w:val="clear" w:color="auto" w:fill="auto"/>
            <w:noWrap/>
            <w:vAlign w:val="bottom"/>
            <w:hideMark/>
          </w:tcPr>
          <w:p w14:paraId="62E105E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3 720 029</w:t>
            </w:r>
          </w:p>
        </w:tc>
        <w:tc>
          <w:tcPr>
            <w:tcW w:w="1984" w:type="dxa"/>
            <w:tcBorders>
              <w:top w:val="nil"/>
              <w:left w:val="nil"/>
              <w:bottom w:val="single" w:sz="4" w:space="0" w:color="auto"/>
              <w:right w:val="single" w:sz="4" w:space="0" w:color="auto"/>
            </w:tcBorders>
            <w:shd w:val="clear" w:color="auto" w:fill="auto"/>
            <w:noWrap/>
            <w:vAlign w:val="bottom"/>
            <w:hideMark/>
          </w:tcPr>
          <w:p w14:paraId="6DAC080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-2 456 469</w:t>
            </w:r>
          </w:p>
        </w:tc>
        <w:tc>
          <w:tcPr>
            <w:tcW w:w="2127" w:type="dxa"/>
            <w:tcBorders>
              <w:top w:val="nil"/>
              <w:left w:val="nil"/>
              <w:bottom w:val="single" w:sz="4" w:space="0" w:color="auto"/>
              <w:right w:val="single" w:sz="4" w:space="0" w:color="auto"/>
            </w:tcBorders>
            <w:shd w:val="clear" w:color="auto" w:fill="auto"/>
            <w:noWrap/>
            <w:vAlign w:val="bottom"/>
            <w:hideMark/>
          </w:tcPr>
          <w:p w14:paraId="7BBC7BE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6 176 498</w:t>
            </w:r>
          </w:p>
        </w:tc>
      </w:tr>
      <w:tr w:rsidR="00F65567" w:rsidRPr="002A0876" w14:paraId="51B364E8"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1BF480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35</w:t>
            </w:r>
          </w:p>
        </w:tc>
        <w:tc>
          <w:tcPr>
            <w:tcW w:w="6868" w:type="dxa"/>
            <w:tcBorders>
              <w:top w:val="nil"/>
              <w:left w:val="nil"/>
              <w:bottom w:val="single" w:sz="4" w:space="0" w:color="auto"/>
              <w:right w:val="single" w:sz="4" w:space="0" w:color="auto"/>
            </w:tcBorders>
            <w:shd w:val="clear" w:color="auto" w:fill="auto"/>
            <w:noWrap/>
            <w:vAlign w:val="bottom"/>
            <w:hideMark/>
          </w:tcPr>
          <w:p w14:paraId="223A97EC"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“Publisko aktīvu pārvaldītājs Possessor”</w:t>
            </w:r>
          </w:p>
        </w:tc>
        <w:tc>
          <w:tcPr>
            <w:tcW w:w="1985" w:type="dxa"/>
            <w:tcBorders>
              <w:top w:val="nil"/>
              <w:left w:val="nil"/>
              <w:bottom w:val="single" w:sz="4" w:space="0" w:color="auto"/>
              <w:right w:val="single" w:sz="4" w:space="0" w:color="auto"/>
            </w:tcBorders>
            <w:shd w:val="clear" w:color="auto" w:fill="auto"/>
            <w:noWrap/>
            <w:vAlign w:val="bottom"/>
            <w:hideMark/>
          </w:tcPr>
          <w:p w14:paraId="3CE303B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2 871 095</w:t>
            </w:r>
          </w:p>
        </w:tc>
        <w:tc>
          <w:tcPr>
            <w:tcW w:w="1984" w:type="dxa"/>
            <w:tcBorders>
              <w:top w:val="nil"/>
              <w:left w:val="nil"/>
              <w:bottom w:val="single" w:sz="4" w:space="0" w:color="auto"/>
              <w:right w:val="single" w:sz="4" w:space="0" w:color="auto"/>
            </w:tcBorders>
            <w:shd w:val="clear" w:color="auto" w:fill="auto"/>
            <w:noWrap/>
            <w:vAlign w:val="bottom"/>
            <w:hideMark/>
          </w:tcPr>
          <w:p w14:paraId="6C1353A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2 661 384</w:t>
            </w:r>
          </w:p>
        </w:tc>
        <w:tc>
          <w:tcPr>
            <w:tcW w:w="2127" w:type="dxa"/>
            <w:tcBorders>
              <w:top w:val="nil"/>
              <w:left w:val="nil"/>
              <w:bottom w:val="single" w:sz="4" w:space="0" w:color="auto"/>
              <w:right w:val="single" w:sz="4" w:space="0" w:color="auto"/>
            </w:tcBorders>
            <w:shd w:val="clear" w:color="auto" w:fill="auto"/>
            <w:noWrap/>
            <w:vAlign w:val="bottom"/>
            <w:hideMark/>
          </w:tcPr>
          <w:p w14:paraId="3C7E3B3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209 711</w:t>
            </w:r>
          </w:p>
        </w:tc>
      </w:tr>
      <w:tr w:rsidR="00F65567" w:rsidRPr="002A0876" w14:paraId="23279C91"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A32F8A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36</w:t>
            </w:r>
          </w:p>
        </w:tc>
        <w:tc>
          <w:tcPr>
            <w:tcW w:w="6868" w:type="dxa"/>
            <w:tcBorders>
              <w:top w:val="nil"/>
              <w:left w:val="nil"/>
              <w:bottom w:val="single" w:sz="4" w:space="0" w:color="auto"/>
              <w:right w:val="single" w:sz="4" w:space="0" w:color="auto"/>
            </w:tcBorders>
            <w:shd w:val="clear" w:color="auto" w:fill="auto"/>
            <w:noWrap/>
            <w:vAlign w:val="bottom"/>
            <w:hideMark/>
          </w:tcPr>
          <w:p w14:paraId="407975AF"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"REAP"</w:t>
            </w:r>
          </w:p>
        </w:tc>
        <w:tc>
          <w:tcPr>
            <w:tcW w:w="1985" w:type="dxa"/>
            <w:tcBorders>
              <w:top w:val="nil"/>
              <w:left w:val="nil"/>
              <w:bottom w:val="single" w:sz="4" w:space="0" w:color="auto"/>
              <w:right w:val="single" w:sz="4" w:space="0" w:color="auto"/>
            </w:tcBorders>
            <w:shd w:val="clear" w:color="auto" w:fill="auto"/>
            <w:noWrap/>
            <w:vAlign w:val="bottom"/>
            <w:hideMark/>
          </w:tcPr>
          <w:p w14:paraId="0EA486B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202 500</w:t>
            </w:r>
          </w:p>
        </w:tc>
        <w:tc>
          <w:tcPr>
            <w:tcW w:w="1984" w:type="dxa"/>
            <w:tcBorders>
              <w:top w:val="nil"/>
              <w:left w:val="nil"/>
              <w:bottom w:val="single" w:sz="4" w:space="0" w:color="auto"/>
              <w:right w:val="single" w:sz="4" w:space="0" w:color="auto"/>
            </w:tcBorders>
            <w:shd w:val="clear" w:color="auto" w:fill="auto"/>
            <w:noWrap/>
            <w:vAlign w:val="bottom"/>
            <w:hideMark/>
          </w:tcPr>
          <w:p w14:paraId="58D06FD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202 500</w:t>
            </w:r>
          </w:p>
        </w:tc>
        <w:tc>
          <w:tcPr>
            <w:tcW w:w="2127" w:type="dxa"/>
            <w:tcBorders>
              <w:top w:val="nil"/>
              <w:left w:val="nil"/>
              <w:bottom w:val="single" w:sz="4" w:space="0" w:color="auto"/>
              <w:right w:val="single" w:sz="4" w:space="0" w:color="auto"/>
            </w:tcBorders>
            <w:shd w:val="clear" w:color="auto" w:fill="auto"/>
            <w:noWrap/>
            <w:vAlign w:val="bottom"/>
            <w:hideMark/>
          </w:tcPr>
          <w:p w14:paraId="4F5FA41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F65567" w:rsidRPr="002A0876" w14:paraId="3488916F"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1AE2AB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37</w:t>
            </w:r>
          </w:p>
        </w:tc>
        <w:tc>
          <w:tcPr>
            <w:tcW w:w="6868" w:type="dxa"/>
            <w:tcBorders>
              <w:top w:val="nil"/>
              <w:left w:val="nil"/>
              <w:bottom w:val="single" w:sz="4" w:space="0" w:color="auto"/>
              <w:right w:val="single" w:sz="4" w:space="0" w:color="auto"/>
            </w:tcBorders>
            <w:shd w:val="clear" w:color="auto" w:fill="auto"/>
            <w:noWrap/>
            <w:vAlign w:val="bottom"/>
            <w:hideMark/>
          </w:tcPr>
          <w:p w14:paraId="51A95F42"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„Enerģijas publiskais tirgotājs”</w:t>
            </w:r>
          </w:p>
        </w:tc>
        <w:tc>
          <w:tcPr>
            <w:tcW w:w="1985" w:type="dxa"/>
            <w:tcBorders>
              <w:top w:val="nil"/>
              <w:left w:val="nil"/>
              <w:bottom w:val="single" w:sz="4" w:space="0" w:color="auto"/>
              <w:right w:val="single" w:sz="4" w:space="0" w:color="auto"/>
            </w:tcBorders>
            <w:shd w:val="clear" w:color="auto" w:fill="auto"/>
            <w:noWrap/>
            <w:vAlign w:val="bottom"/>
            <w:hideMark/>
          </w:tcPr>
          <w:p w14:paraId="69B84A5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139 835 053</w:t>
            </w:r>
          </w:p>
        </w:tc>
        <w:tc>
          <w:tcPr>
            <w:tcW w:w="1984" w:type="dxa"/>
            <w:tcBorders>
              <w:top w:val="nil"/>
              <w:left w:val="nil"/>
              <w:bottom w:val="single" w:sz="4" w:space="0" w:color="auto"/>
              <w:right w:val="single" w:sz="4" w:space="0" w:color="auto"/>
            </w:tcBorders>
            <w:shd w:val="clear" w:color="auto" w:fill="auto"/>
            <w:noWrap/>
            <w:vAlign w:val="bottom"/>
            <w:hideMark/>
          </w:tcPr>
          <w:p w14:paraId="5E08732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164 372 549</w:t>
            </w:r>
          </w:p>
        </w:tc>
        <w:tc>
          <w:tcPr>
            <w:tcW w:w="2127" w:type="dxa"/>
            <w:tcBorders>
              <w:top w:val="nil"/>
              <w:left w:val="nil"/>
              <w:bottom w:val="single" w:sz="4" w:space="0" w:color="auto"/>
              <w:right w:val="single" w:sz="4" w:space="0" w:color="auto"/>
            </w:tcBorders>
            <w:shd w:val="clear" w:color="auto" w:fill="auto"/>
            <w:noWrap/>
            <w:vAlign w:val="bottom"/>
            <w:hideMark/>
          </w:tcPr>
          <w:p w14:paraId="0537461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-24 537 496</w:t>
            </w:r>
          </w:p>
        </w:tc>
      </w:tr>
      <w:tr w:rsidR="00F65567" w:rsidRPr="002A0876" w14:paraId="6FA3D34E"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640283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38</w:t>
            </w:r>
          </w:p>
        </w:tc>
        <w:tc>
          <w:tcPr>
            <w:tcW w:w="6868" w:type="dxa"/>
            <w:tcBorders>
              <w:top w:val="nil"/>
              <w:left w:val="nil"/>
              <w:bottom w:val="single" w:sz="4" w:space="0" w:color="auto"/>
              <w:right w:val="single" w:sz="4" w:space="0" w:color="auto"/>
            </w:tcBorders>
            <w:shd w:val="clear" w:color="auto" w:fill="auto"/>
            <w:noWrap/>
            <w:vAlign w:val="bottom"/>
            <w:hideMark/>
          </w:tcPr>
          <w:p w14:paraId="1652A39D"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“Bobsleja un kamaniņu trase”</w:t>
            </w:r>
          </w:p>
        </w:tc>
        <w:tc>
          <w:tcPr>
            <w:tcW w:w="1985" w:type="dxa"/>
            <w:tcBorders>
              <w:top w:val="nil"/>
              <w:left w:val="nil"/>
              <w:bottom w:val="single" w:sz="4" w:space="0" w:color="auto"/>
              <w:right w:val="single" w:sz="4" w:space="0" w:color="auto"/>
            </w:tcBorders>
            <w:shd w:val="clear" w:color="auto" w:fill="auto"/>
            <w:noWrap/>
            <w:vAlign w:val="bottom"/>
            <w:hideMark/>
          </w:tcPr>
          <w:p w14:paraId="7B5B805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724 500</w:t>
            </w:r>
          </w:p>
        </w:tc>
        <w:tc>
          <w:tcPr>
            <w:tcW w:w="1984" w:type="dxa"/>
            <w:tcBorders>
              <w:top w:val="nil"/>
              <w:left w:val="nil"/>
              <w:bottom w:val="single" w:sz="4" w:space="0" w:color="auto"/>
              <w:right w:val="single" w:sz="4" w:space="0" w:color="auto"/>
            </w:tcBorders>
            <w:shd w:val="clear" w:color="auto" w:fill="auto"/>
            <w:noWrap/>
            <w:vAlign w:val="bottom"/>
            <w:hideMark/>
          </w:tcPr>
          <w:p w14:paraId="0057A6A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573 400</w:t>
            </w:r>
          </w:p>
        </w:tc>
        <w:tc>
          <w:tcPr>
            <w:tcW w:w="2127" w:type="dxa"/>
            <w:tcBorders>
              <w:top w:val="nil"/>
              <w:left w:val="nil"/>
              <w:bottom w:val="single" w:sz="4" w:space="0" w:color="auto"/>
              <w:right w:val="single" w:sz="4" w:space="0" w:color="auto"/>
            </w:tcBorders>
            <w:shd w:val="clear" w:color="auto" w:fill="auto"/>
            <w:noWrap/>
            <w:vAlign w:val="bottom"/>
            <w:hideMark/>
          </w:tcPr>
          <w:p w14:paraId="3DA14A1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151 100</w:t>
            </w:r>
          </w:p>
        </w:tc>
      </w:tr>
      <w:tr w:rsidR="00F65567" w:rsidRPr="002A0876" w14:paraId="75AB0561"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AEE511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39</w:t>
            </w:r>
          </w:p>
        </w:tc>
        <w:tc>
          <w:tcPr>
            <w:tcW w:w="6868" w:type="dxa"/>
            <w:tcBorders>
              <w:top w:val="nil"/>
              <w:left w:val="nil"/>
              <w:bottom w:val="single" w:sz="4" w:space="0" w:color="auto"/>
              <w:right w:val="single" w:sz="4" w:space="0" w:color="auto"/>
            </w:tcBorders>
            <w:shd w:val="clear" w:color="auto" w:fill="auto"/>
            <w:noWrap/>
            <w:vAlign w:val="bottom"/>
            <w:hideMark/>
          </w:tcPr>
          <w:p w14:paraId="23A9E601"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"Rīgas Tūrisma un radošās industrijas tehnikums"</w:t>
            </w:r>
          </w:p>
        </w:tc>
        <w:tc>
          <w:tcPr>
            <w:tcW w:w="1985" w:type="dxa"/>
            <w:tcBorders>
              <w:top w:val="nil"/>
              <w:left w:val="nil"/>
              <w:bottom w:val="single" w:sz="4" w:space="0" w:color="auto"/>
              <w:right w:val="single" w:sz="4" w:space="0" w:color="auto"/>
            </w:tcBorders>
            <w:shd w:val="clear" w:color="auto" w:fill="auto"/>
            <w:noWrap/>
            <w:vAlign w:val="bottom"/>
            <w:hideMark/>
          </w:tcPr>
          <w:p w14:paraId="47E9779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600 000</w:t>
            </w:r>
          </w:p>
        </w:tc>
        <w:tc>
          <w:tcPr>
            <w:tcW w:w="1984" w:type="dxa"/>
            <w:tcBorders>
              <w:top w:val="nil"/>
              <w:left w:val="nil"/>
              <w:bottom w:val="single" w:sz="4" w:space="0" w:color="auto"/>
              <w:right w:val="single" w:sz="4" w:space="0" w:color="auto"/>
            </w:tcBorders>
            <w:shd w:val="clear" w:color="auto" w:fill="auto"/>
            <w:noWrap/>
            <w:vAlign w:val="bottom"/>
            <w:hideMark/>
          </w:tcPr>
          <w:p w14:paraId="629D199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918 870</w:t>
            </w:r>
          </w:p>
        </w:tc>
        <w:tc>
          <w:tcPr>
            <w:tcW w:w="2127" w:type="dxa"/>
            <w:tcBorders>
              <w:top w:val="nil"/>
              <w:left w:val="nil"/>
              <w:bottom w:val="single" w:sz="4" w:space="0" w:color="auto"/>
              <w:right w:val="single" w:sz="4" w:space="0" w:color="auto"/>
            </w:tcBorders>
            <w:shd w:val="clear" w:color="auto" w:fill="auto"/>
            <w:noWrap/>
            <w:vAlign w:val="bottom"/>
            <w:hideMark/>
          </w:tcPr>
          <w:p w14:paraId="3FECACB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-318 870</w:t>
            </w:r>
          </w:p>
        </w:tc>
      </w:tr>
      <w:tr w:rsidR="00F65567" w:rsidRPr="002A0876" w14:paraId="082943DD"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CFA41B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40</w:t>
            </w:r>
          </w:p>
        </w:tc>
        <w:tc>
          <w:tcPr>
            <w:tcW w:w="6868" w:type="dxa"/>
            <w:tcBorders>
              <w:top w:val="nil"/>
              <w:left w:val="nil"/>
              <w:bottom w:val="single" w:sz="4" w:space="0" w:color="auto"/>
              <w:right w:val="single" w:sz="4" w:space="0" w:color="auto"/>
            </w:tcBorders>
            <w:shd w:val="clear" w:color="auto" w:fill="auto"/>
            <w:noWrap/>
            <w:vAlign w:val="bottom"/>
            <w:hideMark/>
          </w:tcPr>
          <w:p w14:paraId="67B7DD79"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"Kultūras un sporta centrs "Daugavas stadions""</w:t>
            </w:r>
          </w:p>
        </w:tc>
        <w:tc>
          <w:tcPr>
            <w:tcW w:w="1985" w:type="dxa"/>
            <w:tcBorders>
              <w:top w:val="nil"/>
              <w:left w:val="nil"/>
              <w:bottom w:val="single" w:sz="4" w:space="0" w:color="auto"/>
              <w:right w:val="single" w:sz="4" w:space="0" w:color="auto"/>
            </w:tcBorders>
            <w:shd w:val="clear" w:color="auto" w:fill="auto"/>
            <w:noWrap/>
            <w:vAlign w:val="bottom"/>
            <w:hideMark/>
          </w:tcPr>
          <w:p w14:paraId="13B85C8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927 050</w:t>
            </w:r>
          </w:p>
        </w:tc>
        <w:tc>
          <w:tcPr>
            <w:tcW w:w="1984" w:type="dxa"/>
            <w:tcBorders>
              <w:top w:val="nil"/>
              <w:left w:val="nil"/>
              <w:bottom w:val="single" w:sz="4" w:space="0" w:color="auto"/>
              <w:right w:val="single" w:sz="4" w:space="0" w:color="auto"/>
            </w:tcBorders>
            <w:shd w:val="clear" w:color="auto" w:fill="auto"/>
            <w:noWrap/>
            <w:vAlign w:val="bottom"/>
            <w:hideMark/>
          </w:tcPr>
          <w:p w14:paraId="22C34EC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826 586</w:t>
            </w:r>
          </w:p>
        </w:tc>
        <w:tc>
          <w:tcPr>
            <w:tcW w:w="2127" w:type="dxa"/>
            <w:tcBorders>
              <w:top w:val="nil"/>
              <w:left w:val="nil"/>
              <w:bottom w:val="single" w:sz="4" w:space="0" w:color="auto"/>
              <w:right w:val="single" w:sz="4" w:space="0" w:color="auto"/>
            </w:tcBorders>
            <w:shd w:val="clear" w:color="auto" w:fill="auto"/>
            <w:noWrap/>
            <w:vAlign w:val="bottom"/>
            <w:hideMark/>
          </w:tcPr>
          <w:p w14:paraId="39B24C6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100 465</w:t>
            </w:r>
          </w:p>
        </w:tc>
      </w:tr>
      <w:tr w:rsidR="00F65567" w:rsidRPr="002A0876" w14:paraId="18E13EFE"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21D3D3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41</w:t>
            </w:r>
          </w:p>
        </w:tc>
        <w:tc>
          <w:tcPr>
            <w:tcW w:w="6868" w:type="dxa"/>
            <w:tcBorders>
              <w:top w:val="nil"/>
              <w:left w:val="nil"/>
              <w:bottom w:val="single" w:sz="4" w:space="0" w:color="auto"/>
              <w:right w:val="single" w:sz="4" w:space="0" w:color="auto"/>
            </w:tcBorders>
            <w:shd w:val="clear" w:color="auto" w:fill="auto"/>
            <w:noWrap/>
            <w:vAlign w:val="bottom"/>
            <w:hideMark/>
          </w:tcPr>
          <w:p w14:paraId="26C24F35"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SIA "Lielstraupes pils" </w:t>
            </w:r>
          </w:p>
        </w:tc>
        <w:tc>
          <w:tcPr>
            <w:tcW w:w="1985" w:type="dxa"/>
            <w:tcBorders>
              <w:top w:val="nil"/>
              <w:left w:val="nil"/>
              <w:bottom w:val="single" w:sz="4" w:space="0" w:color="auto"/>
              <w:right w:val="single" w:sz="4" w:space="0" w:color="auto"/>
            </w:tcBorders>
            <w:shd w:val="clear" w:color="auto" w:fill="auto"/>
            <w:noWrap/>
            <w:vAlign w:val="bottom"/>
            <w:hideMark/>
          </w:tcPr>
          <w:p w14:paraId="0765712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59B1E6C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18EEB6A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F65567" w:rsidRPr="002A0876" w14:paraId="2709F84D" w14:textId="77777777" w:rsidTr="002A0876">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3A5D7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42</w:t>
            </w:r>
          </w:p>
        </w:tc>
        <w:tc>
          <w:tcPr>
            <w:tcW w:w="6868" w:type="dxa"/>
            <w:tcBorders>
              <w:top w:val="nil"/>
              <w:left w:val="nil"/>
              <w:bottom w:val="single" w:sz="4" w:space="0" w:color="auto"/>
              <w:right w:val="single" w:sz="4" w:space="0" w:color="auto"/>
            </w:tcBorders>
            <w:shd w:val="clear" w:color="auto" w:fill="auto"/>
            <w:noWrap/>
            <w:vAlign w:val="bottom"/>
            <w:hideMark/>
          </w:tcPr>
          <w:p w14:paraId="1E201A69"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"Veselības centra "Biķernieki""</w:t>
            </w:r>
          </w:p>
        </w:tc>
        <w:tc>
          <w:tcPr>
            <w:tcW w:w="1985" w:type="dxa"/>
            <w:tcBorders>
              <w:top w:val="nil"/>
              <w:left w:val="nil"/>
              <w:bottom w:val="single" w:sz="4" w:space="0" w:color="auto"/>
              <w:right w:val="single" w:sz="4" w:space="0" w:color="auto"/>
            </w:tcBorders>
            <w:shd w:val="clear" w:color="auto" w:fill="auto"/>
            <w:noWrap/>
            <w:vAlign w:val="bottom"/>
            <w:hideMark/>
          </w:tcPr>
          <w:p w14:paraId="50A1FDD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2 026 712</w:t>
            </w:r>
          </w:p>
        </w:tc>
        <w:tc>
          <w:tcPr>
            <w:tcW w:w="1984" w:type="dxa"/>
            <w:tcBorders>
              <w:top w:val="nil"/>
              <w:left w:val="nil"/>
              <w:bottom w:val="single" w:sz="4" w:space="0" w:color="auto"/>
              <w:right w:val="single" w:sz="4" w:space="0" w:color="auto"/>
            </w:tcBorders>
            <w:shd w:val="clear" w:color="auto" w:fill="auto"/>
            <w:noWrap/>
            <w:vAlign w:val="bottom"/>
            <w:hideMark/>
          </w:tcPr>
          <w:p w14:paraId="719511A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2 007 997</w:t>
            </w:r>
          </w:p>
        </w:tc>
        <w:tc>
          <w:tcPr>
            <w:tcW w:w="2127" w:type="dxa"/>
            <w:tcBorders>
              <w:top w:val="nil"/>
              <w:left w:val="nil"/>
              <w:bottom w:val="single" w:sz="4" w:space="0" w:color="auto"/>
              <w:right w:val="single" w:sz="4" w:space="0" w:color="auto"/>
            </w:tcBorders>
            <w:shd w:val="clear" w:color="auto" w:fill="auto"/>
            <w:noWrap/>
            <w:vAlign w:val="bottom"/>
            <w:hideMark/>
          </w:tcPr>
          <w:p w14:paraId="7ED4067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18 715</w:t>
            </w:r>
          </w:p>
        </w:tc>
      </w:tr>
      <w:tr w:rsidR="00F65567" w:rsidRPr="002A0876" w14:paraId="0874C9C3" w14:textId="77777777" w:rsidTr="002A0876">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7646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43</w:t>
            </w:r>
          </w:p>
        </w:tc>
        <w:tc>
          <w:tcPr>
            <w:tcW w:w="6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4D496"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"Ludzas medicīnas centrs"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C454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3 570 000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B676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3 380 000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A986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190 000</w:t>
            </w:r>
          </w:p>
        </w:tc>
      </w:tr>
      <w:tr w:rsidR="00F65567" w:rsidRPr="002A0876" w14:paraId="461A0D6D" w14:textId="77777777" w:rsidTr="006C7EFD">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CEF5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w:t>
            </w:r>
          </w:p>
        </w:tc>
        <w:tc>
          <w:tcPr>
            <w:tcW w:w="6868" w:type="dxa"/>
            <w:tcBorders>
              <w:top w:val="single" w:sz="4" w:space="0" w:color="auto"/>
              <w:left w:val="nil"/>
              <w:bottom w:val="single" w:sz="4" w:space="0" w:color="auto"/>
              <w:right w:val="single" w:sz="4" w:space="0" w:color="auto"/>
            </w:tcBorders>
            <w:shd w:val="clear" w:color="auto" w:fill="auto"/>
            <w:noWrap/>
            <w:vAlign w:val="bottom"/>
            <w:hideMark/>
          </w:tcPr>
          <w:p w14:paraId="0527C577"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Bērnu psihoneiroloģiskā slimnīcā "Ainaži"</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CF115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1 680 061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FD814E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1 619 979</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7FA7093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60 082</w:t>
            </w:r>
          </w:p>
        </w:tc>
      </w:tr>
      <w:tr w:rsidR="00F65567" w:rsidRPr="002A0876" w14:paraId="6D778536" w14:textId="77777777" w:rsidTr="006C7EFD">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1E52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45</w:t>
            </w:r>
          </w:p>
        </w:tc>
        <w:tc>
          <w:tcPr>
            <w:tcW w:w="6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0680D"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"Aknīstes psihoneiroloģiskā slimnīca"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489C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5 697 142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63C9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5 587 662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FF1A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109 480</w:t>
            </w:r>
          </w:p>
        </w:tc>
      </w:tr>
      <w:tr w:rsidR="00F65567" w:rsidRPr="002A0876" w14:paraId="3AADE58D" w14:textId="77777777" w:rsidTr="006C7EFD">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E632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46</w:t>
            </w:r>
          </w:p>
        </w:tc>
        <w:tc>
          <w:tcPr>
            <w:tcW w:w="6868" w:type="dxa"/>
            <w:tcBorders>
              <w:top w:val="single" w:sz="4" w:space="0" w:color="auto"/>
              <w:left w:val="nil"/>
              <w:bottom w:val="single" w:sz="4" w:space="0" w:color="auto"/>
              <w:right w:val="single" w:sz="4" w:space="0" w:color="auto"/>
            </w:tcBorders>
            <w:shd w:val="clear" w:color="auto" w:fill="auto"/>
            <w:noWrap/>
            <w:vAlign w:val="bottom"/>
            <w:hideMark/>
          </w:tcPr>
          <w:p w14:paraId="7D6D9BDC"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"Piejūras slimnīca"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0153E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4 381 800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AFDF25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4 156 489</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5B46801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225 311</w:t>
            </w:r>
          </w:p>
        </w:tc>
      </w:tr>
      <w:tr w:rsidR="00F65567" w:rsidRPr="002A0876" w14:paraId="13F4289F"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C4C263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47</w:t>
            </w:r>
          </w:p>
        </w:tc>
        <w:tc>
          <w:tcPr>
            <w:tcW w:w="6868" w:type="dxa"/>
            <w:tcBorders>
              <w:top w:val="nil"/>
              <w:left w:val="nil"/>
              <w:bottom w:val="single" w:sz="4" w:space="0" w:color="auto"/>
              <w:right w:val="single" w:sz="4" w:space="0" w:color="auto"/>
            </w:tcBorders>
            <w:shd w:val="clear" w:color="auto" w:fill="auto"/>
            <w:noWrap/>
            <w:vAlign w:val="bottom"/>
            <w:hideMark/>
          </w:tcPr>
          <w:p w14:paraId="5062FD92"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"Slimnīca "Ģintermuiža""</w:t>
            </w:r>
          </w:p>
        </w:tc>
        <w:tc>
          <w:tcPr>
            <w:tcW w:w="1985" w:type="dxa"/>
            <w:tcBorders>
              <w:top w:val="nil"/>
              <w:left w:val="nil"/>
              <w:bottom w:val="single" w:sz="4" w:space="0" w:color="auto"/>
              <w:right w:val="single" w:sz="4" w:space="0" w:color="auto"/>
            </w:tcBorders>
            <w:shd w:val="clear" w:color="auto" w:fill="auto"/>
            <w:noWrap/>
            <w:vAlign w:val="bottom"/>
            <w:hideMark/>
          </w:tcPr>
          <w:p w14:paraId="00A6B1F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9 674 848</w:t>
            </w:r>
          </w:p>
        </w:tc>
        <w:tc>
          <w:tcPr>
            <w:tcW w:w="1984" w:type="dxa"/>
            <w:tcBorders>
              <w:top w:val="nil"/>
              <w:left w:val="nil"/>
              <w:bottom w:val="single" w:sz="4" w:space="0" w:color="auto"/>
              <w:right w:val="single" w:sz="4" w:space="0" w:color="auto"/>
            </w:tcBorders>
            <w:shd w:val="clear" w:color="auto" w:fill="auto"/>
            <w:noWrap/>
            <w:vAlign w:val="bottom"/>
            <w:hideMark/>
          </w:tcPr>
          <w:p w14:paraId="1606281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9 610 394</w:t>
            </w:r>
          </w:p>
        </w:tc>
        <w:tc>
          <w:tcPr>
            <w:tcW w:w="2127" w:type="dxa"/>
            <w:tcBorders>
              <w:top w:val="nil"/>
              <w:left w:val="nil"/>
              <w:bottom w:val="single" w:sz="4" w:space="0" w:color="auto"/>
              <w:right w:val="single" w:sz="4" w:space="0" w:color="auto"/>
            </w:tcBorders>
            <w:shd w:val="clear" w:color="auto" w:fill="auto"/>
            <w:noWrap/>
            <w:vAlign w:val="bottom"/>
            <w:hideMark/>
          </w:tcPr>
          <w:p w14:paraId="053D18F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64 454</w:t>
            </w:r>
          </w:p>
        </w:tc>
      </w:tr>
      <w:tr w:rsidR="00F65567" w:rsidRPr="002A0876" w14:paraId="1F9052AA"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C705E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48</w:t>
            </w:r>
          </w:p>
        </w:tc>
        <w:tc>
          <w:tcPr>
            <w:tcW w:w="6868" w:type="dxa"/>
            <w:tcBorders>
              <w:top w:val="nil"/>
              <w:left w:val="nil"/>
              <w:bottom w:val="single" w:sz="4" w:space="0" w:color="auto"/>
              <w:right w:val="single" w:sz="4" w:space="0" w:color="auto"/>
            </w:tcBorders>
            <w:shd w:val="clear" w:color="auto" w:fill="auto"/>
            <w:noWrap/>
            <w:vAlign w:val="bottom"/>
            <w:hideMark/>
          </w:tcPr>
          <w:p w14:paraId="263A88EF"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"Daugavpils psihoneiroloģiskā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2EA40D6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12 550 203</w:t>
            </w:r>
          </w:p>
        </w:tc>
        <w:tc>
          <w:tcPr>
            <w:tcW w:w="1984" w:type="dxa"/>
            <w:tcBorders>
              <w:top w:val="nil"/>
              <w:left w:val="nil"/>
              <w:bottom w:val="single" w:sz="4" w:space="0" w:color="auto"/>
              <w:right w:val="single" w:sz="4" w:space="0" w:color="auto"/>
            </w:tcBorders>
            <w:shd w:val="clear" w:color="auto" w:fill="auto"/>
            <w:noWrap/>
            <w:vAlign w:val="bottom"/>
            <w:hideMark/>
          </w:tcPr>
          <w:p w14:paraId="66A22E8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12 507 275</w:t>
            </w:r>
          </w:p>
        </w:tc>
        <w:tc>
          <w:tcPr>
            <w:tcW w:w="2127" w:type="dxa"/>
            <w:tcBorders>
              <w:top w:val="nil"/>
              <w:left w:val="nil"/>
              <w:bottom w:val="single" w:sz="4" w:space="0" w:color="auto"/>
              <w:right w:val="single" w:sz="4" w:space="0" w:color="auto"/>
            </w:tcBorders>
            <w:shd w:val="clear" w:color="auto" w:fill="auto"/>
            <w:noWrap/>
            <w:vAlign w:val="bottom"/>
            <w:hideMark/>
          </w:tcPr>
          <w:p w14:paraId="76E08D0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42 928</w:t>
            </w:r>
          </w:p>
        </w:tc>
      </w:tr>
      <w:tr w:rsidR="00F65567" w:rsidRPr="002A0876" w14:paraId="2A3992BA"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EC011E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49</w:t>
            </w:r>
          </w:p>
        </w:tc>
        <w:tc>
          <w:tcPr>
            <w:tcW w:w="6868" w:type="dxa"/>
            <w:tcBorders>
              <w:top w:val="nil"/>
              <w:left w:val="nil"/>
              <w:bottom w:val="single" w:sz="4" w:space="0" w:color="auto"/>
              <w:right w:val="single" w:sz="4" w:space="0" w:color="auto"/>
            </w:tcBorders>
            <w:shd w:val="clear" w:color="auto" w:fill="auto"/>
            <w:noWrap/>
            <w:vAlign w:val="bottom"/>
            <w:hideMark/>
          </w:tcPr>
          <w:p w14:paraId="297BDC6E"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"Rīgas psihiatrijas un narkoloģijas centrs"</w:t>
            </w:r>
          </w:p>
        </w:tc>
        <w:tc>
          <w:tcPr>
            <w:tcW w:w="1985" w:type="dxa"/>
            <w:tcBorders>
              <w:top w:val="nil"/>
              <w:left w:val="nil"/>
              <w:bottom w:val="single" w:sz="4" w:space="0" w:color="auto"/>
              <w:right w:val="single" w:sz="4" w:space="0" w:color="auto"/>
            </w:tcBorders>
            <w:shd w:val="clear" w:color="auto" w:fill="auto"/>
            <w:noWrap/>
            <w:vAlign w:val="bottom"/>
            <w:hideMark/>
          </w:tcPr>
          <w:p w14:paraId="0FC4383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21 684 174</w:t>
            </w:r>
          </w:p>
        </w:tc>
        <w:tc>
          <w:tcPr>
            <w:tcW w:w="1984" w:type="dxa"/>
            <w:tcBorders>
              <w:top w:val="nil"/>
              <w:left w:val="nil"/>
              <w:bottom w:val="single" w:sz="4" w:space="0" w:color="auto"/>
              <w:right w:val="single" w:sz="4" w:space="0" w:color="auto"/>
            </w:tcBorders>
            <w:shd w:val="clear" w:color="auto" w:fill="auto"/>
            <w:noWrap/>
            <w:vAlign w:val="bottom"/>
            <w:hideMark/>
          </w:tcPr>
          <w:p w14:paraId="75AD37B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21 769 174</w:t>
            </w:r>
          </w:p>
        </w:tc>
        <w:tc>
          <w:tcPr>
            <w:tcW w:w="2127" w:type="dxa"/>
            <w:tcBorders>
              <w:top w:val="nil"/>
              <w:left w:val="nil"/>
              <w:bottom w:val="single" w:sz="4" w:space="0" w:color="auto"/>
              <w:right w:val="single" w:sz="4" w:space="0" w:color="auto"/>
            </w:tcBorders>
            <w:shd w:val="clear" w:color="auto" w:fill="auto"/>
            <w:noWrap/>
            <w:vAlign w:val="bottom"/>
            <w:hideMark/>
          </w:tcPr>
          <w:p w14:paraId="113E9DD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-85 000</w:t>
            </w:r>
          </w:p>
        </w:tc>
      </w:tr>
      <w:tr w:rsidR="00F65567" w:rsidRPr="002A0876" w14:paraId="4B0E015A"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DBEB2B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50</w:t>
            </w:r>
          </w:p>
        </w:tc>
        <w:tc>
          <w:tcPr>
            <w:tcW w:w="6868" w:type="dxa"/>
            <w:tcBorders>
              <w:top w:val="nil"/>
              <w:left w:val="nil"/>
              <w:bottom w:val="single" w:sz="4" w:space="0" w:color="auto"/>
              <w:right w:val="single" w:sz="4" w:space="0" w:color="auto"/>
            </w:tcBorders>
            <w:shd w:val="clear" w:color="auto" w:fill="auto"/>
            <w:noWrap/>
            <w:vAlign w:val="bottom"/>
            <w:hideMark/>
          </w:tcPr>
          <w:p w14:paraId="17DA61A9"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"Nacionālais rehabilitācijas centrs "Vaivari""</w:t>
            </w:r>
          </w:p>
        </w:tc>
        <w:tc>
          <w:tcPr>
            <w:tcW w:w="1985" w:type="dxa"/>
            <w:tcBorders>
              <w:top w:val="nil"/>
              <w:left w:val="nil"/>
              <w:bottom w:val="single" w:sz="4" w:space="0" w:color="auto"/>
              <w:right w:val="single" w:sz="4" w:space="0" w:color="auto"/>
            </w:tcBorders>
            <w:shd w:val="clear" w:color="auto" w:fill="auto"/>
            <w:noWrap/>
            <w:vAlign w:val="bottom"/>
            <w:hideMark/>
          </w:tcPr>
          <w:p w14:paraId="2FE141C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10 840 320</w:t>
            </w:r>
          </w:p>
        </w:tc>
        <w:tc>
          <w:tcPr>
            <w:tcW w:w="1984" w:type="dxa"/>
            <w:tcBorders>
              <w:top w:val="nil"/>
              <w:left w:val="nil"/>
              <w:bottom w:val="single" w:sz="4" w:space="0" w:color="auto"/>
              <w:right w:val="single" w:sz="4" w:space="0" w:color="auto"/>
            </w:tcBorders>
            <w:shd w:val="clear" w:color="auto" w:fill="auto"/>
            <w:noWrap/>
            <w:vAlign w:val="bottom"/>
            <w:hideMark/>
          </w:tcPr>
          <w:p w14:paraId="6FA5174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10 762 090</w:t>
            </w:r>
          </w:p>
        </w:tc>
        <w:tc>
          <w:tcPr>
            <w:tcW w:w="2127" w:type="dxa"/>
            <w:tcBorders>
              <w:top w:val="nil"/>
              <w:left w:val="nil"/>
              <w:bottom w:val="single" w:sz="4" w:space="0" w:color="auto"/>
              <w:right w:val="single" w:sz="4" w:space="0" w:color="auto"/>
            </w:tcBorders>
            <w:shd w:val="clear" w:color="auto" w:fill="auto"/>
            <w:noWrap/>
            <w:vAlign w:val="bottom"/>
            <w:hideMark/>
          </w:tcPr>
          <w:p w14:paraId="2B7BE50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78 230</w:t>
            </w:r>
          </w:p>
        </w:tc>
      </w:tr>
      <w:tr w:rsidR="00F65567" w:rsidRPr="002A0876" w14:paraId="5A94939B"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356C24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w:t>
            </w:r>
          </w:p>
        </w:tc>
        <w:tc>
          <w:tcPr>
            <w:tcW w:w="6868" w:type="dxa"/>
            <w:tcBorders>
              <w:top w:val="nil"/>
              <w:left w:val="nil"/>
              <w:bottom w:val="single" w:sz="4" w:space="0" w:color="auto"/>
              <w:right w:val="single" w:sz="4" w:space="0" w:color="auto"/>
            </w:tcBorders>
            <w:shd w:val="clear" w:color="auto" w:fill="auto"/>
            <w:noWrap/>
            <w:vAlign w:val="bottom"/>
            <w:hideMark/>
          </w:tcPr>
          <w:p w14:paraId="6268A6F6"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"Traumatoloģijas un ortopēdijas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63DA24F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20 354 212</w:t>
            </w:r>
          </w:p>
        </w:tc>
        <w:tc>
          <w:tcPr>
            <w:tcW w:w="1984" w:type="dxa"/>
            <w:tcBorders>
              <w:top w:val="nil"/>
              <w:left w:val="nil"/>
              <w:bottom w:val="single" w:sz="4" w:space="0" w:color="auto"/>
              <w:right w:val="single" w:sz="4" w:space="0" w:color="auto"/>
            </w:tcBorders>
            <w:shd w:val="clear" w:color="auto" w:fill="auto"/>
            <w:noWrap/>
            <w:vAlign w:val="bottom"/>
            <w:hideMark/>
          </w:tcPr>
          <w:p w14:paraId="42C95D1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20 300 888</w:t>
            </w:r>
          </w:p>
        </w:tc>
        <w:tc>
          <w:tcPr>
            <w:tcW w:w="2127" w:type="dxa"/>
            <w:tcBorders>
              <w:top w:val="nil"/>
              <w:left w:val="nil"/>
              <w:bottom w:val="single" w:sz="4" w:space="0" w:color="auto"/>
              <w:right w:val="single" w:sz="4" w:space="0" w:color="auto"/>
            </w:tcBorders>
            <w:shd w:val="clear" w:color="auto" w:fill="auto"/>
            <w:noWrap/>
            <w:vAlign w:val="bottom"/>
            <w:hideMark/>
          </w:tcPr>
          <w:p w14:paraId="4205262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53 324</w:t>
            </w:r>
          </w:p>
        </w:tc>
      </w:tr>
      <w:tr w:rsidR="00F65567" w:rsidRPr="002A0876" w14:paraId="34BC0121"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0EF966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w:t>
            </w:r>
          </w:p>
        </w:tc>
        <w:tc>
          <w:tcPr>
            <w:tcW w:w="6868" w:type="dxa"/>
            <w:tcBorders>
              <w:top w:val="nil"/>
              <w:left w:val="nil"/>
              <w:bottom w:val="single" w:sz="4" w:space="0" w:color="auto"/>
              <w:right w:val="single" w:sz="4" w:space="0" w:color="auto"/>
            </w:tcBorders>
            <w:shd w:val="clear" w:color="auto" w:fill="auto"/>
            <w:noWrap/>
            <w:vAlign w:val="bottom"/>
            <w:hideMark/>
          </w:tcPr>
          <w:p w14:paraId="526A8367"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"Paula Stradiņa klīniskā universitātes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5B3FDBE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125 875 528</w:t>
            </w:r>
          </w:p>
        </w:tc>
        <w:tc>
          <w:tcPr>
            <w:tcW w:w="1984" w:type="dxa"/>
            <w:tcBorders>
              <w:top w:val="nil"/>
              <w:left w:val="nil"/>
              <w:bottom w:val="single" w:sz="4" w:space="0" w:color="auto"/>
              <w:right w:val="single" w:sz="4" w:space="0" w:color="auto"/>
            </w:tcBorders>
            <w:shd w:val="clear" w:color="auto" w:fill="auto"/>
            <w:noWrap/>
            <w:vAlign w:val="bottom"/>
            <w:hideMark/>
          </w:tcPr>
          <w:p w14:paraId="3BE45D2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126 234 754</w:t>
            </w:r>
          </w:p>
        </w:tc>
        <w:tc>
          <w:tcPr>
            <w:tcW w:w="2127" w:type="dxa"/>
            <w:tcBorders>
              <w:top w:val="nil"/>
              <w:left w:val="nil"/>
              <w:bottom w:val="single" w:sz="4" w:space="0" w:color="auto"/>
              <w:right w:val="single" w:sz="4" w:space="0" w:color="auto"/>
            </w:tcBorders>
            <w:shd w:val="clear" w:color="auto" w:fill="auto"/>
            <w:noWrap/>
            <w:vAlign w:val="bottom"/>
            <w:hideMark/>
          </w:tcPr>
          <w:p w14:paraId="42D65D0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-359 227</w:t>
            </w:r>
          </w:p>
        </w:tc>
      </w:tr>
      <w:tr w:rsidR="00F65567" w:rsidRPr="002A0876" w14:paraId="0FFFB155"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B84272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w:t>
            </w:r>
          </w:p>
        </w:tc>
        <w:tc>
          <w:tcPr>
            <w:tcW w:w="6868" w:type="dxa"/>
            <w:tcBorders>
              <w:top w:val="nil"/>
              <w:left w:val="nil"/>
              <w:bottom w:val="single" w:sz="4" w:space="0" w:color="auto"/>
              <w:right w:val="single" w:sz="4" w:space="0" w:color="auto"/>
            </w:tcBorders>
            <w:shd w:val="clear" w:color="auto" w:fill="auto"/>
            <w:noWrap/>
            <w:vAlign w:val="bottom"/>
            <w:hideMark/>
          </w:tcPr>
          <w:p w14:paraId="07DFE189"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Radio"</w:t>
            </w:r>
          </w:p>
        </w:tc>
        <w:tc>
          <w:tcPr>
            <w:tcW w:w="1985" w:type="dxa"/>
            <w:tcBorders>
              <w:top w:val="nil"/>
              <w:left w:val="nil"/>
              <w:bottom w:val="single" w:sz="4" w:space="0" w:color="auto"/>
              <w:right w:val="single" w:sz="4" w:space="0" w:color="auto"/>
            </w:tcBorders>
            <w:shd w:val="clear" w:color="auto" w:fill="auto"/>
            <w:noWrap/>
            <w:vAlign w:val="bottom"/>
            <w:hideMark/>
          </w:tcPr>
          <w:p w14:paraId="32DC05B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360 000</w:t>
            </w:r>
          </w:p>
        </w:tc>
        <w:tc>
          <w:tcPr>
            <w:tcW w:w="1984" w:type="dxa"/>
            <w:tcBorders>
              <w:top w:val="nil"/>
              <w:left w:val="nil"/>
              <w:bottom w:val="single" w:sz="4" w:space="0" w:color="auto"/>
              <w:right w:val="single" w:sz="4" w:space="0" w:color="auto"/>
            </w:tcBorders>
            <w:shd w:val="clear" w:color="auto" w:fill="auto"/>
            <w:noWrap/>
            <w:vAlign w:val="bottom"/>
            <w:hideMark/>
          </w:tcPr>
          <w:p w14:paraId="3DD4C34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368 470</w:t>
            </w:r>
          </w:p>
        </w:tc>
        <w:tc>
          <w:tcPr>
            <w:tcW w:w="2127" w:type="dxa"/>
            <w:tcBorders>
              <w:top w:val="nil"/>
              <w:left w:val="nil"/>
              <w:bottom w:val="single" w:sz="4" w:space="0" w:color="auto"/>
              <w:right w:val="single" w:sz="4" w:space="0" w:color="auto"/>
            </w:tcBorders>
            <w:shd w:val="clear" w:color="auto" w:fill="auto"/>
            <w:noWrap/>
            <w:vAlign w:val="bottom"/>
            <w:hideMark/>
          </w:tcPr>
          <w:p w14:paraId="26546DA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-8 470</w:t>
            </w:r>
          </w:p>
        </w:tc>
      </w:tr>
      <w:tr w:rsidR="00F65567" w:rsidRPr="002A0876" w14:paraId="366CB903"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F42C18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54</w:t>
            </w:r>
          </w:p>
        </w:tc>
        <w:tc>
          <w:tcPr>
            <w:tcW w:w="6868" w:type="dxa"/>
            <w:tcBorders>
              <w:top w:val="nil"/>
              <w:left w:val="nil"/>
              <w:bottom w:val="single" w:sz="4" w:space="0" w:color="auto"/>
              <w:right w:val="single" w:sz="4" w:space="0" w:color="auto"/>
            </w:tcBorders>
            <w:shd w:val="clear" w:color="auto" w:fill="auto"/>
            <w:noWrap/>
            <w:vAlign w:val="bottom"/>
            <w:hideMark/>
          </w:tcPr>
          <w:p w14:paraId="1F08167E"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Austrumu klīniskā universitātes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1453923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208 288 142</w:t>
            </w:r>
          </w:p>
        </w:tc>
        <w:tc>
          <w:tcPr>
            <w:tcW w:w="1984" w:type="dxa"/>
            <w:tcBorders>
              <w:top w:val="nil"/>
              <w:left w:val="nil"/>
              <w:bottom w:val="single" w:sz="4" w:space="0" w:color="auto"/>
              <w:right w:val="single" w:sz="4" w:space="0" w:color="auto"/>
            </w:tcBorders>
            <w:shd w:val="clear" w:color="auto" w:fill="auto"/>
            <w:noWrap/>
            <w:vAlign w:val="bottom"/>
            <w:hideMark/>
          </w:tcPr>
          <w:p w14:paraId="651C91B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208 534 505</w:t>
            </w:r>
          </w:p>
        </w:tc>
        <w:tc>
          <w:tcPr>
            <w:tcW w:w="2127" w:type="dxa"/>
            <w:tcBorders>
              <w:top w:val="nil"/>
              <w:left w:val="nil"/>
              <w:bottom w:val="single" w:sz="4" w:space="0" w:color="auto"/>
              <w:right w:val="single" w:sz="4" w:space="0" w:color="auto"/>
            </w:tcBorders>
            <w:shd w:val="clear" w:color="auto" w:fill="auto"/>
            <w:noWrap/>
            <w:vAlign w:val="bottom"/>
            <w:hideMark/>
          </w:tcPr>
          <w:p w14:paraId="140F9FA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-246 363</w:t>
            </w:r>
          </w:p>
        </w:tc>
      </w:tr>
      <w:tr w:rsidR="00F65567" w:rsidRPr="002A0876" w14:paraId="365C7629"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4027EC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w:t>
            </w:r>
          </w:p>
        </w:tc>
        <w:tc>
          <w:tcPr>
            <w:tcW w:w="6868" w:type="dxa"/>
            <w:tcBorders>
              <w:top w:val="nil"/>
              <w:left w:val="nil"/>
              <w:bottom w:val="single" w:sz="4" w:space="0" w:color="auto"/>
              <w:right w:val="single" w:sz="4" w:space="0" w:color="auto"/>
            </w:tcBorders>
            <w:shd w:val="clear" w:color="auto" w:fill="auto"/>
            <w:noWrap/>
            <w:vAlign w:val="bottom"/>
            <w:hideMark/>
          </w:tcPr>
          <w:p w14:paraId="6EC69E90"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"Ceļu satiksmes drošības direkcija"</w:t>
            </w:r>
          </w:p>
        </w:tc>
        <w:tc>
          <w:tcPr>
            <w:tcW w:w="1985" w:type="dxa"/>
            <w:tcBorders>
              <w:top w:val="nil"/>
              <w:left w:val="nil"/>
              <w:bottom w:val="single" w:sz="4" w:space="0" w:color="auto"/>
              <w:right w:val="single" w:sz="4" w:space="0" w:color="auto"/>
            </w:tcBorders>
            <w:shd w:val="clear" w:color="auto" w:fill="auto"/>
            <w:noWrap/>
            <w:vAlign w:val="bottom"/>
            <w:hideMark/>
          </w:tcPr>
          <w:p w14:paraId="54BDE75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50 046 541</w:t>
            </w:r>
          </w:p>
        </w:tc>
        <w:tc>
          <w:tcPr>
            <w:tcW w:w="1984" w:type="dxa"/>
            <w:tcBorders>
              <w:top w:val="nil"/>
              <w:left w:val="nil"/>
              <w:bottom w:val="single" w:sz="4" w:space="0" w:color="auto"/>
              <w:right w:val="single" w:sz="4" w:space="0" w:color="auto"/>
            </w:tcBorders>
            <w:shd w:val="clear" w:color="auto" w:fill="auto"/>
            <w:noWrap/>
            <w:vAlign w:val="bottom"/>
            <w:hideMark/>
          </w:tcPr>
          <w:p w14:paraId="14608CC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48 405 265</w:t>
            </w:r>
          </w:p>
        </w:tc>
        <w:tc>
          <w:tcPr>
            <w:tcW w:w="2127" w:type="dxa"/>
            <w:tcBorders>
              <w:top w:val="nil"/>
              <w:left w:val="nil"/>
              <w:bottom w:val="single" w:sz="4" w:space="0" w:color="auto"/>
              <w:right w:val="single" w:sz="4" w:space="0" w:color="auto"/>
            </w:tcBorders>
            <w:shd w:val="clear" w:color="auto" w:fill="auto"/>
            <w:noWrap/>
            <w:vAlign w:val="bottom"/>
            <w:hideMark/>
          </w:tcPr>
          <w:p w14:paraId="5706AE6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1 641 276</w:t>
            </w:r>
          </w:p>
        </w:tc>
      </w:tr>
      <w:tr w:rsidR="00F65567" w:rsidRPr="002A0876" w14:paraId="22DC7339"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2DE23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56</w:t>
            </w:r>
          </w:p>
        </w:tc>
        <w:tc>
          <w:tcPr>
            <w:tcW w:w="6868" w:type="dxa"/>
            <w:tcBorders>
              <w:top w:val="nil"/>
              <w:left w:val="nil"/>
              <w:bottom w:val="single" w:sz="4" w:space="0" w:color="auto"/>
              <w:right w:val="single" w:sz="4" w:space="0" w:color="auto"/>
            </w:tcBorders>
            <w:shd w:val="clear" w:color="auto" w:fill="auto"/>
            <w:noWrap/>
            <w:vAlign w:val="bottom"/>
            <w:hideMark/>
          </w:tcPr>
          <w:p w14:paraId="3F4BC087"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"Strenču psihoneiroloģiskā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5825DA8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8 876 475</w:t>
            </w:r>
          </w:p>
        </w:tc>
        <w:tc>
          <w:tcPr>
            <w:tcW w:w="1984" w:type="dxa"/>
            <w:tcBorders>
              <w:top w:val="nil"/>
              <w:left w:val="nil"/>
              <w:bottom w:val="single" w:sz="4" w:space="0" w:color="auto"/>
              <w:right w:val="single" w:sz="4" w:space="0" w:color="auto"/>
            </w:tcBorders>
            <w:shd w:val="clear" w:color="auto" w:fill="auto"/>
            <w:noWrap/>
            <w:vAlign w:val="bottom"/>
            <w:hideMark/>
          </w:tcPr>
          <w:p w14:paraId="3F3C4A1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9 737 922</w:t>
            </w:r>
          </w:p>
        </w:tc>
        <w:tc>
          <w:tcPr>
            <w:tcW w:w="2127" w:type="dxa"/>
            <w:tcBorders>
              <w:top w:val="nil"/>
              <w:left w:val="nil"/>
              <w:bottom w:val="single" w:sz="4" w:space="0" w:color="auto"/>
              <w:right w:val="single" w:sz="4" w:space="0" w:color="auto"/>
            </w:tcBorders>
            <w:shd w:val="clear" w:color="auto" w:fill="auto"/>
            <w:noWrap/>
            <w:vAlign w:val="bottom"/>
            <w:hideMark/>
          </w:tcPr>
          <w:p w14:paraId="06F2921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-861 447</w:t>
            </w:r>
          </w:p>
        </w:tc>
      </w:tr>
      <w:tr w:rsidR="00F65567" w:rsidRPr="002A0876" w14:paraId="54E4AEE3"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E3D21E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57</w:t>
            </w:r>
          </w:p>
        </w:tc>
        <w:tc>
          <w:tcPr>
            <w:tcW w:w="6868" w:type="dxa"/>
            <w:tcBorders>
              <w:top w:val="nil"/>
              <w:left w:val="nil"/>
              <w:bottom w:val="single" w:sz="4" w:space="0" w:color="auto"/>
              <w:right w:val="single" w:sz="4" w:space="0" w:color="auto"/>
            </w:tcBorders>
            <w:shd w:val="clear" w:color="auto" w:fill="auto"/>
            <w:noWrap/>
            <w:vAlign w:val="bottom"/>
            <w:hideMark/>
          </w:tcPr>
          <w:p w14:paraId="0A499C38"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"Bērnu klīniskā universitātes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44FABDF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63 926 331</w:t>
            </w:r>
          </w:p>
        </w:tc>
        <w:tc>
          <w:tcPr>
            <w:tcW w:w="1984" w:type="dxa"/>
            <w:tcBorders>
              <w:top w:val="nil"/>
              <w:left w:val="nil"/>
              <w:bottom w:val="single" w:sz="4" w:space="0" w:color="auto"/>
              <w:right w:val="single" w:sz="4" w:space="0" w:color="auto"/>
            </w:tcBorders>
            <w:shd w:val="clear" w:color="auto" w:fill="auto"/>
            <w:noWrap/>
            <w:vAlign w:val="bottom"/>
            <w:hideMark/>
          </w:tcPr>
          <w:p w14:paraId="6256EB0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60 807 711</w:t>
            </w:r>
          </w:p>
        </w:tc>
        <w:tc>
          <w:tcPr>
            <w:tcW w:w="2127" w:type="dxa"/>
            <w:tcBorders>
              <w:top w:val="nil"/>
              <w:left w:val="nil"/>
              <w:bottom w:val="single" w:sz="4" w:space="0" w:color="auto"/>
              <w:right w:val="single" w:sz="4" w:space="0" w:color="auto"/>
            </w:tcBorders>
            <w:shd w:val="clear" w:color="auto" w:fill="auto"/>
            <w:noWrap/>
            <w:vAlign w:val="bottom"/>
            <w:hideMark/>
          </w:tcPr>
          <w:p w14:paraId="3B84134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3 118 620</w:t>
            </w:r>
          </w:p>
        </w:tc>
      </w:tr>
      <w:tr w:rsidR="00F65567" w:rsidRPr="002A0876" w14:paraId="5D625522"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4160C5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58</w:t>
            </w:r>
          </w:p>
        </w:tc>
        <w:tc>
          <w:tcPr>
            <w:tcW w:w="6868" w:type="dxa"/>
            <w:tcBorders>
              <w:top w:val="nil"/>
              <w:left w:val="nil"/>
              <w:bottom w:val="single" w:sz="4" w:space="0" w:color="auto"/>
              <w:right w:val="single" w:sz="4" w:space="0" w:color="auto"/>
            </w:tcBorders>
            <w:shd w:val="clear" w:color="auto" w:fill="auto"/>
            <w:noWrap/>
            <w:vAlign w:val="bottom"/>
            <w:hideMark/>
          </w:tcPr>
          <w:p w14:paraId="3CE513B8"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"Pasažieru vilciens"</w:t>
            </w:r>
          </w:p>
        </w:tc>
        <w:tc>
          <w:tcPr>
            <w:tcW w:w="1985" w:type="dxa"/>
            <w:tcBorders>
              <w:top w:val="nil"/>
              <w:left w:val="nil"/>
              <w:bottom w:val="single" w:sz="4" w:space="0" w:color="auto"/>
              <w:right w:val="single" w:sz="4" w:space="0" w:color="auto"/>
            </w:tcBorders>
            <w:shd w:val="clear" w:color="auto" w:fill="auto"/>
            <w:noWrap/>
            <w:vAlign w:val="bottom"/>
            <w:hideMark/>
          </w:tcPr>
          <w:p w14:paraId="3B323BB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42 681 706</w:t>
            </w:r>
          </w:p>
        </w:tc>
        <w:tc>
          <w:tcPr>
            <w:tcW w:w="1984" w:type="dxa"/>
            <w:tcBorders>
              <w:top w:val="nil"/>
              <w:left w:val="nil"/>
              <w:bottom w:val="single" w:sz="4" w:space="0" w:color="auto"/>
              <w:right w:val="single" w:sz="4" w:space="0" w:color="auto"/>
            </w:tcBorders>
            <w:shd w:val="clear" w:color="auto" w:fill="auto"/>
            <w:noWrap/>
            <w:vAlign w:val="bottom"/>
            <w:hideMark/>
          </w:tcPr>
          <w:p w14:paraId="11295BA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37 282 201</w:t>
            </w:r>
          </w:p>
        </w:tc>
        <w:tc>
          <w:tcPr>
            <w:tcW w:w="2127" w:type="dxa"/>
            <w:tcBorders>
              <w:top w:val="nil"/>
              <w:left w:val="nil"/>
              <w:bottom w:val="single" w:sz="4" w:space="0" w:color="auto"/>
              <w:right w:val="single" w:sz="4" w:space="0" w:color="auto"/>
            </w:tcBorders>
            <w:shd w:val="clear" w:color="auto" w:fill="auto"/>
            <w:noWrap/>
            <w:vAlign w:val="bottom"/>
            <w:hideMark/>
          </w:tcPr>
          <w:p w14:paraId="7AAD174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5 399 505</w:t>
            </w:r>
          </w:p>
        </w:tc>
      </w:tr>
      <w:tr w:rsidR="00F65567" w:rsidRPr="002A0876" w14:paraId="65AFCAC1"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068D37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59</w:t>
            </w:r>
          </w:p>
        </w:tc>
        <w:tc>
          <w:tcPr>
            <w:tcW w:w="6868" w:type="dxa"/>
            <w:tcBorders>
              <w:top w:val="nil"/>
              <w:left w:val="nil"/>
              <w:bottom w:val="single" w:sz="4" w:space="0" w:color="auto"/>
              <w:right w:val="single" w:sz="4" w:space="0" w:color="auto"/>
            </w:tcBorders>
            <w:shd w:val="clear" w:color="auto" w:fill="auto"/>
            <w:noWrap/>
            <w:vAlign w:val="bottom"/>
            <w:hideMark/>
          </w:tcPr>
          <w:p w14:paraId="70864FF4"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Nodibinājums "Akadēmiskās informācijas centrs"</w:t>
            </w:r>
          </w:p>
        </w:tc>
        <w:tc>
          <w:tcPr>
            <w:tcW w:w="1985" w:type="dxa"/>
            <w:tcBorders>
              <w:top w:val="nil"/>
              <w:left w:val="nil"/>
              <w:bottom w:val="single" w:sz="4" w:space="0" w:color="auto"/>
              <w:right w:val="single" w:sz="4" w:space="0" w:color="auto"/>
            </w:tcBorders>
            <w:shd w:val="clear" w:color="auto" w:fill="auto"/>
            <w:noWrap/>
            <w:vAlign w:val="bottom"/>
            <w:hideMark/>
          </w:tcPr>
          <w:p w14:paraId="6BB632E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287 495</w:t>
            </w:r>
          </w:p>
        </w:tc>
        <w:tc>
          <w:tcPr>
            <w:tcW w:w="1984" w:type="dxa"/>
            <w:tcBorders>
              <w:top w:val="nil"/>
              <w:left w:val="nil"/>
              <w:bottom w:val="single" w:sz="4" w:space="0" w:color="auto"/>
              <w:right w:val="single" w:sz="4" w:space="0" w:color="auto"/>
            </w:tcBorders>
            <w:shd w:val="clear" w:color="auto" w:fill="auto"/>
            <w:noWrap/>
            <w:vAlign w:val="bottom"/>
            <w:hideMark/>
          </w:tcPr>
          <w:p w14:paraId="47CBE47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476 897</w:t>
            </w:r>
          </w:p>
        </w:tc>
        <w:tc>
          <w:tcPr>
            <w:tcW w:w="2127" w:type="dxa"/>
            <w:tcBorders>
              <w:top w:val="nil"/>
              <w:left w:val="nil"/>
              <w:bottom w:val="single" w:sz="4" w:space="0" w:color="auto"/>
              <w:right w:val="single" w:sz="4" w:space="0" w:color="auto"/>
            </w:tcBorders>
            <w:shd w:val="clear" w:color="auto" w:fill="auto"/>
            <w:noWrap/>
            <w:vAlign w:val="bottom"/>
            <w:hideMark/>
          </w:tcPr>
          <w:p w14:paraId="7407AE1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-189 402</w:t>
            </w:r>
          </w:p>
        </w:tc>
      </w:tr>
      <w:tr w:rsidR="00F65567" w:rsidRPr="002A0876" w14:paraId="1E0FC480" w14:textId="77777777" w:rsidTr="00F65567">
        <w:trPr>
          <w:trHeight w:val="315"/>
        </w:trPr>
        <w:tc>
          <w:tcPr>
            <w:tcW w:w="1070" w:type="dxa"/>
            <w:tcBorders>
              <w:top w:val="nil"/>
              <w:left w:val="single" w:sz="4" w:space="0" w:color="auto"/>
              <w:bottom w:val="single" w:sz="4" w:space="0" w:color="auto"/>
              <w:right w:val="single" w:sz="4" w:space="0" w:color="auto"/>
            </w:tcBorders>
            <w:shd w:val="clear" w:color="000000" w:fill="DDEBF7"/>
            <w:noWrap/>
            <w:vAlign w:val="bottom"/>
            <w:hideMark/>
          </w:tcPr>
          <w:p w14:paraId="240232BE" w14:textId="77777777" w:rsidR="00F65567" w:rsidRPr="002A0876" w:rsidRDefault="00F65567" w:rsidP="00F65567">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S130300</w:t>
            </w:r>
          </w:p>
        </w:tc>
        <w:tc>
          <w:tcPr>
            <w:tcW w:w="6868" w:type="dxa"/>
            <w:tcBorders>
              <w:top w:val="nil"/>
              <w:left w:val="nil"/>
              <w:bottom w:val="single" w:sz="4" w:space="0" w:color="auto"/>
              <w:right w:val="single" w:sz="4" w:space="0" w:color="auto"/>
            </w:tcBorders>
            <w:shd w:val="clear" w:color="000000" w:fill="DDEBF7"/>
            <w:noWrap/>
            <w:vAlign w:val="bottom"/>
            <w:hideMark/>
          </w:tcPr>
          <w:p w14:paraId="03617AB2"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Pašvaldības struktūru kontrolētas un finansētas komercsabiedrības</w:t>
            </w:r>
          </w:p>
        </w:tc>
        <w:tc>
          <w:tcPr>
            <w:tcW w:w="1985" w:type="dxa"/>
            <w:tcBorders>
              <w:top w:val="nil"/>
              <w:left w:val="nil"/>
              <w:bottom w:val="single" w:sz="4" w:space="0" w:color="auto"/>
              <w:right w:val="single" w:sz="4" w:space="0" w:color="auto"/>
            </w:tcBorders>
            <w:shd w:val="clear" w:color="000000" w:fill="DDEBF7"/>
            <w:noWrap/>
            <w:vAlign w:val="bottom"/>
            <w:hideMark/>
          </w:tcPr>
          <w:p w14:paraId="4DAC9FB5"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000000" w:fill="DDEBF7"/>
            <w:noWrap/>
            <w:vAlign w:val="bottom"/>
            <w:hideMark/>
          </w:tcPr>
          <w:p w14:paraId="7277C090"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2127" w:type="dxa"/>
            <w:tcBorders>
              <w:top w:val="nil"/>
              <w:left w:val="nil"/>
              <w:bottom w:val="single" w:sz="4" w:space="0" w:color="auto"/>
              <w:right w:val="single" w:sz="4" w:space="0" w:color="auto"/>
            </w:tcBorders>
            <w:shd w:val="clear" w:color="000000" w:fill="DDEBF7"/>
            <w:noWrap/>
            <w:vAlign w:val="bottom"/>
            <w:hideMark/>
          </w:tcPr>
          <w:p w14:paraId="77233E09"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F65567" w:rsidRPr="002A0876" w14:paraId="3A07365D"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DF2254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61</w:t>
            </w:r>
          </w:p>
        </w:tc>
        <w:tc>
          <w:tcPr>
            <w:tcW w:w="6868" w:type="dxa"/>
            <w:tcBorders>
              <w:top w:val="nil"/>
              <w:left w:val="nil"/>
              <w:bottom w:val="single" w:sz="4" w:space="0" w:color="auto"/>
              <w:right w:val="single" w:sz="4" w:space="0" w:color="auto"/>
            </w:tcBorders>
            <w:shd w:val="clear" w:color="auto" w:fill="auto"/>
            <w:noWrap/>
            <w:vAlign w:val="bottom"/>
            <w:hideMark/>
          </w:tcPr>
          <w:p w14:paraId="2D8C4F1C"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"Vidzemes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7AC3C1D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20 133 195</w:t>
            </w:r>
          </w:p>
        </w:tc>
        <w:tc>
          <w:tcPr>
            <w:tcW w:w="1984" w:type="dxa"/>
            <w:tcBorders>
              <w:top w:val="nil"/>
              <w:left w:val="nil"/>
              <w:bottom w:val="single" w:sz="4" w:space="0" w:color="auto"/>
              <w:right w:val="single" w:sz="4" w:space="0" w:color="auto"/>
            </w:tcBorders>
            <w:shd w:val="clear" w:color="auto" w:fill="auto"/>
            <w:noWrap/>
            <w:vAlign w:val="bottom"/>
            <w:hideMark/>
          </w:tcPr>
          <w:p w14:paraId="42F0E2D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19 934 828</w:t>
            </w:r>
          </w:p>
        </w:tc>
        <w:tc>
          <w:tcPr>
            <w:tcW w:w="2127" w:type="dxa"/>
            <w:tcBorders>
              <w:top w:val="nil"/>
              <w:left w:val="nil"/>
              <w:bottom w:val="single" w:sz="4" w:space="0" w:color="auto"/>
              <w:right w:val="single" w:sz="4" w:space="0" w:color="auto"/>
            </w:tcBorders>
            <w:shd w:val="clear" w:color="auto" w:fill="auto"/>
            <w:noWrap/>
            <w:vAlign w:val="bottom"/>
            <w:hideMark/>
          </w:tcPr>
          <w:p w14:paraId="2E3B751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198 368</w:t>
            </w:r>
          </w:p>
        </w:tc>
      </w:tr>
      <w:tr w:rsidR="00F65567" w:rsidRPr="002A0876" w14:paraId="4E1DBB48"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1BD6D2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62</w:t>
            </w:r>
          </w:p>
        </w:tc>
        <w:tc>
          <w:tcPr>
            <w:tcW w:w="6868" w:type="dxa"/>
            <w:tcBorders>
              <w:top w:val="nil"/>
              <w:left w:val="nil"/>
              <w:bottom w:val="single" w:sz="4" w:space="0" w:color="auto"/>
              <w:right w:val="single" w:sz="4" w:space="0" w:color="auto"/>
            </w:tcBorders>
            <w:shd w:val="clear" w:color="auto" w:fill="auto"/>
            <w:noWrap/>
            <w:vAlign w:val="bottom"/>
            <w:hideMark/>
          </w:tcPr>
          <w:p w14:paraId="1B11ED3B"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"Dobeles un apkārtnes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19C6A56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655 840</w:t>
            </w:r>
          </w:p>
        </w:tc>
        <w:tc>
          <w:tcPr>
            <w:tcW w:w="1984" w:type="dxa"/>
            <w:tcBorders>
              <w:top w:val="nil"/>
              <w:left w:val="nil"/>
              <w:bottom w:val="single" w:sz="4" w:space="0" w:color="auto"/>
              <w:right w:val="single" w:sz="4" w:space="0" w:color="auto"/>
            </w:tcBorders>
            <w:shd w:val="clear" w:color="auto" w:fill="auto"/>
            <w:noWrap/>
            <w:vAlign w:val="bottom"/>
            <w:hideMark/>
          </w:tcPr>
          <w:p w14:paraId="74C470B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549 090</w:t>
            </w:r>
          </w:p>
        </w:tc>
        <w:tc>
          <w:tcPr>
            <w:tcW w:w="2127" w:type="dxa"/>
            <w:tcBorders>
              <w:top w:val="nil"/>
              <w:left w:val="nil"/>
              <w:bottom w:val="single" w:sz="4" w:space="0" w:color="auto"/>
              <w:right w:val="single" w:sz="4" w:space="0" w:color="auto"/>
            </w:tcBorders>
            <w:shd w:val="clear" w:color="auto" w:fill="auto"/>
            <w:noWrap/>
            <w:vAlign w:val="bottom"/>
            <w:hideMark/>
          </w:tcPr>
          <w:p w14:paraId="2F2589A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106 750</w:t>
            </w:r>
          </w:p>
        </w:tc>
      </w:tr>
      <w:tr w:rsidR="00F65567" w:rsidRPr="002A0876" w14:paraId="58726F1B"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5A6922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63</w:t>
            </w:r>
          </w:p>
        </w:tc>
        <w:tc>
          <w:tcPr>
            <w:tcW w:w="6868" w:type="dxa"/>
            <w:tcBorders>
              <w:top w:val="nil"/>
              <w:left w:val="nil"/>
              <w:bottom w:val="single" w:sz="4" w:space="0" w:color="auto"/>
              <w:right w:val="single" w:sz="4" w:space="0" w:color="auto"/>
            </w:tcBorders>
            <w:shd w:val="clear" w:color="auto" w:fill="auto"/>
            <w:noWrap/>
            <w:vAlign w:val="bottom"/>
            <w:hideMark/>
          </w:tcPr>
          <w:p w14:paraId="424273BB"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"Cēsu klīnika"</w:t>
            </w:r>
          </w:p>
        </w:tc>
        <w:tc>
          <w:tcPr>
            <w:tcW w:w="1985" w:type="dxa"/>
            <w:tcBorders>
              <w:top w:val="nil"/>
              <w:left w:val="nil"/>
              <w:bottom w:val="single" w:sz="4" w:space="0" w:color="auto"/>
              <w:right w:val="single" w:sz="4" w:space="0" w:color="auto"/>
            </w:tcBorders>
            <w:shd w:val="clear" w:color="auto" w:fill="auto"/>
            <w:noWrap/>
            <w:vAlign w:val="bottom"/>
            <w:hideMark/>
          </w:tcPr>
          <w:p w14:paraId="0A5EAD4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8 174 775</w:t>
            </w:r>
          </w:p>
        </w:tc>
        <w:tc>
          <w:tcPr>
            <w:tcW w:w="1984" w:type="dxa"/>
            <w:tcBorders>
              <w:top w:val="nil"/>
              <w:left w:val="nil"/>
              <w:bottom w:val="single" w:sz="4" w:space="0" w:color="auto"/>
              <w:right w:val="single" w:sz="4" w:space="0" w:color="auto"/>
            </w:tcBorders>
            <w:shd w:val="clear" w:color="auto" w:fill="auto"/>
            <w:noWrap/>
            <w:vAlign w:val="bottom"/>
            <w:hideMark/>
          </w:tcPr>
          <w:p w14:paraId="6D2AE05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9 246 862</w:t>
            </w:r>
          </w:p>
        </w:tc>
        <w:tc>
          <w:tcPr>
            <w:tcW w:w="2127" w:type="dxa"/>
            <w:tcBorders>
              <w:top w:val="nil"/>
              <w:left w:val="nil"/>
              <w:bottom w:val="single" w:sz="4" w:space="0" w:color="auto"/>
              <w:right w:val="single" w:sz="4" w:space="0" w:color="auto"/>
            </w:tcBorders>
            <w:shd w:val="clear" w:color="auto" w:fill="auto"/>
            <w:noWrap/>
            <w:vAlign w:val="bottom"/>
            <w:hideMark/>
          </w:tcPr>
          <w:p w14:paraId="20EDA8D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-1 072 087</w:t>
            </w:r>
          </w:p>
        </w:tc>
      </w:tr>
      <w:tr w:rsidR="00F65567" w:rsidRPr="002A0876" w14:paraId="760FD0B7"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91D517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64</w:t>
            </w:r>
          </w:p>
        </w:tc>
        <w:tc>
          <w:tcPr>
            <w:tcW w:w="6868" w:type="dxa"/>
            <w:tcBorders>
              <w:top w:val="nil"/>
              <w:left w:val="nil"/>
              <w:bottom w:val="single" w:sz="4" w:space="0" w:color="auto"/>
              <w:right w:val="single" w:sz="4" w:space="0" w:color="auto"/>
            </w:tcBorders>
            <w:shd w:val="clear" w:color="auto" w:fill="auto"/>
            <w:noWrap/>
            <w:vAlign w:val="bottom"/>
            <w:hideMark/>
          </w:tcPr>
          <w:p w14:paraId="34CA7F2C"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"Madonas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577D7F0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8 650 000</w:t>
            </w:r>
          </w:p>
        </w:tc>
        <w:tc>
          <w:tcPr>
            <w:tcW w:w="1984" w:type="dxa"/>
            <w:tcBorders>
              <w:top w:val="nil"/>
              <w:left w:val="nil"/>
              <w:bottom w:val="single" w:sz="4" w:space="0" w:color="auto"/>
              <w:right w:val="single" w:sz="4" w:space="0" w:color="auto"/>
            </w:tcBorders>
            <w:shd w:val="clear" w:color="auto" w:fill="auto"/>
            <w:noWrap/>
            <w:vAlign w:val="bottom"/>
            <w:hideMark/>
          </w:tcPr>
          <w:p w14:paraId="047EB9F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8 585 000</w:t>
            </w:r>
          </w:p>
        </w:tc>
        <w:tc>
          <w:tcPr>
            <w:tcW w:w="2127" w:type="dxa"/>
            <w:tcBorders>
              <w:top w:val="nil"/>
              <w:left w:val="nil"/>
              <w:bottom w:val="single" w:sz="4" w:space="0" w:color="auto"/>
              <w:right w:val="single" w:sz="4" w:space="0" w:color="auto"/>
            </w:tcBorders>
            <w:shd w:val="clear" w:color="auto" w:fill="auto"/>
            <w:noWrap/>
            <w:vAlign w:val="bottom"/>
            <w:hideMark/>
          </w:tcPr>
          <w:p w14:paraId="0CB0CF5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65 000</w:t>
            </w:r>
          </w:p>
        </w:tc>
      </w:tr>
      <w:tr w:rsidR="00F65567" w:rsidRPr="002A0876" w14:paraId="3244D95C"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C6E39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65</w:t>
            </w:r>
          </w:p>
        </w:tc>
        <w:tc>
          <w:tcPr>
            <w:tcW w:w="6868" w:type="dxa"/>
            <w:tcBorders>
              <w:top w:val="nil"/>
              <w:left w:val="nil"/>
              <w:bottom w:val="single" w:sz="4" w:space="0" w:color="auto"/>
              <w:right w:val="single" w:sz="4" w:space="0" w:color="auto"/>
            </w:tcBorders>
            <w:shd w:val="clear" w:color="auto" w:fill="auto"/>
            <w:noWrap/>
            <w:vAlign w:val="bottom"/>
            <w:hideMark/>
          </w:tcPr>
          <w:p w14:paraId="0415A293"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“Ogres rajona slimnīca”</w:t>
            </w:r>
          </w:p>
        </w:tc>
        <w:tc>
          <w:tcPr>
            <w:tcW w:w="1985" w:type="dxa"/>
            <w:tcBorders>
              <w:top w:val="nil"/>
              <w:left w:val="nil"/>
              <w:bottom w:val="single" w:sz="4" w:space="0" w:color="auto"/>
              <w:right w:val="single" w:sz="4" w:space="0" w:color="auto"/>
            </w:tcBorders>
            <w:shd w:val="clear" w:color="auto" w:fill="auto"/>
            <w:noWrap/>
            <w:vAlign w:val="bottom"/>
            <w:hideMark/>
          </w:tcPr>
          <w:p w14:paraId="4D0A93E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10 873 814</w:t>
            </w:r>
          </w:p>
        </w:tc>
        <w:tc>
          <w:tcPr>
            <w:tcW w:w="1984" w:type="dxa"/>
            <w:tcBorders>
              <w:top w:val="nil"/>
              <w:left w:val="nil"/>
              <w:bottom w:val="single" w:sz="4" w:space="0" w:color="auto"/>
              <w:right w:val="single" w:sz="4" w:space="0" w:color="auto"/>
            </w:tcBorders>
            <w:shd w:val="clear" w:color="auto" w:fill="auto"/>
            <w:noWrap/>
            <w:vAlign w:val="bottom"/>
            <w:hideMark/>
          </w:tcPr>
          <w:p w14:paraId="29D8EF1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10 776 199</w:t>
            </w:r>
          </w:p>
        </w:tc>
        <w:tc>
          <w:tcPr>
            <w:tcW w:w="2127" w:type="dxa"/>
            <w:tcBorders>
              <w:top w:val="nil"/>
              <w:left w:val="nil"/>
              <w:bottom w:val="single" w:sz="4" w:space="0" w:color="auto"/>
              <w:right w:val="single" w:sz="4" w:space="0" w:color="auto"/>
            </w:tcBorders>
            <w:shd w:val="clear" w:color="auto" w:fill="auto"/>
            <w:noWrap/>
            <w:vAlign w:val="bottom"/>
            <w:hideMark/>
          </w:tcPr>
          <w:p w14:paraId="02592DF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97 615</w:t>
            </w:r>
          </w:p>
        </w:tc>
      </w:tr>
      <w:tr w:rsidR="00F65567" w:rsidRPr="002A0876" w14:paraId="5CD282A4"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653719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66</w:t>
            </w:r>
          </w:p>
        </w:tc>
        <w:tc>
          <w:tcPr>
            <w:tcW w:w="6868" w:type="dxa"/>
            <w:tcBorders>
              <w:top w:val="nil"/>
              <w:left w:val="nil"/>
              <w:bottom w:val="single" w:sz="4" w:space="0" w:color="auto"/>
              <w:right w:val="single" w:sz="4" w:space="0" w:color="auto"/>
            </w:tcBorders>
            <w:shd w:val="clear" w:color="auto" w:fill="auto"/>
            <w:noWrap/>
            <w:vAlign w:val="bottom"/>
            <w:hideMark/>
          </w:tcPr>
          <w:p w14:paraId="1A39B687"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"Rēzeknes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31C188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17 000 000</w:t>
            </w:r>
          </w:p>
        </w:tc>
        <w:tc>
          <w:tcPr>
            <w:tcW w:w="1984" w:type="dxa"/>
            <w:tcBorders>
              <w:top w:val="nil"/>
              <w:left w:val="nil"/>
              <w:bottom w:val="single" w:sz="4" w:space="0" w:color="auto"/>
              <w:right w:val="single" w:sz="4" w:space="0" w:color="auto"/>
            </w:tcBorders>
            <w:shd w:val="clear" w:color="auto" w:fill="auto"/>
            <w:noWrap/>
            <w:vAlign w:val="bottom"/>
            <w:hideMark/>
          </w:tcPr>
          <w:p w14:paraId="57E5074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16 772 000</w:t>
            </w:r>
          </w:p>
        </w:tc>
        <w:tc>
          <w:tcPr>
            <w:tcW w:w="2127" w:type="dxa"/>
            <w:tcBorders>
              <w:top w:val="nil"/>
              <w:left w:val="nil"/>
              <w:bottom w:val="single" w:sz="4" w:space="0" w:color="auto"/>
              <w:right w:val="single" w:sz="4" w:space="0" w:color="auto"/>
            </w:tcBorders>
            <w:shd w:val="clear" w:color="auto" w:fill="auto"/>
            <w:noWrap/>
            <w:vAlign w:val="bottom"/>
            <w:hideMark/>
          </w:tcPr>
          <w:p w14:paraId="0855C0C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228 000</w:t>
            </w:r>
          </w:p>
        </w:tc>
      </w:tr>
      <w:tr w:rsidR="00F65567" w:rsidRPr="002A0876" w14:paraId="3E1635AF"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2EAA55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67</w:t>
            </w:r>
          </w:p>
        </w:tc>
        <w:tc>
          <w:tcPr>
            <w:tcW w:w="6868" w:type="dxa"/>
            <w:tcBorders>
              <w:top w:val="nil"/>
              <w:left w:val="nil"/>
              <w:bottom w:val="single" w:sz="4" w:space="0" w:color="auto"/>
              <w:right w:val="single" w:sz="4" w:space="0" w:color="auto"/>
            </w:tcBorders>
            <w:shd w:val="clear" w:color="auto" w:fill="auto"/>
            <w:noWrap/>
            <w:vAlign w:val="bottom"/>
            <w:hideMark/>
          </w:tcPr>
          <w:p w14:paraId="4ED5092A"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"Rēzeknes Satiksme"</w:t>
            </w:r>
          </w:p>
        </w:tc>
        <w:tc>
          <w:tcPr>
            <w:tcW w:w="1985" w:type="dxa"/>
            <w:tcBorders>
              <w:top w:val="nil"/>
              <w:left w:val="nil"/>
              <w:bottom w:val="single" w:sz="4" w:space="0" w:color="auto"/>
              <w:right w:val="single" w:sz="4" w:space="0" w:color="auto"/>
            </w:tcBorders>
            <w:shd w:val="clear" w:color="auto" w:fill="auto"/>
            <w:noWrap/>
            <w:vAlign w:val="bottom"/>
            <w:hideMark/>
          </w:tcPr>
          <w:p w14:paraId="5DCD69F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2 314 382</w:t>
            </w:r>
          </w:p>
        </w:tc>
        <w:tc>
          <w:tcPr>
            <w:tcW w:w="1984" w:type="dxa"/>
            <w:tcBorders>
              <w:top w:val="nil"/>
              <w:left w:val="nil"/>
              <w:bottom w:val="single" w:sz="4" w:space="0" w:color="auto"/>
              <w:right w:val="single" w:sz="4" w:space="0" w:color="auto"/>
            </w:tcBorders>
            <w:shd w:val="clear" w:color="auto" w:fill="auto"/>
            <w:noWrap/>
            <w:vAlign w:val="bottom"/>
            <w:hideMark/>
          </w:tcPr>
          <w:p w14:paraId="2C66530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1 971 130</w:t>
            </w:r>
          </w:p>
        </w:tc>
        <w:tc>
          <w:tcPr>
            <w:tcW w:w="2127" w:type="dxa"/>
            <w:tcBorders>
              <w:top w:val="nil"/>
              <w:left w:val="nil"/>
              <w:bottom w:val="single" w:sz="4" w:space="0" w:color="auto"/>
              <w:right w:val="single" w:sz="4" w:space="0" w:color="auto"/>
            </w:tcBorders>
            <w:shd w:val="clear" w:color="auto" w:fill="auto"/>
            <w:noWrap/>
            <w:vAlign w:val="bottom"/>
            <w:hideMark/>
          </w:tcPr>
          <w:p w14:paraId="6C8B7BB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343 252</w:t>
            </w:r>
          </w:p>
        </w:tc>
      </w:tr>
      <w:tr w:rsidR="00F65567" w:rsidRPr="002A0876" w14:paraId="6330F230" w14:textId="77777777" w:rsidTr="002A0876">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5164D8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68</w:t>
            </w:r>
          </w:p>
        </w:tc>
        <w:tc>
          <w:tcPr>
            <w:tcW w:w="6868" w:type="dxa"/>
            <w:tcBorders>
              <w:top w:val="nil"/>
              <w:left w:val="nil"/>
              <w:bottom w:val="single" w:sz="4" w:space="0" w:color="auto"/>
              <w:right w:val="single" w:sz="4" w:space="0" w:color="auto"/>
            </w:tcBorders>
            <w:shd w:val="clear" w:color="auto" w:fill="auto"/>
            <w:noWrap/>
            <w:vAlign w:val="bottom"/>
            <w:hideMark/>
          </w:tcPr>
          <w:p w14:paraId="73A8C413"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"Ziemeļkurzemes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2C77085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17 517 133</w:t>
            </w:r>
          </w:p>
        </w:tc>
        <w:tc>
          <w:tcPr>
            <w:tcW w:w="1984" w:type="dxa"/>
            <w:tcBorders>
              <w:top w:val="nil"/>
              <w:left w:val="nil"/>
              <w:bottom w:val="single" w:sz="4" w:space="0" w:color="auto"/>
              <w:right w:val="single" w:sz="4" w:space="0" w:color="auto"/>
            </w:tcBorders>
            <w:shd w:val="clear" w:color="auto" w:fill="auto"/>
            <w:noWrap/>
            <w:vAlign w:val="bottom"/>
            <w:hideMark/>
          </w:tcPr>
          <w:p w14:paraId="6D869ED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17 471 681</w:t>
            </w:r>
          </w:p>
        </w:tc>
        <w:tc>
          <w:tcPr>
            <w:tcW w:w="2127" w:type="dxa"/>
            <w:tcBorders>
              <w:top w:val="nil"/>
              <w:left w:val="nil"/>
              <w:bottom w:val="single" w:sz="4" w:space="0" w:color="auto"/>
              <w:right w:val="single" w:sz="4" w:space="0" w:color="auto"/>
            </w:tcBorders>
            <w:shd w:val="clear" w:color="auto" w:fill="auto"/>
            <w:noWrap/>
            <w:vAlign w:val="bottom"/>
            <w:hideMark/>
          </w:tcPr>
          <w:p w14:paraId="60882CF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45 452</w:t>
            </w:r>
          </w:p>
        </w:tc>
      </w:tr>
      <w:tr w:rsidR="00F65567" w:rsidRPr="002A0876" w14:paraId="167682D7" w14:textId="77777777" w:rsidTr="002A0876">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8171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69</w:t>
            </w:r>
          </w:p>
        </w:tc>
        <w:tc>
          <w:tcPr>
            <w:tcW w:w="6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9DC25"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"Olimpiskais centrs "Ventspils""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F195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2 088 252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AC96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2 117 747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EA11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-29 495</w:t>
            </w:r>
          </w:p>
        </w:tc>
      </w:tr>
      <w:tr w:rsidR="00F65567" w:rsidRPr="002A0876" w14:paraId="4AC27D18" w14:textId="77777777" w:rsidTr="006C7EFD">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62E4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70</w:t>
            </w:r>
          </w:p>
        </w:tc>
        <w:tc>
          <w:tcPr>
            <w:tcW w:w="6868" w:type="dxa"/>
            <w:tcBorders>
              <w:top w:val="single" w:sz="4" w:space="0" w:color="auto"/>
              <w:left w:val="nil"/>
              <w:bottom w:val="single" w:sz="4" w:space="0" w:color="auto"/>
              <w:right w:val="single" w:sz="4" w:space="0" w:color="auto"/>
            </w:tcBorders>
            <w:shd w:val="clear" w:color="auto" w:fill="auto"/>
            <w:noWrap/>
            <w:vAlign w:val="bottom"/>
            <w:hideMark/>
          </w:tcPr>
          <w:p w14:paraId="45AA07CD"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"Jūrmalas slimnīca"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FA0B2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8 929 201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18BB70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9 413 689</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47F9872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-484 488</w:t>
            </w:r>
          </w:p>
        </w:tc>
      </w:tr>
      <w:tr w:rsidR="00F65567" w:rsidRPr="002A0876" w14:paraId="4E954394" w14:textId="77777777" w:rsidTr="006C7EFD">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5D5B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71</w:t>
            </w:r>
          </w:p>
        </w:tc>
        <w:tc>
          <w:tcPr>
            <w:tcW w:w="6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498B5"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Nodibinājums "Rīgas Tūrisma Attīstības Birojs"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33FA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3 352 887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CDA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3 298 000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588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54 887</w:t>
            </w:r>
          </w:p>
        </w:tc>
      </w:tr>
      <w:tr w:rsidR="00F65567" w:rsidRPr="002A0876" w14:paraId="3571BAF1" w14:textId="77777777" w:rsidTr="006C7EFD">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E6D5D"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72</w:t>
            </w:r>
          </w:p>
        </w:tc>
        <w:tc>
          <w:tcPr>
            <w:tcW w:w="6868" w:type="dxa"/>
            <w:tcBorders>
              <w:top w:val="single" w:sz="4" w:space="0" w:color="auto"/>
              <w:left w:val="nil"/>
              <w:bottom w:val="single" w:sz="4" w:space="0" w:color="auto"/>
              <w:right w:val="single" w:sz="4" w:space="0" w:color="auto"/>
            </w:tcBorders>
            <w:shd w:val="clear" w:color="auto" w:fill="auto"/>
            <w:noWrap/>
            <w:vAlign w:val="bottom"/>
            <w:hideMark/>
          </w:tcPr>
          <w:p w14:paraId="0EC67882"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SIA "Rīgas 2. slimnīca"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09C00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7 615 459</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418E49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7 615 459</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A05A40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F65567" w:rsidRPr="002A0876" w14:paraId="1A873B12"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71D7DB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73</w:t>
            </w:r>
          </w:p>
        </w:tc>
        <w:tc>
          <w:tcPr>
            <w:tcW w:w="6868" w:type="dxa"/>
            <w:tcBorders>
              <w:top w:val="nil"/>
              <w:left w:val="nil"/>
              <w:bottom w:val="single" w:sz="4" w:space="0" w:color="auto"/>
              <w:right w:val="single" w:sz="4" w:space="0" w:color="auto"/>
            </w:tcBorders>
            <w:shd w:val="clear" w:color="auto" w:fill="auto"/>
            <w:noWrap/>
            <w:vAlign w:val="bottom"/>
            <w:hideMark/>
          </w:tcPr>
          <w:p w14:paraId="716C272C"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"Jelgavas pilsētas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5D27B97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13 955 813</w:t>
            </w:r>
          </w:p>
        </w:tc>
        <w:tc>
          <w:tcPr>
            <w:tcW w:w="1984" w:type="dxa"/>
            <w:tcBorders>
              <w:top w:val="nil"/>
              <w:left w:val="nil"/>
              <w:bottom w:val="single" w:sz="4" w:space="0" w:color="auto"/>
              <w:right w:val="single" w:sz="4" w:space="0" w:color="auto"/>
            </w:tcBorders>
            <w:shd w:val="clear" w:color="auto" w:fill="auto"/>
            <w:noWrap/>
            <w:vAlign w:val="bottom"/>
            <w:hideMark/>
          </w:tcPr>
          <w:p w14:paraId="58022AF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14 716 407</w:t>
            </w:r>
          </w:p>
        </w:tc>
        <w:tc>
          <w:tcPr>
            <w:tcW w:w="2127" w:type="dxa"/>
            <w:tcBorders>
              <w:top w:val="nil"/>
              <w:left w:val="nil"/>
              <w:bottom w:val="single" w:sz="4" w:space="0" w:color="auto"/>
              <w:right w:val="single" w:sz="4" w:space="0" w:color="auto"/>
            </w:tcBorders>
            <w:shd w:val="clear" w:color="auto" w:fill="auto"/>
            <w:noWrap/>
            <w:vAlign w:val="bottom"/>
            <w:hideMark/>
          </w:tcPr>
          <w:p w14:paraId="663857A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-760 594</w:t>
            </w:r>
          </w:p>
        </w:tc>
      </w:tr>
      <w:tr w:rsidR="00F65567" w:rsidRPr="002A0876" w14:paraId="203C4A1D"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0F1EB1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74</w:t>
            </w:r>
          </w:p>
        </w:tc>
        <w:tc>
          <w:tcPr>
            <w:tcW w:w="6868" w:type="dxa"/>
            <w:tcBorders>
              <w:top w:val="nil"/>
              <w:left w:val="nil"/>
              <w:bottom w:val="single" w:sz="4" w:space="0" w:color="auto"/>
              <w:right w:val="single" w:sz="4" w:space="0" w:color="auto"/>
            </w:tcBorders>
            <w:shd w:val="clear" w:color="auto" w:fill="auto"/>
            <w:noWrap/>
            <w:vAlign w:val="bottom"/>
            <w:hideMark/>
          </w:tcPr>
          <w:p w14:paraId="6BD5C5F9"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1.slimnīca"</w:t>
            </w:r>
          </w:p>
        </w:tc>
        <w:tc>
          <w:tcPr>
            <w:tcW w:w="1985" w:type="dxa"/>
            <w:tcBorders>
              <w:top w:val="nil"/>
              <w:left w:val="nil"/>
              <w:bottom w:val="single" w:sz="4" w:space="0" w:color="auto"/>
              <w:right w:val="single" w:sz="4" w:space="0" w:color="auto"/>
            </w:tcBorders>
            <w:shd w:val="clear" w:color="auto" w:fill="auto"/>
            <w:noWrap/>
            <w:vAlign w:val="bottom"/>
            <w:hideMark/>
          </w:tcPr>
          <w:p w14:paraId="0318C6C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17 627 495</w:t>
            </w:r>
          </w:p>
        </w:tc>
        <w:tc>
          <w:tcPr>
            <w:tcW w:w="1984" w:type="dxa"/>
            <w:tcBorders>
              <w:top w:val="nil"/>
              <w:left w:val="nil"/>
              <w:bottom w:val="single" w:sz="4" w:space="0" w:color="auto"/>
              <w:right w:val="single" w:sz="4" w:space="0" w:color="auto"/>
            </w:tcBorders>
            <w:shd w:val="clear" w:color="auto" w:fill="auto"/>
            <w:noWrap/>
            <w:vAlign w:val="bottom"/>
            <w:hideMark/>
          </w:tcPr>
          <w:p w14:paraId="688DF07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17 363 647</w:t>
            </w:r>
          </w:p>
        </w:tc>
        <w:tc>
          <w:tcPr>
            <w:tcW w:w="2127" w:type="dxa"/>
            <w:tcBorders>
              <w:top w:val="nil"/>
              <w:left w:val="nil"/>
              <w:bottom w:val="single" w:sz="4" w:space="0" w:color="auto"/>
              <w:right w:val="single" w:sz="4" w:space="0" w:color="auto"/>
            </w:tcBorders>
            <w:shd w:val="clear" w:color="auto" w:fill="auto"/>
            <w:noWrap/>
            <w:vAlign w:val="bottom"/>
            <w:hideMark/>
          </w:tcPr>
          <w:p w14:paraId="285000D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263 848</w:t>
            </w:r>
          </w:p>
        </w:tc>
      </w:tr>
      <w:tr w:rsidR="00F65567" w:rsidRPr="002A0876" w14:paraId="5D5FE51C"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3F3FB8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75</w:t>
            </w:r>
          </w:p>
        </w:tc>
        <w:tc>
          <w:tcPr>
            <w:tcW w:w="6868" w:type="dxa"/>
            <w:tcBorders>
              <w:top w:val="nil"/>
              <w:left w:val="nil"/>
              <w:bottom w:val="single" w:sz="4" w:space="0" w:color="auto"/>
              <w:right w:val="single" w:sz="4" w:space="0" w:color="auto"/>
            </w:tcBorders>
            <w:shd w:val="clear" w:color="auto" w:fill="auto"/>
            <w:noWrap/>
            <w:vAlign w:val="bottom"/>
            <w:hideMark/>
          </w:tcPr>
          <w:p w14:paraId="0204237D"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Dzemdību nams"</w:t>
            </w:r>
          </w:p>
        </w:tc>
        <w:tc>
          <w:tcPr>
            <w:tcW w:w="1985" w:type="dxa"/>
            <w:tcBorders>
              <w:top w:val="nil"/>
              <w:left w:val="nil"/>
              <w:bottom w:val="single" w:sz="4" w:space="0" w:color="auto"/>
              <w:right w:val="single" w:sz="4" w:space="0" w:color="auto"/>
            </w:tcBorders>
            <w:shd w:val="clear" w:color="auto" w:fill="auto"/>
            <w:noWrap/>
            <w:vAlign w:val="bottom"/>
            <w:hideMark/>
          </w:tcPr>
          <w:p w14:paraId="73D2188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11 385 000</w:t>
            </w:r>
          </w:p>
        </w:tc>
        <w:tc>
          <w:tcPr>
            <w:tcW w:w="1984" w:type="dxa"/>
            <w:tcBorders>
              <w:top w:val="nil"/>
              <w:left w:val="nil"/>
              <w:bottom w:val="single" w:sz="4" w:space="0" w:color="auto"/>
              <w:right w:val="single" w:sz="4" w:space="0" w:color="auto"/>
            </w:tcBorders>
            <w:shd w:val="clear" w:color="auto" w:fill="auto"/>
            <w:noWrap/>
            <w:vAlign w:val="bottom"/>
            <w:hideMark/>
          </w:tcPr>
          <w:p w14:paraId="5E049E2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11 345 263</w:t>
            </w:r>
          </w:p>
        </w:tc>
        <w:tc>
          <w:tcPr>
            <w:tcW w:w="2127" w:type="dxa"/>
            <w:tcBorders>
              <w:top w:val="nil"/>
              <w:left w:val="nil"/>
              <w:bottom w:val="single" w:sz="4" w:space="0" w:color="auto"/>
              <w:right w:val="single" w:sz="4" w:space="0" w:color="auto"/>
            </w:tcBorders>
            <w:shd w:val="clear" w:color="auto" w:fill="auto"/>
            <w:noWrap/>
            <w:vAlign w:val="bottom"/>
            <w:hideMark/>
          </w:tcPr>
          <w:p w14:paraId="723459A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39 737</w:t>
            </w:r>
          </w:p>
        </w:tc>
      </w:tr>
      <w:tr w:rsidR="00F65567" w:rsidRPr="002A0876" w14:paraId="77556BE9"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2E538D1"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76</w:t>
            </w:r>
          </w:p>
        </w:tc>
        <w:tc>
          <w:tcPr>
            <w:tcW w:w="6868" w:type="dxa"/>
            <w:tcBorders>
              <w:top w:val="nil"/>
              <w:left w:val="nil"/>
              <w:bottom w:val="single" w:sz="4" w:space="0" w:color="auto"/>
              <w:right w:val="single" w:sz="4" w:space="0" w:color="auto"/>
            </w:tcBorders>
            <w:shd w:val="clear" w:color="auto" w:fill="auto"/>
            <w:noWrap/>
            <w:vAlign w:val="bottom"/>
            <w:hideMark/>
          </w:tcPr>
          <w:p w14:paraId="6EC17500"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veselības centrs"</w:t>
            </w:r>
          </w:p>
        </w:tc>
        <w:tc>
          <w:tcPr>
            <w:tcW w:w="1985" w:type="dxa"/>
            <w:tcBorders>
              <w:top w:val="nil"/>
              <w:left w:val="nil"/>
              <w:bottom w:val="single" w:sz="4" w:space="0" w:color="auto"/>
              <w:right w:val="single" w:sz="4" w:space="0" w:color="auto"/>
            </w:tcBorders>
            <w:shd w:val="clear" w:color="auto" w:fill="auto"/>
            <w:noWrap/>
            <w:vAlign w:val="bottom"/>
            <w:hideMark/>
          </w:tcPr>
          <w:p w14:paraId="0EB2815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8 982 019</w:t>
            </w:r>
          </w:p>
        </w:tc>
        <w:tc>
          <w:tcPr>
            <w:tcW w:w="1984" w:type="dxa"/>
            <w:tcBorders>
              <w:top w:val="nil"/>
              <w:left w:val="nil"/>
              <w:bottom w:val="single" w:sz="4" w:space="0" w:color="auto"/>
              <w:right w:val="single" w:sz="4" w:space="0" w:color="auto"/>
            </w:tcBorders>
            <w:shd w:val="clear" w:color="auto" w:fill="auto"/>
            <w:noWrap/>
            <w:vAlign w:val="bottom"/>
            <w:hideMark/>
          </w:tcPr>
          <w:p w14:paraId="7119396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8 850 249</w:t>
            </w:r>
          </w:p>
        </w:tc>
        <w:tc>
          <w:tcPr>
            <w:tcW w:w="2127" w:type="dxa"/>
            <w:tcBorders>
              <w:top w:val="nil"/>
              <w:left w:val="nil"/>
              <w:bottom w:val="single" w:sz="4" w:space="0" w:color="auto"/>
              <w:right w:val="single" w:sz="4" w:space="0" w:color="auto"/>
            </w:tcBorders>
            <w:shd w:val="clear" w:color="auto" w:fill="auto"/>
            <w:noWrap/>
            <w:vAlign w:val="bottom"/>
            <w:hideMark/>
          </w:tcPr>
          <w:p w14:paraId="6FBB165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131 770</w:t>
            </w:r>
          </w:p>
        </w:tc>
      </w:tr>
      <w:tr w:rsidR="00F65567" w:rsidRPr="002A0876" w14:paraId="0F55E418"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319B52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77</w:t>
            </w:r>
          </w:p>
        </w:tc>
        <w:tc>
          <w:tcPr>
            <w:tcW w:w="6868" w:type="dxa"/>
            <w:tcBorders>
              <w:top w:val="nil"/>
              <w:left w:val="nil"/>
              <w:bottom w:val="single" w:sz="4" w:space="0" w:color="auto"/>
              <w:right w:val="single" w:sz="4" w:space="0" w:color="auto"/>
            </w:tcBorders>
            <w:shd w:val="clear" w:color="auto" w:fill="auto"/>
            <w:noWrap/>
            <w:vAlign w:val="bottom"/>
            <w:hideMark/>
          </w:tcPr>
          <w:p w14:paraId="2C47FF46"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"Liepājas tramvajs"</w:t>
            </w:r>
          </w:p>
        </w:tc>
        <w:tc>
          <w:tcPr>
            <w:tcW w:w="1985" w:type="dxa"/>
            <w:tcBorders>
              <w:top w:val="nil"/>
              <w:left w:val="nil"/>
              <w:bottom w:val="single" w:sz="4" w:space="0" w:color="auto"/>
              <w:right w:val="single" w:sz="4" w:space="0" w:color="auto"/>
            </w:tcBorders>
            <w:shd w:val="clear" w:color="auto" w:fill="auto"/>
            <w:noWrap/>
            <w:vAlign w:val="bottom"/>
            <w:hideMark/>
          </w:tcPr>
          <w:p w14:paraId="6118F34C"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1 977 064</w:t>
            </w:r>
          </w:p>
        </w:tc>
        <w:tc>
          <w:tcPr>
            <w:tcW w:w="1984" w:type="dxa"/>
            <w:tcBorders>
              <w:top w:val="nil"/>
              <w:left w:val="nil"/>
              <w:bottom w:val="single" w:sz="4" w:space="0" w:color="auto"/>
              <w:right w:val="single" w:sz="4" w:space="0" w:color="auto"/>
            </w:tcBorders>
            <w:shd w:val="clear" w:color="auto" w:fill="auto"/>
            <w:noWrap/>
            <w:vAlign w:val="bottom"/>
            <w:hideMark/>
          </w:tcPr>
          <w:p w14:paraId="153AA6C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1 960 506</w:t>
            </w:r>
          </w:p>
        </w:tc>
        <w:tc>
          <w:tcPr>
            <w:tcW w:w="2127" w:type="dxa"/>
            <w:tcBorders>
              <w:top w:val="nil"/>
              <w:left w:val="nil"/>
              <w:bottom w:val="single" w:sz="4" w:space="0" w:color="auto"/>
              <w:right w:val="single" w:sz="4" w:space="0" w:color="auto"/>
            </w:tcBorders>
            <w:shd w:val="clear" w:color="auto" w:fill="auto"/>
            <w:noWrap/>
            <w:vAlign w:val="bottom"/>
            <w:hideMark/>
          </w:tcPr>
          <w:p w14:paraId="061C863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16 558</w:t>
            </w:r>
          </w:p>
        </w:tc>
      </w:tr>
      <w:tr w:rsidR="00F65567" w:rsidRPr="002A0876" w14:paraId="2859F240"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D1C26B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78</w:t>
            </w:r>
          </w:p>
        </w:tc>
        <w:tc>
          <w:tcPr>
            <w:tcW w:w="6868" w:type="dxa"/>
            <w:tcBorders>
              <w:top w:val="nil"/>
              <w:left w:val="nil"/>
              <w:bottom w:val="single" w:sz="4" w:space="0" w:color="auto"/>
              <w:right w:val="single" w:sz="4" w:space="0" w:color="auto"/>
            </w:tcBorders>
            <w:shd w:val="clear" w:color="auto" w:fill="auto"/>
            <w:noWrap/>
            <w:vAlign w:val="bottom"/>
            <w:hideMark/>
          </w:tcPr>
          <w:p w14:paraId="6C060495"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"Liepājas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DEABAB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28 103 814</w:t>
            </w:r>
          </w:p>
        </w:tc>
        <w:tc>
          <w:tcPr>
            <w:tcW w:w="1984" w:type="dxa"/>
            <w:tcBorders>
              <w:top w:val="nil"/>
              <w:left w:val="nil"/>
              <w:bottom w:val="single" w:sz="4" w:space="0" w:color="auto"/>
              <w:right w:val="single" w:sz="4" w:space="0" w:color="auto"/>
            </w:tcBorders>
            <w:shd w:val="clear" w:color="auto" w:fill="auto"/>
            <w:noWrap/>
            <w:vAlign w:val="bottom"/>
            <w:hideMark/>
          </w:tcPr>
          <w:p w14:paraId="71090E2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29 084 845</w:t>
            </w:r>
          </w:p>
        </w:tc>
        <w:tc>
          <w:tcPr>
            <w:tcW w:w="2127" w:type="dxa"/>
            <w:tcBorders>
              <w:top w:val="nil"/>
              <w:left w:val="nil"/>
              <w:bottom w:val="single" w:sz="4" w:space="0" w:color="auto"/>
              <w:right w:val="single" w:sz="4" w:space="0" w:color="auto"/>
            </w:tcBorders>
            <w:shd w:val="clear" w:color="auto" w:fill="auto"/>
            <w:noWrap/>
            <w:vAlign w:val="bottom"/>
            <w:hideMark/>
          </w:tcPr>
          <w:p w14:paraId="03713063"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-981 031</w:t>
            </w:r>
          </w:p>
        </w:tc>
      </w:tr>
      <w:tr w:rsidR="00F65567" w:rsidRPr="002A0876" w14:paraId="33352574"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DAF422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79</w:t>
            </w:r>
          </w:p>
        </w:tc>
        <w:tc>
          <w:tcPr>
            <w:tcW w:w="6868" w:type="dxa"/>
            <w:tcBorders>
              <w:top w:val="nil"/>
              <w:left w:val="nil"/>
              <w:bottom w:val="single" w:sz="4" w:space="0" w:color="auto"/>
              <w:right w:val="single" w:sz="4" w:space="0" w:color="auto"/>
            </w:tcBorders>
            <w:shd w:val="clear" w:color="auto" w:fill="auto"/>
            <w:noWrap/>
            <w:vAlign w:val="bottom"/>
            <w:hideMark/>
          </w:tcPr>
          <w:p w14:paraId="67891E17"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"Aviasabiedrība "Liepāja""</w:t>
            </w:r>
          </w:p>
        </w:tc>
        <w:tc>
          <w:tcPr>
            <w:tcW w:w="1985" w:type="dxa"/>
            <w:tcBorders>
              <w:top w:val="nil"/>
              <w:left w:val="nil"/>
              <w:bottom w:val="single" w:sz="4" w:space="0" w:color="auto"/>
              <w:right w:val="single" w:sz="4" w:space="0" w:color="auto"/>
            </w:tcBorders>
            <w:shd w:val="clear" w:color="auto" w:fill="auto"/>
            <w:noWrap/>
            <w:vAlign w:val="bottom"/>
            <w:hideMark/>
          </w:tcPr>
          <w:p w14:paraId="12544F5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1 554 575</w:t>
            </w:r>
          </w:p>
        </w:tc>
        <w:tc>
          <w:tcPr>
            <w:tcW w:w="1984" w:type="dxa"/>
            <w:tcBorders>
              <w:top w:val="nil"/>
              <w:left w:val="nil"/>
              <w:bottom w:val="single" w:sz="4" w:space="0" w:color="auto"/>
              <w:right w:val="single" w:sz="4" w:space="0" w:color="auto"/>
            </w:tcBorders>
            <w:shd w:val="clear" w:color="auto" w:fill="auto"/>
            <w:noWrap/>
            <w:vAlign w:val="bottom"/>
            <w:hideMark/>
          </w:tcPr>
          <w:p w14:paraId="4774A78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1 450 709</w:t>
            </w:r>
          </w:p>
        </w:tc>
        <w:tc>
          <w:tcPr>
            <w:tcW w:w="2127" w:type="dxa"/>
            <w:tcBorders>
              <w:top w:val="nil"/>
              <w:left w:val="nil"/>
              <w:bottom w:val="single" w:sz="4" w:space="0" w:color="auto"/>
              <w:right w:val="single" w:sz="4" w:space="0" w:color="auto"/>
            </w:tcBorders>
            <w:shd w:val="clear" w:color="auto" w:fill="auto"/>
            <w:noWrap/>
            <w:vAlign w:val="bottom"/>
            <w:hideMark/>
          </w:tcPr>
          <w:p w14:paraId="614BC79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103 866</w:t>
            </w:r>
          </w:p>
        </w:tc>
      </w:tr>
      <w:tr w:rsidR="00F65567" w:rsidRPr="002A0876" w14:paraId="68390FCE"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EAAA0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80</w:t>
            </w:r>
          </w:p>
        </w:tc>
        <w:tc>
          <w:tcPr>
            <w:tcW w:w="6868" w:type="dxa"/>
            <w:tcBorders>
              <w:top w:val="nil"/>
              <w:left w:val="nil"/>
              <w:bottom w:val="single" w:sz="4" w:space="0" w:color="auto"/>
              <w:right w:val="single" w:sz="4" w:space="0" w:color="auto"/>
            </w:tcBorders>
            <w:shd w:val="clear" w:color="auto" w:fill="auto"/>
            <w:noWrap/>
            <w:vAlign w:val="bottom"/>
            <w:hideMark/>
          </w:tcPr>
          <w:p w14:paraId="7D8ACFE5"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"Daugavpils bērnu veselības centrs"</w:t>
            </w:r>
          </w:p>
        </w:tc>
        <w:tc>
          <w:tcPr>
            <w:tcW w:w="1985" w:type="dxa"/>
            <w:tcBorders>
              <w:top w:val="nil"/>
              <w:left w:val="nil"/>
              <w:bottom w:val="single" w:sz="4" w:space="0" w:color="auto"/>
              <w:right w:val="single" w:sz="4" w:space="0" w:color="auto"/>
            </w:tcBorders>
            <w:shd w:val="clear" w:color="auto" w:fill="auto"/>
            <w:noWrap/>
            <w:vAlign w:val="bottom"/>
            <w:hideMark/>
          </w:tcPr>
          <w:p w14:paraId="51568B36"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1 786 396</w:t>
            </w:r>
          </w:p>
        </w:tc>
        <w:tc>
          <w:tcPr>
            <w:tcW w:w="1984" w:type="dxa"/>
            <w:tcBorders>
              <w:top w:val="nil"/>
              <w:left w:val="nil"/>
              <w:bottom w:val="single" w:sz="4" w:space="0" w:color="auto"/>
              <w:right w:val="single" w:sz="4" w:space="0" w:color="auto"/>
            </w:tcBorders>
            <w:shd w:val="clear" w:color="auto" w:fill="auto"/>
            <w:noWrap/>
            <w:vAlign w:val="bottom"/>
            <w:hideMark/>
          </w:tcPr>
          <w:p w14:paraId="00277CC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1 751 105</w:t>
            </w:r>
          </w:p>
        </w:tc>
        <w:tc>
          <w:tcPr>
            <w:tcW w:w="2127" w:type="dxa"/>
            <w:tcBorders>
              <w:top w:val="nil"/>
              <w:left w:val="nil"/>
              <w:bottom w:val="single" w:sz="4" w:space="0" w:color="auto"/>
              <w:right w:val="single" w:sz="4" w:space="0" w:color="auto"/>
            </w:tcBorders>
            <w:shd w:val="clear" w:color="auto" w:fill="auto"/>
            <w:noWrap/>
            <w:vAlign w:val="bottom"/>
            <w:hideMark/>
          </w:tcPr>
          <w:p w14:paraId="05E974F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35 291</w:t>
            </w:r>
          </w:p>
        </w:tc>
      </w:tr>
      <w:tr w:rsidR="00F65567" w:rsidRPr="002A0876" w14:paraId="55896CF8"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020458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81</w:t>
            </w:r>
          </w:p>
        </w:tc>
        <w:tc>
          <w:tcPr>
            <w:tcW w:w="6868" w:type="dxa"/>
            <w:tcBorders>
              <w:top w:val="nil"/>
              <w:left w:val="nil"/>
              <w:bottom w:val="single" w:sz="4" w:space="0" w:color="auto"/>
              <w:right w:val="single" w:sz="4" w:space="0" w:color="auto"/>
            </w:tcBorders>
            <w:shd w:val="clear" w:color="auto" w:fill="auto"/>
            <w:noWrap/>
            <w:vAlign w:val="bottom"/>
            <w:hideMark/>
          </w:tcPr>
          <w:p w14:paraId="211786F6"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"Kuldīgas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1EA1533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6 598 801</w:t>
            </w:r>
          </w:p>
        </w:tc>
        <w:tc>
          <w:tcPr>
            <w:tcW w:w="1984" w:type="dxa"/>
            <w:tcBorders>
              <w:top w:val="nil"/>
              <w:left w:val="nil"/>
              <w:bottom w:val="single" w:sz="4" w:space="0" w:color="auto"/>
              <w:right w:val="single" w:sz="4" w:space="0" w:color="auto"/>
            </w:tcBorders>
            <w:shd w:val="clear" w:color="auto" w:fill="auto"/>
            <w:noWrap/>
            <w:vAlign w:val="bottom"/>
            <w:hideMark/>
          </w:tcPr>
          <w:p w14:paraId="2E0292F7"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6 031 375</w:t>
            </w:r>
          </w:p>
        </w:tc>
        <w:tc>
          <w:tcPr>
            <w:tcW w:w="2127" w:type="dxa"/>
            <w:tcBorders>
              <w:top w:val="nil"/>
              <w:left w:val="nil"/>
              <w:bottom w:val="single" w:sz="4" w:space="0" w:color="auto"/>
              <w:right w:val="single" w:sz="4" w:space="0" w:color="auto"/>
            </w:tcBorders>
            <w:shd w:val="clear" w:color="auto" w:fill="auto"/>
            <w:noWrap/>
            <w:vAlign w:val="bottom"/>
            <w:hideMark/>
          </w:tcPr>
          <w:p w14:paraId="33CCDEBB"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567 426</w:t>
            </w:r>
          </w:p>
        </w:tc>
      </w:tr>
      <w:tr w:rsidR="00F65567" w:rsidRPr="002A0876" w14:paraId="66FB8574"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26596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82</w:t>
            </w:r>
          </w:p>
        </w:tc>
        <w:tc>
          <w:tcPr>
            <w:tcW w:w="6868" w:type="dxa"/>
            <w:tcBorders>
              <w:top w:val="nil"/>
              <w:left w:val="nil"/>
              <w:bottom w:val="single" w:sz="4" w:space="0" w:color="auto"/>
              <w:right w:val="single" w:sz="4" w:space="0" w:color="auto"/>
            </w:tcBorders>
            <w:shd w:val="clear" w:color="auto" w:fill="auto"/>
            <w:noWrap/>
            <w:vAlign w:val="bottom"/>
            <w:hideMark/>
          </w:tcPr>
          <w:p w14:paraId="1E40D987"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"Daugavpils satiksme"</w:t>
            </w:r>
          </w:p>
        </w:tc>
        <w:tc>
          <w:tcPr>
            <w:tcW w:w="1985" w:type="dxa"/>
            <w:tcBorders>
              <w:top w:val="nil"/>
              <w:left w:val="nil"/>
              <w:bottom w:val="single" w:sz="4" w:space="0" w:color="auto"/>
              <w:right w:val="single" w:sz="4" w:space="0" w:color="auto"/>
            </w:tcBorders>
            <w:shd w:val="clear" w:color="auto" w:fill="auto"/>
            <w:noWrap/>
            <w:vAlign w:val="bottom"/>
            <w:hideMark/>
          </w:tcPr>
          <w:p w14:paraId="38E5D55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7 322 991</w:t>
            </w:r>
          </w:p>
        </w:tc>
        <w:tc>
          <w:tcPr>
            <w:tcW w:w="1984" w:type="dxa"/>
            <w:tcBorders>
              <w:top w:val="nil"/>
              <w:left w:val="nil"/>
              <w:bottom w:val="single" w:sz="4" w:space="0" w:color="auto"/>
              <w:right w:val="single" w:sz="4" w:space="0" w:color="auto"/>
            </w:tcBorders>
            <w:shd w:val="clear" w:color="auto" w:fill="auto"/>
            <w:noWrap/>
            <w:vAlign w:val="bottom"/>
            <w:hideMark/>
          </w:tcPr>
          <w:p w14:paraId="6436B835"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9 754 930</w:t>
            </w:r>
          </w:p>
        </w:tc>
        <w:tc>
          <w:tcPr>
            <w:tcW w:w="2127" w:type="dxa"/>
            <w:tcBorders>
              <w:top w:val="nil"/>
              <w:left w:val="nil"/>
              <w:bottom w:val="single" w:sz="4" w:space="0" w:color="auto"/>
              <w:right w:val="single" w:sz="4" w:space="0" w:color="auto"/>
            </w:tcBorders>
            <w:shd w:val="clear" w:color="auto" w:fill="auto"/>
            <w:noWrap/>
            <w:vAlign w:val="bottom"/>
            <w:hideMark/>
          </w:tcPr>
          <w:p w14:paraId="2245B348"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-2 431 939</w:t>
            </w:r>
          </w:p>
        </w:tc>
      </w:tr>
      <w:tr w:rsidR="00F65567" w:rsidRPr="002A0876" w14:paraId="6034DDC3"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A3BAB1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83</w:t>
            </w:r>
          </w:p>
        </w:tc>
        <w:tc>
          <w:tcPr>
            <w:tcW w:w="6868" w:type="dxa"/>
            <w:tcBorders>
              <w:top w:val="nil"/>
              <w:left w:val="nil"/>
              <w:bottom w:val="single" w:sz="4" w:space="0" w:color="auto"/>
              <w:right w:val="single" w:sz="4" w:space="0" w:color="auto"/>
            </w:tcBorders>
            <w:shd w:val="clear" w:color="auto" w:fill="auto"/>
            <w:noWrap/>
            <w:vAlign w:val="bottom"/>
            <w:hideMark/>
          </w:tcPr>
          <w:p w14:paraId="3E1FD6DE"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satiksme"</w:t>
            </w:r>
          </w:p>
        </w:tc>
        <w:tc>
          <w:tcPr>
            <w:tcW w:w="1985" w:type="dxa"/>
            <w:tcBorders>
              <w:top w:val="nil"/>
              <w:left w:val="nil"/>
              <w:bottom w:val="single" w:sz="4" w:space="0" w:color="auto"/>
              <w:right w:val="single" w:sz="4" w:space="0" w:color="auto"/>
            </w:tcBorders>
            <w:shd w:val="clear" w:color="auto" w:fill="auto"/>
            <w:noWrap/>
            <w:vAlign w:val="bottom"/>
            <w:hideMark/>
          </w:tcPr>
          <w:p w14:paraId="6682D4FE"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218 957 275</w:t>
            </w:r>
          </w:p>
        </w:tc>
        <w:tc>
          <w:tcPr>
            <w:tcW w:w="1984" w:type="dxa"/>
            <w:tcBorders>
              <w:top w:val="nil"/>
              <w:left w:val="nil"/>
              <w:bottom w:val="single" w:sz="4" w:space="0" w:color="auto"/>
              <w:right w:val="single" w:sz="4" w:space="0" w:color="auto"/>
            </w:tcBorders>
            <w:shd w:val="clear" w:color="auto" w:fill="auto"/>
            <w:noWrap/>
            <w:vAlign w:val="bottom"/>
            <w:hideMark/>
          </w:tcPr>
          <w:p w14:paraId="4432060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227 537 940</w:t>
            </w:r>
          </w:p>
        </w:tc>
        <w:tc>
          <w:tcPr>
            <w:tcW w:w="2127" w:type="dxa"/>
            <w:tcBorders>
              <w:top w:val="nil"/>
              <w:left w:val="nil"/>
              <w:bottom w:val="single" w:sz="4" w:space="0" w:color="auto"/>
              <w:right w:val="single" w:sz="4" w:space="0" w:color="auto"/>
            </w:tcBorders>
            <w:shd w:val="clear" w:color="auto" w:fill="auto"/>
            <w:noWrap/>
            <w:vAlign w:val="bottom"/>
            <w:hideMark/>
          </w:tcPr>
          <w:p w14:paraId="4E1D96F4"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-8 580 665</w:t>
            </w:r>
          </w:p>
        </w:tc>
      </w:tr>
      <w:tr w:rsidR="00F65567" w:rsidRPr="002A0876" w14:paraId="1931562C" w14:textId="77777777" w:rsidTr="00F65567">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72C7AD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84</w:t>
            </w:r>
          </w:p>
        </w:tc>
        <w:tc>
          <w:tcPr>
            <w:tcW w:w="6868" w:type="dxa"/>
            <w:tcBorders>
              <w:top w:val="nil"/>
              <w:left w:val="nil"/>
              <w:bottom w:val="single" w:sz="4" w:space="0" w:color="auto"/>
              <w:right w:val="single" w:sz="4" w:space="0" w:color="auto"/>
            </w:tcBorders>
            <w:shd w:val="clear" w:color="auto" w:fill="auto"/>
            <w:noWrap/>
            <w:vAlign w:val="bottom"/>
            <w:hideMark/>
          </w:tcPr>
          <w:p w14:paraId="3071BE16"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"Daugavpils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1696110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37 758 219</w:t>
            </w:r>
          </w:p>
        </w:tc>
        <w:tc>
          <w:tcPr>
            <w:tcW w:w="1984" w:type="dxa"/>
            <w:tcBorders>
              <w:top w:val="nil"/>
              <w:left w:val="nil"/>
              <w:bottom w:val="single" w:sz="4" w:space="0" w:color="auto"/>
              <w:right w:val="single" w:sz="4" w:space="0" w:color="auto"/>
            </w:tcBorders>
            <w:shd w:val="clear" w:color="auto" w:fill="auto"/>
            <w:noWrap/>
            <w:vAlign w:val="bottom"/>
            <w:hideMark/>
          </w:tcPr>
          <w:p w14:paraId="16174A5A"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37 588 655</w:t>
            </w:r>
          </w:p>
        </w:tc>
        <w:tc>
          <w:tcPr>
            <w:tcW w:w="2127" w:type="dxa"/>
            <w:tcBorders>
              <w:top w:val="nil"/>
              <w:left w:val="nil"/>
              <w:bottom w:val="single" w:sz="4" w:space="0" w:color="auto"/>
              <w:right w:val="single" w:sz="4" w:space="0" w:color="auto"/>
            </w:tcBorders>
            <w:shd w:val="clear" w:color="auto" w:fill="auto"/>
            <w:noWrap/>
            <w:vAlign w:val="bottom"/>
            <w:hideMark/>
          </w:tcPr>
          <w:p w14:paraId="168C234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169 564</w:t>
            </w:r>
          </w:p>
        </w:tc>
      </w:tr>
      <w:tr w:rsidR="00F65567" w:rsidRPr="002A0876" w14:paraId="68FF417B" w14:textId="77777777" w:rsidTr="005E2E93">
        <w:trPr>
          <w:trHeight w:val="315"/>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C39C7F"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85</w:t>
            </w:r>
          </w:p>
        </w:tc>
        <w:tc>
          <w:tcPr>
            <w:tcW w:w="6868" w:type="dxa"/>
            <w:tcBorders>
              <w:top w:val="nil"/>
              <w:left w:val="nil"/>
              <w:bottom w:val="single" w:sz="4" w:space="0" w:color="auto"/>
              <w:right w:val="single" w:sz="4" w:space="0" w:color="auto"/>
            </w:tcBorders>
            <w:shd w:val="clear" w:color="auto" w:fill="auto"/>
            <w:noWrap/>
            <w:vAlign w:val="bottom"/>
            <w:hideMark/>
          </w:tcPr>
          <w:p w14:paraId="2F5764B1" w14:textId="77777777" w:rsidR="00F65567" w:rsidRPr="002A0876" w:rsidRDefault="00F65567" w:rsidP="00F65567">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"Jēkabpils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46BEA8C0"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15 504 659</w:t>
            </w:r>
          </w:p>
        </w:tc>
        <w:tc>
          <w:tcPr>
            <w:tcW w:w="1984" w:type="dxa"/>
            <w:tcBorders>
              <w:top w:val="nil"/>
              <w:left w:val="nil"/>
              <w:bottom w:val="single" w:sz="4" w:space="0" w:color="auto"/>
              <w:right w:val="single" w:sz="4" w:space="0" w:color="auto"/>
            </w:tcBorders>
            <w:shd w:val="clear" w:color="auto" w:fill="auto"/>
            <w:noWrap/>
            <w:vAlign w:val="bottom"/>
            <w:hideMark/>
          </w:tcPr>
          <w:p w14:paraId="1B5CAE69"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16 213 659</w:t>
            </w:r>
          </w:p>
        </w:tc>
        <w:tc>
          <w:tcPr>
            <w:tcW w:w="2127" w:type="dxa"/>
            <w:tcBorders>
              <w:top w:val="nil"/>
              <w:left w:val="nil"/>
              <w:bottom w:val="single" w:sz="4" w:space="0" w:color="auto"/>
              <w:right w:val="single" w:sz="4" w:space="0" w:color="auto"/>
            </w:tcBorders>
            <w:shd w:val="clear" w:color="auto" w:fill="auto"/>
            <w:noWrap/>
            <w:vAlign w:val="bottom"/>
            <w:hideMark/>
          </w:tcPr>
          <w:p w14:paraId="4D9BB1C2" w14:textId="77777777" w:rsidR="00F65567" w:rsidRPr="002A0876" w:rsidRDefault="00F65567" w:rsidP="00F65567">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-709 000</w:t>
            </w:r>
          </w:p>
        </w:tc>
      </w:tr>
      <w:tr w:rsidR="005E2E93" w:rsidRPr="002A0876" w14:paraId="4E351A1D" w14:textId="77777777" w:rsidTr="005E2E93">
        <w:trPr>
          <w:trHeight w:val="1344"/>
        </w:trPr>
        <w:tc>
          <w:tcPr>
            <w:tcW w:w="140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398C599" w14:textId="77777777" w:rsidR="005E2E93" w:rsidRPr="005E2E93" w:rsidRDefault="005E2E93" w:rsidP="005E2E93">
            <w:pPr>
              <w:jc w:val="both"/>
              <w:rPr>
                <w:rFonts w:ascii="Times New Roman" w:eastAsia="Times New Roman" w:hAnsi="Times New Roman" w:cs="Times New Roman"/>
                <w:color w:val="000000"/>
                <w:sz w:val="20"/>
                <w:szCs w:val="20"/>
              </w:rPr>
            </w:pPr>
            <w:r w:rsidRPr="005E2E93">
              <w:rPr>
                <w:rFonts w:ascii="Times New Roman" w:eastAsia="Times New Roman" w:hAnsi="Times New Roman" w:cs="Times New Roman"/>
                <w:color w:val="000000"/>
                <w:sz w:val="20"/>
                <w:szCs w:val="20"/>
              </w:rPr>
              <w:t>Citas ar kapitālsabiedrībām saistītās EKS korekcijas, kas ietekmē B.9 neto aizdevumus (+)/neto aizņēmumus(-):</w:t>
            </w:r>
          </w:p>
          <w:p w14:paraId="16E1276C" w14:textId="77777777" w:rsidR="005E2E93" w:rsidRPr="005E2E93" w:rsidRDefault="005E2E93" w:rsidP="005E2E93">
            <w:pPr>
              <w:jc w:val="both"/>
              <w:rPr>
                <w:rFonts w:ascii="Times New Roman" w:eastAsia="Times New Roman" w:hAnsi="Times New Roman" w:cs="Times New Roman"/>
                <w:color w:val="000000"/>
                <w:sz w:val="20"/>
                <w:szCs w:val="20"/>
              </w:rPr>
            </w:pPr>
            <w:r w:rsidRPr="005E2E93">
              <w:rPr>
                <w:rFonts w:ascii="Times New Roman" w:eastAsia="Times New Roman" w:hAnsi="Times New Roman" w:cs="Times New Roman"/>
                <w:color w:val="000000"/>
                <w:sz w:val="20"/>
                <w:szCs w:val="20"/>
              </w:rPr>
              <w:t>Tabulā ir norādīti vispārējās valdības pieklasificēto kapitālsabiedrību ieņēmumi, izdevumi un ietekme uz B.9 neto aizdevumiem (+)/neto aizņēmumiem (-), atbilstoši kapitālsabiedrību atsūtītajām saimnieciskās darbības anketām.</w:t>
            </w:r>
          </w:p>
          <w:p w14:paraId="0E6184EC" w14:textId="4831BD76" w:rsidR="005E2E93" w:rsidRPr="002A0876" w:rsidRDefault="005E2E93" w:rsidP="005E2E93">
            <w:pPr>
              <w:jc w:val="both"/>
              <w:rPr>
                <w:rFonts w:ascii="Times New Roman" w:eastAsia="Times New Roman" w:hAnsi="Times New Roman" w:cs="Times New Roman"/>
                <w:color w:val="000000"/>
                <w:sz w:val="20"/>
                <w:szCs w:val="20"/>
              </w:rPr>
            </w:pPr>
            <w:r w:rsidRPr="005E2E93">
              <w:rPr>
                <w:rFonts w:ascii="Times New Roman" w:eastAsia="Times New Roman" w:hAnsi="Times New Roman" w:cs="Times New Roman"/>
                <w:color w:val="000000"/>
                <w:sz w:val="20"/>
                <w:szCs w:val="20"/>
              </w:rPr>
              <w:t>Vispārējās valdības budžeta pieklasificēto kapitālsabiedrību ietekme uz B.9 neto aizdevumiem (+)/neto aizņēmumiem (-), kas iekļauta vispārējās valdības budžeta progn</w:t>
            </w:r>
            <w:r>
              <w:rPr>
                <w:rFonts w:ascii="Times New Roman" w:eastAsia="Times New Roman" w:hAnsi="Times New Roman" w:cs="Times New Roman"/>
                <w:color w:val="000000"/>
                <w:sz w:val="20"/>
                <w:szCs w:val="20"/>
              </w:rPr>
              <w:t xml:space="preserve">ozēs 2021. gadā ir -70 593 753 </w:t>
            </w:r>
            <w:r w:rsidRPr="005E2E93">
              <w:rPr>
                <w:rFonts w:ascii="Times New Roman" w:eastAsia="Times New Roman" w:hAnsi="Times New Roman" w:cs="Times New Roman"/>
                <w:i/>
                <w:color w:val="000000"/>
                <w:sz w:val="20"/>
                <w:szCs w:val="20"/>
              </w:rPr>
              <w:t>euro</w:t>
            </w:r>
            <w:r>
              <w:rPr>
                <w:rFonts w:ascii="Times New Roman" w:eastAsia="Times New Roman" w:hAnsi="Times New Roman" w:cs="Times New Roman"/>
                <w:i/>
                <w:color w:val="000000"/>
                <w:sz w:val="20"/>
                <w:szCs w:val="20"/>
              </w:rPr>
              <w:t>.</w:t>
            </w:r>
          </w:p>
        </w:tc>
      </w:tr>
    </w:tbl>
    <w:p w14:paraId="00A2864D" w14:textId="5AB1DE01" w:rsidR="009D05C2" w:rsidRDefault="009D05C2" w:rsidP="002A0876">
      <w:pPr>
        <w:widowControl w:val="0"/>
        <w:rPr>
          <w:rFonts w:ascii="Times New Roman" w:hAnsi="Times New Roman"/>
          <w:b/>
          <w:sz w:val="28"/>
          <w:szCs w:val="24"/>
        </w:rPr>
      </w:pPr>
    </w:p>
    <w:p w14:paraId="56573E35" w14:textId="2BC9A994" w:rsidR="009D05C2" w:rsidRPr="002A0876" w:rsidRDefault="002A0876" w:rsidP="00401A5B">
      <w:pPr>
        <w:widowControl w:val="0"/>
        <w:jc w:val="right"/>
        <w:rPr>
          <w:rFonts w:ascii="Times New Roman" w:hAnsi="Times New Roman"/>
          <w:i/>
          <w:szCs w:val="24"/>
        </w:rPr>
      </w:pPr>
      <w:r w:rsidRPr="002A0876">
        <w:rPr>
          <w:rFonts w:ascii="Times New Roman" w:hAnsi="Times New Roman"/>
          <w:i/>
          <w:szCs w:val="24"/>
        </w:rPr>
        <w:t>euro</w:t>
      </w:r>
    </w:p>
    <w:tbl>
      <w:tblPr>
        <w:tblW w:w="14034" w:type="dxa"/>
        <w:tblInd w:w="-5" w:type="dxa"/>
        <w:tblLook w:val="04A0" w:firstRow="1" w:lastRow="0" w:firstColumn="1" w:lastColumn="0" w:noHBand="0" w:noVBand="1"/>
      </w:tblPr>
      <w:tblGrid>
        <w:gridCol w:w="928"/>
        <w:gridCol w:w="7010"/>
        <w:gridCol w:w="1985"/>
        <w:gridCol w:w="1984"/>
        <w:gridCol w:w="2127"/>
      </w:tblGrid>
      <w:tr w:rsidR="00913134" w:rsidRPr="002A0876" w14:paraId="09A5CBEB" w14:textId="77777777" w:rsidTr="002A0876">
        <w:trPr>
          <w:trHeight w:val="315"/>
        </w:trPr>
        <w:tc>
          <w:tcPr>
            <w:tcW w:w="14034" w:type="dxa"/>
            <w:gridSpan w:val="5"/>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4EA3FFD" w14:textId="77777777" w:rsidR="00913134" w:rsidRPr="002A0876" w:rsidRDefault="00913134" w:rsidP="00913134">
            <w:pPr>
              <w:jc w:val="center"/>
              <w:rPr>
                <w:rFonts w:ascii="Times New Roman" w:eastAsia="Times New Roman" w:hAnsi="Times New Roman" w:cs="Times New Roman"/>
                <w:b/>
                <w:color w:val="000000"/>
                <w:sz w:val="20"/>
                <w:szCs w:val="20"/>
              </w:rPr>
            </w:pPr>
            <w:r w:rsidRPr="002A0876">
              <w:rPr>
                <w:rFonts w:ascii="Times New Roman" w:eastAsia="Times New Roman" w:hAnsi="Times New Roman" w:cs="Times New Roman"/>
                <w:b/>
                <w:color w:val="000000"/>
                <w:sz w:val="20"/>
                <w:szCs w:val="20"/>
              </w:rPr>
              <w:t>2022</w:t>
            </w:r>
          </w:p>
        </w:tc>
      </w:tr>
      <w:tr w:rsidR="00913134" w:rsidRPr="002A0876" w14:paraId="4E709D9B" w14:textId="77777777" w:rsidTr="002A0876">
        <w:trPr>
          <w:trHeight w:val="630"/>
        </w:trPr>
        <w:tc>
          <w:tcPr>
            <w:tcW w:w="928" w:type="dxa"/>
            <w:tcBorders>
              <w:top w:val="nil"/>
              <w:left w:val="single" w:sz="4" w:space="0" w:color="auto"/>
              <w:bottom w:val="single" w:sz="4" w:space="0" w:color="auto"/>
              <w:right w:val="single" w:sz="4" w:space="0" w:color="auto"/>
            </w:tcBorders>
            <w:shd w:val="clear" w:color="000000" w:fill="BDD7EE"/>
            <w:noWrap/>
            <w:vAlign w:val="bottom"/>
            <w:hideMark/>
          </w:tcPr>
          <w:p w14:paraId="388CA547"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N.p.k.</w:t>
            </w:r>
          </w:p>
        </w:tc>
        <w:tc>
          <w:tcPr>
            <w:tcW w:w="7010" w:type="dxa"/>
            <w:tcBorders>
              <w:top w:val="nil"/>
              <w:left w:val="nil"/>
              <w:bottom w:val="single" w:sz="4" w:space="0" w:color="auto"/>
              <w:right w:val="single" w:sz="4" w:space="0" w:color="auto"/>
            </w:tcBorders>
            <w:shd w:val="clear" w:color="000000" w:fill="BDD7EE"/>
            <w:noWrap/>
            <w:vAlign w:val="bottom"/>
            <w:hideMark/>
          </w:tcPr>
          <w:p w14:paraId="06AD636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5" w:type="dxa"/>
            <w:tcBorders>
              <w:top w:val="nil"/>
              <w:left w:val="nil"/>
              <w:bottom w:val="single" w:sz="4" w:space="0" w:color="auto"/>
              <w:right w:val="single" w:sz="4" w:space="0" w:color="auto"/>
            </w:tcBorders>
            <w:shd w:val="clear" w:color="000000" w:fill="BDD7EE"/>
            <w:vAlign w:val="center"/>
            <w:hideMark/>
          </w:tcPr>
          <w:p w14:paraId="44CAE1EC" w14:textId="77777777" w:rsidR="00913134" w:rsidRPr="002A0876" w:rsidRDefault="00913134" w:rsidP="00913134">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Ieņēmumi</w:t>
            </w:r>
          </w:p>
        </w:tc>
        <w:tc>
          <w:tcPr>
            <w:tcW w:w="1984" w:type="dxa"/>
            <w:tcBorders>
              <w:top w:val="nil"/>
              <w:left w:val="nil"/>
              <w:bottom w:val="single" w:sz="4" w:space="0" w:color="auto"/>
              <w:right w:val="single" w:sz="4" w:space="0" w:color="auto"/>
            </w:tcBorders>
            <w:shd w:val="clear" w:color="000000" w:fill="BDD7EE"/>
            <w:vAlign w:val="center"/>
            <w:hideMark/>
          </w:tcPr>
          <w:p w14:paraId="3649F878" w14:textId="77777777" w:rsidR="00913134" w:rsidRPr="002A0876" w:rsidRDefault="00913134" w:rsidP="00913134">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Izdevumi</w:t>
            </w:r>
          </w:p>
        </w:tc>
        <w:tc>
          <w:tcPr>
            <w:tcW w:w="2127" w:type="dxa"/>
            <w:tcBorders>
              <w:top w:val="nil"/>
              <w:left w:val="nil"/>
              <w:bottom w:val="single" w:sz="4" w:space="0" w:color="auto"/>
              <w:right w:val="single" w:sz="4" w:space="0" w:color="auto"/>
            </w:tcBorders>
            <w:shd w:val="clear" w:color="000000" w:fill="BDD7EE"/>
            <w:vAlign w:val="center"/>
            <w:hideMark/>
          </w:tcPr>
          <w:p w14:paraId="4ECDF659" w14:textId="77777777" w:rsidR="00913134" w:rsidRPr="002A0876" w:rsidRDefault="00913134" w:rsidP="00913134">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Ietekme uz B.9 neto aizdevumiem (+)/neto aizņēmumiem (-)</w:t>
            </w:r>
          </w:p>
        </w:tc>
      </w:tr>
      <w:tr w:rsidR="00913134" w:rsidRPr="002A0876" w14:paraId="3FE34A5C" w14:textId="77777777" w:rsidTr="002A0876">
        <w:trPr>
          <w:trHeight w:val="315"/>
        </w:trPr>
        <w:tc>
          <w:tcPr>
            <w:tcW w:w="928" w:type="dxa"/>
            <w:tcBorders>
              <w:top w:val="nil"/>
              <w:left w:val="single" w:sz="4" w:space="0" w:color="auto"/>
              <w:bottom w:val="single" w:sz="4" w:space="0" w:color="auto"/>
              <w:right w:val="single" w:sz="4" w:space="0" w:color="auto"/>
            </w:tcBorders>
            <w:shd w:val="clear" w:color="000000" w:fill="DDEBF7"/>
            <w:noWrap/>
            <w:vAlign w:val="bottom"/>
            <w:hideMark/>
          </w:tcPr>
          <w:p w14:paraId="515B2504"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S130100</w:t>
            </w:r>
          </w:p>
        </w:tc>
        <w:tc>
          <w:tcPr>
            <w:tcW w:w="7010" w:type="dxa"/>
            <w:tcBorders>
              <w:top w:val="nil"/>
              <w:left w:val="nil"/>
              <w:bottom w:val="single" w:sz="4" w:space="0" w:color="auto"/>
              <w:right w:val="single" w:sz="4" w:space="0" w:color="auto"/>
            </w:tcBorders>
            <w:shd w:val="clear" w:color="000000" w:fill="DDEBF7"/>
            <w:noWrap/>
            <w:vAlign w:val="center"/>
            <w:hideMark/>
          </w:tcPr>
          <w:p w14:paraId="30A7DEE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Valsts struktūru kontrolētas un finansētas komercsabiedrības</w:t>
            </w:r>
          </w:p>
        </w:tc>
        <w:tc>
          <w:tcPr>
            <w:tcW w:w="1985" w:type="dxa"/>
            <w:tcBorders>
              <w:top w:val="nil"/>
              <w:left w:val="nil"/>
              <w:bottom w:val="single" w:sz="4" w:space="0" w:color="auto"/>
              <w:right w:val="single" w:sz="4" w:space="0" w:color="auto"/>
            </w:tcBorders>
            <w:shd w:val="clear" w:color="auto" w:fill="auto"/>
            <w:noWrap/>
            <w:vAlign w:val="bottom"/>
            <w:hideMark/>
          </w:tcPr>
          <w:p w14:paraId="331EEC3B"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445962A2"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2127" w:type="dxa"/>
            <w:tcBorders>
              <w:top w:val="nil"/>
              <w:left w:val="nil"/>
              <w:bottom w:val="single" w:sz="4" w:space="0" w:color="auto"/>
              <w:right w:val="single" w:sz="4" w:space="0" w:color="auto"/>
            </w:tcBorders>
            <w:shd w:val="clear" w:color="auto" w:fill="auto"/>
            <w:noWrap/>
            <w:vAlign w:val="bottom"/>
            <w:hideMark/>
          </w:tcPr>
          <w:p w14:paraId="3429BA7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913134" w:rsidRPr="002A0876" w14:paraId="524A1628"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DA8912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w:t>
            </w:r>
          </w:p>
        </w:tc>
        <w:tc>
          <w:tcPr>
            <w:tcW w:w="7010" w:type="dxa"/>
            <w:tcBorders>
              <w:top w:val="nil"/>
              <w:left w:val="nil"/>
              <w:bottom w:val="single" w:sz="4" w:space="0" w:color="auto"/>
              <w:right w:val="single" w:sz="4" w:space="0" w:color="auto"/>
            </w:tcBorders>
            <w:shd w:val="clear" w:color="auto" w:fill="auto"/>
            <w:noWrap/>
            <w:vAlign w:val="bottom"/>
            <w:hideMark/>
          </w:tcPr>
          <w:p w14:paraId="16D63874"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"Iekšlietu ministrijas poliklīnika"</w:t>
            </w:r>
          </w:p>
        </w:tc>
        <w:tc>
          <w:tcPr>
            <w:tcW w:w="1985" w:type="dxa"/>
            <w:tcBorders>
              <w:top w:val="nil"/>
              <w:left w:val="nil"/>
              <w:bottom w:val="single" w:sz="4" w:space="0" w:color="auto"/>
              <w:right w:val="single" w:sz="4" w:space="0" w:color="auto"/>
            </w:tcBorders>
            <w:shd w:val="clear" w:color="auto" w:fill="auto"/>
            <w:noWrap/>
            <w:vAlign w:val="bottom"/>
            <w:hideMark/>
          </w:tcPr>
          <w:p w14:paraId="33406A1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2 407 400</w:t>
            </w:r>
          </w:p>
        </w:tc>
        <w:tc>
          <w:tcPr>
            <w:tcW w:w="1984" w:type="dxa"/>
            <w:tcBorders>
              <w:top w:val="nil"/>
              <w:left w:val="nil"/>
              <w:bottom w:val="single" w:sz="4" w:space="0" w:color="auto"/>
              <w:right w:val="single" w:sz="4" w:space="0" w:color="auto"/>
            </w:tcBorders>
            <w:shd w:val="clear" w:color="auto" w:fill="auto"/>
            <w:noWrap/>
            <w:vAlign w:val="bottom"/>
            <w:hideMark/>
          </w:tcPr>
          <w:p w14:paraId="4932FE2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2 413 270</w:t>
            </w:r>
          </w:p>
        </w:tc>
        <w:tc>
          <w:tcPr>
            <w:tcW w:w="2127" w:type="dxa"/>
            <w:tcBorders>
              <w:top w:val="nil"/>
              <w:left w:val="nil"/>
              <w:bottom w:val="single" w:sz="4" w:space="0" w:color="auto"/>
              <w:right w:val="single" w:sz="4" w:space="0" w:color="auto"/>
            </w:tcBorders>
            <w:shd w:val="clear" w:color="auto" w:fill="auto"/>
            <w:noWrap/>
            <w:vAlign w:val="bottom"/>
            <w:hideMark/>
          </w:tcPr>
          <w:p w14:paraId="444CD31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-5 870</w:t>
            </w:r>
          </w:p>
        </w:tc>
      </w:tr>
      <w:tr w:rsidR="00913134" w:rsidRPr="002A0876" w14:paraId="6C2BDA92"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F40D45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w:t>
            </w:r>
          </w:p>
        </w:tc>
        <w:tc>
          <w:tcPr>
            <w:tcW w:w="7010" w:type="dxa"/>
            <w:tcBorders>
              <w:top w:val="nil"/>
              <w:left w:val="nil"/>
              <w:bottom w:val="single" w:sz="4" w:space="0" w:color="auto"/>
              <w:right w:val="single" w:sz="4" w:space="0" w:color="auto"/>
            </w:tcBorders>
            <w:shd w:val="clear" w:color="auto" w:fill="auto"/>
            <w:noWrap/>
            <w:vAlign w:val="bottom"/>
            <w:hideMark/>
          </w:tcPr>
          <w:p w14:paraId="751F2FAC"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"RTU Inženierzinātņu vidusskola"</w:t>
            </w:r>
          </w:p>
        </w:tc>
        <w:tc>
          <w:tcPr>
            <w:tcW w:w="1985" w:type="dxa"/>
            <w:tcBorders>
              <w:top w:val="nil"/>
              <w:left w:val="nil"/>
              <w:bottom w:val="single" w:sz="4" w:space="0" w:color="auto"/>
              <w:right w:val="single" w:sz="4" w:space="0" w:color="auto"/>
            </w:tcBorders>
            <w:shd w:val="clear" w:color="auto" w:fill="auto"/>
            <w:noWrap/>
            <w:vAlign w:val="bottom"/>
            <w:hideMark/>
          </w:tcPr>
          <w:p w14:paraId="4874D57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350 000</w:t>
            </w:r>
          </w:p>
        </w:tc>
        <w:tc>
          <w:tcPr>
            <w:tcW w:w="1984" w:type="dxa"/>
            <w:tcBorders>
              <w:top w:val="nil"/>
              <w:left w:val="nil"/>
              <w:bottom w:val="single" w:sz="4" w:space="0" w:color="auto"/>
              <w:right w:val="single" w:sz="4" w:space="0" w:color="auto"/>
            </w:tcBorders>
            <w:shd w:val="clear" w:color="auto" w:fill="auto"/>
            <w:noWrap/>
            <w:vAlign w:val="bottom"/>
            <w:hideMark/>
          </w:tcPr>
          <w:p w14:paraId="452F0DE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348 000</w:t>
            </w:r>
          </w:p>
        </w:tc>
        <w:tc>
          <w:tcPr>
            <w:tcW w:w="2127" w:type="dxa"/>
            <w:tcBorders>
              <w:top w:val="nil"/>
              <w:left w:val="nil"/>
              <w:bottom w:val="single" w:sz="4" w:space="0" w:color="auto"/>
              <w:right w:val="single" w:sz="4" w:space="0" w:color="auto"/>
            </w:tcBorders>
            <w:shd w:val="clear" w:color="auto" w:fill="auto"/>
            <w:noWrap/>
            <w:vAlign w:val="bottom"/>
            <w:hideMark/>
          </w:tcPr>
          <w:p w14:paraId="39361E0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2 000</w:t>
            </w:r>
          </w:p>
        </w:tc>
      </w:tr>
      <w:tr w:rsidR="00913134" w:rsidRPr="002A0876" w14:paraId="7F454AC9"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96D0AE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w:t>
            </w:r>
          </w:p>
        </w:tc>
        <w:tc>
          <w:tcPr>
            <w:tcW w:w="7010" w:type="dxa"/>
            <w:tcBorders>
              <w:top w:val="nil"/>
              <w:left w:val="nil"/>
              <w:bottom w:val="single" w:sz="4" w:space="0" w:color="auto"/>
              <w:right w:val="single" w:sz="4" w:space="0" w:color="auto"/>
            </w:tcBorders>
            <w:shd w:val="clear" w:color="auto" w:fill="auto"/>
            <w:noWrap/>
            <w:vAlign w:val="bottom"/>
            <w:hideMark/>
          </w:tcPr>
          <w:p w14:paraId="1748F18E"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"Latvijas Universitātes nekustamā īpašuma aģentūra"</w:t>
            </w:r>
          </w:p>
        </w:tc>
        <w:tc>
          <w:tcPr>
            <w:tcW w:w="1985" w:type="dxa"/>
            <w:tcBorders>
              <w:top w:val="nil"/>
              <w:left w:val="nil"/>
              <w:bottom w:val="single" w:sz="4" w:space="0" w:color="auto"/>
              <w:right w:val="single" w:sz="4" w:space="0" w:color="auto"/>
            </w:tcBorders>
            <w:shd w:val="clear" w:color="auto" w:fill="auto"/>
            <w:noWrap/>
            <w:vAlign w:val="bottom"/>
            <w:hideMark/>
          </w:tcPr>
          <w:p w14:paraId="646784B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725A454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0C21945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61C401D5"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052F82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w:t>
            </w:r>
          </w:p>
        </w:tc>
        <w:tc>
          <w:tcPr>
            <w:tcW w:w="7010" w:type="dxa"/>
            <w:tcBorders>
              <w:top w:val="nil"/>
              <w:left w:val="nil"/>
              <w:bottom w:val="single" w:sz="4" w:space="0" w:color="auto"/>
              <w:right w:val="single" w:sz="4" w:space="0" w:color="auto"/>
            </w:tcBorders>
            <w:shd w:val="clear" w:color="auto" w:fill="auto"/>
            <w:noWrap/>
            <w:vAlign w:val="bottom"/>
            <w:hideMark/>
          </w:tcPr>
          <w:p w14:paraId="2A06E92E"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"Bulduru Dārzkopības vidusskola"</w:t>
            </w:r>
          </w:p>
        </w:tc>
        <w:tc>
          <w:tcPr>
            <w:tcW w:w="1985" w:type="dxa"/>
            <w:tcBorders>
              <w:top w:val="nil"/>
              <w:left w:val="nil"/>
              <w:bottom w:val="single" w:sz="4" w:space="0" w:color="auto"/>
              <w:right w:val="single" w:sz="4" w:space="0" w:color="auto"/>
            </w:tcBorders>
            <w:shd w:val="clear" w:color="auto" w:fill="auto"/>
            <w:noWrap/>
            <w:vAlign w:val="bottom"/>
            <w:hideMark/>
          </w:tcPr>
          <w:p w14:paraId="662C4A9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525 000</w:t>
            </w:r>
          </w:p>
        </w:tc>
        <w:tc>
          <w:tcPr>
            <w:tcW w:w="1984" w:type="dxa"/>
            <w:tcBorders>
              <w:top w:val="nil"/>
              <w:left w:val="nil"/>
              <w:bottom w:val="single" w:sz="4" w:space="0" w:color="auto"/>
              <w:right w:val="single" w:sz="4" w:space="0" w:color="auto"/>
            </w:tcBorders>
            <w:shd w:val="clear" w:color="auto" w:fill="auto"/>
            <w:noWrap/>
            <w:vAlign w:val="bottom"/>
            <w:hideMark/>
          </w:tcPr>
          <w:p w14:paraId="4C36B4F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664 500</w:t>
            </w:r>
          </w:p>
        </w:tc>
        <w:tc>
          <w:tcPr>
            <w:tcW w:w="2127" w:type="dxa"/>
            <w:tcBorders>
              <w:top w:val="nil"/>
              <w:left w:val="nil"/>
              <w:bottom w:val="single" w:sz="4" w:space="0" w:color="auto"/>
              <w:right w:val="single" w:sz="4" w:space="0" w:color="auto"/>
            </w:tcBorders>
            <w:shd w:val="clear" w:color="auto" w:fill="auto"/>
            <w:noWrap/>
            <w:vAlign w:val="bottom"/>
            <w:hideMark/>
          </w:tcPr>
          <w:p w14:paraId="69C911F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-139 500</w:t>
            </w:r>
          </w:p>
        </w:tc>
      </w:tr>
      <w:tr w:rsidR="00913134" w:rsidRPr="002A0876" w14:paraId="1DCCAE37" w14:textId="77777777" w:rsidTr="002A0876">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729F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w:t>
            </w:r>
          </w:p>
        </w:tc>
        <w:tc>
          <w:tcPr>
            <w:tcW w:w="7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0A2B2"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Attīstības finanšu institūcija Altum"</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E5D9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26 691 612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8EB9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16 206 928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26D6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10 484 684</w:t>
            </w:r>
          </w:p>
        </w:tc>
      </w:tr>
      <w:tr w:rsidR="00913134" w:rsidRPr="002A0876" w14:paraId="137EE520" w14:textId="77777777" w:rsidTr="006C7EFD">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42F9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w:t>
            </w:r>
          </w:p>
        </w:tc>
        <w:tc>
          <w:tcPr>
            <w:tcW w:w="7010" w:type="dxa"/>
            <w:tcBorders>
              <w:top w:val="single" w:sz="4" w:space="0" w:color="auto"/>
              <w:left w:val="nil"/>
              <w:bottom w:val="single" w:sz="4" w:space="0" w:color="auto"/>
              <w:right w:val="single" w:sz="4" w:space="0" w:color="auto"/>
            </w:tcBorders>
            <w:shd w:val="clear" w:color="auto" w:fill="auto"/>
            <w:noWrap/>
            <w:vAlign w:val="bottom"/>
            <w:hideMark/>
          </w:tcPr>
          <w:p w14:paraId="62E3D714"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"Šampētera nams"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BEFED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1 925 000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F428EF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1 906 552</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7744B7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18 448</w:t>
            </w:r>
          </w:p>
        </w:tc>
      </w:tr>
      <w:tr w:rsidR="00913134" w:rsidRPr="002A0876" w14:paraId="7D7BC5FD" w14:textId="77777777" w:rsidTr="006C7EFD">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8C38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w:t>
            </w:r>
          </w:p>
        </w:tc>
        <w:tc>
          <w:tcPr>
            <w:tcW w:w="7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1259F"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Koncerti”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D24F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1 305 000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0209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1 302 500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06E7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2 500</w:t>
            </w:r>
          </w:p>
        </w:tc>
      </w:tr>
      <w:tr w:rsidR="00913134" w:rsidRPr="002A0876" w14:paraId="7FA29D41" w14:textId="77777777" w:rsidTr="006C7EFD">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7828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w:t>
            </w:r>
          </w:p>
        </w:tc>
        <w:tc>
          <w:tcPr>
            <w:tcW w:w="7010" w:type="dxa"/>
            <w:tcBorders>
              <w:top w:val="single" w:sz="4" w:space="0" w:color="auto"/>
              <w:left w:val="nil"/>
              <w:bottom w:val="single" w:sz="4" w:space="0" w:color="auto"/>
              <w:right w:val="single" w:sz="4" w:space="0" w:color="auto"/>
            </w:tcBorders>
            <w:shd w:val="clear" w:color="auto" w:fill="auto"/>
            <w:noWrap/>
            <w:vAlign w:val="bottom"/>
            <w:hideMark/>
          </w:tcPr>
          <w:p w14:paraId="6E076C8D"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"Valmieras drāmas teātris"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DDC529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1 207 307</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858232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1 152 528</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84A260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54 779</w:t>
            </w:r>
          </w:p>
        </w:tc>
      </w:tr>
      <w:tr w:rsidR="00913134" w:rsidRPr="002A0876" w14:paraId="2948B47B"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C77D35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w:t>
            </w:r>
          </w:p>
        </w:tc>
        <w:tc>
          <w:tcPr>
            <w:tcW w:w="7010" w:type="dxa"/>
            <w:tcBorders>
              <w:top w:val="nil"/>
              <w:left w:val="nil"/>
              <w:bottom w:val="single" w:sz="4" w:space="0" w:color="auto"/>
              <w:right w:val="single" w:sz="4" w:space="0" w:color="auto"/>
            </w:tcBorders>
            <w:shd w:val="clear" w:color="auto" w:fill="auto"/>
            <w:noWrap/>
            <w:vAlign w:val="bottom"/>
            <w:hideMark/>
          </w:tcPr>
          <w:p w14:paraId="3BF31C27"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"Daugavpils teātris"</w:t>
            </w:r>
          </w:p>
        </w:tc>
        <w:tc>
          <w:tcPr>
            <w:tcW w:w="1985" w:type="dxa"/>
            <w:tcBorders>
              <w:top w:val="nil"/>
              <w:left w:val="nil"/>
              <w:bottom w:val="single" w:sz="4" w:space="0" w:color="auto"/>
              <w:right w:val="single" w:sz="4" w:space="0" w:color="auto"/>
            </w:tcBorders>
            <w:shd w:val="clear" w:color="auto" w:fill="auto"/>
            <w:noWrap/>
            <w:vAlign w:val="bottom"/>
            <w:hideMark/>
          </w:tcPr>
          <w:p w14:paraId="788BC77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285 150</w:t>
            </w:r>
          </w:p>
        </w:tc>
        <w:tc>
          <w:tcPr>
            <w:tcW w:w="1984" w:type="dxa"/>
            <w:tcBorders>
              <w:top w:val="nil"/>
              <w:left w:val="nil"/>
              <w:bottom w:val="single" w:sz="4" w:space="0" w:color="auto"/>
              <w:right w:val="single" w:sz="4" w:space="0" w:color="auto"/>
            </w:tcBorders>
            <w:shd w:val="clear" w:color="auto" w:fill="auto"/>
            <w:noWrap/>
            <w:vAlign w:val="bottom"/>
            <w:hideMark/>
          </w:tcPr>
          <w:p w14:paraId="256F8B5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344 823</w:t>
            </w:r>
          </w:p>
        </w:tc>
        <w:tc>
          <w:tcPr>
            <w:tcW w:w="2127" w:type="dxa"/>
            <w:tcBorders>
              <w:top w:val="nil"/>
              <w:left w:val="nil"/>
              <w:bottom w:val="single" w:sz="4" w:space="0" w:color="auto"/>
              <w:right w:val="single" w:sz="4" w:space="0" w:color="auto"/>
            </w:tcBorders>
            <w:shd w:val="clear" w:color="auto" w:fill="auto"/>
            <w:noWrap/>
            <w:vAlign w:val="bottom"/>
            <w:hideMark/>
          </w:tcPr>
          <w:p w14:paraId="4340D56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-59 673</w:t>
            </w:r>
          </w:p>
        </w:tc>
      </w:tr>
      <w:tr w:rsidR="00913134" w:rsidRPr="002A0876" w14:paraId="23B7975F"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5408C2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w:t>
            </w:r>
          </w:p>
        </w:tc>
        <w:tc>
          <w:tcPr>
            <w:tcW w:w="7010" w:type="dxa"/>
            <w:tcBorders>
              <w:top w:val="nil"/>
              <w:left w:val="nil"/>
              <w:bottom w:val="single" w:sz="4" w:space="0" w:color="auto"/>
              <w:right w:val="single" w:sz="4" w:space="0" w:color="auto"/>
            </w:tcBorders>
            <w:shd w:val="clear" w:color="auto" w:fill="auto"/>
            <w:noWrap/>
            <w:vAlign w:val="bottom"/>
            <w:hideMark/>
          </w:tcPr>
          <w:p w14:paraId="784D9A3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Nacionālais teātris"</w:t>
            </w:r>
          </w:p>
        </w:tc>
        <w:tc>
          <w:tcPr>
            <w:tcW w:w="1985" w:type="dxa"/>
            <w:tcBorders>
              <w:top w:val="nil"/>
              <w:left w:val="nil"/>
              <w:bottom w:val="single" w:sz="4" w:space="0" w:color="auto"/>
              <w:right w:val="single" w:sz="4" w:space="0" w:color="auto"/>
            </w:tcBorders>
            <w:shd w:val="clear" w:color="auto" w:fill="auto"/>
            <w:noWrap/>
            <w:vAlign w:val="bottom"/>
            <w:hideMark/>
          </w:tcPr>
          <w:p w14:paraId="54223F5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2 050 500</w:t>
            </w:r>
          </w:p>
        </w:tc>
        <w:tc>
          <w:tcPr>
            <w:tcW w:w="1984" w:type="dxa"/>
            <w:tcBorders>
              <w:top w:val="nil"/>
              <w:left w:val="nil"/>
              <w:bottom w:val="single" w:sz="4" w:space="0" w:color="auto"/>
              <w:right w:val="single" w:sz="4" w:space="0" w:color="auto"/>
            </w:tcBorders>
            <w:shd w:val="clear" w:color="auto" w:fill="auto"/>
            <w:noWrap/>
            <w:vAlign w:val="bottom"/>
            <w:hideMark/>
          </w:tcPr>
          <w:p w14:paraId="40E3F2B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2 049 300</w:t>
            </w:r>
          </w:p>
        </w:tc>
        <w:tc>
          <w:tcPr>
            <w:tcW w:w="2127" w:type="dxa"/>
            <w:tcBorders>
              <w:top w:val="nil"/>
              <w:left w:val="nil"/>
              <w:bottom w:val="single" w:sz="4" w:space="0" w:color="auto"/>
              <w:right w:val="single" w:sz="4" w:space="0" w:color="auto"/>
            </w:tcBorders>
            <w:shd w:val="clear" w:color="auto" w:fill="auto"/>
            <w:noWrap/>
            <w:vAlign w:val="bottom"/>
            <w:hideMark/>
          </w:tcPr>
          <w:p w14:paraId="03E2829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1 200</w:t>
            </w:r>
          </w:p>
        </w:tc>
      </w:tr>
      <w:tr w:rsidR="00913134" w:rsidRPr="002A0876" w14:paraId="1F7D0175"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536CEC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w:t>
            </w:r>
          </w:p>
        </w:tc>
        <w:tc>
          <w:tcPr>
            <w:tcW w:w="7010" w:type="dxa"/>
            <w:tcBorders>
              <w:top w:val="nil"/>
              <w:left w:val="nil"/>
              <w:bottom w:val="single" w:sz="4" w:space="0" w:color="auto"/>
              <w:right w:val="single" w:sz="4" w:space="0" w:color="auto"/>
            </w:tcBorders>
            <w:shd w:val="clear" w:color="auto" w:fill="auto"/>
            <w:noWrap/>
            <w:vAlign w:val="bottom"/>
            <w:hideMark/>
          </w:tcPr>
          <w:p w14:paraId="32A8B6FD"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Nacionālais simfoniskais orķestris"</w:t>
            </w:r>
          </w:p>
        </w:tc>
        <w:tc>
          <w:tcPr>
            <w:tcW w:w="1985" w:type="dxa"/>
            <w:tcBorders>
              <w:top w:val="nil"/>
              <w:left w:val="nil"/>
              <w:bottom w:val="single" w:sz="4" w:space="0" w:color="auto"/>
              <w:right w:val="single" w:sz="4" w:space="0" w:color="auto"/>
            </w:tcBorders>
            <w:shd w:val="clear" w:color="auto" w:fill="auto"/>
            <w:noWrap/>
            <w:vAlign w:val="bottom"/>
            <w:hideMark/>
          </w:tcPr>
          <w:p w14:paraId="0D80CEF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609 420</w:t>
            </w:r>
          </w:p>
        </w:tc>
        <w:tc>
          <w:tcPr>
            <w:tcW w:w="1984" w:type="dxa"/>
            <w:tcBorders>
              <w:top w:val="nil"/>
              <w:left w:val="nil"/>
              <w:bottom w:val="single" w:sz="4" w:space="0" w:color="auto"/>
              <w:right w:val="single" w:sz="4" w:space="0" w:color="auto"/>
            </w:tcBorders>
            <w:shd w:val="clear" w:color="auto" w:fill="auto"/>
            <w:noWrap/>
            <w:vAlign w:val="bottom"/>
            <w:hideMark/>
          </w:tcPr>
          <w:p w14:paraId="218FD4E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602 221</w:t>
            </w:r>
          </w:p>
        </w:tc>
        <w:tc>
          <w:tcPr>
            <w:tcW w:w="2127" w:type="dxa"/>
            <w:tcBorders>
              <w:top w:val="nil"/>
              <w:left w:val="nil"/>
              <w:bottom w:val="single" w:sz="4" w:space="0" w:color="auto"/>
              <w:right w:val="single" w:sz="4" w:space="0" w:color="auto"/>
            </w:tcBorders>
            <w:shd w:val="clear" w:color="auto" w:fill="auto"/>
            <w:noWrap/>
            <w:vAlign w:val="bottom"/>
            <w:hideMark/>
          </w:tcPr>
          <w:p w14:paraId="25E6BA1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7 199</w:t>
            </w:r>
          </w:p>
        </w:tc>
      </w:tr>
      <w:tr w:rsidR="00913134" w:rsidRPr="002A0876" w14:paraId="66D51419"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9ADB2D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w:t>
            </w:r>
          </w:p>
        </w:tc>
        <w:tc>
          <w:tcPr>
            <w:tcW w:w="7010" w:type="dxa"/>
            <w:tcBorders>
              <w:top w:val="nil"/>
              <w:left w:val="nil"/>
              <w:bottom w:val="single" w:sz="4" w:space="0" w:color="auto"/>
              <w:right w:val="single" w:sz="4" w:space="0" w:color="auto"/>
            </w:tcBorders>
            <w:shd w:val="clear" w:color="auto" w:fill="auto"/>
            <w:noWrap/>
            <w:vAlign w:val="bottom"/>
            <w:hideMark/>
          </w:tcPr>
          <w:p w14:paraId="37B25A3D"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Nacionālā opera un balets”</w:t>
            </w:r>
          </w:p>
        </w:tc>
        <w:tc>
          <w:tcPr>
            <w:tcW w:w="1985" w:type="dxa"/>
            <w:tcBorders>
              <w:top w:val="nil"/>
              <w:left w:val="nil"/>
              <w:bottom w:val="single" w:sz="4" w:space="0" w:color="auto"/>
              <w:right w:val="single" w:sz="4" w:space="0" w:color="auto"/>
            </w:tcBorders>
            <w:shd w:val="clear" w:color="auto" w:fill="auto"/>
            <w:noWrap/>
            <w:vAlign w:val="bottom"/>
            <w:hideMark/>
          </w:tcPr>
          <w:p w14:paraId="503CAD3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3 700 000</w:t>
            </w:r>
          </w:p>
        </w:tc>
        <w:tc>
          <w:tcPr>
            <w:tcW w:w="1984" w:type="dxa"/>
            <w:tcBorders>
              <w:top w:val="nil"/>
              <w:left w:val="nil"/>
              <w:bottom w:val="single" w:sz="4" w:space="0" w:color="auto"/>
              <w:right w:val="single" w:sz="4" w:space="0" w:color="auto"/>
            </w:tcBorders>
            <w:shd w:val="clear" w:color="auto" w:fill="auto"/>
            <w:noWrap/>
            <w:vAlign w:val="bottom"/>
            <w:hideMark/>
          </w:tcPr>
          <w:p w14:paraId="42CE667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3 690 000</w:t>
            </w:r>
          </w:p>
        </w:tc>
        <w:tc>
          <w:tcPr>
            <w:tcW w:w="2127" w:type="dxa"/>
            <w:tcBorders>
              <w:top w:val="nil"/>
              <w:left w:val="nil"/>
              <w:bottom w:val="single" w:sz="4" w:space="0" w:color="auto"/>
              <w:right w:val="single" w:sz="4" w:space="0" w:color="auto"/>
            </w:tcBorders>
            <w:shd w:val="clear" w:color="auto" w:fill="auto"/>
            <w:noWrap/>
            <w:vAlign w:val="bottom"/>
            <w:hideMark/>
          </w:tcPr>
          <w:p w14:paraId="033D6EE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10 000</w:t>
            </w:r>
          </w:p>
        </w:tc>
      </w:tr>
      <w:tr w:rsidR="00913134" w:rsidRPr="002A0876" w14:paraId="3863BD1C"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770DE0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w:t>
            </w:r>
          </w:p>
        </w:tc>
        <w:tc>
          <w:tcPr>
            <w:tcW w:w="7010" w:type="dxa"/>
            <w:tcBorders>
              <w:top w:val="nil"/>
              <w:left w:val="nil"/>
              <w:bottom w:val="single" w:sz="4" w:space="0" w:color="auto"/>
              <w:right w:val="single" w:sz="4" w:space="0" w:color="auto"/>
            </w:tcBorders>
            <w:shd w:val="clear" w:color="auto" w:fill="auto"/>
            <w:vAlign w:val="bottom"/>
            <w:hideMark/>
          </w:tcPr>
          <w:p w14:paraId="6003507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"Valsts Akadēmiskais koris "Latvija""</w:t>
            </w:r>
          </w:p>
        </w:tc>
        <w:tc>
          <w:tcPr>
            <w:tcW w:w="1985" w:type="dxa"/>
            <w:tcBorders>
              <w:top w:val="nil"/>
              <w:left w:val="nil"/>
              <w:bottom w:val="single" w:sz="4" w:space="0" w:color="auto"/>
              <w:right w:val="single" w:sz="4" w:space="0" w:color="auto"/>
            </w:tcBorders>
            <w:shd w:val="clear" w:color="auto" w:fill="auto"/>
            <w:noWrap/>
            <w:vAlign w:val="bottom"/>
            <w:hideMark/>
          </w:tcPr>
          <w:p w14:paraId="7A32EAD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220 000</w:t>
            </w:r>
          </w:p>
        </w:tc>
        <w:tc>
          <w:tcPr>
            <w:tcW w:w="1984" w:type="dxa"/>
            <w:tcBorders>
              <w:top w:val="nil"/>
              <w:left w:val="nil"/>
              <w:bottom w:val="single" w:sz="4" w:space="0" w:color="auto"/>
              <w:right w:val="single" w:sz="4" w:space="0" w:color="auto"/>
            </w:tcBorders>
            <w:shd w:val="clear" w:color="auto" w:fill="auto"/>
            <w:noWrap/>
            <w:vAlign w:val="bottom"/>
            <w:hideMark/>
          </w:tcPr>
          <w:p w14:paraId="0E679BB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222 800</w:t>
            </w:r>
          </w:p>
        </w:tc>
        <w:tc>
          <w:tcPr>
            <w:tcW w:w="2127" w:type="dxa"/>
            <w:tcBorders>
              <w:top w:val="nil"/>
              <w:left w:val="nil"/>
              <w:bottom w:val="single" w:sz="4" w:space="0" w:color="auto"/>
              <w:right w:val="single" w:sz="4" w:space="0" w:color="auto"/>
            </w:tcBorders>
            <w:shd w:val="clear" w:color="auto" w:fill="auto"/>
            <w:noWrap/>
            <w:vAlign w:val="bottom"/>
            <w:hideMark/>
          </w:tcPr>
          <w:p w14:paraId="37CC6C4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-2 800</w:t>
            </w:r>
          </w:p>
        </w:tc>
      </w:tr>
      <w:tr w:rsidR="00913134" w:rsidRPr="002A0876" w14:paraId="63281FF3"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55AADA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w:t>
            </w:r>
          </w:p>
        </w:tc>
        <w:tc>
          <w:tcPr>
            <w:tcW w:w="7010" w:type="dxa"/>
            <w:tcBorders>
              <w:top w:val="nil"/>
              <w:left w:val="nil"/>
              <w:bottom w:val="single" w:sz="4" w:space="0" w:color="auto"/>
              <w:right w:val="single" w:sz="4" w:space="0" w:color="auto"/>
            </w:tcBorders>
            <w:shd w:val="clear" w:color="auto" w:fill="auto"/>
            <w:vAlign w:val="bottom"/>
            <w:hideMark/>
          </w:tcPr>
          <w:p w14:paraId="62C5526F"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"Liepājas Simfoniskais orķestris"</w:t>
            </w:r>
          </w:p>
        </w:tc>
        <w:tc>
          <w:tcPr>
            <w:tcW w:w="1985" w:type="dxa"/>
            <w:tcBorders>
              <w:top w:val="nil"/>
              <w:left w:val="nil"/>
              <w:bottom w:val="single" w:sz="4" w:space="0" w:color="auto"/>
              <w:right w:val="single" w:sz="4" w:space="0" w:color="auto"/>
            </w:tcBorders>
            <w:shd w:val="clear" w:color="auto" w:fill="auto"/>
            <w:noWrap/>
            <w:vAlign w:val="bottom"/>
            <w:hideMark/>
          </w:tcPr>
          <w:p w14:paraId="46F859F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301 215</w:t>
            </w:r>
          </w:p>
        </w:tc>
        <w:tc>
          <w:tcPr>
            <w:tcW w:w="1984" w:type="dxa"/>
            <w:tcBorders>
              <w:top w:val="nil"/>
              <w:left w:val="nil"/>
              <w:bottom w:val="single" w:sz="4" w:space="0" w:color="auto"/>
              <w:right w:val="single" w:sz="4" w:space="0" w:color="auto"/>
            </w:tcBorders>
            <w:shd w:val="clear" w:color="auto" w:fill="auto"/>
            <w:noWrap/>
            <w:vAlign w:val="bottom"/>
            <w:hideMark/>
          </w:tcPr>
          <w:p w14:paraId="409F68C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266 814</w:t>
            </w:r>
          </w:p>
        </w:tc>
        <w:tc>
          <w:tcPr>
            <w:tcW w:w="2127" w:type="dxa"/>
            <w:tcBorders>
              <w:top w:val="nil"/>
              <w:left w:val="nil"/>
              <w:bottom w:val="single" w:sz="4" w:space="0" w:color="auto"/>
              <w:right w:val="single" w:sz="4" w:space="0" w:color="auto"/>
            </w:tcBorders>
            <w:shd w:val="clear" w:color="auto" w:fill="auto"/>
            <w:noWrap/>
            <w:vAlign w:val="bottom"/>
            <w:hideMark/>
          </w:tcPr>
          <w:p w14:paraId="3E83D8F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34 401</w:t>
            </w:r>
          </w:p>
        </w:tc>
      </w:tr>
      <w:tr w:rsidR="00913134" w:rsidRPr="002A0876" w14:paraId="36FA64B2"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55E966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w:t>
            </w:r>
          </w:p>
        </w:tc>
        <w:tc>
          <w:tcPr>
            <w:tcW w:w="7010" w:type="dxa"/>
            <w:tcBorders>
              <w:top w:val="nil"/>
              <w:left w:val="nil"/>
              <w:bottom w:val="single" w:sz="4" w:space="0" w:color="auto"/>
              <w:right w:val="single" w:sz="4" w:space="0" w:color="auto"/>
            </w:tcBorders>
            <w:shd w:val="clear" w:color="auto" w:fill="auto"/>
            <w:noWrap/>
            <w:vAlign w:val="bottom"/>
            <w:hideMark/>
          </w:tcPr>
          <w:p w14:paraId="68BCC130"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"Rīgas cirks"</w:t>
            </w:r>
          </w:p>
        </w:tc>
        <w:tc>
          <w:tcPr>
            <w:tcW w:w="1985" w:type="dxa"/>
            <w:tcBorders>
              <w:top w:val="nil"/>
              <w:left w:val="nil"/>
              <w:bottom w:val="single" w:sz="4" w:space="0" w:color="auto"/>
              <w:right w:val="single" w:sz="4" w:space="0" w:color="auto"/>
            </w:tcBorders>
            <w:shd w:val="clear" w:color="auto" w:fill="auto"/>
            <w:noWrap/>
            <w:vAlign w:val="bottom"/>
            <w:hideMark/>
          </w:tcPr>
          <w:p w14:paraId="2C4C2B2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146 000</w:t>
            </w:r>
          </w:p>
        </w:tc>
        <w:tc>
          <w:tcPr>
            <w:tcW w:w="1984" w:type="dxa"/>
            <w:tcBorders>
              <w:top w:val="nil"/>
              <w:left w:val="nil"/>
              <w:bottom w:val="single" w:sz="4" w:space="0" w:color="auto"/>
              <w:right w:val="single" w:sz="4" w:space="0" w:color="auto"/>
            </w:tcBorders>
            <w:shd w:val="clear" w:color="auto" w:fill="auto"/>
            <w:noWrap/>
            <w:vAlign w:val="bottom"/>
            <w:hideMark/>
          </w:tcPr>
          <w:p w14:paraId="011F388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304 337</w:t>
            </w:r>
          </w:p>
        </w:tc>
        <w:tc>
          <w:tcPr>
            <w:tcW w:w="2127" w:type="dxa"/>
            <w:tcBorders>
              <w:top w:val="nil"/>
              <w:left w:val="nil"/>
              <w:bottom w:val="single" w:sz="4" w:space="0" w:color="auto"/>
              <w:right w:val="single" w:sz="4" w:space="0" w:color="auto"/>
            </w:tcBorders>
            <w:shd w:val="clear" w:color="auto" w:fill="auto"/>
            <w:noWrap/>
            <w:vAlign w:val="bottom"/>
            <w:hideMark/>
          </w:tcPr>
          <w:p w14:paraId="25C94F7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-158 337</w:t>
            </w:r>
          </w:p>
        </w:tc>
      </w:tr>
      <w:tr w:rsidR="00913134" w:rsidRPr="002A0876" w14:paraId="740D751F"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EF5C53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w:t>
            </w:r>
          </w:p>
        </w:tc>
        <w:tc>
          <w:tcPr>
            <w:tcW w:w="7010" w:type="dxa"/>
            <w:tcBorders>
              <w:top w:val="nil"/>
              <w:left w:val="nil"/>
              <w:bottom w:val="single" w:sz="4" w:space="0" w:color="auto"/>
              <w:right w:val="single" w:sz="4" w:space="0" w:color="auto"/>
            </w:tcBorders>
            <w:shd w:val="clear" w:color="auto" w:fill="auto"/>
            <w:noWrap/>
            <w:vAlign w:val="bottom"/>
            <w:hideMark/>
          </w:tcPr>
          <w:p w14:paraId="759A8D5D"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"Starptautiskā Rakstnieku un tulkotāju māja"</w:t>
            </w:r>
          </w:p>
        </w:tc>
        <w:tc>
          <w:tcPr>
            <w:tcW w:w="1985" w:type="dxa"/>
            <w:tcBorders>
              <w:top w:val="nil"/>
              <w:left w:val="nil"/>
              <w:bottom w:val="single" w:sz="4" w:space="0" w:color="auto"/>
              <w:right w:val="single" w:sz="4" w:space="0" w:color="auto"/>
            </w:tcBorders>
            <w:shd w:val="clear" w:color="auto" w:fill="auto"/>
            <w:noWrap/>
            <w:vAlign w:val="bottom"/>
            <w:hideMark/>
          </w:tcPr>
          <w:p w14:paraId="452E1B3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7 500</w:t>
            </w:r>
          </w:p>
        </w:tc>
        <w:tc>
          <w:tcPr>
            <w:tcW w:w="1984" w:type="dxa"/>
            <w:tcBorders>
              <w:top w:val="nil"/>
              <w:left w:val="nil"/>
              <w:bottom w:val="single" w:sz="4" w:space="0" w:color="auto"/>
              <w:right w:val="single" w:sz="4" w:space="0" w:color="auto"/>
            </w:tcBorders>
            <w:shd w:val="clear" w:color="auto" w:fill="auto"/>
            <w:noWrap/>
            <w:vAlign w:val="bottom"/>
            <w:hideMark/>
          </w:tcPr>
          <w:p w14:paraId="14D65B7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4 512</w:t>
            </w:r>
          </w:p>
        </w:tc>
        <w:tc>
          <w:tcPr>
            <w:tcW w:w="2127" w:type="dxa"/>
            <w:tcBorders>
              <w:top w:val="nil"/>
              <w:left w:val="nil"/>
              <w:bottom w:val="single" w:sz="4" w:space="0" w:color="auto"/>
              <w:right w:val="single" w:sz="4" w:space="0" w:color="auto"/>
            </w:tcBorders>
            <w:shd w:val="clear" w:color="auto" w:fill="auto"/>
            <w:noWrap/>
            <w:vAlign w:val="bottom"/>
            <w:hideMark/>
          </w:tcPr>
          <w:p w14:paraId="7E7F488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2 988</w:t>
            </w:r>
          </w:p>
        </w:tc>
      </w:tr>
      <w:tr w:rsidR="00913134" w:rsidRPr="002A0876" w14:paraId="550698CF"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35314A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w:t>
            </w:r>
          </w:p>
        </w:tc>
        <w:tc>
          <w:tcPr>
            <w:tcW w:w="7010" w:type="dxa"/>
            <w:tcBorders>
              <w:top w:val="nil"/>
              <w:left w:val="nil"/>
              <w:bottom w:val="single" w:sz="4" w:space="0" w:color="auto"/>
              <w:right w:val="single" w:sz="4" w:space="0" w:color="auto"/>
            </w:tcBorders>
            <w:shd w:val="clear" w:color="auto" w:fill="auto"/>
            <w:noWrap/>
            <w:vAlign w:val="bottom"/>
            <w:hideMark/>
          </w:tcPr>
          <w:p w14:paraId="654B53C1"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"Mihaila Čehova Rīgas Krievu teātris"</w:t>
            </w:r>
          </w:p>
        </w:tc>
        <w:tc>
          <w:tcPr>
            <w:tcW w:w="1985" w:type="dxa"/>
            <w:tcBorders>
              <w:top w:val="nil"/>
              <w:left w:val="nil"/>
              <w:bottom w:val="single" w:sz="4" w:space="0" w:color="auto"/>
              <w:right w:val="single" w:sz="4" w:space="0" w:color="auto"/>
            </w:tcBorders>
            <w:shd w:val="clear" w:color="auto" w:fill="auto"/>
            <w:noWrap/>
            <w:vAlign w:val="bottom"/>
            <w:hideMark/>
          </w:tcPr>
          <w:p w14:paraId="15D9093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1 650 000</w:t>
            </w:r>
          </w:p>
        </w:tc>
        <w:tc>
          <w:tcPr>
            <w:tcW w:w="1984" w:type="dxa"/>
            <w:tcBorders>
              <w:top w:val="nil"/>
              <w:left w:val="nil"/>
              <w:bottom w:val="single" w:sz="4" w:space="0" w:color="auto"/>
              <w:right w:val="single" w:sz="4" w:space="0" w:color="auto"/>
            </w:tcBorders>
            <w:shd w:val="clear" w:color="auto" w:fill="auto"/>
            <w:noWrap/>
            <w:vAlign w:val="bottom"/>
            <w:hideMark/>
          </w:tcPr>
          <w:p w14:paraId="4242CD8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1 710 000</w:t>
            </w:r>
          </w:p>
        </w:tc>
        <w:tc>
          <w:tcPr>
            <w:tcW w:w="2127" w:type="dxa"/>
            <w:tcBorders>
              <w:top w:val="nil"/>
              <w:left w:val="nil"/>
              <w:bottom w:val="single" w:sz="4" w:space="0" w:color="auto"/>
              <w:right w:val="single" w:sz="4" w:space="0" w:color="auto"/>
            </w:tcBorders>
            <w:shd w:val="clear" w:color="auto" w:fill="auto"/>
            <w:noWrap/>
            <w:vAlign w:val="bottom"/>
            <w:hideMark/>
          </w:tcPr>
          <w:p w14:paraId="17D4AD3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-60 000</w:t>
            </w:r>
          </w:p>
        </w:tc>
      </w:tr>
      <w:tr w:rsidR="00913134" w:rsidRPr="002A0876" w14:paraId="31335740"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921180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w:t>
            </w:r>
          </w:p>
        </w:tc>
        <w:tc>
          <w:tcPr>
            <w:tcW w:w="7010" w:type="dxa"/>
            <w:tcBorders>
              <w:top w:val="nil"/>
              <w:left w:val="nil"/>
              <w:bottom w:val="single" w:sz="4" w:space="0" w:color="auto"/>
              <w:right w:val="single" w:sz="4" w:space="0" w:color="auto"/>
            </w:tcBorders>
            <w:shd w:val="clear" w:color="auto" w:fill="auto"/>
            <w:noWrap/>
            <w:vAlign w:val="bottom"/>
            <w:hideMark/>
          </w:tcPr>
          <w:p w14:paraId="05A30AA1"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Leļļu teātris"</w:t>
            </w:r>
          </w:p>
        </w:tc>
        <w:tc>
          <w:tcPr>
            <w:tcW w:w="1985" w:type="dxa"/>
            <w:tcBorders>
              <w:top w:val="nil"/>
              <w:left w:val="nil"/>
              <w:bottom w:val="single" w:sz="4" w:space="0" w:color="auto"/>
              <w:right w:val="single" w:sz="4" w:space="0" w:color="auto"/>
            </w:tcBorders>
            <w:shd w:val="clear" w:color="auto" w:fill="auto"/>
            <w:noWrap/>
            <w:vAlign w:val="bottom"/>
            <w:hideMark/>
          </w:tcPr>
          <w:p w14:paraId="5ADB666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312 000</w:t>
            </w:r>
          </w:p>
        </w:tc>
        <w:tc>
          <w:tcPr>
            <w:tcW w:w="1984" w:type="dxa"/>
            <w:tcBorders>
              <w:top w:val="nil"/>
              <w:left w:val="nil"/>
              <w:bottom w:val="single" w:sz="4" w:space="0" w:color="auto"/>
              <w:right w:val="single" w:sz="4" w:space="0" w:color="auto"/>
            </w:tcBorders>
            <w:shd w:val="clear" w:color="auto" w:fill="auto"/>
            <w:noWrap/>
            <w:vAlign w:val="bottom"/>
            <w:hideMark/>
          </w:tcPr>
          <w:p w14:paraId="2DF3714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302 960</w:t>
            </w:r>
          </w:p>
        </w:tc>
        <w:tc>
          <w:tcPr>
            <w:tcW w:w="2127" w:type="dxa"/>
            <w:tcBorders>
              <w:top w:val="nil"/>
              <w:left w:val="nil"/>
              <w:bottom w:val="single" w:sz="4" w:space="0" w:color="auto"/>
              <w:right w:val="single" w:sz="4" w:space="0" w:color="auto"/>
            </w:tcBorders>
            <w:shd w:val="clear" w:color="auto" w:fill="auto"/>
            <w:noWrap/>
            <w:vAlign w:val="bottom"/>
            <w:hideMark/>
          </w:tcPr>
          <w:p w14:paraId="6F4E7D8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9 040</w:t>
            </w:r>
          </w:p>
        </w:tc>
      </w:tr>
      <w:tr w:rsidR="00913134" w:rsidRPr="002A0876" w14:paraId="40987365"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9A7019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w:t>
            </w:r>
          </w:p>
        </w:tc>
        <w:tc>
          <w:tcPr>
            <w:tcW w:w="7010" w:type="dxa"/>
            <w:tcBorders>
              <w:top w:val="nil"/>
              <w:left w:val="nil"/>
              <w:bottom w:val="single" w:sz="4" w:space="0" w:color="auto"/>
              <w:right w:val="single" w:sz="4" w:space="0" w:color="auto"/>
            </w:tcBorders>
            <w:shd w:val="clear" w:color="auto" w:fill="auto"/>
            <w:noWrap/>
            <w:vAlign w:val="bottom"/>
            <w:hideMark/>
          </w:tcPr>
          <w:p w14:paraId="36F53222"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"Tiesu namu aģentūra"</w:t>
            </w:r>
          </w:p>
        </w:tc>
        <w:tc>
          <w:tcPr>
            <w:tcW w:w="1985" w:type="dxa"/>
            <w:tcBorders>
              <w:top w:val="nil"/>
              <w:left w:val="nil"/>
              <w:bottom w:val="single" w:sz="4" w:space="0" w:color="auto"/>
              <w:right w:val="single" w:sz="4" w:space="0" w:color="auto"/>
            </w:tcBorders>
            <w:shd w:val="clear" w:color="auto" w:fill="auto"/>
            <w:noWrap/>
            <w:vAlign w:val="bottom"/>
            <w:hideMark/>
          </w:tcPr>
          <w:p w14:paraId="77911D3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7 870 000</w:t>
            </w:r>
          </w:p>
        </w:tc>
        <w:tc>
          <w:tcPr>
            <w:tcW w:w="1984" w:type="dxa"/>
            <w:tcBorders>
              <w:top w:val="nil"/>
              <w:left w:val="nil"/>
              <w:bottom w:val="single" w:sz="4" w:space="0" w:color="auto"/>
              <w:right w:val="single" w:sz="4" w:space="0" w:color="auto"/>
            </w:tcBorders>
            <w:shd w:val="clear" w:color="auto" w:fill="auto"/>
            <w:noWrap/>
            <w:vAlign w:val="bottom"/>
            <w:hideMark/>
          </w:tcPr>
          <w:p w14:paraId="151B93A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6 158 000</w:t>
            </w:r>
          </w:p>
        </w:tc>
        <w:tc>
          <w:tcPr>
            <w:tcW w:w="2127" w:type="dxa"/>
            <w:tcBorders>
              <w:top w:val="nil"/>
              <w:left w:val="nil"/>
              <w:bottom w:val="single" w:sz="4" w:space="0" w:color="auto"/>
              <w:right w:val="single" w:sz="4" w:space="0" w:color="auto"/>
            </w:tcBorders>
            <w:shd w:val="clear" w:color="auto" w:fill="auto"/>
            <w:noWrap/>
            <w:vAlign w:val="bottom"/>
            <w:hideMark/>
          </w:tcPr>
          <w:p w14:paraId="5DFCA6D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1 712 000</w:t>
            </w:r>
          </w:p>
        </w:tc>
      </w:tr>
      <w:tr w:rsidR="00913134" w:rsidRPr="002A0876" w14:paraId="72965F54"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38FD0D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w:t>
            </w:r>
          </w:p>
        </w:tc>
        <w:tc>
          <w:tcPr>
            <w:tcW w:w="7010" w:type="dxa"/>
            <w:tcBorders>
              <w:top w:val="nil"/>
              <w:left w:val="nil"/>
              <w:bottom w:val="single" w:sz="4" w:space="0" w:color="auto"/>
              <w:right w:val="single" w:sz="4" w:space="0" w:color="auto"/>
            </w:tcBorders>
            <w:shd w:val="clear" w:color="auto" w:fill="auto"/>
            <w:noWrap/>
            <w:vAlign w:val="bottom"/>
            <w:hideMark/>
          </w:tcPr>
          <w:p w14:paraId="2F4CB30F"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"Valsts nekustamie īpašumi"</w:t>
            </w:r>
          </w:p>
        </w:tc>
        <w:tc>
          <w:tcPr>
            <w:tcW w:w="1985" w:type="dxa"/>
            <w:tcBorders>
              <w:top w:val="nil"/>
              <w:left w:val="nil"/>
              <w:bottom w:val="single" w:sz="4" w:space="0" w:color="auto"/>
              <w:right w:val="single" w:sz="4" w:space="0" w:color="auto"/>
            </w:tcBorders>
            <w:shd w:val="clear" w:color="auto" w:fill="auto"/>
            <w:noWrap/>
            <w:vAlign w:val="bottom"/>
            <w:hideMark/>
          </w:tcPr>
          <w:p w14:paraId="2C7E1B3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40 819 860</w:t>
            </w:r>
          </w:p>
        </w:tc>
        <w:tc>
          <w:tcPr>
            <w:tcW w:w="1984" w:type="dxa"/>
            <w:tcBorders>
              <w:top w:val="nil"/>
              <w:left w:val="nil"/>
              <w:bottom w:val="single" w:sz="4" w:space="0" w:color="auto"/>
              <w:right w:val="single" w:sz="4" w:space="0" w:color="auto"/>
            </w:tcBorders>
            <w:shd w:val="clear" w:color="auto" w:fill="auto"/>
            <w:noWrap/>
            <w:vAlign w:val="bottom"/>
            <w:hideMark/>
          </w:tcPr>
          <w:p w14:paraId="7CE6115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44 235 662</w:t>
            </w:r>
          </w:p>
        </w:tc>
        <w:tc>
          <w:tcPr>
            <w:tcW w:w="2127" w:type="dxa"/>
            <w:tcBorders>
              <w:top w:val="nil"/>
              <w:left w:val="nil"/>
              <w:bottom w:val="single" w:sz="4" w:space="0" w:color="auto"/>
              <w:right w:val="single" w:sz="4" w:space="0" w:color="auto"/>
            </w:tcBorders>
            <w:shd w:val="clear" w:color="auto" w:fill="auto"/>
            <w:noWrap/>
            <w:vAlign w:val="bottom"/>
            <w:hideMark/>
          </w:tcPr>
          <w:p w14:paraId="2134686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-3 415 802</w:t>
            </w:r>
          </w:p>
        </w:tc>
      </w:tr>
      <w:tr w:rsidR="00913134" w:rsidRPr="002A0876" w14:paraId="544078A3"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DD41BE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w:t>
            </w:r>
          </w:p>
        </w:tc>
        <w:tc>
          <w:tcPr>
            <w:tcW w:w="7010" w:type="dxa"/>
            <w:tcBorders>
              <w:top w:val="nil"/>
              <w:left w:val="nil"/>
              <w:bottom w:val="single" w:sz="4" w:space="0" w:color="auto"/>
              <w:right w:val="single" w:sz="4" w:space="0" w:color="auto"/>
            </w:tcBorders>
            <w:shd w:val="clear" w:color="auto" w:fill="auto"/>
            <w:noWrap/>
            <w:vAlign w:val="bottom"/>
            <w:hideMark/>
          </w:tcPr>
          <w:p w14:paraId="1D3ED5C5"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"Vides investīciju fonds”</w:t>
            </w:r>
          </w:p>
        </w:tc>
        <w:tc>
          <w:tcPr>
            <w:tcW w:w="1985" w:type="dxa"/>
            <w:tcBorders>
              <w:top w:val="nil"/>
              <w:left w:val="nil"/>
              <w:bottom w:val="single" w:sz="4" w:space="0" w:color="auto"/>
              <w:right w:val="single" w:sz="4" w:space="0" w:color="auto"/>
            </w:tcBorders>
            <w:shd w:val="clear" w:color="auto" w:fill="auto"/>
            <w:noWrap/>
            <w:vAlign w:val="bottom"/>
            <w:hideMark/>
          </w:tcPr>
          <w:p w14:paraId="0E9B952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570 352</w:t>
            </w:r>
          </w:p>
        </w:tc>
        <w:tc>
          <w:tcPr>
            <w:tcW w:w="1984" w:type="dxa"/>
            <w:tcBorders>
              <w:top w:val="nil"/>
              <w:left w:val="nil"/>
              <w:bottom w:val="single" w:sz="4" w:space="0" w:color="auto"/>
              <w:right w:val="single" w:sz="4" w:space="0" w:color="auto"/>
            </w:tcBorders>
            <w:shd w:val="clear" w:color="auto" w:fill="auto"/>
            <w:noWrap/>
            <w:vAlign w:val="bottom"/>
            <w:hideMark/>
          </w:tcPr>
          <w:p w14:paraId="01B6921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489 798</w:t>
            </w:r>
          </w:p>
        </w:tc>
        <w:tc>
          <w:tcPr>
            <w:tcW w:w="2127" w:type="dxa"/>
            <w:tcBorders>
              <w:top w:val="nil"/>
              <w:left w:val="nil"/>
              <w:bottom w:val="single" w:sz="4" w:space="0" w:color="auto"/>
              <w:right w:val="single" w:sz="4" w:space="0" w:color="auto"/>
            </w:tcBorders>
            <w:shd w:val="clear" w:color="auto" w:fill="auto"/>
            <w:noWrap/>
            <w:vAlign w:val="bottom"/>
            <w:hideMark/>
          </w:tcPr>
          <w:p w14:paraId="540EBB9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80 554</w:t>
            </w:r>
          </w:p>
        </w:tc>
      </w:tr>
      <w:tr w:rsidR="00913134" w:rsidRPr="002A0876" w14:paraId="051B656D"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860E6B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w:t>
            </w:r>
          </w:p>
        </w:tc>
        <w:tc>
          <w:tcPr>
            <w:tcW w:w="7010" w:type="dxa"/>
            <w:tcBorders>
              <w:top w:val="nil"/>
              <w:left w:val="nil"/>
              <w:bottom w:val="single" w:sz="4" w:space="0" w:color="auto"/>
              <w:right w:val="single" w:sz="4" w:space="0" w:color="auto"/>
            </w:tcBorders>
            <w:shd w:val="clear" w:color="auto" w:fill="auto"/>
            <w:noWrap/>
            <w:vAlign w:val="bottom"/>
            <w:hideMark/>
          </w:tcPr>
          <w:p w14:paraId="487F2091"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Vides, ģeoloģijas un meteoroloģijas centrs"</w:t>
            </w:r>
          </w:p>
        </w:tc>
        <w:tc>
          <w:tcPr>
            <w:tcW w:w="1985" w:type="dxa"/>
            <w:tcBorders>
              <w:top w:val="nil"/>
              <w:left w:val="nil"/>
              <w:bottom w:val="single" w:sz="4" w:space="0" w:color="auto"/>
              <w:right w:val="single" w:sz="4" w:space="0" w:color="auto"/>
            </w:tcBorders>
            <w:shd w:val="clear" w:color="auto" w:fill="auto"/>
            <w:noWrap/>
            <w:vAlign w:val="bottom"/>
            <w:hideMark/>
          </w:tcPr>
          <w:p w14:paraId="501135B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2 499 550</w:t>
            </w:r>
          </w:p>
        </w:tc>
        <w:tc>
          <w:tcPr>
            <w:tcW w:w="1984" w:type="dxa"/>
            <w:tcBorders>
              <w:top w:val="nil"/>
              <w:left w:val="nil"/>
              <w:bottom w:val="single" w:sz="4" w:space="0" w:color="auto"/>
              <w:right w:val="single" w:sz="4" w:space="0" w:color="auto"/>
            </w:tcBorders>
            <w:shd w:val="clear" w:color="auto" w:fill="auto"/>
            <w:noWrap/>
            <w:vAlign w:val="bottom"/>
            <w:hideMark/>
          </w:tcPr>
          <w:p w14:paraId="3F467B8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2 632 477</w:t>
            </w:r>
          </w:p>
        </w:tc>
        <w:tc>
          <w:tcPr>
            <w:tcW w:w="2127" w:type="dxa"/>
            <w:tcBorders>
              <w:top w:val="nil"/>
              <w:left w:val="nil"/>
              <w:bottom w:val="single" w:sz="4" w:space="0" w:color="auto"/>
              <w:right w:val="single" w:sz="4" w:space="0" w:color="auto"/>
            </w:tcBorders>
            <w:shd w:val="clear" w:color="auto" w:fill="auto"/>
            <w:noWrap/>
            <w:vAlign w:val="bottom"/>
            <w:hideMark/>
          </w:tcPr>
          <w:p w14:paraId="0DFEDAC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-132 927</w:t>
            </w:r>
          </w:p>
        </w:tc>
      </w:tr>
      <w:tr w:rsidR="00913134" w:rsidRPr="002A0876" w14:paraId="441C20BC"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70EC05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23</w:t>
            </w:r>
          </w:p>
        </w:tc>
        <w:tc>
          <w:tcPr>
            <w:tcW w:w="7010" w:type="dxa"/>
            <w:tcBorders>
              <w:top w:val="nil"/>
              <w:left w:val="nil"/>
              <w:bottom w:val="single" w:sz="4" w:space="0" w:color="auto"/>
              <w:right w:val="single" w:sz="4" w:space="0" w:color="auto"/>
            </w:tcBorders>
            <w:shd w:val="clear" w:color="auto" w:fill="auto"/>
            <w:noWrap/>
            <w:vAlign w:val="bottom"/>
            <w:hideMark/>
          </w:tcPr>
          <w:p w14:paraId="5BF6B1B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Televīzija"</w:t>
            </w:r>
          </w:p>
        </w:tc>
        <w:tc>
          <w:tcPr>
            <w:tcW w:w="1985" w:type="dxa"/>
            <w:tcBorders>
              <w:top w:val="nil"/>
              <w:left w:val="nil"/>
              <w:bottom w:val="single" w:sz="4" w:space="0" w:color="auto"/>
              <w:right w:val="single" w:sz="4" w:space="0" w:color="auto"/>
            </w:tcBorders>
            <w:shd w:val="clear" w:color="auto" w:fill="auto"/>
            <w:noWrap/>
            <w:vAlign w:val="bottom"/>
            <w:hideMark/>
          </w:tcPr>
          <w:p w14:paraId="220C6B9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471 488</w:t>
            </w:r>
          </w:p>
        </w:tc>
        <w:tc>
          <w:tcPr>
            <w:tcW w:w="1984" w:type="dxa"/>
            <w:tcBorders>
              <w:top w:val="nil"/>
              <w:left w:val="nil"/>
              <w:bottom w:val="single" w:sz="4" w:space="0" w:color="auto"/>
              <w:right w:val="single" w:sz="4" w:space="0" w:color="auto"/>
            </w:tcBorders>
            <w:shd w:val="clear" w:color="auto" w:fill="auto"/>
            <w:noWrap/>
            <w:vAlign w:val="bottom"/>
            <w:hideMark/>
          </w:tcPr>
          <w:p w14:paraId="5189070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55 919</w:t>
            </w:r>
          </w:p>
        </w:tc>
        <w:tc>
          <w:tcPr>
            <w:tcW w:w="2127" w:type="dxa"/>
            <w:tcBorders>
              <w:top w:val="nil"/>
              <w:left w:val="nil"/>
              <w:bottom w:val="single" w:sz="4" w:space="0" w:color="auto"/>
              <w:right w:val="single" w:sz="4" w:space="0" w:color="auto"/>
            </w:tcBorders>
            <w:shd w:val="clear" w:color="auto" w:fill="auto"/>
            <w:noWrap/>
            <w:vAlign w:val="bottom"/>
            <w:hideMark/>
          </w:tcPr>
          <w:p w14:paraId="10DE883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415 569</w:t>
            </w:r>
          </w:p>
        </w:tc>
      </w:tr>
      <w:tr w:rsidR="00913134" w:rsidRPr="002A0876" w14:paraId="1CB39FD3"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620B11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24</w:t>
            </w:r>
          </w:p>
        </w:tc>
        <w:tc>
          <w:tcPr>
            <w:tcW w:w="7010" w:type="dxa"/>
            <w:tcBorders>
              <w:top w:val="nil"/>
              <w:left w:val="nil"/>
              <w:bottom w:val="single" w:sz="4" w:space="0" w:color="auto"/>
              <w:right w:val="single" w:sz="4" w:space="0" w:color="auto"/>
            </w:tcBorders>
            <w:shd w:val="clear" w:color="auto" w:fill="auto"/>
            <w:noWrap/>
            <w:vAlign w:val="bottom"/>
            <w:hideMark/>
          </w:tcPr>
          <w:p w14:paraId="2F360B82"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"LatRailNet"</w:t>
            </w:r>
          </w:p>
        </w:tc>
        <w:tc>
          <w:tcPr>
            <w:tcW w:w="1985" w:type="dxa"/>
            <w:tcBorders>
              <w:top w:val="nil"/>
              <w:left w:val="nil"/>
              <w:bottom w:val="single" w:sz="4" w:space="0" w:color="auto"/>
              <w:right w:val="single" w:sz="4" w:space="0" w:color="auto"/>
            </w:tcBorders>
            <w:shd w:val="clear" w:color="auto" w:fill="auto"/>
            <w:noWrap/>
            <w:vAlign w:val="bottom"/>
            <w:hideMark/>
          </w:tcPr>
          <w:p w14:paraId="4764396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1 182 000</w:t>
            </w:r>
          </w:p>
        </w:tc>
        <w:tc>
          <w:tcPr>
            <w:tcW w:w="1984" w:type="dxa"/>
            <w:tcBorders>
              <w:top w:val="nil"/>
              <w:left w:val="nil"/>
              <w:bottom w:val="single" w:sz="4" w:space="0" w:color="auto"/>
              <w:right w:val="single" w:sz="4" w:space="0" w:color="auto"/>
            </w:tcBorders>
            <w:shd w:val="clear" w:color="auto" w:fill="auto"/>
            <w:noWrap/>
            <w:vAlign w:val="bottom"/>
            <w:hideMark/>
          </w:tcPr>
          <w:p w14:paraId="6AFA8FE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1 206 000</w:t>
            </w:r>
          </w:p>
        </w:tc>
        <w:tc>
          <w:tcPr>
            <w:tcW w:w="2127" w:type="dxa"/>
            <w:tcBorders>
              <w:top w:val="nil"/>
              <w:left w:val="nil"/>
              <w:bottom w:val="single" w:sz="4" w:space="0" w:color="auto"/>
              <w:right w:val="single" w:sz="4" w:space="0" w:color="auto"/>
            </w:tcBorders>
            <w:shd w:val="clear" w:color="auto" w:fill="auto"/>
            <w:noWrap/>
            <w:vAlign w:val="bottom"/>
            <w:hideMark/>
          </w:tcPr>
          <w:p w14:paraId="296EDA2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-24 000</w:t>
            </w:r>
          </w:p>
        </w:tc>
      </w:tr>
      <w:tr w:rsidR="00913134" w:rsidRPr="002A0876" w14:paraId="2BECDFE3"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207281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25</w:t>
            </w:r>
          </w:p>
        </w:tc>
        <w:tc>
          <w:tcPr>
            <w:tcW w:w="7010" w:type="dxa"/>
            <w:tcBorders>
              <w:top w:val="nil"/>
              <w:left w:val="nil"/>
              <w:bottom w:val="single" w:sz="4" w:space="0" w:color="auto"/>
              <w:right w:val="single" w:sz="4" w:space="0" w:color="auto"/>
            </w:tcBorders>
            <w:shd w:val="clear" w:color="auto" w:fill="auto"/>
            <w:noWrap/>
            <w:vAlign w:val="bottom"/>
            <w:hideMark/>
          </w:tcPr>
          <w:p w14:paraId="5799A3F1"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Valsts ceļi"</w:t>
            </w:r>
          </w:p>
        </w:tc>
        <w:tc>
          <w:tcPr>
            <w:tcW w:w="1985" w:type="dxa"/>
            <w:tcBorders>
              <w:top w:val="nil"/>
              <w:left w:val="nil"/>
              <w:bottom w:val="single" w:sz="4" w:space="0" w:color="auto"/>
              <w:right w:val="single" w:sz="4" w:space="0" w:color="auto"/>
            </w:tcBorders>
            <w:shd w:val="clear" w:color="auto" w:fill="auto"/>
            <w:noWrap/>
            <w:vAlign w:val="bottom"/>
            <w:hideMark/>
          </w:tcPr>
          <w:p w14:paraId="3C33271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15 600 000</w:t>
            </w:r>
          </w:p>
        </w:tc>
        <w:tc>
          <w:tcPr>
            <w:tcW w:w="1984" w:type="dxa"/>
            <w:tcBorders>
              <w:top w:val="nil"/>
              <w:left w:val="nil"/>
              <w:bottom w:val="single" w:sz="4" w:space="0" w:color="auto"/>
              <w:right w:val="single" w:sz="4" w:space="0" w:color="auto"/>
            </w:tcBorders>
            <w:shd w:val="clear" w:color="auto" w:fill="auto"/>
            <w:noWrap/>
            <w:vAlign w:val="bottom"/>
            <w:hideMark/>
          </w:tcPr>
          <w:p w14:paraId="1170B08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15 546 900</w:t>
            </w:r>
          </w:p>
        </w:tc>
        <w:tc>
          <w:tcPr>
            <w:tcW w:w="2127" w:type="dxa"/>
            <w:tcBorders>
              <w:top w:val="nil"/>
              <w:left w:val="nil"/>
              <w:bottom w:val="single" w:sz="4" w:space="0" w:color="auto"/>
              <w:right w:val="single" w:sz="4" w:space="0" w:color="auto"/>
            </w:tcBorders>
            <w:shd w:val="clear" w:color="auto" w:fill="auto"/>
            <w:noWrap/>
            <w:vAlign w:val="bottom"/>
            <w:hideMark/>
          </w:tcPr>
          <w:p w14:paraId="2B31ADF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53 100</w:t>
            </w:r>
          </w:p>
        </w:tc>
      </w:tr>
      <w:tr w:rsidR="00913134" w:rsidRPr="002A0876" w14:paraId="6DAAE163"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955CF8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w:t>
            </w:r>
          </w:p>
        </w:tc>
        <w:tc>
          <w:tcPr>
            <w:tcW w:w="7010" w:type="dxa"/>
            <w:tcBorders>
              <w:top w:val="nil"/>
              <w:left w:val="nil"/>
              <w:bottom w:val="single" w:sz="4" w:space="0" w:color="auto"/>
              <w:right w:val="single" w:sz="4" w:space="0" w:color="auto"/>
            </w:tcBorders>
            <w:shd w:val="clear" w:color="auto" w:fill="auto"/>
            <w:noWrap/>
            <w:vAlign w:val="bottom"/>
            <w:hideMark/>
          </w:tcPr>
          <w:p w14:paraId="2C07FDA9"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"Autotransporta direkcija"</w:t>
            </w:r>
          </w:p>
        </w:tc>
        <w:tc>
          <w:tcPr>
            <w:tcW w:w="1985" w:type="dxa"/>
            <w:tcBorders>
              <w:top w:val="nil"/>
              <w:left w:val="nil"/>
              <w:bottom w:val="single" w:sz="4" w:space="0" w:color="auto"/>
              <w:right w:val="single" w:sz="4" w:space="0" w:color="auto"/>
            </w:tcBorders>
            <w:shd w:val="clear" w:color="auto" w:fill="auto"/>
            <w:noWrap/>
            <w:vAlign w:val="bottom"/>
            <w:hideMark/>
          </w:tcPr>
          <w:p w14:paraId="499B010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4 289 154</w:t>
            </w:r>
          </w:p>
        </w:tc>
        <w:tc>
          <w:tcPr>
            <w:tcW w:w="1984" w:type="dxa"/>
            <w:tcBorders>
              <w:top w:val="nil"/>
              <w:left w:val="nil"/>
              <w:bottom w:val="single" w:sz="4" w:space="0" w:color="auto"/>
              <w:right w:val="single" w:sz="4" w:space="0" w:color="auto"/>
            </w:tcBorders>
            <w:shd w:val="clear" w:color="auto" w:fill="auto"/>
            <w:noWrap/>
            <w:vAlign w:val="bottom"/>
            <w:hideMark/>
          </w:tcPr>
          <w:p w14:paraId="5A83521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3 725 855</w:t>
            </w:r>
          </w:p>
        </w:tc>
        <w:tc>
          <w:tcPr>
            <w:tcW w:w="2127" w:type="dxa"/>
            <w:tcBorders>
              <w:top w:val="nil"/>
              <w:left w:val="nil"/>
              <w:bottom w:val="single" w:sz="4" w:space="0" w:color="auto"/>
              <w:right w:val="single" w:sz="4" w:space="0" w:color="auto"/>
            </w:tcBorders>
            <w:shd w:val="clear" w:color="auto" w:fill="auto"/>
            <w:noWrap/>
            <w:vAlign w:val="bottom"/>
            <w:hideMark/>
          </w:tcPr>
          <w:p w14:paraId="7AF03EE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563 299</w:t>
            </w:r>
          </w:p>
        </w:tc>
      </w:tr>
      <w:tr w:rsidR="00913134" w:rsidRPr="002A0876" w14:paraId="5CABDFDB"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F95845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27</w:t>
            </w:r>
          </w:p>
        </w:tc>
        <w:tc>
          <w:tcPr>
            <w:tcW w:w="7010" w:type="dxa"/>
            <w:tcBorders>
              <w:top w:val="nil"/>
              <w:left w:val="nil"/>
              <w:bottom w:val="single" w:sz="4" w:space="0" w:color="auto"/>
              <w:right w:val="single" w:sz="4" w:space="0" w:color="auto"/>
            </w:tcBorders>
            <w:shd w:val="clear" w:color="auto" w:fill="auto"/>
            <w:noWrap/>
            <w:vAlign w:val="bottom"/>
            <w:hideMark/>
          </w:tcPr>
          <w:p w14:paraId="360283FA"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autoceļu uzturētājs"</w:t>
            </w:r>
          </w:p>
        </w:tc>
        <w:tc>
          <w:tcPr>
            <w:tcW w:w="1985" w:type="dxa"/>
            <w:tcBorders>
              <w:top w:val="nil"/>
              <w:left w:val="nil"/>
              <w:bottom w:val="single" w:sz="4" w:space="0" w:color="auto"/>
              <w:right w:val="single" w:sz="4" w:space="0" w:color="auto"/>
            </w:tcBorders>
            <w:shd w:val="clear" w:color="auto" w:fill="auto"/>
            <w:noWrap/>
            <w:vAlign w:val="bottom"/>
            <w:hideMark/>
          </w:tcPr>
          <w:p w14:paraId="198DD22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81 653 400</w:t>
            </w:r>
          </w:p>
        </w:tc>
        <w:tc>
          <w:tcPr>
            <w:tcW w:w="1984" w:type="dxa"/>
            <w:tcBorders>
              <w:top w:val="nil"/>
              <w:left w:val="nil"/>
              <w:bottom w:val="single" w:sz="4" w:space="0" w:color="auto"/>
              <w:right w:val="single" w:sz="4" w:space="0" w:color="auto"/>
            </w:tcBorders>
            <w:shd w:val="clear" w:color="auto" w:fill="auto"/>
            <w:noWrap/>
            <w:vAlign w:val="bottom"/>
            <w:hideMark/>
          </w:tcPr>
          <w:p w14:paraId="70C4152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80 002 800</w:t>
            </w:r>
          </w:p>
        </w:tc>
        <w:tc>
          <w:tcPr>
            <w:tcW w:w="2127" w:type="dxa"/>
            <w:tcBorders>
              <w:top w:val="nil"/>
              <w:left w:val="nil"/>
              <w:bottom w:val="single" w:sz="4" w:space="0" w:color="auto"/>
              <w:right w:val="single" w:sz="4" w:space="0" w:color="auto"/>
            </w:tcBorders>
            <w:shd w:val="clear" w:color="auto" w:fill="auto"/>
            <w:noWrap/>
            <w:vAlign w:val="bottom"/>
            <w:hideMark/>
          </w:tcPr>
          <w:p w14:paraId="2D6D7EF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1 650 600</w:t>
            </w:r>
          </w:p>
        </w:tc>
      </w:tr>
      <w:tr w:rsidR="00913134" w:rsidRPr="002A0876" w14:paraId="00B70E11"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8B7BB8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w:t>
            </w:r>
          </w:p>
        </w:tc>
        <w:tc>
          <w:tcPr>
            <w:tcW w:w="7010" w:type="dxa"/>
            <w:tcBorders>
              <w:top w:val="nil"/>
              <w:left w:val="nil"/>
              <w:bottom w:val="single" w:sz="4" w:space="0" w:color="auto"/>
              <w:right w:val="single" w:sz="4" w:space="0" w:color="auto"/>
            </w:tcBorders>
            <w:shd w:val="clear" w:color="auto" w:fill="auto"/>
            <w:noWrap/>
            <w:vAlign w:val="bottom"/>
            <w:hideMark/>
          </w:tcPr>
          <w:p w14:paraId="4BA15A1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SIA “Eiropas dzelzceļa līnijas” </w:t>
            </w:r>
          </w:p>
        </w:tc>
        <w:tc>
          <w:tcPr>
            <w:tcW w:w="1985" w:type="dxa"/>
            <w:tcBorders>
              <w:top w:val="nil"/>
              <w:left w:val="nil"/>
              <w:bottom w:val="single" w:sz="4" w:space="0" w:color="auto"/>
              <w:right w:val="single" w:sz="4" w:space="0" w:color="auto"/>
            </w:tcBorders>
            <w:shd w:val="clear" w:color="auto" w:fill="auto"/>
            <w:noWrap/>
            <w:vAlign w:val="bottom"/>
            <w:hideMark/>
          </w:tcPr>
          <w:p w14:paraId="080A2BD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0940271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7D27F38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45401F97"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9A34B5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29</w:t>
            </w:r>
          </w:p>
        </w:tc>
        <w:tc>
          <w:tcPr>
            <w:tcW w:w="7010" w:type="dxa"/>
            <w:tcBorders>
              <w:top w:val="nil"/>
              <w:left w:val="nil"/>
              <w:bottom w:val="single" w:sz="4" w:space="0" w:color="auto"/>
              <w:right w:val="single" w:sz="4" w:space="0" w:color="auto"/>
            </w:tcBorders>
            <w:shd w:val="clear" w:color="auto" w:fill="auto"/>
            <w:noWrap/>
            <w:vAlign w:val="bottom"/>
            <w:hideMark/>
          </w:tcPr>
          <w:p w14:paraId="588D0B30"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“Zemkopības ministrijas nekustamie īpašumi”</w:t>
            </w:r>
          </w:p>
        </w:tc>
        <w:tc>
          <w:tcPr>
            <w:tcW w:w="1985" w:type="dxa"/>
            <w:tcBorders>
              <w:top w:val="nil"/>
              <w:left w:val="nil"/>
              <w:bottom w:val="single" w:sz="4" w:space="0" w:color="auto"/>
              <w:right w:val="single" w:sz="4" w:space="0" w:color="auto"/>
            </w:tcBorders>
            <w:shd w:val="clear" w:color="auto" w:fill="auto"/>
            <w:noWrap/>
            <w:vAlign w:val="bottom"/>
            <w:hideMark/>
          </w:tcPr>
          <w:p w14:paraId="35F30E9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2 094 000</w:t>
            </w:r>
          </w:p>
        </w:tc>
        <w:tc>
          <w:tcPr>
            <w:tcW w:w="1984" w:type="dxa"/>
            <w:tcBorders>
              <w:top w:val="nil"/>
              <w:left w:val="nil"/>
              <w:bottom w:val="single" w:sz="4" w:space="0" w:color="auto"/>
              <w:right w:val="single" w:sz="4" w:space="0" w:color="auto"/>
            </w:tcBorders>
            <w:shd w:val="clear" w:color="auto" w:fill="auto"/>
            <w:noWrap/>
            <w:vAlign w:val="bottom"/>
            <w:hideMark/>
          </w:tcPr>
          <w:p w14:paraId="4883601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2 039 000</w:t>
            </w:r>
          </w:p>
        </w:tc>
        <w:tc>
          <w:tcPr>
            <w:tcW w:w="2127" w:type="dxa"/>
            <w:tcBorders>
              <w:top w:val="nil"/>
              <w:left w:val="nil"/>
              <w:bottom w:val="single" w:sz="4" w:space="0" w:color="auto"/>
              <w:right w:val="single" w:sz="4" w:space="0" w:color="auto"/>
            </w:tcBorders>
            <w:shd w:val="clear" w:color="auto" w:fill="auto"/>
            <w:noWrap/>
            <w:vAlign w:val="bottom"/>
            <w:hideMark/>
          </w:tcPr>
          <w:p w14:paraId="7309424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55 000</w:t>
            </w:r>
          </w:p>
        </w:tc>
      </w:tr>
      <w:tr w:rsidR="00913134" w:rsidRPr="002A0876" w14:paraId="233E6195"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808CB7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w:t>
            </w:r>
          </w:p>
        </w:tc>
        <w:tc>
          <w:tcPr>
            <w:tcW w:w="7010" w:type="dxa"/>
            <w:tcBorders>
              <w:top w:val="nil"/>
              <w:left w:val="nil"/>
              <w:bottom w:val="single" w:sz="4" w:space="0" w:color="auto"/>
              <w:right w:val="single" w:sz="4" w:space="0" w:color="auto"/>
            </w:tcBorders>
            <w:shd w:val="clear" w:color="auto" w:fill="auto"/>
            <w:noWrap/>
            <w:vAlign w:val="bottom"/>
            <w:hideMark/>
          </w:tcPr>
          <w:p w14:paraId="14730F8B"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Proves birojs”</w:t>
            </w:r>
          </w:p>
        </w:tc>
        <w:tc>
          <w:tcPr>
            <w:tcW w:w="1985" w:type="dxa"/>
            <w:tcBorders>
              <w:top w:val="nil"/>
              <w:left w:val="nil"/>
              <w:bottom w:val="single" w:sz="4" w:space="0" w:color="auto"/>
              <w:right w:val="single" w:sz="4" w:space="0" w:color="auto"/>
            </w:tcBorders>
            <w:shd w:val="clear" w:color="auto" w:fill="auto"/>
            <w:noWrap/>
            <w:vAlign w:val="bottom"/>
            <w:hideMark/>
          </w:tcPr>
          <w:p w14:paraId="1D28038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449 500</w:t>
            </w:r>
          </w:p>
        </w:tc>
        <w:tc>
          <w:tcPr>
            <w:tcW w:w="1984" w:type="dxa"/>
            <w:tcBorders>
              <w:top w:val="nil"/>
              <w:left w:val="nil"/>
              <w:bottom w:val="single" w:sz="4" w:space="0" w:color="auto"/>
              <w:right w:val="single" w:sz="4" w:space="0" w:color="auto"/>
            </w:tcBorders>
            <w:shd w:val="clear" w:color="auto" w:fill="auto"/>
            <w:noWrap/>
            <w:vAlign w:val="bottom"/>
            <w:hideMark/>
          </w:tcPr>
          <w:p w14:paraId="231BA56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531 222</w:t>
            </w:r>
          </w:p>
        </w:tc>
        <w:tc>
          <w:tcPr>
            <w:tcW w:w="2127" w:type="dxa"/>
            <w:tcBorders>
              <w:top w:val="nil"/>
              <w:left w:val="nil"/>
              <w:bottom w:val="single" w:sz="4" w:space="0" w:color="auto"/>
              <w:right w:val="single" w:sz="4" w:space="0" w:color="auto"/>
            </w:tcBorders>
            <w:shd w:val="clear" w:color="auto" w:fill="auto"/>
            <w:noWrap/>
            <w:vAlign w:val="bottom"/>
            <w:hideMark/>
          </w:tcPr>
          <w:p w14:paraId="76A496E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-81 722</w:t>
            </w:r>
          </w:p>
        </w:tc>
      </w:tr>
      <w:tr w:rsidR="00913134" w:rsidRPr="002A0876" w14:paraId="24C84C45" w14:textId="77777777" w:rsidTr="002A0876">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24B3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w:t>
            </w:r>
          </w:p>
        </w:tc>
        <w:tc>
          <w:tcPr>
            <w:tcW w:w="7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BB49A"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"Latvijas standarts"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C3FF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329 952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E3C7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319 408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2B6B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10 544</w:t>
            </w:r>
          </w:p>
        </w:tc>
      </w:tr>
      <w:tr w:rsidR="00913134" w:rsidRPr="002A0876" w14:paraId="367C8E23" w14:textId="77777777" w:rsidTr="002A0876">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2B8F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32</w:t>
            </w:r>
          </w:p>
        </w:tc>
        <w:tc>
          <w:tcPr>
            <w:tcW w:w="7010" w:type="dxa"/>
            <w:tcBorders>
              <w:top w:val="single" w:sz="4" w:space="0" w:color="auto"/>
              <w:left w:val="nil"/>
              <w:bottom w:val="single" w:sz="4" w:space="0" w:color="auto"/>
              <w:right w:val="single" w:sz="4" w:space="0" w:color="auto"/>
            </w:tcBorders>
            <w:shd w:val="clear" w:color="auto" w:fill="auto"/>
            <w:noWrap/>
            <w:vAlign w:val="bottom"/>
            <w:hideMark/>
          </w:tcPr>
          <w:p w14:paraId="561F145A"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"Hiponia"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5CB01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BDD263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4E0F27F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4669E1FE" w14:textId="77777777" w:rsidTr="002A0876">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5AE0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w:t>
            </w:r>
          </w:p>
        </w:tc>
        <w:tc>
          <w:tcPr>
            <w:tcW w:w="7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2302A"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"Reverta"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E8B2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C62F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D0F1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41F56BA7" w14:textId="77777777" w:rsidTr="002A0876">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F9CE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w:t>
            </w:r>
          </w:p>
        </w:tc>
        <w:tc>
          <w:tcPr>
            <w:tcW w:w="7010" w:type="dxa"/>
            <w:tcBorders>
              <w:top w:val="single" w:sz="4" w:space="0" w:color="auto"/>
              <w:left w:val="nil"/>
              <w:bottom w:val="single" w:sz="4" w:space="0" w:color="auto"/>
              <w:right w:val="single" w:sz="4" w:space="0" w:color="auto"/>
            </w:tcBorders>
            <w:shd w:val="clear" w:color="auto" w:fill="auto"/>
            <w:noWrap/>
            <w:vAlign w:val="bottom"/>
            <w:hideMark/>
          </w:tcPr>
          <w:p w14:paraId="5D03E6CB"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"FeLM"</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B9EA8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C668B9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3505FE3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7C892EBF"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F2FB4F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35</w:t>
            </w:r>
          </w:p>
        </w:tc>
        <w:tc>
          <w:tcPr>
            <w:tcW w:w="7010" w:type="dxa"/>
            <w:tcBorders>
              <w:top w:val="nil"/>
              <w:left w:val="nil"/>
              <w:bottom w:val="single" w:sz="4" w:space="0" w:color="auto"/>
              <w:right w:val="single" w:sz="4" w:space="0" w:color="auto"/>
            </w:tcBorders>
            <w:shd w:val="clear" w:color="auto" w:fill="auto"/>
            <w:noWrap/>
            <w:vAlign w:val="bottom"/>
            <w:hideMark/>
          </w:tcPr>
          <w:p w14:paraId="643D6222"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“Publisko aktīvu pārvaldītājs Possessor”</w:t>
            </w:r>
          </w:p>
        </w:tc>
        <w:tc>
          <w:tcPr>
            <w:tcW w:w="1985" w:type="dxa"/>
            <w:tcBorders>
              <w:top w:val="nil"/>
              <w:left w:val="nil"/>
              <w:bottom w:val="single" w:sz="4" w:space="0" w:color="auto"/>
              <w:right w:val="single" w:sz="4" w:space="0" w:color="auto"/>
            </w:tcBorders>
            <w:shd w:val="clear" w:color="auto" w:fill="auto"/>
            <w:noWrap/>
            <w:vAlign w:val="bottom"/>
            <w:hideMark/>
          </w:tcPr>
          <w:p w14:paraId="21EA917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2 496 604</w:t>
            </w:r>
          </w:p>
        </w:tc>
        <w:tc>
          <w:tcPr>
            <w:tcW w:w="1984" w:type="dxa"/>
            <w:tcBorders>
              <w:top w:val="nil"/>
              <w:left w:val="nil"/>
              <w:bottom w:val="single" w:sz="4" w:space="0" w:color="auto"/>
              <w:right w:val="single" w:sz="4" w:space="0" w:color="auto"/>
            </w:tcBorders>
            <w:shd w:val="clear" w:color="auto" w:fill="auto"/>
            <w:noWrap/>
            <w:vAlign w:val="bottom"/>
            <w:hideMark/>
          </w:tcPr>
          <w:p w14:paraId="3EDA3C6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2 714 064</w:t>
            </w:r>
          </w:p>
        </w:tc>
        <w:tc>
          <w:tcPr>
            <w:tcW w:w="2127" w:type="dxa"/>
            <w:tcBorders>
              <w:top w:val="nil"/>
              <w:left w:val="nil"/>
              <w:bottom w:val="single" w:sz="4" w:space="0" w:color="auto"/>
              <w:right w:val="single" w:sz="4" w:space="0" w:color="auto"/>
            </w:tcBorders>
            <w:shd w:val="clear" w:color="auto" w:fill="auto"/>
            <w:noWrap/>
            <w:vAlign w:val="bottom"/>
            <w:hideMark/>
          </w:tcPr>
          <w:p w14:paraId="554CC0B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-217 459</w:t>
            </w:r>
          </w:p>
        </w:tc>
      </w:tr>
      <w:tr w:rsidR="00913134" w:rsidRPr="002A0876" w14:paraId="6977A13F"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5D35D8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36</w:t>
            </w:r>
          </w:p>
        </w:tc>
        <w:tc>
          <w:tcPr>
            <w:tcW w:w="7010" w:type="dxa"/>
            <w:tcBorders>
              <w:top w:val="nil"/>
              <w:left w:val="nil"/>
              <w:bottom w:val="single" w:sz="4" w:space="0" w:color="auto"/>
              <w:right w:val="single" w:sz="4" w:space="0" w:color="auto"/>
            </w:tcBorders>
            <w:shd w:val="clear" w:color="auto" w:fill="auto"/>
            <w:noWrap/>
            <w:vAlign w:val="bottom"/>
            <w:hideMark/>
          </w:tcPr>
          <w:p w14:paraId="08B805E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"REAP"</w:t>
            </w:r>
          </w:p>
        </w:tc>
        <w:tc>
          <w:tcPr>
            <w:tcW w:w="1985" w:type="dxa"/>
            <w:tcBorders>
              <w:top w:val="nil"/>
              <w:left w:val="nil"/>
              <w:bottom w:val="single" w:sz="4" w:space="0" w:color="auto"/>
              <w:right w:val="single" w:sz="4" w:space="0" w:color="auto"/>
            </w:tcBorders>
            <w:shd w:val="clear" w:color="auto" w:fill="auto"/>
            <w:noWrap/>
            <w:vAlign w:val="bottom"/>
            <w:hideMark/>
          </w:tcPr>
          <w:p w14:paraId="16C6F3B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202 500</w:t>
            </w:r>
          </w:p>
        </w:tc>
        <w:tc>
          <w:tcPr>
            <w:tcW w:w="1984" w:type="dxa"/>
            <w:tcBorders>
              <w:top w:val="nil"/>
              <w:left w:val="nil"/>
              <w:bottom w:val="single" w:sz="4" w:space="0" w:color="auto"/>
              <w:right w:val="single" w:sz="4" w:space="0" w:color="auto"/>
            </w:tcBorders>
            <w:shd w:val="clear" w:color="auto" w:fill="auto"/>
            <w:noWrap/>
            <w:vAlign w:val="bottom"/>
            <w:hideMark/>
          </w:tcPr>
          <w:p w14:paraId="69807EE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202 500</w:t>
            </w:r>
          </w:p>
        </w:tc>
        <w:tc>
          <w:tcPr>
            <w:tcW w:w="2127" w:type="dxa"/>
            <w:tcBorders>
              <w:top w:val="nil"/>
              <w:left w:val="nil"/>
              <w:bottom w:val="single" w:sz="4" w:space="0" w:color="auto"/>
              <w:right w:val="single" w:sz="4" w:space="0" w:color="auto"/>
            </w:tcBorders>
            <w:shd w:val="clear" w:color="auto" w:fill="auto"/>
            <w:noWrap/>
            <w:vAlign w:val="bottom"/>
            <w:hideMark/>
          </w:tcPr>
          <w:p w14:paraId="01926D4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7F173344"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D71E74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37</w:t>
            </w:r>
          </w:p>
        </w:tc>
        <w:tc>
          <w:tcPr>
            <w:tcW w:w="7010" w:type="dxa"/>
            <w:tcBorders>
              <w:top w:val="nil"/>
              <w:left w:val="nil"/>
              <w:bottom w:val="single" w:sz="4" w:space="0" w:color="auto"/>
              <w:right w:val="single" w:sz="4" w:space="0" w:color="auto"/>
            </w:tcBorders>
            <w:shd w:val="clear" w:color="auto" w:fill="auto"/>
            <w:noWrap/>
            <w:vAlign w:val="bottom"/>
            <w:hideMark/>
          </w:tcPr>
          <w:p w14:paraId="05C23144"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„Enerģijas publiskais tirgotājs”</w:t>
            </w:r>
          </w:p>
        </w:tc>
        <w:tc>
          <w:tcPr>
            <w:tcW w:w="1985" w:type="dxa"/>
            <w:tcBorders>
              <w:top w:val="nil"/>
              <w:left w:val="nil"/>
              <w:bottom w:val="single" w:sz="4" w:space="0" w:color="auto"/>
              <w:right w:val="single" w:sz="4" w:space="0" w:color="auto"/>
            </w:tcBorders>
            <w:shd w:val="clear" w:color="auto" w:fill="auto"/>
            <w:noWrap/>
            <w:vAlign w:val="bottom"/>
            <w:hideMark/>
          </w:tcPr>
          <w:p w14:paraId="05E8A01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149 793 036</w:t>
            </w:r>
          </w:p>
        </w:tc>
        <w:tc>
          <w:tcPr>
            <w:tcW w:w="1984" w:type="dxa"/>
            <w:tcBorders>
              <w:top w:val="nil"/>
              <w:left w:val="nil"/>
              <w:bottom w:val="single" w:sz="4" w:space="0" w:color="auto"/>
              <w:right w:val="single" w:sz="4" w:space="0" w:color="auto"/>
            </w:tcBorders>
            <w:shd w:val="clear" w:color="auto" w:fill="auto"/>
            <w:noWrap/>
            <w:vAlign w:val="bottom"/>
            <w:hideMark/>
          </w:tcPr>
          <w:p w14:paraId="4852A0D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148 884 230</w:t>
            </w:r>
          </w:p>
        </w:tc>
        <w:tc>
          <w:tcPr>
            <w:tcW w:w="2127" w:type="dxa"/>
            <w:tcBorders>
              <w:top w:val="nil"/>
              <w:left w:val="nil"/>
              <w:bottom w:val="single" w:sz="4" w:space="0" w:color="auto"/>
              <w:right w:val="single" w:sz="4" w:space="0" w:color="auto"/>
            </w:tcBorders>
            <w:shd w:val="clear" w:color="auto" w:fill="auto"/>
            <w:noWrap/>
            <w:vAlign w:val="bottom"/>
            <w:hideMark/>
          </w:tcPr>
          <w:p w14:paraId="24F250E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908 806</w:t>
            </w:r>
          </w:p>
        </w:tc>
      </w:tr>
      <w:tr w:rsidR="00913134" w:rsidRPr="002A0876" w14:paraId="0E48E31E"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816A71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38</w:t>
            </w:r>
          </w:p>
        </w:tc>
        <w:tc>
          <w:tcPr>
            <w:tcW w:w="7010" w:type="dxa"/>
            <w:tcBorders>
              <w:top w:val="nil"/>
              <w:left w:val="nil"/>
              <w:bottom w:val="single" w:sz="4" w:space="0" w:color="auto"/>
              <w:right w:val="single" w:sz="4" w:space="0" w:color="auto"/>
            </w:tcBorders>
            <w:shd w:val="clear" w:color="auto" w:fill="auto"/>
            <w:noWrap/>
            <w:vAlign w:val="bottom"/>
            <w:hideMark/>
          </w:tcPr>
          <w:p w14:paraId="58162DFF"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“Bobsleja un kamaniņu trase”</w:t>
            </w:r>
          </w:p>
        </w:tc>
        <w:tc>
          <w:tcPr>
            <w:tcW w:w="1985" w:type="dxa"/>
            <w:tcBorders>
              <w:top w:val="nil"/>
              <w:left w:val="nil"/>
              <w:bottom w:val="single" w:sz="4" w:space="0" w:color="auto"/>
              <w:right w:val="single" w:sz="4" w:space="0" w:color="auto"/>
            </w:tcBorders>
            <w:shd w:val="clear" w:color="auto" w:fill="auto"/>
            <w:noWrap/>
            <w:vAlign w:val="bottom"/>
            <w:hideMark/>
          </w:tcPr>
          <w:p w14:paraId="65EF726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708 500</w:t>
            </w:r>
          </w:p>
        </w:tc>
        <w:tc>
          <w:tcPr>
            <w:tcW w:w="1984" w:type="dxa"/>
            <w:tcBorders>
              <w:top w:val="nil"/>
              <w:left w:val="nil"/>
              <w:bottom w:val="single" w:sz="4" w:space="0" w:color="auto"/>
              <w:right w:val="single" w:sz="4" w:space="0" w:color="auto"/>
            </w:tcBorders>
            <w:shd w:val="clear" w:color="auto" w:fill="auto"/>
            <w:noWrap/>
            <w:vAlign w:val="bottom"/>
            <w:hideMark/>
          </w:tcPr>
          <w:p w14:paraId="2E044F9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560 300</w:t>
            </w:r>
          </w:p>
        </w:tc>
        <w:tc>
          <w:tcPr>
            <w:tcW w:w="2127" w:type="dxa"/>
            <w:tcBorders>
              <w:top w:val="nil"/>
              <w:left w:val="nil"/>
              <w:bottom w:val="single" w:sz="4" w:space="0" w:color="auto"/>
              <w:right w:val="single" w:sz="4" w:space="0" w:color="auto"/>
            </w:tcBorders>
            <w:shd w:val="clear" w:color="auto" w:fill="auto"/>
            <w:noWrap/>
            <w:vAlign w:val="bottom"/>
            <w:hideMark/>
          </w:tcPr>
          <w:p w14:paraId="766EA8A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148 200</w:t>
            </w:r>
          </w:p>
        </w:tc>
      </w:tr>
      <w:tr w:rsidR="00913134" w:rsidRPr="002A0876" w14:paraId="5BF594BA"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D3D9E4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39</w:t>
            </w:r>
          </w:p>
        </w:tc>
        <w:tc>
          <w:tcPr>
            <w:tcW w:w="7010" w:type="dxa"/>
            <w:tcBorders>
              <w:top w:val="nil"/>
              <w:left w:val="nil"/>
              <w:bottom w:val="single" w:sz="4" w:space="0" w:color="auto"/>
              <w:right w:val="single" w:sz="4" w:space="0" w:color="auto"/>
            </w:tcBorders>
            <w:shd w:val="clear" w:color="auto" w:fill="auto"/>
            <w:noWrap/>
            <w:vAlign w:val="bottom"/>
            <w:hideMark/>
          </w:tcPr>
          <w:p w14:paraId="5FEE2CAF"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"Rīgas Tūrisma un radošās industrijas tehnikums"</w:t>
            </w:r>
          </w:p>
        </w:tc>
        <w:tc>
          <w:tcPr>
            <w:tcW w:w="1985" w:type="dxa"/>
            <w:tcBorders>
              <w:top w:val="nil"/>
              <w:left w:val="nil"/>
              <w:bottom w:val="single" w:sz="4" w:space="0" w:color="auto"/>
              <w:right w:val="single" w:sz="4" w:space="0" w:color="auto"/>
            </w:tcBorders>
            <w:shd w:val="clear" w:color="auto" w:fill="auto"/>
            <w:noWrap/>
            <w:vAlign w:val="bottom"/>
            <w:hideMark/>
          </w:tcPr>
          <w:p w14:paraId="4F35316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600 000</w:t>
            </w:r>
          </w:p>
        </w:tc>
        <w:tc>
          <w:tcPr>
            <w:tcW w:w="1984" w:type="dxa"/>
            <w:tcBorders>
              <w:top w:val="nil"/>
              <w:left w:val="nil"/>
              <w:bottom w:val="single" w:sz="4" w:space="0" w:color="auto"/>
              <w:right w:val="single" w:sz="4" w:space="0" w:color="auto"/>
            </w:tcBorders>
            <w:shd w:val="clear" w:color="auto" w:fill="auto"/>
            <w:noWrap/>
            <w:vAlign w:val="bottom"/>
            <w:hideMark/>
          </w:tcPr>
          <w:p w14:paraId="46B62C7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571 870</w:t>
            </w:r>
          </w:p>
        </w:tc>
        <w:tc>
          <w:tcPr>
            <w:tcW w:w="2127" w:type="dxa"/>
            <w:tcBorders>
              <w:top w:val="nil"/>
              <w:left w:val="nil"/>
              <w:bottom w:val="single" w:sz="4" w:space="0" w:color="auto"/>
              <w:right w:val="single" w:sz="4" w:space="0" w:color="auto"/>
            </w:tcBorders>
            <w:shd w:val="clear" w:color="auto" w:fill="auto"/>
            <w:noWrap/>
            <w:vAlign w:val="bottom"/>
            <w:hideMark/>
          </w:tcPr>
          <w:p w14:paraId="55D4B37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28 130</w:t>
            </w:r>
          </w:p>
        </w:tc>
      </w:tr>
      <w:tr w:rsidR="00913134" w:rsidRPr="002A0876" w14:paraId="354ED529"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7577BC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40</w:t>
            </w:r>
          </w:p>
        </w:tc>
        <w:tc>
          <w:tcPr>
            <w:tcW w:w="7010" w:type="dxa"/>
            <w:tcBorders>
              <w:top w:val="nil"/>
              <w:left w:val="nil"/>
              <w:bottom w:val="single" w:sz="4" w:space="0" w:color="auto"/>
              <w:right w:val="single" w:sz="4" w:space="0" w:color="auto"/>
            </w:tcBorders>
            <w:shd w:val="clear" w:color="auto" w:fill="auto"/>
            <w:noWrap/>
            <w:vAlign w:val="bottom"/>
            <w:hideMark/>
          </w:tcPr>
          <w:p w14:paraId="7233B9A9"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"Kultūras un sporta centrs "Daugavas stadions""</w:t>
            </w:r>
          </w:p>
        </w:tc>
        <w:tc>
          <w:tcPr>
            <w:tcW w:w="1985" w:type="dxa"/>
            <w:tcBorders>
              <w:top w:val="nil"/>
              <w:left w:val="nil"/>
              <w:bottom w:val="single" w:sz="4" w:space="0" w:color="auto"/>
              <w:right w:val="single" w:sz="4" w:space="0" w:color="auto"/>
            </w:tcBorders>
            <w:shd w:val="clear" w:color="auto" w:fill="auto"/>
            <w:noWrap/>
            <w:vAlign w:val="bottom"/>
            <w:hideMark/>
          </w:tcPr>
          <w:p w14:paraId="45666FB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1 462 000</w:t>
            </w:r>
          </w:p>
        </w:tc>
        <w:tc>
          <w:tcPr>
            <w:tcW w:w="1984" w:type="dxa"/>
            <w:tcBorders>
              <w:top w:val="nil"/>
              <w:left w:val="nil"/>
              <w:bottom w:val="single" w:sz="4" w:space="0" w:color="auto"/>
              <w:right w:val="single" w:sz="4" w:space="0" w:color="auto"/>
            </w:tcBorders>
            <w:shd w:val="clear" w:color="auto" w:fill="auto"/>
            <w:noWrap/>
            <w:vAlign w:val="bottom"/>
            <w:hideMark/>
          </w:tcPr>
          <w:p w14:paraId="05D8D24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1 930 491</w:t>
            </w:r>
          </w:p>
        </w:tc>
        <w:tc>
          <w:tcPr>
            <w:tcW w:w="2127" w:type="dxa"/>
            <w:tcBorders>
              <w:top w:val="nil"/>
              <w:left w:val="nil"/>
              <w:bottom w:val="single" w:sz="4" w:space="0" w:color="auto"/>
              <w:right w:val="single" w:sz="4" w:space="0" w:color="auto"/>
            </w:tcBorders>
            <w:shd w:val="clear" w:color="auto" w:fill="auto"/>
            <w:noWrap/>
            <w:vAlign w:val="bottom"/>
            <w:hideMark/>
          </w:tcPr>
          <w:p w14:paraId="6A074E2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-468 491</w:t>
            </w:r>
          </w:p>
        </w:tc>
      </w:tr>
      <w:tr w:rsidR="00913134" w:rsidRPr="002A0876" w14:paraId="6BEC9758"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C54644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41</w:t>
            </w:r>
          </w:p>
        </w:tc>
        <w:tc>
          <w:tcPr>
            <w:tcW w:w="7010" w:type="dxa"/>
            <w:tcBorders>
              <w:top w:val="nil"/>
              <w:left w:val="nil"/>
              <w:bottom w:val="single" w:sz="4" w:space="0" w:color="auto"/>
              <w:right w:val="single" w:sz="4" w:space="0" w:color="auto"/>
            </w:tcBorders>
            <w:shd w:val="clear" w:color="auto" w:fill="auto"/>
            <w:noWrap/>
            <w:vAlign w:val="bottom"/>
            <w:hideMark/>
          </w:tcPr>
          <w:p w14:paraId="3C98D915"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SIA "Lielstraupes pils" </w:t>
            </w:r>
          </w:p>
        </w:tc>
        <w:tc>
          <w:tcPr>
            <w:tcW w:w="1985" w:type="dxa"/>
            <w:tcBorders>
              <w:top w:val="nil"/>
              <w:left w:val="nil"/>
              <w:bottom w:val="single" w:sz="4" w:space="0" w:color="auto"/>
              <w:right w:val="single" w:sz="4" w:space="0" w:color="auto"/>
            </w:tcBorders>
            <w:shd w:val="clear" w:color="auto" w:fill="auto"/>
            <w:noWrap/>
            <w:vAlign w:val="bottom"/>
            <w:hideMark/>
          </w:tcPr>
          <w:p w14:paraId="4ECCBED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1FC116A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4D8E6CB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0EDD7CD2"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E76EB0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42</w:t>
            </w:r>
          </w:p>
        </w:tc>
        <w:tc>
          <w:tcPr>
            <w:tcW w:w="7010" w:type="dxa"/>
            <w:tcBorders>
              <w:top w:val="nil"/>
              <w:left w:val="nil"/>
              <w:bottom w:val="single" w:sz="4" w:space="0" w:color="auto"/>
              <w:right w:val="single" w:sz="4" w:space="0" w:color="auto"/>
            </w:tcBorders>
            <w:shd w:val="clear" w:color="auto" w:fill="auto"/>
            <w:noWrap/>
            <w:vAlign w:val="bottom"/>
            <w:hideMark/>
          </w:tcPr>
          <w:p w14:paraId="63234049"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"Veselības centra "Biķernieki""</w:t>
            </w:r>
          </w:p>
        </w:tc>
        <w:tc>
          <w:tcPr>
            <w:tcW w:w="1985" w:type="dxa"/>
            <w:tcBorders>
              <w:top w:val="nil"/>
              <w:left w:val="nil"/>
              <w:bottom w:val="single" w:sz="4" w:space="0" w:color="auto"/>
              <w:right w:val="single" w:sz="4" w:space="0" w:color="auto"/>
            </w:tcBorders>
            <w:shd w:val="clear" w:color="auto" w:fill="auto"/>
            <w:noWrap/>
            <w:vAlign w:val="bottom"/>
            <w:hideMark/>
          </w:tcPr>
          <w:p w14:paraId="5A661B2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2 035 487</w:t>
            </w:r>
          </w:p>
        </w:tc>
        <w:tc>
          <w:tcPr>
            <w:tcW w:w="1984" w:type="dxa"/>
            <w:tcBorders>
              <w:top w:val="nil"/>
              <w:left w:val="nil"/>
              <w:bottom w:val="single" w:sz="4" w:space="0" w:color="auto"/>
              <w:right w:val="single" w:sz="4" w:space="0" w:color="auto"/>
            </w:tcBorders>
            <w:shd w:val="clear" w:color="auto" w:fill="auto"/>
            <w:noWrap/>
            <w:vAlign w:val="bottom"/>
            <w:hideMark/>
          </w:tcPr>
          <w:p w14:paraId="1A2C202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2 013 704</w:t>
            </w:r>
          </w:p>
        </w:tc>
        <w:tc>
          <w:tcPr>
            <w:tcW w:w="2127" w:type="dxa"/>
            <w:tcBorders>
              <w:top w:val="nil"/>
              <w:left w:val="nil"/>
              <w:bottom w:val="single" w:sz="4" w:space="0" w:color="auto"/>
              <w:right w:val="single" w:sz="4" w:space="0" w:color="auto"/>
            </w:tcBorders>
            <w:shd w:val="clear" w:color="auto" w:fill="auto"/>
            <w:noWrap/>
            <w:vAlign w:val="bottom"/>
            <w:hideMark/>
          </w:tcPr>
          <w:p w14:paraId="29D9429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21 783</w:t>
            </w:r>
          </w:p>
        </w:tc>
      </w:tr>
      <w:tr w:rsidR="00913134" w:rsidRPr="002A0876" w14:paraId="7B5EEE16"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20A3A7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43</w:t>
            </w:r>
          </w:p>
        </w:tc>
        <w:tc>
          <w:tcPr>
            <w:tcW w:w="7010" w:type="dxa"/>
            <w:tcBorders>
              <w:top w:val="nil"/>
              <w:left w:val="nil"/>
              <w:bottom w:val="single" w:sz="4" w:space="0" w:color="auto"/>
              <w:right w:val="single" w:sz="4" w:space="0" w:color="auto"/>
            </w:tcBorders>
            <w:shd w:val="clear" w:color="auto" w:fill="auto"/>
            <w:noWrap/>
            <w:vAlign w:val="bottom"/>
            <w:hideMark/>
          </w:tcPr>
          <w:p w14:paraId="3D71A73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"Ludzas medicīnas centrs"</w:t>
            </w:r>
          </w:p>
        </w:tc>
        <w:tc>
          <w:tcPr>
            <w:tcW w:w="1985" w:type="dxa"/>
            <w:tcBorders>
              <w:top w:val="nil"/>
              <w:left w:val="nil"/>
              <w:bottom w:val="single" w:sz="4" w:space="0" w:color="auto"/>
              <w:right w:val="single" w:sz="4" w:space="0" w:color="auto"/>
            </w:tcBorders>
            <w:shd w:val="clear" w:color="auto" w:fill="auto"/>
            <w:noWrap/>
            <w:vAlign w:val="bottom"/>
            <w:hideMark/>
          </w:tcPr>
          <w:p w14:paraId="4C28EDD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3 570 000</w:t>
            </w:r>
          </w:p>
        </w:tc>
        <w:tc>
          <w:tcPr>
            <w:tcW w:w="1984" w:type="dxa"/>
            <w:tcBorders>
              <w:top w:val="nil"/>
              <w:left w:val="nil"/>
              <w:bottom w:val="single" w:sz="4" w:space="0" w:color="auto"/>
              <w:right w:val="single" w:sz="4" w:space="0" w:color="auto"/>
            </w:tcBorders>
            <w:shd w:val="clear" w:color="auto" w:fill="auto"/>
            <w:noWrap/>
            <w:vAlign w:val="bottom"/>
            <w:hideMark/>
          </w:tcPr>
          <w:p w14:paraId="5938B9B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3 380 000</w:t>
            </w:r>
          </w:p>
        </w:tc>
        <w:tc>
          <w:tcPr>
            <w:tcW w:w="2127" w:type="dxa"/>
            <w:tcBorders>
              <w:top w:val="nil"/>
              <w:left w:val="nil"/>
              <w:bottom w:val="single" w:sz="4" w:space="0" w:color="auto"/>
              <w:right w:val="single" w:sz="4" w:space="0" w:color="auto"/>
            </w:tcBorders>
            <w:shd w:val="clear" w:color="auto" w:fill="auto"/>
            <w:noWrap/>
            <w:vAlign w:val="bottom"/>
            <w:hideMark/>
          </w:tcPr>
          <w:p w14:paraId="7039FAF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190 000</w:t>
            </w:r>
          </w:p>
        </w:tc>
      </w:tr>
      <w:tr w:rsidR="00913134" w:rsidRPr="002A0876" w14:paraId="4E79FB48"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3E0C01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w:t>
            </w:r>
          </w:p>
        </w:tc>
        <w:tc>
          <w:tcPr>
            <w:tcW w:w="7010" w:type="dxa"/>
            <w:tcBorders>
              <w:top w:val="nil"/>
              <w:left w:val="nil"/>
              <w:bottom w:val="single" w:sz="4" w:space="0" w:color="auto"/>
              <w:right w:val="single" w:sz="4" w:space="0" w:color="auto"/>
            </w:tcBorders>
            <w:shd w:val="clear" w:color="auto" w:fill="auto"/>
            <w:noWrap/>
            <w:vAlign w:val="bottom"/>
            <w:hideMark/>
          </w:tcPr>
          <w:p w14:paraId="60364D8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Bērnu psihoneiroloģiskā slimnīcā "Ainaži"</w:t>
            </w:r>
          </w:p>
        </w:tc>
        <w:tc>
          <w:tcPr>
            <w:tcW w:w="1985" w:type="dxa"/>
            <w:tcBorders>
              <w:top w:val="nil"/>
              <w:left w:val="nil"/>
              <w:bottom w:val="single" w:sz="4" w:space="0" w:color="auto"/>
              <w:right w:val="single" w:sz="4" w:space="0" w:color="auto"/>
            </w:tcBorders>
            <w:shd w:val="clear" w:color="auto" w:fill="auto"/>
            <w:noWrap/>
            <w:vAlign w:val="bottom"/>
            <w:hideMark/>
          </w:tcPr>
          <w:p w14:paraId="1E493B1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1 680 061</w:t>
            </w:r>
          </w:p>
        </w:tc>
        <w:tc>
          <w:tcPr>
            <w:tcW w:w="1984" w:type="dxa"/>
            <w:tcBorders>
              <w:top w:val="nil"/>
              <w:left w:val="nil"/>
              <w:bottom w:val="single" w:sz="4" w:space="0" w:color="auto"/>
              <w:right w:val="single" w:sz="4" w:space="0" w:color="auto"/>
            </w:tcBorders>
            <w:shd w:val="clear" w:color="auto" w:fill="auto"/>
            <w:noWrap/>
            <w:vAlign w:val="bottom"/>
            <w:hideMark/>
          </w:tcPr>
          <w:p w14:paraId="7A6BBAC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1 616 668</w:t>
            </w:r>
          </w:p>
        </w:tc>
        <w:tc>
          <w:tcPr>
            <w:tcW w:w="2127" w:type="dxa"/>
            <w:tcBorders>
              <w:top w:val="nil"/>
              <w:left w:val="nil"/>
              <w:bottom w:val="single" w:sz="4" w:space="0" w:color="auto"/>
              <w:right w:val="single" w:sz="4" w:space="0" w:color="auto"/>
            </w:tcBorders>
            <w:shd w:val="clear" w:color="auto" w:fill="auto"/>
            <w:noWrap/>
            <w:vAlign w:val="bottom"/>
            <w:hideMark/>
          </w:tcPr>
          <w:p w14:paraId="11E9B96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63 393</w:t>
            </w:r>
          </w:p>
        </w:tc>
      </w:tr>
      <w:tr w:rsidR="00913134" w:rsidRPr="002A0876" w14:paraId="22F8EEB4"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8A9DDB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45</w:t>
            </w:r>
          </w:p>
        </w:tc>
        <w:tc>
          <w:tcPr>
            <w:tcW w:w="7010" w:type="dxa"/>
            <w:tcBorders>
              <w:top w:val="nil"/>
              <w:left w:val="nil"/>
              <w:bottom w:val="single" w:sz="4" w:space="0" w:color="auto"/>
              <w:right w:val="single" w:sz="4" w:space="0" w:color="auto"/>
            </w:tcBorders>
            <w:shd w:val="clear" w:color="auto" w:fill="auto"/>
            <w:noWrap/>
            <w:vAlign w:val="bottom"/>
            <w:hideMark/>
          </w:tcPr>
          <w:p w14:paraId="67AB5FD0"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"Aknīstes psihoneiroloģiskā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487A07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5 697 142</w:t>
            </w:r>
          </w:p>
        </w:tc>
        <w:tc>
          <w:tcPr>
            <w:tcW w:w="1984" w:type="dxa"/>
            <w:tcBorders>
              <w:top w:val="nil"/>
              <w:left w:val="nil"/>
              <w:bottom w:val="single" w:sz="4" w:space="0" w:color="auto"/>
              <w:right w:val="single" w:sz="4" w:space="0" w:color="auto"/>
            </w:tcBorders>
            <w:shd w:val="clear" w:color="auto" w:fill="auto"/>
            <w:noWrap/>
            <w:vAlign w:val="bottom"/>
            <w:hideMark/>
          </w:tcPr>
          <w:p w14:paraId="52235F9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5 547 062</w:t>
            </w:r>
          </w:p>
        </w:tc>
        <w:tc>
          <w:tcPr>
            <w:tcW w:w="2127" w:type="dxa"/>
            <w:tcBorders>
              <w:top w:val="nil"/>
              <w:left w:val="nil"/>
              <w:bottom w:val="single" w:sz="4" w:space="0" w:color="auto"/>
              <w:right w:val="single" w:sz="4" w:space="0" w:color="auto"/>
            </w:tcBorders>
            <w:shd w:val="clear" w:color="auto" w:fill="auto"/>
            <w:noWrap/>
            <w:vAlign w:val="bottom"/>
            <w:hideMark/>
          </w:tcPr>
          <w:p w14:paraId="321677A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150 080</w:t>
            </w:r>
          </w:p>
        </w:tc>
      </w:tr>
      <w:tr w:rsidR="00913134" w:rsidRPr="002A0876" w14:paraId="5C917B93"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2EA293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46</w:t>
            </w:r>
          </w:p>
        </w:tc>
        <w:tc>
          <w:tcPr>
            <w:tcW w:w="7010" w:type="dxa"/>
            <w:tcBorders>
              <w:top w:val="nil"/>
              <w:left w:val="nil"/>
              <w:bottom w:val="single" w:sz="4" w:space="0" w:color="auto"/>
              <w:right w:val="single" w:sz="4" w:space="0" w:color="auto"/>
            </w:tcBorders>
            <w:shd w:val="clear" w:color="auto" w:fill="auto"/>
            <w:noWrap/>
            <w:vAlign w:val="bottom"/>
            <w:hideMark/>
          </w:tcPr>
          <w:p w14:paraId="2C3CC554"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"Piejūras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26AFBE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4 386 700</w:t>
            </w:r>
          </w:p>
        </w:tc>
        <w:tc>
          <w:tcPr>
            <w:tcW w:w="1984" w:type="dxa"/>
            <w:tcBorders>
              <w:top w:val="nil"/>
              <w:left w:val="nil"/>
              <w:bottom w:val="single" w:sz="4" w:space="0" w:color="auto"/>
              <w:right w:val="single" w:sz="4" w:space="0" w:color="auto"/>
            </w:tcBorders>
            <w:shd w:val="clear" w:color="auto" w:fill="auto"/>
            <w:noWrap/>
            <w:vAlign w:val="bottom"/>
            <w:hideMark/>
          </w:tcPr>
          <w:p w14:paraId="4D4DFB2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4 076 232</w:t>
            </w:r>
          </w:p>
        </w:tc>
        <w:tc>
          <w:tcPr>
            <w:tcW w:w="2127" w:type="dxa"/>
            <w:tcBorders>
              <w:top w:val="nil"/>
              <w:left w:val="nil"/>
              <w:bottom w:val="single" w:sz="4" w:space="0" w:color="auto"/>
              <w:right w:val="single" w:sz="4" w:space="0" w:color="auto"/>
            </w:tcBorders>
            <w:shd w:val="clear" w:color="auto" w:fill="auto"/>
            <w:noWrap/>
            <w:vAlign w:val="bottom"/>
            <w:hideMark/>
          </w:tcPr>
          <w:p w14:paraId="43A99A4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310 468</w:t>
            </w:r>
          </w:p>
        </w:tc>
      </w:tr>
      <w:tr w:rsidR="00913134" w:rsidRPr="002A0876" w14:paraId="7360F383"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43E9D0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47</w:t>
            </w:r>
          </w:p>
        </w:tc>
        <w:tc>
          <w:tcPr>
            <w:tcW w:w="7010" w:type="dxa"/>
            <w:tcBorders>
              <w:top w:val="nil"/>
              <w:left w:val="nil"/>
              <w:bottom w:val="single" w:sz="4" w:space="0" w:color="auto"/>
              <w:right w:val="single" w:sz="4" w:space="0" w:color="auto"/>
            </w:tcBorders>
            <w:shd w:val="clear" w:color="auto" w:fill="auto"/>
            <w:noWrap/>
            <w:vAlign w:val="bottom"/>
            <w:hideMark/>
          </w:tcPr>
          <w:p w14:paraId="011BF61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"Slimnīca "Ģintermuiža""</w:t>
            </w:r>
          </w:p>
        </w:tc>
        <w:tc>
          <w:tcPr>
            <w:tcW w:w="1985" w:type="dxa"/>
            <w:tcBorders>
              <w:top w:val="nil"/>
              <w:left w:val="nil"/>
              <w:bottom w:val="single" w:sz="4" w:space="0" w:color="auto"/>
              <w:right w:val="single" w:sz="4" w:space="0" w:color="auto"/>
            </w:tcBorders>
            <w:shd w:val="clear" w:color="auto" w:fill="auto"/>
            <w:noWrap/>
            <w:vAlign w:val="bottom"/>
            <w:hideMark/>
          </w:tcPr>
          <w:p w14:paraId="28BC4ED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9 674 848</w:t>
            </w:r>
          </w:p>
        </w:tc>
        <w:tc>
          <w:tcPr>
            <w:tcW w:w="1984" w:type="dxa"/>
            <w:tcBorders>
              <w:top w:val="nil"/>
              <w:left w:val="nil"/>
              <w:bottom w:val="single" w:sz="4" w:space="0" w:color="auto"/>
              <w:right w:val="single" w:sz="4" w:space="0" w:color="auto"/>
            </w:tcBorders>
            <w:shd w:val="clear" w:color="auto" w:fill="auto"/>
            <w:noWrap/>
            <w:vAlign w:val="bottom"/>
            <w:hideMark/>
          </w:tcPr>
          <w:p w14:paraId="5B2A0F7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9 680 394</w:t>
            </w:r>
          </w:p>
        </w:tc>
        <w:tc>
          <w:tcPr>
            <w:tcW w:w="2127" w:type="dxa"/>
            <w:tcBorders>
              <w:top w:val="nil"/>
              <w:left w:val="nil"/>
              <w:bottom w:val="single" w:sz="4" w:space="0" w:color="auto"/>
              <w:right w:val="single" w:sz="4" w:space="0" w:color="auto"/>
            </w:tcBorders>
            <w:shd w:val="clear" w:color="auto" w:fill="auto"/>
            <w:noWrap/>
            <w:vAlign w:val="bottom"/>
            <w:hideMark/>
          </w:tcPr>
          <w:p w14:paraId="77A0EAE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-5 546</w:t>
            </w:r>
          </w:p>
        </w:tc>
      </w:tr>
      <w:tr w:rsidR="00913134" w:rsidRPr="002A0876" w14:paraId="7A4F1E8D"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96AE6F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48</w:t>
            </w:r>
          </w:p>
        </w:tc>
        <w:tc>
          <w:tcPr>
            <w:tcW w:w="7010" w:type="dxa"/>
            <w:tcBorders>
              <w:top w:val="nil"/>
              <w:left w:val="nil"/>
              <w:bottom w:val="single" w:sz="4" w:space="0" w:color="auto"/>
              <w:right w:val="single" w:sz="4" w:space="0" w:color="auto"/>
            </w:tcBorders>
            <w:shd w:val="clear" w:color="auto" w:fill="auto"/>
            <w:noWrap/>
            <w:vAlign w:val="bottom"/>
            <w:hideMark/>
          </w:tcPr>
          <w:p w14:paraId="452C8899"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"Daugavpils psihoneiroloģiskā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588125C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13 177 713</w:t>
            </w:r>
          </w:p>
        </w:tc>
        <w:tc>
          <w:tcPr>
            <w:tcW w:w="1984" w:type="dxa"/>
            <w:tcBorders>
              <w:top w:val="nil"/>
              <w:left w:val="nil"/>
              <w:bottom w:val="single" w:sz="4" w:space="0" w:color="auto"/>
              <w:right w:val="single" w:sz="4" w:space="0" w:color="auto"/>
            </w:tcBorders>
            <w:shd w:val="clear" w:color="auto" w:fill="auto"/>
            <w:noWrap/>
            <w:vAlign w:val="bottom"/>
            <w:hideMark/>
          </w:tcPr>
          <w:p w14:paraId="6D92449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12 970 713</w:t>
            </w:r>
          </w:p>
        </w:tc>
        <w:tc>
          <w:tcPr>
            <w:tcW w:w="2127" w:type="dxa"/>
            <w:tcBorders>
              <w:top w:val="nil"/>
              <w:left w:val="nil"/>
              <w:bottom w:val="single" w:sz="4" w:space="0" w:color="auto"/>
              <w:right w:val="single" w:sz="4" w:space="0" w:color="auto"/>
            </w:tcBorders>
            <w:shd w:val="clear" w:color="auto" w:fill="auto"/>
            <w:noWrap/>
            <w:vAlign w:val="bottom"/>
            <w:hideMark/>
          </w:tcPr>
          <w:p w14:paraId="1F5E28C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207 000</w:t>
            </w:r>
          </w:p>
        </w:tc>
      </w:tr>
      <w:tr w:rsidR="00913134" w:rsidRPr="002A0876" w14:paraId="3B8121B1"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853F34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49</w:t>
            </w:r>
          </w:p>
        </w:tc>
        <w:tc>
          <w:tcPr>
            <w:tcW w:w="7010" w:type="dxa"/>
            <w:tcBorders>
              <w:top w:val="nil"/>
              <w:left w:val="nil"/>
              <w:bottom w:val="single" w:sz="4" w:space="0" w:color="auto"/>
              <w:right w:val="single" w:sz="4" w:space="0" w:color="auto"/>
            </w:tcBorders>
            <w:shd w:val="clear" w:color="auto" w:fill="auto"/>
            <w:noWrap/>
            <w:vAlign w:val="bottom"/>
            <w:hideMark/>
          </w:tcPr>
          <w:p w14:paraId="57A87535"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"Rīgas psihiatrijas un narkoloģijas centrs"</w:t>
            </w:r>
          </w:p>
        </w:tc>
        <w:tc>
          <w:tcPr>
            <w:tcW w:w="1985" w:type="dxa"/>
            <w:tcBorders>
              <w:top w:val="nil"/>
              <w:left w:val="nil"/>
              <w:bottom w:val="single" w:sz="4" w:space="0" w:color="auto"/>
              <w:right w:val="single" w:sz="4" w:space="0" w:color="auto"/>
            </w:tcBorders>
            <w:shd w:val="clear" w:color="auto" w:fill="auto"/>
            <w:noWrap/>
            <w:vAlign w:val="bottom"/>
            <w:hideMark/>
          </w:tcPr>
          <w:p w14:paraId="74A5559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21 884 174</w:t>
            </w:r>
          </w:p>
        </w:tc>
        <w:tc>
          <w:tcPr>
            <w:tcW w:w="1984" w:type="dxa"/>
            <w:tcBorders>
              <w:top w:val="nil"/>
              <w:left w:val="nil"/>
              <w:bottom w:val="single" w:sz="4" w:space="0" w:color="auto"/>
              <w:right w:val="single" w:sz="4" w:space="0" w:color="auto"/>
            </w:tcBorders>
            <w:shd w:val="clear" w:color="auto" w:fill="auto"/>
            <w:noWrap/>
            <w:vAlign w:val="bottom"/>
            <w:hideMark/>
          </w:tcPr>
          <w:p w14:paraId="05D215F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21 909 174</w:t>
            </w:r>
          </w:p>
        </w:tc>
        <w:tc>
          <w:tcPr>
            <w:tcW w:w="2127" w:type="dxa"/>
            <w:tcBorders>
              <w:top w:val="nil"/>
              <w:left w:val="nil"/>
              <w:bottom w:val="single" w:sz="4" w:space="0" w:color="auto"/>
              <w:right w:val="single" w:sz="4" w:space="0" w:color="auto"/>
            </w:tcBorders>
            <w:shd w:val="clear" w:color="auto" w:fill="auto"/>
            <w:noWrap/>
            <w:vAlign w:val="bottom"/>
            <w:hideMark/>
          </w:tcPr>
          <w:p w14:paraId="67A18BE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-25 000</w:t>
            </w:r>
          </w:p>
        </w:tc>
      </w:tr>
      <w:tr w:rsidR="00913134" w:rsidRPr="002A0876" w14:paraId="7A6B4395"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3F6580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50</w:t>
            </w:r>
          </w:p>
        </w:tc>
        <w:tc>
          <w:tcPr>
            <w:tcW w:w="7010" w:type="dxa"/>
            <w:tcBorders>
              <w:top w:val="nil"/>
              <w:left w:val="nil"/>
              <w:bottom w:val="single" w:sz="4" w:space="0" w:color="auto"/>
              <w:right w:val="single" w:sz="4" w:space="0" w:color="auto"/>
            </w:tcBorders>
            <w:shd w:val="clear" w:color="auto" w:fill="auto"/>
            <w:noWrap/>
            <w:vAlign w:val="bottom"/>
            <w:hideMark/>
          </w:tcPr>
          <w:p w14:paraId="7C9C888A"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"Nacionālais rehabilitācijas centrs "Vaivari""</w:t>
            </w:r>
          </w:p>
        </w:tc>
        <w:tc>
          <w:tcPr>
            <w:tcW w:w="1985" w:type="dxa"/>
            <w:tcBorders>
              <w:top w:val="nil"/>
              <w:left w:val="nil"/>
              <w:bottom w:val="single" w:sz="4" w:space="0" w:color="auto"/>
              <w:right w:val="single" w:sz="4" w:space="0" w:color="auto"/>
            </w:tcBorders>
            <w:shd w:val="clear" w:color="auto" w:fill="auto"/>
            <w:noWrap/>
            <w:vAlign w:val="bottom"/>
            <w:hideMark/>
          </w:tcPr>
          <w:p w14:paraId="1C2F219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11 141 685</w:t>
            </w:r>
          </w:p>
        </w:tc>
        <w:tc>
          <w:tcPr>
            <w:tcW w:w="1984" w:type="dxa"/>
            <w:tcBorders>
              <w:top w:val="nil"/>
              <w:left w:val="nil"/>
              <w:bottom w:val="single" w:sz="4" w:space="0" w:color="auto"/>
              <w:right w:val="single" w:sz="4" w:space="0" w:color="auto"/>
            </w:tcBorders>
            <w:shd w:val="clear" w:color="auto" w:fill="auto"/>
            <w:noWrap/>
            <w:vAlign w:val="bottom"/>
            <w:hideMark/>
          </w:tcPr>
          <w:p w14:paraId="5727DF9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11 083 241</w:t>
            </w:r>
          </w:p>
        </w:tc>
        <w:tc>
          <w:tcPr>
            <w:tcW w:w="2127" w:type="dxa"/>
            <w:tcBorders>
              <w:top w:val="nil"/>
              <w:left w:val="nil"/>
              <w:bottom w:val="single" w:sz="4" w:space="0" w:color="auto"/>
              <w:right w:val="single" w:sz="4" w:space="0" w:color="auto"/>
            </w:tcBorders>
            <w:shd w:val="clear" w:color="auto" w:fill="auto"/>
            <w:noWrap/>
            <w:vAlign w:val="bottom"/>
            <w:hideMark/>
          </w:tcPr>
          <w:p w14:paraId="2FB97FD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58 444</w:t>
            </w:r>
          </w:p>
        </w:tc>
      </w:tr>
      <w:tr w:rsidR="00913134" w:rsidRPr="002A0876" w14:paraId="6C2CA01C"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00CA67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w:t>
            </w:r>
          </w:p>
        </w:tc>
        <w:tc>
          <w:tcPr>
            <w:tcW w:w="7010" w:type="dxa"/>
            <w:tcBorders>
              <w:top w:val="nil"/>
              <w:left w:val="nil"/>
              <w:bottom w:val="single" w:sz="4" w:space="0" w:color="auto"/>
              <w:right w:val="single" w:sz="4" w:space="0" w:color="auto"/>
            </w:tcBorders>
            <w:shd w:val="clear" w:color="auto" w:fill="auto"/>
            <w:noWrap/>
            <w:vAlign w:val="bottom"/>
            <w:hideMark/>
          </w:tcPr>
          <w:p w14:paraId="005AD61C"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"Traumatoloģijas un ortopēdijas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7D4B07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20 942 434</w:t>
            </w:r>
          </w:p>
        </w:tc>
        <w:tc>
          <w:tcPr>
            <w:tcW w:w="1984" w:type="dxa"/>
            <w:tcBorders>
              <w:top w:val="nil"/>
              <w:left w:val="nil"/>
              <w:bottom w:val="single" w:sz="4" w:space="0" w:color="auto"/>
              <w:right w:val="single" w:sz="4" w:space="0" w:color="auto"/>
            </w:tcBorders>
            <w:shd w:val="clear" w:color="auto" w:fill="auto"/>
            <w:noWrap/>
            <w:vAlign w:val="bottom"/>
            <w:hideMark/>
          </w:tcPr>
          <w:p w14:paraId="7582808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20 909 806</w:t>
            </w:r>
          </w:p>
        </w:tc>
        <w:tc>
          <w:tcPr>
            <w:tcW w:w="2127" w:type="dxa"/>
            <w:tcBorders>
              <w:top w:val="nil"/>
              <w:left w:val="nil"/>
              <w:bottom w:val="single" w:sz="4" w:space="0" w:color="auto"/>
              <w:right w:val="single" w:sz="4" w:space="0" w:color="auto"/>
            </w:tcBorders>
            <w:shd w:val="clear" w:color="auto" w:fill="auto"/>
            <w:noWrap/>
            <w:vAlign w:val="bottom"/>
            <w:hideMark/>
          </w:tcPr>
          <w:p w14:paraId="2A89311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32 628</w:t>
            </w:r>
          </w:p>
        </w:tc>
      </w:tr>
      <w:tr w:rsidR="00913134" w:rsidRPr="002A0876" w14:paraId="69F4B322"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70735D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w:t>
            </w:r>
          </w:p>
        </w:tc>
        <w:tc>
          <w:tcPr>
            <w:tcW w:w="7010" w:type="dxa"/>
            <w:tcBorders>
              <w:top w:val="nil"/>
              <w:left w:val="nil"/>
              <w:bottom w:val="single" w:sz="4" w:space="0" w:color="auto"/>
              <w:right w:val="single" w:sz="4" w:space="0" w:color="auto"/>
            </w:tcBorders>
            <w:shd w:val="clear" w:color="auto" w:fill="auto"/>
            <w:noWrap/>
            <w:vAlign w:val="bottom"/>
            <w:hideMark/>
          </w:tcPr>
          <w:p w14:paraId="3AA8CFF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"Paula Stradiņa klīniskā universitātes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793F41A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125 875 528</w:t>
            </w:r>
          </w:p>
        </w:tc>
        <w:tc>
          <w:tcPr>
            <w:tcW w:w="1984" w:type="dxa"/>
            <w:tcBorders>
              <w:top w:val="nil"/>
              <w:left w:val="nil"/>
              <w:bottom w:val="single" w:sz="4" w:space="0" w:color="auto"/>
              <w:right w:val="single" w:sz="4" w:space="0" w:color="auto"/>
            </w:tcBorders>
            <w:shd w:val="clear" w:color="auto" w:fill="auto"/>
            <w:noWrap/>
            <w:vAlign w:val="bottom"/>
            <w:hideMark/>
          </w:tcPr>
          <w:p w14:paraId="0AC64E0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128 012 135</w:t>
            </w:r>
          </w:p>
        </w:tc>
        <w:tc>
          <w:tcPr>
            <w:tcW w:w="2127" w:type="dxa"/>
            <w:tcBorders>
              <w:top w:val="nil"/>
              <w:left w:val="nil"/>
              <w:bottom w:val="single" w:sz="4" w:space="0" w:color="auto"/>
              <w:right w:val="single" w:sz="4" w:space="0" w:color="auto"/>
            </w:tcBorders>
            <w:shd w:val="clear" w:color="auto" w:fill="auto"/>
            <w:noWrap/>
            <w:vAlign w:val="bottom"/>
            <w:hideMark/>
          </w:tcPr>
          <w:p w14:paraId="74AB47F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-2 136 608</w:t>
            </w:r>
          </w:p>
        </w:tc>
      </w:tr>
      <w:tr w:rsidR="00913134" w:rsidRPr="002A0876" w14:paraId="0E010CFD"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B89087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w:t>
            </w:r>
          </w:p>
        </w:tc>
        <w:tc>
          <w:tcPr>
            <w:tcW w:w="7010" w:type="dxa"/>
            <w:tcBorders>
              <w:top w:val="nil"/>
              <w:left w:val="nil"/>
              <w:bottom w:val="single" w:sz="4" w:space="0" w:color="auto"/>
              <w:right w:val="single" w:sz="4" w:space="0" w:color="auto"/>
            </w:tcBorders>
            <w:shd w:val="clear" w:color="auto" w:fill="auto"/>
            <w:noWrap/>
            <w:vAlign w:val="bottom"/>
            <w:hideMark/>
          </w:tcPr>
          <w:p w14:paraId="0317041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Radio"</w:t>
            </w:r>
          </w:p>
        </w:tc>
        <w:tc>
          <w:tcPr>
            <w:tcW w:w="1985" w:type="dxa"/>
            <w:tcBorders>
              <w:top w:val="nil"/>
              <w:left w:val="nil"/>
              <w:bottom w:val="single" w:sz="4" w:space="0" w:color="auto"/>
              <w:right w:val="single" w:sz="4" w:space="0" w:color="auto"/>
            </w:tcBorders>
            <w:shd w:val="clear" w:color="auto" w:fill="auto"/>
            <w:noWrap/>
            <w:vAlign w:val="bottom"/>
            <w:hideMark/>
          </w:tcPr>
          <w:p w14:paraId="2504C33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240 000</w:t>
            </w:r>
          </w:p>
        </w:tc>
        <w:tc>
          <w:tcPr>
            <w:tcW w:w="1984" w:type="dxa"/>
            <w:tcBorders>
              <w:top w:val="nil"/>
              <w:left w:val="nil"/>
              <w:bottom w:val="single" w:sz="4" w:space="0" w:color="auto"/>
              <w:right w:val="single" w:sz="4" w:space="0" w:color="auto"/>
            </w:tcBorders>
            <w:shd w:val="clear" w:color="auto" w:fill="auto"/>
            <w:noWrap/>
            <w:vAlign w:val="bottom"/>
            <w:hideMark/>
          </w:tcPr>
          <w:p w14:paraId="42C10AA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252 350</w:t>
            </w:r>
          </w:p>
        </w:tc>
        <w:tc>
          <w:tcPr>
            <w:tcW w:w="2127" w:type="dxa"/>
            <w:tcBorders>
              <w:top w:val="nil"/>
              <w:left w:val="nil"/>
              <w:bottom w:val="single" w:sz="4" w:space="0" w:color="auto"/>
              <w:right w:val="single" w:sz="4" w:space="0" w:color="auto"/>
            </w:tcBorders>
            <w:shd w:val="clear" w:color="auto" w:fill="auto"/>
            <w:noWrap/>
            <w:vAlign w:val="bottom"/>
            <w:hideMark/>
          </w:tcPr>
          <w:p w14:paraId="02C300C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-12 350</w:t>
            </w:r>
          </w:p>
        </w:tc>
      </w:tr>
      <w:tr w:rsidR="00913134" w:rsidRPr="002A0876" w14:paraId="2E3A75C8"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95BF8B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54</w:t>
            </w:r>
          </w:p>
        </w:tc>
        <w:tc>
          <w:tcPr>
            <w:tcW w:w="7010" w:type="dxa"/>
            <w:tcBorders>
              <w:top w:val="nil"/>
              <w:left w:val="nil"/>
              <w:bottom w:val="single" w:sz="4" w:space="0" w:color="auto"/>
              <w:right w:val="single" w:sz="4" w:space="0" w:color="auto"/>
            </w:tcBorders>
            <w:shd w:val="clear" w:color="auto" w:fill="auto"/>
            <w:noWrap/>
            <w:vAlign w:val="bottom"/>
            <w:hideMark/>
          </w:tcPr>
          <w:p w14:paraId="386154CE"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Austrumu klīniskā universitātes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08FF31E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211 289 931</w:t>
            </w:r>
          </w:p>
        </w:tc>
        <w:tc>
          <w:tcPr>
            <w:tcW w:w="1984" w:type="dxa"/>
            <w:tcBorders>
              <w:top w:val="nil"/>
              <w:left w:val="nil"/>
              <w:bottom w:val="single" w:sz="4" w:space="0" w:color="auto"/>
              <w:right w:val="single" w:sz="4" w:space="0" w:color="auto"/>
            </w:tcBorders>
            <w:shd w:val="clear" w:color="auto" w:fill="auto"/>
            <w:noWrap/>
            <w:vAlign w:val="bottom"/>
            <w:hideMark/>
          </w:tcPr>
          <w:p w14:paraId="41299D2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210 776 118</w:t>
            </w:r>
          </w:p>
        </w:tc>
        <w:tc>
          <w:tcPr>
            <w:tcW w:w="2127" w:type="dxa"/>
            <w:tcBorders>
              <w:top w:val="nil"/>
              <w:left w:val="nil"/>
              <w:bottom w:val="single" w:sz="4" w:space="0" w:color="auto"/>
              <w:right w:val="single" w:sz="4" w:space="0" w:color="auto"/>
            </w:tcBorders>
            <w:shd w:val="clear" w:color="auto" w:fill="auto"/>
            <w:noWrap/>
            <w:vAlign w:val="bottom"/>
            <w:hideMark/>
          </w:tcPr>
          <w:p w14:paraId="747E597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513 813</w:t>
            </w:r>
          </w:p>
        </w:tc>
      </w:tr>
      <w:tr w:rsidR="00913134" w:rsidRPr="002A0876" w14:paraId="1551A8B1"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3C54DC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w:t>
            </w:r>
          </w:p>
        </w:tc>
        <w:tc>
          <w:tcPr>
            <w:tcW w:w="7010" w:type="dxa"/>
            <w:tcBorders>
              <w:top w:val="nil"/>
              <w:left w:val="nil"/>
              <w:bottom w:val="single" w:sz="4" w:space="0" w:color="auto"/>
              <w:right w:val="single" w:sz="4" w:space="0" w:color="auto"/>
            </w:tcBorders>
            <w:shd w:val="clear" w:color="auto" w:fill="auto"/>
            <w:noWrap/>
            <w:vAlign w:val="bottom"/>
            <w:hideMark/>
          </w:tcPr>
          <w:p w14:paraId="13468AA4"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"Ceļu satiksmes drošības direkcija"</w:t>
            </w:r>
          </w:p>
        </w:tc>
        <w:tc>
          <w:tcPr>
            <w:tcW w:w="1985" w:type="dxa"/>
            <w:tcBorders>
              <w:top w:val="nil"/>
              <w:left w:val="nil"/>
              <w:bottom w:val="single" w:sz="4" w:space="0" w:color="auto"/>
              <w:right w:val="single" w:sz="4" w:space="0" w:color="auto"/>
            </w:tcBorders>
            <w:shd w:val="clear" w:color="auto" w:fill="auto"/>
            <w:noWrap/>
            <w:vAlign w:val="bottom"/>
            <w:hideMark/>
          </w:tcPr>
          <w:p w14:paraId="14416EE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51 588 402</w:t>
            </w:r>
          </w:p>
        </w:tc>
        <w:tc>
          <w:tcPr>
            <w:tcW w:w="1984" w:type="dxa"/>
            <w:tcBorders>
              <w:top w:val="nil"/>
              <w:left w:val="nil"/>
              <w:bottom w:val="single" w:sz="4" w:space="0" w:color="auto"/>
              <w:right w:val="single" w:sz="4" w:space="0" w:color="auto"/>
            </w:tcBorders>
            <w:shd w:val="clear" w:color="auto" w:fill="auto"/>
            <w:noWrap/>
            <w:vAlign w:val="bottom"/>
            <w:hideMark/>
          </w:tcPr>
          <w:p w14:paraId="2D4845A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50 415 430</w:t>
            </w:r>
          </w:p>
        </w:tc>
        <w:tc>
          <w:tcPr>
            <w:tcW w:w="2127" w:type="dxa"/>
            <w:tcBorders>
              <w:top w:val="nil"/>
              <w:left w:val="nil"/>
              <w:bottom w:val="single" w:sz="4" w:space="0" w:color="auto"/>
              <w:right w:val="single" w:sz="4" w:space="0" w:color="auto"/>
            </w:tcBorders>
            <w:shd w:val="clear" w:color="auto" w:fill="auto"/>
            <w:noWrap/>
            <w:vAlign w:val="bottom"/>
            <w:hideMark/>
          </w:tcPr>
          <w:p w14:paraId="48A5A25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1 172 972</w:t>
            </w:r>
          </w:p>
        </w:tc>
      </w:tr>
      <w:tr w:rsidR="00913134" w:rsidRPr="002A0876" w14:paraId="41813D98"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8C153E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56</w:t>
            </w:r>
          </w:p>
        </w:tc>
        <w:tc>
          <w:tcPr>
            <w:tcW w:w="7010" w:type="dxa"/>
            <w:tcBorders>
              <w:top w:val="nil"/>
              <w:left w:val="nil"/>
              <w:bottom w:val="single" w:sz="4" w:space="0" w:color="auto"/>
              <w:right w:val="single" w:sz="4" w:space="0" w:color="auto"/>
            </w:tcBorders>
            <w:shd w:val="clear" w:color="auto" w:fill="auto"/>
            <w:noWrap/>
            <w:vAlign w:val="bottom"/>
            <w:hideMark/>
          </w:tcPr>
          <w:p w14:paraId="2BBCE1AB"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"Strenču psihoneiroloģiskā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082A36A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9 526 650</w:t>
            </w:r>
          </w:p>
        </w:tc>
        <w:tc>
          <w:tcPr>
            <w:tcW w:w="1984" w:type="dxa"/>
            <w:tcBorders>
              <w:top w:val="nil"/>
              <w:left w:val="nil"/>
              <w:bottom w:val="single" w:sz="4" w:space="0" w:color="auto"/>
              <w:right w:val="single" w:sz="4" w:space="0" w:color="auto"/>
            </w:tcBorders>
            <w:shd w:val="clear" w:color="auto" w:fill="auto"/>
            <w:noWrap/>
            <w:vAlign w:val="bottom"/>
            <w:hideMark/>
          </w:tcPr>
          <w:p w14:paraId="567FCD8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9 528 760</w:t>
            </w:r>
          </w:p>
        </w:tc>
        <w:tc>
          <w:tcPr>
            <w:tcW w:w="2127" w:type="dxa"/>
            <w:tcBorders>
              <w:top w:val="nil"/>
              <w:left w:val="nil"/>
              <w:bottom w:val="single" w:sz="4" w:space="0" w:color="auto"/>
              <w:right w:val="single" w:sz="4" w:space="0" w:color="auto"/>
            </w:tcBorders>
            <w:shd w:val="clear" w:color="auto" w:fill="auto"/>
            <w:noWrap/>
            <w:vAlign w:val="bottom"/>
            <w:hideMark/>
          </w:tcPr>
          <w:p w14:paraId="7FFDAA7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-2 110</w:t>
            </w:r>
          </w:p>
        </w:tc>
      </w:tr>
      <w:tr w:rsidR="00913134" w:rsidRPr="002A0876" w14:paraId="070008E5" w14:textId="77777777" w:rsidTr="002A0876">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4CA1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57</w:t>
            </w:r>
          </w:p>
        </w:tc>
        <w:tc>
          <w:tcPr>
            <w:tcW w:w="7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87320"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"Bērnu klīniskā universitātes slimnīca"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545A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66 443 349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DE5E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63 847 674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94DF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2 595 675</w:t>
            </w:r>
          </w:p>
        </w:tc>
      </w:tr>
      <w:tr w:rsidR="00913134" w:rsidRPr="002A0876" w14:paraId="07E17E49" w14:textId="77777777" w:rsidTr="006C7EFD">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1F3B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58</w:t>
            </w:r>
          </w:p>
        </w:tc>
        <w:tc>
          <w:tcPr>
            <w:tcW w:w="7010" w:type="dxa"/>
            <w:tcBorders>
              <w:top w:val="single" w:sz="4" w:space="0" w:color="auto"/>
              <w:left w:val="nil"/>
              <w:bottom w:val="single" w:sz="4" w:space="0" w:color="auto"/>
              <w:right w:val="single" w:sz="4" w:space="0" w:color="auto"/>
            </w:tcBorders>
            <w:shd w:val="clear" w:color="auto" w:fill="auto"/>
            <w:noWrap/>
            <w:vAlign w:val="bottom"/>
            <w:hideMark/>
          </w:tcPr>
          <w:p w14:paraId="73CF61A2"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"Pasažieru vilciens"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E17FD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44 857 176</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6F2E61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99 984 066</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F7147F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-55 126 890</w:t>
            </w:r>
          </w:p>
        </w:tc>
      </w:tr>
      <w:tr w:rsidR="00913134" w:rsidRPr="002A0876" w14:paraId="0415F79D" w14:textId="77777777" w:rsidTr="006C7EFD">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65D8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59</w:t>
            </w:r>
          </w:p>
        </w:tc>
        <w:tc>
          <w:tcPr>
            <w:tcW w:w="7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002C7"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Nodibinājums "Akadēmiskās informācijas centrs"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75F3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261 021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D83E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494 947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AC9A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-233 926</w:t>
            </w:r>
          </w:p>
        </w:tc>
      </w:tr>
      <w:tr w:rsidR="00913134" w:rsidRPr="002A0876" w14:paraId="02B7E78B" w14:textId="77777777" w:rsidTr="006C7EFD">
        <w:trPr>
          <w:trHeight w:val="315"/>
        </w:trPr>
        <w:tc>
          <w:tcPr>
            <w:tcW w:w="92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9C8F882" w14:textId="77777777" w:rsidR="00913134" w:rsidRPr="002A0876" w:rsidRDefault="00913134" w:rsidP="00913134">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S130300</w:t>
            </w:r>
          </w:p>
        </w:tc>
        <w:tc>
          <w:tcPr>
            <w:tcW w:w="7010" w:type="dxa"/>
            <w:tcBorders>
              <w:top w:val="single" w:sz="4" w:space="0" w:color="auto"/>
              <w:left w:val="nil"/>
              <w:bottom w:val="nil"/>
              <w:right w:val="nil"/>
            </w:tcBorders>
            <w:shd w:val="clear" w:color="000000" w:fill="DDEBF7"/>
            <w:noWrap/>
            <w:vAlign w:val="bottom"/>
            <w:hideMark/>
          </w:tcPr>
          <w:p w14:paraId="0DF26F1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Pašvaldības struktūru kontrolētas un finansētas komercsabiedrības</w:t>
            </w:r>
          </w:p>
        </w:tc>
        <w:tc>
          <w:tcPr>
            <w:tcW w:w="198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89C935C"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4" w:type="dxa"/>
            <w:tcBorders>
              <w:top w:val="single" w:sz="4" w:space="0" w:color="auto"/>
              <w:left w:val="nil"/>
              <w:bottom w:val="single" w:sz="4" w:space="0" w:color="auto"/>
              <w:right w:val="single" w:sz="4" w:space="0" w:color="auto"/>
            </w:tcBorders>
            <w:shd w:val="clear" w:color="000000" w:fill="DDEBF7"/>
            <w:noWrap/>
            <w:vAlign w:val="bottom"/>
            <w:hideMark/>
          </w:tcPr>
          <w:p w14:paraId="19CDE74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2127" w:type="dxa"/>
            <w:tcBorders>
              <w:top w:val="single" w:sz="4" w:space="0" w:color="auto"/>
              <w:left w:val="nil"/>
              <w:bottom w:val="single" w:sz="4" w:space="0" w:color="auto"/>
              <w:right w:val="single" w:sz="4" w:space="0" w:color="auto"/>
            </w:tcBorders>
            <w:shd w:val="clear" w:color="000000" w:fill="DDEBF7"/>
            <w:noWrap/>
            <w:vAlign w:val="bottom"/>
            <w:hideMark/>
          </w:tcPr>
          <w:p w14:paraId="0B2E1A69"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913134" w:rsidRPr="002A0876" w14:paraId="32A29B19"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43A783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61</w:t>
            </w:r>
          </w:p>
        </w:tc>
        <w:tc>
          <w:tcPr>
            <w:tcW w:w="7010" w:type="dxa"/>
            <w:tcBorders>
              <w:top w:val="single" w:sz="4" w:space="0" w:color="auto"/>
              <w:left w:val="nil"/>
              <w:bottom w:val="single" w:sz="4" w:space="0" w:color="auto"/>
              <w:right w:val="single" w:sz="4" w:space="0" w:color="auto"/>
            </w:tcBorders>
            <w:shd w:val="clear" w:color="auto" w:fill="auto"/>
            <w:noWrap/>
            <w:vAlign w:val="bottom"/>
            <w:hideMark/>
          </w:tcPr>
          <w:p w14:paraId="3222C314"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"Vidzemes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7AA2B2B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21 453 933</w:t>
            </w:r>
          </w:p>
        </w:tc>
        <w:tc>
          <w:tcPr>
            <w:tcW w:w="1984" w:type="dxa"/>
            <w:tcBorders>
              <w:top w:val="nil"/>
              <w:left w:val="nil"/>
              <w:bottom w:val="single" w:sz="4" w:space="0" w:color="auto"/>
              <w:right w:val="single" w:sz="4" w:space="0" w:color="auto"/>
            </w:tcBorders>
            <w:shd w:val="clear" w:color="auto" w:fill="auto"/>
            <w:noWrap/>
            <w:vAlign w:val="bottom"/>
            <w:hideMark/>
          </w:tcPr>
          <w:p w14:paraId="4EAF68F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21 193 581</w:t>
            </w:r>
          </w:p>
        </w:tc>
        <w:tc>
          <w:tcPr>
            <w:tcW w:w="2127" w:type="dxa"/>
            <w:tcBorders>
              <w:top w:val="nil"/>
              <w:left w:val="nil"/>
              <w:bottom w:val="single" w:sz="4" w:space="0" w:color="auto"/>
              <w:right w:val="single" w:sz="4" w:space="0" w:color="auto"/>
            </w:tcBorders>
            <w:shd w:val="clear" w:color="auto" w:fill="auto"/>
            <w:noWrap/>
            <w:vAlign w:val="bottom"/>
            <w:hideMark/>
          </w:tcPr>
          <w:p w14:paraId="3A5A3B5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260 352</w:t>
            </w:r>
          </w:p>
        </w:tc>
      </w:tr>
      <w:tr w:rsidR="00913134" w:rsidRPr="002A0876" w14:paraId="02A3FB6D"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324CD8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62</w:t>
            </w:r>
          </w:p>
        </w:tc>
        <w:tc>
          <w:tcPr>
            <w:tcW w:w="7010" w:type="dxa"/>
            <w:tcBorders>
              <w:top w:val="nil"/>
              <w:left w:val="nil"/>
              <w:bottom w:val="single" w:sz="4" w:space="0" w:color="auto"/>
              <w:right w:val="single" w:sz="4" w:space="0" w:color="auto"/>
            </w:tcBorders>
            <w:shd w:val="clear" w:color="auto" w:fill="auto"/>
            <w:noWrap/>
            <w:vAlign w:val="bottom"/>
            <w:hideMark/>
          </w:tcPr>
          <w:p w14:paraId="55EE47EE"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"Dobeles un apkārtnes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14A47A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639 808</w:t>
            </w:r>
          </w:p>
        </w:tc>
        <w:tc>
          <w:tcPr>
            <w:tcW w:w="1984" w:type="dxa"/>
            <w:tcBorders>
              <w:top w:val="nil"/>
              <w:left w:val="nil"/>
              <w:bottom w:val="single" w:sz="4" w:space="0" w:color="auto"/>
              <w:right w:val="single" w:sz="4" w:space="0" w:color="auto"/>
            </w:tcBorders>
            <w:shd w:val="clear" w:color="auto" w:fill="auto"/>
            <w:noWrap/>
            <w:vAlign w:val="bottom"/>
            <w:hideMark/>
          </w:tcPr>
          <w:p w14:paraId="09ABDBD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604 902</w:t>
            </w:r>
          </w:p>
        </w:tc>
        <w:tc>
          <w:tcPr>
            <w:tcW w:w="2127" w:type="dxa"/>
            <w:tcBorders>
              <w:top w:val="nil"/>
              <w:left w:val="nil"/>
              <w:bottom w:val="single" w:sz="4" w:space="0" w:color="auto"/>
              <w:right w:val="single" w:sz="4" w:space="0" w:color="auto"/>
            </w:tcBorders>
            <w:shd w:val="clear" w:color="auto" w:fill="auto"/>
            <w:noWrap/>
            <w:vAlign w:val="bottom"/>
            <w:hideMark/>
          </w:tcPr>
          <w:p w14:paraId="211D787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34 906</w:t>
            </w:r>
          </w:p>
        </w:tc>
      </w:tr>
      <w:tr w:rsidR="00913134" w:rsidRPr="002A0876" w14:paraId="107C7B09"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7F137E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63</w:t>
            </w:r>
          </w:p>
        </w:tc>
        <w:tc>
          <w:tcPr>
            <w:tcW w:w="7010" w:type="dxa"/>
            <w:tcBorders>
              <w:top w:val="nil"/>
              <w:left w:val="nil"/>
              <w:bottom w:val="single" w:sz="4" w:space="0" w:color="auto"/>
              <w:right w:val="single" w:sz="4" w:space="0" w:color="auto"/>
            </w:tcBorders>
            <w:shd w:val="clear" w:color="auto" w:fill="auto"/>
            <w:noWrap/>
            <w:vAlign w:val="bottom"/>
            <w:hideMark/>
          </w:tcPr>
          <w:p w14:paraId="2BFB42D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"Cēsu klīnika"</w:t>
            </w:r>
          </w:p>
        </w:tc>
        <w:tc>
          <w:tcPr>
            <w:tcW w:w="1985" w:type="dxa"/>
            <w:tcBorders>
              <w:top w:val="nil"/>
              <w:left w:val="nil"/>
              <w:bottom w:val="single" w:sz="4" w:space="0" w:color="auto"/>
              <w:right w:val="single" w:sz="4" w:space="0" w:color="auto"/>
            </w:tcBorders>
            <w:shd w:val="clear" w:color="auto" w:fill="auto"/>
            <w:noWrap/>
            <w:vAlign w:val="bottom"/>
            <w:hideMark/>
          </w:tcPr>
          <w:p w14:paraId="613FDE0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8 736 405</w:t>
            </w:r>
          </w:p>
        </w:tc>
        <w:tc>
          <w:tcPr>
            <w:tcW w:w="1984" w:type="dxa"/>
            <w:tcBorders>
              <w:top w:val="nil"/>
              <w:left w:val="nil"/>
              <w:bottom w:val="single" w:sz="4" w:space="0" w:color="auto"/>
              <w:right w:val="single" w:sz="4" w:space="0" w:color="auto"/>
            </w:tcBorders>
            <w:shd w:val="clear" w:color="auto" w:fill="auto"/>
            <w:noWrap/>
            <w:vAlign w:val="bottom"/>
            <w:hideMark/>
          </w:tcPr>
          <w:p w14:paraId="6A3503D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8 601 268</w:t>
            </w:r>
          </w:p>
        </w:tc>
        <w:tc>
          <w:tcPr>
            <w:tcW w:w="2127" w:type="dxa"/>
            <w:tcBorders>
              <w:top w:val="nil"/>
              <w:left w:val="nil"/>
              <w:bottom w:val="single" w:sz="4" w:space="0" w:color="auto"/>
              <w:right w:val="single" w:sz="4" w:space="0" w:color="auto"/>
            </w:tcBorders>
            <w:shd w:val="clear" w:color="auto" w:fill="auto"/>
            <w:noWrap/>
            <w:vAlign w:val="bottom"/>
            <w:hideMark/>
          </w:tcPr>
          <w:p w14:paraId="0EE208E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135 137</w:t>
            </w:r>
          </w:p>
        </w:tc>
      </w:tr>
      <w:tr w:rsidR="00913134" w:rsidRPr="002A0876" w14:paraId="2F113A6A"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288B81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64</w:t>
            </w:r>
          </w:p>
        </w:tc>
        <w:tc>
          <w:tcPr>
            <w:tcW w:w="7010" w:type="dxa"/>
            <w:tcBorders>
              <w:top w:val="nil"/>
              <w:left w:val="nil"/>
              <w:bottom w:val="single" w:sz="4" w:space="0" w:color="auto"/>
              <w:right w:val="single" w:sz="4" w:space="0" w:color="auto"/>
            </w:tcBorders>
            <w:shd w:val="clear" w:color="auto" w:fill="auto"/>
            <w:noWrap/>
            <w:vAlign w:val="bottom"/>
            <w:hideMark/>
          </w:tcPr>
          <w:p w14:paraId="220A866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"Madonas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08D2B43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9 000 000</w:t>
            </w:r>
          </w:p>
        </w:tc>
        <w:tc>
          <w:tcPr>
            <w:tcW w:w="1984" w:type="dxa"/>
            <w:tcBorders>
              <w:top w:val="nil"/>
              <w:left w:val="nil"/>
              <w:bottom w:val="single" w:sz="4" w:space="0" w:color="auto"/>
              <w:right w:val="single" w:sz="4" w:space="0" w:color="auto"/>
            </w:tcBorders>
            <w:shd w:val="clear" w:color="auto" w:fill="auto"/>
            <w:noWrap/>
            <w:vAlign w:val="bottom"/>
            <w:hideMark/>
          </w:tcPr>
          <w:p w14:paraId="1657C46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8 914 050</w:t>
            </w:r>
          </w:p>
        </w:tc>
        <w:tc>
          <w:tcPr>
            <w:tcW w:w="2127" w:type="dxa"/>
            <w:tcBorders>
              <w:top w:val="nil"/>
              <w:left w:val="nil"/>
              <w:bottom w:val="single" w:sz="4" w:space="0" w:color="auto"/>
              <w:right w:val="single" w:sz="4" w:space="0" w:color="auto"/>
            </w:tcBorders>
            <w:shd w:val="clear" w:color="auto" w:fill="auto"/>
            <w:noWrap/>
            <w:vAlign w:val="bottom"/>
            <w:hideMark/>
          </w:tcPr>
          <w:p w14:paraId="4016358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85 950</w:t>
            </w:r>
          </w:p>
        </w:tc>
      </w:tr>
      <w:tr w:rsidR="00913134" w:rsidRPr="002A0876" w14:paraId="25D66269"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2FAC65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65</w:t>
            </w:r>
          </w:p>
        </w:tc>
        <w:tc>
          <w:tcPr>
            <w:tcW w:w="7010" w:type="dxa"/>
            <w:tcBorders>
              <w:top w:val="nil"/>
              <w:left w:val="nil"/>
              <w:bottom w:val="single" w:sz="4" w:space="0" w:color="auto"/>
              <w:right w:val="single" w:sz="4" w:space="0" w:color="auto"/>
            </w:tcBorders>
            <w:shd w:val="clear" w:color="auto" w:fill="auto"/>
            <w:noWrap/>
            <w:vAlign w:val="bottom"/>
            <w:hideMark/>
          </w:tcPr>
          <w:p w14:paraId="29976BD8"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“Ogres rajona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111037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10 873 814</w:t>
            </w:r>
          </w:p>
        </w:tc>
        <w:tc>
          <w:tcPr>
            <w:tcW w:w="1984" w:type="dxa"/>
            <w:tcBorders>
              <w:top w:val="nil"/>
              <w:left w:val="nil"/>
              <w:bottom w:val="single" w:sz="4" w:space="0" w:color="auto"/>
              <w:right w:val="single" w:sz="4" w:space="0" w:color="auto"/>
            </w:tcBorders>
            <w:shd w:val="clear" w:color="auto" w:fill="auto"/>
            <w:noWrap/>
            <w:vAlign w:val="bottom"/>
            <w:hideMark/>
          </w:tcPr>
          <w:p w14:paraId="74BE45A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11 686 681</w:t>
            </w:r>
          </w:p>
        </w:tc>
        <w:tc>
          <w:tcPr>
            <w:tcW w:w="2127" w:type="dxa"/>
            <w:tcBorders>
              <w:top w:val="nil"/>
              <w:left w:val="nil"/>
              <w:bottom w:val="single" w:sz="4" w:space="0" w:color="auto"/>
              <w:right w:val="single" w:sz="4" w:space="0" w:color="auto"/>
            </w:tcBorders>
            <w:shd w:val="clear" w:color="auto" w:fill="auto"/>
            <w:noWrap/>
            <w:vAlign w:val="bottom"/>
            <w:hideMark/>
          </w:tcPr>
          <w:p w14:paraId="42828FE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-812 867</w:t>
            </w:r>
          </w:p>
        </w:tc>
      </w:tr>
      <w:tr w:rsidR="00913134" w:rsidRPr="002A0876" w14:paraId="3D6BFFBB"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C8A2E6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66</w:t>
            </w:r>
          </w:p>
        </w:tc>
        <w:tc>
          <w:tcPr>
            <w:tcW w:w="7010" w:type="dxa"/>
            <w:tcBorders>
              <w:top w:val="nil"/>
              <w:left w:val="nil"/>
              <w:bottom w:val="single" w:sz="4" w:space="0" w:color="auto"/>
              <w:right w:val="single" w:sz="4" w:space="0" w:color="auto"/>
            </w:tcBorders>
            <w:shd w:val="clear" w:color="auto" w:fill="auto"/>
            <w:noWrap/>
            <w:vAlign w:val="bottom"/>
            <w:hideMark/>
          </w:tcPr>
          <w:p w14:paraId="4C234AEF"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"Rēzeknes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00FE960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17 200 000</w:t>
            </w:r>
          </w:p>
        </w:tc>
        <w:tc>
          <w:tcPr>
            <w:tcW w:w="1984" w:type="dxa"/>
            <w:tcBorders>
              <w:top w:val="nil"/>
              <w:left w:val="nil"/>
              <w:bottom w:val="single" w:sz="4" w:space="0" w:color="auto"/>
              <w:right w:val="single" w:sz="4" w:space="0" w:color="auto"/>
            </w:tcBorders>
            <w:shd w:val="clear" w:color="auto" w:fill="auto"/>
            <w:noWrap/>
            <w:vAlign w:val="bottom"/>
            <w:hideMark/>
          </w:tcPr>
          <w:p w14:paraId="41CE774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16 982 000</w:t>
            </w:r>
          </w:p>
        </w:tc>
        <w:tc>
          <w:tcPr>
            <w:tcW w:w="2127" w:type="dxa"/>
            <w:tcBorders>
              <w:top w:val="nil"/>
              <w:left w:val="nil"/>
              <w:bottom w:val="single" w:sz="4" w:space="0" w:color="auto"/>
              <w:right w:val="single" w:sz="4" w:space="0" w:color="auto"/>
            </w:tcBorders>
            <w:shd w:val="clear" w:color="auto" w:fill="auto"/>
            <w:noWrap/>
            <w:vAlign w:val="bottom"/>
            <w:hideMark/>
          </w:tcPr>
          <w:p w14:paraId="28C234B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218 000</w:t>
            </w:r>
          </w:p>
        </w:tc>
      </w:tr>
      <w:tr w:rsidR="00913134" w:rsidRPr="002A0876" w14:paraId="4475A2BE"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33E80D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67</w:t>
            </w:r>
          </w:p>
        </w:tc>
        <w:tc>
          <w:tcPr>
            <w:tcW w:w="7010" w:type="dxa"/>
            <w:tcBorders>
              <w:top w:val="nil"/>
              <w:left w:val="nil"/>
              <w:bottom w:val="single" w:sz="4" w:space="0" w:color="auto"/>
              <w:right w:val="single" w:sz="4" w:space="0" w:color="auto"/>
            </w:tcBorders>
            <w:shd w:val="clear" w:color="auto" w:fill="auto"/>
            <w:noWrap/>
            <w:vAlign w:val="bottom"/>
            <w:hideMark/>
          </w:tcPr>
          <w:p w14:paraId="3FE0FAF7"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"Rēzeknes Satiksme"</w:t>
            </w:r>
          </w:p>
        </w:tc>
        <w:tc>
          <w:tcPr>
            <w:tcW w:w="1985" w:type="dxa"/>
            <w:tcBorders>
              <w:top w:val="nil"/>
              <w:left w:val="nil"/>
              <w:bottom w:val="single" w:sz="4" w:space="0" w:color="auto"/>
              <w:right w:val="single" w:sz="4" w:space="0" w:color="auto"/>
            </w:tcBorders>
            <w:shd w:val="clear" w:color="auto" w:fill="auto"/>
            <w:noWrap/>
            <w:vAlign w:val="bottom"/>
            <w:hideMark/>
          </w:tcPr>
          <w:p w14:paraId="3508A72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2 367 072</w:t>
            </w:r>
          </w:p>
        </w:tc>
        <w:tc>
          <w:tcPr>
            <w:tcW w:w="1984" w:type="dxa"/>
            <w:tcBorders>
              <w:top w:val="nil"/>
              <w:left w:val="nil"/>
              <w:bottom w:val="single" w:sz="4" w:space="0" w:color="auto"/>
              <w:right w:val="single" w:sz="4" w:space="0" w:color="auto"/>
            </w:tcBorders>
            <w:shd w:val="clear" w:color="auto" w:fill="auto"/>
            <w:noWrap/>
            <w:vAlign w:val="bottom"/>
            <w:hideMark/>
          </w:tcPr>
          <w:p w14:paraId="2802543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1 862 214</w:t>
            </w:r>
          </w:p>
        </w:tc>
        <w:tc>
          <w:tcPr>
            <w:tcW w:w="2127" w:type="dxa"/>
            <w:tcBorders>
              <w:top w:val="nil"/>
              <w:left w:val="nil"/>
              <w:bottom w:val="single" w:sz="4" w:space="0" w:color="auto"/>
              <w:right w:val="single" w:sz="4" w:space="0" w:color="auto"/>
            </w:tcBorders>
            <w:shd w:val="clear" w:color="auto" w:fill="auto"/>
            <w:noWrap/>
            <w:vAlign w:val="bottom"/>
            <w:hideMark/>
          </w:tcPr>
          <w:p w14:paraId="7C64DCC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504 859</w:t>
            </w:r>
          </w:p>
        </w:tc>
      </w:tr>
      <w:tr w:rsidR="00913134" w:rsidRPr="002A0876" w14:paraId="4CCFEA20"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FF1299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68</w:t>
            </w:r>
          </w:p>
        </w:tc>
        <w:tc>
          <w:tcPr>
            <w:tcW w:w="7010" w:type="dxa"/>
            <w:tcBorders>
              <w:top w:val="nil"/>
              <w:left w:val="nil"/>
              <w:bottom w:val="single" w:sz="4" w:space="0" w:color="auto"/>
              <w:right w:val="single" w:sz="4" w:space="0" w:color="auto"/>
            </w:tcBorders>
            <w:shd w:val="clear" w:color="auto" w:fill="auto"/>
            <w:noWrap/>
            <w:vAlign w:val="bottom"/>
            <w:hideMark/>
          </w:tcPr>
          <w:p w14:paraId="11D471A7"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"Ziemeļkurzemes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1E18BC5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17 517 133</w:t>
            </w:r>
          </w:p>
        </w:tc>
        <w:tc>
          <w:tcPr>
            <w:tcW w:w="1984" w:type="dxa"/>
            <w:tcBorders>
              <w:top w:val="nil"/>
              <w:left w:val="nil"/>
              <w:bottom w:val="single" w:sz="4" w:space="0" w:color="auto"/>
              <w:right w:val="single" w:sz="4" w:space="0" w:color="auto"/>
            </w:tcBorders>
            <w:shd w:val="clear" w:color="auto" w:fill="auto"/>
            <w:noWrap/>
            <w:vAlign w:val="bottom"/>
            <w:hideMark/>
          </w:tcPr>
          <w:p w14:paraId="35FEBAB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17 437 330</w:t>
            </w:r>
          </w:p>
        </w:tc>
        <w:tc>
          <w:tcPr>
            <w:tcW w:w="2127" w:type="dxa"/>
            <w:tcBorders>
              <w:top w:val="nil"/>
              <w:left w:val="nil"/>
              <w:bottom w:val="single" w:sz="4" w:space="0" w:color="auto"/>
              <w:right w:val="single" w:sz="4" w:space="0" w:color="auto"/>
            </w:tcBorders>
            <w:shd w:val="clear" w:color="auto" w:fill="auto"/>
            <w:noWrap/>
            <w:vAlign w:val="bottom"/>
            <w:hideMark/>
          </w:tcPr>
          <w:p w14:paraId="084EA9A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79 803</w:t>
            </w:r>
          </w:p>
        </w:tc>
      </w:tr>
      <w:tr w:rsidR="00913134" w:rsidRPr="002A0876" w14:paraId="0072CF0C"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F55A1C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69</w:t>
            </w:r>
          </w:p>
        </w:tc>
        <w:tc>
          <w:tcPr>
            <w:tcW w:w="7010" w:type="dxa"/>
            <w:tcBorders>
              <w:top w:val="nil"/>
              <w:left w:val="nil"/>
              <w:bottom w:val="single" w:sz="4" w:space="0" w:color="auto"/>
              <w:right w:val="single" w:sz="4" w:space="0" w:color="auto"/>
            </w:tcBorders>
            <w:shd w:val="clear" w:color="auto" w:fill="auto"/>
            <w:noWrap/>
            <w:vAlign w:val="bottom"/>
            <w:hideMark/>
          </w:tcPr>
          <w:p w14:paraId="732BDBBA"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"Olimpiskais centrs "Ventspils""</w:t>
            </w:r>
          </w:p>
        </w:tc>
        <w:tc>
          <w:tcPr>
            <w:tcW w:w="1985" w:type="dxa"/>
            <w:tcBorders>
              <w:top w:val="nil"/>
              <w:left w:val="nil"/>
              <w:bottom w:val="single" w:sz="4" w:space="0" w:color="auto"/>
              <w:right w:val="single" w:sz="4" w:space="0" w:color="auto"/>
            </w:tcBorders>
            <w:shd w:val="clear" w:color="auto" w:fill="auto"/>
            <w:noWrap/>
            <w:vAlign w:val="bottom"/>
            <w:hideMark/>
          </w:tcPr>
          <w:p w14:paraId="7499749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2 142 984</w:t>
            </w:r>
          </w:p>
        </w:tc>
        <w:tc>
          <w:tcPr>
            <w:tcW w:w="1984" w:type="dxa"/>
            <w:tcBorders>
              <w:top w:val="nil"/>
              <w:left w:val="nil"/>
              <w:bottom w:val="single" w:sz="4" w:space="0" w:color="auto"/>
              <w:right w:val="single" w:sz="4" w:space="0" w:color="auto"/>
            </w:tcBorders>
            <w:shd w:val="clear" w:color="auto" w:fill="auto"/>
            <w:noWrap/>
            <w:vAlign w:val="bottom"/>
            <w:hideMark/>
          </w:tcPr>
          <w:p w14:paraId="3E1BA99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2 085 569</w:t>
            </w:r>
          </w:p>
        </w:tc>
        <w:tc>
          <w:tcPr>
            <w:tcW w:w="2127" w:type="dxa"/>
            <w:tcBorders>
              <w:top w:val="nil"/>
              <w:left w:val="nil"/>
              <w:bottom w:val="single" w:sz="4" w:space="0" w:color="auto"/>
              <w:right w:val="single" w:sz="4" w:space="0" w:color="auto"/>
            </w:tcBorders>
            <w:shd w:val="clear" w:color="auto" w:fill="auto"/>
            <w:noWrap/>
            <w:vAlign w:val="bottom"/>
            <w:hideMark/>
          </w:tcPr>
          <w:p w14:paraId="4645D7C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57 415</w:t>
            </w:r>
          </w:p>
        </w:tc>
      </w:tr>
      <w:tr w:rsidR="00913134" w:rsidRPr="002A0876" w14:paraId="6CD1CA2E"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F7DC13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70</w:t>
            </w:r>
          </w:p>
        </w:tc>
        <w:tc>
          <w:tcPr>
            <w:tcW w:w="7010" w:type="dxa"/>
            <w:tcBorders>
              <w:top w:val="nil"/>
              <w:left w:val="nil"/>
              <w:bottom w:val="single" w:sz="4" w:space="0" w:color="auto"/>
              <w:right w:val="single" w:sz="4" w:space="0" w:color="auto"/>
            </w:tcBorders>
            <w:shd w:val="clear" w:color="auto" w:fill="auto"/>
            <w:noWrap/>
            <w:vAlign w:val="bottom"/>
            <w:hideMark/>
          </w:tcPr>
          <w:p w14:paraId="266A749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"Jūrmalas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5D076B5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9 698 237</w:t>
            </w:r>
          </w:p>
        </w:tc>
        <w:tc>
          <w:tcPr>
            <w:tcW w:w="1984" w:type="dxa"/>
            <w:tcBorders>
              <w:top w:val="nil"/>
              <w:left w:val="nil"/>
              <w:bottom w:val="single" w:sz="4" w:space="0" w:color="auto"/>
              <w:right w:val="single" w:sz="4" w:space="0" w:color="auto"/>
            </w:tcBorders>
            <w:shd w:val="clear" w:color="auto" w:fill="auto"/>
            <w:noWrap/>
            <w:vAlign w:val="bottom"/>
            <w:hideMark/>
          </w:tcPr>
          <w:p w14:paraId="00AEDCE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9 174 648</w:t>
            </w:r>
          </w:p>
        </w:tc>
        <w:tc>
          <w:tcPr>
            <w:tcW w:w="2127" w:type="dxa"/>
            <w:tcBorders>
              <w:top w:val="nil"/>
              <w:left w:val="nil"/>
              <w:bottom w:val="single" w:sz="4" w:space="0" w:color="auto"/>
              <w:right w:val="single" w:sz="4" w:space="0" w:color="auto"/>
            </w:tcBorders>
            <w:shd w:val="clear" w:color="auto" w:fill="auto"/>
            <w:noWrap/>
            <w:vAlign w:val="bottom"/>
            <w:hideMark/>
          </w:tcPr>
          <w:p w14:paraId="4F5E398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523 589</w:t>
            </w:r>
          </w:p>
        </w:tc>
      </w:tr>
      <w:tr w:rsidR="00913134" w:rsidRPr="002A0876" w14:paraId="4F6007C5"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7463FB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71</w:t>
            </w:r>
          </w:p>
        </w:tc>
        <w:tc>
          <w:tcPr>
            <w:tcW w:w="7010" w:type="dxa"/>
            <w:tcBorders>
              <w:top w:val="nil"/>
              <w:left w:val="nil"/>
              <w:bottom w:val="single" w:sz="4" w:space="0" w:color="auto"/>
              <w:right w:val="single" w:sz="4" w:space="0" w:color="auto"/>
            </w:tcBorders>
            <w:shd w:val="clear" w:color="auto" w:fill="auto"/>
            <w:noWrap/>
            <w:vAlign w:val="bottom"/>
            <w:hideMark/>
          </w:tcPr>
          <w:p w14:paraId="6D075D2B"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Nodibinājums "Rīgas Tūrisma Attīstības Birojs" </w:t>
            </w:r>
          </w:p>
        </w:tc>
        <w:tc>
          <w:tcPr>
            <w:tcW w:w="1985" w:type="dxa"/>
            <w:tcBorders>
              <w:top w:val="nil"/>
              <w:left w:val="nil"/>
              <w:bottom w:val="single" w:sz="4" w:space="0" w:color="auto"/>
              <w:right w:val="single" w:sz="4" w:space="0" w:color="auto"/>
            </w:tcBorders>
            <w:shd w:val="clear" w:color="auto" w:fill="auto"/>
            <w:noWrap/>
            <w:vAlign w:val="bottom"/>
            <w:hideMark/>
          </w:tcPr>
          <w:p w14:paraId="4E8E26F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3 352 887</w:t>
            </w:r>
          </w:p>
        </w:tc>
        <w:tc>
          <w:tcPr>
            <w:tcW w:w="1984" w:type="dxa"/>
            <w:tcBorders>
              <w:top w:val="nil"/>
              <w:left w:val="nil"/>
              <w:bottom w:val="single" w:sz="4" w:space="0" w:color="auto"/>
              <w:right w:val="single" w:sz="4" w:space="0" w:color="auto"/>
            </w:tcBorders>
            <w:shd w:val="clear" w:color="auto" w:fill="auto"/>
            <w:noWrap/>
            <w:vAlign w:val="bottom"/>
            <w:hideMark/>
          </w:tcPr>
          <w:p w14:paraId="3E79C4B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3 298 000</w:t>
            </w:r>
          </w:p>
        </w:tc>
        <w:tc>
          <w:tcPr>
            <w:tcW w:w="2127" w:type="dxa"/>
            <w:tcBorders>
              <w:top w:val="nil"/>
              <w:left w:val="nil"/>
              <w:bottom w:val="single" w:sz="4" w:space="0" w:color="auto"/>
              <w:right w:val="single" w:sz="4" w:space="0" w:color="auto"/>
            </w:tcBorders>
            <w:shd w:val="clear" w:color="auto" w:fill="auto"/>
            <w:noWrap/>
            <w:vAlign w:val="bottom"/>
            <w:hideMark/>
          </w:tcPr>
          <w:p w14:paraId="607DA64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54 887</w:t>
            </w:r>
          </w:p>
        </w:tc>
      </w:tr>
      <w:tr w:rsidR="00913134" w:rsidRPr="002A0876" w14:paraId="2F027751"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216E99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72</w:t>
            </w:r>
          </w:p>
        </w:tc>
        <w:tc>
          <w:tcPr>
            <w:tcW w:w="7010" w:type="dxa"/>
            <w:tcBorders>
              <w:top w:val="nil"/>
              <w:left w:val="nil"/>
              <w:bottom w:val="single" w:sz="4" w:space="0" w:color="auto"/>
              <w:right w:val="single" w:sz="4" w:space="0" w:color="auto"/>
            </w:tcBorders>
            <w:shd w:val="clear" w:color="auto" w:fill="auto"/>
            <w:noWrap/>
            <w:vAlign w:val="bottom"/>
            <w:hideMark/>
          </w:tcPr>
          <w:p w14:paraId="340BCAE0"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SIA "Rīgas 2. slimnīca" </w:t>
            </w:r>
          </w:p>
        </w:tc>
        <w:tc>
          <w:tcPr>
            <w:tcW w:w="1985" w:type="dxa"/>
            <w:tcBorders>
              <w:top w:val="nil"/>
              <w:left w:val="nil"/>
              <w:bottom w:val="single" w:sz="4" w:space="0" w:color="auto"/>
              <w:right w:val="single" w:sz="4" w:space="0" w:color="auto"/>
            </w:tcBorders>
            <w:shd w:val="clear" w:color="auto" w:fill="auto"/>
            <w:noWrap/>
            <w:vAlign w:val="bottom"/>
            <w:hideMark/>
          </w:tcPr>
          <w:p w14:paraId="4372D3B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7 615 459</w:t>
            </w:r>
          </w:p>
        </w:tc>
        <w:tc>
          <w:tcPr>
            <w:tcW w:w="1984" w:type="dxa"/>
            <w:tcBorders>
              <w:top w:val="nil"/>
              <w:left w:val="nil"/>
              <w:bottom w:val="single" w:sz="4" w:space="0" w:color="auto"/>
              <w:right w:val="single" w:sz="4" w:space="0" w:color="auto"/>
            </w:tcBorders>
            <w:shd w:val="clear" w:color="auto" w:fill="auto"/>
            <w:noWrap/>
            <w:vAlign w:val="bottom"/>
            <w:hideMark/>
          </w:tcPr>
          <w:p w14:paraId="27319D6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7 615 459</w:t>
            </w:r>
          </w:p>
        </w:tc>
        <w:tc>
          <w:tcPr>
            <w:tcW w:w="2127" w:type="dxa"/>
            <w:tcBorders>
              <w:top w:val="nil"/>
              <w:left w:val="nil"/>
              <w:bottom w:val="single" w:sz="4" w:space="0" w:color="auto"/>
              <w:right w:val="single" w:sz="4" w:space="0" w:color="auto"/>
            </w:tcBorders>
            <w:shd w:val="clear" w:color="auto" w:fill="auto"/>
            <w:noWrap/>
            <w:vAlign w:val="bottom"/>
            <w:hideMark/>
          </w:tcPr>
          <w:p w14:paraId="3570448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7054ADE4"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CA82AB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73</w:t>
            </w:r>
          </w:p>
        </w:tc>
        <w:tc>
          <w:tcPr>
            <w:tcW w:w="7010" w:type="dxa"/>
            <w:tcBorders>
              <w:top w:val="nil"/>
              <w:left w:val="nil"/>
              <w:bottom w:val="single" w:sz="4" w:space="0" w:color="auto"/>
              <w:right w:val="single" w:sz="4" w:space="0" w:color="auto"/>
            </w:tcBorders>
            <w:shd w:val="clear" w:color="auto" w:fill="auto"/>
            <w:noWrap/>
            <w:vAlign w:val="bottom"/>
            <w:hideMark/>
          </w:tcPr>
          <w:p w14:paraId="2A7B11C9"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"Jelgavas pilsētas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4E66100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13 955 813</w:t>
            </w:r>
          </w:p>
        </w:tc>
        <w:tc>
          <w:tcPr>
            <w:tcW w:w="1984" w:type="dxa"/>
            <w:tcBorders>
              <w:top w:val="nil"/>
              <w:left w:val="nil"/>
              <w:bottom w:val="single" w:sz="4" w:space="0" w:color="auto"/>
              <w:right w:val="single" w:sz="4" w:space="0" w:color="auto"/>
            </w:tcBorders>
            <w:shd w:val="clear" w:color="auto" w:fill="auto"/>
            <w:noWrap/>
            <w:vAlign w:val="bottom"/>
            <w:hideMark/>
          </w:tcPr>
          <w:p w14:paraId="3C82C03A"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12 821 075</w:t>
            </w:r>
          </w:p>
        </w:tc>
        <w:tc>
          <w:tcPr>
            <w:tcW w:w="2127" w:type="dxa"/>
            <w:tcBorders>
              <w:top w:val="nil"/>
              <w:left w:val="nil"/>
              <w:bottom w:val="single" w:sz="4" w:space="0" w:color="auto"/>
              <w:right w:val="single" w:sz="4" w:space="0" w:color="auto"/>
            </w:tcBorders>
            <w:shd w:val="clear" w:color="auto" w:fill="auto"/>
            <w:noWrap/>
            <w:vAlign w:val="bottom"/>
            <w:hideMark/>
          </w:tcPr>
          <w:p w14:paraId="7F15546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1 134 738</w:t>
            </w:r>
          </w:p>
        </w:tc>
      </w:tr>
      <w:tr w:rsidR="00913134" w:rsidRPr="002A0876" w14:paraId="2D676D3C"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B9FEB0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74</w:t>
            </w:r>
          </w:p>
        </w:tc>
        <w:tc>
          <w:tcPr>
            <w:tcW w:w="7010" w:type="dxa"/>
            <w:tcBorders>
              <w:top w:val="nil"/>
              <w:left w:val="nil"/>
              <w:bottom w:val="single" w:sz="4" w:space="0" w:color="auto"/>
              <w:right w:val="single" w:sz="4" w:space="0" w:color="auto"/>
            </w:tcBorders>
            <w:shd w:val="clear" w:color="auto" w:fill="auto"/>
            <w:noWrap/>
            <w:vAlign w:val="bottom"/>
            <w:hideMark/>
          </w:tcPr>
          <w:p w14:paraId="410763D9"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1.slimnīca"</w:t>
            </w:r>
          </w:p>
        </w:tc>
        <w:tc>
          <w:tcPr>
            <w:tcW w:w="1985" w:type="dxa"/>
            <w:tcBorders>
              <w:top w:val="nil"/>
              <w:left w:val="nil"/>
              <w:bottom w:val="single" w:sz="4" w:space="0" w:color="auto"/>
              <w:right w:val="single" w:sz="4" w:space="0" w:color="auto"/>
            </w:tcBorders>
            <w:shd w:val="clear" w:color="auto" w:fill="auto"/>
            <w:noWrap/>
            <w:vAlign w:val="bottom"/>
            <w:hideMark/>
          </w:tcPr>
          <w:p w14:paraId="538E579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18 509 306</w:t>
            </w:r>
          </w:p>
        </w:tc>
        <w:tc>
          <w:tcPr>
            <w:tcW w:w="1984" w:type="dxa"/>
            <w:tcBorders>
              <w:top w:val="nil"/>
              <w:left w:val="nil"/>
              <w:bottom w:val="single" w:sz="4" w:space="0" w:color="auto"/>
              <w:right w:val="single" w:sz="4" w:space="0" w:color="auto"/>
            </w:tcBorders>
            <w:shd w:val="clear" w:color="auto" w:fill="auto"/>
            <w:noWrap/>
            <w:vAlign w:val="bottom"/>
            <w:hideMark/>
          </w:tcPr>
          <w:p w14:paraId="16C435C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18 475 359</w:t>
            </w:r>
          </w:p>
        </w:tc>
        <w:tc>
          <w:tcPr>
            <w:tcW w:w="2127" w:type="dxa"/>
            <w:tcBorders>
              <w:top w:val="nil"/>
              <w:left w:val="nil"/>
              <w:bottom w:val="single" w:sz="4" w:space="0" w:color="auto"/>
              <w:right w:val="single" w:sz="4" w:space="0" w:color="auto"/>
            </w:tcBorders>
            <w:shd w:val="clear" w:color="auto" w:fill="auto"/>
            <w:noWrap/>
            <w:vAlign w:val="bottom"/>
            <w:hideMark/>
          </w:tcPr>
          <w:p w14:paraId="00508E1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33 947</w:t>
            </w:r>
          </w:p>
        </w:tc>
      </w:tr>
      <w:tr w:rsidR="00913134" w:rsidRPr="002A0876" w14:paraId="57FBC416"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3D653B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75</w:t>
            </w:r>
          </w:p>
        </w:tc>
        <w:tc>
          <w:tcPr>
            <w:tcW w:w="7010" w:type="dxa"/>
            <w:tcBorders>
              <w:top w:val="nil"/>
              <w:left w:val="nil"/>
              <w:bottom w:val="single" w:sz="4" w:space="0" w:color="auto"/>
              <w:right w:val="single" w:sz="4" w:space="0" w:color="auto"/>
            </w:tcBorders>
            <w:shd w:val="clear" w:color="auto" w:fill="auto"/>
            <w:noWrap/>
            <w:vAlign w:val="bottom"/>
            <w:hideMark/>
          </w:tcPr>
          <w:p w14:paraId="00566F32"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Dzemdību nams"</w:t>
            </w:r>
          </w:p>
        </w:tc>
        <w:tc>
          <w:tcPr>
            <w:tcW w:w="1985" w:type="dxa"/>
            <w:tcBorders>
              <w:top w:val="nil"/>
              <w:left w:val="nil"/>
              <w:bottom w:val="single" w:sz="4" w:space="0" w:color="auto"/>
              <w:right w:val="single" w:sz="4" w:space="0" w:color="auto"/>
            </w:tcBorders>
            <w:shd w:val="clear" w:color="auto" w:fill="auto"/>
            <w:noWrap/>
            <w:vAlign w:val="bottom"/>
            <w:hideMark/>
          </w:tcPr>
          <w:p w14:paraId="0EF4913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11 726 530</w:t>
            </w:r>
          </w:p>
        </w:tc>
        <w:tc>
          <w:tcPr>
            <w:tcW w:w="1984" w:type="dxa"/>
            <w:tcBorders>
              <w:top w:val="nil"/>
              <w:left w:val="nil"/>
              <w:bottom w:val="single" w:sz="4" w:space="0" w:color="auto"/>
              <w:right w:val="single" w:sz="4" w:space="0" w:color="auto"/>
            </w:tcBorders>
            <w:shd w:val="clear" w:color="auto" w:fill="auto"/>
            <w:noWrap/>
            <w:vAlign w:val="bottom"/>
            <w:hideMark/>
          </w:tcPr>
          <w:p w14:paraId="5774438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11 684 102</w:t>
            </w:r>
          </w:p>
        </w:tc>
        <w:tc>
          <w:tcPr>
            <w:tcW w:w="2127" w:type="dxa"/>
            <w:tcBorders>
              <w:top w:val="nil"/>
              <w:left w:val="nil"/>
              <w:bottom w:val="single" w:sz="4" w:space="0" w:color="auto"/>
              <w:right w:val="single" w:sz="4" w:space="0" w:color="auto"/>
            </w:tcBorders>
            <w:shd w:val="clear" w:color="auto" w:fill="auto"/>
            <w:noWrap/>
            <w:vAlign w:val="bottom"/>
            <w:hideMark/>
          </w:tcPr>
          <w:p w14:paraId="224F51A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42 428</w:t>
            </w:r>
          </w:p>
        </w:tc>
      </w:tr>
      <w:tr w:rsidR="00913134" w:rsidRPr="002A0876" w14:paraId="5F9DEEDE"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09E731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76</w:t>
            </w:r>
          </w:p>
        </w:tc>
        <w:tc>
          <w:tcPr>
            <w:tcW w:w="7010" w:type="dxa"/>
            <w:tcBorders>
              <w:top w:val="nil"/>
              <w:left w:val="nil"/>
              <w:bottom w:val="single" w:sz="4" w:space="0" w:color="auto"/>
              <w:right w:val="single" w:sz="4" w:space="0" w:color="auto"/>
            </w:tcBorders>
            <w:shd w:val="clear" w:color="auto" w:fill="auto"/>
            <w:noWrap/>
            <w:vAlign w:val="bottom"/>
            <w:hideMark/>
          </w:tcPr>
          <w:p w14:paraId="09B1C679"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veselības centrs"</w:t>
            </w:r>
          </w:p>
        </w:tc>
        <w:tc>
          <w:tcPr>
            <w:tcW w:w="1985" w:type="dxa"/>
            <w:tcBorders>
              <w:top w:val="nil"/>
              <w:left w:val="nil"/>
              <w:bottom w:val="single" w:sz="4" w:space="0" w:color="auto"/>
              <w:right w:val="single" w:sz="4" w:space="0" w:color="auto"/>
            </w:tcBorders>
            <w:shd w:val="clear" w:color="auto" w:fill="auto"/>
            <w:noWrap/>
            <w:vAlign w:val="bottom"/>
            <w:hideMark/>
          </w:tcPr>
          <w:p w14:paraId="0417BB5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9 149 857</w:t>
            </w:r>
          </w:p>
        </w:tc>
        <w:tc>
          <w:tcPr>
            <w:tcW w:w="1984" w:type="dxa"/>
            <w:tcBorders>
              <w:top w:val="nil"/>
              <w:left w:val="nil"/>
              <w:bottom w:val="single" w:sz="4" w:space="0" w:color="auto"/>
              <w:right w:val="single" w:sz="4" w:space="0" w:color="auto"/>
            </w:tcBorders>
            <w:shd w:val="clear" w:color="auto" w:fill="auto"/>
            <w:noWrap/>
            <w:vAlign w:val="bottom"/>
            <w:hideMark/>
          </w:tcPr>
          <w:p w14:paraId="1D7AD8F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8 941 477</w:t>
            </w:r>
          </w:p>
        </w:tc>
        <w:tc>
          <w:tcPr>
            <w:tcW w:w="2127" w:type="dxa"/>
            <w:tcBorders>
              <w:top w:val="nil"/>
              <w:left w:val="nil"/>
              <w:bottom w:val="single" w:sz="4" w:space="0" w:color="auto"/>
              <w:right w:val="single" w:sz="4" w:space="0" w:color="auto"/>
            </w:tcBorders>
            <w:shd w:val="clear" w:color="auto" w:fill="auto"/>
            <w:noWrap/>
            <w:vAlign w:val="bottom"/>
            <w:hideMark/>
          </w:tcPr>
          <w:p w14:paraId="0CE245D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208 380</w:t>
            </w:r>
          </w:p>
        </w:tc>
      </w:tr>
      <w:tr w:rsidR="00913134" w:rsidRPr="002A0876" w14:paraId="590D6688"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8E1A97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77</w:t>
            </w:r>
          </w:p>
        </w:tc>
        <w:tc>
          <w:tcPr>
            <w:tcW w:w="7010" w:type="dxa"/>
            <w:tcBorders>
              <w:top w:val="nil"/>
              <w:left w:val="nil"/>
              <w:bottom w:val="single" w:sz="4" w:space="0" w:color="auto"/>
              <w:right w:val="single" w:sz="4" w:space="0" w:color="auto"/>
            </w:tcBorders>
            <w:shd w:val="clear" w:color="auto" w:fill="auto"/>
            <w:noWrap/>
            <w:vAlign w:val="bottom"/>
            <w:hideMark/>
          </w:tcPr>
          <w:p w14:paraId="142F2CE0"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"Liepājas tramvajs"</w:t>
            </w:r>
          </w:p>
        </w:tc>
        <w:tc>
          <w:tcPr>
            <w:tcW w:w="1985" w:type="dxa"/>
            <w:tcBorders>
              <w:top w:val="nil"/>
              <w:left w:val="nil"/>
              <w:bottom w:val="single" w:sz="4" w:space="0" w:color="auto"/>
              <w:right w:val="single" w:sz="4" w:space="0" w:color="auto"/>
            </w:tcBorders>
            <w:shd w:val="clear" w:color="auto" w:fill="auto"/>
            <w:noWrap/>
            <w:vAlign w:val="bottom"/>
            <w:hideMark/>
          </w:tcPr>
          <w:p w14:paraId="70D93D6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1 977 064</w:t>
            </w:r>
          </w:p>
        </w:tc>
        <w:tc>
          <w:tcPr>
            <w:tcW w:w="1984" w:type="dxa"/>
            <w:tcBorders>
              <w:top w:val="nil"/>
              <w:left w:val="nil"/>
              <w:bottom w:val="single" w:sz="4" w:space="0" w:color="auto"/>
              <w:right w:val="single" w:sz="4" w:space="0" w:color="auto"/>
            </w:tcBorders>
            <w:shd w:val="clear" w:color="auto" w:fill="auto"/>
            <w:noWrap/>
            <w:vAlign w:val="bottom"/>
            <w:hideMark/>
          </w:tcPr>
          <w:p w14:paraId="591582D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2 022 063</w:t>
            </w:r>
          </w:p>
        </w:tc>
        <w:tc>
          <w:tcPr>
            <w:tcW w:w="2127" w:type="dxa"/>
            <w:tcBorders>
              <w:top w:val="nil"/>
              <w:left w:val="nil"/>
              <w:bottom w:val="single" w:sz="4" w:space="0" w:color="auto"/>
              <w:right w:val="single" w:sz="4" w:space="0" w:color="auto"/>
            </w:tcBorders>
            <w:shd w:val="clear" w:color="auto" w:fill="auto"/>
            <w:noWrap/>
            <w:vAlign w:val="bottom"/>
            <w:hideMark/>
          </w:tcPr>
          <w:p w14:paraId="2948631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-44 999</w:t>
            </w:r>
          </w:p>
        </w:tc>
      </w:tr>
      <w:tr w:rsidR="00913134" w:rsidRPr="002A0876" w14:paraId="4C13BCC0"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22343B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78</w:t>
            </w:r>
          </w:p>
        </w:tc>
        <w:tc>
          <w:tcPr>
            <w:tcW w:w="7010" w:type="dxa"/>
            <w:tcBorders>
              <w:top w:val="nil"/>
              <w:left w:val="nil"/>
              <w:bottom w:val="single" w:sz="4" w:space="0" w:color="auto"/>
              <w:right w:val="single" w:sz="4" w:space="0" w:color="auto"/>
            </w:tcBorders>
            <w:shd w:val="clear" w:color="auto" w:fill="auto"/>
            <w:noWrap/>
            <w:vAlign w:val="bottom"/>
            <w:hideMark/>
          </w:tcPr>
          <w:p w14:paraId="4DE91121"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"Liepājas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0142F66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28 603 814</w:t>
            </w:r>
          </w:p>
        </w:tc>
        <w:tc>
          <w:tcPr>
            <w:tcW w:w="1984" w:type="dxa"/>
            <w:tcBorders>
              <w:top w:val="nil"/>
              <w:left w:val="nil"/>
              <w:bottom w:val="single" w:sz="4" w:space="0" w:color="auto"/>
              <w:right w:val="single" w:sz="4" w:space="0" w:color="auto"/>
            </w:tcBorders>
            <w:shd w:val="clear" w:color="auto" w:fill="auto"/>
            <w:noWrap/>
            <w:vAlign w:val="bottom"/>
            <w:hideMark/>
          </w:tcPr>
          <w:p w14:paraId="00F4B2D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33 284 802</w:t>
            </w:r>
          </w:p>
        </w:tc>
        <w:tc>
          <w:tcPr>
            <w:tcW w:w="2127" w:type="dxa"/>
            <w:tcBorders>
              <w:top w:val="nil"/>
              <w:left w:val="nil"/>
              <w:bottom w:val="single" w:sz="4" w:space="0" w:color="auto"/>
              <w:right w:val="single" w:sz="4" w:space="0" w:color="auto"/>
            </w:tcBorders>
            <w:shd w:val="clear" w:color="auto" w:fill="auto"/>
            <w:noWrap/>
            <w:vAlign w:val="bottom"/>
            <w:hideMark/>
          </w:tcPr>
          <w:p w14:paraId="467D32D4"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-4 680 988</w:t>
            </w:r>
          </w:p>
        </w:tc>
      </w:tr>
      <w:tr w:rsidR="00913134" w:rsidRPr="002A0876" w14:paraId="36B441DD"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C3CF92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79</w:t>
            </w:r>
          </w:p>
        </w:tc>
        <w:tc>
          <w:tcPr>
            <w:tcW w:w="7010" w:type="dxa"/>
            <w:tcBorders>
              <w:top w:val="nil"/>
              <w:left w:val="nil"/>
              <w:bottom w:val="single" w:sz="4" w:space="0" w:color="auto"/>
              <w:right w:val="single" w:sz="4" w:space="0" w:color="auto"/>
            </w:tcBorders>
            <w:shd w:val="clear" w:color="auto" w:fill="auto"/>
            <w:noWrap/>
            <w:vAlign w:val="bottom"/>
            <w:hideMark/>
          </w:tcPr>
          <w:p w14:paraId="3A2F1A1F"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"Aviasabiedrība "Liepāja""</w:t>
            </w:r>
          </w:p>
        </w:tc>
        <w:tc>
          <w:tcPr>
            <w:tcW w:w="1985" w:type="dxa"/>
            <w:tcBorders>
              <w:top w:val="nil"/>
              <w:left w:val="nil"/>
              <w:bottom w:val="single" w:sz="4" w:space="0" w:color="auto"/>
              <w:right w:val="single" w:sz="4" w:space="0" w:color="auto"/>
            </w:tcBorders>
            <w:shd w:val="clear" w:color="auto" w:fill="auto"/>
            <w:noWrap/>
            <w:vAlign w:val="bottom"/>
            <w:hideMark/>
          </w:tcPr>
          <w:p w14:paraId="3C09DFA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61D58240"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56F2ABC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3CB1639A"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C4F95F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80</w:t>
            </w:r>
          </w:p>
        </w:tc>
        <w:tc>
          <w:tcPr>
            <w:tcW w:w="7010" w:type="dxa"/>
            <w:tcBorders>
              <w:top w:val="nil"/>
              <w:left w:val="nil"/>
              <w:bottom w:val="single" w:sz="4" w:space="0" w:color="auto"/>
              <w:right w:val="single" w:sz="4" w:space="0" w:color="auto"/>
            </w:tcBorders>
            <w:shd w:val="clear" w:color="auto" w:fill="auto"/>
            <w:noWrap/>
            <w:vAlign w:val="bottom"/>
            <w:hideMark/>
          </w:tcPr>
          <w:p w14:paraId="54385CE0"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"Daugavpils bērnu veselības centrs"</w:t>
            </w:r>
          </w:p>
        </w:tc>
        <w:tc>
          <w:tcPr>
            <w:tcW w:w="1985" w:type="dxa"/>
            <w:tcBorders>
              <w:top w:val="nil"/>
              <w:left w:val="nil"/>
              <w:bottom w:val="single" w:sz="4" w:space="0" w:color="auto"/>
              <w:right w:val="single" w:sz="4" w:space="0" w:color="auto"/>
            </w:tcBorders>
            <w:shd w:val="clear" w:color="auto" w:fill="auto"/>
            <w:noWrap/>
            <w:vAlign w:val="bottom"/>
            <w:hideMark/>
          </w:tcPr>
          <w:p w14:paraId="114FCFCD"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1 965 424</w:t>
            </w:r>
          </w:p>
        </w:tc>
        <w:tc>
          <w:tcPr>
            <w:tcW w:w="1984" w:type="dxa"/>
            <w:tcBorders>
              <w:top w:val="nil"/>
              <w:left w:val="nil"/>
              <w:bottom w:val="single" w:sz="4" w:space="0" w:color="auto"/>
              <w:right w:val="single" w:sz="4" w:space="0" w:color="auto"/>
            </w:tcBorders>
            <w:shd w:val="clear" w:color="auto" w:fill="auto"/>
            <w:noWrap/>
            <w:vAlign w:val="bottom"/>
            <w:hideMark/>
          </w:tcPr>
          <w:p w14:paraId="3DE39775"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1 984 990</w:t>
            </w:r>
          </w:p>
        </w:tc>
        <w:tc>
          <w:tcPr>
            <w:tcW w:w="2127" w:type="dxa"/>
            <w:tcBorders>
              <w:top w:val="nil"/>
              <w:left w:val="nil"/>
              <w:bottom w:val="single" w:sz="4" w:space="0" w:color="auto"/>
              <w:right w:val="single" w:sz="4" w:space="0" w:color="auto"/>
            </w:tcBorders>
            <w:shd w:val="clear" w:color="auto" w:fill="auto"/>
            <w:noWrap/>
            <w:vAlign w:val="bottom"/>
            <w:hideMark/>
          </w:tcPr>
          <w:p w14:paraId="5F362EE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-19 566</w:t>
            </w:r>
          </w:p>
        </w:tc>
      </w:tr>
      <w:tr w:rsidR="00913134" w:rsidRPr="002A0876" w14:paraId="16CC4FAC"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7C46DA1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81</w:t>
            </w:r>
          </w:p>
        </w:tc>
        <w:tc>
          <w:tcPr>
            <w:tcW w:w="7010" w:type="dxa"/>
            <w:tcBorders>
              <w:top w:val="nil"/>
              <w:left w:val="nil"/>
              <w:bottom w:val="single" w:sz="4" w:space="0" w:color="auto"/>
              <w:right w:val="single" w:sz="4" w:space="0" w:color="auto"/>
            </w:tcBorders>
            <w:shd w:val="clear" w:color="auto" w:fill="auto"/>
            <w:noWrap/>
            <w:vAlign w:val="bottom"/>
            <w:hideMark/>
          </w:tcPr>
          <w:p w14:paraId="4528B72F"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"Kuldīgas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46086D6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6 598 801</w:t>
            </w:r>
          </w:p>
        </w:tc>
        <w:tc>
          <w:tcPr>
            <w:tcW w:w="1984" w:type="dxa"/>
            <w:tcBorders>
              <w:top w:val="nil"/>
              <w:left w:val="nil"/>
              <w:bottom w:val="single" w:sz="4" w:space="0" w:color="auto"/>
              <w:right w:val="single" w:sz="4" w:space="0" w:color="auto"/>
            </w:tcBorders>
            <w:shd w:val="clear" w:color="auto" w:fill="auto"/>
            <w:noWrap/>
            <w:vAlign w:val="bottom"/>
            <w:hideMark/>
          </w:tcPr>
          <w:p w14:paraId="4C59CE6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6 031 543</w:t>
            </w:r>
          </w:p>
        </w:tc>
        <w:tc>
          <w:tcPr>
            <w:tcW w:w="2127" w:type="dxa"/>
            <w:tcBorders>
              <w:top w:val="nil"/>
              <w:left w:val="nil"/>
              <w:bottom w:val="single" w:sz="4" w:space="0" w:color="auto"/>
              <w:right w:val="single" w:sz="4" w:space="0" w:color="auto"/>
            </w:tcBorders>
            <w:shd w:val="clear" w:color="auto" w:fill="auto"/>
            <w:noWrap/>
            <w:vAlign w:val="bottom"/>
            <w:hideMark/>
          </w:tcPr>
          <w:p w14:paraId="2C5011EC"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567 258</w:t>
            </w:r>
          </w:p>
        </w:tc>
      </w:tr>
      <w:tr w:rsidR="00913134" w:rsidRPr="002A0876" w14:paraId="3841DF82" w14:textId="77777777" w:rsidTr="002A0876">
        <w:trPr>
          <w:trHeight w:val="315"/>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3719312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82</w:t>
            </w:r>
          </w:p>
        </w:tc>
        <w:tc>
          <w:tcPr>
            <w:tcW w:w="7010" w:type="dxa"/>
            <w:tcBorders>
              <w:top w:val="nil"/>
              <w:left w:val="nil"/>
              <w:bottom w:val="single" w:sz="4" w:space="0" w:color="auto"/>
              <w:right w:val="single" w:sz="4" w:space="0" w:color="auto"/>
            </w:tcBorders>
            <w:shd w:val="clear" w:color="auto" w:fill="auto"/>
            <w:noWrap/>
            <w:vAlign w:val="bottom"/>
            <w:hideMark/>
          </w:tcPr>
          <w:p w14:paraId="5C7FA3CC"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"Daugavpils satiksme"</w:t>
            </w:r>
          </w:p>
        </w:tc>
        <w:tc>
          <w:tcPr>
            <w:tcW w:w="1985" w:type="dxa"/>
            <w:tcBorders>
              <w:top w:val="nil"/>
              <w:left w:val="nil"/>
              <w:bottom w:val="single" w:sz="4" w:space="0" w:color="auto"/>
              <w:right w:val="single" w:sz="4" w:space="0" w:color="auto"/>
            </w:tcBorders>
            <w:shd w:val="clear" w:color="auto" w:fill="auto"/>
            <w:noWrap/>
            <w:vAlign w:val="bottom"/>
            <w:hideMark/>
          </w:tcPr>
          <w:p w14:paraId="27BBA1E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8 494 670</w:t>
            </w:r>
          </w:p>
        </w:tc>
        <w:tc>
          <w:tcPr>
            <w:tcW w:w="1984" w:type="dxa"/>
            <w:tcBorders>
              <w:top w:val="nil"/>
              <w:left w:val="nil"/>
              <w:bottom w:val="single" w:sz="4" w:space="0" w:color="auto"/>
              <w:right w:val="single" w:sz="4" w:space="0" w:color="auto"/>
            </w:tcBorders>
            <w:shd w:val="clear" w:color="auto" w:fill="auto"/>
            <w:noWrap/>
            <w:vAlign w:val="bottom"/>
            <w:hideMark/>
          </w:tcPr>
          <w:p w14:paraId="643ED7C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9 157 395</w:t>
            </w:r>
          </w:p>
        </w:tc>
        <w:tc>
          <w:tcPr>
            <w:tcW w:w="2127" w:type="dxa"/>
            <w:tcBorders>
              <w:top w:val="nil"/>
              <w:left w:val="nil"/>
              <w:bottom w:val="single" w:sz="4" w:space="0" w:color="auto"/>
              <w:right w:val="single" w:sz="4" w:space="0" w:color="auto"/>
            </w:tcBorders>
            <w:shd w:val="clear" w:color="auto" w:fill="auto"/>
            <w:noWrap/>
            <w:vAlign w:val="bottom"/>
            <w:hideMark/>
          </w:tcPr>
          <w:p w14:paraId="59E81A3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-662 725</w:t>
            </w:r>
          </w:p>
        </w:tc>
      </w:tr>
      <w:tr w:rsidR="00913134" w:rsidRPr="002A0876" w14:paraId="476F6890" w14:textId="77777777" w:rsidTr="002A0876">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854EB"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83</w:t>
            </w:r>
          </w:p>
        </w:tc>
        <w:tc>
          <w:tcPr>
            <w:tcW w:w="7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E9B47"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satiksme"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7DFD1"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218 957 275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2137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224 910 829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295F2"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-5 953 554</w:t>
            </w:r>
          </w:p>
        </w:tc>
      </w:tr>
      <w:tr w:rsidR="00913134" w:rsidRPr="002A0876" w14:paraId="02052EA0" w14:textId="77777777" w:rsidTr="006C7EFD">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B3BB3"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84</w:t>
            </w:r>
          </w:p>
        </w:tc>
        <w:tc>
          <w:tcPr>
            <w:tcW w:w="7010" w:type="dxa"/>
            <w:tcBorders>
              <w:top w:val="single" w:sz="4" w:space="0" w:color="auto"/>
              <w:left w:val="nil"/>
              <w:bottom w:val="single" w:sz="4" w:space="0" w:color="auto"/>
              <w:right w:val="single" w:sz="4" w:space="0" w:color="auto"/>
            </w:tcBorders>
            <w:shd w:val="clear" w:color="auto" w:fill="auto"/>
            <w:noWrap/>
            <w:vAlign w:val="bottom"/>
            <w:hideMark/>
          </w:tcPr>
          <w:p w14:paraId="01FDFE46"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"Daugavpils reģionālā slimnīca"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8107868"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39 950 574</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AE7F15E"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39 950 574</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F238DD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913134" w:rsidRPr="002A0876" w14:paraId="2AD66DBF" w14:textId="77777777" w:rsidTr="006C7EFD">
        <w:trPr>
          <w:trHeight w:val="31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A6879"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85</w:t>
            </w:r>
          </w:p>
        </w:tc>
        <w:tc>
          <w:tcPr>
            <w:tcW w:w="7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B437" w14:textId="77777777" w:rsidR="00913134" w:rsidRPr="002A0876" w:rsidRDefault="00913134" w:rsidP="00913134">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"Jēkabpils reģionālā slimnīca"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C6CAF"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16 233 900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25316"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15 903 900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A40D7" w14:textId="77777777" w:rsidR="00913134" w:rsidRPr="002A0876" w:rsidRDefault="00913134" w:rsidP="00913134">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330 000</w:t>
            </w:r>
          </w:p>
        </w:tc>
      </w:tr>
      <w:tr w:rsidR="005E2E93" w:rsidRPr="002A0876" w14:paraId="6ABE35FA" w14:textId="77777777" w:rsidTr="005E2E93">
        <w:trPr>
          <w:trHeight w:val="1288"/>
        </w:trPr>
        <w:tc>
          <w:tcPr>
            <w:tcW w:w="140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A2FE9B3" w14:textId="77777777" w:rsidR="005E2E93" w:rsidRPr="005E2E93" w:rsidRDefault="005E2E93" w:rsidP="005E2E93">
            <w:pPr>
              <w:jc w:val="both"/>
              <w:rPr>
                <w:rFonts w:ascii="Times New Roman" w:eastAsia="Times New Roman" w:hAnsi="Times New Roman" w:cs="Times New Roman"/>
                <w:color w:val="000000"/>
                <w:sz w:val="20"/>
                <w:szCs w:val="20"/>
              </w:rPr>
            </w:pPr>
            <w:r w:rsidRPr="005E2E93">
              <w:rPr>
                <w:rFonts w:ascii="Times New Roman" w:eastAsia="Times New Roman" w:hAnsi="Times New Roman" w:cs="Times New Roman"/>
                <w:color w:val="000000"/>
                <w:sz w:val="20"/>
                <w:szCs w:val="20"/>
              </w:rPr>
              <w:t>Citas ar kapitālsabiedrībām saistītās EKS korekcijas, kas ietekmē B.9 neto aizdevumus (+)/neto aizņēmumus(-):</w:t>
            </w:r>
          </w:p>
          <w:p w14:paraId="0B2542E2" w14:textId="77777777" w:rsidR="005E2E93" w:rsidRPr="005E2E93" w:rsidRDefault="005E2E93" w:rsidP="005E2E93">
            <w:pPr>
              <w:jc w:val="both"/>
              <w:rPr>
                <w:rFonts w:ascii="Times New Roman" w:eastAsia="Times New Roman" w:hAnsi="Times New Roman" w:cs="Times New Roman"/>
                <w:color w:val="000000"/>
                <w:sz w:val="20"/>
                <w:szCs w:val="20"/>
              </w:rPr>
            </w:pPr>
            <w:r w:rsidRPr="005E2E93">
              <w:rPr>
                <w:rFonts w:ascii="Times New Roman" w:eastAsia="Times New Roman" w:hAnsi="Times New Roman" w:cs="Times New Roman"/>
                <w:color w:val="000000"/>
                <w:sz w:val="20"/>
                <w:szCs w:val="20"/>
              </w:rPr>
              <w:t>Tabulā ir norādīti vispārējās valdības pieklasificēto kapitālsabiedrību ieņēmumi, izdevumi un ietekme uz B.9 neto aizdevumiem (+)/neto aizņēmumiem (-), atbilstoši kapitālsabiedrību atsūtītajām saimnieciskās darbības anketām.</w:t>
            </w:r>
          </w:p>
          <w:p w14:paraId="526AEACA" w14:textId="41B59650" w:rsidR="005E2E93" w:rsidRPr="002A0876" w:rsidRDefault="005E2E93" w:rsidP="005E2E93">
            <w:pPr>
              <w:jc w:val="both"/>
              <w:rPr>
                <w:rFonts w:ascii="Times New Roman" w:eastAsia="Times New Roman" w:hAnsi="Times New Roman" w:cs="Times New Roman"/>
                <w:color w:val="000000"/>
                <w:sz w:val="20"/>
                <w:szCs w:val="20"/>
              </w:rPr>
            </w:pPr>
            <w:r w:rsidRPr="005E2E93">
              <w:rPr>
                <w:rFonts w:ascii="Times New Roman" w:eastAsia="Times New Roman" w:hAnsi="Times New Roman" w:cs="Times New Roman"/>
                <w:color w:val="000000"/>
                <w:sz w:val="20"/>
                <w:szCs w:val="20"/>
              </w:rPr>
              <w:t>Vispārējās valdības budžeta pieklasificēto kapitālsabiedrību ietekme uz B.9 neto aizdevumiem (+)/neto aizņēmumiem (-), kas iekļauta vispārējās valdības budžeta prognozēs 2022. gadā ir -87 651</w:t>
            </w:r>
            <w:r>
              <w:rPr>
                <w:rFonts w:ascii="Times New Roman" w:eastAsia="Times New Roman" w:hAnsi="Times New Roman" w:cs="Times New Roman"/>
                <w:color w:val="000000"/>
                <w:sz w:val="20"/>
                <w:szCs w:val="20"/>
              </w:rPr>
              <w:t> </w:t>
            </w:r>
            <w:r w:rsidRPr="005E2E93">
              <w:rPr>
                <w:rFonts w:ascii="Times New Roman" w:eastAsia="Times New Roman" w:hAnsi="Times New Roman" w:cs="Times New Roman"/>
                <w:color w:val="000000"/>
                <w:sz w:val="20"/>
                <w:szCs w:val="20"/>
              </w:rPr>
              <w:t>571</w:t>
            </w:r>
            <w:r>
              <w:rPr>
                <w:rFonts w:ascii="Times New Roman" w:eastAsia="Times New Roman" w:hAnsi="Times New Roman" w:cs="Times New Roman"/>
                <w:color w:val="000000"/>
                <w:sz w:val="20"/>
                <w:szCs w:val="20"/>
              </w:rPr>
              <w:t xml:space="preserve"> </w:t>
            </w:r>
            <w:r w:rsidRPr="005E2E93">
              <w:rPr>
                <w:rFonts w:ascii="Times New Roman" w:eastAsia="Times New Roman" w:hAnsi="Times New Roman" w:cs="Times New Roman"/>
                <w:i/>
                <w:color w:val="000000"/>
                <w:sz w:val="20"/>
                <w:szCs w:val="20"/>
              </w:rPr>
              <w:t>euro.</w:t>
            </w:r>
          </w:p>
        </w:tc>
      </w:tr>
    </w:tbl>
    <w:p w14:paraId="59C8506A" w14:textId="5D1602A0" w:rsidR="006C7EFD" w:rsidRDefault="006C7EFD" w:rsidP="006C7EFD">
      <w:pPr>
        <w:widowControl w:val="0"/>
        <w:rPr>
          <w:rFonts w:ascii="Times New Roman" w:hAnsi="Times New Roman"/>
          <w:i/>
          <w:sz w:val="20"/>
          <w:szCs w:val="24"/>
        </w:rPr>
      </w:pPr>
    </w:p>
    <w:p w14:paraId="3CE07E87" w14:textId="2151CA3D" w:rsidR="002A0876" w:rsidRPr="002A0876" w:rsidRDefault="002A0876" w:rsidP="00401A5B">
      <w:pPr>
        <w:widowControl w:val="0"/>
        <w:jc w:val="right"/>
        <w:rPr>
          <w:rFonts w:ascii="Times New Roman" w:hAnsi="Times New Roman"/>
          <w:i/>
          <w:sz w:val="20"/>
          <w:szCs w:val="24"/>
        </w:rPr>
      </w:pPr>
      <w:r w:rsidRPr="002A0876">
        <w:rPr>
          <w:rFonts w:ascii="Times New Roman" w:hAnsi="Times New Roman"/>
          <w:i/>
          <w:sz w:val="20"/>
          <w:szCs w:val="24"/>
        </w:rPr>
        <w:t>euro</w:t>
      </w:r>
    </w:p>
    <w:tbl>
      <w:tblPr>
        <w:tblW w:w="14034" w:type="dxa"/>
        <w:tblInd w:w="-5" w:type="dxa"/>
        <w:tblLook w:val="04A0" w:firstRow="1" w:lastRow="0" w:firstColumn="1" w:lastColumn="0" w:noHBand="0" w:noVBand="1"/>
      </w:tblPr>
      <w:tblGrid>
        <w:gridCol w:w="993"/>
        <w:gridCol w:w="6945"/>
        <w:gridCol w:w="1985"/>
        <w:gridCol w:w="1984"/>
        <w:gridCol w:w="2127"/>
      </w:tblGrid>
      <w:tr w:rsidR="002A0876" w:rsidRPr="002A0876" w14:paraId="7ADD6461" w14:textId="77777777" w:rsidTr="002A0876">
        <w:trPr>
          <w:trHeight w:val="315"/>
        </w:trPr>
        <w:tc>
          <w:tcPr>
            <w:tcW w:w="14034" w:type="dxa"/>
            <w:gridSpan w:val="5"/>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75C3FD68" w14:textId="77777777" w:rsidR="002A0876" w:rsidRPr="002A0876" w:rsidRDefault="002A0876" w:rsidP="002A0876">
            <w:pPr>
              <w:jc w:val="center"/>
              <w:rPr>
                <w:rFonts w:ascii="Times New Roman" w:eastAsia="Times New Roman" w:hAnsi="Times New Roman" w:cs="Times New Roman"/>
                <w:b/>
                <w:color w:val="000000"/>
                <w:sz w:val="20"/>
                <w:szCs w:val="20"/>
              </w:rPr>
            </w:pPr>
            <w:r w:rsidRPr="002A0876">
              <w:rPr>
                <w:rFonts w:ascii="Times New Roman" w:eastAsia="Times New Roman" w:hAnsi="Times New Roman" w:cs="Times New Roman"/>
                <w:b/>
                <w:color w:val="000000"/>
                <w:sz w:val="20"/>
                <w:szCs w:val="20"/>
              </w:rPr>
              <w:t>2023</w:t>
            </w:r>
          </w:p>
        </w:tc>
      </w:tr>
      <w:tr w:rsidR="002A0876" w:rsidRPr="002A0876" w14:paraId="44678F64" w14:textId="77777777" w:rsidTr="002A0876">
        <w:trPr>
          <w:trHeight w:val="630"/>
        </w:trPr>
        <w:tc>
          <w:tcPr>
            <w:tcW w:w="993" w:type="dxa"/>
            <w:tcBorders>
              <w:top w:val="nil"/>
              <w:left w:val="single" w:sz="4" w:space="0" w:color="auto"/>
              <w:bottom w:val="single" w:sz="4" w:space="0" w:color="auto"/>
              <w:right w:val="single" w:sz="4" w:space="0" w:color="auto"/>
            </w:tcBorders>
            <w:shd w:val="clear" w:color="000000" w:fill="BDD7EE"/>
            <w:noWrap/>
            <w:vAlign w:val="bottom"/>
            <w:hideMark/>
          </w:tcPr>
          <w:p w14:paraId="1A60E922"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N.p.k.</w:t>
            </w:r>
          </w:p>
        </w:tc>
        <w:tc>
          <w:tcPr>
            <w:tcW w:w="6945" w:type="dxa"/>
            <w:tcBorders>
              <w:top w:val="nil"/>
              <w:left w:val="nil"/>
              <w:bottom w:val="single" w:sz="4" w:space="0" w:color="auto"/>
              <w:right w:val="single" w:sz="4" w:space="0" w:color="auto"/>
            </w:tcBorders>
            <w:shd w:val="clear" w:color="000000" w:fill="BDD7EE"/>
            <w:noWrap/>
            <w:vAlign w:val="bottom"/>
            <w:hideMark/>
          </w:tcPr>
          <w:p w14:paraId="12DC75A0"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5" w:type="dxa"/>
            <w:tcBorders>
              <w:top w:val="nil"/>
              <w:left w:val="nil"/>
              <w:bottom w:val="single" w:sz="4" w:space="0" w:color="auto"/>
              <w:right w:val="single" w:sz="4" w:space="0" w:color="auto"/>
            </w:tcBorders>
            <w:shd w:val="clear" w:color="000000" w:fill="BDD7EE"/>
            <w:vAlign w:val="center"/>
            <w:hideMark/>
          </w:tcPr>
          <w:p w14:paraId="2E993E69" w14:textId="77777777" w:rsidR="002A0876" w:rsidRPr="002A0876" w:rsidRDefault="002A0876" w:rsidP="002A0876">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Ieņēmumi</w:t>
            </w:r>
          </w:p>
        </w:tc>
        <w:tc>
          <w:tcPr>
            <w:tcW w:w="1984" w:type="dxa"/>
            <w:tcBorders>
              <w:top w:val="nil"/>
              <w:left w:val="nil"/>
              <w:bottom w:val="single" w:sz="4" w:space="0" w:color="auto"/>
              <w:right w:val="single" w:sz="4" w:space="0" w:color="auto"/>
            </w:tcBorders>
            <w:shd w:val="clear" w:color="000000" w:fill="BDD7EE"/>
            <w:vAlign w:val="center"/>
            <w:hideMark/>
          </w:tcPr>
          <w:p w14:paraId="47FC2054" w14:textId="77777777" w:rsidR="002A0876" w:rsidRPr="002A0876" w:rsidRDefault="002A0876" w:rsidP="002A0876">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Izdevumi</w:t>
            </w:r>
          </w:p>
        </w:tc>
        <w:tc>
          <w:tcPr>
            <w:tcW w:w="2127" w:type="dxa"/>
            <w:tcBorders>
              <w:top w:val="nil"/>
              <w:left w:val="nil"/>
              <w:bottom w:val="single" w:sz="4" w:space="0" w:color="auto"/>
              <w:right w:val="single" w:sz="4" w:space="0" w:color="auto"/>
            </w:tcBorders>
            <w:shd w:val="clear" w:color="000000" w:fill="BDD7EE"/>
            <w:vAlign w:val="center"/>
            <w:hideMark/>
          </w:tcPr>
          <w:p w14:paraId="2E711CB8" w14:textId="77777777" w:rsidR="002A0876" w:rsidRPr="002A0876" w:rsidRDefault="002A0876" w:rsidP="002A0876">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Ietekme uz B.9 neto aizdevumiem (+)/neto aizņēmumiem (-)</w:t>
            </w:r>
          </w:p>
        </w:tc>
      </w:tr>
      <w:tr w:rsidR="002A0876" w:rsidRPr="002A0876" w14:paraId="2EDD0E2F" w14:textId="77777777" w:rsidTr="002A0876">
        <w:trPr>
          <w:trHeight w:val="315"/>
        </w:trPr>
        <w:tc>
          <w:tcPr>
            <w:tcW w:w="993" w:type="dxa"/>
            <w:tcBorders>
              <w:top w:val="nil"/>
              <w:left w:val="single" w:sz="4" w:space="0" w:color="auto"/>
              <w:bottom w:val="single" w:sz="4" w:space="0" w:color="auto"/>
              <w:right w:val="single" w:sz="4" w:space="0" w:color="auto"/>
            </w:tcBorders>
            <w:shd w:val="clear" w:color="000000" w:fill="DDEBF7"/>
            <w:noWrap/>
            <w:vAlign w:val="bottom"/>
            <w:hideMark/>
          </w:tcPr>
          <w:p w14:paraId="53F4D348"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S130100</w:t>
            </w:r>
          </w:p>
        </w:tc>
        <w:tc>
          <w:tcPr>
            <w:tcW w:w="6945" w:type="dxa"/>
            <w:tcBorders>
              <w:top w:val="nil"/>
              <w:left w:val="nil"/>
              <w:bottom w:val="single" w:sz="4" w:space="0" w:color="auto"/>
              <w:right w:val="single" w:sz="4" w:space="0" w:color="auto"/>
            </w:tcBorders>
            <w:shd w:val="clear" w:color="000000" w:fill="DDEBF7"/>
            <w:noWrap/>
            <w:vAlign w:val="center"/>
            <w:hideMark/>
          </w:tcPr>
          <w:p w14:paraId="725A56D5"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Valsts struktūru kontrolētas un finansētas komercsabiedrības</w:t>
            </w:r>
          </w:p>
        </w:tc>
        <w:tc>
          <w:tcPr>
            <w:tcW w:w="1985" w:type="dxa"/>
            <w:tcBorders>
              <w:top w:val="nil"/>
              <w:left w:val="nil"/>
              <w:bottom w:val="single" w:sz="4" w:space="0" w:color="auto"/>
              <w:right w:val="single" w:sz="4" w:space="0" w:color="auto"/>
            </w:tcBorders>
            <w:shd w:val="clear" w:color="000000" w:fill="DDEBF7"/>
            <w:noWrap/>
            <w:vAlign w:val="bottom"/>
            <w:hideMark/>
          </w:tcPr>
          <w:p w14:paraId="0EC215E1"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000000" w:fill="DDEBF7"/>
            <w:noWrap/>
            <w:vAlign w:val="bottom"/>
            <w:hideMark/>
          </w:tcPr>
          <w:p w14:paraId="46CE0CD0"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2127" w:type="dxa"/>
            <w:tcBorders>
              <w:top w:val="nil"/>
              <w:left w:val="nil"/>
              <w:bottom w:val="single" w:sz="4" w:space="0" w:color="auto"/>
              <w:right w:val="single" w:sz="4" w:space="0" w:color="auto"/>
            </w:tcBorders>
            <w:shd w:val="clear" w:color="000000" w:fill="DDEBF7"/>
            <w:noWrap/>
            <w:vAlign w:val="bottom"/>
            <w:hideMark/>
          </w:tcPr>
          <w:p w14:paraId="69CE6A9E"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2A0876" w:rsidRPr="002A0876" w14:paraId="7E415999"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175F24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w:t>
            </w:r>
          </w:p>
        </w:tc>
        <w:tc>
          <w:tcPr>
            <w:tcW w:w="6945" w:type="dxa"/>
            <w:tcBorders>
              <w:top w:val="nil"/>
              <w:left w:val="nil"/>
              <w:bottom w:val="single" w:sz="4" w:space="0" w:color="auto"/>
              <w:right w:val="single" w:sz="4" w:space="0" w:color="auto"/>
            </w:tcBorders>
            <w:shd w:val="clear" w:color="auto" w:fill="auto"/>
            <w:noWrap/>
            <w:vAlign w:val="bottom"/>
            <w:hideMark/>
          </w:tcPr>
          <w:p w14:paraId="54DD238D"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"Iekšlietu ministrijas poliklīnika"</w:t>
            </w:r>
          </w:p>
        </w:tc>
        <w:tc>
          <w:tcPr>
            <w:tcW w:w="1985" w:type="dxa"/>
            <w:tcBorders>
              <w:top w:val="nil"/>
              <w:left w:val="nil"/>
              <w:bottom w:val="single" w:sz="4" w:space="0" w:color="auto"/>
              <w:right w:val="single" w:sz="4" w:space="0" w:color="auto"/>
            </w:tcBorders>
            <w:shd w:val="clear" w:color="auto" w:fill="auto"/>
            <w:noWrap/>
            <w:vAlign w:val="bottom"/>
            <w:hideMark/>
          </w:tcPr>
          <w:p w14:paraId="42A9BF4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2 407 400</w:t>
            </w:r>
          </w:p>
        </w:tc>
        <w:tc>
          <w:tcPr>
            <w:tcW w:w="1984" w:type="dxa"/>
            <w:tcBorders>
              <w:top w:val="nil"/>
              <w:left w:val="nil"/>
              <w:bottom w:val="single" w:sz="4" w:space="0" w:color="auto"/>
              <w:right w:val="single" w:sz="4" w:space="0" w:color="auto"/>
            </w:tcBorders>
            <w:shd w:val="clear" w:color="auto" w:fill="auto"/>
            <w:noWrap/>
            <w:vAlign w:val="bottom"/>
            <w:hideMark/>
          </w:tcPr>
          <w:p w14:paraId="051ACAB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2 417 450</w:t>
            </w:r>
          </w:p>
        </w:tc>
        <w:tc>
          <w:tcPr>
            <w:tcW w:w="2127" w:type="dxa"/>
            <w:tcBorders>
              <w:top w:val="nil"/>
              <w:left w:val="nil"/>
              <w:bottom w:val="single" w:sz="4" w:space="0" w:color="auto"/>
              <w:right w:val="single" w:sz="4" w:space="0" w:color="auto"/>
            </w:tcBorders>
            <w:shd w:val="clear" w:color="auto" w:fill="auto"/>
            <w:noWrap/>
            <w:vAlign w:val="bottom"/>
            <w:hideMark/>
          </w:tcPr>
          <w:p w14:paraId="6FDFF83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-10 050</w:t>
            </w:r>
          </w:p>
        </w:tc>
      </w:tr>
      <w:tr w:rsidR="002A0876" w:rsidRPr="002A0876" w14:paraId="6D241166"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C172EB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w:t>
            </w:r>
          </w:p>
        </w:tc>
        <w:tc>
          <w:tcPr>
            <w:tcW w:w="6945" w:type="dxa"/>
            <w:tcBorders>
              <w:top w:val="nil"/>
              <w:left w:val="nil"/>
              <w:bottom w:val="single" w:sz="4" w:space="0" w:color="auto"/>
              <w:right w:val="single" w:sz="4" w:space="0" w:color="auto"/>
            </w:tcBorders>
            <w:shd w:val="clear" w:color="auto" w:fill="auto"/>
            <w:noWrap/>
            <w:vAlign w:val="bottom"/>
            <w:hideMark/>
          </w:tcPr>
          <w:p w14:paraId="10678D6E"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"RTU Inženierzinātņu vidusskola"</w:t>
            </w:r>
          </w:p>
        </w:tc>
        <w:tc>
          <w:tcPr>
            <w:tcW w:w="1985" w:type="dxa"/>
            <w:tcBorders>
              <w:top w:val="nil"/>
              <w:left w:val="nil"/>
              <w:bottom w:val="single" w:sz="4" w:space="0" w:color="auto"/>
              <w:right w:val="single" w:sz="4" w:space="0" w:color="auto"/>
            </w:tcBorders>
            <w:shd w:val="clear" w:color="auto" w:fill="auto"/>
            <w:noWrap/>
            <w:vAlign w:val="bottom"/>
            <w:hideMark/>
          </w:tcPr>
          <w:p w14:paraId="6FA966D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350 000</w:t>
            </w:r>
          </w:p>
        </w:tc>
        <w:tc>
          <w:tcPr>
            <w:tcW w:w="1984" w:type="dxa"/>
            <w:tcBorders>
              <w:top w:val="nil"/>
              <w:left w:val="nil"/>
              <w:bottom w:val="single" w:sz="4" w:space="0" w:color="auto"/>
              <w:right w:val="single" w:sz="4" w:space="0" w:color="auto"/>
            </w:tcBorders>
            <w:shd w:val="clear" w:color="auto" w:fill="auto"/>
            <w:noWrap/>
            <w:vAlign w:val="bottom"/>
            <w:hideMark/>
          </w:tcPr>
          <w:p w14:paraId="50DC051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350 000</w:t>
            </w:r>
          </w:p>
        </w:tc>
        <w:tc>
          <w:tcPr>
            <w:tcW w:w="2127" w:type="dxa"/>
            <w:tcBorders>
              <w:top w:val="nil"/>
              <w:left w:val="nil"/>
              <w:bottom w:val="single" w:sz="4" w:space="0" w:color="auto"/>
              <w:right w:val="single" w:sz="4" w:space="0" w:color="auto"/>
            </w:tcBorders>
            <w:shd w:val="clear" w:color="auto" w:fill="auto"/>
            <w:noWrap/>
            <w:vAlign w:val="bottom"/>
            <w:hideMark/>
          </w:tcPr>
          <w:p w14:paraId="23BB8D2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6B5191AC"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BBC614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w:t>
            </w:r>
          </w:p>
        </w:tc>
        <w:tc>
          <w:tcPr>
            <w:tcW w:w="6945" w:type="dxa"/>
            <w:tcBorders>
              <w:top w:val="nil"/>
              <w:left w:val="nil"/>
              <w:bottom w:val="single" w:sz="4" w:space="0" w:color="auto"/>
              <w:right w:val="single" w:sz="4" w:space="0" w:color="auto"/>
            </w:tcBorders>
            <w:shd w:val="clear" w:color="auto" w:fill="auto"/>
            <w:noWrap/>
            <w:vAlign w:val="bottom"/>
            <w:hideMark/>
          </w:tcPr>
          <w:p w14:paraId="24ECB7F0"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"Latvijas Universitātes nekustamā īpašuma aģentūra"</w:t>
            </w:r>
          </w:p>
        </w:tc>
        <w:tc>
          <w:tcPr>
            <w:tcW w:w="1985" w:type="dxa"/>
            <w:tcBorders>
              <w:top w:val="nil"/>
              <w:left w:val="nil"/>
              <w:bottom w:val="single" w:sz="4" w:space="0" w:color="auto"/>
              <w:right w:val="single" w:sz="4" w:space="0" w:color="auto"/>
            </w:tcBorders>
            <w:shd w:val="clear" w:color="auto" w:fill="auto"/>
            <w:noWrap/>
            <w:vAlign w:val="bottom"/>
            <w:hideMark/>
          </w:tcPr>
          <w:p w14:paraId="28592F2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0073CC0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7566297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2E6672EE"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34E57F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w:t>
            </w:r>
          </w:p>
        </w:tc>
        <w:tc>
          <w:tcPr>
            <w:tcW w:w="6945" w:type="dxa"/>
            <w:tcBorders>
              <w:top w:val="nil"/>
              <w:left w:val="nil"/>
              <w:bottom w:val="single" w:sz="4" w:space="0" w:color="auto"/>
              <w:right w:val="single" w:sz="4" w:space="0" w:color="auto"/>
            </w:tcBorders>
            <w:shd w:val="clear" w:color="auto" w:fill="auto"/>
            <w:noWrap/>
            <w:vAlign w:val="bottom"/>
            <w:hideMark/>
          </w:tcPr>
          <w:p w14:paraId="5F916889"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"Bulduru Dārzkopības vidusskola"</w:t>
            </w:r>
          </w:p>
        </w:tc>
        <w:tc>
          <w:tcPr>
            <w:tcW w:w="1985" w:type="dxa"/>
            <w:tcBorders>
              <w:top w:val="nil"/>
              <w:left w:val="nil"/>
              <w:bottom w:val="single" w:sz="4" w:space="0" w:color="auto"/>
              <w:right w:val="single" w:sz="4" w:space="0" w:color="auto"/>
            </w:tcBorders>
            <w:shd w:val="clear" w:color="auto" w:fill="auto"/>
            <w:noWrap/>
            <w:vAlign w:val="bottom"/>
            <w:hideMark/>
          </w:tcPr>
          <w:p w14:paraId="6864266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535 000</w:t>
            </w:r>
          </w:p>
        </w:tc>
        <w:tc>
          <w:tcPr>
            <w:tcW w:w="1984" w:type="dxa"/>
            <w:tcBorders>
              <w:top w:val="nil"/>
              <w:left w:val="nil"/>
              <w:bottom w:val="single" w:sz="4" w:space="0" w:color="auto"/>
              <w:right w:val="single" w:sz="4" w:space="0" w:color="auto"/>
            </w:tcBorders>
            <w:shd w:val="clear" w:color="auto" w:fill="auto"/>
            <w:noWrap/>
            <w:vAlign w:val="bottom"/>
            <w:hideMark/>
          </w:tcPr>
          <w:p w14:paraId="65217CE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666 500</w:t>
            </w:r>
          </w:p>
        </w:tc>
        <w:tc>
          <w:tcPr>
            <w:tcW w:w="2127" w:type="dxa"/>
            <w:tcBorders>
              <w:top w:val="nil"/>
              <w:left w:val="nil"/>
              <w:bottom w:val="single" w:sz="4" w:space="0" w:color="auto"/>
              <w:right w:val="single" w:sz="4" w:space="0" w:color="auto"/>
            </w:tcBorders>
            <w:shd w:val="clear" w:color="auto" w:fill="auto"/>
            <w:noWrap/>
            <w:vAlign w:val="bottom"/>
            <w:hideMark/>
          </w:tcPr>
          <w:p w14:paraId="50C19B0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-131 500</w:t>
            </w:r>
          </w:p>
        </w:tc>
      </w:tr>
      <w:tr w:rsidR="002A0876" w:rsidRPr="002A0876" w14:paraId="5483F8E7"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B53DE3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w:t>
            </w:r>
          </w:p>
        </w:tc>
        <w:tc>
          <w:tcPr>
            <w:tcW w:w="6945" w:type="dxa"/>
            <w:tcBorders>
              <w:top w:val="nil"/>
              <w:left w:val="nil"/>
              <w:bottom w:val="single" w:sz="4" w:space="0" w:color="auto"/>
              <w:right w:val="single" w:sz="4" w:space="0" w:color="auto"/>
            </w:tcBorders>
            <w:shd w:val="clear" w:color="auto" w:fill="auto"/>
            <w:noWrap/>
            <w:vAlign w:val="bottom"/>
            <w:hideMark/>
          </w:tcPr>
          <w:p w14:paraId="4B7FCD73"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Attīstības finanšu institūcija Altum"</w:t>
            </w:r>
          </w:p>
        </w:tc>
        <w:tc>
          <w:tcPr>
            <w:tcW w:w="1985" w:type="dxa"/>
            <w:tcBorders>
              <w:top w:val="nil"/>
              <w:left w:val="nil"/>
              <w:bottom w:val="single" w:sz="4" w:space="0" w:color="auto"/>
              <w:right w:val="single" w:sz="4" w:space="0" w:color="auto"/>
            </w:tcBorders>
            <w:shd w:val="clear" w:color="auto" w:fill="auto"/>
            <w:noWrap/>
            <w:vAlign w:val="bottom"/>
            <w:hideMark/>
          </w:tcPr>
          <w:p w14:paraId="00F991D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26 828 267</w:t>
            </w:r>
          </w:p>
        </w:tc>
        <w:tc>
          <w:tcPr>
            <w:tcW w:w="1984" w:type="dxa"/>
            <w:tcBorders>
              <w:top w:val="nil"/>
              <w:left w:val="nil"/>
              <w:bottom w:val="single" w:sz="4" w:space="0" w:color="auto"/>
              <w:right w:val="single" w:sz="4" w:space="0" w:color="auto"/>
            </w:tcBorders>
            <w:shd w:val="clear" w:color="auto" w:fill="auto"/>
            <w:noWrap/>
            <w:vAlign w:val="bottom"/>
            <w:hideMark/>
          </w:tcPr>
          <w:p w14:paraId="015CAF8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15 785 874</w:t>
            </w:r>
          </w:p>
        </w:tc>
        <w:tc>
          <w:tcPr>
            <w:tcW w:w="2127" w:type="dxa"/>
            <w:tcBorders>
              <w:top w:val="nil"/>
              <w:left w:val="nil"/>
              <w:bottom w:val="single" w:sz="4" w:space="0" w:color="auto"/>
              <w:right w:val="single" w:sz="4" w:space="0" w:color="auto"/>
            </w:tcBorders>
            <w:shd w:val="clear" w:color="auto" w:fill="auto"/>
            <w:noWrap/>
            <w:vAlign w:val="bottom"/>
            <w:hideMark/>
          </w:tcPr>
          <w:p w14:paraId="5BC5F63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11 042 393</w:t>
            </w:r>
          </w:p>
        </w:tc>
      </w:tr>
      <w:tr w:rsidR="002A0876" w:rsidRPr="002A0876" w14:paraId="3E5E3D3A"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5F0A1B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w:t>
            </w:r>
          </w:p>
        </w:tc>
        <w:tc>
          <w:tcPr>
            <w:tcW w:w="6945" w:type="dxa"/>
            <w:tcBorders>
              <w:top w:val="nil"/>
              <w:left w:val="nil"/>
              <w:bottom w:val="single" w:sz="4" w:space="0" w:color="auto"/>
              <w:right w:val="single" w:sz="4" w:space="0" w:color="auto"/>
            </w:tcBorders>
            <w:shd w:val="clear" w:color="auto" w:fill="auto"/>
            <w:noWrap/>
            <w:vAlign w:val="bottom"/>
            <w:hideMark/>
          </w:tcPr>
          <w:p w14:paraId="5B79B81C"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"Šampētera nams"</w:t>
            </w:r>
          </w:p>
        </w:tc>
        <w:tc>
          <w:tcPr>
            <w:tcW w:w="1985" w:type="dxa"/>
            <w:tcBorders>
              <w:top w:val="nil"/>
              <w:left w:val="nil"/>
              <w:bottom w:val="single" w:sz="4" w:space="0" w:color="auto"/>
              <w:right w:val="single" w:sz="4" w:space="0" w:color="auto"/>
            </w:tcBorders>
            <w:shd w:val="clear" w:color="auto" w:fill="auto"/>
            <w:noWrap/>
            <w:vAlign w:val="bottom"/>
            <w:hideMark/>
          </w:tcPr>
          <w:p w14:paraId="6798EBF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1 930 000</w:t>
            </w:r>
          </w:p>
        </w:tc>
        <w:tc>
          <w:tcPr>
            <w:tcW w:w="1984" w:type="dxa"/>
            <w:tcBorders>
              <w:top w:val="nil"/>
              <w:left w:val="nil"/>
              <w:bottom w:val="single" w:sz="4" w:space="0" w:color="auto"/>
              <w:right w:val="single" w:sz="4" w:space="0" w:color="auto"/>
            </w:tcBorders>
            <w:shd w:val="clear" w:color="auto" w:fill="auto"/>
            <w:noWrap/>
            <w:vAlign w:val="bottom"/>
            <w:hideMark/>
          </w:tcPr>
          <w:p w14:paraId="70A0CB0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1 911 484</w:t>
            </w:r>
          </w:p>
        </w:tc>
        <w:tc>
          <w:tcPr>
            <w:tcW w:w="2127" w:type="dxa"/>
            <w:tcBorders>
              <w:top w:val="nil"/>
              <w:left w:val="nil"/>
              <w:bottom w:val="single" w:sz="4" w:space="0" w:color="auto"/>
              <w:right w:val="single" w:sz="4" w:space="0" w:color="auto"/>
            </w:tcBorders>
            <w:shd w:val="clear" w:color="auto" w:fill="auto"/>
            <w:noWrap/>
            <w:vAlign w:val="bottom"/>
            <w:hideMark/>
          </w:tcPr>
          <w:p w14:paraId="639AA2A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18 516</w:t>
            </w:r>
          </w:p>
        </w:tc>
      </w:tr>
      <w:tr w:rsidR="002A0876" w:rsidRPr="002A0876" w14:paraId="589FDCB0"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05FB72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w:t>
            </w:r>
          </w:p>
        </w:tc>
        <w:tc>
          <w:tcPr>
            <w:tcW w:w="6945" w:type="dxa"/>
            <w:tcBorders>
              <w:top w:val="nil"/>
              <w:left w:val="nil"/>
              <w:bottom w:val="single" w:sz="4" w:space="0" w:color="auto"/>
              <w:right w:val="single" w:sz="4" w:space="0" w:color="auto"/>
            </w:tcBorders>
            <w:shd w:val="clear" w:color="auto" w:fill="auto"/>
            <w:noWrap/>
            <w:vAlign w:val="bottom"/>
            <w:hideMark/>
          </w:tcPr>
          <w:p w14:paraId="33015DC2"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Koncerti”</w:t>
            </w:r>
          </w:p>
        </w:tc>
        <w:tc>
          <w:tcPr>
            <w:tcW w:w="1985" w:type="dxa"/>
            <w:tcBorders>
              <w:top w:val="nil"/>
              <w:left w:val="nil"/>
              <w:bottom w:val="single" w:sz="4" w:space="0" w:color="auto"/>
              <w:right w:val="single" w:sz="4" w:space="0" w:color="auto"/>
            </w:tcBorders>
            <w:shd w:val="clear" w:color="auto" w:fill="auto"/>
            <w:noWrap/>
            <w:vAlign w:val="bottom"/>
            <w:hideMark/>
          </w:tcPr>
          <w:p w14:paraId="56769D1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1 350 000</w:t>
            </w:r>
          </w:p>
        </w:tc>
        <w:tc>
          <w:tcPr>
            <w:tcW w:w="1984" w:type="dxa"/>
            <w:tcBorders>
              <w:top w:val="nil"/>
              <w:left w:val="nil"/>
              <w:bottom w:val="single" w:sz="4" w:space="0" w:color="auto"/>
              <w:right w:val="single" w:sz="4" w:space="0" w:color="auto"/>
            </w:tcBorders>
            <w:shd w:val="clear" w:color="auto" w:fill="auto"/>
            <w:noWrap/>
            <w:vAlign w:val="bottom"/>
            <w:hideMark/>
          </w:tcPr>
          <w:p w14:paraId="1F763FD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1 336 500</w:t>
            </w:r>
          </w:p>
        </w:tc>
        <w:tc>
          <w:tcPr>
            <w:tcW w:w="2127" w:type="dxa"/>
            <w:tcBorders>
              <w:top w:val="nil"/>
              <w:left w:val="nil"/>
              <w:bottom w:val="single" w:sz="4" w:space="0" w:color="auto"/>
              <w:right w:val="single" w:sz="4" w:space="0" w:color="auto"/>
            </w:tcBorders>
            <w:shd w:val="clear" w:color="auto" w:fill="auto"/>
            <w:noWrap/>
            <w:vAlign w:val="bottom"/>
            <w:hideMark/>
          </w:tcPr>
          <w:p w14:paraId="167D1BC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13 500</w:t>
            </w:r>
          </w:p>
        </w:tc>
      </w:tr>
      <w:tr w:rsidR="002A0876" w:rsidRPr="002A0876" w14:paraId="73A4F7AB"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7E230A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w:t>
            </w:r>
          </w:p>
        </w:tc>
        <w:tc>
          <w:tcPr>
            <w:tcW w:w="6945" w:type="dxa"/>
            <w:tcBorders>
              <w:top w:val="nil"/>
              <w:left w:val="nil"/>
              <w:bottom w:val="single" w:sz="4" w:space="0" w:color="auto"/>
              <w:right w:val="single" w:sz="4" w:space="0" w:color="auto"/>
            </w:tcBorders>
            <w:shd w:val="clear" w:color="auto" w:fill="auto"/>
            <w:noWrap/>
            <w:vAlign w:val="bottom"/>
            <w:hideMark/>
          </w:tcPr>
          <w:p w14:paraId="0B70E237"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"Valmieras drāmas teātris"</w:t>
            </w:r>
          </w:p>
        </w:tc>
        <w:tc>
          <w:tcPr>
            <w:tcW w:w="1985" w:type="dxa"/>
            <w:tcBorders>
              <w:top w:val="nil"/>
              <w:left w:val="nil"/>
              <w:bottom w:val="single" w:sz="4" w:space="0" w:color="auto"/>
              <w:right w:val="single" w:sz="4" w:space="0" w:color="auto"/>
            </w:tcBorders>
            <w:shd w:val="clear" w:color="auto" w:fill="auto"/>
            <w:noWrap/>
            <w:vAlign w:val="bottom"/>
            <w:hideMark/>
          </w:tcPr>
          <w:p w14:paraId="04A31B4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1 279 745</w:t>
            </w:r>
          </w:p>
        </w:tc>
        <w:tc>
          <w:tcPr>
            <w:tcW w:w="1984" w:type="dxa"/>
            <w:tcBorders>
              <w:top w:val="nil"/>
              <w:left w:val="nil"/>
              <w:bottom w:val="single" w:sz="4" w:space="0" w:color="auto"/>
              <w:right w:val="single" w:sz="4" w:space="0" w:color="auto"/>
            </w:tcBorders>
            <w:shd w:val="clear" w:color="auto" w:fill="auto"/>
            <w:noWrap/>
            <w:vAlign w:val="bottom"/>
            <w:hideMark/>
          </w:tcPr>
          <w:p w14:paraId="0059DDE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1 244 725</w:t>
            </w:r>
          </w:p>
        </w:tc>
        <w:tc>
          <w:tcPr>
            <w:tcW w:w="2127" w:type="dxa"/>
            <w:tcBorders>
              <w:top w:val="nil"/>
              <w:left w:val="nil"/>
              <w:bottom w:val="single" w:sz="4" w:space="0" w:color="auto"/>
              <w:right w:val="single" w:sz="4" w:space="0" w:color="auto"/>
            </w:tcBorders>
            <w:shd w:val="clear" w:color="auto" w:fill="auto"/>
            <w:noWrap/>
            <w:vAlign w:val="bottom"/>
            <w:hideMark/>
          </w:tcPr>
          <w:p w14:paraId="12A233A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35 020</w:t>
            </w:r>
          </w:p>
        </w:tc>
      </w:tr>
      <w:tr w:rsidR="002A0876" w:rsidRPr="002A0876" w14:paraId="345A97A3"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ABE4D7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w:t>
            </w:r>
          </w:p>
        </w:tc>
        <w:tc>
          <w:tcPr>
            <w:tcW w:w="6945" w:type="dxa"/>
            <w:tcBorders>
              <w:top w:val="nil"/>
              <w:left w:val="nil"/>
              <w:bottom w:val="single" w:sz="4" w:space="0" w:color="auto"/>
              <w:right w:val="single" w:sz="4" w:space="0" w:color="auto"/>
            </w:tcBorders>
            <w:shd w:val="clear" w:color="auto" w:fill="auto"/>
            <w:noWrap/>
            <w:vAlign w:val="bottom"/>
            <w:hideMark/>
          </w:tcPr>
          <w:p w14:paraId="11ADD0E1"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"Daugavpils teātris"</w:t>
            </w:r>
          </w:p>
        </w:tc>
        <w:tc>
          <w:tcPr>
            <w:tcW w:w="1985" w:type="dxa"/>
            <w:tcBorders>
              <w:top w:val="nil"/>
              <w:left w:val="nil"/>
              <w:bottom w:val="single" w:sz="4" w:space="0" w:color="auto"/>
              <w:right w:val="single" w:sz="4" w:space="0" w:color="auto"/>
            </w:tcBorders>
            <w:shd w:val="clear" w:color="auto" w:fill="auto"/>
            <w:noWrap/>
            <w:vAlign w:val="bottom"/>
            <w:hideMark/>
          </w:tcPr>
          <w:p w14:paraId="5432FFA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285 476</w:t>
            </w:r>
          </w:p>
        </w:tc>
        <w:tc>
          <w:tcPr>
            <w:tcW w:w="1984" w:type="dxa"/>
            <w:tcBorders>
              <w:top w:val="nil"/>
              <w:left w:val="nil"/>
              <w:bottom w:val="single" w:sz="4" w:space="0" w:color="auto"/>
              <w:right w:val="single" w:sz="4" w:space="0" w:color="auto"/>
            </w:tcBorders>
            <w:shd w:val="clear" w:color="auto" w:fill="auto"/>
            <w:noWrap/>
            <w:vAlign w:val="bottom"/>
            <w:hideMark/>
          </w:tcPr>
          <w:p w14:paraId="4385D70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346 963</w:t>
            </w:r>
          </w:p>
        </w:tc>
        <w:tc>
          <w:tcPr>
            <w:tcW w:w="2127" w:type="dxa"/>
            <w:tcBorders>
              <w:top w:val="nil"/>
              <w:left w:val="nil"/>
              <w:bottom w:val="single" w:sz="4" w:space="0" w:color="auto"/>
              <w:right w:val="single" w:sz="4" w:space="0" w:color="auto"/>
            </w:tcBorders>
            <w:shd w:val="clear" w:color="auto" w:fill="auto"/>
            <w:noWrap/>
            <w:vAlign w:val="bottom"/>
            <w:hideMark/>
          </w:tcPr>
          <w:p w14:paraId="0096CD9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-61 487</w:t>
            </w:r>
          </w:p>
        </w:tc>
      </w:tr>
      <w:tr w:rsidR="002A0876" w:rsidRPr="002A0876" w14:paraId="40E1E9AF"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2782A6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w:t>
            </w:r>
          </w:p>
        </w:tc>
        <w:tc>
          <w:tcPr>
            <w:tcW w:w="6945" w:type="dxa"/>
            <w:tcBorders>
              <w:top w:val="nil"/>
              <w:left w:val="nil"/>
              <w:bottom w:val="single" w:sz="4" w:space="0" w:color="auto"/>
              <w:right w:val="single" w:sz="4" w:space="0" w:color="auto"/>
            </w:tcBorders>
            <w:shd w:val="clear" w:color="auto" w:fill="auto"/>
            <w:noWrap/>
            <w:vAlign w:val="bottom"/>
            <w:hideMark/>
          </w:tcPr>
          <w:p w14:paraId="26FE61E8"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Nacionālais teātris"</w:t>
            </w:r>
          </w:p>
        </w:tc>
        <w:tc>
          <w:tcPr>
            <w:tcW w:w="1985" w:type="dxa"/>
            <w:tcBorders>
              <w:top w:val="nil"/>
              <w:left w:val="nil"/>
              <w:bottom w:val="single" w:sz="4" w:space="0" w:color="auto"/>
              <w:right w:val="single" w:sz="4" w:space="0" w:color="auto"/>
            </w:tcBorders>
            <w:shd w:val="clear" w:color="auto" w:fill="auto"/>
            <w:noWrap/>
            <w:vAlign w:val="bottom"/>
            <w:hideMark/>
          </w:tcPr>
          <w:p w14:paraId="07FEC5E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2 150 000</w:t>
            </w:r>
          </w:p>
        </w:tc>
        <w:tc>
          <w:tcPr>
            <w:tcW w:w="1984" w:type="dxa"/>
            <w:tcBorders>
              <w:top w:val="nil"/>
              <w:left w:val="nil"/>
              <w:bottom w:val="single" w:sz="4" w:space="0" w:color="auto"/>
              <w:right w:val="single" w:sz="4" w:space="0" w:color="auto"/>
            </w:tcBorders>
            <w:shd w:val="clear" w:color="auto" w:fill="auto"/>
            <w:noWrap/>
            <w:vAlign w:val="bottom"/>
            <w:hideMark/>
          </w:tcPr>
          <w:p w14:paraId="53FA1A9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2 148 000</w:t>
            </w:r>
          </w:p>
        </w:tc>
        <w:tc>
          <w:tcPr>
            <w:tcW w:w="2127" w:type="dxa"/>
            <w:tcBorders>
              <w:top w:val="nil"/>
              <w:left w:val="nil"/>
              <w:bottom w:val="single" w:sz="4" w:space="0" w:color="auto"/>
              <w:right w:val="single" w:sz="4" w:space="0" w:color="auto"/>
            </w:tcBorders>
            <w:shd w:val="clear" w:color="auto" w:fill="auto"/>
            <w:noWrap/>
            <w:vAlign w:val="bottom"/>
            <w:hideMark/>
          </w:tcPr>
          <w:p w14:paraId="3CDB373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2 000</w:t>
            </w:r>
          </w:p>
        </w:tc>
      </w:tr>
      <w:tr w:rsidR="002A0876" w:rsidRPr="002A0876" w14:paraId="5CCB80F5"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5CEBAF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w:t>
            </w:r>
          </w:p>
        </w:tc>
        <w:tc>
          <w:tcPr>
            <w:tcW w:w="6945" w:type="dxa"/>
            <w:tcBorders>
              <w:top w:val="nil"/>
              <w:left w:val="nil"/>
              <w:bottom w:val="single" w:sz="4" w:space="0" w:color="auto"/>
              <w:right w:val="single" w:sz="4" w:space="0" w:color="auto"/>
            </w:tcBorders>
            <w:shd w:val="clear" w:color="auto" w:fill="auto"/>
            <w:noWrap/>
            <w:vAlign w:val="bottom"/>
            <w:hideMark/>
          </w:tcPr>
          <w:p w14:paraId="56E747C8"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Nacionālais simfoniskais orķestris"</w:t>
            </w:r>
          </w:p>
        </w:tc>
        <w:tc>
          <w:tcPr>
            <w:tcW w:w="1985" w:type="dxa"/>
            <w:tcBorders>
              <w:top w:val="nil"/>
              <w:left w:val="nil"/>
              <w:bottom w:val="single" w:sz="4" w:space="0" w:color="auto"/>
              <w:right w:val="single" w:sz="4" w:space="0" w:color="auto"/>
            </w:tcBorders>
            <w:shd w:val="clear" w:color="auto" w:fill="auto"/>
            <w:noWrap/>
            <w:vAlign w:val="bottom"/>
            <w:hideMark/>
          </w:tcPr>
          <w:p w14:paraId="01B9AA6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609 420</w:t>
            </w:r>
          </w:p>
        </w:tc>
        <w:tc>
          <w:tcPr>
            <w:tcW w:w="1984" w:type="dxa"/>
            <w:tcBorders>
              <w:top w:val="nil"/>
              <w:left w:val="nil"/>
              <w:bottom w:val="single" w:sz="4" w:space="0" w:color="auto"/>
              <w:right w:val="single" w:sz="4" w:space="0" w:color="auto"/>
            </w:tcBorders>
            <w:shd w:val="clear" w:color="auto" w:fill="auto"/>
            <w:noWrap/>
            <w:vAlign w:val="bottom"/>
            <w:hideMark/>
          </w:tcPr>
          <w:p w14:paraId="4ACA4C9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604 552</w:t>
            </w:r>
          </w:p>
        </w:tc>
        <w:tc>
          <w:tcPr>
            <w:tcW w:w="2127" w:type="dxa"/>
            <w:tcBorders>
              <w:top w:val="nil"/>
              <w:left w:val="nil"/>
              <w:bottom w:val="single" w:sz="4" w:space="0" w:color="auto"/>
              <w:right w:val="single" w:sz="4" w:space="0" w:color="auto"/>
            </w:tcBorders>
            <w:shd w:val="clear" w:color="auto" w:fill="auto"/>
            <w:noWrap/>
            <w:vAlign w:val="bottom"/>
            <w:hideMark/>
          </w:tcPr>
          <w:p w14:paraId="4DE81DC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4 868</w:t>
            </w:r>
          </w:p>
        </w:tc>
      </w:tr>
      <w:tr w:rsidR="002A0876" w:rsidRPr="002A0876" w14:paraId="178874E1"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61F282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w:t>
            </w:r>
          </w:p>
        </w:tc>
        <w:tc>
          <w:tcPr>
            <w:tcW w:w="6945" w:type="dxa"/>
            <w:tcBorders>
              <w:top w:val="nil"/>
              <w:left w:val="nil"/>
              <w:bottom w:val="single" w:sz="4" w:space="0" w:color="auto"/>
              <w:right w:val="single" w:sz="4" w:space="0" w:color="auto"/>
            </w:tcBorders>
            <w:shd w:val="clear" w:color="auto" w:fill="auto"/>
            <w:noWrap/>
            <w:vAlign w:val="bottom"/>
            <w:hideMark/>
          </w:tcPr>
          <w:p w14:paraId="7453F7EB"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Nacionālā opera un balets”</w:t>
            </w:r>
          </w:p>
        </w:tc>
        <w:tc>
          <w:tcPr>
            <w:tcW w:w="1985" w:type="dxa"/>
            <w:tcBorders>
              <w:top w:val="nil"/>
              <w:left w:val="nil"/>
              <w:bottom w:val="single" w:sz="4" w:space="0" w:color="auto"/>
              <w:right w:val="single" w:sz="4" w:space="0" w:color="auto"/>
            </w:tcBorders>
            <w:shd w:val="clear" w:color="auto" w:fill="auto"/>
            <w:noWrap/>
            <w:vAlign w:val="bottom"/>
            <w:hideMark/>
          </w:tcPr>
          <w:p w14:paraId="545AE27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3 700 000</w:t>
            </w:r>
          </w:p>
        </w:tc>
        <w:tc>
          <w:tcPr>
            <w:tcW w:w="1984" w:type="dxa"/>
            <w:tcBorders>
              <w:top w:val="nil"/>
              <w:left w:val="nil"/>
              <w:bottom w:val="single" w:sz="4" w:space="0" w:color="auto"/>
              <w:right w:val="single" w:sz="4" w:space="0" w:color="auto"/>
            </w:tcBorders>
            <w:shd w:val="clear" w:color="auto" w:fill="auto"/>
            <w:noWrap/>
            <w:vAlign w:val="bottom"/>
            <w:hideMark/>
          </w:tcPr>
          <w:p w14:paraId="3DAEBEE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3 690 000</w:t>
            </w:r>
          </w:p>
        </w:tc>
        <w:tc>
          <w:tcPr>
            <w:tcW w:w="2127" w:type="dxa"/>
            <w:tcBorders>
              <w:top w:val="nil"/>
              <w:left w:val="nil"/>
              <w:bottom w:val="single" w:sz="4" w:space="0" w:color="auto"/>
              <w:right w:val="single" w:sz="4" w:space="0" w:color="auto"/>
            </w:tcBorders>
            <w:shd w:val="clear" w:color="auto" w:fill="auto"/>
            <w:noWrap/>
            <w:vAlign w:val="bottom"/>
            <w:hideMark/>
          </w:tcPr>
          <w:p w14:paraId="73DD9AC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10 000</w:t>
            </w:r>
          </w:p>
        </w:tc>
      </w:tr>
      <w:tr w:rsidR="002A0876" w:rsidRPr="002A0876" w14:paraId="1EEC9726"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8F89D7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w:t>
            </w:r>
          </w:p>
        </w:tc>
        <w:tc>
          <w:tcPr>
            <w:tcW w:w="6945" w:type="dxa"/>
            <w:tcBorders>
              <w:top w:val="nil"/>
              <w:left w:val="nil"/>
              <w:bottom w:val="single" w:sz="4" w:space="0" w:color="auto"/>
              <w:right w:val="single" w:sz="4" w:space="0" w:color="auto"/>
            </w:tcBorders>
            <w:shd w:val="clear" w:color="auto" w:fill="auto"/>
            <w:vAlign w:val="bottom"/>
            <w:hideMark/>
          </w:tcPr>
          <w:p w14:paraId="24BD2A15"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"Valsts Akadēmiskais koris "Latvija""</w:t>
            </w:r>
          </w:p>
        </w:tc>
        <w:tc>
          <w:tcPr>
            <w:tcW w:w="1985" w:type="dxa"/>
            <w:tcBorders>
              <w:top w:val="nil"/>
              <w:left w:val="nil"/>
              <w:bottom w:val="single" w:sz="4" w:space="0" w:color="auto"/>
              <w:right w:val="single" w:sz="4" w:space="0" w:color="auto"/>
            </w:tcBorders>
            <w:shd w:val="clear" w:color="auto" w:fill="auto"/>
            <w:noWrap/>
            <w:vAlign w:val="bottom"/>
            <w:hideMark/>
          </w:tcPr>
          <w:p w14:paraId="0804314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220 000</w:t>
            </w:r>
          </w:p>
        </w:tc>
        <w:tc>
          <w:tcPr>
            <w:tcW w:w="1984" w:type="dxa"/>
            <w:tcBorders>
              <w:top w:val="nil"/>
              <w:left w:val="nil"/>
              <w:bottom w:val="single" w:sz="4" w:space="0" w:color="auto"/>
              <w:right w:val="single" w:sz="4" w:space="0" w:color="auto"/>
            </w:tcBorders>
            <w:shd w:val="clear" w:color="auto" w:fill="auto"/>
            <w:noWrap/>
            <w:vAlign w:val="bottom"/>
            <w:hideMark/>
          </w:tcPr>
          <w:p w14:paraId="23E3863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222 800</w:t>
            </w:r>
          </w:p>
        </w:tc>
        <w:tc>
          <w:tcPr>
            <w:tcW w:w="2127" w:type="dxa"/>
            <w:tcBorders>
              <w:top w:val="nil"/>
              <w:left w:val="nil"/>
              <w:bottom w:val="single" w:sz="4" w:space="0" w:color="auto"/>
              <w:right w:val="single" w:sz="4" w:space="0" w:color="auto"/>
            </w:tcBorders>
            <w:shd w:val="clear" w:color="auto" w:fill="auto"/>
            <w:noWrap/>
            <w:vAlign w:val="bottom"/>
            <w:hideMark/>
          </w:tcPr>
          <w:p w14:paraId="6AA033B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-2 800</w:t>
            </w:r>
          </w:p>
        </w:tc>
      </w:tr>
      <w:tr w:rsidR="002A0876" w:rsidRPr="002A0876" w14:paraId="065DA611"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56F51F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w:t>
            </w:r>
          </w:p>
        </w:tc>
        <w:tc>
          <w:tcPr>
            <w:tcW w:w="6945" w:type="dxa"/>
            <w:tcBorders>
              <w:top w:val="nil"/>
              <w:left w:val="nil"/>
              <w:bottom w:val="single" w:sz="4" w:space="0" w:color="auto"/>
              <w:right w:val="single" w:sz="4" w:space="0" w:color="auto"/>
            </w:tcBorders>
            <w:shd w:val="clear" w:color="auto" w:fill="auto"/>
            <w:vAlign w:val="bottom"/>
            <w:hideMark/>
          </w:tcPr>
          <w:p w14:paraId="4AA83D4F"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"Liepājas Simfoniskais orķestris"</w:t>
            </w:r>
          </w:p>
        </w:tc>
        <w:tc>
          <w:tcPr>
            <w:tcW w:w="1985" w:type="dxa"/>
            <w:tcBorders>
              <w:top w:val="nil"/>
              <w:left w:val="nil"/>
              <w:bottom w:val="single" w:sz="4" w:space="0" w:color="auto"/>
              <w:right w:val="single" w:sz="4" w:space="0" w:color="auto"/>
            </w:tcBorders>
            <w:shd w:val="clear" w:color="auto" w:fill="auto"/>
            <w:noWrap/>
            <w:vAlign w:val="bottom"/>
            <w:hideMark/>
          </w:tcPr>
          <w:p w14:paraId="3344CBC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260 000</w:t>
            </w:r>
          </w:p>
        </w:tc>
        <w:tc>
          <w:tcPr>
            <w:tcW w:w="1984" w:type="dxa"/>
            <w:tcBorders>
              <w:top w:val="nil"/>
              <w:left w:val="nil"/>
              <w:bottom w:val="single" w:sz="4" w:space="0" w:color="auto"/>
              <w:right w:val="single" w:sz="4" w:space="0" w:color="auto"/>
            </w:tcBorders>
            <w:shd w:val="clear" w:color="auto" w:fill="auto"/>
            <w:noWrap/>
            <w:vAlign w:val="bottom"/>
            <w:hideMark/>
          </w:tcPr>
          <w:p w14:paraId="71496C9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255 400</w:t>
            </w:r>
          </w:p>
        </w:tc>
        <w:tc>
          <w:tcPr>
            <w:tcW w:w="2127" w:type="dxa"/>
            <w:tcBorders>
              <w:top w:val="nil"/>
              <w:left w:val="nil"/>
              <w:bottom w:val="single" w:sz="4" w:space="0" w:color="auto"/>
              <w:right w:val="single" w:sz="4" w:space="0" w:color="auto"/>
            </w:tcBorders>
            <w:shd w:val="clear" w:color="auto" w:fill="auto"/>
            <w:noWrap/>
            <w:vAlign w:val="bottom"/>
            <w:hideMark/>
          </w:tcPr>
          <w:p w14:paraId="28D8205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4 600</w:t>
            </w:r>
          </w:p>
        </w:tc>
      </w:tr>
      <w:tr w:rsidR="002A0876" w:rsidRPr="002A0876" w14:paraId="076E45BE"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1B8825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w:t>
            </w:r>
          </w:p>
        </w:tc>
        <w:tc>
          <w:tcPr>
            <w:tcW w:w="6945" w:type="dxa"/>
            <w:tcBorders>
              <w:top w:val="nil"/>
              <w:left w:val="nil"/>
              <w:bottom w:val="single" w:sz="4" w:space="0" w:color="auto"/>
              <w:right w:val="single" w:sz="4" w:space="0" w:color="auto"/>
            </w:tcBorders>
            <w:shd w:val="clear" w:color="auto" w:fill="auto"/>
            <w:noWrap/>
            <w:vAlign w:val="bottom"/>
            <w:hideMark/>
          </w:tcPr>
          <w:p w14:paraId="2E6D04DF"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"Rīgas cirks"</w:t>
            </w:r>
          </w:p>
        </w:tc>
        <w:tc>
          <w:tcPr>
            <w:tcW w:w="1985" w:type="dxa"/>
            <w:tcBorders>
              <w:top w:val="nil"/>
              <w:left w:val="nil"/>
              <w:bottom w:val="single" w:sz="4" w:space="0" w:color="auto"/>
              <w:right w:val="single" w:sz="4" w:space="0" w:color="auto"/>
            </w:tcBorders>
            <w:shd w:val="clear" w:color="auto" w:fill="auto"/>
            <w:noWrap/>
            <w:vAlign w:val="bottom"/>
            <w:hideMark/>
          </w:tcPr>
          <w:p w14:paraId="27609A8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175 200</w:t>
            </w:r>
          </w:p>
        </w:tc>
        <w:tc>
          <w:tcPr>
            <w:tcW w:w="1984" w:type="dxa"/>
            <w:tcBorders>
              <w:top w:val="nil"/>
              <w:left w:val="nil"/>
              <w:bottom w:val="single" w:sz="4" w:space="0" w:color="auto"/>
              <w:right w:val="single" w:sz="4" w:space="0" w:color="auto"/>
            </w:tcBorders>
            <w:shd w:val="clear" w:color="auto" w:fill="auto"/>
            <w:noWrap/>
            <w:vAlign w:val="bottom"/>
            <w:hideMark/>
          </w:tcPr>
          <w:p w14:paraId="4014293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337 837</w:t>
            </w:r>
          </w:p>
        </w:tc>
        <w:tc>
          <w:tcPr>
            <w:tcW w:w="2127" w:type="dxa"/>
            <w:tcBorders>
              <w:top w:val="nil"/>
              <w:left w:val="nil"/>
              <w:bottom w:val="single" w:sz="4" w:space="0" w:color="auto"/>
              <w:right w:val="single" w:sz="4" w:space="0" w:color="auto"/>
            </w:tcBorders>
            <w:shd w:val="clear" w:color="auto" w:fill="auto"/>
            <w:noWrap/>
            <w:vAlign w:val="bottom"/>
            <w:hideMark/>
          </w:tcPr>
          <w:p w14:paraId="607F1C5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-162 637</w:t>
            </w:r>
          </w:p>
        </w:tc>
      </w:tr>
      <w:tr w:rsidR="002A0876" w:rsidRPr="002A0876" w14:paraId="3A3D8A95"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C76363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w:t>
            </w:r>
          </w:p>
        </w:tc>
        <w:tc>
          <w:tcPr>
            <w:tcW w:w="6945" w:type="dxa"/>
            <w:tcBorders>
              <w:top w:val="nil"/>
              <w:left w:val="nil"/>
              <w:bottom w:val="single" w:sz="4" w:space="0" w:color="auto"/>
              <w:right w:val="single" w:sz="4" w:space="0" w:color="auto"/>
            </w:tcBorders>
            <w:shd w:val="clear" w:color="auto" w:fill="auto"/>
            <w:noWrap/>
            <w:vAlign w:val="bottom"/>
            <w:hideMark/>
          </w:tcPr>
          <w:p w14:paraId="4E0B55B7"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"Starptautiskā Rakstnieku un tulkotāju māja"</w:t>
            </w:r>
          </w:p>
        </w:tc>
        <w:tc>
          <w:tcPr>
            <w:tcW w:w="1985" w:type="dxa"/>
            <w:tcBorders>
              <w:top w:val="nil"/>
              <w:left w:val="nil"/>
              <w:bottom w:val="single" w:sz="4" w:space="0" w:color="auto"/>
              <w:right w:val="single" w:sz="4" w:space="0" w:color="auto"/>
            </w:tcBorders>
            <w:shd w:val="clear" w:color="auto" w:fill="auto"/>
            <w:noWrap/>
            <w:vAlign w:val="bottom"/>
            <w:hideMark/>
          </w:tcPr>
          <w:p w14:paraId="23E436F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7 000</w:t>
            </w:r>
          </w:p>
        </w:tc>
        <w:tc>
          <w:tcPr>
            <w:tcW w:w="1984" w:type="dxa"/>
            <w:tcBorders>
              <w:top w:val="nil"/>
              <w:left w:val="nil"/>
              <w:bottom w:val="single" w:sz="4" w:space="0" w:color="auto"/>
              <w:right w:val="single" w:sz="4" w:space="0" w:color="auto"/>
            </w:tcBorders>
            <w:shd w:val="clear" w:color="auto" w:fill="auto"/>
            <w:noWrap/>
            <w:vAlign w:val="bottom"/>
            <w:hideMark/>
          </w:tcPr>
          <w:p w14:paraId="051E0B7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4 485</w:t>
            </w:r>
          </w:p>
        </w:tc>
        <w:tc>
          <w:tcPr>
            <w:tcW w:w="2127" w:type="dxa"/>
            <w:tcBorders>
              <w:top w:val="nil"/>
              <w:left w:val="nil"/>
              <w:bottom w:val="single" w:sz="4" w:space="0" w:color="auto"/>
              <w:right w:val="single" w:sz="4" w:space="0" w:color="auto"/>
            </w:tcBorders>
            <w:shd w:val="clear" w:color="auto" w:fill="auto"/>
            <w:noWrap/>
            <w:vAlign w:val="bottom"/>
            <w:hideMark/>
          </w:tcPr>
          <w:p w14:paraId="6CA9696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2 515</w:t>
            </w:r>
          </w:p>
        </w:tc>
      </w:tr>
      <w:tr w:rsidR="002A0876" w:rsidRPr="002A0876" w14:paraId="2ABC69FC"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5FA3AD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w:t>
            </w:r>
          </w:p>
        </w:tc>
        <w:tc>
          <w:tcPr>
            <w:tcW w:w="6945" w:type="dxa"/>
            <w:tcBorders>
              <w:top w:val="nil"/>
              <w:left w:val="nil"/>
              <w:bottom w:val="single" w:sz="4" w:space="0" w:color="auto"/>
              <w:right w:val="single" w:sz="4" w:space="0" w:color="auto"/>
            </w:tcBorders>
            <w:shd w:val="clear" w:color="auto" w:fill="auto"/>
            <w:noWrap/>
            <w:vAlign w:val="bottom"/>
            <w:hideMark/>
          </w:tcPr>
          <w:p w14:paraId="4BB0133C"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"Mihaila Čehova Rīgas Krievu teātris"</w:t>
            </w:r>
          </w:p>
        </w:tc>
        <w:tc>
          <w:tcPr>
            <w:tcW w:w="1985" w:type="dxa"/>
            <w:tcBorders>
              <w:top w:val="nil"/>
              <w:left w:val="nil"/>
              <w:bottom w:val="single" w:sz="4" w:space="0" w:color="auto"/>
              <w:right w:val="single" w:sz="4" w:space="0" w:color="auto"/>
            </w:tcBorders>
            <w:shd w:val="clear" w:color="auto" w:fill="auto"/>
            <w:noWrap/>
            <w:vAlign w:val="bottom"/>
            <w:hideMark/>
          </w:tcPr>
          <w:p w14:paraId="3CDEC96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1 650 000</w:t>
            </w:r>
          </w:p>
        </w:tc>
        <w:tc>
          <w:tcPr>
            <w:tcW w:w="1984" w:type="dxa"/>
            <w:tcBorders>
              <w:top w:val="nil"/>
              <w:left w:val="nil"/>
              <w:bottom w:val="single" w:sz="4" w:space="0" w:color="auto"/>
              <w:right w:val="single" w:sz="4" w:space="0" w:color="auto"/>
            </w:tcBorders>
            <w:shd w:val="clear" w:color="auto" w:fill="auto"/>
            <w:noWrap/>
            <w:vAlign w:val="bottom"/>
            <w:hideMark/>
          </w:tcPr>
          <w:p w14:paraId="49E2324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1 710 000</w:t>
            </w:r>
          </w:p>
        </w:tc>
        <w:tc>
          <w:tcPr>
            <w:tcW w:w="2127" w:type="dxa"/>
            <w:tcBorders>
              <w:top w:val="nil"/>
              <w:left w:val="nil"/>
              <w:bottom w:val="single" w:sz="4" w:space="0" w:color="auto"/>
              <w:right w:val="single" w:sz="4" w:space="0" w:color="auto"/>
            </w:tcBorders>
            <w:shd w:val="clear" w:color="auto" w:fill="auto"/>
            <w:noWrap/>
            <w:vAlign w:val="bottom"/>
            <w:hideMark/>
          </w:tcPr>
          <w:p w14:paraId="05AF221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-60 000</w:t>
            </w:r>
          </w:p>
        </w:tc>
      </w:tr>
      <w:tr w:rsidR="002A0876" w:rsidRPr="002A0876" w14:paraId="383CA09E"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93AABE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w:t>
            </w:r>
          </w:p>
        </w:tc>
        <w:tc>
          <w:tcPr>
            <w:tcW w:w="6945" w:type="dxa"/>
            <w:tcBorders>
              <w:top w:val="nil"/>
              <w:left w:val="nil"/>
              <w:bottom w:val="single" w:sz="4" w:space="0" w:color="auto"/>
              <w:right w:val="single" w:sz="4" w:space="0" w:color="auto"/>
            </w:tcBorders>
            <w:shd w:val="clear" w:color="auto" w:fill="auto"/>
            <w:noWrap/>
            <w:vAlign w:val="bottom"/>
            <w:hideMark/>
          </w:tcPr>
          <w:p w14:paraId="7AE1C86E"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Leļļu teātris"</w:t>
            </w:r>
          </w:p>
        </w:tc>
        <w:tc>
          <w:tcPr>
            <w:tcW w:w="1985" w:type="dxa"/>
            <w:tcBorders>
              <w:top w:val="nil"/>
              <w:left w:val="nil"/>
              <w:bottom w:val="single" w:sz="4" w:space="0" w:color="auto"/>
              <w:right w:val="single" w:sz="4" w:space="0" w:color="auto"/>
            </w:tcBorders>
            <w:shd w:val="clear" w:color="auto" w:fill="auto"/>
            <w:noWrap/>
            <w:vAlign w:val="bottom"/>
            <w:hideMark/>
          </w:tcPr>
          <w:p w14:paraId="42D32C6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312 500</w:t>
            </w:r>
          </w:p>
        </w:tc>
        <w:tc>
          <w:tcPr>
            <w:tcW w:w="1984" w:type="dxa"/>
            <w:tcBorders>
              <w:top w:val="nil"/>
              <w:left w:val="nil"/>
              <w:bottom w:val="single" w:sz="4" w:space="0" w:color="auto"/>
              <w:right w:val="single" w:sz="4" w:space="0" w:color="auto"/>
            </w:tcBorders>
            <w:shd w:val="clear" w:color="auto" w:fill="auto"/>
            <w:noWrap/>
            <w:vAlign w:val="bottom"/>
            <w:hideMark/>
          </w:tcPr>
          <w:p w14:paraId="3A5B62C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305 610</w:t>
            </w:r>
          </w:p>
        </w:tc>
        <w:tc>
          <w:tcPr>
            <w:tcW w:w="2127" w:type="dxa"/>
            <w:tcBorders>
              <w:top w:val="nil"/>
              <w:left w:val="nil"/>
              <w:bottom w:val="single" w:sz="4" w:space="0" w:color="auto"/>
              <w:right w:val="single" w:sz="4" w:space="0" w:color="auto"/>
            </w:tcBorders>
            <w:shd w:val="clear" w:color="auto" w:fill="auto"/>
            <w:noWrap/>
            <w:vAlign w:val="bottom"/>
            <w:hideMark/>
          </w:tcPr>
          <w:p w14:paraId="5EE953B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6 890</w:t>
            </w:r>
          </w:p>
        </w:tc>
      </w:tr>
      <w:tr w:rsidR="002A0876" w:rsidRPr="002A0876" w14:paraId="34CCAF47" w14:textId="77777777" w:rsidTr="002A0876">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A95C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w:t>
            </w:r>
          </w:p>
        </w:tc>
        <w:tc>
          <w:tcPr>
            <w:tcW w:w="6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0DEF7"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"Tiesu namu aģentūra"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6843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7 870 000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C288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6 158 000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C5D8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1 712 000</w:t>
            </w:r>
          </w:p>
        </w:tc>
      </w:tr>
      <w:tr w:rsidR="002A0876" w:rsidRPr="002A0876" w14:paraId="1A1B733F" w14:textId="77777777" w:rsidTr="006C7EF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D093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w:t>
            </w:r>
          </w:p>
        </w:tc>
        <w:tc>
          <w:tcPr>
            <w:tcW w:w="6945" w:type="dxa"/>
            <w:tcBorders>
              <w:top w:val="single" w:sz="4" w:space="0" w:color="auto"/>
              <w:left w:val="nil"/>
              <w:bottom w:val="single" w:sz="4" w:space="0" w:color="auto"/>
              <w:right w:val="single" w:sz="4" w:space="0" w:color="auto"/>
            </w:tcBorders>
            <w:shd w:val="clear" w:color="auto" w:fill="auto"/>
            <w:noWrap/>
            <w:vAlign w:val="bottom"/>
            <w:hideMark/>
          </w:tcPr>
          <w:p w14:paraId="11075554"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"Valsts nekustamie īpašumi"</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6142E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40 819 860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B501AB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44 174 170</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7B1CC76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-3 354 310</w:t>
            </w:r>
          </w:p>
        </w:tc>
      </w:tr>
      <w:tr w:rsidR="002A0876" w:rsidRPr="002A0876" w14:paraId="08CB3144" w14:textId="77777777" w:rsidTr="006C7EF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0F8D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w:t>
            </w:r>
          </w:p>
        </w:tc>
        <w:tc>
          <w:tcPr>
            <w:tcW w:w="6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7892E"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"Vides investīciju fonds”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6763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597 830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1E0E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491 653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E4F0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106 177</w:t>
            </w:r>
          </w:p>
        </w:tc>
      </w:tr>
      <w:tr w:rsidR="002A0876" w:rsidRPr="002A0876" w14:paraId="7978DBA3" w14:textId="77777777" w:rsidTr="006C7EF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DB02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w:t>
            </w:r>
          </w:p>
        </w:tc>
        <w:tc>
          <w:tcPr>
            <w:tcW w:w="6945" w:type="dxa"/>
            <w:tcBorders>
              <w:top w:val="single" w:sz="4" w:space="0" w:color="auto"/>
              <w:left w:val="nil"/>
              <w:bottom w:val="single" w:sz="4" w:space="0" w:color="auto"/>
              <w:right w:val="single" w:sz="4" w:space="0" w:color="auto"/>
            </w:tcBorders>
            <w:shd w:val="clear" w:color="auto" w:fill="auto"/>
            <w:noWrap/>
            <w:vAlign w:val="bottom"/>
            <w:hideMark/>
          </w:tcPr>
          <w:p w14:paraId="51CAC531"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Vides, ģeoloģijas un meteoroloģijas centrs"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FBD58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2 624 527</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A3B3EA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2 659 060</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DDFB03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-34 533</w:t>
            </w:r>
          </w:p>
        </w:tc>
      </w:tr>
      <w:tr w:rsidR="002A0876" w:rsidRPr="002A0876" w14:paraId="2BC737C6"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C8F075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23</w:t>
            </w:r>
          </w:p>
        </w:tc>
        <w:tc>
          <w:tcPr>
            <w:tcW w:w="6945" w:type="dxa"/>
            <w:tcBorders>
              <w:top w:val="nil"/>
              <w:left w:val="nil"/>
              <w:bottom w:val="single" w:sz="4" w:space="0" w:color="auto"/>
              <w:right w:val="single" w:sz="4" w:space="0" w:color="auto"/>
            </w:tcBorders>
            <w:shd w:val="clear" w:color="auto" w:fill="auto"/>
            <w:noWrap/>
            <w:vAlign w:val="bottom"/>
            <w:hideMark/>
          </w:tcPr>
          <w:p w14:paraId="061A13BD"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Televīzija"</w:t>
            </w:r>
          </w:p>
        </w:tc>
        <w:tc>
          <w:tcPr>
            <w:tcW w:w="1985" w:type="dxa"/>
            <w:tcBorders>
              <w:top w:val="nil"/>
              <w:left w:val="nil"/>
              <w:bottom w:val="single" w:sz="4" w:space="0" w:color="auto"/>
              <w:right w:val="single" w:sz="4" w:space="0" w:color="auto"/>
            </w:tcBorders>
            <w:shd w:val="clear" w:color="auto" w:fill="auto"/>
            <w:noWrap/>
            <w:vAlign w:val="bottom"/>
            <w:hideMark/>
          </w:tcPr>
          <w:p w14:paraId="3173FFC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471 488</w:t>
            </w:r>
          </w:p>
        </w:tc>
        <w:tc>
          <w:tcPr>
            <w:tcW w:w="1984" w:type="dxa"/>
            <w:tcBorders>
              <w:top w:val="nil"/>
              <w:left w:val="nil"/>
              <w:bottom w:val="single" w:sz="4" w:space="0" w:color="auto"/>
              <w:right w:val="single" w:sz="4" w:space="0" w:color="auto"/>
            </w:tcBorders>
            <w:shd w:val="clear" w:color="auto" w:fill="auto"/>
            <w:noWrap/>
            <w:vAlign w:val="bottom"/>
            <w:hideMark/>
          </w:tcPr>
          <w:p w14:paraId="4A28E92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55 919</w:t>
            </w:r>
          </w:p>
        </w:tc>
        <w:tc>
          <w:tcPr>
            <w:tcW w:w="2127" w:type="dxa"/>
            <w:tcBorders>
              <w:top w:val="nil"/>
              <w:left w:val="nil"/>
              <w:bottom w:val="single" w:sz="4" w:space="0" w:color="auto"/>
              <w:right w:val="single" w:sz="4" w:space="0" w:color="auto"/>
            </w:tcBorders>
            <w:shd w:val="clear" w:color="auto" w:fill="auto"/>
            <w:noWrap/>
            <w:vAlign w:val="bottom"/>
            <w:hideMark/>
          </w:tcPr>
          <w:p w14:paraId="1E86932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415 569</w:t>
            </w:r>
          </w:p>
        </w:tc>
      </w:tr>
      <w:tr w:rsidR="002A0876" w:rsidRPr="002A0876" w14:paraId="5F13A903"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4B3782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24</w:t>
            </w:r>
          </w:p>
        </w:tc>
        <w:tc>
          <w:tcPr>
            <w:tcW w:w="6945" w:type="dxa"/>
            <w:tcBorders>
              <w:top w:val="nil"/>
              <w:left w:val="nil"/>
              <w:bottom w:val="single" w:sz="4" w:space="0" w:color="auto"/>
              <w:right w:val="single" w:sz="4" w:space="0" w:color="auto"/>
            </w:tcBorders>
            <w:shd w:val="clear" w:color="auto" w:fill="auto"/>
            <w:noWrap/>
            <w:vAlign w:val="bottom"/>
            <w:hideMark/>
          </w:tcPr>
          <w:p w14:paraId="4415461C"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"LatRailNet"</w:t>
            </w:r>
          </w:p>
        </w:tc>
        <w:tc>
          <w:tcPr>
            <w:tcW w:w="1985" w:type="dxa"/>
            <w:tcBorders>
              <w:top w:val="nil"/>
              <w:left w:val="nil"/>
              <w:bottom w:val="single" w:sz="4" w:space="0" w:color="auto"/>
              <w:right w:val="single" w:sz="4" w:space="0" w:color="auto"/>
            </w:tcBorders>
            <w:shd w:val="clear" w:color="auto" w:fill="auto"/>
            <w:noWrap/>
            <w:vAlign w:val="bottom"/>
            <w:hideMark/>
          </w:tcPr>
          <w:p w14:paraId="7F2F871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1 233 000</w:t>
            </w:r>
          </w:p>
        </w:tc>
        <w:tc>
          <w:tcPr>
            <w:tcW w:w="1984" w:type="dxa"/>
            <w:tcBorders>
              <w:top w:val="nil"/>
              <w:left w:val="nil"/>
              <w:bottom w:val="single" w:sz="4" w:space="0" w:color="auto"/>
              <w:right w:val="single" w:sz="4" w:space="0" w:color="auto"/>
            </w:tcBorders>
            <w:shd w:val="clear" w:color="auto" w:fill="auto"/>
            <w:noWrap/>
            <w:vAlign w:val="bottom"/>
            <w:hideMark/>
          </w:tcPr>
          <w:p w14:paraId="5D5FA02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1 256 000</w:t>
            </w:r>
          </w:p>
        </w:tc>
        <w:tc>
          <w:tcPr>
            <w:tcW w:w="2127" w:type="dxa"/>
            <w:tcBorders>
              <w:top w:val="nil"/>
              <w:left w:val="nil"/>
              <w:bottom w:val="single" w:sz="4" w:space="0" w:color="auto"/>
              <w:right w:val="single" w:sz="4" w:space="0" w:color="auto"/>
            </w:tcBorders>
            <w:shd w:val="clear" w:color="auto" w:fill="auto"/>
            <w:noWrap/>
            <w:vAlign w:val="bottom"/>
            <w:hideMark/>
          </w:tcPr>
          <w:p w14:paraId="388EF32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-23 000</w:t>
            </w:r>
          </w:p>
        </w:tc>
      </w:tr>
      <w:tr w:rsidR="002A0876" w:rsidRPr="002A0876" w14:paraId="32702443"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047C39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25</w:t>
            </w:r>
          </w:p>
        </w:tc>
        <w:tc>
          <w:tcPr>
            <w:tcW w:w="6945" w:type="dxa"/>
            <w:tcBorders>
              <w:top w:val="nil"/>
              <w:left w:val="nil"/>
              <w:bottom w:val="single" w:sz="4" w:space="0" w:color="auto"/>
              <w:right w:val="single" w:sz="4" w:space="0" w:color="auto"/>
            </w:tcBorders>
            <w:shd w:val="clear" w:color="auto" w:fill="auto"/>
            <w:noWrap/>
            <w:vAlign w:val="bottom"/>
            <w:hideMark/>
          </w:tcPr>
          <w:p w14:paraId="2C282A9D"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Valsts ceļi"</w:t>
            </w:r>
          </w:p>
        </w:tc>
        <w:tc>
          <w:tcPr>
            <w:tcW w:w="1985" w:type="dxa"/>
            <w:tcBorders>
              <w:top w:val="nil"/>
              <w:left w:val="nil"/>
              <w:bottom w:val="single" w:sz="4" w:space="0" w:color="auto"/>
              <w:right w:val="single" w:sz="4" w:space="0" w:color="auto"/>
            </w:tcBorders>
            <w:shd w:val="clear" w:color="auto" w:fill="auto"/>
            <w:noWrap/>
            <w:vAlign w:val="bottom"/>
            <w:hideMark/>
          </w:tcPr>
          <w:p w14:paraId="1BF794F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15 800 000</w:t>
            </w:r>
          </w:p>
        </w:tc>
        <w:tc>
          <w:tcPr>
            <w:tcW w:w="1984" w:type="dxa"/>
            <w:tcBorders>
              <w:top w:val="nil"/>
              <w:left w:val="nil"/>
              <w:bottom w:val="single" w:sz="4" w:space="0" w:color="auto"/>
              <w:right w:val="single" w:sz="4" w:space="0" w:color="auto"/>
            </w:tcBorders>
            <w:shd w:val="clear" w:color="auto" w:fill="auto"/>
            <w:noWrap/>
            <w:vAlign w:val="bottom"/>
            <w:hideMark/>
          </w:tcPr>
          <w:p w14:paraId="0419951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15 745 000</w:t>
            </w:r>
          </w:p>
        </w:tc>
        <w:tc>
          <w:tcPr>
            <w:tcW w:w="2127" w:type="dxa"/>
            <w:tcBorders>
              <w:top w:val="nil"/>
              <w:left w:val="nil"/>
              <w:bottom w:val="single" w:sz="4" w:space="0" w:color="auto"/>
              <w:right w:val="single" w:sz="4" w:space="0" w:color="auto"/>
            </w:tcBorders>
            <w:shd w:val="clear" w:color="auto" w:fill="auto"/>
            <w:noWrap/>
            <w:vAlign w:val="bottom"/>
            <w:hideMark/>
          </w:tcPr>
          <w:p w14:paraId="6479DF1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55 000</w:t>
            </w:r>
          </w:p>
        </w:tc>
      </w:tr>
      <w:tr w:rsidR="002A0876" w:rsidRPr="002A0876" w14:paraId="58AB4BA0"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32BECF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w:t>
            </w:r>
          </w:p>
        </w:tc>
        <w:tc>
          <w:tcPr>
            <w:tcW w:w="6945" w:type="dxa"/>
            <w:tcBorders>
              <w:top w:val="nil"/>
              <w:left w:val="nil"/>
              <w:bottom w:val="single" w:sz="4" w:space="0" w:color="auto"/>
              <w:right w:val="single" w:sz="4" w:space="0" w:color="auto"/>
            </w:tcBorders>
            <w:shd w:val="clear" w:color="auto" w:fill="auto"/>
            <w:noWrap/>
            <w:vAlign w:val="bottom"/>
            <w:hideMark/>
          </w:tcPr>
          <w:p w14:paraId="172DA1C9"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"Autotransporta direkcija"</w:t>
            </w:r>
          </w:p>
        </w:tc>
        <w:tc>
          <w:tcPr>
            <w:tcW w:w="1985" w:type="dxa"/>
            <w:tcBorders>
              <w:top w:val="nil"/>
              <w:left w:val="nil"/>
              <w:bottom w:val="single" w:sz="4" w:space="0" w:color="auto"/>
              <w:right w:val="single" w:sz="4" w:space="0" w:color="auto"/>
            </w:tcBorders>
            <w:shd w:val="clear" w:color="auto" w:fill="auto"/>
            <w:noWrap/>
            <w:vAlign w:val="bottom"/>
            <w:hideMark/>
          </w:tcPr>
          <w:p w14:paraId="4CA4536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3 936 560</w:t>
            </w:r>
          </w:p>
        </w:tc>
        <w:tc>
          <w:tcPr>
            <w:tcW w:w="1984" w:type="dxa"/>
            <w:tcBorders>
              <w:top w:val="nil"/>
              <w:left w:val="nil"/>
              <w:bottom w:val="single" w:sz="4" w:space="0" w:color="auto"/>
              <w:right w:val="single" w:sz="4" w:space="0" w:color="auto"/>
            </w:tcBorders>
            <w:shd w:val="clear" w:color="auto" w:fill="auto"/>
            <w:noWrap/>
            <w:vAlign w:val="bottom"/>
            <w:hideMark/>
          </w:tcPr>
          <w:p w14:paraId="5720061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3 415 123</w:t>
            </w:r>
          </w:p>
        </w:tc>
        <w:tc>
          <w:tcPr>
            <w:tcW w:w="2127" w:type="dxa"/>
            <w:tcBorders>
              <w:top w:val="nil"/>
              <w:left w:val="nil"/>
              <w:bottom w:val="single" w:sz="4" w:space="0" w:color="auto"/>
              <w:right w:val="single" w:sz="4" w:space="0" w:color="auto"/>
            </w:tcBorders>
            <w:shd w:val="clear" w:color="auto" w:fill="auto"/>
            <w:noWrap/>
            <w:vAlign w:val="bottom"/>
            <w:hideMark/>
          </w:tcPr>
          <w:p w14:paraId="02963CE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521 437</w:t>
            </w:r>
          </w:p>
        </w:tc>
      </w:tr>
      <w:tr w:rsidR="002A0876" w:rsidRPr="002A0876" w14:paraId="35C95CD7"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E810D9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27</w:t>
            </w:r>
          </w:p>
        </w:tc>
        <w:tc>
          <w:tcPr>
            <w:tcW w:w="6945" w:type="dxa"/>
            <w:tcBorders>
              <w:top w:val="nil"/>
              <w:left w:val="nil"/>
              <w:bottom w:val="single" w:sz="4" w:space="0" w:color="auto"/>
              <w:right w:val="single" w:sz="4" w:space="0" w:color="auto"/>
            </w:tcBorders>
            <w:shd w:val="clear" w:color="auto" w:fill="auto"/>
            <w:noWrap/>
            <w:vAlign w:val="bottom"/>
            <w:hideMark/>
          </w:tcPr>
          <w:p w14:paraId="77F27FB7"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autoceļu uzturētājs"</w:t>
            </w:r>
          </w:p>
        </w:tc>
        <w:tc>
          <w:tcPr>
            <w:tcW w:w="1985" w:type="dxa"/>
            <w:tcBorders>
              <w:top w:val="nil"/>
              <w:left w:val="nil"/>
              <w:bottom w:val="single" w:sz="4" w:space="0" w:color="auto"/>
              <w:right w:val="single" w:sz="4" w:space="0" w:color="auto"/>
            </w:tcBorders>
            <w:shd w:val="clear" w:color="auto" w:fill="auto"/>
            <w:noWrap/>
            <w:vAlign w:val="bottom"/>
            <w:hideMark/>
          </w:tcPr>
          <w:p w14:paraId="2D1A7BF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84 047 450</w:t>
            </w:r>
          </w:p>
        </w:tc>
        <w:tc>
          <w:tcPr>
            <w:tcW w:w="1984" w:type="dxa"/>
            <w:tcBorders>
              <w:top w:val="nil"/>
              <w:left w:val="nil"/>
              <w:bottom w:val="single" w:sz="4" w:space="0" w:color="auto"/>
              <w:right w:val="single" w:sz="4" w:space="0" w:color="auto"/>
            </w:tcBorders>
            <w:shd w:val="clear" w:color="auto" w:fill="auto"/>
            <w:noWrap/>
            <w:vAlign w:val="bottom"/>
            <w:hideMark/>
          </w:tcPr>
          <w:p w14:paraId="6C13004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81 743 760</w:t>
            </w:r>
          </w:p>
        </w:tc>
        <w:tc>
          <w:tcPr>
            <w:tcW w:w="2127" w:type="dxa"/>
            <w:tcBorders>
              <w:top w:val="nil"/>
              <w:left w:val="nil"/>
              <w:bottom w:val="single" w:sz="4" w:space="0" w:color="auto"/>
              <w:right w:val="single" w:sz="4" w:space="0" w:color="auto"/>
            </w:tcBorders>
            <w:shd w:val="clear" w:color="auto" w:fill="auto"/>
            <w:noWrap/>
            <w:vAlign w:val="bottom"/>
            <w:hideMark/>
          </w:tcPr>
          <w:p w14:paraId="2FFDC70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2 303 690</w:t>
            </w:r>
          </w:p>
        </w:tc>
      </w:tr>
      <w:tr w:rsidR="002A0876" w:rsidRPr="002A0876" w14:paraId="7F85D466"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8FB834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28</w:t>
            </w:r>
          </w:p>
        </w:tc>
        <w:tc>
          <w:tcPr>
            <w:tcW w:w="6945" w:type="dxa"/>
            <w:tcBorders>
              <w:top w:val="nil"/>
              <w:left w:val="nil"/>
              <w:bottom w:val="single" w:sz="4" w:space="0" w:color="auto"/>
              <w:right w:val="single" w:sz="4" w:space="0" w:color="auto"/>
            </w:tcBorders>
            <w:shd w:val="clear" w:color="auto" w:fill="auto"/>
            <w:noWrap/>
            <w:vAlign w:val="bottom"/>
            <w:hideMark/>
          </w:tcPr>
          <w:p w14:paraId="33E79568"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SIA “Eiropas dzelzceļa līnijas” </w:t>
            </w:r>
          </w:p>
        </w:tc>
        <w:tc>
          <w:tcPr>
            <w:tcW w:w="1985" w:type="dxa"/>
            <w:tcBorders>
              <w:top w:val="nil"/>
              <w:left w:val="nil"/>
              <w:bottom w:val="single" w:sz="4" w:space="0" w:color="auto"/>
              <w:right w:val="single" w:sz="4" w:space="0" w:color="auto"/>
            </w:tcBorders>
            <w:shd w:val="clear" w:color="auto" w:fill="auto"/>
            <w:noWrap/>
            <w:vAlign w:val="bottom"/>
            <w:hideMark/>
          </w:tcPr>
          <w:p w14:paraId="565B781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0E1BFFB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632E3A7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7E052ADA"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C323FD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29</w:t>
            </w:r>
          </w:p>
        </w:tc>
        <w:tc>
          <w:tcPr>
            <w:tcW w:w="6945" w:type="dxa"/>
            <w:tcBorders>
              <w:top w:val="nil"/>
              <w:left w:val="nil"/>
              <w:bottom w:val="single" w:sz="4" w:space="0" w:color="auto"/>
              <w:right w:val="single" w:sz="4" w:space="0" w:color="auto"/>
            </w:tcBorders>
            <w:shd w:val="clear" w:color="auto" w:fill="auto"/>
            <w:noWrap/>
            <w:vAlign w:val="bottom"/>
            <w:hideMark/>
          </w:tcPr>
          <w:p w14:paraId="3EC825CC"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“Zemkopības ministrijas nekustamie īpašumi”</w:t>
            </w:r>
          </w:p>
        </w:tc>
        <w:tc>
          <w:tcPr>
            <w:tcW w:w="1985" w:type="dxa"/>
            <w:tcBorders>
              <w:top w:val="nil"/>
              <w:left w:val="nil"/>
              <w:bottom w:val="single" w:sz="4" w:space="0" w:color="auto"/>
              <w:right w:val="single" w:sz="4" w:space="0" w:color="auto"/>
            </w:tcBorders>
            <w:shd w:val="clear" w:color="auto" w:fill="auto"/>
            <w:noWrap/>
            <w:vAlign w:val="bottom"/>
            <w:hideMark/>
          </w:tcPr>
          <w:p w14:paraId="1F5EE54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2 177 000</w:t>
            </w:r>
          </w:p>
        </w:tc>
        <w:tc>
          <w:tcPr>
            <w:tcW w:w="1984" w:type="dxa"/>
            <w:tcBorders>
              <w:top w:val="nil"/>
              <w:left w:val="nil"/>
              <w:bottom w:val="single" w:sz="4" w:space="0" w:color="auto"/>
              <w:right w:val="single" w:sz="4" w:space="0" w:color="auto"/>
            </w:tcBorders>
            <w:shd w:val="clear" w:color="auto" w:fill="auto"/>
            <w:noWrap/>
            <w:vAlign w:val="bottom"/>
            <w:hideMark/>
          </w:tcPr>
          <w:p w14:paraId="168E399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2 120 000</w:t>
            </w:r>
          </w:p>
        </w:tc>
        <w:tc>
          <w:tcPr>
            <w:tcW w:w="2127" w:type="dxa"/>
            <w:tcBorders>
              <w:top w:val="nil"/>
              <w:left w:val="nil"/>
              <w:bottom w:val="single" w:sz="4" w:space="0" w:color="auto"/>
              <w:right w:val="single" w:sz="4" w:space="0" w:color="auto"/>
            </w:tcBorders>
            <w:shd w:val="clear" w:color="auto" w:fill="auto"/>
            <w:noWrap/>
            <w:vAlign w:val="bottom"/>
            <w:hideMark/>
          </w:tcPr>
          <w:p w14:paraId="6944588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57 000</w:t>
            </w:r>
          </w:p>
        </w:tc>
      </w:tr>
      <w:tr w:rsidR="002A0876" w:rsidRPr="002A0876" w14:paraId="3BE0D6D6"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749D80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w:t>
            </w:r>
          </w:p>
        </w:tc>
        <w:tc>
          <w:tcPr>
            <w:tcW w:w="6945" w:type="dxa"/>
            <w:tcBorders>
              <w:top w:val="nil"/>
              <w:left w:val="nil"/>
              <w:bottom w:val="single" w:sz="4" w:space="0" w:color="auto"/>
              <w:right w:val="single" w:sz="4" w:space="0" w:color="auto"/>
            </w:tcBorders>
            <w:shd w:val="clear" w:color="auto" w:fill="auto"/>
            <w:noWrap/>
            <w:vAlign w:val="bottom"/>
            <w:hideMark/>
          </w:tcPr>
          <w:p w14:paraId="56F1F8BC"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Proves birojs”</w:t>
            </w:r>
          </w:p>
        </w:tc>
        <w:tc>
          <w:tcPr>
            <w:tcW w:w="1985" w:type="dxa"/>
            <w:tcBorders>
              <w:top w:val="nil"/>
              <w:left w:val="nil"/>
              <w:bottom w:val="single" w:sz="4" w:space="0" w:color="auto"/>
              <w:right w:val="single" w:sz="4" w:space="0" w:color="auto"/>
            </w:tcBorders>
            <w:shd w:val="clear" w:color="auto" w:fill="auto"/>
            <w:noWrap/>
            <w:vAlign w:val="bottom"/>
            <w:hideMark/>
          </w:tcPr>
          <w:p w14:paraId="1BE01CD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454 500</w:t>
            </w:r>
          </w:p>
        </w:tc>
        <w:tc>
          <w:tcPr>
            <w:tcW w:w="1984" w:type="dxa"/>
            <w:tcBorders>
              <w:top w:val="nil"/>
              <w:left w:val="nil"/>
              <w:bottom w:val="single" w:sz="4" w:space="0" w:color="auto"/>
              <w:right w:val="single" w:sz="4" w:space="0" w:color="auto"/>
            </w:tcBorders>
            <w:shd w:val="clear" w:color="auto" w:fill="auto"/>
            <w:noWrap/>
            <w:vAlign w:val="bottom"/>
            <w:hideMark/>
          </w:tcPr>
          <w:p w14:paraId="7FC0189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531 022</w:t>
            </w:r>
          </w:p>
        </w:tc>
        <w:tc>
          <w:tcPr>
            <w:tcW w:w="2127" w:type="dxa"/>
            <w:tcBorders>
              <w:top w:val="nil"/>
              <w:left w:val="nil"/>
              <w:bottom w:val="single" w:sz="4" w:space="0" w:color="auto"/>
              <w:right w:val="single" w:sz="4" w:space="0" w:color="auto"/>
            </w:tcBorders>
            <w:shd w:val="clear" w:color="auto" w:fill="auto"/>
            <w:noWrap/>
            <w:vAlign w:val="bottom"/>
            <w:hideMark/>
          </w:tcPr>
          <w:p w14:paraId="077C053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-76 522</w:t>
            </w:r>
          </w:p>
        </w:tc>
      </w:tr>
      <w:tr w:rsidR="002A0876" w:rsidRPr="002A0876" w14:paraId="2B9A3FD6"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B9EB10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w:t>
            </w:r>
          </w:p>
        </w:tc>
        <w:tc>
          <w:tcPr>
            <w:tcW w:w="6945" w:type="dxa"/>
            <w:tcBorders>
              <w:top w:val="nil"/>
              <w:left w:val="nil"/>
              <w:bottom w:val="single" w:sz="4" w:space="0" w:color="auto"/>
              <w:right w:val="single" w:sz="4" w:space="0" w:color="auto"/>
            </w:tcBorders>
            <w:shd w:val="clear" w:color="auto" w:fill="auto"/>
            <w:noWrap/>
            <w:vAlign w:val="bottom"/>
            <w:hideMark/>
          </w:tcPr>
          <w:p w14:paraId="51F91DFF"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"Latvijas standarts"</w:t>
            </w:r>
          </w:p>
        </w:tc>
        <w:tc>
          <w:tcPr>
            <w:tcW w:w="1985" w:type="dxa"/>
            <w:tcBorders>
              <w:top w:val="nil"/>
              <w:left w:val="nil"/>
              <w:bottom w:val="single" w:sz="4" w:space="0" w:color="auto"/>
              <w:right w:val="single" w:sz="4" w:space="0" w:color="auto"/>
            </w:tcBorders>
            <w:shd w:val="clear" w:color="auto" w:fill="auto"/>
            <w:noWrap/>
            <w:vAlign w:val="bottom"/>
            <w:hideMark/>
          </w:tcPr>
          <w:p w14:paraId="5D00A70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336 551</w:t>
            </w:r>
          </w:p>
        </w:tc>
        <w:tc>
          <w:tcPr>
            <w:tcW w:w="1984" w:type="dxa"/>
            <w:tcBorders>
              <w:top w:val="nil"/>
              <w:left w:val="nil"/>
              <w:bottom w:val="single" w:sz="4" w:space="0" w:color="auto"/>
              <w:right w:val="single" w:sz="4" w:space="0" w:color="auto"/>
            </w:tcBorders>
            <w:shd w:val="clear" w:color="auto" w:fill="auto"/>
            <w:noWrap/>
            <w:vAlign w:val="bottom"/>
            <w:hideMark/>
          </w:tcPr>
          <w:p w14:paraId="7D14F79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304 806</w:t>
            </w:r>
          </w:p>
        </w:tc>
        <w:tc>
          <w:tcPr>
            <w:tcW w:w="2127" w:type="dxa"/>
            <w:tcBorders>
              <w:top w:val="nil"/>
              <w:left w:val="nil"/>
              <w:bottom w:val="single" w:sz="4" w:space="0" w:color="auto"/>
              <w:right w:val="single" w:sz="4" w:space="0" w:color="auto"/>
            </w:tcBorders>
            <w:shd w:val="clear" w:color="auto" w:fill="auto"/>
            <w:noWrap/>
            <w:vAlign w:val="bottom"/>
            <w:hideMark/>
          </w:tcPr>
          <w:p w14:paraId="286AFDE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31 745</w:t>
            </w:r>
          </w:p>
        </w:tc>
      </w:tr>
      <w:tr w:rsidR="002A0876" w:rsidRPr="002A0876" w14:paraId="20D8C79B"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78FB6D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32</w:t>
            </w:r>
          </w:p>
        </w:tc>
        <w:tc>
          <w:tcPr>
            <w:tcW w:w="6945" w:type="dxa"/>
            <w:tcBorders>
              <w:top w:val="nil"/>
              <w:left w:val="nil"/>
              <w:bottom w:val="single" w:sz="4" w:space="0" w:color="auto"/>
              <w:right w:val="single" w:sz="4" w:space="0" w:color="auto"/>
            </w:tcBorders>
            <w:shd w:val="clear" w:color="auto" w:fill="auto"/>
            <w:noWrap/>
            <w:vAlign w:val="bottom"/>
            <w:hideMark/>
          </w:tcPr>
          <w:p w14:paraId="3F65C4CC"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"Hiponia"</w:t>
            </w:r>
          </w:p>
        </w:tc>
        <w:tc>
          <w:tcPr>
            <w:tcW w:w="1985" w:type="dxa"/>
            <w:tcBorders>
              <w:top w:val="nil"/>
              <w:left w:val="nil"/>
              <w:bottom w:val="single" w:sz="4" w:space="0" w:color="auto"/>
              <w:right w:val="single" w:sz="4" w:space="0" w:color="auto"/>
            </w:tcBorders>
            <w:shd w:val="clear" w:color="auto" w:fill="auto"/>
            <w:noWrap/>
            <w:vAlign w:val="bottom"/>
            <w:hideMark/>
          </w:tcPr>
          <w:p w14:paraId="3E3BA18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10B05C3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58CF395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59EC7C4F"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76E53D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w:t>
            </w:r>
          </w:p>
        </w:tc>
        <w:tc>
          <w:tcPr>
            <w:tcW w:w="6945" w:type="dxa"/>
            <w:tcBorders>
              <w:top w:val="nil"/>
              <w:left w:val="nil"/>
              <w:bottom w:val="single" w:sz="4" w:space="0" w:color="auto"/>
              <w:right w:val="single" w:sz="4" w:space="0" w:color="auto"/>
            </w:tcBorders>
            <w:shd w:val="clear" w:color="auto" w:fill="auto"/>
            <w:noWrap/>
            <w:vAlign w:val="bottom"/>
            <w:hideMark/>
          </w:tcPr>
          <w:p w14:paraId="1E92FA02"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"Reverta"</w:t>
            </w:r>
          </w:p>
        </w:tc>
        <w:tc>
          <w:tcPr>
            <w:tcW w:w="1985" w:type="dxa"/>
            <w:tcBorders>
              <w:top w:val="nil"/>
              <w:left w:val="nil"/>
              <w:bottom w:val="single" w:sz="4" w:space="0" w:color="auto"/>
              <w:right w:val="single" w:sz="4" w:space="0" w:color="auto"/>
            </w:tcBorders>
            <w:shd w:val="clear" w:color="auto" w:fill="auto"/>
            <w:noWrap/>
            <w:vAlign w:val="bottom"/>
            <w:hideMark/>
          </w:tcPr>
          <w:p w14:paraId="078DDA3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67F978B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68993E0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53474EEF"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069DBA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w:t>
            </w:r>
          </w:p>
        </w:tc>
        <w:tc>
          <w:tcPr>
            <w:tcW w:w="6945" w:type="dxa"/>
            <w:tcBorders>
              <w:top w:val="nil"/>
              <w:left w:val="nil"/>
              <w:bottom w:val="single" w:sz="4" w:space="0" w:color="auto"/>
              <w:right w:val="single" w:sz="4" w:space="0" w:color="auto"/>
            </w:tcBorders>
            <w:shd w:val="clear" w:color="auto" w:fill="auto"/>
            <w:noWrap/>
            <w:vAlign w:val="bottom"/>
            <w:hideMark/>
          </w:tcPr>
          <w:p w14:paraId="581BB622"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"FeLM"</w:t>
            </w:r>
          </w:p>
        </w:tc>
        <w:tc>
          <w:tcPr>
            <w:tcW w:w="1985" w:type="dxa"/>
            <w:tcBorders>
              <w:top w:val="nil"/>
              <w:left w:val="nil"/>
              <w:bottom w:val="single" w:sz="4" w:space="0" w:color="auto"/>
              <w:right w:val="single" w:sz="4" w:space="0" w:color="auto"/>
            </w:tcBorders>
            <w:shd w:val="clear" w:color="auto" w:fill="auto"/>
            <w:noWrap/>
            <w:vAlign w:val="bottom"/>
            <w:hideMark/>
          </w:tcPr>
          <w:p w14:paraId="3A271FD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09FDBE7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667FE37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3CADFE0E"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1AC11D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35</w:t>
            </w:r>
          </w:p>
        </w:tc>
        <w:tc>
          <w:tcPr>
            <w:tcW w:w="6945" w:type="dxa"/>
            <w:tcBorders>
              <w:top w:val="nil"/>
              <w:left w:val="nil"/>
              <w:bottom w:val="single" w:sz="4" w:space="0" w:color="auto"/>
              <w:right w:val="single" w:sz="4" w:space="0" w:color="auto"/>
            </w:tcBorders>
            <w:shd w:val="clear" w:color="auto" w:fill="auto"/>
            <w:noWrap/>
            <w:vAlign w:val="bottom"/>
            <w:hideMark/>
          </w:tcPr>
          <w:p w14:paraId="71348DD0"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“Publisko aktīvu pārvaldītājs Possessor”</w:t>
            </w:r>
          </w:p>
        </w:tc>
        <w:tc>
          <w:tcPr>
            <w:tcW w:w="1985" w:type="dxa"/>
            <w:tcBorders>
              <w:top w:val="nil"/>
              <w:left w:val="nil"/>
              <w:bottom w:val="single" w:sz="4" w:space="0" w:color="auto"/>
              <w:right w:val="single" w:sz="4" w:space="0" w:color="auto"/>
            </w:tcBorders>
            <w:shd w:val="clear" w:color="auto" w:fill="auto"/>
            <w:noWrap/>
            <w:vAlign w:val="bottom"/>
            <w:hideMark/>
          </w:tcPr>
          <w:p w14:paraId="08314D6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2 170 960</w:t>
            </w:r>
          </w:p>
        </w:tc>
        <w:tc>
          <w:tcPr>
            <w:tcW w:w="1984" w:type="dxa"/>
            <w:tcBorders>
              <w:top w:val="nil"/>
              <w:left w:val="nil"/>
              <w:bottom w:val="single" w:sz="4" w:space="0" w:color="auto"/>
              <w:right w:val="single" w:sz="4" w:space="0" w:color="auto"/>
            </w:tcBorders>
            <w:shd w:val="clear" w:color="auto" w:fill="auto"/>
            <w:noWrap/>
            <w:vAlign w:val="bottom"/>
            <w:hideMark/>
          </w:tcPr>
          <w:p w14:paraId="6672AD4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2 582 537</w:t>
            </w:r>
          </w:p>
        </w:tc>
        <w:tc>
          <w:tcPr>
            <w:tcW w:w="2127" w:type="dxa"/>
            <w:tcBorders>
              <w:top w:val="nil"/>
              <w:left w:val="nil"/>
              <w:bottom w:val="single" w:sz="4" w:space="0" w:color="auto"/>
              <w:right w:val="single" w:sz="4" w:space="0" w:color="auto"/>
            </w:tcBorders>
            <w:shd w:val="clear" w:color="auto" w:fill="auto"/>
            <w:noWrap/>
            <w:vAlign w:val="bottom"/>
            <w:hideMark/>
          </w:tcPr>
          <w:p w14:paraId="586F30B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-411 576</w:t>
            </w:r>
          </w:p>
        </w:tc>
      </w:tr>
      <w:tr w:rsidR="002A0876" w:rsidRPr="002A0876" w14:paraId="754AA9CA"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9F843C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36</w:t>
            </w:r>
          </w:p>
        </w:tc>
        <w:tc>
          <w:tcPr>
            <w:tcW w:w="6945" w:type="dxa"/>
            <w:tcBorders>
              <w:top w:val="nil"/>
              <w:left w:val="nil"/>
              <w:bottom w:val="single" w:sz="4" w:space="0" w:color="auto"/>
              <w:right w:val="single" w:sz="4" w:space="0" w:color="auto"/>
            </w:tcBorders>
            <w:shd w:val="clear" w:color="auto" w:fill="auto"/>
            <w:noWrap/>
            <w:vAlign w:val="bottom"/>
            <w:hideMark/>
          </w:tcPr>
          <w:p w14:paraId="444D7B04"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"REAP"</w:t>
            </w:r>
          </w:p>
        </w:tc>
        <w:tc>
          <w:tcPr>
            <w:tcW w:w="1985" w:type="dxa"/>
            <w:tcBorders>
              <w:top w:val="nil"/>
              <w:left w:val="nil"/>
              <w:bottom w:val="single" w:sz="4" w:space="0" w:color="auto"/>
              <w:right w:val="single" w:sz="4" w:space="0" w:color="auto"/>
            </w:tcBorders>
            <w:shd w:val="clear" w:color="auto" w:fill="auto"/>
            <w:noWrap/>
            <w:vAlign w:val="bottom"/>
            <w:hideMark/>
          </w:tcPr>
          <w:p w14:paraId="6B75322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0A12CD8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0E6289B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65EB214C"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C60A8F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37</w:t>
            </w:r>
          </w:p>
        </w:tc>
        <w:tc>
          <w:tcPr>
            <w:tcW w:w="6945" w:type="dxa"/>
            <w:tcBorders>
              <w:top w:val="nil"/>
              <w:left w:val="nil"/>
              <w:bottom w:val="single" w:sz="4" w:space="0" w:color="auto"/>
              <w:right w:val="single" w:sz="4" w:space="0" w:color="auto"/>
            </w:tcBorders>
            <w:shd w:val="clear" w:color="auto" w:fill="auto"/>
            <w:noWrap/>
            <w:vAlign w:val="bottom"/>
            <w:hideMark/>
          </w:tcPr>
          <w:p w14:paraId="333DD116"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„Enerģijas publiskais tirgotājs”</w:t>
            </w:r>
          </w:p>
        </w:tc>
        <w:tc>
          <w:tcPr>
            <w:tcW w:w="1985" w:type="dxa"/>
            <w:tcBorders>
              <w:top w:val="nil"/>
              <w:left w:val="nil"/>
              <w:bottom w:val="single" w:sz="4" w:space="0" w:color="auto"/>
              <w:right w:val="single" w:sz="4" w:space="0" w:color="auto"/>
            </w:tcBorders>
            <w:shd w:val="clear" w:color="auto" w:fill="auto"/>
            <w:noWrap/>
            <w:vAlign w:val="bottom"/>
            <w:hideMark/>
          </w:tcPr>
          <w:p w14:paraId="658B00E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126 052 563</w:t>
            </w:r>
          </w:p>
        </w:tc>
        <w:tc>
          <w:tcPr>
            <w:tcW w:w="1984" w:type="dxa"/>
            <w:tcBorders>
              <w:top w:val="nil"/>
              <w:left w:val="nil"/>
              <w:bottom w:val="single" w:sz="4" w:space="0" w:color="auto"/>
              <w:right w:val="single" w:sz="4" w:space="0" w:color="auto"/>
            </w:tcBorders>
            <w:shd w:val="clear" w:color="auto" w:fill="auto"/>
            <w:noWrap/>
            <w:vAlign w:val="bottom"/>
            <w:hideMark/>
          </w:tcPr>
          <w:p w14:paraId="20AF45F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128 624 683</w:t>
            </w:r>
          </w:p>
        </w:tc>
        <w:tc>
          <w:tcPr>
            <w:tcW w:w="2127" w:type="dxa"/>
            <w:tcBorders>
              <w:top w:val="nil"/>
              <w:left w:val="nil"/>
              <w:bottom w:val="single" w:sz="4" w:space="0" w:color="auto"/>
              <w:right w:val="single" w:sz="4" w:space="0" w:color="auto"/>
            </w:tcBorders>
            <w:shd w:val="clear" w:color="auto" w:fill="auto"/>
            <w:noWrap/>
            <w:vAlign w:val="bottom"/>
            <w:hideMark/>
          </w:tcPr>
          <w:p w14:paraId="7F1BBB3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-2 572 120</w:t>
            </w:r>
          </w:p>
        </w:tc>
      </w:tr>
      <w:tr w:rsidR="002A0876" w:rsidRPr="002A0876" w14:paraId="004E5BF8"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869507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38</w:t>
            </w:r>
          </w:p>
        </w:tc>
        <w:tc>
          <w:tcPr>
            <w:tcW w:w="6945" w:type="dxa"/>
            <w:tcBorders>
              <w:top w:val="nil"/>
              <w:left w:val="nil"/>
              <w:bottom w:val="single" w:sz="4" w:space="0" w:color="auto"/>
              <w:right w:val="single" w:sz="4" w:space="0" w:color="auto"/>
            </w:tcBorders>
            <w:shd w:val="clear" w:color="auto" w:fill="auto"/>
            <w:noWrap/>
            <w:vAlign w:val="bottom"/>
            <w:hideMark/>
          </w:tcPr>
          <w:p w14:paraId="4B41396D"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“Bobsleja un kamaniņu trase”</w:t>
            </w:r>
          </w:p>
        </w:tc>
        <w:tc>
          <w:tcPr>
            <w:tcW w:w="1985" w:type="dxa"/>
            <w:tcBorders>
              <w:top w:val="nil"/>
              <w:left w:val="nil"/>
              <w:bottom w:val="single" w:sz="4" w:space="0" w:color="auto"/>
              <w:right w:val="single" w:sz="4" w:space="0" w:color="auto"/>
            </w:tcBorders>
            <w:shd w:val="clear" w:color="auto" w:fill="auto"/>
            <w:noWrap/>
            <w:vAlign w:val="bottom"/>
            <w:hideMark/>
          </w:tcPr>
          <w:p w14:paraId="2044F40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700 000</w:t>
            </w:r>
          </w:p>
        </w:tc>
        <w:tc>
          <w:tcPr>
            <w:tcW w:w="1984" w:type="dxa"/>
            <w:tcBorders>
              <w:top w:val="nil"/>
              <w:left w:val="nil"/>
              <w:bottom w:val="single" w:sz="4" w:space="0" w:color="auto"/>
              <w:right w:val="single" w:sz="4" w:space="0" w:color="auto"/>
            </w:tcBorders>
            <w:shd w:val="clear" w:color="auto" w:fill="auto"/>
            <w:noWrap/>
            <w:vAlign w:val="bottom"/>
            <w:hideMark/>
          </w:tcPr>
          <w:p w14:paraId="1052537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557 000</w:t>
            </w:r>
          </w:p>
        </w:tc>
        <w:tc>
          <w:tcPr>
            <w:tcW w:w="2127" w:type="dxa"/>
            <w:tcBorders>
              <w:top w:val="nil"/>
              <w:left w:val="nil"/>
              <w:bottom w:val="single" w:sz="4" w:space="0" w:color="auto"/>
              <w:right w:val="single" w:sz="4" w:space="0" w:color="auto"/>
            </w:tcBorders>
            <w:shd w:val="clear" w:color="auto" w:fill="auto"/>
            <w:noWrap/>
            <w:vAlign w:val="bottom"/>
            <w:hideMark/>
          </w:tcPr>
          <w:p w14:paraId="4158A21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143 000</w:t>
            </w:r>
          </w:p>
        </w:tc>
      </w:tr>
      <w:tr w:rsidR="002A0876" w:rsidRPr="002A0876" w14:paraId="0806A92F"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92ADAE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39</w:t>
            </w:r>
          </w:p>
        </w:tc>
        <w:tc>
          <w:tcPr>
            <w:tcW w:w="6945" w:type="dxa"/>
            <w:tcBorders>
              <w:top w:val="nil"/>
              <w:left w:val="nil"/>
              <w:bottom w:val="single" w:sz="4" w:space="0" w:color="auto"/>
              <w:right w:val="single" w:sz="4" w:space="0" w:color="auto"/>
            </w:tcBorders>
            <w:shd w:val="clear" w:color="auto" w:fill="auto"/>
            <w:noWrap/>
            <w:vAlign w:val="bottom"/>
            <w:hideMark/>
          </w:tcPr>
          <w:p w14:paraId="5C1C0D3B"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"Rīgas Tūrisma un radošās industrijas tehnikums"</w:t>
            </w:r>
          </w:p>
        </w:tc>
        <w:tc>
          <w:tcPr>
            <w:tcW w:w="1985" w:type="dxa"/>
            <w:tcBorders>
              <w:top w:val="nil"/>
              <w:left w:val="nil"/>
              <w:bottom w:val="single" w:sz="4" w:space="0" w:color="auto"/>
              <w:right w:val="single" w:sz="4" w:space="0" w:color="auto"/>
            </w:tcBorders>
            <w:shd w:val="clear" w:color="auto" w:fill="auto"/>
            <w:noWrap/>
            <w:vAlign w:val="bottom"/>
            <w:hideMark/>
          </w:tcPr>
          <w:p w14:paraId="3B3485B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600 000</w:t>
            </w:r>
          </w:p>
        </w:tc>
        <w:tc>
          <w:tcPr>
            <w:tcW w:w="1984" w:type="dxa"/>
            <w:tcBorders>
              <w:top w:val="nil"/>
              <w:left w:val="nil"/>
              <w:bottom w:val="single" w:sz="4" w:space="0" w:color="auto"/>
              <w:right w:val="single" w:sz="4" w:space="0" w:color="auto"/>
            </w:tcBorders>
            <w:shd w:val="clear" w:color="auto" w:fill="auto"/>
            <w:noWrap/>
            <w:vAlign w:val="bottom"/>
            <w:hideMark/>
          </w:tcPr>
          <w:p w14:paraId="68F9E1C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584 870</w:t>
            </w:r>
          </w:p>
        </w:tc>
        <w:tc>
          <w:tcPr>
            <w:tcW w:w="2127" w:type="dxa"/>
            <w:tcBorders>
              <w:top w:val="nil"/>
              <w:left w:val="nil"/>
              <w:bottom w:val="single" w:sz="4" w:space="0" w:color="auto"/>
              <w:right w:val="single" w:sz="4" w:space="0" w:color="auto"/>
            </w:tcBorders>
            <w:shd w:val="clear" w:color="auto" w:fill="auto"/>
            <w:noWrap/>
            <w:vAlign w:val="bottom"/>
            <w:hideMark/>
          </w:tcPr>
          <w:p w14:paraId="55570FD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15 130</w:t>
            </w:r>
          </w:p>
        </w:tc>
      </w:tr>
      <w:tr w:rsidR="002A0876" w:rsidRPr="002A0876" w14:paraId="140129AB"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29524E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40</w:t>
            </w:r>
          </w:p>
        </w:tc>
        <w:tc>
          <w:tcPr>
            <w:tcW w:w="6945" w:type="dxa"/>
            <w:tcBorders>
              <w:top w:val="nil"/>
              <w:left w:val="nil"/>
              <w:bottom w:val="single" w:sz="4" w:space="0" w:color="auto"/>
              <w:right w:val="single" w:sz="4" w:space="0" w:color="auto"/>
            </w:tcBorders>
            <w:shd w:val="clear" w:color="auto" w:fill="auto"/>
            <w:noWrap/>
            <w:vAlign w:val="bottom"/>
            <w:hideMark/>
          </w:tcPr>
          <w:p w14:paraId="2EB56791"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"Kultūras un sporta centrs "Daugavas stadions""</w:t>
            </w:r>
          </w:p>
        </w:tc>
        <w:tc>
          <w:tcPr>
            <w:tcW w:w="1985" w:type="dxa"/>
            <w:tcBorders>
              <w:top w:val="nil"/>
              <w:left w:val="nil"/>
              <w:bottom w:val="single" w:sz="4" w:space="0" w:color="auto"/>
              <w:right w:val="single" w:sz="4" w:space="0" w:color="auto"/>
            </w:tcBorders>
            <w:shd w:val="clear" w:color="auto" w:fill="auto"/>
            <w:noWrap/>
            <w:vAlign w:val="bottom"/>
            <w:hideMark/>
          </w:tcPr>
          <w:p w14:paraId="0053019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2 127 820</w:t>
            </w:r>
          </w:p>
        </w:tc>
        <w:tc>
          <w:tcPr>
            <w:tcW w:w="1984" w:type="dxa"/>
            <w:tcBorders>
              <w:top w:val="nil"/>
              <w:left w:val="nil"/>
              <w:bottom w:val="single" w:sz="4" w:space="0" w:color="auto"/>
              <w:right w:val="single" w:sz="4" w:space="0" w:color="auto"/>
            </w:tcBorders>
            <w:shd w:val="clear" w:color="auto" w:fill="auto"/>
            <w:noWrap/>
            <w:vAlign w:val="bottom"/>
            <w:hideMark/>
          </w:tcPr>
          <w:p w14:paraId="0B71D00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1 120 175</w:t>
            </w:r>
          </w:p>
        </w:tc>
        <w:tc>
          <w:tcPr>
            <w:tcW w:w="2127" w:type="dxa"/>
            <w:tcBorders>
              <w:top w:val="nil"/>
              <w:left w:val="nil"/>
              <w:bottom w:val="single" w:sz="4" w:space="0" w:color="auto"/>
              <w:right w:val="single" w:sz="4" w:space="0" w:color="auto"/>
            </w:tcBorders>
            <w:shd w:val="clear" w:color="auto" w:fill="auto"/>
            <w:noWrap/>
            <w:vAlign w:val="bottom"/>
            <w:hideMark/>
          </w:tcPr>
          <w:p w14:paraId="2845ACC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1 007 646</w:t>
            </w:r>
          </w:p>
        </w:tc>
      </w:tr>
      <w:tr w:rsidR="002A0876" w:rsidRPr="002A0876" w14:paraId="23D6EC52"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BA84D3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41</w:t>
            </w:r>
          </w:p>
        </w:tc>
        <w:tc>
          <w:tcPr>
            <w:tcW w:w="6945" w:type="dxa"/>
            <w:tcBorders>
              <w:top w:val="nil"/>
              <w:left w:val="nil"/>
              <w:bottom w:val="single" w:sz="4" w:space="0" w:color="auto"/>
              <w:right w:val="single" w:sz="4" w:space="0" w:color="auto"/>
            </w:tcBorders>
            <w:shd w:val="clear" w:color="auto" w:fill="auto"/>
            <w:noWrap/>
            <w:vAlign w:val="bottom"/>
            <w:hideMark/>
          </w:tcPr>
          <w:p w14:paraId="52A803A0"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SIA "Lielstraupes pils" </w:t>
            </w:r>
          </w:p>
        </w:tc>
        <w:tc>
          <w:tcPr>
            <w:tcW w:w="1985" w:type="dxa"/>
            <w:tcBorders>
              <w:top w:val="nil"/>
              <w:left w:val="nil"/>
              <w:bottom w:val="single" w:sz="4" w:space="0" w:color="auto"/>
              <w:right w:val="single" w:sz="4" w:space="0" w:color="auto"/>
            </w:tcBorders>
            <w:shd w:val="clear" w:color="auto" w:fill="auto"/>
            <w:noWrap/>
            <w:vAlign w:val="bottom"/>
            <w:hideMark/>
          </w:tcPr>
          <w:p w14:paraId="129FE6E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1B692E7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2D2948B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34772245"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734D1D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42</w:t>
            </w:r>
          </w:p>
        </w:tc>
        <w:tc>
          <w:tcPr>
            <w:tcW w:w="6945" w:type="dxa"/>
            <w:tcBorders>
              <w:top w:val="nil"/>
              <w:left w:val="nil"/>
              <w:bottom w:val="single" w:sz="4" w:space="0" w:color="auto"/>
              <w:right w:val="single" w:sz="4" w:space="0" w:color="auto"/>
            </w:tcBorders>
            <w:shd w:val="clear" w:color="auto" w:fill="auto"/>
            <w:noWrap/>
            <w:vAlign w:val="bottom"/>
            <w:hideMark/>
          </w:tcPr>
          <w:p w14:paraId="10630CF6"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"Veselības centra "Biķernieki""</w:t>
            </w:r>
          </w:p>
        </w:tc>
        <w:tc>
          <w:tcPr>
            <w:tcW w:w="1985" w:type="dxa"/>
            <w:tcBorders>
              <w:top w:val="nil"/>
              <w:left w:val="nil"/>
              <w:bottom w:val="single" w:sz="4" w:space="0" w:color="auto"/>
              <w:right w:val="single" w:sz="4" w:space="0" w:color="auto"/>
            </w:tcBorders>
            <w:shd w:val="clear" w:color="auto" w:fill="auto"/>
            <w:noWrap/>
            <w:vAlign w:val="bottom"/>
            <w:hideMark/>
          </w:tcPr>
          <w:p w14:paraId="42F4E36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2 044 560</w:t>
            </w:r>
          </w:p>
        </w:tc>
        <w:tc>
          <w:tcPr>
            <w:tcW w:w="1984" w:type="dxa"/>
            <w:tcBorders>
              <w:top w:val="nil"/>
              <w:left w:val="nil"/>
              <w:bottom w:val="single" w:sz="4" w:space="0" w:color="auto"/>
              <w:right w:val="single" w:sz="4" w:space="0" w:color="auto"/>
            </w:tcBorders>
            <w:shd w:val="clear" w:color="auto" w:fill="auto"/>
            <w:noWrap/>
            <w:vAlign w:val="bottom"/>
            <w:hideMark/>
          </w:tcPr>
          <w:p w14:paraId="47C4BC6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2 025 018</w:t>
            </w:r>
          </w:p>
        </w:tc>
        <w:tc>
          <w:tcPr>
            <w:tcW w:w="2127" w:type="dxa"/>
            <w:tcBorders>
              <w:top w:val="nil"/>
              <w:left w:val="nil"/>
              <w:bottom w:val="single" w:sz="4" w:space="0" w:color="auto"/>
              <w:right w:val="single" w:sz="4" w:space="0" w:color="auto"/>
            </w:tcBorders>
            <w:shd w:val="clear" w:color="auto" w:fill="auto"/>
            <w:noWrap/>
            <w:vAlign w:val="bottom"/>
            <w:hideMark/>
          </w:tcPr>
          <w:p w14:paraId="617DDC3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19 542</w:t>
            </w:r>
          </w:p>
        </w:tc>
      </w:tr>
      <w:tr w:rsidR="002A0876" w:rsidRPr="002A0876" w14:paraId="0D6F9652"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96A928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43</w:t>
            </w:r>
          </w:p>
        </w:tc>
        <w:tc>
          <w:tcPr>
            <w:tcW w:w="6945" w:type="dxa"/>
            <w:tcBorders>
              <w:top w:val="nil"/>
              <w:left w:val="nil"/>
              <w:bottom w:val="single" w:sz="4" w:space="0" w:color="auto"/>
              <w:right w:val="single" w:sz="4" w:space="0" w:color="auto"/>
            </w:tcBorders>
            <w:shd w:val="clear" w:color="auto" w:fill="auto"/>
            <w:noWrap/>
            <w:vAlign w:val="bottom"/>
            <w:hideMark/>
          </w:tcPr>
          <w:p w14:paraId="6884EAC2"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"Ludzas medicīnas centrs"</w:t>
            </w:r>
          </w:p>
        </w:tc>
        <w:tc>
          <w:tcPr>
            <w:tcW w:w="1985" w:type="dxa"/>
            <w:tcBorders>
              <w:top w:val="nil"/>
              <w:left w:val="nil"/>
              <w:bottom w:val="single" w:sz="4" w:space="0" w:color="auto"/>
              <w:right w:val="single" w:sz="4" w:space="0" w:color="auto"/>
            </w:tcBorders>
            <w:shd w:val="clear" w:color="auto" w:fill="auto"/>
            <w:noWrap/>
            <w:vAlign w:val="bottom"/>
            <w:hideMark/>
          </w:tcPr>
          <w:p w14:paraId="4E2F15E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3 580 000</w:t>
            </w:r>
          </w:p>
        </w:tc>
        <w:tc>
          <w:tcPr>
            <w:tcW w:w="1984" w:type="dxa"/>
            <w:tcBorders>
              <w:top w:val="nil"/>
              <w:left w:val="nil"/>
              <w:bottom w:val="single" w:sz="4" w:space="0" w:color="auto"/>
              <w:right w:val="single" w:sz="4" w:space="0" w:color="auto"/>
            </w:tcBorders>
            <w:shd w:val="clear" w:color="auto" w:fill="auto"/>
            <w:noWrap/>
            <w:vAlign w:val="bottom"/>
            <w:hideMark/>
          </w:tcPr>
          <w:p w14:paraId="7F6726C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3 380 000</w:t>
            </w:r>
          </w:p>
        </w:tc>
        <w:tc>
          <w:tcPr>
            <w:tcW w:w="2127" w:type="dxa"/>
            <w:tcBorders>
              <w:top w:val="nil"/>
              <w:left w:val="nil"/>
              <w:bottom w:val="single" w:sz="4" w:space="0" w:color="auto"/>
              <w:right w:val="single" w:sz="4" w:space="0" w:color="auto"/>
            </w:tcBorders>
            <w:shd w:val="clear" w:color="auto" w:fill="auto"/>
            <w:noWrap/>
            <w:vAlign w:val="bottom"/>
            <w:hideMark/>
          </w:tcPr>
          <w:p w14:paraId="3348DDB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200 000</w:t>
            </w:r>
          </w:p>
        </w:tc>
      </w:tr>
      <w:tr w:rsidR="002A0876" w:rsidRPr="002A0876" w14:paraId="2FA0BDB2"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CE6888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w:t>
            </w:r>
          </w:p>
        </w:tc>
        <w:tc>
          <w:tcPr>
            <w:tcW w:w="6945" w:type="dxa"/>
            <w:tcBorders>
              <w:top w:val="nil"/>
              <w:left w:val="nil"/>
              <w:bottom w:val="single" w:sz="4" w:space="0" w:color="auto"/>
              <w:right w:val="single" w:sz="4" w:space="0" w:color="auto"/>
            </w:tcBorders>
            <w:shd w:val="clear" w:color="auto" w:fill="auto"/>
            <w:noWrap/>
            <w:vAlign w:val="bottom"/>
            <w:hideMark/>
          </w:tcPr>
          <w:p w14:paraId="03107A7D"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Bērnu psihoneiroloģiskā slimnīcā "Ainaži"</w:t>
            </w:r>
          </w:p>
        </w:tc>
        <w:tc>
          <w:tcPr>
            <w:tcW w:w="1985" w:type="dxa"/>
            <w:tcBorders>
              <w:top w:val="nil"/>
              <w:left w:val="nil"/>
              <w:bottom w:val="single" w:sz="4" w:space="0" w:color="auto"/>
              <w:right w:val="single" w:sz="4" w:space="0" w:color="auto"/>
            </w:tcBorders>
            <w:shd w:val="clear" w:color="auto" w:fill="auto"/>
            <w:noWrap/>
            <w:vAlign w:val="bottom"/>
            <w:hideMark/>
          </w:tcPr>
          <w:p w14:paraId="2A37BFE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1 680 061</w:t>
            </w:r>
          </w:p>
        </w:tc>
        <w:tc>
          <w:tcPr>
            <w:tcW w:w="1984" w:type="dxa"/>
            <w:tcBorders>
              <w:top w:val="nil"/>
              <w:left w:val="nil"/>
              <w:bottom w:val="single" w:sz="4" w:space="0" w:color="auto"/>
              <w:right w:val="single" w:sz="4" w:space="0" w:color="auto"/>
            </w:tcBorders>
            <w:shd w:val="clear" w:color="auto" w:fill="auto"/>
            <w:noWrap/>
            <w:vAlign w:val="bottom"/>
            <w:hideMark/>
          </w:tcPr>
          <w:p w14:paraId="37CA37D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1 616 668</w:t>
            </w:r>
          </w:p>
        </w:tc>
        <w:tc>
          <w:tcPr>
            <w:tcW w:w="2127" w:type="dxa"/>
            <w:tcBorders>
              <w:top w:val="nil"/>
              <w:left w:val="nil"/>
              <w:bottom w:val="single" w:sz="4" w:space="0" w:color="auto"/>
              <w:right w:val="single" w:sz="4" w:space="0" w:color="auto"/>
            </w:tcBorders>
            <w:shd w:val="clear" w:color="auto" w:fill="auto"/>
            <w:noWrap/>
            <w:vAlign w:val="bottom"/>
            <w:hideMark/>
          </w:tcPr>
          <w:p w14:paraId="63CC4C8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63 393</w:t>
            </w:r>
          </w:p>
        </w:tc>
      </w:tr>
      <w:tr w:rsidR="002A0876" w:rsidRPr="002A0876" w14:paraId="168248BB" w14:textId="77777777" w:rsidTr="002A0876">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A29A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45</w:t>
            </w:r>
          </w:p>
        </w:tc>
        <w:tc>
          <w:tcPr>
            <w:tcW w:w="6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D039F"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"Aknīstes psihoneiroloģiskā slimnīca"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0D2A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5 697 142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F814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5 546 062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05F3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151 080</w:t>
            </w:r>
          </w:p>
        </w:tc>
      </w:tr>
      <w:tr w:rsidR="002A0876" w:rsidRPr="002A0876" w14:paraId="5A81ED3F" w14:textId="77777777" w:rsidTr="006C7EF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CEFC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46</w:t>
            </w:r>
          </w:p>
        </w:tc>
        <w:tc>
          <w:tcPr>
            <w:tcW w:w="6945" w:type="dxa"/>
            <w:tcBorders>
              <w:top w:val="single" w:sz="4" w:space="0" w:color="auto"/>
              <w:left w:val="nil"/>
              <w:bottom w:val="single" w:sz="4" w:space="0" w:color="auto"/>
              <w:right w:val="single" w:sz="4" w:space="0" w:color="auto"/>
            </w:tcBorders>
            <w:shd w:val="clear" w:color="auto" w:fill="auto"/>
            <w:noWrap/>
            <w:vAlign w:val="bottom"/>
            <w:hideMark/>
          </w:tcPr>
          <w:p w14:paraId="19F831FD"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"Piejūras slimnīca"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A2785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4 487 000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0EED19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4 187 532</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54EB1B4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299 468</w:t>
            </w:r>
          </w:p>
        </w:tc>
      </w:tr>
      <w:tr w:rsidR="002A0876" w:rsidRPr="002A0876" w14:paraId="3ECA9F71" w14:textId="77777777" w:rsidTr="006C7EF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7792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47</w:t>
            </w:r>
          </w:p>
        </w:tc>
        <w:tc>
          <w:tcPr>
            <w:tcW w:w="6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FC342"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"Slimnīca "Ģintermuiža""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278A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9 674 848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B183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9 680 394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D2B1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-5 546</w:t>
            </w:r>
          </w:p>
        </w:tc>
      </w:tr>
      <w:tr w:rsidR="002A0876" w:rsidRPr="002A0876" w14:paraId="295C6461" w14:textId="77777777" w:rsidTr="006C7EF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3919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48</w:t>
            </w:r>
          </w:p>
        </w:tc>
        <w:tc>
          <w:tcPr>
            <w:tcW w:w="6945" w:type="dxa"/>
            <w:tcBorders>
              <w:top w:val="single" w:sz="4" w:space="0" w:color="auto"/>
              <w:left w:val="nil"/>
              <w:bottom w:val="single" w:sz="4" w:space="0" w:color="auto"/>
              <w:right w:val="single" w:sz="4" w:space="0" w:color="auto"/>
            </w:tcBorders>
            <w:shd w:val="clear" w:color="auto" w:fill="auto"/>
            <w:noWrap/>
            <w:vAlign w:val="bottom"/>
            <w:hideMark/>
          </w:tcPr>
          <w:p w14:paraId="6704F1AB"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"Daugavpils psihoneiroloģiskā slimnīca"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3B826B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13 836 599</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AB2A63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13 629 599</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29F03A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207 000</w:t>
            </w:r>
          </w:p>
        </w:tc>
      </w:tr>
      <w:tr w:rsidR="002A0876" w:rsidRPr="002A0876" w14:paraId="251ABAA7"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83ABF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49</w:t>
            </w:r>
          </w:p>
        </w:tc>
        <w:tc>
          <w:tcPr>
            <w:tcW w:w="6945" w:type="dxa"/>
            <w:tcBorders>
              <w:top w:val="nil"/>
              <w:left w:val="nil"/>
              <w:bottom w:val="single" w:sz="4" w:space="0" w:color="auto"/>
              <w:right w:val="single" w:sz="4" w:space="0" w:color="auto"/>
            </w:tcBorders>
            <w:shd w:val="clear" w:color="auto" w:fill="auto"/>
            <w:noWrap/>
            <w:vAlign w:val="bottom"/>
            <w:hideMark/>
          </w:tcPr>
          <w:p w14:paraId="4E69F615"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"Rīgas psihiatrijas un narkoloģijas centrs"</w:t>
            </w:r>
          </w:p>
        </w:tc>
        <w:tc>
          <w:tcPr>
            <w:tcW w:w="1985" w:type="dxa"/>
            <w:tcBorders>
              <w:top w:val="nil"/>
              <w:left w:val="nil"/>
              <w:bottom w:val="single" w:sz="4" w:space="0" w:color="auto"/>
              <w:right w:val="single" w:sz="4" w:space="0" w:color="auto"/>
            </w:tcBorders>
            <w:shd w:val="clear" w:color="auto" w:fill="auto"/>
            <w:noWrap/>
            <w:vAlign w:val="bottom"/>
            <w:hideMark/>
          </w:tcPr>
          <w:p w14:paraId="5212500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22 084 174</w:t>
            </w:r>
          </w:p>
        </w:tc>
        <w:tc>
          <w:tcPr>
            <w:tcW w:w="1984" w:type="dxa"/>
            <w:tcBorders>
              <w:top w:val="nil"/>
              <w:left w:val="nil"/>
              <w:bottom w:val="single" w:sz="4" w:space="0" w:color="auto"/>
              <w:right w:val="single" w:sz="4" w:space="0" w:color="auto"/>
            </w:tcBorders>
            <w:shd w:val="clear" w:color="auto" w:fill="auto"/>
            <w:noWrap/>
            <w:vAlign w:val="bottom"/>
            <w:hideMark/>
          </w:tcPr>
          <w:p w14:paraId="23960D6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22 109 174</w:t>
            </w:r>
          </w:p>
        </w:tc>
        <w:tc>
          <w:tcPr>
            <w:tcW w:w="2127" w:type="dxa"/>
            <w:tcBorders>
              <w:top w:val="nil"/>
              <w:left w:val="nil"/>
              <w:bottom w:val="single" w:sz="4" w:space="0" w:color="auto"/>
              <w:right w:val="single" w:sz="4" w:space="0" w:color="auto"/>
            </w:tcBorders>
            <w:shd w:val="clear" w:color="auto" w:fill="auto"/>
            <w:noWrap/>
            <w:vAlign w:val="bottom"/>
            <w:hideMark/>
          </w:tcPr>
          <w:p w14:paraId="4E8D7DA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-25 000</w:t>
            </w:r>
          </w:p>
        </w:tc>
      </w:tr>
      <w:tr w:rsidR="002A0876" w:rsidRPr="002A0876" w14:paraId="6C0D3F2B"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D774E9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50</w:t>
            </w:r>
          </w:p>
        </w:tc>
        <w:tc>
          <w:tcPr>
            <w:tcW w:w="6945" w:type="dxa"/>
            <w:tcBorders>
              <w:top w:val="nil"/>
              <w:left w:val="nil"/>
              <w:bottom w:val="single" w:sz="4" w:space="0" w:color="auto"/>
              <w:right w:val="single" w:sz="4" w:space="0" w:color="auto"/>
            </w:tcBorders>
            <w:shd w:val="clear" w:color="auto" w:fill="auto"/>
            <w:noWrap/>
            <w:vAlign w:val="bottom"/>
            <w:hideMark/>
          </w:tcPr>
          <w:p w14:paraId="350FD4D9"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"Nacionālais rehabilitācijas centrs "Vaivari""</w:t>
            </w:r>
          </w:p>
        </w:tc>
        <w:tc>
          <w:tcPr>
            <w:tcW w:w="1985" w:type="dxa"/>
            <w:tcBorders>
              <w:top w:val="nil"/>
              <w:left w:val="nil"/>
              <w:bottom w:val="single" w:sz="4" w:space="0" w:color="auto"/>
              <w:right w:val="single" w:sz="4" w:space="0" w:color="auto"/>
            </w:tcBorders>
            <w:shd w:val="clear" w:color="auto" w:fill="auto"/>
            <w:noWrap/>
            <w:vAlign w:val="bottom"/>
            <w:hideMark/>
          </w:tcPr>
          <w:p w14:paraId="3B654D5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11 451 256</w:t>
            </w:r>
          </w:p>
        </w:tc>
        <w:tc>
          <w:tcPr>
            <w:tcW w:w="1984" w:type="dxa"/>
            <w:tcBorders>
              <w:top w:val="nil"/>
              <w:left w:val="nil"/>
              <w:bottom w:val="single" w:sz="4" w:space="0" w:color="auto"/>
              <w:right w:val="single" w:sz="4" w:space="0" w:color="auto"/>
            </w:tcBorders>
            <w:shd w:val="clear" w:color="auto" w:fill="auto"/>
            <w:noWrap/>
            <w:vAlign w:val="bottom"/>
            <w:hideMark/>
          </w:tcPr>
          <w:p w14:paraId="3853F70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11 402 352</w:t>
            </w:r>
          </w:p>
        </w:tc>
        <w:tc>
          <w:tcPr>
            <w:tcW w:w="2127" w:type="dxa"/>
            <w:tcBorders>
              <w:top w:val="nil"/>
              <w:left w:val="nil"/>
              <w:bottom w:val="single" w:sz="4" w:space="0" w:color="auto"/>
              <w:right w:val="single" w:sz="4" w:space="0" w:color="auto"/>
            </w:tcBorders>
            <w:shd w:val="clear" w:color="auto" w:fill="auto"/>
            <w:noWrap/>
            <w:vAlign w:val="bottom"/>
            <w:hideMark/>
          </w:tcPr>
          <w:p w14:paraId="08381F1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48 904</w:t>
            </w:r>
          </w:p>
        </w:tc>
      </w:tr>
      <w:tr w:rsidR="002A0876" w:rsidRPr="002A0876" w14:paraId="69B581AF"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33D4CF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w:t>
            </w:r>
          </w:p>
        </w:tc>
        <w:tc>
          <w:tcPr>
            <w:tcW w:w="6945" w:type="dxa"/>
            <w:tcBorders>
              <w:top w:val="nil"/>
              <w:left w:val="nil"/>
              <w:bottom w:val="single" w:sz="4" w:space="0" w:color="auto"/>
              <w:right w:val="single" w:sz="4" w:space="0" w:color="auto"/>
            </w:tcBorders>
            <w:shd w:val="clear" w:color="auto" w:fill="auto"/>
            <w:noWrap/>
            <w:vAlign w:val="bottom"/>
            <w:hideMark/>
          </w:tcPr>
          <w:p w14:paraId="71BE220D"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"Traumatoloģijas un ortopēdijas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262D3EC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21 547 500</w:t>
            </w:r>
          </w:p>
        </w:tc>
        <w:tc>
          <w:tcPr>
            <w:tcW w:w="1984" w:type="dxa"/>
            <w:tcBorders>
              <w:top w:val="nil"/>
              <w:left w:val="nil"/>
              <w:bottom w:val="single" w:sz="4" w:space="0" w:color="auto"/>
              <w:right w:val="single" w:sz="4" w:space="0" w:color="auto"/>
            </w:tcBorders>
            <w:shd w:val="clear" w:color="auto" w:fill="auto"/>
            <w:noWrap/>
            <w:vAlign w:val="bottom"/>
            <w:hideMark/>
          </w:tcPr>
          <w:p w14:paraId="30CDAA5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21 518 500</w:t>
            </w:r>
          </w:p>
        </w:tc>
        <w:tc>
          <w:tcPr>
            <w:tcW w:w="2127" w:type="dxa"/>
            <w:tcBorders>
              <w:top w:val="nil"/>
              <w:left w:val="nil"/>
              <w:bottom w:val="single" w:sz="4" w:space="0" w:color="auto"/>
              <w:right w:val="single" w:sz="4" w:space="0" w:color="auto"/>
            </w:tcBorders>
            <w:shd w:val="clear" w:color="auto" w:fill="auto"/>
            <w:noWrap/>
            <w:vAlign w:val="bottom"/>
            <w:hideMark/>
          </w:tcPr>
          <w:p w14:paraId="5D0D7E5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29 000</w:t>
            </w:r>
          </w:p>
        </w:tc>
      </w:tr>
      <w:tr w:rsidR="002A0876" w:rsidRPr="002A0876" w14:paraId="3798C26C"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33D16D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w:t>
            </w:r>
          </w:p>
        </w:tc>
        <w:tc>
          <w:tcPr>
            <w:tcW w:w="6945" w:type="dxa"/>
            <w:tcBorders>
              <w:top w:val="nil"/>
              <w:left w:val="nil"/>
              <w:bottom w:val="single" w:sz="4" w:space="0" w:color="auto"/>
              <w:right w:val="single" w:sz="4" w:space="0" w:color="auto"/>
            </w:tcBorders>
            <w:shd w:val="clear" w:color="auto" w:fill="auto"/>
            <w:noWrap/>
            <w:vAlign w:val="bottom"/>
            <w:hideMark/>
          </w:tcPr>
          <w:p w14:paraId="09A281D7"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"Paula Stradiņa klīniskā universitātes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A5BC41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125 875 528</w:t>
            </w:r>
          </w:p>
        </w:tc>
        <w:tc>
          <w:tcPr>
            <w:tcW w:w="1984" w:type="dxa"/>
            <w:tcBorders>
              <w:top w:val="nil"/>
              <w:left w:val="nil"/>
              <w:bottom w:val="single" w:sz="4" w:space="0" w:color="auto"/>
              <w:right w:val="single" w:sz="4" w:space="0" w:color="auto"/>
            </w:tcBorders>
            <w:shd w:val="clear" w:color="auto" w:fill="auto"/>
            <w:noWrap/>
            <w:vAlign w:val="bottom"/>
            <w:hideMark/>
          </w:tcPr>
          <w:p w14:paraId="6D7E558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124 690 226</w:t>
            </w:r>
          </w:p>
        </w:tc>
        <w:tc>
          <w:tcPr>
            <w:tcW w:w="2127" w:type="dxa"/>
            <w:tcBorders>
              <w:top w:val="nil"/>
              <w:left w:val="nil"/>
              <w:bottom w:val="single" w:sz="4" w:space="0" w:color="auto"/>
              <w:right w:val="single" w:sz="4" w:space="0" w:color="auto"/>
            </w:tcBorders>
            <w:shd w:val="clear" w:color="auto" w:fill="auto"/>
            <w:noWrap/>
            <w:vAlign w:val="bottom"/>
            <w:hideMark/>
          </w:tcPr>
          <w:p w14:paraId="22A5396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1 185 302</w:t>
            </w:r>
          </w:p>
        </w:tc>
      </w:tr>
      <w:tr w:rsidR="002A0876" w:rsidRPr="002A0876" w14:paraId="6C524B27"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A67691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53</w:t>
            </w:r>
          </w:p>
        </w:tc>
        <w:tc>
          <w:tcPr>
            <w:tcW w:w="6945" w:type="dxa"/>
            <w:tcBorders>
              <w:top w:val="nil"/>
              <w:left w:val="nil"/>
              <w:bottom w:val="single" w:sz="4" w:space="0" w:color="auto"/>
              <w:right w:val="single" w:sz="4" w:space="0" w:color="auto"/>
            </w:tcBorders>
            <w:shd w:val="clear" w:color="auto" w:fill="auto"/>
            <w:noWrap/>
            <w:vAlign w:val="bottom"/>
            <w:hideMark/>
          </w:tcPr>
          <w:p w14:paraId="6C36CE73"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Radio"</w:t>
            </w:r>
          </w:p>
        </w:tc>
        <w:tc>
          <w:tcPr>
            <w:tcW w:w="1985" w:type="dxa"/>
            <w:tcBorders>
              <w:top w:val="nil"/>
              <w:left w:val="nil"/>
              <w:bottom w:val="single" w:sz="4" w:space="0" w:color="auto"/>
              <w:right w:val="single" w:sz="4" w:space="0" w:color="auto"/>
            </w:tcBorders>
            <w:shd w:val="clear" w:color="auto" w:fill="auto"/>
            <w:noWrap/>
            <w:vAlign w:val="bottom"/>
            <w:hideMark/>
          </w:tcPr>
          <w:p w14:paraId="0D9AF5C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200 000</w:t>
            </w:r>
          </w:p>
        </w:tc>
        <w:tc>
          <w:tcPr>
            <w:tcW w:w="1984" w:type="dxa"/>
            <w:tcBorders>
              <w:top w:val="nil"/>
              <w:left w:val="nil"/>
              <w:bottom w:val="single" w:sz="4" w:space="0" w:color="auto"/>
              <w:right w:val="single" w:sz="4" w:space="0" w:color="auto"/>
            </w:tcBorders>
            <w:shd w:val="clear" w:color="auto" w:fill="auto"/>
            <w:noWrap/>
            <w:vAlign w:val="bottom"/>
            <w:hideMark/>
          </w:tcPr>
          <w:p w14:paraId="0CD4CC8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201 000</w:t>
            </w:r>
          </w:p>
        </w:tc>
        <w:tc>
          <w:tcPr>
            <w:tcW w:w="2127" w:type="dxa"/>
            <w:tcBorders>
              <w:top w:val="nil"/>
              <w:left w:val="nil"/>
              <w:bottom w:val="single" w:sz="4" w:space="0" w:color="auto"/>
              <w:right w:val="single" w:sz="4" w:space="0" w:color="auto"/>
            </w:tcBorders>
            <w:shd w:val="clear" w:color="auto" w:fill="auto"/>
            <w:noWrap/>
            <w:vAlign w:val="bottom"/>
            <w:hideMark/>
          </w:tcPr>
          <w:p w14:paraId="5AB852E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-1 000</w:t>
            </w:r>
          </w:p>
        </w:tc>
      </w:tr>
      <w:tr w:rsidR="002A0876" w:rsidRPr="002A0876" w14:paraId="54A18B0F"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C19F71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54</w:t>
            </w:r>
          </w:p>
        </w:tc>
        <w:tc>
          <w:tcPr>
            <w:tcW w:w="6945" w:type="dxa"/>
            <w:tcBorders>
              <w:top w:val="nil"/>
              <w:left w:val="nil"/>
              <w:bottom w:val="single" w:sz="4" w:space="0" w:color="auto"/>
              <w:right w:val="single" w:sz="4" w:space="0" w:color="auto"/>
            </w:tcBorders>
            <w:shd w:val="clear" w:color="auto" w:fill="auto"/>
            <w:noWrap/>
            <w:vAlign w:val="bottom"/>
            <w:hideMark/>
          </w:tcPr>
          <w:p w14:paraId="7B2880EB"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Austrumu klīniskā universitātes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5BE6C29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214 334 980</w:t>
            </w:r>
          </w:p>
        </w:tc>
        <w:tc>
          <w:tcPr>
            <w:tcW w:w="1984" w:type="dxa"/>
            <w:tcBorders>
              <w:top w:val="nil"/>
              <w:left w:val="nil"/>
              <w:bottom w:val="single" w:sz="4" w:space="0" w:color="auto"/>
              <w:right w:val="single" w:sz="4" w:space="0" w:color="auto"/>
            </w:tcBorders>
            <w:shd w:val="clear" w:color="auto" w:fill="auto"/>
            <w:noWrap/>
            <w:vAlign w:val="bottom"/>
            <w:hideMark/>
          </w:tcPr>
          <w:p w14:paraId="3EC3E13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214 408 673</w:t>
            </w:r>
          </w:p>
        </w:tc>
        <w:tc>
          <w:tcPr>
            <w:tcW w:w="2127" w:type="dxa"/>
            <w:tcBorders>
              <w:top w:val="nil"/>
              <w:left w:val="nil"/>
              <w:bottom w:val="single" w:sz="4" w:space="0" w:color="auto"/>
              <w:right w:val="single" w:sz="4" w:space="0" w:color="auto"/>
            </w:tcBorders>
            <w:shd w:val="clear" w:color="auto" w:fill="auto"/>
            <w:noWrap/>
            <w:vAlign w:val="bottom"/>
            <w:hideMark/>
          </w:tcPr>
          <w:p w14:paraId="7BA3C3F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-73 693</w:t>
            </w:r>
          </w:p>
        </w:tc>
      </w:tr>
      <w:tr w:rsidR="002A0876" w:rsidRPr="002A0876" w14:paraId="67ACB7EA"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609E6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55</w:t>
            </w:r>
          </w:p>
        </w:tc>
        <w:tc>
          <w:tcPr>
            <w:tcW w:w="6945" w:type="dxa"/>
            <w:tcBorders>
              <w:top w:val="nil"/>
              <w:left w:val="nil"/>
              <w:bottom w:val="single" w:sz="4" w:space="0" w:color="auto"/>
              <w:right w:val="single" w:sz="4" w:space="0" w:color="auto"/>
            </w:tcBorders>
            <w:shd w:val="clear" w:color="auto" w:fill="auto"/>
            <w:noWrap/>
            <w:vAlign w:val="bottom"/>
            <w:hideMark/>
          </w:tcPr>
          <w:p w14:paraId="19AAD5F4"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"Ceļu satiksmes drošības direkcija"</w:t>
            </w:r>
          </w:p>
        </w:tc>
        <w:tc>
          <w:tcPr>
            <w:tcW w:w="1985" w:type="dxa"/>
            <w:tcBorders>
              <w:top w:val="nil"/>
              <w:left w:val="nil"/>
              <w:bottom w:val="single" w:sz="4" w:space="0" w:color="auto"/>
              <w:right w:val="single" w:sz="4" w:space="0" w:color="auto"/>
            </w:tcBorders>
            <w:shd w:val="clear" w:color="auto" w:fill="auto"/>
            <w:noWrap/>
            <w:vAlign w:val="bottom"/>
            <w:hideMark/>
          </w:tcPr>
          <w:p w14:paraId="49DEAC0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52 573 795</w:t>
            </w:r>
          </w:p>
        </w:tc>
        <w:tc>
          <w:tcPr>
            <w:tcW w:w="1984" w:type="dxa"/>
            <w:tcBorders>
              <w:top w:val="nil"/>
              <w:left w:val="nil"/>
              <w:bottom w:val="single" w:sz="4" w:space="0" w:color="auto"/>
              <w:right w:val="single" w:sz="4" w:space="0" w:color="auto"/>
            </w:tcBorders>
            <w:shd w:val="clear" w:color="auto" w:fill="auto"/>
            <w:noWrap/>
            <w:vAlign w:val="bottom"/>
            <w:hideMark/>
          </w:tcPr>
          <w:p w14:paraId="7E79B5A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51 433 521</w:t>
            </w:r>
          </w:p>
        </w:tc>
        <w:tc>
          <w:tcPr>
            <w:tcW w:w="2127" w:type="dxa"/>
            <w:tcBorders>
              <w:top w:val="nil"/>
              <w:left w:val="nil"/>
              <w:bottom w:val="single" w:sz="4" w:space="0" w:color="auto"/>
              <w:right w:val="single" w:sz="4" w:space="0" w:color="auto"/>
            </w:tcBorders>
            <w:shd w:val="clear" w:color="auto" w:fill="auto"/>
            <w:noWrap/>
            <w:vAlign w:val="bottom"/>
            <w:hideMark/>
          </w:tcPr>
          <w:p w14:paraId="1E3B655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1 140 274</w:t>
            </w:r>
          </w:p>
        </w:tc>
      </w:tr>
      <w:tr w:rsidR="002A0876" w:rsidRPr="002A0876" w14:paraId="6CBB0037"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818740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56</w:t>
            </w:r>
          </w:p>
        </w:tc>
        <w:tc>
          <w:tcPr>
            <w:tcW w:w="6945" w:type="dxa"/>
            <w:tcBorders>
              <w:top w:val="nil"/>
              <w:left w:val="nil"/>
              <w:bottom w:val="single" w:sz="4" w:space="0" w:color="auto"/>
              <w:right w:val="single" w:sz="4" w:space="0" w:color="auto"/>
            </w:tcBorders>
            <w:shd w:val="clear" w:color="auto" w:fill="auto"/>
            <w:noWrap/>
            <w:vAlign w:val="bottom"/>
            <w:hideMark/>
          </w:tcPr>
          <w:p w14:paraId="0D274F11"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"Strenču psihoneiroloģiskā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810E69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9 530 000</w:t>
            </w:r>
          </w:p>
        </w:tc>
        <w:tc>
          <w:tcPr>
            <w:tcW w:w="1984" w:type="dxa"/>
            <w:tcBorders>
              <w:top w:val="nil"/>
              <w:left w:val="nil"/>
              <w:bottom w:val="single" w:sz="4" w:space="0" w:color="auto"/>
              <w:right w:val="single" w:sz="4" w:space="0" w:color="auto"/>
            </w:tcBorders>
            <w:shd w:val="clear" w:color="auto" w:fill="auto"/>
            <w:noWrap/>
            <w:vAlign w:val="bottom"/>
            <w:hideMark/>
          </w:tcPr>
          <w:p w14:paraId="7B6AF72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9 322 100</w:t>
            </w:r>
          </w:p>
        </w:tc>
        <w:tc>
          <w:tcPr>
            <w:tcW w:w="2127" w:type="dxa"/>
            <w:tcBorders>
              <w:top w:val="nil"/>
              <w:left w:val="nil"/>
              <w:bottom w:val="single" w:sz="4" w:space="0" w:color="auto"/>
              <w:right w:val="single" w:sz="4" w:space="0" w:color="auto"/>
            </w:tcBorders>
            <w:shd w:val="clear" w:color="auto" w:fill="auto"/>
            <w:noWrap/>
            <w:vAlign w:val="bottom"/>
            <w:hideMark/>
          </w:tcPr>
          <w:p w14:paraId="5198C49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207 900</w:t>
            </w:r>
          </w:p>
        </w:tc>
      </w:tr>
      <w:tr w:rsidR="002A0876" w:rsidRPr="002A0876" w14:paraId="37EB0E6B"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D0427A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57</w:t>
            </w:r>
          </w:p>
        </w:tc>
        <w:tc>
          <w:tcPr>
            <w:tcW w:w="6945" w:type="dxa"/>
            <w:tcBorders>
              <w:top w:val="nil"/>
              <w:left w:val="nil"/>
              <w:bottom w:val="single" w:sz="4" w:space="0" w:color="auto"/>
              <w:right w:val="single" w:sz="4" w:space="0" w:color="auto"/>
            </w:tcBorders>
            <w:shd w:val="clear" w:color="auto" w:fill="auto"/>
            <w:noWrap/>
            <w:vAlign w:val="bottom"/>
            <w:hideMark/>
          </w:tcPr>
          <w:p w14:paraId="037129D4"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"Bērnu klīniskā universitātes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275E516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68 137 637</w:t>
            </w:r>
          </w:p>
        </w:tc>
        <w:tc>
          <w:tcPr>
            <w:tcW w:w="1984" w:type="dxa"/>
            <w:tcBorders>
              <w:top w:val="nil"/>
              <w:left w:val="nil"/>
              <w:bottom w:val="single" w:sz="4" w:space="0" w:color="auto"/>
              <w:right w:val="single" w:sz="4" w:space="0" w:color="auto"/>
            </w:tcBorders>
            <w:shd w:val="clear" w:color="auto" w:fill="auto"/>
            <w:noWrap/>
            <w:vAlign w:val="bottom"/>
            <w:hideMark/>
          </w:tcPr>
          <w:p w14:paraId="6866B14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66 243 826</w:t>
            </w:r>
          </w:p>
        </w:tc>
        <w:tc>
          <w:tcPr>
            <w:tcW w:w="2127" w:type="dxa"/>
            <w:tcBorders>
              <w:top w:val="nil"/>
              <w:left w:val="nil"/>
              <w:bottom w:val="single" w:sz="4" w:space="0" w:color="auto"/>
              <w:right w:val="single" w:sz="4" w:space="0" w:color="auto"/>
            </w:tcBorders>
            <w:shd w:val="clear" w:color="auto" w:fill="auto"/>
            <w:noWrap/>
            <w:vAlign w:val="bottom"/>
            <w:hideMark/>
          </w:tcPr>
          <w:p w14:paraId="46AB626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1 893 811</w:t>
            </w:r>
          </w:p>
        </w:tc>
      </w:tr>
      <w:tr w:rsidR="002A0876" w:rsidRPr="002A0876" w14:paraId="126332D0"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F94E22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58</w:t>
            </w:r>
          </w:p>
        </w:tc>
        <w:tc>
          <w:tcPr>
            <w:tcW w:w="6945" w:type="dxa"/>
            <w:tcBorders>
              <w:top w:val="nil"/>
              <w:left w:val="nil"/>
              <w:bottom w:val="single" w:sz="4" w:space="0" w:color="auto"/>
              <w:right w:val="single" w:sz="4" w:space="0" w:color="auto"/>
            </w:tcBorders>
            <w:shd w:val="clear" w:color="auto" w:fill="auto"/>
            <w:noWrap/>
            <w:vAlign w:val="bottom"/>
            <w:hideMark/>
          </w:tcPr>
          <w:p w14:paraId="1DB4F6B8"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"Pasažieru vilciens"</w:t>
            </w:r>
          </w:p>
        </w:tc>
        <w:tc>
          <w:tcPr>
            <w:tcW w:w="1985" w:type="dxa"/>
            <w:tcBorders>
              <w:top w:val="nil"/>
              <w:left w:val="nil"/>
              <w:bottom w:val="single" w:sz="4" w:space="0" w:color="auto"/>
              <w:right w:val="single" w:sz="4" w:space="0" w:color="auto"/>
            </w:tcBorders>
            <w:shd w:val="clear" w:color="auto" w:fill="auto"/>
            <w:noWrap/>
            <w:vAlign w:val="bottom"/>
            <w:hideMark/>
          </w:tcPr>
          <w:p w14:paraId="4269B0A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44 632 560</w:t>
            </w:r>
          </w:p>
        </w:tc>
        <w:tc>
          <w:tcPr>
            <w:tcW w:w="1984" w:type="dxa"/>
            <w:tcBorders>
              <w:top w:val="nil"/>
              <w:left w:val="nil"/>
              <w:bottom w:val="single" w:sz="4" w:space="0" w:color="auto"/>
              <w:right w:val="single" w:sz="4" w:space="0" w:color="auto"/>
            </w:tcBorders>
            <w:shd w:val="clear" w:color="auto" w:fill="auto"/>
            <w:noWrap/>
            <w:vAlign w:val="bottom"/>
            <w:hideMark/>
          </w:tcPr>
          <w:p w14:paraId="6BABFA1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102 026 076</w:t>
            </w:r>
          </w:p>
        </w:tc>
        <w:tc>
          <w:tcPr>
            <w:tcW w:w="2127" w:type="dxa"/>
            <w:tcBorders>
              <w:top w:val="nil"/>
              <w:left w:val="nil"/>
              <w:bottom w:val="single" w:sz="4" w:space="0" w:color="auto"/>
              <w:right w:val="single" w:sz="4" w:space="0" w:color="auto"/>
            </w:tcBorders>
            <w:shd w:val="clear" w:color="auto" w:fill="auto"/>
            <w:noWrap/>
            <w:vAlign w:val="bottom"/>
            <w:hideMark/>
          </w:tcPr>
          <w:p w14:paraId="3FA75B3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-57 393 517</w:t>
            </w:r>
          </w:p>
        </w:tc>
      </w:tr>
      <w:tr w:rsidR="002A0876" w:rsidRPr="002A0876" w14:paraId="23D5F1CB"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2A1034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59</w:t>
            </w:r>
          </w:p>
        </w:tc>
        <w:tc>
          <w:tcPr>
            <w:tcW w:w="6945" w:type="dxa"/>
            <w:tcBorders>
              <w:top w:val="nil"/>
              <w:left w:val="nil"/>
              <w:bottom w:val="single" w:sz="4" w:space="0" w:color="auto"/>
              <w:right w:val="single" w:sz="4" w:space="0" w:color="auto"/>
            </w:tcBorders>
            <w:shd w:val="clear" w:color="auto" w:fill="auto"/>
            <w:noWrap/>
            <w:vAlign w:val="bottom"/>
            <w:hideMark/>
          </w:tcPr>
          <w:p w14:paraId="76074043"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Nodibinājums "Akadēmiskās informācijas centrs"</w:t>
            </w:r>
          </w:p>
        </w:tc>
        <w:tc>
          <w:tcPr>
            <w:tcW w:w="1985" w:type="dxa"/>
            <w:tcBorders>
              <w:top w:val="nil"/>
              <w:left w:val="nil"/>
              <w:bottom w:val="single" w:sz="4" w:space="0" w:color="auto"/>
              <w:right w:val="single" w:sz="4" w:space="0" w:color="auto"/>
            </w:tcBorders>
            <w:shd w:val="clear" w:color="auto" w:fill="auto"/>
            <w:noWrap/>
            <w:vAlign w:val="bottom"/>
            <w:hideMark/>
          </w:tcPr>
          <w:p w14:paraId="0F392E2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261 021</w:t>
            </w:r>
          </w:p>
        </w:tc>
        <w:tc>
          <w:tcPr>
            <w:tcW w:w="1984" w:type="dxa"/>
            <w:tcBorders>
              <w:top w:val="nil"/>
              <w:left w:val="nil"/>
              <w:bottom w:val="single" w:sz="4" w:space="0" w:color="auto"/>
              <w:right w:val="single" w:sz="4" w:space="0" w:color="auto"/>
            </w:tcBorders>
            <w:shd w:val="clear" w:color="auto" w:fill="auto"/>
            <w:noWrap/>
            <w:vAlign w:val="bottom"/>
            <w:hideMark/>
          </w:tcPr>
          <w:p w14:paraId="1FAC304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494 254</w:t>
            </w:r>
          </w:p>
        </w:tc>
        <w:tc>
          <w:tcPr>
            <w:tcW w:w="2127" w:type="dxa"/>
            <w:tcBorders>
              <w:top w:val="nil"/>
              <w:left w:val="nil"/>
              <w:bottom w:val="single" w:sz="4" w:space="0" w:color="auto"/>
              <w:right w:val="single" w:sz="4" w:space="0" w:color="auto"/>
            </w:tcBorders>
            <w:shd w:val="clear" w:color="auto" w:fill="auto"/>
            <w:noWrap/>
            <w:vAlign w:val="bottom"/>
            <w:hideMark/>
          </w:tcPr>
          <w:p w14:paraId="2BC4469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-233 233</w:t>
            </w:r>
          </w:p>
        </w:tc>
      </w:tr>
      <w:tr w:rsidR="002A0876" w:rsidRPr="002A0876" w14:paraId="69F00418" w14:textId="77777777" w:rsidTr="002A0876">
        <w:trPr>
          <w:trHeight w:val="315"/>
        </w:trPr>
        <w:tc>
          <w:tcPr>
            <w:tcW w:w="993" w:type="dxa"/>
            <w:tcBorders>
              <w:top w:val="nil"/>
              <w:left w:val="single" w:sz="4" w:space="0" w:color="auto"/>
              <w:bottom w:val="single" w:sz="4" w:space="0" w:color="auto"/>
              <w:right w:val="single" w:sz="4" w:space="0" w:color="auto"/>
            </w:tcBorders>
            <w:shd w:val="clear" w:color="000000" w:fill="DDEBF7"/>
            <w:noWrap/>
            <w:vAlign w:val="bottom"/>
            <w:hideMark/>
          </w:tcPr>
          <w:p w14:paraId="61A9BCC7" w14:textId="77777777" w:rsidR="002A0876" w:rsidRPr="002A0876" w:rsidRDefault="002A0876" w:rsidP="002A0876">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S130300</w:t>
            </w:r>
          </w:p>
        </w:tc>
        <w:tc>
          <w:tcPr>
            <w:tcW w:w="6945" w:type="dxa"/>
            <w:tcBorders>
              <w:top w:val="nil"/>
              <w:left w:val="nil"/>
              <w:bottom w:val="nil"/>
              <w:right w:val="nil"/>
            </w:tcBorders>
            <w:shd w:val="clear" w:color="000000" w:fill="DDEBF7"/>
            <w:noWrap/>
            <w:vAlign w:val="center"/>
            <w:hideMark/>
          </w:tcPr>
          <w:p w14:paraId="47BC1BCC"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Pašvaldības struktūru kontrolētas un finansētas komercsabiedrības</w:t>
            </w:r>
          </w:p>
        </w:tc>
        <w:tc>
          <w:tcPr>
            <w:tcW w:w="1985" w:type="dxa"/>
            <w:tcBorders>
              <w:top w:val="nil"/>
              <w:left w:val="single" w:sz="4" w:space="0" w:color="auto"/>
              <w:bottom w:val="single" w:sz="4" w:space="0" w:color="auto"/>
              <w:right w:val="single" w:sz="4" w:space="0" w:color="auto"/>
            </w:tcBorders>
            <w:shd w:val="clear" w:color="000000" w:fill="DDEBF7"/>
            <w:noWrap/>
            <w:vAlign w:val="bottom"/>
            <w:hideMark/>
          </w:tcPr>
          <w:p w14:paraId="16834478"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000000" w:fill="DDEBF7"/>
            <w:noWrap/>
            <w:vAlign w:val="bottom"/>
            <w:hideMark/>
          </w:tcPr>
          <w:p w14:paraId="44E65D86"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2127" w:type="dxa"/>
            <w:tcBorders>
              <w:top w:val="nil"/>
              <w:left w:val="nil"/>
              <w:bottom w:val="single" w:sz="4" w:space="0" w:color="auto"/>
              <w:right w:val="single" w:sz="4" w:space="0" w:color="auto"/>
            </w:tcBorders>
            <w:shd w:val="clear" w:color="000000" w:fill="DDEBF7"/>
            <w:noWrap/>
            <w:vAlign w:val="bottom"/>
            <w:hideMark/>
          </w:tcPr>
          <w:p w14:paraId="549EC4C8"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2A0876" w:rsidRPr="002A0876" w14:paraId="3AEDD5B5"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7DA0BF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61</w:t>
            </w:r>
          </w:p>
        </w:tc>
        <w:tc>
          <w:tcPr>
            <w:tcW w:w="6945" w:type="dxa"/>
            <w:tcBorders>
              <w:top w:val="single" w:sz="4" w:space="0" w:color="auto"/>
              <w:left w:val="nil"/>
              <w:bottom w:val="single" w:sz="4" w:space="0" w:color="auto"/>
              <w:right w:val="single" w:sz="4" w:space="0" w:color="auto"/>
            </w:tcBorders>
            <w:shd w:val="clear" w:color="auto" w:fill="auto"/>
            <w:noWrap/>
            <w:vAlign w:val="bottom"/>
            <w:hideMark/>
          </w:tcPr>
          <w:p w14:paraId="43092D16"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"Vidzemes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52138D9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23 290 390</w:t>
            </w:r>
          </w:p>
        </w:tc>
        <w:tc>
          <w:tcPr>
            <w:tcW w:w="1984" w:type="dxa"/>
            <w:tcBorders>
              <w:top w:val="nil"/>
              <w:left w:val="nil"/>
              <w:bottom w:val="single" w:sz="4" w:space="0" w:color="auto"/>
              <w:right w:val="single" w:sz="4" w:space="0" w:color="auto"/>
            </w:tcBorders>
            <w:shd w:val="clear" w:color="auto" w:fill="auto"/>
            <w:noWrap/>
            <w:vAlign w:val="bottom"/>
            <w:hideMark/>
          </w:tcPr>
          <w:p w14:paraId="532BC99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22 985 501</w:t>
            </w:r>
          </w:p>
        </w:tc>
        <w:tc>
          <w:tcPr>
            <w:tcW w:w="2127" w:type="dxa"/>
            <w:tcBorders>
              <w:top w:val="nil"/>
              <w:left w:val="nil"/>
              <w:bottom w:val="single" w:sz="4" w:space="0" w:color="auto"/>
              <w:right w:val="single" w:sz="4" w:space="0" w:color="auto"/>
            </w:tcBorders>
            <w:shd w:val="clear" w:color="auto" w:fill="auto"/>
            <w:noWrap/>
            <w:vAlign w:val="bottom"/>
            <w:hideMark/>
          </w:tcPr>
          <w:p w14:paraId="51E0DF9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304 888</w:t>
            </w:r>
          </w:p>
        </w:tc>
      </w:tr>
      <w:tr w:rsidR="002A0876" w:rsidRPr="002A0876" w14:paraId="6CFD1455"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12C494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62</w:t>
            </w:r>
          </w:p>
        </w:tc>
        <w:tc>
          <w:tcPr>
            <w:tcW w:w="6945" w:type="dxa"/>
            <w:tcBorders>
              <w:top w:val="nil"/>
              <w:left w:val="nil"/>
              <w:bottom w:val="single" w:sz="4" w:space="0" w:color="auto"/>
              <w:right w:val="single" w:sz="4" w:space="0" w:color="auto"/>
            </w:tcBorders>
            <w:shd w:val="clear" w:color="auto" w:fill="auto"/>
            <w:noWrap/>
            <w:vAlign w:val="bottom"/>
            <w:hideMark/>
          </w:tcPr>
          <w:p w14:paraId="2B0448C4"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"Dobeles un apkārtnes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5E68597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629 163</w:t>
            </w:r>
          </w:p>
        </w:tc>
        <w:tc>
          <w:tcPr>
            <w:tcW w:w="1984" w:type="dxa"/>
            <w:tcBorders>
              <w:top w:val="nil"/>
              <w:left w:val="nil"/>
              <w:bottom w:val="single" w:sz="4" w:space="0" w:color="auto"/>
              <w:right w:val="single" w:sz="4" w:space="0" w:color="auto"/>
            </w:tcBorders>
            <w:shd w:val="clear" w:color="auto" w:fill="auto"/>
            <w:noWrap/>
            <w:vAlign w:val="bottom"/>
            <w:hideMark/>
          </w:tcPr>
          <w:p w14:paraId="643D61B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750 029</w:t>
            </w:r>
          </w:p>
        </w:tc>
        <w:tc>
          <w:tcPr>
            <w:tcW w:w="2127" w:type="dxa"/>
            <w:tcBorders>
              <w:top w:val="nil"/>
              <w:left w:val="nil"/>
              <w:bottom w:val="single" w:sz="4" w:space="0" w:color="auto"/>
              <w:right w:val="single" w:sz="4" w:space="0" w:color="auto"/>
            </w:tcBorders>
            <w:shd w:val="clear" w:color="auto" w:fill="auto"/>
            <w:noWrap/>
            <w:vAlign w:val="bottom"/>
            <w:hideMark/>
          </w:tcPr>
          <w:p w14:paraId="21DB168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-120 866</w:t>
            </w:r>
          </w:p>
        </w:tc>
      </w:tr>
      <w:tr w:rsidR="002A0876" w:rsidRPr="002A0876" w14:paraId="0EF741C6"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401FD6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63</w:t>
            </w:r>
          </w:p>
        </w:tc>
        <w:tc>
          <w:tcPr>
            <w:tcW w:w="6945" w:type="dxa"/>
            <w:tcBorders>
              <w:top w:val="nil"/>
              <w:left w:val="nil"/>
              <w:bottom w:val="single" w:sz="4" w:space="0" w:color="auto"/>
              <w:right w:val="single" w:sz="4" w:space="0" w:color="auto"/>
            </w:tcBorders>
            <w:shd w:val="clear" w:color="auto" w:fill="auto"/>
            <w:noWrap/>
            <w:vAlign w:val="bottom"/>
            <w:hideMark/>
          </w:tcPr>
          <w:p w14:paraId="1B637ACA"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"Cēsu klīnika"</w:t>
            </w:r>
          </w:p>
        </w:tc>
        <w:tc>
          <w:tcPr>
            <w:tcW w:w="1985" w:type="dxa"/>
            <w:tcBorders>
              <w:top w:val="nil"/>
              <w:left w:val="nil"/>
              <w:bottom w:val="single" w:sz="4" w:space="0" w:color="auto"/>
              <w:right w:val="single" w:sz="4" w:space="0" w:color="auto"/>
            </w:tcBorders>
            <w:shd w:val="clear" w:color="auto" w:fill="auto"/>
            <w:noWrap/>
            <w:vAlign w:val="bottom"/>
            <w:hideMark/>
          </w:tcPr>
          <w:p w14:paraId="526A627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9 336 621</w:t>
            </w:r>
          </w:p>
        </w:tc>
        <w:tc>
          <w:tcPr>
            <w:tcW w:w="1984" w:type="dxa"/>
            <w:tcBorders>
              <w:top w:val="nil"/>
              <w:left w:val="nil"/>
              <w:bottom w:val="single" w:sz="4" w:space="0" w:color="auto"/>
              <w:right w:val="single" w:sz="4" w:space="0" w:color="auto"/>
            </w:tcBorders>
            <w:shd w:val="clear" w:color="auto" w:fill="auto"/>
            <w:noWrap/>
            <w:vAlign w:val="bottom"/>
            <w:hideMark/>
          </w:tcPr>
          <w:p w14:paraId="565022D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9 188 558</w:t>
            </w:r>
          </w:p>
        </w:tc>
        <w:tc>
          <w:tcPr>
            <w:tcW w:w="2127" w:type="dxa"/>
            <w:tcBorders>
              <w:top w:val="nil"/>
              <w:left w:val="nil"/>
              <w:bottom w:val="single" w:sz="4" w:space="0" w:color="auto"/>
              <w:right w:val="single" w:sz="4" w:space="0" w:color="auto"/>
            </w:tcBorders>
            <w:shd w:val="clear" w:color="auto" w:fill="auto"/>
            <w:noWrap/>
            <w:vAlign w:val="bottom"/>
            <w:hideMark/>
          </w:tcPr>
          <w:p w14:paraId="5B560B2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148 063</w:t>
            </w:r>
          </w:p>
        </w:tc>
      </w:tr>
      <w:tr w:rsidR="002A0876" w:rsidRPr="002A0876" w14:paraId="00601C02"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EA2F18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64</w:t>
            </w:r>
          </w:p>
        </w:tc>
        <w:tc>
          <w:tcPr>
            <w:tcW w:w="6945" w:type="dxa"/>
            <w:tcBorders>
              <w:top w:val="nil"/>
              <w:left w:val="nil"/>
              <w:bottom w:val="single" w:sz="4" w:space="0" w:color="auto"/>
              <w:right w:val="single" w:sz="4" w:space="0" w:color="auto"/>
            </w:tcBorders>
            <w:shd w:val="clear" w:color="auto" w:fill="auto"/>
            <w:noWrap/>
            <w:vAlign w:val="bottom"/>
            <w:hideMark/>
          </w:tcPr>
          <w:p w14:paraId="0C192635"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"Madonas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3BDB886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9 345 000</w:t>
            </w:r>
          </w:p>
        </w:tc>
        <w:tc>
          <w:tcPr>
            <w:tcW w:w="1984" w:type="dxa"/>
            <w:tcBorders>
              <w:top w:val="nil"/>
              <w:left w:val="nil"/>
              <w:bottom w:val="single" w:sz="4" w:space="0" w:color="auto"/>
              <w:right w:val="single" w:sz="4" w:space="0" w:color="auto"/>
            </w:tcBorders>
            <w:shd w:val="clear" w:color="auto" w:fill="auto"/>
            <w:noWrap/>
            <w:vAlign w:val="bottom"/>
            <w:hideMark/>
          </w:tcPr>
          <w:p w14:paraId="700BFC3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9 238 100</w:t>
            </w:r>
          </w:p>
        </w:tc>
        <w:tc>
          <w:tcPr>
            <w:tcW w:w="2127" w:type="dxa"/>
            <w:tcBorders>
              <w:top w:val="nil"/>
              <w:left w:val="nil"/>
              <w:bottom w:val="single" w:sz="4" w:space="0" w:color="auto"/>
              <w:right w:val="single" w:sz="4" w:space="0" w:color="auto"/>
            </w:tcBorders>
            <w:shd w:val="clear" w:color="auto" w:fill="auto"/>
            <w:noWrap/>
            <w:vAlign w:val="bottom"/>
            <w:hideMark/>
          </w:tcPr>
          <w:p w14:paraId="16D83B1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106 900</w:t>
            </w:r>
          </w:p>
        </w:tc>
      </w:tr>
      <w:tr w:rsidR="002A0876" w:rsidRPr="002A0876" w14:paraId="72465A57"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21F17C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65</w:t>
            </w:r>
          </w:p>
        </w:tc>
        <w:tc>
          <w:tcPr>
            <w:tcW w:w="6945" w:type="dxa"/>
            <w:tcBorders>
              <w:top w:val="nil"/>
              <w:left w:val="nil"/>
              <w:bottom w:val="single" w:sz="4" w:space="0" w:color="auto"/>
              <w:right w:val="single" w:sz="4" w:space="0" w:color="auto"/>
            </w:tcBorders>
            <w:shd w:val="clear" w:color="auto" w:fill="auto"/>
            <w:noWrap/>
            <w:vAlign w:val="bottom"/>
            <w:hideMark/>
          </w:tcPr>
          <w:p w14:paraId="7DDEDBDE"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“Ogres rajona slimnīca”</w:t>
            </w:r>
          </w:p>
        </w:tc>
        <w:tc>
          <w:tcPr>
            <w:tcW w:w="1985" w:type="dxa"/>
            <w:tcBorders>
              <w:top w:val="nil"/>
              <w:left w:val="nil"/>
              <w:bottom w:val="single" w:sz="4" w:space="0" w:color="auto"/>
              <w:right w:val="single" w:sz="4" w:space="0" w:color="auto"/>
            </w:tcBorders>
            <w:shd w:val="clear" w:color="auto" w:fill="auto"/>
            <w:noWrap/>
            <w:vAlign w:val="bottom"/>
            <w:hideMark/>
          </w:tcPr>
          <w:p w14:paraId="69A5C7E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10 873 814</w:t>
            </w:r>
          </w:p>
        </w:tc>
        <w:tc>
          <w:tcPr>
            <w:tcW w:w="1984" w:type="dxa"/>
            <w:tcBorders>
              <w:top w:val="nil"/>
              <w:left w:val="nil"/>
              <w:bottom w:val="single" w:sz="4" w:space="0" w:color="auto"/>
              <w:right w:val="single" w:sz="4" w:space="0" w:color="auto"/>
            </w:tcBorders>
            <w:shd w:val="clear" w:color="auto" w:fill="auto"/>
            <w:noWrap/>
            <w:vAlign w:val="bottom"/>
            <w:hideMark/>
          </w:tcPr>
          <w:p w14:paraId="17F3A57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12 596 913</w:t>
            </w:r>
          </w:p>
        </w:tc>
        <w:tc>
          <w:tcPr>
            <w:tcW w:w="2127" w:type="dxa"/>
            <w:tcBorders>
              <w:top w:val="nil"/>
              <w:left w:val="nil"/>
              <w:bottom w:val="single" w:sz="4" w:space="0" w:color="auto"/>
              <w:right w:val="single" w:sz="4" w:space="0" w:color="auto"/>
            </w:tcBorders>
            <w:shd w:val="clear" w:color="auto" w:fill="auto"/>
            <w:noWrap/>
            <w:vAlign w:val="bottom"/>
            <w:hideMark/>
          </w:tcPr>
          <w:p w14:paraId="792096C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-1 723 099</w:t>
            </w:r>
          </w:p>
        </w:tc>
      </w:tr>
      <w:tr w:rsidR="002A0876" w:rsidRPr="002A0876" w14:paraId="4E9852F0"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0049F0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66</w:t>
            </w:r>
          </w:p>
        </w:tc>
        <w:tc>
          <w:tcPr>
            <w:tcW w:w="6945" w:type="dxa"/>
            <w:tcBorders>
              <w:top w:val="nil"/>
              <w:left w:val="nil"/>
              <w:bottom w:val="single" w:sz="4" w:space="0" w:color="auto"/>
              <w:right w:val="single" w:sz="4" w:space="0" w:color="auto"/>
            </w:tcBorders>
            <w:shd w:val="clear" w:color="auto" w:fill="auto"/>
            <w:noWrap/>
            <w:vAlign w:val="bottom"/>
            <w:hideMark/>
          </w:tcPr>
          <w:p w14:paraId="1C55F79C"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"Rēzeknes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2908DF4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17 400 000</w:t>
            </w:r>
          </w:p>
        </w:tc>
        <w:tc>
          <w:tcPr>
            <w:tcW w:w="1984" w:type="dxa"/>
            <w:tcBorders>
              <w:top w:val="nil"/>
              <w:left w:val="nil"/>
              <w:bottom w:val="single" w:sz="4" w:space="0" w:color="auto"/>
              <w:right w:val="single" w:sz="4" w:space="0" w:color="auto"/>
            </w:tcBorders>
            <w:shd w:val="clear" w:color="auto" w:fill="auto"/>
            <w:noWrap/>
            <w:vAlign w:val="bottom"/>
            <w:hideMark/>
          </w:tcPr>
          <w:p w14:paraId="5469BAA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17 192 000</w:t>
            </w:r>
          </w:p>
        </w:tc>
        <w:tc>
          <w:tcPr>
            <w:tcW w:w="2127" w:type="dxa"/>
            <w:tcBorders>
              <w:top w:val="nil"/>
              <w:left w:val="nil"/>
              <w:bottom w:val="single" w:sz="4" w:space="0" w:color="auto"/>
              <w:right w:val="single" w:sz="4" w:space="0" w:color="auto"/>
            </w:tcBorders>
            <w:shd w:val="clear" w:color="auto" w:fill="auto"/>
            <w:noWrap/>
            <w:vAlign w:val="bottom"/>
            <w:hideMark/>
          </w:tcPr>
          <w:p w14:paraId="772B2E3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208 000</w:t>
            </w:r>
          </w:p>
        </w:tc>
      </w:tr>
      <w:tr w:rsidR="002A0876" w:rsidRPr="002A0876" w14:paraId="118B075A"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4B2972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67</w:t>
            </w:r>
          </w:p>
        </w:tc>
        <w:tc>
          <w:tcPr>
            <w:tcW w:w="6945" w:type="dxa"/>
            <w:tcBorders>
              <w:top w:val="nil"/>
              <w:left w:val="nil"/>
              <w:bottom w:val="single" w:sz="4" w:space="0" w:color="auto"/>
              <w:right w:val="single" w:sz="4" w:space="0" w:color="auto"/>
            </w:tcBorders>
            <w:shd w:val="clear" w:color="auto" w:fill="auto"/>
            <w:noWrap/>
            <w:vAlign w:val="bottom"/>
            <w:hideMark/>
          </w:tcPr>
          <w:p w14:paraId="125CB3F1"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"Rēzeknes Satiksme"</w:t>
            </w:r>
          </w:p>
        </w:tc>
        <w:tc>
          <w:tcPr>
            <w:tcW w:w="1985" w:type="dxa"/>
            <w:tcBorders>
              <w:top w:val="nil"/>
              <w:left w:val="nil"/>
              <w:bottom w:val="single" w:sz="4" w:space="0" w:color="auto"/>
              <w:right w:val="single" w:sz="4" w:space="0" w:color="auto"/>
            </w:tcBorders>
            <w:shd w:val="clear" w:color="auto" w:fill="auto"/>
            <w:noWrap/>
            <w:vAlign w:val="bottom"/>
            <w:hideMark/>
          </w:tcPr>
          <w:p w14:paraId="096FEE0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2 429 762</w:t>
            </w:r>
          </w:p>
        </w:tc>
        <w:tc>
          <w:tcPr>
            <w:tcW w:w="1984" w:type="dxa"/>
            <w:tcBorders>
              <w:top w:val="nil"/>
              <w:left w:val="nil"/>
              <w:bottom w:val="single" w:sz="4" w:space="0" w:color="auto"/>
              <w:right w:val="single" w:sz="4" w:space="0" w:color="auto"/>
            </w:tcBorders>
            <w:shd w:val="clear" w:color="auto" w:fill="auto"/>
            <w:noWrap/>
            <w:vAlign w:val="bottom"/>
            <w:hideMark/>
          </w:tcPr>
          <w:p w14:paraId="260C703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1 912 303</w:t>
            </w:r>
          </w:p>
        </w:tc>
        <w:tc>
          <w:tcPr>
            <w:tcW w:w="2127" w:type="dxa"/>
            <w:tcBorders>
              <w:top w:val="nil"/>
              <w:left w:val="nil"/>
              <w:bottom w:val="single" w:sz="4" w:space="0" w:color="auto"/>
              <w:right w:val="single" w:sz="4" w:space="0" w:color="auto"/>
            </w:tcBorders>
            <w:shd w:val="clear" w:color="auto" w:fill="auto"/>
            <w:noWrap/>
            <w:vAlign w:val="bottom"/>
            <w:hideMark/>
          </w:tcPr>
          <w:p w14:paraId="4638F13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517 459</w:t>
            </w:r>
          </w:p>
        </w:tc>
      </w:tr>
      <w:tr w:rsidR="002A0876" w:rsidRPr="002A0876" w14:paraId="2B3F35E8"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DA5D3E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68</w:t>
            </w:r>
          </w:p>
        </w:tc>
        <w:tc>
          <w:tcPr>
            <w:tcW w:w="6945" w:type="dxa"/>
            <w:tcBorders>
              <w:top w:val="nil"/>
              <w:left w:val="nil"/>
              <w:bottom w:val="single" w:sz="4" w:space="0" w:color="auto"/>
              <w:right w:val="single" w:sz="4" w:space="0" w:color="auto"/>
            </w:tcBorders>
            <w:shd w:val="clear" w:color="auto" w:fill="auto"/>
            <w:noWrap/>
            <w:vAlign w:val="bottom"/>
            <w:hideMark/>
          </w:tcPr>
          <w:p w14:paraId="7DBEEDFA"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"Ziemeļkurzemes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20BC7E5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17 517 133</w:t>
            </w:r>
          </w:p>
        </w:tc>
        <w:tc>
          <w:tcPr>
            <w:tcW w:w="1984" w:type="dxa"/>
            <w:tcBorders>
              <w:top w:val="nil"/>
              <w:left w:val="nil"/>
              <w:bottom w:val="single" w:sz="4" w:space="0" w:color="auto"/>
              <w:right w:val="single" w:sz="4" w:space="0" w:color="auto"/>
            </w:tcBorders>
            <w:shd w:val="clear" w:color="auto" w:fill="auto"/>
            <w:noWrap/>
            <w:vAlign w:val="bottom"/>
            <w:hideMark/>
          </w:tcPr>
          <w:p w14:paraId="7A47A67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17 439 364</w:t>
            </w:r>
          </w:p>
        </w:tc>
        <w:tc>
          <w:tcPr>
            <w:tcW w:w="2127" w:type="dxa"/>
            <w:tcBorders>
              <w:top w:val="nil"/>
              <w:left w:val="nil"/>
              <w:bottom w:val="single" w:sz="4" w:space="0" w:color="auto"/>
              <w:right w:val="single" w:sz="4" w:space="0" w:color="auto"/>
            </w:tcBorders>
            <w:shd w:val="clear" w:color="auto" w:fill="auto"/>
            <w:noWrap/>
            <w:vAlign w:val="bottom"/>
            <w:hideMark/>
          </w:tcPr>
          <w:p w14:paraId="29C9514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77 769</w:t>
            </w:r>
          </w:p>
        </w:tc>
      </w:tr>
      <w:tr w:rsidR="002A0876" w:rsidRPr="002A0876" w14:paraId="2A5C1D84"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303D27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69</w:t>
            </w:r>
          </w:p>
        </w:tc>
        <w:tc>
          <w:tcPr>
            <w:tcW w:w="6945" w:type="dxa"/>
            <w:tcBorders>
              <w:top w:val="nil"/>
              <w:left w:val="nil"/>
              <w:bottom w:val="single" w:sz="4" w:space="0" w:color="auto"/>
              <w:right w:val="single" w:sz="4" w:space="0" w:color="auto"/>
            </w:tcBorders>
            <w:shd w:val="clear" w:color="auto" w:fill="auto"/>
            <w:noWrap/>
            <w:vAlign w:val="bottom"/>
            <w:hideMark/>
          </w:tcPr>
          <w:p w14:paraId="34ADAFCA"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"Olimpiskais centrs "Ventspils""</w:t>
            </w:r>
          </w:p>
        </w:tc>
        <w:tc>
          <w:tcPr>
            <w:tcW w:w="1985" w:type="dxa"/>
            <w:tcBorders>
              <w:top w:val="nil"/>
              <w:left w:val="nil"/>
              <w:bottom w:val="single" w:sz="4" w:space="0" w:color="auto"/>
              <w:right w:val="single" w:sz="4" w:space="0" w:color="auto"/>
            </w:tcBorders>
            <w:shd w:val="clear" w:color="auto" w:fill="auto"/>
            <w:noWrap/>
            <w:vAlign w:val="bottom"/>
            <w:hideMark/>
          </w:tcPr>
          <w:p w14:paraId="063DB7B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2 175 058</w:t>
            </w:r>
          </w:p>
        </w:tc>
        <w:tc>
          <w:tcPr>
            <w:tcW w:w="1984" w:type="dxa"/>
            <w:tcBorders>
              <w:top w:val="nil"/>
              <w:left w:val="nil"/>
              <w:bottom w:val="single" w:sz="4" w:space="0" w:color="auto"/>
              <w:right w:val="single" w:sz="4" w:space="0" w:color="auto"/>
            </w:tcBorders>
            <w:shd w:val="clear" w:color="auto" w:fill="auto"/>
            <w:noWrap/>
            <w:vAlign w:val="bottom"/>
            <w:hideMark/>
          </w:tcPr>
          <w:p w14:paraId="08BCDCF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2 097 215</w:t>
            </w:r>
          </w:p>
        </w:tc>
        <w:tc>
          <w:tcPr>
            <w:tcW w:w="2127" w:type="dxa"/>
            <w:tcBorders>
              <w:top w:val="nil"/>
              <w:left w:val="nil"/>
              <w:bottom w:val="single" w:sz="4" w:space="0" w:color="auto"/>
              <w:right w:val="single" w:sz="4" w:space="0" w:color="auto"/>
            </w:tcBorders>
            <w:shd w:val="clear" w:color="auto" w:fill="auto"/>
            <w:noWrap/>
            <w:vAlign w:val="bottom"/>
            <w:hideMark/>
          </w:tcPr>
          <w:p w14:paraId="5074C2A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77 844</w:t>
            </w:r>
          </w:p>
        </w:tc>
      </w:tr>
      <w:tr w:rsidR="002A0876" w:rsidRPr="002A0876" w14:paraId="19F08137"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AE5282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70</w:t>
            </w:r>
          </w:p>
        </w:tc>
        <w:tc>
          <w:tcPr>
            <w:tcW w:w="6945" w:type="dxa"/>
            <w:tcBorders>
              <w:top w:val="nil"/>
              <w:left w:val="nil"/>
              <w:bottom w:val="single" w:sz="4" w:space="0" w:color="auto"/>
              <w:right w:val="single" w:sz="4" w:space="0" w:color="auto"/>
            </w:tcBorders>
            <w:shd w:val="clear" w:color="auto" w:fill="auto"/>
            <w:noWrap/>
            <w:vAlign w:val="bottom"/>
            <w:hideMark/>
          </w:tcPr>
          <w:p w14:paraId="3442E3F2"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"Jūrmalas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052F8B1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10 364 458</w:t>
            </w:r>
          </w:p>
        </w:tc>
        <w:tc>
          <w:tcPr>
            <w:tcW w:w="1984" w:type="dxa"/>
            <w:tcBorders>
              <w:top w:val="nil"/>
              <w:left w:val="nil"/>
              <w:bottom w:val="single" w:sz="4" w:space="0" w:color="auto"/>
              <w:right w:val="single" w:sz="4" w:space="0" w:color="auto"/>
            </w:tcBorders>
            <w:shd w:val="clear" w:color="auto" w:fill="auto"/>
            <w:noWrap/>
            <w:vAlign w:val="bottom"/>
            <w:hideMark/>
          </w:tcPr>
          <w:p w14:paraId="0BF7B27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9 368 565</w:t>
            </w:r>
          </w:p>
        </w:tc>
        <w:tc>
          <w:tcPr>
            <w:tcW w:w="2127" w:type="dxa"/>
            <w:tcBorders>
              <w:top w:val="nil"/>
              <w:left w:val="nil"/>
              <w:bottom w:val="single" w:sz="4" w:space="0" w:color="auto"/>
              <w:right w:val="single" w:sz="4" w:space="0" w:color="auto"/>
            </w:tcBorders>
            <w:shd w:val="clear" w:color="auto" w:fill="auto"/>
            <w:noWrap/>
            <w:vAlign w:val="bottom"/>
            <w:hideMark/>
          </w:tcPr>
          <w:p w14:paraId="3886798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995 893</w:t>
            </w:r>
          </w:p>
        </w:tc>
      </w:tr>
      <w:tr w:rsidR="002A0876" w:rsidRPr="002A0876" w14:paraId="52F585BC" w14:textId="77777777" w:rsidTr="002A0876">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9E0A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71</w:t>
            </w:r>
          </w:p>
        </w:tc>
        <w:tc>
          <w:tcPr>
            <w:tcW w:w="6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CB0C0"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Nodibinājums "Rīgas Tūrisma Attīstības Birojs"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8B2B"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3 352 887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8CD2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3 298 000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35DE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54 887</w:t>
            </w:r>
          </w:p>
        </w:tc>
      </w:tr>
      <w:tr w:rsidR="002A0876" w:rsidRPr="002A0876" w14:paraId="0CF579D2" w14:textId="77777777" w:rsidTr="006C7EF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866F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72</w:t>
            </w:r>
          </w:p>
        </w:tc>
        <w:tc>
          <w:tcPr>
            <w:tcW w:w="6945" w:type="dxa"/>
            <w:tcBorders>
              <w:top w:val="single" w:sz="4" w:space="0" w:color="auto"/>
              <w:left w:val="nil"/>
              <w:bottom w:val="single" w:sz="4" w:space="0" w:color="auto"/>
              <w:right w:val="single" w:sz="4" w:space="0" w:color="auto"/>
            </w:tcBorders>
            <w:shd w:val="clear" w:color="auto" w:fill="auto"/>
            <w:noWrap/>
            <w:vAlign w:val="bottom"/>
            <w:hideMark/>
          </w:tcPr>
          <w:p w14:paraId="3332301A"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xml:space="preserve">SIA "Rīgas 2. slimnīca"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6C154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7 615 459</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879621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7 615 459</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3B40A2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45231AA9" w14:textId="77777777" w:rsidTr="006C7EF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F1AF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73</w:t>
            </w:r>
          </w:p>
        </w:tc>
        <w:tc>
          <w:tcPr>
            <w:tcW w:w="6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B7AD6"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"Jelgavas pilsētas slimnīca”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4212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13 955 813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9DFD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12 682 671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C234D"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1 273 142</w:t>
            </w:r>
          </w:p>
        </w:tc>
      </w:tr>
      <w:tr w:rsidR="002A0876" w:rsidRPr="002A0876" w14:paraId="2D423632" w14:textId="77777777" w:rsidTr="006C7EF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2AF7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74</w:t>
            </w:r>
          </w:p>
        </w:tc>
        <w:tc>
          <w:tcPr>
            <w:tcW w:w="6945" w:type="dxa"/>
            <w:tcBorders>
              <w:top w:val="single" w:sz="4" w:space="0" w:color="auto"/>
              <w:left w:val="nil"/>
              <w:bottom w:val="single" w:sz="4" w:space="0" w:color="auto"/>
              <w:right w:val="single" w:sz="4" w:space="0" w:color="auto"/>
            </w:tcBorders>
            <w:shd w:val="clear" w:color="auto" w:fill="auto"/>
            <w:noWrap/>
            <w:vAlign w:val="bottom"/>
            <w:hideMark/>
          </w:tcPr>
          <w:p w14:paraId="3DD35668"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1.slimnīca"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A6A15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19 306 832</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68813A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19 134 229</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D666BC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172 603</w:t>
            </w:r>
          </w:p>
        </w:tc>
      </w:tr>
      <w:tr w:rsidR="002A0876" w:rsidRPr="002A0876" w14:paraId="5AFCDF31"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025E1C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75</w:t>
            </w:r>
          </w:p>
        </w:tc>
        <w:tc>
          <w:tcPr>
            <w:tcW w:w="6945" w:type="dxa"/>
            <w:tcBorders>
              <w:top w:val="nil"/>
              <w:left w:val="nil"/>
              <w:bottom w:val="single" w:sz="4" w:space="0" w:color="auto"/>
              <w:right w:val="single" w:sz="4" w:space="0" w:color="auto"/>
            </w:tcBorders>
            <w:shd w:val="clear" w:color="auto" w:fill="auto"/>
            <w:noWrap/>
            <w:vAlign w:val="bottom"/>
            <w:hideMark/>
          </w:tcPr>
          <w:p w14:paraId="285338F4"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Dzemdību nams"</w:t>
            </w:r>
          </w:p>
        </w:tc>
        <w:tc>
          <w:tcPr>
            <w:tcW w:w="1985" w:type="dxa"/>
            <w:tcBorders>
              <w:top w:val="nil"/>
              <w:left w:val="nil"/>
              <w:bottom w:val="single" w:sz="4" w:space="0" w:color="auto"/>
              <w:right w:val="single" w:sz="4" w:space="0" w:color="auto"/>
            </w:tcBorders>
            <w:shd w:val="clear" w:color="auto" w:fill="auto"/>
            <w:noWrap/>
            <w:vAlign w:val="bottom"/>
            <w:hideMark/>
          </w:tcPr>
          <w:p w14:paraId="1BBCC22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12 078 303</w:t>
            </w:r>
          </w:p>
        </w:tc>
        <w:tc>
          <w:tcPr>
            <w:tcW w:w="1984" w:type="dxa"/>
            <w:tcBorders>
              <w:top w:val="nil"/>
              <w:left w:val="nil"/>
              <w:bottom w:val="single" w:sz="4" w:space="0" w:color="auto"/>
              <w:right w:val="single" w:sz="4" w:space="0" w:color="auto"/>
            </w:tcBorders>
            <w:shd w:val="clear" w:color="auto" w:fill="auto"/>
            <w:noWrap/>
            <w:vAlign w:val="bottom"/>
            <w:hideMark/>
          </w:tcPr>
          <w:p w14:paraId="33723AE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12 032 935</w:t>
            </w:r>
          </w:p>
        </w:tc>
        <w:tc>
          <w:tcPr>
            <w:tcW w:w="2127" w:type="dxa"/>
            <w:tcBorders>
              <w:top w:val="nil"/>
              <w:left w:val="nil"/>
              <w:bottom w:val="single" w:sz="4" w:space="0" w:color="auto"/>
              <w:right w:val="single" w:sz="4" w:space="0" w:color="auto"/>
            </w:tcBorders>
            <w:shd w:val="clear" w:color="auto" w:fill="auto"/>
            <w:noWrap/>
            <w:vAlign w:val="bottom"/>
            <w:hideMark/>
          </w:tcPr>
          <w:p w14:paraId="404966E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45 368</w:t>
            </w:r>
          </w:p>
        </w:tc>
      </w:tr>
      <w:tr w:rsidR="002A0876" w:rsidRPr="002A0876" w14:paraId="46228AB9"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20B34A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76</w:t>
            </w:r>
          </w:p>
        </w:tc>
        <w:tc>
          <w:tcPr>
            <w:tcW w:w="6945" w:type="dxa"/>
            <w:tcBorders>
              <w:top w:val="nil"/>
              <w:left w:val="nil"/>
              <w:bottom w:val="single" w:sz="4" w:space="0" w:color="auto"/>
              <w:right w:val="single" w:sz="4" w:space="0" w:color="auto"/>
            </w:tcBorders>
            <w:shd w:val="clear" w:color="auto" w:fill="auto"/>
            <w:noWrap/>
            <w:vAlign w:val="bottom"/>
            <w:hideMark/>
          </w:tcPr>
          <w:p w14:paraId="72EF493F"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veselības centrs"</w:t>
            </w:r>
          </w:p>
        </w:tc>
        <w:tc>
          <w:tcPr>
            <w:tcW w:w="1985" w:type="dxa"/>
            <w:tcBorders>
              <w:top w:val="nil"/>
              <w:left w:val="nil"/>
              <w:bottom w:val="single" w:sz="4" w:space="0" w:color="auto"/>
              <w:right w:val="single" w:sz="4" w:space="0" w:color="auto"/>
            </w:tcBorders>
            <w:shd w:val="clear" w:color="auto" w:fill="auto"/>
            <w:noWrap/>
            <w:vAlign w:val="bottom"/>
            <w:hideMark/>
          </w:tcPr>
          <w:p w14:paraId="60D9F5A3"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9 294 397</w:t>
            </w:r>
          </w:p>
        </w:tc>
        <w:tc>
          <w:tcPr>
            <w:tcW w:w="1984" w:type="dxa"/>
            <w:tcBorders>
              <w:top w:val="nil"/>
              <w:left w:val="nil"/>
              <w:bottom w:val="single" w:sz="4" w:space="0" w:color="auto"/>
              <w:right w:val="single" w:sz="4" w:space="0" w:color="auto"/>
            </w:tcBorders>
            <w:shd w:val="clear" w:color="auto" w:fill="auto"/>
            <w:noWrap/>
            <w:vAlign w:val="bottom"/>
            <w:hideMark/>
          </w:tcPr>
          <w:p w14:paraId="24B162E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9 129 803</w:t>
            </w:r>
          </w:p>
        </w:tc>
        <w:tc>
          <w:tcPr>
            <w:tcW w:w="2127" w:type="dxa"/>
            <w:tcBorders>
              <w:top w:val="nil"/>
              <w:left w:val="nil"/>
              <w:bottom w:val="single" w:sz="4" w:space="0" w:color="auto"/>
              <w:right w:val="single" w:sz="4" w:space="0" w:color="auto"/>
            </w:tcBorders>
            <w:shd w:val="clear" w:color="auto" w:fill="auto"/>
            <w:noWrap/>
            <w:vAlign w:val="bottom"/>
            <w:hideMark/>
          </w:tcPr>
          <w:p w14:paraId="442B247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164 594</w:t>
            </w:r>
          </w:p>
        </w:tc>
      </w:tr>
      <w:tr w:rsidR="002A0876" w:rsidRPr="002A0876" w14:paraId="671C40DA"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630BC7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77</w:t>
            </w:r>
          </w:p>
        </w:tc>
        <w:tc>
          <w:tcPr>
            <w:tcW w:w="6945" w:type="dxa"/>
            <w:tcBorders>
              <w:top w:val="nil"/>
              <w:left w:val="nil"/>
              <w:bottom w:val="single" w:sz="4" w:space="0" w:color="auto"/>
              <w:right w:val="single" w:sz="4" w:space="0" w:color="auto"/>
            </w:tcBorders>
            <w:shd w:val="clear" w:color="auto" w:fill="auto"/>
            <w:noWrap/>
            <w:vAlign w:val="bottom"/>
            <w:hideMark/>
          </w:tcPr>
          <w:p w14:paraId="06BAF23B"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"Liepājas tramvajs"</w:t>
            </w:r>
          </w:p>
        </w:tc>
        <w:tc>
          <w:tcPr>
            <w:tcW w:w="1985" w:type="dxa"/>
            <w:tcBorders>
              <w:top w:val="nil"/>
              <w:left w:val="nil"/>
              <w:bottom w:val="single" w:sz="4" w:space="0" w:color="auto"/>
              <w:right w:val="single" w:sz="4" w:space="0" w:color="auto"/>
            </w:tcBorders>
            <w:shd w:val="clear" w:color="auto" w:fill="auto"/>
            <w:noWrap/>
            <w:vAlign w:val="bottom"/>
            <w:hideMark/>
          </w:tcPr>
          <w:p w14:paraId="4CEB827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1 977 064</w:t>
            </w:r>
          </w:p>
        </w:tc>
        <w:tc>
          <w:tcPr>
            <w:tcW w:w="1984" w:type="dxa"/>
            <w:tcBorders>
              <w:top w:val="nil"/>
              <w:left w:val="nil"/>
              <w:bottom w:val="single" w:sz="4" w:space="0" w:color="auto"/>
              <w:right w:val="single" w:sz="4" w:space="0" w:color="auto"/>
            </w:tcBorders>
            <w:shd w:val="clear" w:color="auto" w:fill="auto"/>
            <w:noWrap/>
            <w:vAlign w:val="bottom"/>
            <w:hideMark/>
          </w:tcPr>
          <w:p w14:paraId="01F928E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2 094 038</w:t>
            </w:r>
          </w:p>
        </w:tc>
        <w:tc>
          <w:tcPr>
            <w:tcW w:w="2127" w:type="dxa"/>
            <w:tcBorders>
              <w:top w:val="nil"/>
              <w:left w:val="nil"/>
              <w:bottom w:val="single" w:sz="4" w:space="0" w:color="auto"/>
              <w:right w:val="single" w:sz="4" w:space="0" w:color="auto"/>
            </w:tcBorders>
            <w:shd w:val="clear" w:color="auto" w:fill="auto"/>
            <w:noWrap/>
            <w:vAlign w:val="bottom"/>
            <w:hideMark/>
          </w:tcPr>
          <w:p w14:paraId="4EA33B0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-116 974</w:t>
            </w:r>
          </w:p>
        </w:tc>
      </w:tr>
      <w:tr w:rsidR="002A0876" w:rsidRPr="002A0876" w14:paraId="4D4D90C5"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1F0DCB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78</w:t>
            </w:r>
          </w:p>
        </w:tc>
        <w:tc>
          <w:tcPr>
            <w:tcW w:w="6945" w:type="dxa"/>
            <w:tcBorders>
              <w:top w:val="nil"/>
              <w:left w:val="nil"/>
              <w:bottom w:val="single" w:sz="4" w:space="0" w:color="auto"/>
              <w:right w:val="single" w:sz="4" w:space="0" w:color="auto"/>
            </w:tcBorders>
            <w:shd w:val="clear" w:color="auto" w:fill="auto"/>
            <w:noWrap/>
            <w:vAlign w:val="bottom"/>
            <w:hideMark/>
          </w:tcPr>
          <w:p w14:paraId="50501313"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"Liepājas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2AF89B64"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29 103 814</w:t>
            </w:r>
          </w:p>
        </w:tc>
        <w:tc>
          <w:tcPr>
            <w:tcW w:w="1984" w:type="dxa"/>
            <w:tcBorders>
              <w:top w:val="nil"/>
              <w:left w:val="nil"/>
              <w:bottom w:val="single" w:sz="4" w:space="0" w:color="auto"/>
              <w:right w:val="single" w:sz="4" w:space="0" w:color="auto"/>
            </w:tcBorders>
            <w:shd w:val="clear" w:color="auto" w:fill="auto"/>
            <w:noWrap/>
            <w:vAlign w:val="bottom"/>
            <w:hideMark/>
          </w:tcPr>
          <w:p w14:paraId="1E6E1CD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27 612 850</w:t>
            </w:r>
          </w:p>
        </w:tc>
        <w:tc>
          <w:tcPr>
            <w:tcW w:w="2127" w:type="dxa"/>
            <w:tcBorders>
              <w:top w:val="nil"/>
              <w:left w:val="nil"/>
              <w:bottom w:val="single" w:sz="4" w:space="0" w:color="auto"/>
              <w:right w:val="single" w:sz="4" w:space="0" w:color="auto"/>
            </w:tcBorders>
            <w:shd w:val="clear" w:color="auto" w:fill="auto"/>
            <w:noWrap/>
            <w:vAlign w:val="bottom"/>
            <w:hideMark/>
          </w:tcPr>
          <w:p w14:paraId="0155A2A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1 490 964</w:t>
            </w:r>
          </w:p>
        </w:tc>
      </w:tr>
      <w:tr w:rsidR="002A0876" w:rsidRPr="002A0876" w14:paraId="0778805E"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3B7C6EF"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79</w:t>
            </w:r>
          </w:p>
        </w:tc>
        <w:tc>
          <w:tcPr>
            <w:tcW w:w="6945" w:type="dxa"/>
            <w:tcBorders>
              <w:top w:val="nil"/>
              <w:left w:val="nil"/>
              <w:bottom w:val="single" w:sz="4" w:space="0" w:color="auto"/>
              <w:right w:val="single" w:sz="4" w:space="0" w:color="auto"/>
            </w:tcBorders>
            <w:shd w:val="clear" w:color="auto" w:fill="auto"/>
            <w:noWrap/>
            <w:vAlign w:val="bottom"/>
            <w:hideMark/>
          </w:tcPr>
          <w:p w14:paraId="2C579D4F"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"Aviasabiedrība "Liepāja""</w:t>
            </w:r>
          </w:p>
        </w:tc>
        <w:tc>
          <w:tcPr>
            <w:tcW w:w="1985" w:type="dxa"/>
            <w:tcBorders>
              <w:top w:val="nil"/>
              <w:left w:val="nil"/>
              <w:bottom w:val="single" w:sz="4" w:space="0" w:color="auto"/>
              <w:right w:val="single" w:sz="4" w:space="0" w:color="auto"/>
            </w:tcBorders>
            <w:shd w:val="clear" w:color="auto" w:fill="auto"/>
            <w:noWrap/>
            <w:vAlign w:val="bottom"/>
            <w:hideMark/>
          </w:tcPr>
          <w:p w14:paraId="383ABB6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14:paraId="40349192"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c>
          <w:tcPr>
            <w:tcW w:w="2127" w:type="dxa"/>
            <w:tcBorders>
              <w:top w:val="nil"/>
              <w:left w:val="nil"/>
              <w:bottom w:val="single" w:sz="4" w:space="0" w:color="auto"/>
              <w:right w:val="single" w:sz="4" w:space="0" w:color="auto"/>
            </w:tcBorders>
            <w:shd w:val="clear" w:color="auto" w:fill="auto"/>
            <w:noWrap/>
            <w:vAlign w:val="bottom"/>
            <w:hideMark/>
          </w:tcPr>
          <w:p w14:paraId="3BC1737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w:t>
            </w:r>
          </w:p>
        </w:tc>
      </w:tr>
      <w:tr w:rsidR="002A0876" w:rsidRPr="002A0876" w14:paraId="5BD9D4F1"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4E1569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80</w:t>
            </w:r>
          </w:p>
        </w:tc>
        <w:tc>
          <w:tcPr>
            <w:tcW w:w="6945" w:type="dxa"/>
            <w:tcBorders>
              <w:top w:val="nil"/>
              <w:left w:val="nil"/>
              <w:bottom w:val="single" w:sz="4" w:space="0" w:color="auto"/>
              <w:right w:val="single" w:sz="4" w:space="0" w:color="auto"/>
            </w:tcBorders>
            <w:shd w:val="clear" w:color="auto" w:fill="auto"/>
            <w:noWrap/>
            <w:vAlign w:val="bottom"/>
            <w:hideMark/>
          </w:tcPr>
          <w:p w14:paraId="43C39A6C"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"Daugavpils bērnu veselības centrs"</w:t>
            </w:r>
          </w:p>
        </w:tc>
        <w:tc>
          <w:tcPr>
            <w:tcW w:w="1985" w:type="dxa"/>
            <w:tcBorders>
              <w:top w:val="nil"/>
              <w:left w:val="nil"/>
              <w:bottom w:val="single" w:sz="4" w:space="0" w:color="auto"/>
              <w:right w:val="single" w:sz="4" w:space="0" w:color="auto"/>
            </w:tcBorders>
            <w:shd w:val="clear" w:color="auto" w:fill="auto"/>
            <w:noWrap/>
            <w:vAlign w:val="bottom"/>
            <w:hideMark/>
          </w:tcPr>
          <w:p w14:paraId="42080A95"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2 162 344</w:t>
            </w:r>
          </w:p>
        </w:tc>
        <w:tc>
          <w:tcPr>
            <w:tcW w:w="1984" w:type="dxa"/>
            <w:tcBorders>
              <w:top w:val="nil"/>
              <w:left w:val="nil"/>
              <w:bottom w:val="single" w:sz="4" w:space="0" w:color="auto"/>
              <w:right w:val="single" w:sz="4" w:space="0" w:color="auto"/>
            </w:tcBorders>
            <w:shd w:val="clear" w:color="auto" w:fill="auto"/>
            <w:noWrap/>
            <w:vAlign w:val="bottom"/>
            <w:hideMark/>
          </w:tcPr>
          <w:p w14:paraId="498ADEC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2 127 944</w:t>
            </w:r>
          </w:p>
        </w:tc>
        <w:tc>
          <w:tcPr>
            <w:tcW w:w="2127" w:type="dxa"/>
            <w:tcBorders>
              <w:top w:val="nil"/>
              <w:left w:val="nil"/>
              <w:bottom w:val="single" w:sz="4" w:space="0" w:color="auto"/>
              <w:right w:val="single" w:sz="4" w:space="0" w:color="auto"/>
            </w:tcBorders>
            <w:shd w:val="clear" w:color="auto" w:fill="auto"/>
            <w:noWrap/>
            <w:vAlign w:val="bottom"/>
            <w:hideMark/>
          </w:tcPr>
          <w:p w14:paraId="6F92552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34 400</w:t>
            </w:r>
          </w:p>
        </w:tc>
      </w:tr>
      <w:tr w:rsidR="002A0876" w:rsidRPr="002A0876" w14:paraId="4348CE45"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ECB13A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81</w:t>
            </w:r>
          </w:p>
        </w:tc>
        <w:tc>
          <w:tcPr>
            <w:tcW w:w="6945" w:type="dxa"/>
            <w:tcBorders>
              <w:top w:val="nil"/>
              <w:left w:val="nil"/>
              <w:bottom w:val="single" w:sz="4" w:space="0" w:color="auto"/>
              <w:right w:val="single" w:sz="4" w:space="0" w:color="auto"/>
            </w:tcBorders>
            <w:shd w:val="clear" w:color="auto" w:fill="auto"/>
            <w:noWrap/>
            <w:vAlign w:val="bottom"/>
            <w:hideMark/>
          </w:tcPr>
          <w:p w14:paraId="5FBE5319"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"Kuldīgas slimnīca"</w:t>
            </w:r>
          </w:p>
        </w:tc>
        <w:tc>
          <w:tcPr>
            <w:tcW w:w="1985" w:type="dxa"/>
            <w:tcBorders>
              <w:top w:val="nil"/>
              <w:left w:val="nil"/>
              <w:bottom w:val="single" w:sz="4" w:space="0" w:color="auto"/>
              <w:right w:val="single" w:sz="4" w:space="0" w:color="auto"/>
            </w:tcBorders>
            <w:shd w:val="clear" w:color="auto" w:fill="auto"/>
            <w:noWrap/>
            <w:vAlign w:val="bottom"/>
            <w:hideMark/>
          </w:tcPr>
          <w:p w14:paraId="2386C6F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6 598 801</w:t>
            </w:r>
          </w:p>
        </w:tc>
        <w:tc>
          <w:tcPr>
            <w:tcW w:w="1984" w:type="dxa"/>
            <w:tcBorders>
              <w:top w:val="nil"/>
              <w:left w:val="nil"/>
              <w:bottom w:val="single" w:sz="4" w:space="0" w:color="auto"/>
              <w:right w:val="single" w:sz="4" w:space="0" w:color="auto"/>
            </w:tcBorders>
            <w:shd w:val="clear" w:color="auto" w:fill="auto"/>
            <w:noWrap/>
            <w:vAlign w:val="bottom"/>
            <w:hideMark/>
          </w:tcPr>
          <w:p w14:paraId="048BC641"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6 031 543</w:t>
            </w:r>
          </w:p>
        </w:tc>
        <w:tc>
          <w:tcPr>
            <w:tcW w:w="2127" w:type="dxa"/>
            <w:tcBorders>
              <w:top w:val="nil"/>
              <w:left w:val="nil"/>
              <w:bottom w:val="single" w:sz="4" w:space="0" w:color="auto"/>
              <w:right w:val="single" w:sz="4" w:space="0" w:color="auto"/>
            </w:tcBorders>
            <w:shd w:val="clear" w:color="auto" w:fill="auto"/>
            <w:noWrap/>
            <w:vAlign w:val="bottom"/>
            <w:hideMark/>
          </w:tcPr>
          <w:p w14:paraId="01415AE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567 258</w:t>
            </w:r>
          </w:p>
        </w:tc>
      </w:tr>
      <w:tr w:rsidR="002A0876" w:rsidRPr="002A0876" w14:paraId="65D7F70E"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B1E070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82</w:t>
            </w:r>
          </w:p>
        </w:tc>
        <w:tc>
          <w:tcPr>
            <w:tcW w:w="6945" w:type="dxa"/>
            <w:tcBorders>
              <w:top w:val="nil"/>
              <w:left w:val="nil"/>
              <w:bottom w:val="single" w:sz="4" w:space="0" w:color="auto"/>
              <w:right w:val="single" w:sz="4" w:space="0" w:color="auto"/>
            </w:tcBorders>
            <w:shd w:val="clear" w:color="auto" w:fill="auto"/>
            <w:noWrap/>
            <w:vAlign w:val="bottom"/>
            <w:hideMark/>
          </w:tcPr>
          <w:p w14:paraId="2A018F29"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"Daugavpils satiksme"</w:t>
            </w:r>
          </w:p>
        </w:tc>
        <w:tc>
          <w:tcPr>
            <w:tcW w:w="1985" w:type="dxa"/>
            <w:tcBorders>
              <w:top w:val="nil"/>
              <w:left w:val="nil"/>
              <w:bottom w:val="single" w:sz="4" w:space="0" w:color="auto"/>
              <w:right w:val="single" w:sz="4" w:space="0" w:color="auto"/>
            </w:tcBorders>
            <w:shd w:val="clear" w:color="auto" w:fill="auto"/>
            <w:noWrap/>
            <w:vAlign w:val="bottom"/>
            <w:hideMark/>
          </w:tcPr>
          <w:p w14:paraId="18DDE107"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9 683 923</w:t>
            </w:r>
          </w:p>
        </w:tc>
        <w:tc>
          <w:tcPr>
            <w:tcW w:w="1984" w:type="dxa"/>
            <w:tcBorders>
              <w:top w:val="nil"/>
              <w:left w:val="nil"/>
              <w:bottom w:val="single" w:sz="4" w:space="0" w:color="auto"/>
              <w:right w:val="single" w:sz="4" w:space="0" w:color="auto"/>
            </w:tcBorders>
            <w:shd w:val="clear" w:color="auto" w:fill="auto"/>
            <w:noWrap/>
            <w:vAlign w:val="bottom"/>
            <w:hideMark/>
          </w:tcPr>
          <w:p w14:paraId="130E87D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9 617 207</w:t>
            </w:r>
          </w:p>
        </w:tc>
        <w:tc>
          <w:tcPr>
            <w:tcW w:w="2127" w:type="dxa"/>
            <w:tcBorders>
              <w:top w:val="nil"/>
              <w:left w:val="nil"/>
              <w:bottom w:val="single" w:sz="4" w:space="0" w:color="auto"/>
              <w:right w:val="single" w:sz="4" w:space="0" w:color="auto"/>
            </w:tcBorders>
            <w:shd w:val="clear" w:color="auto" w:fill="auto"/>
            <w:noWrap/>
            <w:vAlign w:val="bottom"/>
            <w:hideMark/>
          </w:tcPr>
          <w:p w14:paraId="2F7CE7D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66 716</w:t>
            </w:r>
          </w:p>
        </w:tc>
      </w:tr>
      <w:tr w:rsidR="002A0876" w:rsidRPr="002A0876" w14:paraId="69A1DF74"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92DB1E6"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83</w:t>
            </w:r>
          </w:p>
        </w:tc>
        <w:tc>
          <w:tcPr>
            <w:tcW w:w="6945" w:type="dxa"/>
            <w:tcBorders>
              <w:top w:val="nil"/>
              <w:left w:val="nil"/>
              <w:bottom w:val="single" w:sz="4" w:space="0" w:color="auto"/>
              <w:right w:val="single" w:sz="4" w:space="0" w:color="auto"/>
            </w:tcBorders>
            <w:shd w:val="clear" w:color="auto" w:fill="auto"/>
            <w:noWrap/>
            <w:vAlign w:val="bottom"/>
            <w:hideMark/>
          </w:tcPr>
          <w:p w14:paraId="590E87EA"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satiksme"</w:t>
            </w:r>
          </w:p>
        </w:tc>
        <w:tc>
          <w:tcPr>
            <w:tcW w:w="1985" w:type="dxa"/>
            <w:tcBorders>
              <w:top w:val="nil"/>
              <w:left w:val="nil"/>
              <w:bottom w:val="single" w:sz="4" w:space="0" w:color="auto"/>
              <w:right w:val="single" w:sz="4" w:space="0" w:color="auto"/>
            </w:tcBorders>
            <w:shd w:val="clear" w:color="auto" w:fill="auto"/>
            <w:noWrap/>
            <w:vAlign w:val="bottom"/>
            <w:hideMark/>
          </w:tcPr>
          <w:p w14:paraId="1D81012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218 957 275</w:t>
            </w:r>
          </w:p>
        </w:tc>
        <w:tc>
          <w:tcPr>
            <w:tcW w:w="1984" w:type="dxa"/>
            <w:tcBorders>
              <w:top w:val="nil"/>
              <w:left w:val="nil"/>
              <w:bottom w:val="single" w:sz="4" w:space="0" w:color="auto"/>
              <w:right w:val="single" w:sz="4" w:space="0" w:color="auto"/>
            </w:tcBorders>
            <w:shd w:val="clear" w:color="auto" w:fill="auto"/>
            <w:noWrap/>
            <w:vAlign w:val="bottom"/>
            <w:hideMark/>
          </w:tcPr>
          <w:p w14:paraId="791663F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206 369 351</w:t>
            </w:r>
          </w:p>
        </w:tc>
        <w:tc>
          <w:tcPr>
            <w:tcW w:w="2127" w:type="dxa"/>
            <w:tcBorders>
              <w:top w:val="nil"/>
              <w:left w:val="nil"/>
              <w:bottom w:val="single" w:sz="4" w:space="0" w:color="auto"/>
              <w:right w:val="single" w:sz="4" w:space="0" w:color="auto"/>
            </w:tcBorders>
            <w:shd w:val="clear" w:color="auto" w:fill="auto"/>
            <w:noWrap/>
            <w:vAlign w:val="bottom"/>
            <w:hideMark/>
          </w:tcPr>
          <w:p w14:paraId="6B063EB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12 587 924</w:t>
            </w:r>
          </w:p>
        </w:tc>
      </w:tr>
      <w:tr w:rsidR="002A0876" w:rsidRPr="002A0876" w14:paraId="199F29C2" w14:textId="77777777" w:rsidTr="002A087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2065CA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84</w:t>
            </w:r>
          </w:p>
        </w:tc>
        <w:tc>
          <w:tcPr>
            <w:tcW w:w="6945" w:type="dxa"/>
            <w:tcBorders>
              <w:top w:val="nil"/>
              <w:left w:val="nil"/>
              <w:bottom w:val="single" w:sz="4" w:space="0" w:color="auto"/>
              <w:right w:val="single" w:sz="4" w:space="0" w:color="auto"/>
            </w:tcBorders>
            <w:shd w:val="clear" w:color="auto" w:fill="auto"/>
            <w:noWrap/>
            <w:vAlign w:val="bottom"/>
            <w:hideMark/>
          </w:tcPr>
          <w:p w14:paraId="491D41A4"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"Daugavpils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026C1BA8"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42 242 975</w:t>
            </w:r>
          </w:p>
        </w:tc>
        <w:tc>
          <w:tcPr>
            <w:tcW w:w="1984" w:type="dxa"/>
            <w:tcBorders>
              <w:top w:val="nil"/>
              <w:left w:val="nil"/>
              <w:bottom w:val="single" w:sz="4" w:space="0" w:color="auto"/>
              <w:right w:val="single" w:sz="4" w:space="0" w:color="auto"/>
            </w:tcBorders>
            <w:shd w:val="clear" w:color="auto" w:fill="auto"/>
            <w:noWrap/>
            <w:vAlign w:val="bottom"/>
            <w:hideMark/>
          </w:tcPr>
          <w:p w14:paraId="086DB5CE"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42 509 056</w:t>
            </w:r>
          </w:p>
        </w:tc>
        <w:tc>
          <w:tcPr>
            <w:tcW w:w="2127" w:type="dxa"/>
            <w:tcBorders>
              <w:top w:val="nil"/>
              <w:left w:val="nil"/>
              <w:bottom w:val="single" w:sz="4" w:space="0" w:color="auto"/>
              <w:right w:val="single" w:sz="4" w:space="0" w:color="auto"/>
            </w:tcBorders>
            <w:shd w:val="clear" w:color="auto" w:fill="auto"/>
            <w:noWrap/>
            <w:vAlign w:val="bottom"/>
            <w:hideMark/>
          </w:tcPr>
          <w:p w14:paraId="73E45509"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-266 081</w:t>
            </w:r>
          </w:p>
        </w:tc>
      </w:tr>
      <w:tr w:rsidR="002A0876" w:rsidRPr="002A0876" w14:paraId="67EF4065" w14:textId="77777777" w:rsidTr="005E2E93">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A11A69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85</w:t>
            </w:r>
          </w:p>
        </w:tc>
        <w:tc>
          <w:tcPr>
            <w:tcW w:w="6945" w:type="dxa"/>
            <w:tcBorders>
              <w:top w:val="nil"/>
              <w:left w:val="nil"/>
              <w:bottom w:val="single" w:sz="4" w:space="0" w:color="auto"/>
              <w:right w:val="single" w:sz="4" w:space="0" w:color="auto"/>
            </w:tcBorders>
            <w:shd w:val="clear" w:color="auto" w:fill="auto"/>
            <w:noWrap/>
            <w:vAlign w:val="bottom"/>
            <w:hideMark/>
          </w:tcPr>
          <w:p w14:paraId="62316BD0" w14:textId="77777777" w:rsidR="002A0876" w:rsidRPr="002A0876" w:rsidRDefault="002A0876" w:rsidP="002A0876">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"Jēkabpils reģionālā slimnīca"</w:t>
            </w:r>
          </w:p>
        </w:tc>
        <w:tc>
          <w:tcPr>
            <w:tcW w:w="1985" w:type="dxa"/>
            <w:tcBorders>
              <w:top w:val="nil"/>
              <w:left w:val="nil"/>
              <w:bottom w:val="single" w:sz="4" w:space="0" w:color="auto"/>
              <w:right w:val="single" w:sz="4" w:space="0" w:color="auto"/>
            </w:tcBorders>
            <w:shd w:val="clear" w:color="auto" w:fill="auto"/>
            <w:noWrap/>
            <w:vAlign w:val="bottom"/>
            <w:hideMark/>
          </w:tcPr>
          <w:p w14:paraId="1D01ECCC"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16 999 588</w:t>
            </w:r>
          </w:p>
        </w:tc>
        <w:tc>
          <w:tcPr>
            <w:tcW w:w="1984" w:type="dxa"/>
            <w:tcBorders>
              <w:top w:val="nil"/>
              <w:left w:val="nil"/>
              <w:bottom w:val="single" w:sz="4" w:space="0" w:color="auto"/>
              <w:right w:val="single" w:sz="4" w:space="0" w:color="auto"/>
            </w:tcBorders>
            <w:shd w:val="clear" w:color="auto" w:fill="auto"/>
            <w:noWrap/>
            <w:vAlign w:val="bottom"/>
            <w:hideMark/>
          </w:tcPr>
          <w:p w14:paraId="6DE6069A"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16 660 588</w:t>
            </w:r>
          </w:p>
        </w:tc>
        <w:tc>
          <w:tcPr>
            <w:tcW w:w="2127" w:type="dxa"/>
            <w:tcBorders>
              <w:top w:val="nil"/>
              <w:left w:val="nil"/>
              <w:bottom w:val="single" w:sz="4" w:space="0" w:color="auto"/>
              <w:right w:val="single" w:sz="4" w:space="0" w:color="auto"/>
            </w:tcBorders>
            <w:shd w:val="clear" w:color="auto" w:fill="auto"/>
            <w:noWrap/>
            <w:vAlign w:val="bottom"/>
            <w:hideMark/>
          </w:tcPr>
          <w:p w14:paraId="2C984080" w14:textId="77777777" w:rsidR="002A0876" w:rsidRPr="002A0876" w:rsidRDefault="002A0876" w:rsidP="002A0876">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339 000</w:t>
            </w:r>
          </w:p>
        </w:tc>
      </w:tr>
      <w:tr w:rsidR="005E2E93" w:rsidRPr="002A0876" w14:paraId="42C47D72" w14:textId="77777777" w:rsidTr="005E2E93">
        <w:trPr>
          <w:trHeight w:val="1282"/>
        </w:trPr>
        <w:tc>
          <w:tcPr>
            <w:tcW w:w="140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1C63BFE" w14:textId="77777777" w:rsidR="005E2E93" w:rsidRPr="005E2E93" w:rsidRDefault="005E2E93" w:rsidP="005E2E93">
            <w:pPr>
              <w:jc w:val="both"/>
              <w:rPr>
                <w:rFonts w:ascii="Times New Roman" w:eastAsia="Times New Roman" w:hAnsi="Times New Roman" w:cs="Times New Roman"/>
                <w:color w:val="000000"/>
                <w:sz w:val="20"/>
                <w:szCs w:val="20"/>
              </w:rPr>
            </w:pPr>
            <w:r w:rsidRPr="005E2E93">
              <w:rPr>
                <w:rFonts w:ascii="Times New Roman" w:eastAsia="Times New Roman" w:hAnsi="Times New Roman" w:cs="Times New Roman"/>
                <w:color w:val="000000"/>
                <w:sz w:val="20"/>
                <w:szCs w:val="20"/>
              </w:rPr>
              <w:t>Citas ar kapitālsabiedrībām saistītās EKS korekcijas, kas ietekmē B.9 neto aizdevumus (+)/neto aizņēmumus(-):</w:t>
            </w:r>
          </w:p>
          <w:p w14:paraId="5CF87F2D" w14:textId="77777777" w:rsidR="005E2E93" w:rsidRPr="005E2E93" w:rsidRDefault="005E2E93" w:rsidP="005E2E93">
            <w:pPr>
              <w:jc w:val="both"/>
              <w:rPr>
                <w:rFonts w:ascii="Times New Roman" w:eastAsia="Times New Roman" w:hAnsi="Times New Roman" w:cs="Times New Roman"/>
                <w:color w:val="000000"/>
                <w:sz w:val="20"/>
                <w:szCs w:val="20"/>
              </w:rPr>
            </w:pPr>
            <w:r w:rsidRPr="005E2E93">
              <w:rPr>
                <w:rFonts w:ascii="Times New Roman" w:eastAsia="Times New Roman" w:hAnsi="Times New Roman" w:cs="Times New Roman"/>
                <w:color w:val="000000"/>
                <w:sz w:val="20"/>
                <w:szCs w:val="20"/>
              </w:rPr>
              <w:t>Tabulā ir norādīti vispārējās valdības pieklasificēto kapitālsabiedrību ieņēmumi, izdevumi un ietekme uz B.9 neto aizdevumiem (+)/neto aizņēmumiem (-), atbilstoši kapitālsabiedrību atsūtītajām saimnieciskās darbības anketām.</w:t>
            </w:r>
          </w:p>
          <w:p w14:paraId="2F2BEA33" w14:textId="329BAFB4" w:rsidR="005E2E93" w:rsidRPr="002A0876" w:rsidRDefault="005E2E93" w:rsidP="005E2E93">
            <w:pPr>
              <w:jc w:val="both"/>
              <w:rPr>
                <w:rFonts w:ascii="Times New Roman" w:eastAsia="Times New Roman" w:hAnsi="Times New Roman" w:cs="Times New Roman"/>
                <w:color w:val="000000"/>
                <w:sz w:val="20"/>
                <w:szCs w:val="20"/>
              </w:rPr>
            </w:pPr>
            <w:r w:rsidRPr="005E2E93">
              <w:rPr>
                <w:rFonts w:ascii="Times New Roman" w:eastAsia="Times New Roman" w:hAnsi="Times New Roman" w:cs="Times New Roman"/>
                <w:color w:val="000000"/>
                <w:sz w:val="20"/>
                <w:szCs w:val="20"/>
              </w:rPr>
              <w:t>Vispārējās valdības budžeta pieklasificēto kapitālsabiedrību ietekme uz B.9 neto aizdevumiem (+)/neto aizņēmumiem (-), kas iekļauta vispārējās valdības budžeta prognozē</w:t>
            </w:r>
            <w:r>
              <w:rPr>
                <w:rFonts w:ascii="Times New Roman" w:eastAsia="Times New Roman" w:hAnsi="Times New Roman" w:cs="Times New Roman"/>
                <w:color w:val="000000"/>
                <w:sz w:val="20"/>
                <w:szCs w:val="20"/>
              </w:rPr>
              <w:t xml:space="preserve">s 2023. gadā ir -44 399 502 </w:t>
            </w:r>
            <w:r w:rsidRPr="005E2E93">
              <w:rPr>
                <w:rFonts w:ascii="Times New Roman" w:eastAsia="Times New Roman" w:hAnsi="Times New Roman" w:cs="Times New Roman"/>
                <w:i/>
                <w:color w:val="000000"/>
                <w:sz w:val="20"/>
                <w:szCs w:val="20"/>
              </w:rPr>
              <w:t>euro.</w:t>
            </w:r>
          </w:p>
        </w:tc>
      </w:tr>
    </w:tbl>
    <w:p w14:paraId="789A4CB0" w14:textId="4876ABBB" w:rsidR="002A0876" w:rsidRPr="00C404D5" w:rsidRDefault="00C404D5" w:rsidP="00C404D5">
      <w:pPr>
        <w:widowControl w:val="0"/>
        <w:rPr>
          <w:rFonts w:ascii="Times New Roman" w:hAnsi="Times New Roman"/>
          <w:i/>
          <w:sz w:val="20"/>
          <w:szCs w:val="24"/>
        </w:rPr>
      </w:pPr>
      <w:r w:rsidRPr="00C404D5">
        <w:rPr>
          <w:rFonts w:ascii="Times New Roman" w:hAnsi="Times New Roman"/>
          <w:i/>
          <w:sz w:val="20"/>
          <w:szCs w:val="24"/>
        </w:rPr>
        <w:t>Datu avots: FM</w:t>
      </w:r>
    </w:p>
    <w:p w14:paraId="25B15560" w14:textId="04D39B11" w:rsidR="009D05C2" w:rsidRDefault="009D05C2" w:rsidP="00401A5B">
      <w:pPr>
        <w:widowControl w:val="0"/>
        <w:jc w:val="right"/>
        <w:rPr>
          <w:rFonts w:ascii="Times New Roman" w:hAnsi="Times New Roman"/>
          <w:b/>
          <w:sz w:val="28"/>
          <w:szCs w:val="24"/>
        </w:rPr>
      </w:pPr>
    </w:p>
    <w:p w14:paraId="29D1FE0F" w14:textId="307731B5" w:rsidR="002A0876" w:rsidRDefault="002A0876" w:rsidP="00401A5B">
      <w:pPr>
        <w:widowControl w:val="0"/>
        <w:rPr>
          <w:rFonts w:ascii="Times New Roman" w:hAnsi="Times New Roman"/>
          <w:b/>
          <w:sz w:val="28"/>
          <w:szCs w:val="24"/>
        </w:rPr>
      </w:pPr>
    </w:p>
    <w:p w14:paraId="67BAACD1" w14:textId="77777777" w:rsidR="005E2E93" w:rsidRDefault="005E2E93" w:rsidP="00401A5B">
      <w:pPr>
        <w:widowControl w:val="0"/>
        <w:rPr>
          <w:rFonts w:ascii="Times New Roman" w:hAnsi="Times New Roman"/>
          <w:b/>
          <w:sz w:val="28"/>
          <w:szCs w:val="24"/>
        </w:rPr>
      </w:pPr>
    </w:p>
    <w:p w14:paraId="37487C6E" w14:textId="77777777" w:rsidR="003B4DAE" w:rsidRDefault="003B4DAE" w:rsidP="00401A5B">
      <w:pPr>
        <w:widowControl w:val="0"/>
        <w:rPr>
          <w:rFonts w:ascii="Times New Roman" w:hAnsi="Times New Roman"/>
          <w:b/>
          <w:sz w:val="28"/>
          <w:szCs w:val="24"/>
        </w:rPr>
      </w:pPr>
    </w:p>
    <w:p w14:paraId="0C574D22" w14:textId="37DB176B" w:rsidR="009D05C2" w:rsidRDefault="009D05C2" w:rsidP="00401A5B">
      <w:pPr>
        <w:widowControl w:val="0"/>
        <w:jc w:val="right"/>
        <w:rPr>
          <w:rFonts w:ascii="Times New Roman" w:hAnsi="Times New Roman"/>
          <w:b/>
          <w:sz w:val="28"/>
          <w:szCs w:val="24"/>
        </w:rPr>
      </w:pPr>
    </w:p>
    <w:p w14:paraId="3A3419D1" w14:textId="427935FE" w:rsidR="009D05C2" w:rsidRPr="009D05C2" w:rsidRDefault="009D05C2" w:rsidP="00401A5B">
      <w:pPr>
        <w:widowControl w:val="0"/>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r w:rsidRPr="009D05C2">
        <w:rPr>
          <w:rFonts w:ascii="Times New Roman" w:eastAsia="Times New Roman" w:hAnsi="Times New Roman" w:cs="Times New Roman"/>
          <w:color w:val="000000"/>
          <w:sz w:val="28"/>
        </w:rPr>
        <w:t>.pielikums</w:t>
      </w:r>
    </w:p>
    <w:p w14:paraId="3EDA8EBF" w14:textId="488FD61C" w:rsidR="009D05C2" w:rsidRPr="000F6C00" w:rsidRDefault="009D05C2" w:rsidP="000F6C00">
      <w:pPr>
        <w:pStyle w:val="ListParagraph"/>
        <w:widowControl w:val="0"/>
        <w:ind w:left="675"/>
        <w:jc w:val="right"/>
        <w:rPr>
          <w:rFonts w:ascii="Times New Roman" w:hAnsi="Times New Roman"/>
          <w:b/>
          <w:sz w:val="28"/>
          <w:szCs w:val="24"/>
        </w:rPr>
      </w:pPr>
      <w:r>
        <w:rPr>
          <w:rFonts w:ascii="Times New Roman" w:hAnsi="Times New Roman"/>
          <w:b/>
          <w:sz w:val="28"/>
          <w:szCs w:val="24"/>
        </w:rPr>
        <w:t>V</w:t>
      </w:r>
      <w:r w:rsidRPr="009D05C2">
        <w:rPr>
          <w:rFonts w:ascii="Times New Roman" w:hAnsi="Times New Roman"/>
          <w:b/>
          <w:sz w:val="28"/>
          <w:szCs w:val="24"/>
        </w:rPr>
        <w:t>ispārējās valdības sektorā iekļa</w:t>
      </w:r>
      <w:r>
        <w:rPr>
          <w:rFonts w:ascii="Times New Roman" w:hAnsi="Times New Roman"/>
          <w:b/>
          <w:sz w:val="28"/>
          <w:szCs w:val="24"/>
        </w:rPr>
        <w:t>uto kapitālsabiedrību prognozētā ietekme</w:t>
      </w:r>
      <w:r w:rsidRPr="009D05C2">
        <w:rPr>
          <w:rFonts w:ascii="Times New Roman" w:hAnsi="Times New Roman"/>
          <w:b/>
          <w:sz w:val="28"/>
          <w:szCs w:val="24"/>
        </w:rPr>
        <w:t xml:space="preserve"> uz vispārējās valdības parādu 2021., 2022. un 2023.gadā</w:t>
      </w:r>
    </w:p>
    <w:p w14:paraId="703246CC" w14:textId="77777777" w:rsidR="003B4DAE" w:rsidRDefault="003B4DAE" w:rsidP="00401A5B">
      <w:pPr>
        <w:widowControl w:val="0"/>
        <w:jc w:val="right"/>
        <w:rPr>
          <w:rFonts w:ascii="Times New Roman" w:hAnsi="Times New Roman"/>
          <w:b/>
          <w:sz w:val="28"/>
          <w:szCs w:val="24"/>
        </w:rPr>
      </w:pPr>
    </w:p>
    <w:p w14:paraId="53D2F239" w14:textId="77777777" w:rsidR="003B4DAE" w:rsidRPr="002A0876" w:rsidRDefault="003B4DAE" w:rsidP="00401A5B">
      <w:pPr>
        <w:widowControl w:val="0"/>
        <w:jc w:val="right"/>
        <w:rPr>
          <w:rFonts w:ascii="Times New Roman" w:hAnsi="Times New Roman"/>
          <w:i/>
          <w:sz w:val="20"/>
          <w:szCs w:val="20"/>
        </w:rPr>
      </w:pPr>
      <w:r w:rsidRPr="002A0876">
        <w:rPr>
          <w:rFonts w:ascii="Times New Roman" w:hAnsi="Times New Roman"/>
          <w:sz w:val="20"/>
          <w:szCs w:val="20"/>
        </w:rPr>
        <w:t xml:space="preserve">milj. </w:t>
      </w:r>
      <w:r w:rsidRPr="002A0876">
        <w:rPr>
          <w:rFonts w:ascii="Times New Roman" w:hAnsi="Times New Roman"/>
          <w:i/>
          <w:sz w:val="20"/>
          <w:szCs w:val="20"/>
        </w:rPr>
        <w:t>euro</w:t>
      </w:r>
    </w:p>
    <w:tbl>
      <w:tblPr>
        <w:tblW w:w="14034" w:type="dxa"/>
        <w:tblInd w:w="-5" w:type="dxa"/>
        <w:tblLook w:val="04A0" w:firstRow="1" w:lastRow="0" w:firstColumn="1" w:lastColumn="0" w:noHBand="0" w:noVBand="1"/>
      </w:tblPr>
      <w:tblGrid>
        <w:gridCol w:w="1134"/>
        <w:gridCol w:w="10632"/>
        <w:gridCol w:w="2268"/>
      </w:tblGrid>
      <w:tr w:rsidR="003B4DAE" w:rsidRPr="002A0876" w14:paraId="3DB7F81D" w14:textId="77777777" w:rsidTr="003B4DAE">
        <w:trPr>
          <w:trHeight w:val="315"/>
        </w:trPr>
        <w:tc>
          <w:tcPr>
            <w:tcW w:w="14034" w:type="dxa"/>
            <w:gridSpan w:val="3"/>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5EA3671F" w14:textId="77777777" w:rsidR="003B4DAE" w:rsidRPr="002A0876" w:rsidRDefault="003B4DAE" w:rsidP="00401A5B">
            <w:pPr>
              <w:jc w:val="center"/>
              <w:rPr>
                <w:rFonts w:ascii="Times New Roman" w:eastAsia="Times New Roman" w:hAnsi="Times New Roman" w:cs="Times New Roman"/>
                <w:b/>
                <w:bCs/>
                <w:color w:val="000000"/>
                <w:sz w:val="20"/>
                <w:szCs w:val="20"/>
              </w:rPr>
            </w:pPr>
            <w:r w:rsidRPr="002A0876">
              <w:rPr>
                <w:rFonts w:ascii="Times New Roman" w:eastAsia="Times New Roman" w:hAnsi="Times New Roman" w:cs="Times New Roman"/>
                <w:b/>
                <w:bCs/>
                <w:color w:val="000000"/>
                <w:sz w:val="20"/>
                <w:szCs w:val="20"/>
              </w:rPr>
              <w:t>2021</w:t>
            </w:r>
          </w:p>
        </w:tc>
      </w:tr>
      <w:tr w:rsidR="003B4DAE" w:rsidRPr="002A0876" w14:paraId="1A6835EE" w14:textId="77777777" w:rsidTr="003B4DAE">
        <w:trPr>
          <w:trHeight w:val="435"/>
        </w:trPr>
        <w:tc>
          <w:tcPr>
            <w:tcW w:w="1134" w:type="dxa"/>
            <w:tcBorders>
              <w:top w:val="nil"/>
              <w:left w:val="single" w:sz="4" w:space="0" w:color="auto"/>
              <w:bottom w:val="single" w:sz="4" w:space="0" w:color="auto"/>
              <w:right w:val="single" w:sz="4" w:space="0" w:color="auto"/>
            </w:tcBorders>
            <w:shd w:val="clear" w:color="000000" w:fill="BDD7EE"/>
            <w:noWrap/>
            <w:vAlign w:val="bottom"/>
            <w:hideMark/>
          </w:tcPr>
          <w:p w14:paraId="55B640EF"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c>
          <w:tcPr>
            <w:tcW w:w="10632" w:type="dxa"/>
            <w:tcBorders>
              <w:top w:val="nil"/>
              <w:left w:val="nil"/>
              <w:bottom w:val="single" w:sz="4" w:space="0" w:color="auto"/>
              <w:right w:val="single" w:sz="4" w:space="0" w:color="auto"/>
            </w:tcBorders>
            <w:shd w:val="clear" w:color="000000" w:fill="BDD7EE"/>
            <w:vAlign w:val="center"/>
            <w:hideMark/>
          </w:tcPr>
          <w:p w14:paraId="4BE5E6D7" w14:textId="77777777" w:rsidR="003B4DAE" w:rsidRPr="002A0876" w:rsidRDefault="003B4DAE" w:rsidP="00401A5B">
            <w:pPr>
              <w:rPr>
                <w:rFonts w:ascii="Times New Roman" w:eastAsia="Times New Roman" w:hAnsi="Times New Roman" w:cs="Times New Roman"/>
                <w:b/>
                <w:bCs/>
                <w:color w:val="000000"/>
                <w:sz w:val="20"/>
                <w:szCs w:val="20"/>
              </w:rPr>
            </w:pPr>
            <w:r w:rsidRPr="002A0876">
              <w:rPr>
                <w:rFonts w:ascii="Times New Roman" w:eastAsia="Times New Roman" w:hAnsi="Times New Roman" w:cs="Times New Roman"/>
                <w:b/>
                <w:bCs/>
                <w:color w:val="000000"/>
                <w:sz w:val="20"/>
                <w:szCs w:val="20"/>
              </w:rPr>
              <w:t>Ietekme uz vispārējās valdības parādu, kopā:</w:t>
            </w:r>
          </w:p>
        </w:tc>
        <w:tc>
          <w:tcPr>
            <w:tcW w:w="2268" w:type="dxa"/>
            <w:tcBorders>
              <w:top w:val="nil"/>
              <w:left w:val="nil"/>
              <w:bottom w:val="single" w:sz="4" w:space="0" w:color="auto"/>
              <w:right w:val="single" w:sz="4" w:space="0" w:color="auto"/>
            </w:tcBorders>
            <w:shd w:val="clear" w:color="000000" w:fill="BDD7EE"/>
            <w:vAlign w:val="center"/>
            <w:hideMark/>
          </w:tcPr>
          <w:p w14:paraId="4DD5B406" w14:textId="77777777" w:rsidR="003B4DAE" w:rsidRPr="002A0876" w:rsidRDefault="003B4DAE" w:rsidP="00401A5B">
            <w:pPr>
              <w:jc w:val="right"/>
              <w:rPr>
                <w:rFonts w:ascii="Times New Roman" w:eastAsia="Times New Roman" w:hAnsi="Times New Roman" w:cs="Times New Roman"/>
                <w:b/>
                <w:bCs/>
                <w:color w:val="000000"/>
                <w:sz w:val="20"/>
                <w:szCs w:val="20"/>
              </w:rPr>
            </w:pPr>
            <w:r w:rsidRPr="002A0876">
              <w:rPr>
                <w:rFonts w:ascii="Times New Roman" w:eastAsia="Times New Roman" w:hAnsi="Times New Roman" w:cs="Times New Roman"/>
                <w:b/>
                <w:bCs/>
                <w:color w:val="000000"/>
                <w:sz w:val="20"/>
                <w:szCs w:val="20"/>
              </w:rPr>
              <w:t>845,23</w:t>
            </w:r>
          </w:p>
        </w:tc>
      </w:tr>
      <w:tr w:rsidR="003B4DAE" w:rsidRPr="002A0876" w14:paraId="4120CAF8" w14:textId="77777777" w:rsidTr="003B4DAE">
        <w:trPr>
          <w:trHeight w:val="315"/>
        </w:trPr>
        <w:tc>
          <w:tcPr>
            <w:tcW w:w="1134" w:type="dxa"/>
            <w:tcBorders>
              <w:top w:val="nil"/>
              <w:left w:val="single" w:sz="4" w:space="0" w:color="auto"/>
              <w:bottom w:val="single" w:sz="4" w:space="0" w:color="auto"/>
              <w:right w:val="single" w:sz="4" w:space="0" w:color="auto"/>
            </w:tcBorders>
            <w:shd w:val="clear" w:color="000000" w:fill="DDEBF7"/>
            <w:noWrap/>
            <w:vAlign w:val="bottom"/>
            <w:hideMark/>
          </w:tcPr>
          <w:p w14:paraId="2AE9A695" w14:textId="77777777" w:rsidR="003B4DAE" w:rsidRPr="002A0876" w:rsidRDefault="003B4DAE" w:rsidP="00401A5B">
            <w:pPr>
              <w:jc w:val="cente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S130100</w:t>
            </w:r>
          </w:p>
        </w:tc>
        <w:tc>
          <w:tcPr>
            <w:tcW w:w="10632" w:type="dxa"/>
            <w:tcBorders>
              <w:top w:val="nil"/>
              <w:left w:val="nil"/>
              <w:bottom w:val="single" w:sz="4" w:space="0" w:color="auto"/>
              <w:right w:val="single" w:sz="4" w:space="0" w:color="auto"/>
            </w:tcBorders>
            <w:shd w:val="clear" w:color="000000" w:fill="DDEBF7"/>
            <w:noWrap/>
            <w:vAlign w:val="bottom"/>
            <w:hideMark/>
          </w:tcPr>
          <w:p w14:paraId="60A861AB"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Valsts struktūru kontrolētas un finansētas komercsabiedrības</w:t>
            </w:r>
          </w:p>
        </w:tc>
        <w:tc>
          <w:tcPr>
            <w:tcW w:w="2268" w:type="dxa"/>
            <w:tcBorders>
              <w:top w:val="nil"/>
              <w:left w:val="nil"/>
              <w:bottom w:val="single" w:sz="4" w:space="0" w:color="auto"/>
              <w:right w:val="single" w:sz="4" w:space="0" w:color="auto"/>
            </w:tcBorders>
            <w:shd w:val="clear" w:color="000000" w:fill="DDEBF7"/>
            <w:noWrap/>
            <w:vAlign w:val="bottom"/>
            <w:hideMark/>
          </w:tcPr>
          <w:p w14:paraId="36B7B829"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3B4DAE" w:rsidRPr="002A0876" w14:paraId="47652D53"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177046"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w:t>
            </w:r>
          </w:p>
        </w:tc>
        <w:tc>
          <w:tcPr>
            <w:tcW w:w="10632" w:type="dxa"/>
            <w:tcBorders>
              <w:top w:val="nil"/>
              <w:left w:val="nil"/>
              <w:bottom w:val="single" w:sz="4" w:space="0" w:color="auto"/>
              <w:right w:val="single" w:sz="4" w:space="0" w:color="auto"/>
            </w:tcBorders>
            <w:shd w:val="clear" w:color="auto" w:fill="auto"/>
            <w:noWrap/>
            <w:vAlign w:val="bottom"/>
            <w:hideMark/>
          </w:tcPr>
          <w:p w14:paraId="783B01A5"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„Enerģijas publiskais tirgotājs”</w:t>
            </w:r>
          </w:p>
        </w:tc>
        <w:tc>
          <w:tcPr>
            <w:tcW w:w="2268" w:type="dxa"/>
            <w:tcBorders>
              <w:top w:val="nil"/>
              <w:left w:val="nil"/>
              <w:bottom w:val="single" w:sz="4" w:space="0" w:color="auto"/>
              <w:right w:val="single" w:sz="4" w:space="0" w:color="auto"/>
            </w:tcBorders>
            <w:shd w:val="clear" w:color="auto" w:fill="auto"/>
            <w:noWrap/>
            <w:vAlign w:val="bottom"/>
            <w:hideMark/>
          </w:tcPr>
          <w:p w14:paraId="0ABB1D71"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73,5</w:t>
            </w:r>
          </w:p>
        </w:tc>
      </w:tr>
      <w:tr w:rsidR="003B4DAE" w:rsidRPr="002A0876" w14:paraId="19E459C5"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F88A89D"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w:t>
            </w:r>
          </w:p>
        </w:tc>
        <w:tc>
          <w:tcPr>
            <w:tcW w:w="10632" w:type="dxa"/>
            <w:tcBorders>
              <w:top w:val="nil"/>
              <w:left w:val="nil"/>
              <w:bottom w:val="single" w:sz="4" w:space="0" w:color="auto"/>
              <w:right w:val="single" w:sz="4" w:space="0" w:color="auto"/>
            </w:tcBorders>
            <w:shd w:val="clear" w:color="auto" w:fill="auto"/>
            <w:noWrap/>
            <w:vAlign w:val="bottom"/>
            <w:hideMark/>
          </w:tcPr>
          <w:p w14:paraId="08B95240"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"Latvijas Vides, ģeoloģijas un meteoroloģijas centrs"</w:t>
            </w:r>
          </w:p>
        </w:tc>
        <w:tc>
          <w:tcPr>
            <w:tcW w:w="2268" w:type="dxa"/>
            <w:tcBorders>
              <w:top w:val="nil"/>
              <w:left w:val="nil"/>
              <w:bottom w:val="single" w:sz="4" w:space="0" w:color="auto"/>
              <w:right w:val="single" w:sz="4" w:space="0" w:color="auto"/>
            </w:tcBorders>
            <w:shd w:val="clear" w:color="auto" w:fill="auto"/>
            <w:noWrap/>
            <w:vAlign w:val="bottom"/>
            <w:hideMark/>
          </w:tcPr>
          <w:p w14:paraId="4895121A"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w:t>
            </w:r>
          </w:p>
        </w:tc>
      </w:tr>
      <w:tr w:rsidR="003B4DAE" w:rsidRPr="002A0876" w14:paraId="75099779"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54AABD"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w:t>
            </w:r>
          </w:p>
        </w:tc>
        <w:tc>
          <w:tcPr>
            <w:tcW w:w="10632" w:type="dxa"/>
            <w:tcBorders>
              <w:top w:val="nil"/>
              <w:left w:val="nil"/>
              <w:bottom w:val="single" w:sz="4" w:space="0" w:color="auto"/>
              <w:right w:val="single" w:sz="4" w:space="0" w:color="auto"/>
            </w:tcBorders>
            <w:shd w:val="clear" w:color="auto" w:fill="auto"/>
            <w:noWrap/>
            <w:vAlign w:val="bottom"/>
            <w:hideMark/>
          </w:tcPr>
          <w:p w14:paraId="1326FC24"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“Latvijas autoceļu uzturētājs”</w:t>
            </w:r>
          </w:p>
        </w:tc>
        <w:tc>
          <w:tcPr>
            <w:tcW w:w="2268" w:type="dxa"/>
            <w:tcBorders>
              <w:top w:val="nil"/>
              <w:left w:val="nil"/>
              <w:bottom w:val="single" w:sz="4" w:space="0" w:color="auto"/>
              <w:right w:val="single" w:sz="4" w:space="0" w:color="auto"/>
            </w:tcBorders>
            <w:shd w:val="clear" w:color="auto" w:fill="auto"/>
            <w:noWrap/>
            <w:vAlign w:val="bottom"/>
            <w:hideMark/>
          </w:tcPr>
          <w:p w14:paraId="59A39EA2"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18,3</w:t>
            </w:r>
          </w:p>
        </w:tc>
      </w:tr>
      <w:tr w:rsidR="003B4DAE" w:rsidRPr="002A0876" w14:paraId="7235C2A3"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C04E902"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w:t>
            </w:r>
          </w:p>
        </w:tc>
        <w:tc>
          <w:tcPr>
            <w:tcW w:w="10632" w:type="dxa"/>
            <w:tcBorders>
              <w:top w:val="nil"/>
              <w:left w:val="nil"/>
              <w:bottom w:val="single" w:sz="4" w:space="0" w:color="auto"/>
              <w:right w:val="single" w:sz="4" w:space="0" w:color="auto"/>
            </w:tcBorders>
            <w:shd w:val="clear" w:color="auto" w:fill="auto"/>
            <w:noWrap/>
            <w:vAlign w:val="bottom"/>
            <w:hideMark/>
          </w:tcPr>
          <w:p w14:paraId="336BA282"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„Pasažieru vilciens”</w:t>
            </w:r>
          </w:p>
        </w:tc>
        <w:tc>
          <w:tcPr>
            <w:tcW w:w="2268" w:type="dxa"/>
            <w:tcBorders>
              <w:top w:val="nil"/>
              <w:left w:val="nil"/>
              <w:bottom w:val="single" w:sz="4" w:space="0" w:color="auto"/>
              <w:right w:val="single" w:sz="4" w:space="0" w:color="auto"/>
            </w:tcBorders>
            <w:shd w:val="clear" w:color="auto" w:fill="auto"/>
            <w:noWrap/>
            <w:vAlign w:val="bottom"/>
            <w:hideMark/>
          </w:tcPr>
          <w:p w14:paraId="43461238"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5,1</w:t>
            </w:r>
          </w:p>
        </w:tc>
      </w:tr>
      <w:tr w:rsidR="003B4DAE" w:rsidRPr="002A0876" w14:paraId="1CA964C4"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78CE52"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w:t>
            </w:r>
          </w:p>
        </w:tc>
        <w:tc>
          <w:tcPr>
            <w:tcW w:w="10632" w:type="dxa"/>
            <w:tcBorders>
              <w:top w:val="nil"/>
              <w:left w:val="nil"/>
              <w:bottom w:val="single" w:sz="4" w:space="0" w:color="auto"/>
              <w:right w:val="single" w:sz="4" w:space="0" w:color="auto"/>
            </w:tcBorders>
            <w:shd w:val="clear" w:color="auto" w:fill="auto"/>
            <w:noWrap/>
            <w:vAlign w:val="bottom"/>
            <w:hideMark/>
          </w:tcPr>
          <w:p w14:paraId="1C8FD0DF"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"Nacionālais rehabilitācijas centrs "Vaivari""</w:t>
            </w:r>
          </w:p>
        </w:tc>
        <w:tc>
          <w:tcPr>
            <w:tcW w:w="2268" w:type="dxa"/>
            <w:tcBorders>
              <w:top w:val="nil"/>
              <w:left w:val="nil"/>
              <w:bottom w:val="single" w:sz="4" w:space="0" w:color="auto"/>
              <w:right w:val="single" w:sz="4" w:space="0" w:color="auto"/>
            </w:tcBorders>
            <w:shd w:val="clear" w:color="auto" w:fill="auto"/>
            <w:noWrap/>
            <w:vAlign w:val="bottom"/>
            <w:hideMark/>
          </w:tcPr>
          <w:p w14:paraId="544CAD83"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0,7</w:t>
            </w:r>
          </w:p>
        </w:tc>
      </w:tr>
      <w:tr w:rsidR="003B4DAE" w:rsidRPr="002A0876" w14:paraId="6141E4F1"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98B7571"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w:t>
            </w:r>
          </w:p>
        </w:tc>
        <w:tc>
          <w:tcPr>
            <w:tcW w:w="10632" w:type="dxa"/>
            <w:tcBorders>
              <w:top w:val="nil"/>
              <w:left w:val="nil"/>
              <w:bottom w:val="single" w:sz="4" w:space="0" w:color="auto"/>
              <w:right w:val="single" w:sz="4" w:space="0" w:color="auto"/>
            </w:tcBorders>
            <w:shd w:val="clear" w:color="auto" w:fill="auto"/>
            <w:noWrap/>
            <w:vAlign w:val="bottom"/>
            <w:hideMark/>
          </w:tcPr>
          <w:p w14:paraId="66253967"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"Tiesu namu aģentūra"</w:t>
            </w:r>
          </w:p>
        </w:tc>
        <w:tc>
          <w:tcPr>
            <w:tcW w:w="2268" w:type="dxa"/>
            <w:tcBorders>
              <w:top w:val="nil"/>
              <w:left w:val="nil"/>
              <w:bottom w:val="single" w:sz="4" w:space="0" w:color="auto"/>
              <w:right w:val="single" w:sz="4" w:space="0" w:color="auto"/>
            </w:tcBorders>
            <w:shd w:val="clear" w:color="auto" w:fill="auto"/>
            <w:noWrap/>
            <w:vAlign w:val="bottom"/>
            <w:hideMark/>
          </w:tcPr>
          <w:p w14:paraId="3D181DF4"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17,9</w:t>
            </w:r>
          </w:p>
        </w:tc>
      </w:tr>
      <w:tr w:rsidR="003B4DAE" w:rsidRPr="002A0876" w14:paraId="3F1F5D88"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7F8E072"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w:t>
            </w:r>
          </w:p>
        </w:tc>
        <w:tc>
          <w:tcPr>
            <w:tcW w:w="10632" w:type="dxa"/>
            <w:tcBorders>
              <w:top w:val="nil"/>
              <w:left w:val="nil"/>
              <w:bottom w:val="single" w:sz="4" w:space="0" w:color="auto"/>
              <w:right w:val="single" w:sz="4" w:space="0" w:color="auto"/>
            </w:tcBorders>
            <w:shd w:val="clear" w:color="auto" w:fill="auto"/>
            <w:noWrap/>
            <w:vAlign w:val="bottom"/>
            <w:hideMark/>
          </w:tcPr>
          <w:p w14:paraId="61C748A8"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VAS "Valsts nekustamie īpašumi"</w:t>
            </w:r>
          </w:p>
        </w:tc>
        <w:tc>
          <w:tcPr>
            <w:tcW w:w="2268" w:type="dxa"/>
            <w:tcBorders>
              <w:top w:val="nil"/>
              <w:left w:val="nil"/>
              <w:bottom w:val="single" w:sz="4" w:space="0" w:color="auto"/>
              <w:right w:val="single" w:sz="4" w:space="0" w:color="auto"/>
            </w:tcBorders>
            <w:shd w:val="clear" w:color="auto" w:fill="auto"/>
            <w:noWrap/>
            <w:vAlign w:val="bottom"/>
            <w:hideMark/>
          </w:tcPr>
          <w:p w14:paraId="353B4DAB"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89,7</w:t>
            </w:r>
          </w:p>
        </w:tc>
      </w:tr>
      <w:tr w:rsidR="003B4DAE" w:rsidRPr="002A0876" w14:paraId="52518826"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53FE07"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w:t>
            </w:r>
          </w:p>
        </w:tc>
        <w:tc>
          <w:tcPr>
            <w:tcW w:w="10632" w:type="dxa"/>
            <w:tcBorders>
              <w:top w:val="nil"/>
              <w:left w:val="nil"/>
              <w:bottom w:val="single" w:sz="4" w:space="0" w:color="auto"/>
              <w:right w:val="single" w:sz="4" w:space="0" w:color="auto"/>
            </w:tcBorders>
            <w:shd w:val="clear" w:color="auto" w:fill="auto"/>
            <w:noWrap/>
            <w:vAlign w:val="bottom"/>
            <w:hideMark/>
          </w:tcPr>
          <w:p w14:paraId="7E45214A"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Austrumu klīniskā universitātes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3D1B106A"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44,5</w:t>
            </w:r>
          </w:p>
        </w:tc>
      </w:tr>
      <w:tr w:rsidR="003B4DAE" w:rsidRPr="002A0876" w14:paraId="40D095B2" w14:textId="77777777" w:rsidTr="003B4DAE">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E10B40"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w:t>
            </w:r>
          </w:p>
        </w:tc>
        <w:tc>
          <w:tcPr>
            <w:tcW w:w="10632" w:type="dxa"/>
            <w:tcBorders>
              <w:top w:val="nil"/>
              <w:left w:val="nil"/>
              <w:bottom w:val="single" w:sz="4" w:space="0" w:color="auto"/>
              <w:right w:val="single" w:sz="4" w:space="0" w:color="auto"/>
            </w:tcBorders>
            <w:shd w:val="clear" w:color="auto" w:fill="auto"/>
            <w:noWrap/>
            <w:vAlign w:val="bottom"/>
            <w:hideMark/>
          </w:tcPr>
          <w:p w14:paraId="007949E1"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"Attīstības finanšu institūcija Altum"</w:t>
            </w:r>
          </w:p>
        </w:tc>
        <w:tc>
          <w:tcPr>
            <w:tcW w:w="2268" w:type="dxa"/>
            <w:tcBorders>
              <w:top w:val="nil"/>
              <w:left w:val="nil"/>
              <w:bottom w:val="single" w:sz="4" w:space="0" w:color="auto"/>
              <w:right w:val="single" w:sz="4" w:space="0" w:color="auto"/>
            </w:tcBorders>
            <w:shd w:val="clear" w:color="auto" w:fill="auto"/>
            <w:noWrap/>
            <w:vAlign w:val="bottom"/>
            <w:hideMark/>
          </w:tcPr>
          <w:p w14:paraId="4813F5FC"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203,2</w:t>
            </w:r>
          </w:p>
        </w:tc>
      </w:tr>
      <w:tr w:rsidR="003B4DAE" w:rsidRPr="002A0876" w14:paraId="37F9CABE"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0BA81B"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w:t>
            </w:r>
          </w:p>
        </w:tc>
        <w:tc>
          <w:tcPr>
            <w:tcW w:w="10632" w:type="dxa"/>
            <w:tcBorders>
              <w:top w:val="nil"/>
              <w:left w:val="nil"/>
              <w:bottom w:val="single" w:sz="4" w:space="0" w:color="auto"/>
              <w:right w:val="single" w:sz="4" w:space="0" w:color="auto"/>
            </w:tcBorders>
            <w:shd w:val="clear" w:color="auto" w:fill="auto"/>
            <w:noWrap/>
            <w:vAlign w:val="bottom"/>
            <w:hideMark/>
          </w:tcPr>
          <w:p w14:paraId="633CD080"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"Slimnīca Ģintermuiža"</w:t>
            </w:r>
          </w:p>
        </w:tc>
        <w:tc>
          <w:tcPr>
            <w:tcW w:w="2268" w:type="dxa"/>
            <w:tcBorders>
              <w:top w:val="nil"/>
              <w:left w:val="nil"/>
              <w:bottom w:val="single" w:sz="4" w:space="0" w:color="auto"/>
              <w:right w:val="single" w:sz="4" w:space="0" w:color="auto"/>
            </w:tcBorders>
            <w:shd w:val="clear" w:color="auto" w:fill="auto"/>
            <w:noWrap/>
            <w:vAlign w:val="bottom"/>
            <w:hideMark/>
          </w:tcPr>
          <w:p w14:paraId="2F179D49"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8,2</w:t>
            </w:r>
          </w:p>
        </w:tc>
      </w:tr>
      <w:tr w:rsidR="003B4DAE" w:rsidRPr="002A0876" w14:paraId="16932160"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E3B0F8"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w:t>
            </w:r>
          </w:p>
        </w:tc>
        <w:tc>
          <w:tcPr>
            <w:tcW w:w="10632" w:type="dxa"/>
            <w:tcBorders>
              <w:top w:val="nil"/>
              <w:left w:val="nil"/>
              <w:bottom w:val="single" w:sz="4" w:space="0" w:color="auto"/>
              <w:right w:val="single" w:sz="4" w:space="0" w:color="auto"/>
            </w:tcBorders>
            <w:shd w:val="clear" w:color="auto" w:fill="auto"/>
            <w:noWrap/>
            <w:vAlign w:val="bottom"/>
            <w:hideMark/>
          </w:tcPr>
          <w:p w14:paraId="2E08DAAF"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"Bērnu klīniskā universitātes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24BA3515"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16,5</w:t>
            </w:r>
          </w:p>
        </w:tc>
      </w:tr>
      <w:tr w:rsidR="003B4DAE" w:rsidRPr="002A0876" w14:paraId="19BF169C"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7422F0"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12</w:t>
            </w:r>
          </w:p>
        </w:tc>
        <w:tc>
          <w:tcPr>
            <w:tcW w:w="10632" w:type="dxa"/>
            <w:tcBorders>
              <w:top w:val="nil"/>
              <w:left w:val="nil"/>
              <w:bottom w:val="single" w:sz="4" w:space="0" w:color="auto"/>
              <w:right w:val="single" w:sz="4" w:space="0" w:color="auto"/>
            </w:tcBorders>
            <w:shd w:val="clear" w:color="auto" w:fill="auto"/>
            <w:noWrap/>
            <w:vAlign w:val="bottom"/>
            <w:hideMark/>
          </w:tcPr>
          <w:p w14:paraId="736D1A77"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"Paula Stradiņa Klīniskā universitātes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3B9D39CC"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44,7</w:t>
            </w:r>
          </w:p>
        </w:tc>
      </w:tr>
      <w:tr w:rsidR="003B4DAE" w:rsidRPr="002A0876" w14:paraId="58CBE129"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D32DCC"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13</w:t>
            </w:r>
          </w:p>
        </w:tc>
        <w:tc>
          <w:tcPr>
            <w:tcW w:w="10632" w:type="dxa"/>
            <w:tcBorders>
              <w:top w:val="nil"/>
              <w:left w:val="nil"/>
              <w:bottom w:val="single" w:sz="4" w:space="0" w:color="auto"/>
              <w:right w:val="single" w:sz="4" w:space="0" w:color="auto"/>
            </w:tcBorders>
            <w:shd w:val="clear" w:color="auto" w:fill="auto"/>
            <w:noWrap/>
            <w:vAlign w:val="bottom"/>
            <w:hideMark/>
          </w:tcPr>
          <w:p w14:paraId="0A90BDC2"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VSIA "Daugavpils psihoneiroloģiskā slimnīca"</w:t>
            </w:r>
          </w:p>
        </w:tc>
        <w:tc>
          <w:tcPr>
            <w:tcW w:w="2268" w:type="dxa"/>
            <w:tcBorders>
              <w:top w:val="nil"/>
              <w:left w:val="nil"/>
              <w:bottom w:val="single" w:sz="4" w:space="0" w:color="auto"/>
              <w:right w:val="single" w:sz="4" w:space="0" w:color="auto"/>
            </w:tcBorders>
            <w:shd w:val="clear" w:color="auto" w:fill="auto"/>
            <w:noWrap/>
            <w:vAlign w:val="bottom"/>
            <w:hideMark/>
          </w:tcPr>
          <w:p w14:paraId="6DCC7C5D"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9,3</w:t>
            </w:r>
          </w:p>
        </w:tc>
      </w:tr>
      <w:tr w:rsidR="003B4DAE" w:rsidRPr="002A0876" w14:paraId="25BEF55A" w14:textId="77777777" w:rsidTr="003B4DAE">
        <w:trPr>
          <w:trHeight w:val="315"/>
        </w:trPr>
        <w:tc>
          <w:tcPr>
            <w:tcW w:w="1134" w:type="dxa"/>
            <w:tcBorders>
              <w:top w:val="nil"/>
              <w:left w:val="single" w:sz="4" w:space="0" w:color="auto"/>
              <w:bottom w:val="single" w:sz="4" w:space="0" w:color="auto"/>
              <w:right w:val="single" w:sz="4" w:space="0" w:color="auto"/>
            </w:tcBorders>
            <w:shd w:val="clear" w:color="000000" w:fill="DDEBF7"/>
            <w:noWrap/>
            <w:vAlign w:val="bottom"/>
            <w:hideMark/>
          </w:tcPr>
          <w:p w14:paraId="2089D8F5"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S130300</w:t>
            </w:r>
          </w:p>
        </w:tc>
        <w:tc>
          <w:tcPr>
            <w:tcW w:w="10632" w:type="dxa"/>
            <w:tcBorders>
              <w:top w:val="nil"/>
              <w:left w:val="nil"/>
              <w:bottom w:val="nil"/>
              <w:right w:val="nil"/>
            </w:tcBorders>
            <w:shd w:val="clear" w:color="000000" w:fill="DDEBF7"/>
            <w:noWrap/>
            <w:vAlign w:val="bottom"/>
            <w:hideMark/>
          </w:tcPr>
          <w:p w14:paraId="6354FA88"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Pašvaldības struktūru kontrolētas un finansētas komercsabiedrības</w:t>
            </w:r>
          </w:p>
        </w:tc>
        <w:tc>
          <w:tcPr>
            <w:tcW w:w="2268" w:type="dxa"/>
            <w:tcBorders>
              <w:top w:val="nil"/>
              <w:left w:val="single" w:sz="4" w:space="0" w:color="auto"/>
              <w:bottom w:val="single" w:sz="4" w:space="0" w:color="auto"/>
              <w:right w:val="single" w:sz="4" w:space="0" w:color="auto"/>
            </w:tcBorders>
            <w:shd w:val="clear" w:color="000000" w:fill="DDEBF7"/>
            <w:noWrap/>
            <w:vAlign w:val="bottom"/>
            <w:hideMark/>
          </w:tcPr>
          <w:p w14:paraId="4E1C10D7"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 </w:t>
            </w:r>
          </w:p>
        </w:tc>
      </w:tr>
      <w:tr w:rsidR="003B4DAE" w:rsidRPr="002A0876" w14:paraId="5A0D07D6"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9D75118"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w:t>
            </w:r>
          </w:p>
        </w:tc>
        <w:tc>
          <w:tcPr>
            <w:tcW w:w="10632" w:type="dxa"/>
            <w:tcBorders>
              <w:top w:val="single" w:sz="4" w:space="0" w:color="auto"/>
              <w:left w:val="nil"/>
              <w:bottom w:val="single" w:sz="4" w:space="0" w:color="auto"/>
              <w:right w:val="single" w:sz="4" w:space="0" w:color="auto"/>
            </w:tcBorders>
            <w:shd w:val="clear" w:color="auto" w:fill="auto"/>
            <w:noWrap/>
            <w:vAlign w:val="bottom"/>
            <w:hideMark/>
          </w:tcPr>
          <w:p w14:paraId="444EBF90"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"Cēsu klīnika"</w:t>
            </w:r>
          </w:p>
        </w:tc>
        <w:tc>
          <w:tcPr>
            <w:tcW w:w="2268" w:type="dxa"/>
            <w:tcBorders>
              <w:top w:val="nil"/>
              <w:left w:val="nil"/>
              <w:bottom w:val="single" w:sz="4" w:space="0" w:color="auto"/>
              <w:right w:val="single" w:sz="4" w:space="0" w:color="auto"/>
            </w:tcBorders>
            <w:shd w:val="clear" w:color="auto" w:fill="auto"/>
            <w:noWrap/>
            <w:vAlign w:val="bottom"/>
            <w:hideMark/>
          </w:tcPr>
          <w:p w14:paraId="1C17D9D9"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2,2</w:t>
            </w:r>
          </w:p>
        </w:tc>
      </w:tr>
      <w:tr w:rsidR="003B4DAE" w:rsidRPr="002A0876" w14:paraId="3AD98B42"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0F28AD0"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w:t>
            </w:r>
          </w:p>
        </w:tc>
        <w:tc>
          <w:tcPr>
            <w:tcW w:w="10632" w:type="dxa"/>
            <w:tcBorders>
              <w:top w:val="nil"/>
              <w:left w:val="nil"/>
              <w:bottom w:val="single" w:sz="4" w:space="0" w:color="auto"/>
              <w:right w:val="single" w:sz="4" w:space="0" w:color="auto"/>
            </w:tcBorders>
            <w:shd w:val="clear" w:color="auto" w:fill="auto"/>
            <w:noWrap/>
            <w:vAlign w:val="bottom"/>
            <w:hideMark/>
          </w:tcPr>
          <w:p w14:paraId="33C420E2"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"Jēkabpils reģionālā slimnīca"</w:t>
            </w:r>
          </w:p>
        </w:tc>
        <w:tc>
          <w:tcPr>
            <w:tcW w:w="2268" w:type="dxa"/>
            <w:tcBorders>
              <w:top w:val="nil"/>
              <w:left w:val="nil"/>
              <w:bottom w:val="single" w:sz="4" w:space="0" w:color="auto"/>
              <w:right w:val="single" w:sz="4" w:space="0" w:color="auto"/>
            </w:tcBorders>
            <w:shd w:val="clear" w:color="auto" w:fill="auto"/>
            <w:noWrap/>
            <w:vAlign w:val="bottom"/>
            <w:hideMark/>
          </w:tcPr>
          <w:p w14:paraId="062E5758"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0,8</w:t>
            </w:r>
          </w:p>
        </w:tc>
      </w:tr>
      <w:tr w:rsidR="003B4DAE" w:rsidRPr="002A0876" w14:paraId="527443DE"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6C036F9"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w:t>
            </w:r>
          </w:p>
        </w:tc>
        <w:tc>
          <w:tcPr>
            <w:tcW w:w="10632" w:type="dxa"/>
            <w:tcBorders>
              <w:top w:val="nil"/>
              <w:left w:val="nil"/>
              <w:bottom w:val="single" w:sz="4" w:space="0" w:color="auto"/>
              <w:right w:val="single" w:sz="4" w:space="0" w:color="auto"/>
            </w:tcBorders>
            <w:shd w:val="clear" w:color="auto" w:fill="auto"/>
            <w:noWrap/>
            <w:vAlign w:val="bottom"/>
            <w:hideMark/>
          </w:tcPr>
          <w:p w14:paraId="5709B9AF"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"Jūrmalas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2B255680"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1,6</w:t>
            </w:r>
          </w:p>
        </w:tc>
      </w:tr>
      <w:tr w:rsidR="003B4DAE" w:rsidRPr="002A0876" w14:paraId="7D32F98B" w14:textId="77777777" w:rsidTr="006C7EFD">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5C6D8B"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4</w:t>
            </w:r>
          </w:p>
        </w:tc>
        <w:tc>
          <w:tcPr>
            <w:tcW w:w="10632" w:type="dxa"/>
            <w:tcBorders>
              <w:top w:val="nil"/>
              <w:left w:val="nil"/>
              <w:bottom w:val="single" w:sz="4" w:space="0" w:color="auto"/>
              <w:right w:val="single" w:sz="4" w:space="0" w:color="auto"/>
            </w:tcBorders>
            <w:shd w:val="clear" w:color="auto" w:fill="auto"/>
            <w:noWrap/>
            <w:vAlign w:val="bottom"/>
            <w:hideMark/>
          </w:tcPr>
          <w:p w14:paraId="61E35BCA"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"Kuldīgas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6A453C9B"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0,4</w:t>
            </w:r>
          </w:p>
        </w:tc>
      </w:tr>
      <w:tr w:rsidR="003B4DAE" w:rsidRPr="002A0876" w14:paraId="2C1033B4" w14:textId="77777777" w:rsidTr="006C7EFD">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C57A3"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5</w:t>
            </w:r>
          </w:p>
        </w:tc>
        <w:tc>
          <w:tcPr>
            <w:tcW w:w="10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AD1B8"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RP SIA "Rīgas Satiksme"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C60F3"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301,7</w:t>
            </w:r>
          </w:p>
        </w:tc>
      </w:tr>
      <w:tr w:rsidR="003B4DAE" w:rsidRPr="002A0876" w14:paraId="60C52A38" w14:textId="77777777" w:rsidTr="006C7EFD">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C49C0"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6</w:t>
            </w:r>
          </w:p>
        </w:tc>
        <w:tc>
          <w:tcPr>
            <w:tcW w:w="10632" w:type="dxa"/>
            <w:tcBorders>
              <w:top w:val="single" w:sz="4" w:space="0" w:color="auto"/>
              <w:left w:val="nil"/>
              <w:bottom w:val="single" w:sz="4" w:space="0" w:color="auto"/>
              <w:right w:val="single" w:sz="4" w:space="0" w:color="auto"/>
            </w:tcBorders>
            <w:shd w:val="clear" w:color="auto" w:fill="auto"/>
            <w:noWrap/>
            <w:vAlign w:val="bottom"/>
            <w:hideMark/>
          </w:tcPr>
          <w:p w14:paraId="7AC5F78E"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Dzemdību nams"</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7B6F441"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0,8</w:t>
            </w:r>
          </w:p>
        </w:tc>
      </w:tr>
      <w:tr w:rsidR="003B4DAE" w:rsidRPr="002A0876" w14:paraId="104405AF"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6F18090"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7</w:t>
            </w:r>
          </w:p>
        </w:tc>
        <w:tc>
          <w:tcPr>
            <w:tcW w:w="10632" w:type="dxa"/>
            <w:tcBorders>
              <w:top w:val="nil"/>
              <w:left w:val="nil"/>
              <w:bottom w:val="single" w:sz="4" w:space="0" w:color="auto"/>
              <w:right w:val="single" w:sz="4" w:space="0" w:color="auto"/>
            </w:tcBorders>
            <w:shd w:val="clear" w:color="auto" w:fill="auto"/>
            <w:noWrap/>
            <w:vAlign w:val="bottom"/>
            <w:hideMark/>
          </w:tcPr>
          <w:p w14:paraId="79DDBC19"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"Liepājas Tramvajs"</w:t>
            </w:r>
          </w:p>
        </w:tc>
        <w:tc>
          <w:tcPr>
            <w:tcW w:w="2268" w:type="dxa"/>
            <w:tcBorders>
              <w:top w:val="nil"/>
              <w:left w:val="nil"/>
              <w:bottom w:val="single" w:sz="4" w:space="0" w:color="auto"/>
              <w:right w:val="single" w:sz="4" w:space="0" w:color="auto"/>
            </w:tcBorders>
            <w:shd w:val="clear" w:color="auto" w:fill="auto"/>
            <w:noWrap/>
            <w:vAlign w:val="bottom"/>
            <w:hideMark/>
          </w:tcPr>
          <w:p w14:paraId="4A85F63B"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0,03</w:t>
            </w:r>
          </w:p>
        </w:tc>
      </w:tr>
      <w:tr w:rsidR="003B4DAE" w:rsidRPr="002A0876" w14:paraId="155E419E"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9AD2A8"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8</w:t>
            </w:r>
          </w:p>
        </w:tc>
        <w:tc>
          <w:tcPr>
            <w:tcW w:w="10632" w:type="dxa"/>
            <w:tcBorders>
              <w:top w:val="nil"/>
              <w:left w:val="nil"/>
              <w:bottom w:val="single" w:sz="4" w:space="0" w:color="auto"/>
              <w:right w:val="single" w:sz="4" w:space="0" w:color="auto"/>
            </w:tcBorders>
            <w:shd w:val="clear" w:color="auto" w:fill="auto"/>
            <w:noWrap/>
            <w:vAlign w:val="bottom"/>
            <w:hideMark/>
          </w:tcPr>
          <w:p w14:paraId="7A9046D4"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AS "Daugavpils satiksme"</w:t>
            </w:r>
          </w:p>
        </w:tc>
        <w:tc>
          <w:tcPr>
            <w:tcW w:w="2268" w:type="dxa"/>
            <w:tcBorders>
              <w:top w:val="nil"/>
              <w:left w:val="nil"/>
              <w:bottom w:val="single" w:sz="4" w:space="0" w:color="auto"/>
              <w:right w:val="single" w:sz="4" w:space="0" w:color="auto"/>
            </w:tcBorders>
            <w:shd w:val="clear" w:color="auto" w:fill="auto"/>
            <w:noWrap/>
            <w:vAlign w:val="bottom"/>
            <w:hideMark/>
          </w:tcPr>
          <w:p w14:paraId="0BFA1E04"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0,9</w:t>
            </w:r>
          </w:p>
        </w:tc>
      </w:tr>
      <w:tr w:rsidR="003B4DAE" w:rsidRPr="002A0876" w14:paraId="309E8954"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C080CC9"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9</w:t>
            </w:r>
          </w:p>
        </w:tc>
        <w:tc>
          <w:tcPr>
            <w:tcW w:w="10632" w:type="dxa"/>
            <w:tcBorders>
              <w:top w:val="nil"/>
              <w:left w:val="nil"/>
              <w:bottom w:val="single" w:sz="4" w:space="0" w:color="auto"/>
              <w:right w:val="single" w:sz="4" w:space="0" w:color="auto"/>
            </w:tcBorders>
            <w:shd w:val="clear" w:color="auto" w:fill="auto"/>
            <w:noWrap/>
            <w:vAlign w:val="bottom"/>
            <w:hideMark/>
          </w:tcPr>
          <w:p w14:paraId="3BDF5250"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"Rēzeknes satiksme"</w:t>
            </w:r>
          </w:p>
        </w:tc>
        <w:tc>
          <w:tcPr>
            <w:tcW w:w="2268" w:type="dxa"/>
            <w:tcBorders>
              <w:top w:val="nil"/>
              <w:left w:val="nil"/>
              <w:bottom w:val="single" w:sz="4" w:space="0" w:color="auto"/>
              <w:right w:val="single" w:sz="4" w:space="0" w:color="auto"/>
            </w:tcBorders>
            <w:shd w:val="clear" w:color="auto" w:fill="auto"/>
            <w:noWrap/>
            <w:vAlign w:val="bottom"/>
            <w:hideMark/>
          </w:tcPr>
          <w:p w14:paraId="016591FF"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2,3</w:t>
            </w:r>
          </w:p>
        </w:tc>
      </w:tr>
      <w:tr w:rsidR="003B4DAE" w:rsidRPr="002A0876" w14:paraId="26597AA2"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071D01"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10</w:t>
            </w:r>
          </w:p>
        </w:tc>
        <w:tc>
          <w:tcPr>
            <w:tcW w:w="10632" w:type="dxa"/>
            <w:tcBorders>
              <w:top w:val="nil"/>
              <w:left w:val="nil"/>
              <w:bottom w:val="single" w:sz="4" w:space="0" w:color="auto"/>
              <w:right w:val="single" w:sz="4" w:space="0" w:color="auto"/>
            </w:tcBorders>
            <w:shd w:val="clear" w:color="auto" w:fill="auto"/>
            <w:noWrap/>
            <w:vAlign w:val="bottom"/>
            <w:hideMark/>
          </w:tcPr>
          <w:p w14:paraId="24F08B44"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"Olimpiskais centrs "Ventspils""</w:t>
            </w:r>
          </w:p>
        </w:tc>
        <w:tc>
          <w:tcPr>
            <w:tcW w:w="2268" w:type="dxa"/>
            <w:tcBorders>
              <w:top w:val="nil"/>
              <w:left w:val="nil"/>
              <w:bottom w:val="single" w:sz="4" w:space="0" w:color="auto"/>
              <w:right w:val="single" w:sz="4" w:space="0" w:color="auto"/>
            </w:tcBorders>
            <w:shd w:val="clear" w:color="auto" w:fill="auto"/>
            <w:noWrap/>
            <w:vAlign w:val="bottom"/>
            <w:hideMark/>
          </w:tcPr>
          <w:p w14:paraId="3B1B6E0B"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0,02</w:t>
            </w:r>
          </w:p>
        </w:tc>
      </w:tr>
      <w:tr w:rsidR="003B4DAE" w:rsidRPr="002A0876" w14:paraId="4BBC7406"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C25C23"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11</w:t>
            </w:r>
          </w:p>
        </w:tc>
        <w:tc>
          <w:tcPr>
            <w:tcW w:w="10632" w:type="dxa"/>
            <w:tcBorders>
              <w:top w:val="nil"/>
              <w:left w:val="nil"/>
              <w:bottom w:val="single" w:sz="4" w:space="0" w:color="auto"/>
              <w:right w:val="single" w:sz="4" w:space="0" w:color="auto"/>
            </w:tcBorders>
            <w:shd w:val="clear" w:color="auto" w:fill="auto"/>
            <w:noWrap/>
            <w:vAlign w:val="bottom"/>
            <w:hideMark/>
          </w:tcPr>
          <w:p w14:paraId="285588E7" w14:textId="77777777" w:rsidR="003B4DAE" w:rsidRPr="002A0876" w:rsidRDefault="003B4DAE" w:rsidP="00401A5B">
            <w:pPr>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SIA "Rīgas 2.slimnīca"</w:t>
            </w:r>
          </w:p>
        </w:tc>
        <w:tc>
          <w:tcPr>
            <w:tcW w:w="2268" w:type="dxa"/>
            <w:tcBorders>
              <w:top w:val="nil"/>
              <w:left w:val="nil"/>
              <w:bottom w:val="single" w:sz="4" w:space="0" w:color="auto"/>
              <w:right w:val="single" w:sz="4" w:space="0" w:color="auto"/>
            </w:tcBorders>
            <w:shd w:val="clear" w:color="auto" w:fill="auto"/>
            <w:noWrap/>
            <w:vAlign w:val="bottom"/>
            <w:hideMark/>
          </w:tcPr>
          <w:p w14:paraId="7471C5C1" w14:textId="77777777" w:rsidR="003B4DAE" w:rsidRPr="002A0876" w:rsidRDefault="003B4DAE" w:rsidP="00401A5B">
            <w:pPr>
              <w:jc w:val="right"/>
              <w:rPr>
                <w:rFonts w:ascii="Times New Roman" w:eastAsia="Times New Roman" w:hAnsi="Times New Roman" w:cs="Times New Roman"/>
                <w:color w:val="000000"/>
                <w:sz w:val="20"/>
                <w:szCs w:val="20"/>
              </w:rPr>
            </w:pPr>
            <w:r w:rsidRPr="002A0876">
              <w:rPr>
                <w:rFonts w:ascii="Times New Roman" w:eastAsia="Times New Roman" w:hAnsi="Times New Roman" w:cs="Times New Roman"/>
                <w:color w:val="000000"/>
                <w:sz w:val="20"/>
                <w:szCs w:val="20"/>
              </w:rPr>
              <w:t>0,02</w:t>
            </w:r>
          </w:p>
        </w:tc>
      </w:tr>
    </w:tbl>
    <w:p w14:paraId="17BBEE36" w14:textId="77777777" w:rsidR="003B4DAE" w:rsidRDefault="003B4DAE" w:rsidP="00401A5B">
      <w:pPr>
        <w:widowControl w:val="0"/>
        <w:rPr>
          <w:rFonts w:ascii="Times New Roman" w:hAnsi="Times New Roman"/>
          <w:b/>
          <w:sz w:val="28"/>
          <w:szCs w:val="24"/>
        </w:rPr>
      </w:pPr>
    </w:p>
    <w:p w14:paraId="1FAE53E7" w14:textId="77777777" w:rsidR="003B4DAE" w:rsidRPr="006C7EFD" w:rsidRDefault="003B4DAE" w:rsidP="00401A5B">
      <w:pPr>
        <w:widowControl w:val="0"/>
        <w:jc w:val="right"/>
        <w:rPr>
          <w:rFonts w:ascii="Times New Roman" w:hAnsi="Times New Roman"/>
          <w:i/>
          <w:sz w:val="20"/>
          <w:szCs w:val="24"/>
        </w:rPr>
      </w:pPr>
      <w:r w:rsidRPr="006C7EFD">
        <w:rPr>
          <w:rFonts w:ascii="Times New Roman" w:hAnsi="Times New Roman"/>
          <w:sz w:val="20"/>
          <w:szCs w:val="24"/>
        </w:rPr>
        <w:t xml:space="preserve">milj. </w:t>
      </w:r>
      <w:r w:rsidRPr="006C7EFD">
        <w:rPr>
          <w:rFonts w:ascii="Times New Roman" w:hAnsi="Times New Roman"/>
          <w:i/>
          <w:sz w:val="20"/>
          <w:szCs w:val="24"/>
        </w:rPr>
        <w:t>euro</w:t>
      </w:r>
    </w:p>
    <w:tbl>
      <w:tblPr>
        <w:tblW w:w="14034" w:type="dxa"/>
        <w:tblInd w:w="-5" w:type="dxa"/>
        <w:tblLook w:val="04A0" w:firstRow="1" w:lastRow="0" w:firstColumn="1" w:lastColumn="0" w:noHBand="0" w:noVBand="1"/>
      </w:tblPr>
      <w:tblGrid>
        <w:gridCol w:w="1134"/>
        <w:gridCol w:w="10632"/>
        <w:gridCol w:w="2268"/>
      </w:tblGrid>
      <w:tr w:rsidR="003B4DAE" w:rsidRPr="006C7EFD" w14:paraId="03A63347" w14:textId="77777777" w:rsidTr="003B4DAE">
        <w:trPr>
          <w:trHeight w:val="315"/>
        </w:trPr>
        <w:tc>
          <w:tcPr>
            <w:tcW w:w="14034" w:type="dxa"/>
            <w:gridSpan w:val="3"/>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7DD586ED" w14:textId="77777777" w:rsidR="003B4DAE" w:rsidRPr="006C7EFD" w:rsidRDefault="003B4DAE" w:rsidP="00401A5B">
            <w:pPr>
              <w:jc w:val="center"/>
              <w:rPr>
                <w:rFonts w:ascii="Times New Roman" w:eastAsia="Times New Roman" w:hAnsi="Times New Roman" w:cs="Times New Roman"/>
                <w:b/>
                <w:bCs/>
                <w:color w:val="000000"/>
                <w:sz w:val="20"/>
                <w:szCs w:val="20"/>
              </w:rPr>
            </w:pPr>
            <w:r w:rsidRPr="006C7EFD">
              <w:rPr>
                <w:rFonts w:ascii="Times New Roman" w:eastAsia="Times New Roman" w:hAnsi="Times New Roman" w:cs="Times New Roman"/>
                <w:b/>
                <w:bCs/>
                <w:color w:val="000000"/>
                <w:sz w:val="20"/>
                <w:szCs w:val="20"/>
              </w:rPr>
              <w:t>2022</w:t>
            </w:r>
          </w:p>
        </w:tc>
      </w:tr>
      <w:tr w:rsidR="003B4DAE" w:rsidRPr="006C7EFD" w14:paraId="778B4A5B" w14:textId="77777777" w:rsidTr="003B4DAE">
        <w:trPr>
          <w:trHeight w:val="435"/>
        </w:trPr>
        <w:tc>
          <w:tcPr>
            <w:tcW w:w="1134" w:type="dxa"/>
            <w:tcBorders>
              <w:top w:val="nil"/>
              <w:left w:val="single" w:sz="4" w:space="0" w:color="auto"/>
              <w:bottom w:val="single" w:sz="4" w:space="0" w:color="auto"/>
              <w:right w:val="single" w:sz="4" w:space="0" w:color="auto"/>
            </w:tcBorders>
            <w:shd w:val="clear" w:color="000000" w:fill="BDD7EE"/>
            <w:noWrap/>
            <w:vAlign w:val="bottom"/>
            <w:hideMark/>
          </w:tcPr>
          <w:p w14:paraId="1A09E3F7"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 </w:t>
            </w:r>
          </w:p>
        </w:tc>
        <w:tc>
          <w:tcPr>
            <w:tcW w:w="10632" w:type="dxa"/>
            <w:tcBorders>
              <w:top w:val="nil"/>
              <w:left w:val="nil"/>
              <w:bottom w:val="single" w:sz="4" w:space="0" w:color="auto"/>
              <w:right w:val="single" w:sz="4" w:space="0" w:color="auto"/>
            </w:tcBorders>
            <w:shd w:val="clear" w:color="000000" w:fill="BDD7EE"/>
            <w:vAlign w:val="center"/>
            <w:hideMark/>
          </w:tcPr>
          <w:p w14:paraId="087B44EA" w14:textId="77777777" w:rsidR="003B4DAE" w:rsidRPr="006C7EFD" w:rsidRDefault="003B4DAE" w:rsidP="00401A5B">
            <w:pPr>
              <w:rPr>
                <w:rFonts w:ascii="Times New Roman" w:eastAsia="Times New Roman" w:hAnsi="Times New Roman" w:cs="Times New Roman"/>
                <w:b/>
                <w:bCs/>
                <w:color w:val="000000"/>
                <w:sz w:val="20"/>
                <w:szCs w:val="20"/>
              </w:rPr>
            </w:pPr>
            <w:r w:rsidRPr="006C7EFD">
              <w:rPr>
                <w:rFonts w:ascii="Times New Roman" w:eastAsia="Times New Roman" w:hAnsi="Times New Roman" w:cs="Times New Roman"/>
                <w:b/>
                <w:bCs/>
                <w:color w:val="000000"/>
                <w:sz w:val="20"/>
                <w:szCs w:val="20"/>
              </w:rPr>
              <w:t>Ietekme uz vispārējās valdības parādu, kopā:</w:t>
            </w:r>
          </w:p>
        </w:tc>
        <w:tc>
          <w:tcPr>
            <w:tcW w:w="2268" w:type="dxa"/>
            <w:tcBorders>
              <w:top w:val="nil"/>
              <w:left w:val="nil"/>
              <w:bottom w:val="single" w:sz="4" w:space="0" w:color="auto"/>
              <w:right w:val="single" w:sz="4" w:space="0" w:color="auto"/>
            </w:tcBorders>
            <w:shd w:val="clear" w:color="000000" w:fill="BDD7EE"/>
            <w:vAlign w:val="center"/>
            <w:hideMark/>
          </w:tcPr>
          <w:p w14:paraId="7C0F71BD" w14:textId="77777777" w:rsidR="003B4DAE" w:rsidRPr="006C7EFD" w:rsidRDefault="003B4DAE" w:rsidP="00401A5B">
            <w:pPr>
              <w:jc w:val="right"/>
              <w:rPr>
                <w:rFonts w:ascii="Times New Roman" w:eastAsia="Times New Roman" w:hAnsi="Times New Roman" w:cs="Times New Roman"/>
                <w:b/>
                <w:bCs/>
                <w:color w:val="000000"/>
                <w:sz w:val="20"/>
                <w:szCs w:val="20"/>
              </w:rPr>
            </w:pPr>
            <w:r w:rsidRPr="006C7EFD">
              <w:rPr>
                <w:rFonts w:ascii="Times New Roman" w:eastAsia="Times New Roman" w:hAnsi="Times New Roman" w:cs="Times New Roman"/>
                <w:b/>
                <w:bCs/>
                <w:color w:val="000000"/>
                <w:sz w:val="20"/>
                <w:szCs w:val="20"/>
              </w:rPr>
              <w:t>862,1</w:t>
            </w:r>
          </w:p>
        </w:tc>
      </w:tr>
      <w:tr w:rsidR="003B4DAE" w:rsidRPr="006C7EFD" w14:paraId="6EC4741C" w14:textId="77777777" w:rsidTr="003B4DAE">
        <w:trPr>
          <w:trHeight w:val="315"/>
        </w:trPr>
        <w:tc>
          <w:tcPr>
            <w:tcW w:w="1134" w:type="dxa"/>
            <w:tcBorders>
              <w:top w:val="nil"/>
              <w:left w:val="single" w:sz="4" w:space="0" w:color="auto"/>
              <w:bottom w:val="single" w:sz="4" w:space="0" w:color="auto"/>
              <w:right w:val="single" w:sz="4" w:space="0" w:color="auto"/>
            </w:tcBorders>
            <w:shd w:val="clear" w:color="000000" w:fill="DDEBF7"/>
            <w:noWrap/>
            <w:vAlign w:val="bottom"/>
            <w:hideMark/>
          </w:tcPr>
          <w:p w14:paraId="35B07813" w14:textId="77777777" w:rsidR="003B4DAE" w:rsidRPr="006C7EFD" w:rsidRDefault="003B4DAE" w:rsidP="00401A5B">
            <w:pPr>
              <w:jc w:val="cente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S130100</w:t>
            </w:r>
          </w:p>
        </w:tc>
        <w:tc>
          <w:tcPr>
            <w:tcW w:w="10632" w:type="dxa"/>
            <w:tcBorders>
              <w:top w:val="nil"/>
              <w:left w:val="nil"/>
              <w:bottom w:val="single" w:sz="4" w:space="0" w:color="auto"/>
              <w:right w:val="single" w:sz="4" w:space="0" w:color="auto"/>
            </w:tcBorders>
            <w:shd w:val="clear" w:color="000000" w:fill="DDEBF7"/>
            <w:noWrap/>
            <w:vAlign w:val="bottom"/>
            <w:hideMark/>
          </w:tcPr>
          <w:p w14:paraId="4DFB43D9"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Valsts struktūru kontrolētas un finansētas komercsabiedrības</w:t>
            </w:r>
          </w:p>
        </w:tc>
        <w:tc>
          <w:tcPr>
            <w:tcW w:w="2268" w:type="dxa"/>
            <w:tcBorders>
              <w:top w:val="nil"/>
              <w:left w:val="nil"/>
              <w:bottom w:val="single" w:sz="4" w:space="0" w:color="auto"/>
              <w:right w:val="single" w:sz="4" w:space="0" w:color="auto"/>
            </w:tcBorders>
            <w:shd w:val="clear" w:color="000000" w:fill="DDEBF7"/>
            <w:noWrap/>
            <w:vAlign w:val="bottom"/>
            <w:hideMark/>
          </w:tcPr>
          <w:p w14:paraId="3B66B898"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 </w:t>
            </w:r>
          </w:p>
        </w:tc>
      </w:tr>
      <w:tr w:rsidR="003B4DAE" w:rsidRPr="006C7EFD" w14:paraId="7758B217"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A74EA9"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w:t>
            </w:r>
          </w:p>
        </w:tc>
        <w:tc>
          <w:tcPr>
            <w:tcW w:w="10632" w:type="dxa"/>
            <w:tcBorders>
              <w:top w:val="nil"/>
              <w:left w:val="nil"/>
              <w:bottom w:val="single" w:sz="4" w:space="0" w:color="auto"/>
              <w:right w:val="single" w:sz="4" w:space="0" w:color="auto"/>
            </w:tcBorders>
            <w:shd w:val="clear" w:color="auto" w:fill="auto"/>
            <w:noWrap/>
            <w:vAlign w:val="bottom"/>
            <w:hideMark/>
          </w:tcPr>
          <w:p w14:paraId="0A815FDF"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AS „Enerģijas publiskais tirgotājs”</w:t>
            </w:r>
          </w:p>
        </w:tc>
        <w:tc>
          <w:tcPr>
            <w:tcW w:w="2268" w:type="dxa"/>
            <w:tcBorders>
              <w:top w:val="nil"/>
              <w:left w:val="nil"/>
              <w:bottom w:val="single" w:sz="4" w:space="0" w:color="auto"/>
              <w:right w:val="single" w:sz="4" w:space="0" w:color="auto"/>
            </w:tcBorders>
            <w:shd w:val="clear" w:color="auto" w:fill="auto"/>
            <w:noWrap/>
            <w:vAlign w:val="bottom"/>
            <w:hideMark/>
          </w:tcPr>
          <w:p w14:paraId="2047A384"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51,4</w:t>
            </w:r>
          </w:p>
        </w:tc>
      </w:tr>
      <w:tr w:rsidR="003B4DAE" w:rsidRPr="006C7EFD" w14:paraId="2D97A84A"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B50838"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w:t>
            </w:r>
          </w:p>
        </w:tc>
        <w:tc>
          <w:tcPr>
            <w:tcW w:w="10632" w:type="dxa"/>
            <w:tcBorders>
              <w:top w:val="nil"/>
              <w:left w:val="nil"/>
              <w:bottom w:val="single" w:sz="4" w:space="0" w:color="auto"/>
              <w:right w:val="single" w:sz="4" w:space="0" w:color="auto"/>
            </w:tcBorders>
            <w:shd w:val="clear" w:color="auto" w:fill="auto"/>
            <w:noWrap/>
            <w:vAlign w:val="bottom"/>
            <w:hideMark/>
          </w:tcPr>
          <w:p w14:paraId="5C08FEC5"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"Latvijas Vides, ģeoloģijas un meteoroloģijas centrs"</w:t>
            </w:r>
          </w:p>
        </w:tc>
        <w:tc>
          <w:tcPr>
            <w:tcW w:w="2268" w:type="dxa"/>
            <w:tcBorders>
              <w:top w:val="nil"/>
              <w:left w:val="nil"/>
              <w:bottom w:val="single" w:sz="4" w:space="0" w:color="auto"/>
              <w:right w:val="single" w:sz="4" w:space="0" w:color="auto"/>
            </w:tcBorders>
            <w:shd w:val="clear" w:color="auto" w:fill="auto"/>
            <w:noWrap/>
            <w:vAlign w:val="bottom"/>
            <w:hideMark/>
          </w:tcPr>
          <w:p w14:paraId="6022AEC5"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2,8</w:t>
            </w:r>
          </w:p>
        </w:tc>
      </w:tr>
      <w:tr w:rsidR="003B4DAE" w:rsidRPr="006C7EFD" w14:paraId="7D862196"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1FE7DD"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3</w:t>
            </w:r>
          </w:p>
        </w:tc>
        <w:tc>
          <w:tcPr>
            <w:tcW w:w="10632" w:type="dxa"/>
            <w:tcBorders>
              <w:top w:val="nil"/>
              <w:left w:val="nil"/>
              <w:bottom w:val="single" w:sz="4" w:space="0" w:color="auto"/>
              <w:right w:val="single" w:sz="4" w:space="0" w:color="auto"/>
            </w:tcBorders>
            <w:shd w:val="clear" w:color="auto" w:fill="auto"/>
            <w:noWrap/>
            <w:vAlign w:val="bottom"/>
            <w:hideMark/>
          </w:tcPr>
          <w:p w14:paraId="190EDFFB"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VAS “Latvijas autoceļu uzturētājs”</w:t>
            </w:r>
          </w:p>
        </w:tc>
        <w:tc>
          <w:tcPr>
            <w:tcW w:w="2268" w:type="dxa"/>
            <w:tcBorders>
              <w:top w:val="nil"/>
              <w:left w:val="nil"/>
              <w:bottom w:val="single" w:sz="4" w:space="0" w:color="auto"/>
              <w:right w:val="single" w:sz="4" w:space="0" w:color="auto"/>
            </w:tcBorders>
            <w:shd w:val="clear" w:color="auto" w:fill="auto"/>
            <w:noWrap/>
            <w:vAlign w:val="bottom"/>
            <w:hideMark/>
          </w:tcPr>
          <w:p w14:paraId="6AB359BA"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18,0</w:t>
            </w:r>
          </w:p>
        </w:tc>
      </w:tr>
      <w:tr w:rsidR="003B4DAE" w:rsidRPr="006C7EFD" w14:paraId="619683D0"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C382B6"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4</w:t>
            </w:r>
          </w:p>
        </w:tc>
        <w:tc>
          <w:tcPr>
            <w:tcW w:w="10632" w:type="dxa"/>
            <w:tcBorders>
              <w:top w:val="nil"/>
              <w:left w:val="nil"/>
              <w:bottom w:val="single" w:sz="4" w:space="0" w:color="auto"/>
              <w:right w:val="single" w:sz="4" w:space="0" w:color="auto"/>
            </w:tcBorders>
            <w:shd w:val="clear" w:color="auto" w:fill="auto"/>
            <w:noWrap/>
            <w:vAlign w:val="bottom"/>
            <w:hideMark/>
          </w:tcPr>
          <w:p w14:paraId="707A4679"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AS „Pasažieru vilciens”</w:t>
            </w:r>
          </w:p>
        </w:tc>
        <w:tc>
          <w:tcPr>
            <w:tcW w:w="2268" w:type="dxa"/>
            <w:tcBorders>
              <w:top w:val="nil"/>
              <w:left w:val="nil"/>
              <w:bottom w:val="single" w:sz="4" w:space="0" w:color="auto"/>
              <w:right w:val="single" w:sz="4" w:space="0" w:color="auto"/>
            </w:tcBorders>
            <w:shd w:val="clear" w:color="auto" w:fill="auto"/>
            <w:noWrap/>
            <w:vAlign w:val="bottom"/>
            <w:hideMark/>
          </w:tcPr>
          <w:p w14:paraId="1DEE7F4E"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3,8</w:t>
            </w:r>
          </w:p>
        </w:tc>
      </w:tr>
      <w:tr w:rsidR="003B4DAE" w:rsidRPr="006C7EFD" w14:paraId="155467C1"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64BB068"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5</w:t>
            </w:r>
          </w:p>
        </w:tc>
        <w:tc>
          <w:tcPr>
            <w:tcW w:w="10632" w:type="dxa"/>
            <w:tcBorders>
              <w:top w:val="nil"/>
              <w:left w:val="nil"/>
              <w:bottom w:val="single" w:sz="4" w:space="0" w:color="auto"/>
              <w:right w:val="single" w:sz="4" w:space="0" w:color="auto"/>
            </w:tcBorders>
            <w:shd w:val="clear" w:color="auto" w:fill="auto"/>
            <w:noWrap/>
            <w:vAlign w:val="bottom"/>
            <w:hideMark/>
          </w:tcPr>
          <w:p w14:paraId="00BB6A90"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"Nacionālais rehabilitācijas centrs "Vaivari""</w:t>
            </w:r>
          </w:p>
        </w:tc>
        <w:tc>
          <w:tcPr>
            <w:tcW w:w="2268" w:type="dxa"/>
            <w:tcBorders>
              <w:top w:val="nil"/>
              <w:left w:val="nil"/>
              <w:bottom w:val="single" w:sz="4" w:space="0" w:color="auto"/>
              <w:right w:val="single" w:sz="4" w:space="0" w:color="auto"/>
            </w:tcBorders>
            <w:shd w:val="clear" w:color="auto" w:fill="auto"/>
            <w:noWrap/>
            <w:vAlign w:val="bottom"/>
            <w:hideMark/>
          </w:tcPr>
          <w:p w14:paraId="30F3D58E"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0,6</w:t>
            </w:r>
          </w:p>
        </w:tc>
      </w:tr>
      <w:tr w:rsidR="003B4DAE" w:rsidRPr="006C7EFD" w14:paraId="4984AC62"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21D1ACF"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6</w:t>
            </w:r>
          </w:p>
        </w:tc>
        <w:tc>
          <w:tcPr>
            <w:tcW w:w="10632" w:type="dxa"/>
            <w:tcBorders>
              <w:top w:val="nil"/>
              <w:left w:val="nil"/>
              <w:bottom w:val="single" w:sz="4" w:space="0" w:color="auto"/>
              <w:right w:val="single" w:sz="4" w:space="0" w:color="auto"/>
            </w:tcBorders>
            <w:shd w:val="clear" w:color="auto" w:fill="auto"/>
            <w:noWrap/>
            <w:vAlign w:val="bottom"/>
            <w:hideMark/>
          </w:tcPr>
          <w:p w14:paraId="119A6888"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VAS "Tiesu namu aģentūra"</w:t>
            </w:r>
          </w:p>
        </w:tc>
        <w:tc>
          <w:tcPr>
            <w:tcW w:w="2268" w:type="dxa"/>
            <w:tcBorders>
              <w:top w:val="nil"/>
              <w:left w:val="nil"/>
              <w:bottom w:val="single" w:sz="4" w:space="0" w:color="auto"/>
              <w:right w:val="single" w:sz="4" w:space="0" w:color="auto"/>
            </w:tcBorders>
            <w:shd w:val="clear" w:color="auto" w:fill="auto"/>
            <w:noWrap/>
            <w:vAlign w:val="bottom"/>
            <w:hideMark/>
          </w:tcPr>
          <w:p w14:paraId="6BA8E5CC"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16,1</w:t>
            </w:r>
          </w:p>
        </w:tc>
      </w:tr>
      <w:tr w:rsidR="003B4DAE" w:rsidRPr="006C7EFD" w14:paraId="3957EB4B"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D60D63"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7</w:t>
            </w:r>
          </w:p>
        </w:tc>
        <w:tc>
          <w:tcPr>
            <w:tcW w:w="10632" w:type="dxa"/>
            <w:tcBorders>
              <w:top w:val="nil"/>
              <w:left w:val="nil"/>
              <w:bottom w:val="single" w:sz="4" w:space="0" w:color="auto"/>
              <w:right w:val="single" w:sz="4" w:space="0" w:color="auto"/>
            </w:tcBorders>
            <w:shd w:val="clear" w:color="auto" w:fill="auto"/>
            <w:noWrap/>
            <w:vAlign w:val="bottom"/>
            <w:hideMark/>
          </w:tcPr>
          <w:p w14:paraId="0BCC4405"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VAS "Valsts nekustamie īpašumi"</w:t>
            </w:r>
          </w:p>
        </w:tc>
        <w:tc>
          <w:tcPr>
            <w:tcW w:w="2268" w:type="dxa"/>
            <w:tcBorders>
              <w:top w:val="nil"/>
              <w:left w:val="nil"/>
              <w:bottom w:val="single" w:sz="4" w:space="0" w:color="auto"/>
              <w:right w:val="single" w:sz="4" w:space="0" w:color="auto"/>
            </w:tcBorders>
            <w:shd w:val="clear" w:color="auto" w:fill="auto"/>
            <w:noWrap/>
            <w:vAlign w:val="bottom"/>
            <w:hideMark/>
          </w:tcPr>
          <w:p w14:paraId="365A1803"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93,9</w:t>
            </w:r>
          </w:p>
        </w:tc>
      </w:tr>
      <w:tr w:rsidR="003B4DAE" w:rsidRPr="006C7EFD" w14:paraId="12FE85AF" w14:textId="77777777" w:rsidTr="003B4DAE">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EA8059"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8</w:t>
            </w:r>
          </w:p>
        </w:tc>
        <w:tc>
          <w:tcPr>
            <w:tcW w:w="10632" w:type="dxa"/>
            <w:tcBorders>
              <w:top w:val="nil"/>
              <w:left w:val="nil"/>
              <w:bottom w:val="single" w:sz="4" w:space="0" w:color="auto"/>
              <w:right w:val="single" w:sz="4" w:space="0" w:color="auto"/>
            </w:tcBorders>
            <w:shd w:val="clear" w:color="auto" w:fill="auto"/>
            <w:noWrap/>
            <w:vAlign w:val="bottom"/>
            <w:hideMark/>
          </w:tcPr>
          <w:p w14:paraId="4B4AC9F2"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"Rīgas Austrumu klīniskā universitātes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0F322D3F"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42,9</w:t>
            </w:r>
          </w:p>
        </w:tc>
      </w:tr>
      <w:tr w:rsidR="003B4DAE" w:rsidRPr="006C7EFD" w14:paraId="78667494"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95B3C1A"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9</w:t>
            </w:r>
          </w:p>
        </w:tc>
        <w:tc>
          <w:tcPr>
            <w:tcW w:w="10632" w:type="dxa"/>
            <w:tcBorders>
              <w:top w:val="nil"/>
              <w:left w:val="nil"/>
              <w:bottom w:val="single" w:sz="4" w:space="0" w:color="auto"/>
              <w:right w:val="single" w:sz="4" w:space="0" w:color="auto"/>
            </w:tcBorders>
            <w:shd w:val="clear" w:color="auto" w:fill="auto"/>
            <w:noWrap/>
            <w:vAlign w:val="bottom"/>
            <w:hideMark/>
          </w:tcPr>
          <w:p w14:paraId="4C1D8DC2"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AS "Attīstības finanšu institūcija Altum"</w:t>
            </w:r>
          </w:p>
        </w:tc>
        <w:tc>
          <w:tcPr>
            <w:tcW w:w="2268" w:type="dxa"/>
            <w:tcBorders>
              <w:top w:val="nil"/>
              <w:left w:val="nil"/>
              <w:bottom w:val="single" w:sz="4" w:space="0" w:color="auto"/>
              <w:right w:val="single" w:sz="4" w:space="0" w:color="auto"/>
            </w:tcBorders>
            <w:shd w:val="clear" w:color="auto" w:fill="auto"/>
            <w:noWrap/>
            <w:vAlign w:val="bottom"/>
            <w:hideMark/>
          </w:tcPr>
          <w:p w14:paraId="24D41CED"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220,2</w:t>
            </w:r>
          </w:p>
        </w:tc>
      </w:tr>
      <w:tr w:rsidR="003B4DAE" w:rsidRPr="006C7EFD" w14:paraId="70C1215C"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D9352B8"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10</w:t>
            </w:r>
          </w:p>
        </w:tc>
        <w:tc>
          <w:tcPr>
            <w:tcW w:w="10632" w:type="dxa"/>
            <w:tcBorders>
              <w:top w:val="nil"/>
              <w:left w:val="nil"/>
              <w:bottom w:val="single" w:sz="4" w:space="0" w:color="auto"/>
              <w:right w:val="single" w:sz="4" w:space="0" w:color="auto"/>
            </w:tcBorders>
            <w:shd w:val="clear" w:color="auto" w:fill="auto"/>
            <w:noWrap/>
            <w:vAlign w:val="bottom"/>
            <w:hideMark/>
          </w:tcPr>
          <w:p w14:paraId="67D9278C"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"Slimnīca Ģintermuiža"</w:t>
            </w:r>
          </w:p>
        </w:tc>
        <w:tc>
          <w:tcPr>
            <w:tcW w:w="2268" w:type="dxa"/>
            <w:tcBorders>
              <w:top w:val="nil"/>
              <w:left w:val="nil"/>
              <w:bottom w:val="single" w:sz="4" w:space="0" w:color="auto"/>
              <w:right w:val="single" w:sz="4" w:space="0" w:color="auto"/>
            </w:tcBorders>
            <w:shd w:val="clear" w:color="auto" w:fill="auto"/>
            <w:noWrap/>
            <w:vAlign w:val="bottom"/>
            <w:hideMark/>
          </w:tcPr>
          <w:p w14:paraId="10CF0360"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7,8</w:t>
            </w:r>
          </w:p>
        </w:tc>
      </w:tr>
      <w:tr w:rsidR="003B4DAE" w:rsidRPr="006C7EFD" w14:paraId="678FC3EA"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29BC0F"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11</w:t>
            </w:r>
          </w:p>
        </w:tc>
        <w:tc>
          <w:tcPr>
            <w:tcW w:w="10632" w:type="dxa"/>
            <w:tcBorders>
              <w:top w:val="nil"/>
              <w:left w:val="nil"/>
              <w:bottom w:val="single" w:sz="4" w:space="0" w:color="auto"/>
              <w:right w:val="single" w:sz="4" w:space="0" w:color="auto"/>
            </w:tcBorders>
            <w:shd w:val="clear" w:color="auto" w:fill="auto"/>
            <w:noWrap/>
            <w:vAlign w:val="bottom"/>
            <w:hideMark/>
          </w:tcPr>
          <w:p w14:paraId="28206C2F"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"Bērnu klīniskā universitātes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7EE30DA7"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15,7</w:t>
            </w:r>
          </w:p>
        </w:tc>
      </w:tr>
      <w:tr w:rsidR="003B4DAE" w:rsidRPr="006C7EFD" w14:paraId="3F7C6AE3"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15BD8C7"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12</w:t>
            </w:r>
          </w:p>
        </w:tc>
        <w:tc>
          <w:tcPr>
            <w:tcW w:w="10632" w:type="dxa"/>
            <w:tcBorders>
              <w:top w:val="nil"/>
              <w:left w:val="nil"/>
              <w:bottom w:val="single" w:sz="4" w:space="0" w:color="auto"/>
              <w:right w:val="single" w:sz="4" w:space="0" w:color="auto"/>
            </w:tcBorders>
            <w:shd w:val="clear" w:color="auto" w:fill="auto"/>
            <w:noWrap/>
            <w:vAlign w:val="bottom"/>
            <w:hideMark/>
          </w:tcPr>
          <w:p w14:paraId="0B980BEF"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"Paula Stradiņa Klīniskā universitātes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630E87CB"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42,6</w:t>
            </w:r>
          </w:p>
        </w:tc>
      </w:tr>
      <w:tr w:rsidR="003B4DAE" w:rsidRPr="006C7EFD" w14:paraId="7D85BDAC"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31D4EC6"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13</w:t>
            </w:r>
          </w:p>
        </w:tc>
        <w:tc>
          <w:tcPr>
            <w:tcW w:w="10632" w:type="dxa"/>
            <w:tcBorders>
              <w:top w:val="nil"/>
              <w:left w:val="nil"/>
              <w:bottom w:val="single" w:sz="4" w:space="0" w:color="auto"/>
              <w:right w:val="single" w:sz="4" w:space="0" w:color="auto"/>
            </w:tcBorders>
            <w:shd w:val="clear" w:color="auto" w:fill="auto"/>
            <w:noWrap/>
            <w:vAlign w:val="bottom"/>
            <w:hideMark/>
          </w:tcPr>
          <w:p w14:paraId="3663C045"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"Daugavpils psihoneiroloģiskā slimnīca"</w:t>
            </w:r>
          </w:p>
        </w:tc>
        <w:tc>
          <w:tcPr>
            <w:tcW w:w="2268" w:type="dxa"/>
            <w:tcBorders>
              <w:top w:val="nil"/>
              <w:left w:val="nil"/>
              <w:bottom w:val="single" w:sz="4" w:space="0" w:color="auto"/>
              <w:right w:val="single" w:sz="4" w:space="0" w:color="auto"/>
            </w:tcBorders>
            <w:shd w:val="clear" w:color="auto" w:fill="auto"/>
            <w:noWrap/>
            <w:vAlign w:val="bottom"/>
            <w:hideMark/>
          </w:tcPr>
          <w:p w14:paraId="2BD3F5B4"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8,8</w:t>
            </w:r>
          </w:p>
        </w:tc>
      </w:tr>
      <w:tr w:rsidR="003B4DAE" w:rsidRPr="006C7EFD" w14:paraId="43037FB0" w14:textId="77777777" w:rsidTr="006C7EFD">
        <w:trPr>
          <w:trHeight w:val="315"/>
        </w:trPr>
        <w:tc>
          <w:tcPr>
            <w:tcW w:w="1134" w:type="dxa"/>
            <w:tcBorders>
              <w:top w:val="nil"/>
              <w:left w:val="single" w:sz="4" w:space="0" w:color="auto"/>
              <w:bottom w:val="single" w:sz="4" w:space="0" w:color="auto"/>
              <w:right w:val="single" w:sz="4" w:space="0" w:color="auto"/>
            </w:tcBorders>
            <w:shd w:val="clear" w:color="000000" w:fill="DDEBF7"/>
            <w:noWrap/>
            <w:vAlign w:val="bottom"/>
            <w:hideMark/>
          </w:tcPr>
          <w:p w14:paraId="0ECA7409"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S130300</w:t>
            </w:r>
          </w:p>
        </w:tc>
        <w:tc>
          <w:tcPr>
            <w:tcW w:w="10632" w:type="dxa"/>
            <w:tcBorders>
              <w:top w:val="nil"/>
              <w:left w:val="nil"/>
              <w:bottom w:val="single" w:sz="4" w:space="0" w:color="auto"/>
              <w:right w:val="nil"/>
            </w:tcBorders>
            <w:shd w:val="clear" w:color="000000" w:fill="DDEBF7"/>
            <w:noWrap/>
            <w:vAlign w:val="bottom"/>
            <w:hideMark/>
          </w:tcPr>
          <w:p w14:paraId="07D23D30"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Pašvaldības struktūru kontrolētas un finansētas komercsabiedrības</w:t>
            </w:r>
          </w:p>
        </w:tc>
        <w:tc>
          <w:tcPr>
            <w:tcW w:w="2268" w:type="dxa"/>
            <w:tcBorders>
              <w:top w:val="nil"/>
              <w:left w:val="single" w:sz="4" w:space="0" w:color="auto"/>
              <w:bottom w:val="single" w:sz="4" w:space="0" w:color="auto"/>
              <w:right w:val="single" w:sz="4" w:space="0" w:color="auto"/>
            </w:tcBorders>
            <w:shd w:val="clear" w:color="000000" w:fill="DDEBF7"/>
            <w:noWrap/>
            <w:vAlign w:val="bottom"/>
            <w:hideMark/>
          </w:tcPr>
          <w:p w14:paraId="27820B98"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 </w:t>
            </w:r>
          </w:p>
        </w:tc>
      </w:tr>
      <w:tr w:rsidR="003B4DAE" w:rsidRPr="006C7EFD" w14:paraId="0DA77469" w14:textId="77777777" w:rsidTr="006C7EFD">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668FD"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w:t>
            </w:r>
          </w:p>
        </w:tc>
        <w:tc>
          <w:tcPr>
            <w:tcW w:w="10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69AE3"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"Cēsu klīnika"</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0BC60"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0,6</w:t>
            </w:r>
          </w:p>
        </w:tc>
      </w:tr>
      <w:tr w:rsidR="003B4DAE" w:rsidRPr="006C7EFD" w14:paraId="443E4FD8" w14:textId="77777777" w:rsidTr="006C7EFD">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9A932"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w:t>
            </w:r>
          </w:p>
        </w:tc>
        <w:tc>
          <w:tcPr>
            <w:tcW w:w="10632" w:type="dxa"/>
            <w:tcBorders>
              <w:top w:val="single" w:sz="4" w:space="0" w:color="auto"/>
              <w:left w:val="nil"/>
              <w:bottom w:val="single" w:sz="4" w:space="0" w:color="auto"/>
              <w:right w:val="single" w:sz="4" w:space="0" w:color="auto"/>
            </w:tcBorders>
            <w:shd w:val="clear" w:color="auto" w:fill="auto"/>
            <w:noWrap/>
            <w:vAlign w:val="bottom"/>
            <w:hideMark/>
          </w:tcPr>
          <w:p w14:paraId="154CE731"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"Jēkabpils reģionālā slimnīca"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24DF860"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0,1</w:t>
            </w:r>
          </w:p>
        </w:tc>
      </w:tr>
      <w:tr w:rsidR="003B4DAE" w:rsidRPr="006C7EFD" w14:paraId="56D66A1D"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89EA8F"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3</w:t>
            </w:r>
          </w:p>
        </w:tc>
        <w:tc>
          <w:tcPr>
            <w:tcW w:w="10632" w:type="dxa"/>
            <w:tcBorders>
              <w:top w:val="nil"/>
              <w:left w:val="nil"/>
              <w:bottom w:val="single" w:sz="4" w:space="0" w:color="auto"/>
              <w:right w:val="single" w:sz="4" w:space="0" w:color="auto"/>
            </w:tcBorders>
            <w:shd w:val="clear" w:color="auto" w:fill="auto"/>
            <w:noWrap/>
            <w:vAlign w:val="bottom"/>
            <w:hideMark/>
          </w:tcPr>
          <w:p w14:paraId="36F848AA"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"Jūrmalas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6E087DFE"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1,3</w:t>
            </w:r>
          </w:p>
        </w:tc>
      </w:tr>
      <w:tr w:rsidR="003B4DAE" w:rsidRPr="006C7EFD" w14:paraId="645F7ACD"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B1C9A7"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4</w:t>
            </w:r>
          </w:p>
        </w:tc>
        <w:tc>
          <w:tcPr>
            <w:tcW w:w="10632" w:type="dxa"/>
            <w:tcBorders>
              <w:top w:val="nil"/>
              <w:left w:val="nil"/>
              <w:bottom w:val="single" w:sz="4" w:space="0" w:color="auto"/>
              <w:right w:val="single" w:sz="4" w:space="0" w:color="auto"/>
            </w:tcBorders>
            <w:shd w:val="clear" w:color="auto" w:fill="auto"/>
            <w:noWrap/>
            <w:vAlign w:val="bottom"/>
            <w:hideMark/>
          </w:tcPr>
          <w:p w14:paraId="1191F3D2"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"Kuldīgas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27438559"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0,4</w:t>
            </w:r>
          </w:p>
        </w:tc>
      </w:tr>
      <w:tr w:rsidR="003B4DAE" w:rsidRPr="006C7EFD" w14:paraId="275DF542"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DF6F1A6"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5</w:t>
            </w:r>
          </w:p>
        </w:tc>
        <w:tc>
          <w:tcPr>
            <w:tcW w:w="10632" w:type="dxa"/>
            <w:tcBorders>
              <w:top w:val="nil"/>
              <w:left w:val="nil"/>
              <w:bottom w:val="single" w:sz="4" w:space="0" w:color="auto"/>
              <w:right w:val="single" w:sz="4" w:space="0" w:color="auto"/>
            </w:tcBorders>
            <w:shd w:val="clear" w:color="auto" w:fill="auto"/>
            <w:noWrap/>
            <w:vAlign w:val="bottom"/>
            <w:hideMark/>
          </w:tcPr>
          <w:p w14:paraId="45A14BB7"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RP SIA "Rīgas Satiksme"</w:t>
            </w:r>
          </w:p>
        </w:tc>
        <w:tc>
          <w:tcPr>
            <w:tcW w:w="2268" w:type="dxa"/>
            <w:tcBorders>
              <w:top w:val="nil"/>
              <w:left w:val="nil"/>
              <w:bottom w:val="single" w:sz="4" w:space="0" w:color="auto"/>
              <w:right w:val="single" w:sz="4" w:space="0" w:color="auto"/>
            </w:tcBorders>
            <w:shd w:val="clear" w:color="auto" w:fill="auto"/>
            <w:noWrap/>
            <w:vAlign w:val="bottom"/>
            <w:hideMark/>
          </w:tcPr>
          <w:p w14:paraId="57E28039"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331,3</w:t>
            </w:r>
          </w:p>
        </w:tc>
      </w:tr>
      <w:tr w:rsidR="003B4DAE" w:rsidRPr="006C7EFD" w14:paraId="488BD448"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A96A3B1"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6</w:t>
            </w:r>
          </w:p>
        </w:tc>
        <w:tc>
          <w:tcPr>
            <w:tcW w:w="10632" w:type="dxa"/>
            <w:tcBorders>
              <w:top w:val="nil"/>
              <w:left w:val="nil"/>
              <w:bottom w:val="single" w:sz="4" w:space="0" w:color="auto"/>
              <w:right w:val="single" w:sz="4" w:space="0" w:color="auto"/>
            </w:tcBorders>
            <w:shd w:val="clear" w:color="auto" w:fill="auto"/>
            <w:noWrap/>
            <w:vAlign w:val="bottom"/>
            <w:hideMark/>
          </w:tcPr>
          <w:p w14:paraId="60129869"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"Rīgas Dzemdību nams"</w:t>
            </w:r>
          </w:p>
        </w:tc>
        <w:tc>
          <w:tcPr>
            <w:tcW w:w="2268" w:type="dxa"/>
            <w:tcBorders>
              <w:top w:val="nil"/>
              <w:left w:val="nil"/>
              <w:bottom w:val="single" w:sz="4" w:space="0" w:color="auto"/>
              <w:right w:val="single" w:sz="4" w:space="0" w:color="auto"/>
            </w:tcBorders>
            <w:shd w:val="clear" w:color="auto" w:fill="auto"/>
            <w:noWrap/>
            <w:vAlign w:val="bottom"/>
            <w:hideMark/>
          </w:tcPr>
          <w:p w14:paraId="446DEF8D"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0,7</w:t>
            </w:r>
          </w:p>
        </w:tc>
      </w:tr>
      <w:tr w:rsidR="003B4DAE" w:rsidRPr="006C7EFD" w14:paraId="0A85CD64"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75BA2C0"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7</w:t>
            </w:r>
          </w:p>
        </w:tc>
        <w:tc>
          <w:tcPr>
            <w:tcW w:w="10632" w:type="dxa"/>
            <w:tcBorders>
              <w:top w:val="nil"/>
              <w:left w:val="nil"/>
              <w:bottom w:val="single" w:sz="4" w:space="0" w:color="auto"/>
              <w:right w:val="single" w:sz="4" w:space="0" w:color="auto"/>
            </w:tcBorders>
            <w:shd w:val="clear" w:color="auto" w:fill="auto"/>
            <w:noWrap/>
            <w:vAlign w:val="bottom"/>
            <w:hideMark/>
          </w:tcPr>
          <w:p w14:paraId="517F7C5C"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"Liepājas Tramvajs"</w:t>
            </w:r>
          </w:p>
        </w:tc>
        <w:tc>
          <w:tcPr>
            <w:tcW w:w="2268" w:type="dxa"/>
            <w:tcBorders>
              <w:top w:val="nil"/>
              <w:left w:val="nil"/>
              <w:bottom w:val="single" w:sz="4" w:space="0" w:color="auto"/>
              <w:right w:val="single" w:sz="4" w:space="0" w:color="auto"/>
            </w:tcBorders>
            <w:shd w:val="clear" w:color="auto" w:fill="auto"/>
            <w:noWrap/>
            <w:vAlign w:val="bottom"/>
            <w:hideMark/>
          </w:tcPr>
          <w:p w14:paraId="22D2C2BF"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0,02</w:t>
            </w:r>
          </w:p>
        </w:tc>
      </w:tr>
      <w:tr w:rsidR="003B4DAE" w:rsidRPr="006C7EFD" w14:paraId="7D835DB4"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252B0D"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8</w:t>
            </w:r>
          </w:p>
        </w:tc>
        <w:tc>
          <w:tcPr>
            <w:tcW w:w="10632" w:type="dxa"/>
            <w:tcBorders>
              <w:top w:val="nil"/>
              <w:left w:val="nil"/>
              <w:bottom w:val="single" w:sz="4" w:space="0" w:color="auto"/>
              <w:right w:val="single" w:sz="4" w:space="0" w:color="auto"/>
            </w:tcBorders>
            <w:shd w:val="clear" w:color="auto" w:fill="auto"/>
            <w:noWrap/>
            <w:vAlign w:val="bottom"/>
            <w:hideMark/>
          </w:tcPr>
          <w:p w14:paraId="0EF174A2"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AS "Daugavpils satiksme"</w:t>
            </w:r>
          </w:p>
        </w:tc>
        <w:tc>
          <w:tcPr>
            <w:tcW w:w="2268" w:type="dxa"/>
            <w:tcBorders>
              <w:top w:val="nil"/>
              <w:left w:val="nil"/>
              <w:bottom w:val="single" w:sz="4" w:space="0" w:color="auto"/>
              <w:right w:val="single" w:sz="4" w:space="0" w:color="auto"/>
            </w:tcBorders>
            <w:shd w:val="clear" w:color="auto" w:fill="auto"/>
            <w:noWrap/>
            <w:vAlign w:val="bottom"/>
            <w:hideMark/>
          </w:tcPr>
          <w:p w14:paraId="60141556"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1,3</w:t>
            </w:r>
          </w:p>
        </w:tc>
      </w:tr>
      <w:tr w:rsidR="003B4DAE" w:rsidRPr="006C7EFD" w14:paraId="05B0C5E4"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AEBDF3"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9</w:t>
            </w:r>
          </w:p>
        </w:tc>
        <w:tc>
          <w:tcPr>
            <w:tcW w:w="10632" w:type="dxa"/>
            <w:tcBorders>
              <w:top w:val="nil"/>
              <w:left w:val="nil"/>
              <w:bottom w:val="single" w:sz="4" w:space="0" w:color="auto"/>
              <w:right w:val="single" w:sz="4" w:space="0" w:color="auto"/>
            </w:tcBorders>
            <w:shd w:val="clear" w:color="auto" w:fill="auto"/>
            <w:noWrap/>
            <w:vAlign w:val="bottom"/>
            <w:hideMark/>
          </w:tcPr>
          <w:p w14:paraId="51B9DAFC"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"Rēzeknes satiksme"</w:t>
            </w:r>
          </w:p>
        </w:tc>
        <w:tc>
          <w:tcPr>
            <w:tcW w:w="2268" w:type="dxa"/>
            <w:tcBorders>
              <w:top w:val="nil"/>
              <w:left w:val="nil"/>
              <w:bottom w:val="single" w:sz="4" w:space="0" w:color="auto"/>
              <w:right w:val="single" w:sz="4" w:space="0" w:color="auto"/>
            </w:tcBorders>
            <w:shd w:val="clear" w:color="auto" w:fill="auto"/>
            <w:noWrap/>
            <w:vAlign w:val="bottom"/>
            <w:hideMark/>
          </w:tcPr>
          <w:p w14:paraId="6212C8DE"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1,8</w:t>
            </w:r>
          </w:p>
        </w:tc>
      </w:tr>
      <w:tr w:rsidR="003B4DAE" w:rsidRPr="006C7EFD" w14:paraId="769BEACB"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9A47C1D"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10</w:t>
            </w:r>
          </w:p>
        </w:tc>
        <w:tc>
          <w:tcPr>
            <w:tcW w:w="10632" w:type="dxa"/>
            <w:tcBorders>
              <w:top w:val="nil"/>
              <w:left w:val="nil"/>
              <w:bottom w:val="single" w:sz="4" w:space="0" w:color="auto"/>
              <w:right w:val="single" w:sz="4" w:space="0" w:color="auto"/>
            </w:tcBorders>
            <w:shd w:val="clear" w:color="auto" w:fill="auto"/>
            <w:noWrap/>
            <w:vAlign w:val="bottom"/>
            <w:hideMark/>
          </w:tcPr>
          <w:p w14:paraId="663A5EE4"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"Olimpiskais centrs "Ventspils""</w:t>
            </w:r>
          </w:p>
        </w:tc>
        <w:tc>
          <w:tcPr>
            <w:tcW w:w="2268" w:type="dxa"/>
            <w:tcBorders>
              <w:top w:val="nil"/>
              <w:left w:val="nil"/>
              <w:bottom w:val="single" w:sz="4" w:space="0" w:color="auto"/>
              <w:right w:val="single" w:sz="4" w:space="0" w:color="auto"/>
            </w:tcBorders>
            <w:shd w:val="clear" w:color="auto" w:fill="auto"/>
            <w:noWrap/>
            <w:vAlign w:val="bottom"/>
            <w:hideMark/>
          </w:tcPr>
          <w:p w14:paraId="6857426B"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0,01</w:t>
            </w:r>
          </w:p>
        </w:tc>
      </w:tr>
      <w:tr w:rsidR="003B4DAE" w:rsidRPr="006C7EFD" w14:paraId="67CBB66F"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68B6B7A"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11</w:t>
            </w:r>
          </w:p>
        </w:tc>
        <w:tc>
          <w:tcPr>
            <w:tcW w:w="10632" w:type="dxa"/>
            <w:tcBorders>
              <w:top w:val="nil"/>
              <w:left w:val="nil"/>
              <w:bottom w:val="single" w:sz="4" w:space="0" w:color="auto"/>
              <w:right w:val="single" w:sz="4" w:space="0" w:color="auto"/>
            </w:tcBorders>
            <w:shd w:val="clear" w:color="auto" w:fill="auto"/>
            <w:noWrap/>
            <w:vAlign w:val="bottom"/>
            <w:hideMark/>
          </w:tcPr>
          <w:p w14:paraId="3DA6F95E"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"Rīgas 2.slimnīca"</w:t>
            </w:r>
          </w:p>
        </w:tc>
        <w:tc>
          <w:tcPr>
            <w:tcW w:w="2268" w:type="dxa"/>
            <w:tcBorders>
              <w:top w:val="nil"/>
              <w:left w:val="nil"/>
              <w:bottom w:val="single" w:sz="4" w:space="0" w:color="auto"/>
              <w:right w:val="single" w:sz="4" w:space="0" w:color="auto"/>
            </w:tcBorders>
            <w:shd w:val="clear" w:color="auto" w:fill="auto"/>
            <w:noWrap/>
            <w:vAlign w:val="bottom"/>
            <w:hideMark/>
          </w:tcPr>
          <w:p w14:paraId="49B96104"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0,02</w:t>
            </w:r>
          </w:p>
        </w:tc>
      </w:tr>
    </w:tbl>
    <w:p w14:paraId="0D22B451" w14:textId="77777777" w:rsidR="003B4DAE" w:rsidRDefault="003B4DAE" w:rsidP="00401A5B">
      <w:pPr>
        <w:widowControl w:val="0"/>
        <w:jc w:val="center"/>
        <w:rPr>
          <w:rFonts w:ascii="Times New Roman" w:hAnsi="Times New Roman"/>
          <w:b/>
          <w:sz w:val="28"/>
          <w:szCs w:val="24"/>
        </w:rPr>
      </w:pPr>
    </w:p>
    <w:p w14:paraId="076C41CC" w14:textId="77777777" w:rsidR="003B4DAE" w:rsidRPr="006C7EFD" w:rsidRDefault="003B4DAE" w:rsidP="00401A5B">
      <w:pPr>
        <w:widowControl w:val="0"/>
        <w:jc w:val="right"/>
        <w:rPr>
          <w:rFonts w:ascii="Times New Roman" w:hAnsi="Times New Roman"/>
          <w:i/>
          <w:sz w:val="20"/>
          <w:szCs w:val="24"/>
        </w:rPr>
      </w:pPr>
      <w:r w:rsidRPr="006C7EFD">
        <w:rPr>
          <w:rFonts w:ascii="Times New Roman" w:hAnsi="Times New Roman"/>
          <w:sz w:val="20"/>
          <w:szCs w:val="24"/>
        </w:rPr>
        <w:t xml:space="preserve">milj. </w:t>
      </w:r>
      <w:r w:rsidRPr="006C7EFD">
        <w:rPr>
          <w:rFonts w:ascii="Times New Roman" w:hAnsi="Times New Roman"/>
          <w:i/>
          <w:sz w:val="20"/>
          <w:szCs w:val="24"/>
        </w:rPr>
        <w:t>euro</w:t>
      </w:r>
    </w:p>
    <w:tbl>
      <w:tblPr>
        <w:tblW w:w="14034" w:type="dxa"/>
        <w:tblInd w:w="-5" w:type="dxa"/>
        <w:tblLook w:val="04A0" w:firstRow="1" w:lastRow="0" w:firstColumn="1" w:lastColumn="0" w:noHBand="0" w:noVBand="1"/>
      </w:tblPr>
      <w:tblGrid>
        <w:gridCol w:w="1134"/>
        <w:gridCol w:w="10632"/>
        <w:gridCol w:w="2268"/>
      </w:tblGrid>
      <w:tr w:rsidR="003B4DAE" w:rsidRPr="006C7EFD" w14:paraId="27F26530" w14:textId="77777777" w:rsidTr="003B4DAE">
        <w:trPr>
          <w:trHeight w:val="315"/>
        </w:trPr>
        <w:tc>
          <w:tcPr>
            <w:tcW w:w="14034" w:type="dxa"/>
            <w:gridSpan w:val="3"/>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5F24F5B1" w14:textId="77777777" w:rsidR="003B4DAE" w:rsidRPr="006C7EFD" w:rsidRDefault="003B4DAE" w:rsidP="00401A5B">
            <w:pPr>
              <w:jc w:val="center"/>
              <w:rPr>
                <w:rFonts w:ascii="Times New Roman" w:eastAsia="Times New Roman" w:hAnsi="Times New Roman" w:cs="Times New Roman"/>
                <w:b/>
                <w:bCs/>
                <w:color w:val="000000"/>
                <w:sz w:val="20"/>
                <w:szCs w:val="20"/>
              </w:rPr>
            </w:pPr>
            <w:r w:rsidRPr="006C7EFD">
              <w:rPr>
                <w:rFonts w:ascii="Times New Roman" w:eastAsia="Times New Roman" w:hAnsi="Times New Roman" w:cs="Times New Roman"/>
                <w:b/>
                <w:bCs/>
                <w:color w:val="000000"/>
                <w:sz w:val="20"/>
                <w:szCs w:val="20"/>
              </w:rPr>
              <w:t>2023</w:t>
            </w:r>
          </w:p>
        </w:tc>
      </w:tr>
      <w:tr w:rsidR="003B4DAE" w:rsidRPr="006C7EFD" w14:paraId="3EB88704" w14:textId="77777777" w:rsidTr="003B4DAE">
        <w:trPr>
          <w:trHeight w:val="435"/>
        </w:trPr>
        <w:tc>
          <w:tcPr>
            <w:tcW w:w="1134" w:type="dxa"/>
            <w:tcBorders>
              <w:top w:val="nil"/>
              <w:left w:val="single" w:sz="4" w:space="0" w:color="auto"/>
              <w:bottom w:val="single" w:sz="4" w:space="0" w:color="auto"/>
              <w:right w:val="single" w:sz="4" w:space="0" w:color="auto"/>
            </w:tcBorders>
            <w:shd w:val="clear" w:color="000000" w:fill="BDD7EE"/>
            <w:noWrap/>
            <w:vAlign w:val="bottom"/>
            <w:hideMark/>
          </w:tcPr>
          <w:p w14:paraId="1920ACC5"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 </w:t>
            </w:r>
          </w:p>
        </w:tc>
        <w:tc>
          <w:tcPr>
            <w:tcW w:w="10632" w:type="dxa"/>
            <w:tcBorders>
              <w:top w:val="nil"/>
              <w:left w:val="nil"/>
              <w:bottom w:val="single" w:sz="4" w:space="0" w:color="auto"/>
              <w:right w:val="single" w:sz="4" w:space="0" w:color="auto"/>
            </w:tcBorders>
            <w:shd w:val="clear" w:color="000000" w:fill="BDD7EE"/>
            <w:vAlign w:val="center"/>
            <w:hideMark/>
          </w:tcPr>
          <w:p w14:paraId="1590BC3D" w14:textId="77777777" w:rsidR="003B4DAE" w:rsidRPr="006C7EFD" w:rsidRDefault="003B4DAE" w:rsidP="00401A5B">
            <w:pPr>
              <w:rPr>
                <w:rFonts w:ascii="Times New Roman" w:eastAsia="Times New Roman" w:hAnsi="Times New Roman" w:cs="Times New Roman"/>
                <w:b/>
                <w:bCs/>
                <w:color w:val="000000"/>
                <w:sz w:val="20"/>
                <w:szCs w:val="20"/>
              </w:rPr>
            </w:pPr>
            <w:r w:rsidRPr="006C7EFD">
              <w:rPr>
                <w:rFonts w:ascii="Times New Roman" w:eastAsia="Times New Roman" w:hAnsi="Times New Roman" w:cs="Times New Roman"/>
                <w:b/>
                <w:bCs/>
                <w:color w:val="000000"/>
                <w:sz w:val="20"/>
                <w:szCs w:val="20"/>
              </w:rPr>
              <w:t>Ietekme uz vispārējās valdības parādu, kopā:</w:t>
            </w:r>
          </w:p>
        </w:tc>
        <w:tc>
          <w:tcPr>
            <w:tcW w:w="2268" w:type="dxa"/>
            <w:tcBorders>
              <w:top w:val="nil"/>
              <w:left w:val="nil"/>
              <w:bottom w:val="single" w:sz="4" w:space="0" w:color="auto"/>
              <w:right w:val="single" w:sz="4" w:space="0" w:color="auto"/>
            </w:tcBorders>
            <w:shd w:val="clear" w:color="000000" w:fill="BDD7EE"/>
            <w:vAlign w:val="center"/>
            <w:hideMark/>
          </w:tcPr>
          <w:p w14:paraId="6C922C40" w14:textId="77777777" w:rsidR="003B4DAE" w:rsidRPr="006C7EFD" w:rsidRDefault="003B4DAE" w:rsidP="00401A5B">
            <w:pPr>
              <w:jc w:val="right"/>
              <w:rPr>
                <w:rFonts w:ascii="Times New Roman" w:eastAsia="Times New Roman" w:hAnsi="Times New Roman" w:cs="Times New Roman"/>
                <w:b/>
                <w:bCs/>
                <w:color w:val="000000"/>
                <w:sz w:val="20"/>
                <w:szCs w:val="20"/>
              </w:rPr>
            </w:pPr>
            <w:r w:rsidRPr="006C7EFD">
              <w:rPr>
                <w:rFonts w:ascii="Times New Roman" w:eastAsia="Times New Roman" w:hAnsi="Times New Roman" w:cs="Times New Roman"/>
                <w:b/>
                <w:bCs/>
                <w:color w:val="000000"/>
                <w:sz w:val="20"/>
                <w:szCs w:val="20"/>
              </w:rPr>
              <w:t>823,6</w:t>
            </w:r>
          </w:p>
        </w:tc>
      </w:tr>
      <w:tr w:rsidR="003B4DAE" w:rsidRPr="006C7EFD" w14:paraId="57D90559" w14:textId="77777777" w:rsidTr="003B4DAE">
        <w:trPr>
          <w:trHeight w:val="315"/>
        </w:trPr>
        <w:tc>
          <w:tcPr>
            <w:tcW w:w="1134" w:type="dxa"/>
            <w:tcBorders>
              <w:top w:val="nil"/>
              <w:left w:val="single" w:sz="4" w:space="0" w:color="auto"/>
              <w:bottom w:val="single" w:sz="4" w:space="0" w:color="auto"/>
              <w:right w:val="single" w:sz="4" w:space="0" w:color="auto"/>
            </w:tcBorders>
            <w:shd w:val="clear" w:color="000000" w:fill="DDEBF7"/>
            <w:noWrap/>
            <w:vAlign w:val="bottom"/>
            <w:hideMark/>
          </w:tcPr>
          <w:p w14:paraId="4820705B" w14:textId="77777777" w:rsidR="003B4DAE" w:rsidRPr="006C7EFD" w:rsidRDefault="003B4DAE" w:rsidP="00401A5B">
            <w:pPr>
              <w:jc w:val="cente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S130100</w:t>
            </w:r>
          </w:p>
        </w:tc>
        <w:tc>
          <w:tcPr>
            <w:tcW w:w="10632" w:type="dxa"/>
            <w:tcBorders>
              <w:top w:val="nil"/>
              <w:left w:val="nil"/>
              <w:bottom w:val="single" w:sz="4" w:space="0" w:color="auto"/>
              <w:right w:val="single" w:sz="4" w:space="0" w:color="auto"/>
            </w:tcBorders>
            <w:shd w:val="clear" w:color="000000" w:fill="DDEBF7"/>
            <w:noWrap/>
            <w:vAlign w:val="bottom"/>
            <w:hideMark/>
          </w:tcPr>
          <w:p w14:paraId="1F832CFA"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Valsts struktūru kontrolētas un finansētas komercsabiedrības</w:t>
            </w:r>
          </w:p>
        </w:tc>
        <w:tc>
          <w:tcPr>
            <w:tcW w:w="2268" w:type="dxa"/>
            <w:tcBorders>
              <w:top w:val="nil"/>
              <w:left w:val="nil"/>
              <w:bottom w:val="single" w:sz="4" w:space="0" w:color="auto"/>
              <w:right w:val="single" w:sz="4" w:space="0" w:color="auto"/>
            </w:tcBorders>
            <w:shd w:val="clear" w:color="000000" w:fill="DDEBF7"/>
            <w:noWrap/>
            <w:vAlign w:val="bottom"/>
            <w:hideMark/>
          </w:tcPr>
          <w:p w14:paraId="0661251A"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 </w:t>
            </w:r>
          </w:p>
        </w:tc>
      </w:tr>
      <w:tr w:rsidR="003B4DAE" w:rsidRPr="006C7EFD" w14:paraId="6AB00ADC"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BAF1C4C"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w:t>
            </w:r>
          </w:p>
        </w:tc>
        <w:tc>
          <w:tcPr>
            <w:tcW w:w="10632" w:type="dxa"/>
            <w:tcBorders>
              <w:top w:val="nil"/>
              <w:left w:val="nil"/>
              <w:bottom w:val="single" w:sz="4" w:space="0" w:color="auto"/>
              <w:right w:val="single" w:sz="4" w:space="0" w:color="auto"/>
            </w:tcBorders>
            <w:shd w:val="clear" w:color="auto" w:fill="auto"/>
            <w:noWrap/>
            <w:vAlign w:val="bottom"/>
            <w:hideMark/>
          </w:tcPr>
          <w:p w14:paraId="47DD57D7"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AS „Enerģijas publiskais tirgotājs”</w:t>
            </w:r>
          </w:p>
        </w:tc>
        <w:tc>
          <w:tcPr>
            <w:tcW w:w="2268" w:type="dxa"/>
            <w:tcBorders>
              <w:top w:val="nil"/>
              <w:left w:val="nil"/>
              <w:bottom w:val="single" w:sz="4" w:space="0" w:color="auto"/>
              <w:right w:val="single" w:sz="4" w:space="0" w:color="auto"/>
            </w:tcBorders>
            <w:shd w:val="clear" w:color="auto" w:fill="auto"/>
            <w:noWrap/>
            <w:vAlign w:val="bottom"/>
            <w:hideMark/>
          </w:tcPr>
          <w:p w14:paraId="117FB0D8"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29,5</w:t>
            </w:r>
          </w:p>
        </w:tc>
      </w:tr>
      <w:tr w:rsidR="003B4DAE" w:rsidRPr="006C7EFD" w14:paraId="06D26042"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E9D8331"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w:t>
            </w:r>
          </w:p>
        </w:tc>
        <w:tc>
          <w:tcPr>
            <w:tcW w:w="10632" w:type="dxa"/>
            <w:tcBorders>
              <w:top w:val="nil"/>
              <w:left w:val="nil"/>
              <w:bottom w:val="single" w:sz="4" w:space="0" w:color="auto"/>
              <w:right w:val="single" w:sz="4" w:space="0" w:color="auto"/>
            </w:tcBorders>
            <w:shd w:val="clear" w:color="auto" w:fill="auto"/>
            <w:noWrap/>
            <w:vAlign w:val="bottom"/>
            <w:hideMark/>
          </w:tcPr>
          <w:p w14:paraId="7BBEF6DE"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"Latvijas Vides, ģeoloģijas un meteoroloģijas centrs"</w:t>
            </w:r>
          </w:p>
        </w:tc>
        <w:tc>
          <w:tcPr>
            <w:tcW w:w="2268" w:type="dxa"/>
            <w:tcBorders>
              <w:top w:val="nil"/>
              <w:left w:val="nil"/>
              <w:bottom w:val="single" w:sz="4" w:space="0" w:color="auto"/>
              <w:right w:val="single" w:sz="4" w:space="0" w:color="auto"/>
            </w:tcBorders>
            <w:shd w:val="clear" w:color="auto" w:fill="auto"/>
            <w:noWrap/>
            <w:vAlign w:val="bottom"/>
            <w:hideMark/>
          </w:tcPr>
          <w:p w14:paraId="68119D74"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2,6</w:t>
            </w:r>
          </w:p>
        </w:tc>
      </w:tr>
      <w:tr w:rsidR="003B4DAE" w:rsidRPr="006C7EFD" w14:paraId="5D51D6EE"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FC373C8"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3</w:t>
            </w:r>
          </w:p>
        </w:tc>
        <w:tc>
          <w:tcPr>
            <w:tcW w:w="10632" w:type="dxa"/>
            <w:tcBorders>
              <w:top w:val="nil"/>
              <w:left w:val="nil"/>
              <w:bottom w:val="single" w:sz="4" w:space="0" w:color="auto"/>
              <w:right w:val="single" w:sz="4" w:space="0" w:color="auto"/>
            </w:tcBorders>
            <w:shd w:val="clear" w:color="auto" w:fill="auto"/>
            <w:noWrap/>
            <w:vAlign w:val="bottom"/>
            <w:hideMark/>
          </w:tcPr>
          <w:p w14:paraId="183D9527"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VAS “Latvijas autoceļu uzturētājs”</w:t>
            </w:r>
          </w:p>
        </w:tc>
        <w:tc>
          <w:tcPr>
            <w:tcW w:w="2268" w:type="dxa"/>
            <w:tcBorders>
              <w:top w:val="nil"/>
              <w:left w:val="nil"/>
              <w:bottom w:val="single" w:sz="4" w:space="0" w:color="auto"/>
              <w:right w:val="single" w:sz="4" w:space="0" w:color="auto"/>
            </w:tcBorders>
            <w:shd w:val="clear" w:color="auto" w:fill="auto"/>
            <w:noWrap/>
            <w:vAlign w:val="bottom"/>
            <w:hideMark/>
          </w:tcPr>
          <w:p w14:paraId="0D8FB650"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17,9</w:t>
            </w:r>
          </w:p>
        </w:tc>
      </w:tr>
      <w:tr w:rsidR="003B4DAE" w:rsidRPr="006C7EFD" w14:paraId="26D5ACB1"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7AF4752"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4</w:t>
            </w:r>
          </w:p>
        </w:tc>
        <w:tc>
          <w:tcPr>
            <w:tcW w:w="10632" w:type="dxa"/>
            <w:tcBorders>
              <w:top w:val="nil"/>
              <w:left w:val="nil"/>
              <w:bottom w:val="single" w:sz="4" w:space="0" w:color="auto"/>
              <w:right w:val="single" w:sz="4" w:space="0" w:color="auto"/>
            </w:tcBorders>
            <w:shd w:val="clear" w:color="auto" w:fill="auto"/>
            <w:noWrap/>
            <w:vAlign w:val="bottom"/>
            <w:hideMark/>
          </w:tcPr>
          <w:p w14:paraId="0A4FECFC"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AS „Pasažieru vilciens”</w:t>
            </w:r>
          </w:p>
        </w:tc>
        <w:tc>
          <w:tcPr>
            <w:tcW w:w="2268" w:type="dxa"/>
            <w:tcBorders>
              <w:top w:val="nil"/>
              <w:left w:val="nil"/>
              <w:bottom w:val="single" w:sz="4" w:space="0" w:color="auto"/>
              <w:right w:val="single" w:sz="4" w:space="0" w:color="auto"/>
            </w:tcBorders>
            <w:shd w:val="clear" w:color="auto" w:fill="auto"/>
            <w:noWrap/>
            <w:vAlign w:val="bottom"/>
            <w:hideMark/>
          </w:tcPr>
          <w:p w14:paraId="37432B02"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2,0</w:t>
            </w:r>
          </w:p>
        </w:tc>
      </w:tr>
      <w:tr w:rsidR="003B4DAE" w:rsidRPr="006C7EFD" w14:paraId="51638271"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4EC848"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5</w:t>
            </w:r>
          </w:p>
        </w:tc>
        <w:tc>
          <w:tcPr>
            <w:tcW w:w="10632" w:type="dxa"/>
            <w:tcBorders>
              <w:top w:val="nil"/>
              <w:left w:val="nil"/>
              <w:bottom w:val="single" w:sz="4" w:space="0" w:color="auto"/>
              <w:right w:val="single" w:sz="4" w:space="0" w:color="auto"/>
            </w:tcBorders>
            <w:shd w:val="clear" w:color="auto" w:fill="auto"/>
            <w:noWrap/>
            <w:vAlign w:val="bottom"/>
            <w:hideMark/>
          </w:tcPr>
          <w:p w14:paraId="5F666505"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"Nacionālais rehabilitācijas centrs "Vaivari""</w:t>
            </w:r>
          </w:p>
        </w:tc>
        <w:tc>
          <w:tcPr>
            <w:tcW w:w="2268" w:type="dxa"/>
            <w:tcBorders>
              <w:top w:val="nil"/>
              <w:left w:val="nil"/>
              <w:bottom w:val="single" w:sz="4" w:space="0" w:color="auto"/>
              <w:right w:val="single" w:sz="4" w:space="0" w:color="auto"/>
            </w:tcBorders>
            <w:shd w:val="clear" w:color="auto" w:fill="auto"/>
            <w:noWrap/>
            <w:vAlign w:val="bottom"/>
            <w:hideMark/>
          </w:tcPr>
          <w:p w14:paraId="763E5C30"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0,5</w:t>
            </w:r>
          </w:p>
        </w:tc>
      </w:tr>
      <w:tr w:rsidR="003B4DAE" w:rsidRPr="006C7EFD" w14:paraId="27895A63"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18FFD31"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6</w:t>
            </w:r>
          </w:p>
        </w:tc>
        <w:tc>
          <w:tcPr>
            <w:tcW w:w="10632" w:type="dxa"/>
            <w:tcBorders>
              <w:top w:val="nil"/>
              <w:left w:val="nil"/>
              <w:bottom w:val="single" w:sz="4" w:space="0" w:color="auto"/>
              <w:right w:val="single" w:sz="4" w:space="0" w:color="auto"/>
            </w:tcBorders>
            <w:shd w:val="clear" w:color="auto" w:fill="auto"/>
            <w:noWrap/>
            <w:vAlign w:val="bottom"/>
            <w:hideMark/>
          </w:tcPr>
          <w:p w14:paraId="3BF14054"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VAS "Tiesu namu aģentūra"</w:t>
            </w:r>
          </w:p>
        </w:tc>
        <w:tc>
          <w:tcPr>
            <w:tcW w:w="2268" w:type="dxa"/>
            <w:tcBorders>
              <w:top w:val="nil"/>
              <w:left w:val="nil"/>
              <w:bottom w:val="single" w:sz="4" w:space="0" w:color="auto"/>
              <w:right w:val="single" w:sz="4" w:space="0" w:color="auto"/>
            </w:tcBorders>
            <w:shd w:val="clear" w:color="auto" w:fill="auto"/>
            <w:noWrap/>
            <w:vAlign w:val="bottom"/>
            <w:hideMark/>
          </w:tcPr>
          <w:p w14:paraId="313DB65A"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14,3</w:t>
            </w:r>
          </w:p>
        </w:tc>
      </w:tr>
      <w:tr w:rsidR="003B4DAE" w:rsidRPr="006C7EFD" w14:paraId="59C9F5C4"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B5D4A93"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7</w:t>
            </w:r>
          </w:p>
        </w:tc>
        <w:tc>
          <w:tcPr>
            <w:tcW w:w="10632" w:type="dxa"/>
            <w:tcBorders>
              <w:top w:val="nil"/>
              <w:left w:val="nil"/>
              <w:bottom w:val="single" w:sz="4" w:space="0" w:color="auto"/>
              <w:right w:val="single" w:sz="4" w:space="0" w:color="auto"/>
            </w:tcBorders>
            <w:shd w:val="clear" w:color="auto" w:fill="auto"/>
            <w:noWrap/>
            <w:vAlign w:val="bottom"/>
            <w:hideMark/>
          </w:tcPr>
          <w:p w14:paraId="2502D59A"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VAS "Valsts nekustamie īpašumi"</w:t>
            </w:r>
          </w:p>
        </w:tc>
        <w:tc>
          <w:tcPr>
            <w:tcW w:w="2268" w:type="dxa"/>
            <w:tcBorders>
              <w:top w:val="nil"/>
              <w:left w:val="nil"/>
              <w:bottom w:val="single" w:sz="4" w:space="0" w:color="auto"/>
              <w:right w:val="single" w:sz="4" w:space="0" w:color="auto"/>
            </w:tcBorders>
            <w:shd w:val="clear" w:color="auto" w:fill="auto"/>
            <w:noWrap/>
            <w:vAlign w:val="bottom"/>
            <w:hideMark/>
          </w:tcPr>
          <w:p w14:paraId="78C93382"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96,3</w:t>
            </w:r>
          </w:p>
        </w:tc>
      </w:tr>
      <w:tr w:rsidR="003B4DAE" w:rsidRPr="006C7EFD" w14:paraId="3064FF8D" w14:textId="77777777" w:rsidTr="003B4DAE">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E63DA4"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8</w:t>
            </w:r>
          </w:p>
        </w:tc>
        <w:tc>
          <w:tcPr>
            <w:tcW w:w="10632" w:type="dxa"/>
            <w:tcBorders>
              <w:top w:val="nil"/>
              <w:left w:val="nil"/>
              <w:bottom w:val="single" w:sz="4" w:space="0" w:color="auto"/>
              <w:right w:val="single" w:sz="4" w:space="0" w:color="auto"/>
            </w:tcBorders>
            <w:shd w:val="clear" w:color="auto" w:fill="auto"/>
            <w:noWrap/>
            <w:vAlign w:val="bottom"/>
            <w:hideMark/>
          </w:tcPr>
          <w:p w14:paraId="22D78376"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"Rīgas Austrumu klīniskā universitātes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40DB1943"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41,3</w:t>
            </w:r>
          </w:p>
        </w:tc>
      </w:tr>
      <w:tr w:rsidR="003B4DAE" w:rsidRPr="006C7EFD" w14:paraId="032CC19F"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DAC8064"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9</w:t>
            </w:r>
          </w:p>
        </w:tc>
        <w:tc>
          <w:tcPr>
            <w:tcW w:w="10632" w:type="dxa"/>
            <w:tcBorders>
              <w:top w:val="nil"/>
              <w:left w:val="nil"/>
              <w:bottom w:val="single" w:sz="4" w:space="0" w:color="auto"/>
              <w:right w:val="single" w:sz="4" w:space="0" w:color="auto"/>
            </w:tcBorders>
            <w:shd w:val="clear" w:color="auto" w:fill="auto"/>
            <w:noWrap/>
            <w:vAlign w:val="bottom"/>
            <w:hideMark/>
          </w:tcPr>
          <w:p w14:paraId="4DC650B2"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AS "Attīstības finanšu institūcija Altum"</w:t>
            </w:r>
          </w:p>
        </w:tc>
        <w:tc>
          <w:tcPr>
            <w:tcW w:w="2268" w:type="dxa"/>
            <w:tcBorders>
              <w:top w:val="nil"/>
              <w:left w:val="nil"/>
              <w:bottom w:val="single" w:sz="4" w:space="0" w:color="auto"/>
              <w:right w:val="single" w:sz="4" w:space="0" w:color="auto"/>
            </w:tcBorders>
            <w:shd w:val="clear" w:color="auto" w:fill="auto"/>
            <w:noWrap/>
            <w:vAlign w:val="bottom"/>
            <w:hideMark/>
          </w:tcPr>
          <w:p w14:paraId="4C12AABC"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245,2</w:t>
            </w:r>
          </w:p>
        </w:tc>
      </w:tr>
      <w:tr w:rsidR="003B4DAE" w:rsidRPr="006C7EFD" w14:paraId="5D130F77"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70CA3A3"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10</w:t>
            </w:r>
          </w:p>
        </w:tc>
        <w:tc>
          <w:tcPr>
            <w:tcW w:w="10632" w:type="dxa"/>
            <w:tcBorders>
              <w:top w:val="nil"/>
              <w:left w:val="nil"/>
              <w:bottom w:val="single" w:sz="4" w:space="0" w:color="auto"/>
              <w:right w:val="single" w:sz="4" w:space="0" w:color="auto"/>
            </w:tcBorders>
            <w:shd w:val="clear" w:color="auto" w:fill="auto"/>
            <w:noWrap/>
            <w:vAlign w:val="bottom"/>
            <w:hideMark/>
          </w:tcPr>
          <w:p w14:paraId="6AEE8ADE"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"Slimnīca Ģintermuiža"</w:t>
            </w:r>
          </w:p>
        </w:tc>
        <w:tc>
          <w:tcPr>
            <w:tcW w:w="2268" w:type="dxa"/>
            <w:tcBorders>
              <w:top w:val="nil"/>
              <w:left w:val="nil"/>
              <w:bottom w:val="single" w:sz="4" w:space="0" w:color="auto"/>
              <w:right w:val="single" w:sz="4" w:space="0" w:color="auto"/>
            </w:tcBorders>
            <w:shd w:val="clear" w:color="auto" w:fill="auto"/>
            <w:noWrap/>
            <w:vAlign w:val="bottom"/>
            <w:hideMark/>
          </w:tcPr>
          <w:p w14:paraId="5C5251A5"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7,4</w:t>
            </w:r>
          </w:p>
        </w:tc>
      </w:tr>
      <w:tr w:rsidR="003B4DAE" w:rsidRPr="006C7EFD" w14:paraId="124D4E4E"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F4530FB"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11</w:t>
            </w:r>
          </w:p>
        </w:tc>
        <w:tc>
          <w:tcPr>
            <w:tcW w:w="10632" w:type="dxa"/>
            <w:tcBorders>
              <w:top w:val="nil"/>
              <w:left w:val="nil"/>
              <w:bottom w:val="single" w:sz="4" w:space="0" w:color="auto"/>
              <w:right w:val="single" w:sz="4" w:space="0" w:color="auto"/>
            </w:tcBorders>
            <w:shd w:val="clear" w:color="auto" w:fill="auto"/>
            <w:noWrap/>
            <w:vAlign w:val="bottom"/>
            <w:hideMark/>
          </w:tcPr>
          <w:p w14:paraId="5C74E479"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"Bērnu klīniskā universitātes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0B6DE741"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14,8</w:t>
            </w:r>
          </w:p>
        </w:tc>
      </w:tr>
      <w:tr w:rsidR="003B4DAE" w:rsidRPr="006C7EFD" w14:paraId="244EF295"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C1C7D3"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12</w:t>
            </w:r>
          </w:p>
        </w:tc>
        <w:tc>
          <w:tcPr>
            <w:tcW w:w="10632" w:type="dxa"/>
            <w:tcBorders>
              <w:top w:val="nil"/>
              <w:left w:val="nil"/>
              <w:bottom w:val="single" w:sz="4" w:space="0" w:color="auto"/>
              <w:right w:val="single" w:sz="4" w:space="0" w:color="auto"/>
            </w:tcBorders>
            <w:shd w:val="clear" w:color="auto" w:fill="auto"/>
            <w:noWrap/>
            <w:vAlign w:val="bottom"/>
            <w:hideMark/>
          </w:tcPr>
          <w:p w14:paraId="371BBA0D"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"Paula Stradiņa Klīniskā universitātes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3DBD5ABE"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40,5</w:t>
            </w:r>
          </w:p>
        </w:tc>
      </w:tr>
      <w:tr w:rsidR="003B4DAE" w:rsidRPr="006C7EFD" w14:paraId="009EEC18"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3BD0384"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13</w:t>
            </w:r>
          </w:p>
        </w:tc>
        <w:tc>
          <w:tcPr>
            <w:tcW w:w="10632" w:type="dxa"/>
            <w:tcBorders>
              <w:top w:val="nil"/>
              <w:left w:val="nil"/>
              <w:bottom w:val="single" w:sz="4" w:space="0" w:color="auto"/>
              <w:right w:val="single" w:sz="4" w:space="0" w:color="auto"/>
            </w:tcBorders>
            <w:shd w:val="clear" w:color="auto" w:fill="auto"/>
            <w:noWrap/>
            <w:vAlign w:val="bottom"/>
            <w:hideMark/>
          </w:tcPr>
          <w:p w14:paraId="053C9A13"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VSIA "Daugavpils psihoneiroloģiskā slimnīca"</w:t>
            </w:r>
          </w:p>
        </w:tc>
        <w:tc>
          <w:tcPr>
            <w:tcW w:w="2268" w:type="dxa"/>
            <w:tcBorders>
              <w:top w:val="nil"/>
              <w:left w:val="nil"/>
              <w:bottom w:val="single" w:sz="4" w:space="0" w:color="auto"/>
              <w:right w:val="single" w:sz="4" w:space="0" w:color="auto"/>
            </w:tcBorders>
            <w:shd w:val="clear" w:color="auto" w:fill="auto"/>
            <w:noWrap/>
            <w:vAlign w:val="bottom"/>
            <w:hideMark/>
          </w:tcPr>
          <w:p w14:paraId="00EF8A72"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8,3</w:t>
            </w:r>
          </w:p>
        </w:tc>
      </w:tr>
      <w:tr w:rsidR="003B4DAE" w:rsidRPr="006C7EFD" w14:paraId="46E8BA99" w14:textId="77777777" w:rsidTr="003B4DAE">
        <w:trPr>
          <w:trHeight w:val="315"/>
        </w:trPr>
        <w:tc>
          <w:tcPr>
            <w:tcW w:w="1134" w:type="dxa"/>
            <w:tcBorders>
              <w:top w:val="nil"/>
              <w:left w:val="single" w:sz="4" w:space="0" w:color="auto"/>
              <w:bottom w:val="single" w:sz="4" w:space="0" w:color="auto"/>
              <w:right w:val="single" w:sz="4" w:space="0" w:color="auto"/>
            </w:tcBorders>
            <w:shd w:val="clear" w:color="000000" w:fill="DDEBF7"/>
            <w:noWrap/>
            <w:vAlign w:val="bottom"/>
            <w:hideMark/>
          </w:tcPr>
          <w:p w14:paraId="6BD3FC6E"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S130300</w:t>
            </w:r>
          </w:p>
        </w:tc>
        <w:tc>
          <w:tcPr>
            <w:tcW w:w="10632" w:type="dxa"/>
            <w:tcBorders>
              <w:top w:val="nil"/>
              <w:left w:val="nil"/>
              <w:bottom w:val="single" w:sz="4" w:space="0" w:color="auto"/>
              <w:right w:val="single" w:sz="4" w:space="0" w:color="auto"/>
            </w:tcBorders>
            <w:shd w:val="clear" w:color="000000" w:fill="DDEBF7"/>
            <w:noWrap/>
            <w:vAlign w:val="bottom"/>
            <w:hideMark/>
          </w:tcPr>
          <w:p w14:paraId="3E87F7A4"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Pašvaldības struktūru kontrolētas un finansētas komercsabiedrības</w:t>
            </w:r>
          </w:p>
        </w:tc>
        <w:tc>
          <w:tcPr>
            <w:tcW w:w="2268" w:type="dxa"/>
            <w:tcBorders>
              <w:top w:val="nil"/>
              <w:left w:val="nil"/>
              <w:bottom w:val="single" w:sz="4" w:space="0" w:color="auto"/>
              <w:right w:val="single" w:sz="4" w:space="0" w:color="auto"/>
            </w:tcBorders>
            <w:shd w:val="clear" w:color="000000" w:fill="DDEBF7"/>
            <w:noWrap/>
            <w:vAlign w:val="bottom"/>
            <w:hideMark/>
          </w:tcPr>
          <w:p w14:paraId="01341A7C"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 </w:t>
            </w:r>
          </w:p>
        </w:tc>
      </w:tr>
      <w:tr w:rsidR="003B4DAE" w:rsidRPr="006C7EFD" w14:paraId="39D6A0BD"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94B5839"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w:t>
            </w:r>
          </w:p>
        </w:tc>
        <w:tc>
          <w:tcPr>
            <w:tcW w:w="10632" w:type="dxa"/>
            <w:tcBorders>
              <w:top w:val="nil"/>
              <w:left w:val="nil"/>
              <w:bottom w:val="single" w:sz="4" w:space="0" w:color="auto"/>
              <w:right w:val="single" w:sz="4" w:space="0" w:color="auto"/>
            </w:tcBorders>
            <w:shd w:val="clear" w:color="auto" w:fill="auto"/>
            <w:noWrap/>
            <w:vAlign w:val="bottom"/>
            <w:hideMark/>
          </w:tcPr>
          <w:p w14:paraId="0A846371"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"Cēsu klīnika"</w:t>
            </w:r>
          </w:p>
        </w:tc>
        <w:tc>
          <w:tcPr>
            <w:tcW w:w="2268" w:type="dxa"/>
            <w:tcBorders>
              <w:top w:val="nil"/>
              <w:left w:val="nil"/>
              <w:bottom w:val="single" w:sz="4" w:space="0" w:color="auto"/>
              <w:right w:val="single" w:sz="4" w:space="0" w:color="auto"/>
            </w:tcBorders>
            <w:shd w:val="clear" w:color="auto" w:fill="auto"/>
            <w:noWrap/>
            <w:vAlign w:val="bottom"/>
            <w:hideMark/>
          </w:tcPr>
          <w:p w14:paraId="13E7ACA3"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0,7</w:t>
            </w:r>
          </w:p>
        </w:tc>
      </w:tr>
      <w:tr w:rsidR="003B4DAE" w:rsidRPr="006C7EFD" w14:paraId="1E25C000"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E13CFC"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w:t>
            </w:r>
          </w:p>
        </w:tc>
        <w:tc>
          <w:tcPr>
            <w:tcW w:w="10632" w:type="dxa"/>
            <w:tcBorders>
              <w:top w:val="nil"/>
              <w:left w:val="nil"/>
              <w:bottom w:val="single" w:sz="4" w:space="0" w:color="auto"/>
              <w:right w:val="single" w:sz="4" w:space="0" w:color="auto"/>
            </w:tcBorders>
            <w:shd w:val="clear" w:color="auto" w:fill="auto"/>
            <w:noWrap/>
            <w:vAlign w:val="bottom"/>
            <w:hideMark/>
          </w:tcPr>
          <w:p w14:paraId="50ED96F1"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"Jēkabpils reģionālā slimnīca"</w:t>
            </w:r>
          </w:p>
        </w:tc>
        <w:tc>
          <w:tcPr>
            <w:tcW w:w="2268" w:type="dxa"/>
            <w:tcBorders>
              <w:top w:val="nil"/>
              <w:left w:val="nil"/>
              <w:bottom w:val="single" w:sz="4" w:space="0" w:color="auto"/>
              <w:right w:val="single" w:sz="4" w:space="0" w:color="auto"/>
            </w:tcBorders>
            <w:shd w:val="clear" w:color="auto" w:fill="auto"/>
            <w:noWrap/>
            <w:vAlign w:val="bottom"/>
            <w:hideMark/>
          </w:tcPr>
          <w:p w14:paraId="45C47E15"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0,1</w:t>
            </w:r>
          </w:p>
        </w:tc>
      </w:tr>
      <w:tr w:rsidR="003B4DAE" w:rsidRPr="006C7EFD" w14:paraId="36C063BB"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94387B5"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3</w:t>
            </w:r>
          </w:p>
        </w:tc>
        <w:tc>
          <w:tcPr>
            <w:tcW w:w="10632" w:type="dxa"/>
            <w:tcBorders>
              <w:top w:val="nil"/>
              <w:left w:val="nil"/>
              <w:bottom w:val="single" w:sz="4" w:space="0" w:color="auto"/>
              <w:right w:val="single" w:sz="4" w:space="0" w:color="auto"/>
            </w:tcBorders>
            <w:shd w:val="clear" w:color="auto" w:fill="auto"/>
            <w:noWrap/>
            <w:vAlign w:val="bottom"/>
            <w:hideMark/>
          </w:tcPr>
          <w:p w14:paraId="1EB9FE14"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"Jūrmalas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6054F824"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1,0</w:t>
            </w:r>
          </w:p>
        </w:tc>
      </w:tr>
      <w:tr w:rsidR="003B4DAE" w:rsidRPr="006C7EFD" w14:paraId="7EA3ADB9"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DBED0EE"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4</w:t>
            </w:r>
          </w:p>
        </w:tc>
        <w:tc>
          <w:tcPr>
            <w:tcW w:w="10632" w:type="dxa"/>
            <w:tcBorders>
              <w:top w:val="nil"/>
              <w:left w:val="nil"/>
              <w:bottom w:val="single" w:sz="4" w:space="0" w:color="auto"/>
              <w:right w:val="single" w:sz="4" w:space="0" w:color="auto"/>
            </w:tcBorders>
            <w:shd w:val="clear" w:color="auto" w:fill="auto"/>
            <w:noWrap/>
            <w:vAlign w:val="bottom"/>
            <w:hideMark/>
          </w:tcPr>
          <w:p w14:paraId="6C6205B0"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"Kuldīgas slimnīca"</w:t>
            </w:r>
          </w:p>
        </w:tc>
        <w:tc>
          <w:tcPr>
            <w:tcW w:w="2268" w:type="dxa"/>
            <w:tcBorders>
              <w:top w:val="nil"/>
              <w:left w:val="nil"/>
              <w:bottom w:val="single" w:sz="4" w:space="0" w:color="auto"/>
              <w:right w:val="single" w:sz="4" w:space="0" w:color="auto"/>
            </w:tcBorders>
            <w:shd w:val="clear" w:color="auto" w:fill="auto"/>
            <w:noWrap/>
            <w:vAlign w:val="bottom"/>
            <w:hideMark/>
          </w:tcPr>
          <w:p w14:paraId="078118DE"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0,3</w:t>
            </w:r>
          </w:p>
        </w:tc>
      </w:tr>
      <w:tr w:rsidR="003B4DAE" w:rsidRPr="006C7EFD" w14:paraId="7C45E0CB"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4C916F"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5</w:t>
            </w:r>
          </w:p>
        </w:tc>
        <w:tc>
          <w:tcPr>
            <w:tcW w:w="10632" w:type="dxa"/>
            <w:tcBorders>
              <w:top w:val="nil"/>
              <w:left w:val="nil"/>
              <w:bottom w:val="single" w:sz="4" w:space="0" w:color="auto"/>
              <w:right w:val="single" w:sz="4" w:space="0" w:color="auto"/>
            </w:tcBorders>
            <w:shd w:val="clear" w:color="auto" w:fill="auto"/>
            <w:noWrap/>
            <w:vAlign w:val="bottom"/>
            <w:hideMark/>
          </w:tcPr>
          <w:p w14:paraId="5C7439A5"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RP SIA "Rīgas Satiksme"</w:t>
            </w:r>
          </w:p>
        </w:tc>
        <w:tc>
          <w:tcPr>
            <w:tcW w:w="2268" w:type="dxa"/>
            <w:tcBorders>
              <w:top w:val="nil"/>
              <w:left w:val="nil"/>
              <w:bottom w:val="single" w:sz="4" w:space="0" w:color="auto"/>
              <w:right w:val="single" w:sz="4" w:space="0" w:color="auto"/>
            </w:tcBorders>
            <w:shd w:val="clear" w:color="auto" w:fill="auto"/>
            <w:noWrap/>
            <w:vAlign w:val="bottom"/>
            <w:hideMark/>
          </w:tcPr>
          <w:p w14:paraId="71D4657A"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297,4</w:t>
            </w:r>
          </w:p>
        </w:tc>
      </w:tr>
      <w:tr w:rsidR="003B4DAE" w:rsidRPr="006C7EFD" w14:paraId="26D7096C"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FCDC61B"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6</w:t>
            </w:r>
          </w:p>
        </w:tc>
        <w:tc>
          <w:tcPr>
            <w:tcW w:w="10632" w:type="dxa"/>
            <w:tcBorders>
              <w:top w:val="nil"/>
              <w:left w:val="nil"/>
              <w:bottom w:val="single" w:sz="4" w:space="0" w:color="auto"/>
              <w:right w:val="single" w:sz="4" w:space="0" w:color="auto"/>
            </w:tcBorders>
            <w:shd w:val="clear" w:color="auto" w:fill="auto"/>
            <w:noWrap/>
            <w:vAlign w:val="bottom"/>
            <w:hideMark/>
          </w:tcPr>
          <w:p w14:paraId="3435C51D"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"Rīgas Dzemdību nams"</w:t>
            </w:r>
          </w:p>
        </w:tc>
        <w:tc>
          <w:tcPr>
            <w:tcW w:w="2268" w:type="dxa"/>
            <w:tcBorders>
              <w:top w:val="nil"/>
              <w:left w:val="nil"/>
              <w:bottom w:val="single" w:sz="4" w:space="0" w:color="auto"/>
              <w:right w:val="single" w:sz="4" w:space="0" w:color="auto"/>
            </w:tcBorders>
            <w:shd w:val="clear" w:color="auto" w:fill="auto"/>
            <w:noWrap/>
            <w:vAlign w:val="bottom"/>
            <w:hideMark/>
          </w:tcPr>
          <w:p w14:paraId="0DD7B212"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0,6</w:t>
            </w:r>
          </w:p>
        </w:tc>
      </w:tr>
      <w:tr w:rsidR="003B4DAE" w:rsidRPr="006C7EFD" w14:paraId="788FF57D"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914682"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7</w:t>
            </w:r>
          </w:p>
        </w:tc>
        <w:tc>
          <w:tcPr>
            <w:tcW w:w="10632" w:type="dxa"/>
            <w:tcBorders>
              <w:top w:val="nil"/>
              <w:left w:val="nil"/>
              <w:bottom w:val="single" w:sz="4" w:space="0" w:color="auto"/>
              <w:right w:val="single" w:sz="4" w:space="0" w:color="auto"/>
            </w:tcBorders>
            <w:shd w:val="clear" w:color="auto" w:fill="auto"/>
            <w:noWrap/>
            <w:vAlign w:val="bottom"/>
            <w:hideMark/>
          </w:tcPr>
          <w:p w14:paraId="3A4AADA3"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"Liepājas Tramvajs"</w:t>
            </w:r>
          </w:p>
        </w:tc>
        <w:tc>
          <w:tcPr>
            <w:tcW w:w="2268" w:type="dxa"/>
            <w:tcBorders>
              <w:top w:val="nil"/>
              <w:left w:val="nil"/>
              <w:bottom w:val="single" w:sz="4" w:space="0" w:color="auto"/>
              <w:right w:val="single" w:sz="4" w:space="0" w:color="auto"/>
            </w:tcBorders>
            <w:shd w:val="clear" w:color="auto" w:fill="auto"/>
            <w:noWrap/>
            <w:vAlign w:val="bottom"/>
            <w:hideMark/>
          </w:tcPr>
          <w:p w14:paraId="5DF419D5"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0,01</w:t>
            </w:r>
          </w:p>
        </w:tc>
      </w:tr>
      <w:tr w:rsidR="003B4DAE" w:rsidRPr="006C7EFD" w14:paraId="5AD10C83"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5C9B8F1"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8</w:t>
            </w:r>
          </w:p>
        </w:tc>
        <w:tc>
          <w:tcPr>
            <w:tcW w:w="10632" w:type="dxa"/>
            <w:tcBorders>
              <w:top w:val="nil"/>
              <w:left w:val="nil"/>
              <w:bottom w:val="single" w:sz="4" w:space="0" w:color="auto"/>
              <w:right w:val="single" w:sz="4" w:space="0" w:color="auto"/>
            </w:tcBorders>
            <w:shd w:val="clear" w:color="auto" w:fill="auto"/>
            <w:noWrap/>
            <w:vAlign w:val="bottom"/>
            <w:hideMark/>
          </w:tcPr>
          <w:p w14:paraId="66C8CB31"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AS "Daugavpils satiksme"</w:t>
            </w:r>
          </w:p>
        </w:tc>
        <w:tc>
          <w:tcPr>
            <w:tcW w:w="2268" w:type="dxa"/>
            <w:tcBorders>
              <w:top w:val="nil"/>
              <w:left w:val="nil"/>
              <w:bottom w:val="single" w:sz="4" w:space="0" w:color="auto"/>
              <w:right w:val="single" w:sz="4" w:space="0" w:color="auto"/>
            </w:tcBorders>
            <w:shd w:val="clear" w:color="auto" w:fill="auto"/>
            <w:noWrap/>
            <w:vAlign w:val="bottom"/>
            <w:hideMark/>
          </w:tcPr>
          <w:p w14:paraId="4028083E"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1,7</w:t>
            </w:r>
          </w:p>
        </w:tc>
      </w:tr>
      <w:tr w:rsidR="003B4DAE" w:rsidRPr="006C7EFD" w14:paraId="605A805C"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D9DD33"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9</w:t>
            </w:r>
          </w:p>
        </w:tc>
        <w:tc>
          <w:tcPr>
            <w:tcW w:w="10632" w:type="dxa"/>
            <w:tcBorders>
              <w:top w:val="nil"/>
              <w:left w:val="nil"/>
              <w:bottom w:val="single" w:sz="4" w:space="0" w:color="auto"/>
              <w:right w:val="single" w:sz="4" w:space="0" w:color="auto"/>
            </w:tcBorders>
            <w:shd w:val="clear" w:color="auto" w:fill="auto"/>
            <w:noWrap/>
            <w:vAlign w:val="bottom"/>
            <w:hideMark/>
          </w:tcPr>
          <w:p w14:paraId="6107BEAC"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"Rēzeknes satiksme"</w:t>
            </w:r>
          </w:p>
        </w:tc>
        <w:tc>
          <w:tcPr>
            <w:tcW w:w="2268" w:type="dxa"/>
            <w:tcBorders>
              <w:top w:val="nil"/>
              <w:left w:val="nil"/>
              <w:bottom w:val="single" w:sz="4" w:space="0" w:color="auto"/>
              <w:right w:val="single" w:sz="4" w:space="0" w:color="auto"/>
            </w:tcBorders>
            <w:shd w:val="clear" w:color="auto" w:fill="auto"/>
            <w:noWrap/>
            <w:vAlign w:val="bottom"/>
            <w:hideMark/>
          </w:tcPr>
          <w:p w14:paraId="012AC1D4"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1,3</w:t>
            </w:r>
          </w:p>
        </w:tc>
      </w:tr>
      <w:tr w:rsidR="003B4DAE" w:rsidRPr="006C7EFD" w14:paraId="161617C8"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AFB38EB"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10</w:t>
            </w:r>
          </w:p>
        </w:tc>
        <w:tc>
          <w:tcPr>
            <w:tcW w:w="10632" w:type="dxa"/>
            <w:tcBorders>
              <w:top w:val="nil"/>
              <w:left w:val="nil"/>
              <w:bottom w:val="single" w:sz="4" w:space="0" w:color="auto"/>
              <w:right w:val="single" w:sz="4" w:space="0" w:color="auto"/>
            </w:tcBorders>
            <w:shd w:val="clear" w:color="auto" w:fill="auto"/>
            <w:noWrap/>
            <w:vAlign w:val="bottom"/>
            <w:hideMark/>
          </w:tcPr>
          <w:p w14:paraId="62C35919"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"Olimpiskais centrs "Ventspils""</w:t>
            </w:r>
          </w:p>
        </w:tc>
        <w:tc>
          <w:tcPr>
            <w:tcW w:w="2268" w:type="dxa"/>
            <w:tcBorders>
              <w:top w:val="nil"/>
              <w:left w:val="nil"/>
              <w:bottom w:val="single" w:sz="4" w:space="0" w:color="auto"/>
              <w:right w:val="single" w:sz="4" w:space="0" w:color="auto"/>
            </w:tcBorders>
            <w:shd w:val="clear" w:color="auto" w:fill="auto"/>
            <w:noWrap/>
            <w:vAlign w:val="bottom"/>
            <w:hideMark/>
          </w:tcPr>
          <w:p w14:paraId="7B3E0A17"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0,004</w:t>
            </w:r>
          </w:p>
        </w:tc>
      </w:tr>
      <w:tr w:rsidR="003B4DAE" w:rsidRPr="006C7EFD" w14:paraId="6F9D6DB7" w14:textId="77777777" w:rsidTr="003B4DAE">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9B1E35"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11</w:t>
            </w:r>
          </w:p>
        </w:tc>
        <w:tc>
          <w:tcPr>
            <w:tcW w:w="10632" w:type="dxa"/>
            <w:tcBorders>
              <w:top w:val="nil"/>
              <w:left w:val="nil"/>
              <w:bottom w:val="single" w:sz="4" w:space="0" w:color="auto"/>
              <w:right w:val="single" w:sz="4" w:space="0" w:color="auto"/>
            </w:tcBorders>
            <w:shd w:val="clear" w:color="auto" w:fill="auto"/>
            <w:noWrap/>
            <w:vAlign w:val="bottom"/>
            <w:hideMark/>
          </w:tcPr>
          <w:p w14:paraId="21E2CD31" w14:textId="77777777" w:rsidR="003B4DAE" w:rsidRPr="006C7EFD" w:rsidRDefault="003B4DAE" w:rsidP="00401A5B">
            <w:pPr>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SIA "Rīgas 2.slimnīca"</w:t>
            </w:r>
          </w:p>
        </w:tc>
        <w:tc>
          <w:tcPr>
            <w:tcW w:w="2268" w:type="dxa"/>
            <w:tcBorders>
              <w:top w:val="nil"/>
              <w:left w:val="nil"/>
              <w:bottom w:val="single" w:sz="4" w:space="0" w:color="auto"/>
              <w:right w:val="single" w:sz="4" w:space="0" w:color="auto"/>
            </w:tcBorders>
            <w:shd w:val="clear" w:color="auto" w:fill="auto"/>
            <w:noWrap/>
            <w:vAlign w:val="bottom"/>
            <w:hideMark/>
          </w:tcPr>
          <w:p w14:paraId="14E6A6E5" w14:textId="77777777" w:rsidR="003B4DAE" w:rsidRPr="006C7EFD" w:rsidRDefault="003B4DAE" w:rsidP="00401A5B">
            <w:pPr>
              <w:jc w:val="right"/>
              <w:rPr>
                <w:rFonts w:ascii="Times New Roman" w:eastAsia="Times New Roman" w:hAnsi="Times New Roman" w:cs="Times New Roman"/>
                <w:color w:val="000000"/>
                <w:sz w:val="20"/>
                <w:szCs w:val="20"/>
              </w:rPr>
            </w:pPr>
            <w:r w:rsidRPr="006C7EFD">
              <w:rPr>
                <w:rFonts w:ascii="Times New Roman" w:eastAsia="Times New Roman" w:hAnsi="Times New Roman" w:cs="Times New Roman"/>
                <w:color w:val="000000"/>
                <w:sz w:val="20"/>
                <w:szCs w:val="20"/>
              </w:rPr>
              <w:t>0,02</w:t>
            </w:r>
          </w:p>
        </w:tc>
      </w:tr>
    </w:tbl>
    <w:p w14:paraId="0586ED1C" w14:textId="7E390690" w:rsidR="003B4DAE" w:rsidRPr="00C404D5" w:rsidRDefault="00C404D5" w:rsidP="00C404D5">
      <w:pPr>
        <w:widowControl w:val="0"/>
        <w:rPr>
          <w:rFonts w:ascii="Times New Roman" w:hAnsi="Times New Roman"/>
          <w:i/>
          <w:sz w:val="20"/>
          <w:szCs w:val="24"/>
        </w:rPr>
      </w:pPr>
      <w:r>
        <w:rPr>
          <w:rFonts w:ascii="Times New Roman" w:hAnsi="Times New Roman"/>
          <w:i/>
          <w:sz w:val="20"/>
          <w:szCs w:val="24"/>
        </w:rPr>
        <w:t>Datu avots: Valsts kase</w:t>
      </w:r>
    </w:p>
    <w:p w14:paraId="244306BE" w14:textId="77777777" w:rsidR="003B4DAE" w:rsidRDefault="003B4DAE" w:rsidP="00401A5B">
      <w:pPr>
        <w:widowControl w:val="0"/>
        <w:jc w:val="right"/>
        <w:rPr>
          <w:rFonts w:ascii="Times New Roman" w:hAnsi="Times New Roman"/>
          <w:b/>
          <w:sz w:val="28"/>
          <w:szCs w:val="24"/>
        </w:rPr>
      </w:pPr>
    </w:p>
    <w:p w14:paraId="3A666A03" w14:textId="77777777" w:rsidR="003B4DAE" w:rsidRDefault="003B4DAE" w:rsidP="00401A5B">
      <w:pPr>
        <w:widowControl w:val="0"/>
        <w:jc w:val="right"/>
        <w:rPr>
          <w:rFonts w:ascii="Times New Roman" w:hAnsi="Times New Roman"/>
          <w:b/>
          <w:sz w:val="28"/>
          <w:szCs w:val="24"/>
        </w:rPr>
      </w:pPr>
    </w:p>
    <w:p w14:paraId="05FDB768" w14:textId="77777777" w:rsidR="003B4DAE" w:rsidRDefault="003B4DAE" w:rsidP="00401A5B">
      <w:pPr>
        <w:widowControl w:val="0"/>
        <w:jc w:val="right"/>
        <w:rPr>
          <w:rFonts w:ascii="Times New Roman" w:hAnsi="Times New Roman"/>
          <w:b/>
          <w:sz w:val="28"/>
          <w:szCs w:val="24"/>
        </w:rPr>
      </w:pPr>
    </w:p>
    <w:p w14:paraId="5A0CA3E2" w14:textId="6D71C9DF" w:rsidR="009D05C2" w:rsidRDefault="009D05C2" w:rsidP="00401A5B">
      <w:pPr>
        <w:pStyle w:val="ListParagraph"/>
        <w:widowControl w:val="0"/>
        <w:ind w:left="675"/>
        <w:jc w:val="right"/>
        <w:rPr>
          <w:rFonts w:ascii="Times New Roman" w:hAnsi="Times New Roman"/>
          <w:b/>
          <w:sz w:val="28"/>
          <w:szCs w:val="24"/>
        </w:rPr>
      </w:pPr>
    </w:p>
    <w:p w14:paraId="415A5BC2" w14:textId="3C021D79" w:rsidR="009D05C2" w:rsidRDefault="009D05C2" w:rsidP="00401A5B">
      <w:pPr>
        <w:pStyle w:val="ListParagraph"/>
        <w:widowControl w:val="0"/>
        <w:ind w:left="675"/>
        <w:jc w:val="right"/>
        <w:rPr>
          <w:rFonts w:ascii="Times New Roman" w:hAnsi="Times New Roman"/>
          <w:b/>
          <w:sz w:val="28"/>
          <w:szCs w:val="24"/>
        </w:rPr>
      </w:pPr>
    </w:p>
    <w:p w14:paraId="38317D3B" w14:textId="77777777" w:rsidR="003B4DAE" w:rsidRDefault="003B4DAE" w:rsidP="00401A5B">
      <w:pPr>
        <w:pStyle w:val="ListParagraph"/>
        <w:widowControl w:val="0"/>
        <w:ind w:left="675"/>
        <w:jc w:val="right"/>
        <w:rPr>
          <w:rFonts w:ascii="Times New Roman" w:hAnsi="Times New Roman"/>
          <w:b/>
          <w:sz w:val="28"/>
          <w:szCs w:val="24"/>
        </w:rPr>
      </w:pPr>
    </w:p>
    <w:p w14:paraId="5F2B58E4" w14:textId="7373F56F" w:rsidR="009D05C2" w:rsidRDefault="009D05C2" w:rsidP="00401A5B">
      <w:pPr>
        <w:pStyle w:val="ListParagraph"/>
        <w:widowControl w:val="0"/>
        <w:ind w:left="675"/>
        <w:jc w:val="right"/>
        <w:rPr>
          <w:rFonts w:ascii="Times New Roman" w:hAnsi="Times New Roman"/>
          <w:b/>
          <w:sz w:val="28"/>
          <w:szCs w:val="24"/>
        </w:rPr>
      </w:pPr>
    </w:p>
    <w:p w14:paraId="429B9FC8" w14:textId="52D560E3" w:rsidR="009D05C2" w:rsidRDefault="009D05C2" w:rsidP="00401A5B">
      <w:pPr>
        <w:pStyle w:val="ListParagraph"/>
        <w:widowControl w:val="0"/>
        <w:ind w:left="675"/>
        <w:jc w:val="right"/>
        <w:rPr>
          <w:rFonts w:ascii="Times New Roman" w:hAnsi="Times New Roman"/>
          <w:b/>
          <w:sz w:val="28"/>
          <w:szCs w:val="24"/>
        </w:rPr>
      </w:pPr>
    </w:p>
    <w:p w14:paraId="5EF2BB4E" w14:textId="77777777" w:rsidR="000F6C00" w:rsidRDefault="000F6C00" w:rsidP="00401A5B">
      <w:pPr>
        <w:pStyle w:val="ListParagraph"/>
        <w:widowControl w:val="0"/>
        <w:ind w:left="675"/>
        <w:jc w:val="right"/>
        <w:rPr>
          <w:rFonts w:ascii="Times New Roman" w:hAnsi="Times New Roman"/>
          <w:b/>
          <w:sz w:val="28"/>
          <w:szCs w:val="24"/>
        </w:rPr>
      </w:pPr>
    </w:p>
    <w:p w14:paraId="404FCBDC" w14:textId="77777777" w:rsidR="009D05C2" w:rsidRPr="009D05C2" w:rsidRDefault="009D05C2" w:rsidP="00401A5B">
      <w:pPr>
        <w:pStyle w:val="ListParagraph"/>
        <w:widowControl w:val="0"/>
        <w:ind w:left="675"/>
        <w:jc w:val="right"/>
        <w:rPr>
          <w:rFonts w:ascii="Times New Roman" w:eastAsia="Times New Roman" w:hAnsi="Times New Roman" w:cs="Times New Roman"/>
          <w:b/>
          <w:color w:val="000000"/>
          <w:sz w:val="24"/>
        </w:rPr>
      </w:pPr>
    </w:p>
    <w:p w14:paraId="4C714A15" w14:textId="77777777" w:rsidR="004F391E" w:rsidRDefault="004F391E" w:rsidP="00401A5B">
      <w:pPr>
        <w:widowControl w:val="0"/>
        <w:jc w:val="right"/>
        <w:rPr>
          <w:rFonts w:ascii="Times New Roman" w:eastAsia="Times New Roman" w:hAnsi="Times New Roman" w:cs="Times New Roman"/>
          <w:color w:val="000000"/>
          <w:sz w:val="24"/>
        </w:rPr>
      </w:pPr>
    </w:p>
    <w:p w14:paraId="27D7820B" w14:textId="44D7675B" w:rsidR="003F3FCD" w:rsidRPr="000F6C00" w:rsidRDefault="000F6C00" w:rsidP="000F6C00">
      <w:pPr>
        <w:pStyle w:val="ListParagraph"/>
        <w:widowControl w:val="0"/>
        <w:ind w:left="675"/>
        <w:jc w:val="right"/>
        <w:rPr>
          <w:rFonts w:ascii="Times New Roman" w:eastAsia="Times New Roman" w:hAnsi="Times New Roman" w:cs="Times New Roman"/>
          <w:color w:val="000000"/>
          <w:sz w:val="28"/>
        </w:rPr>
      </w:pPr>
      <w:r w:rsidRPr="000F6C00">
        <w:rPr>
          <w:rFonts w:ascii="Times New Roman" w:eastAsia="Times New Roman" w:hAnsi="Times New Roman" w:cs="Times New Roman"/>
          <w:color w:val="000000"/>
          <w:sz w:val="28"/>
        </w:rPr>
        <w:t>5.pielikums</w:t>
      </w:r>
    </w:p>
    <w:p w14:paraId="11A4A7B5" w14:textId="13E527CD" w:rsidR="003F3FCD" w:rsidRDefault="000548A5" w:rsidP="000F6C00">
      <w:pPr>
        <w:widowControl w:val="0"/>
        <w:jc w:val="right"/>
        <w:rPr>
          <w:rFonts w:ascii="Times New Roman" w:eastAsia="Times New Roman" w:hAnsi="Times New Roman" w:cs="Times New Roman"/>
          <w:b/>
          <w:color w:val="000000"/>
          <w:sz w:val="28"/>
        </w:rPr>
      </w:pPr>
      <w:r w:rsidRPr="000F6C00">
        <w:rPr>
          <w:rFonts w:ascii="Times New Roman" w:eastAsia="Times New Roman" w:hAnsi="Times New Roman" w:cs="Times New Roman"/>
          <w:b/>
          <w:color w:val="000000"/>
          <w:sz w:val="28"/>
        </w:rPr>
        <w:t>Aizsardzības ministrijas pamatbudžeta programma 31.00.00. "Militārpersonu pensiju fonds"</w:t>
      </w:r>
    </w:p>
    <w:p w14:paraId="593494B3" w14:textId="66BEB946" w:rsidR="000F6C00" w:rsidRDefault="000F6C00" w:rsidP="000F6C00">
      <w:pPr>
        <w:widowControl w:val="0"/>
        <w:jc w:val="right"/>
        <w:rPr>
          <w:rFonts w:ascii="Times New Roman" w:eastAsia="Times New Roman" w:hAnsi="Times New Roman" w:cs="Times New Roman"/>
          <w:b/>
          <w:color w:val="000000"/>
          <w:sz w:val="28"/>
        </w:rPr>
      </w:pPr>
    </w:p>
    <w:p w14:paraId="3DD6A811" w14:textId="5D487C9C" w:rsidR="00E56E24" w:rsidRPr="00E56E24" w:rsidRDefault="00E56E24" w:rsidP="000F6C00">
      <w:pPr>
        <w:widowControl w:val="0"/>
        <w:jc w:val="right"/>
        <w:rPr>
          <w:rFonts w:ascii="Times New Roman" w:eastAsia="Times New Roman" w:hAnsi="Times New Roman" w:cs="Times New Roman"/>
          <w:i/>
          <w:color w:val="000000"/>
          <w:sz w:val="20"/>
        </w:rPr>
      </w:pPr>
      <w:r w:rsidRPr="00E56E24">
        <w:rPr>
          <w:rFonts w:ascii="Times New Roman" w:eastAsia="Times New Roman" w:hAnsi="Times New Roman" w:cs="Times New Roman"/>
          <w:i/>
          <w:color w:val="000000"/>
          <w:sz w:val="20"/>
        </w:rPr>
        <w:t>euro</w:t>
      </w:r>
    </w:p>
    <w:tbl>
      <w:tblPr>
        <w:tblW w:w="0" w:type="auto"/>
        <w:tblInd w:w="-10" w:type="dxa"/>
        <w:tblCellMar>
          <w:left w:w="0" w:type="dxa"/>
          <w:right w:w="0" w:type="dxa"/>
        </w:tblCellMar>
        <w:tblLook w:val="04A0" w:firstRow="1" w:lastRow="0" w:firstColumn="1" w:lastColumn="0" w:noHBand="0" w:noVBand="1"/>
      </w:tblPr>
      <w:tblGrid>
        <w:gridCol w:w="3414"/>
        <w:gridCol w:w="1195"/>
        <w:gridCol w:w="1261"/>
        <w:gridCol w:w="1116"/>
        <w:gridCol w:w="1141"/>
        <w:gridCol w:w="1261"/>
        <w:gridCol w:w="1102"/>
        <w:gridCol w:w="1035"/>
        <w:gridCol w:w="1261"/>
        <w:gridCol w:w="1207"/>
      </w:tblGrid>
      <w:tr w:rsidR="000F6C00" w:rsidRPr="006C7EFD" w14:paraId="1C70E097" w14:textId="77777777" w:rsidTr="00C404D5">
        <w:tc>
          <w:tcPr>
            <w:tcW w:w="3414" w:type="dxa"/>
            <w:tcBorders>
              <w:top w:val="single" w:sz="8" w:space="0" w:color="000000"/>
              <w:left w:val="single" w:sz="8" w:space="0" w:color="000000"/>
              <w:bottom w:val="single" w:sz="8" w:space="0" w:color="000000"/>
              <w:right w:val="single" w:sz="8" w:space="0" w:color="000000"/>
            </w:tcBorders>
            <w:shd w:val="clear" w:color="auto" w:fill="BDD6EE"/>
            <w:tcMar>
              <w:top w:w="0" w:type="dxa"/>
              <w:left w:w="108" w:type="dxa"/>
              <w:bottom w:w="0" w:type="dxa"/>
              <w:right w:w="108" w:type="dxa"/>
            </w:tcMar>
            <w:vAlign w:val="center"/>
            <w:hideMark/>
          </w:tcPr>
          <w:p w14:paraId="05D485E7" w14:textId="0342574E" w:rsidR="000F6C00" w:rsidRPr="006C7EFD" w:rsidRDefault="000F6C00" w:rsidP="000F6C00">
            <w:pPr>
              <w:jc w:val="center"/>
              <w:rPr>
                <w:rFonts w:ascii="Times New Roman" w:hAnsi="Times New Roman" w:cs="Times New Roman"/>
                <w:sz w:val="20"/>
                <w:szCs w:val="20"/>
              </w:rPr>
            </w:pPr>
          </w:p>
        </w:tc>
        <w:tc>
          <w:tcPr>
            <w:tcW w:w="3572" w:type="dxa"/>
            <w:gridSpan w:val="3"/>
            <w:tcBorders>
              <w:top w:val="single" w:sz="8" w:space="0" w:color="000000"/>
              <w:left w:val="nil"/>
              <w:bottom w:val="single" w:sz="8" w:space="0" w:color="000000"/>
              <w:right w:val="single" w:sz="8" w:space="0" w:color="000000"/>
            </w:tcBorders>
            <w:shd w:val="clear" w:color="auto" w:fill="BDD6EE"/>
            <w:tcMar>
              <w:top w:w="0" w:type="dxa"/>
              <w:left w:w="108" w:type="dxa"/>
              <w:bottom w:w="0" w:type="dxa"/>
              <w:right w:w="108" w:type="dxa"/>
            </w:tcMar>
            <w:vAlign w:val="center"/>
            <w:hideMark/>
          </w:tcPr>
          <w:p w14:paraId="4521A2C5"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b/>
                <w:bCs/>
                <w:color w:val="000000"/>
                <w:sz w:val="20"/>
                <w:szCs w:val="20"/>
              </w:rPr>
              <w:t>2021.gada plāns</w:t>
            </w:r>
          </w:p>
        </w:tc>
        <w:tc>
          <w:tcPr>
            <w:tcW w:w="3504" w:type="dxa"/>
            <w:gridSpan w:val="3"/>
            <w:tcBorders>
              <w:top w:val="single" w:sz="8" w:space="0" w:color="000000"/>
              <w:left w:val="nil"/>
              <w:bottom w:val="single" w:sz="8" w:space="0" w:color="000000"/>
              <w:right w:val="single" w:sz="8" w:space="0" w:color="000000"/>
            </w:tcBorders>
            <w:shd w:val="clear" w:color="auto" w:fill="BDD6EE"/>
            <w:tcMar>
              <w:top w:w="0" w:type="dxa"/>
              <w:left w:w="108" w:type="dxa"/>
              <w:bottom w:w="0" w:type="dxa"/>
              <w:right w:w="108" w:type="dxa"/>
            </w:tcMar>
            <w:vAlign w:val="center"/>
            <w:hideMark/>
          </w:tcPr>
          <w:p w14:paraId="366E2DB8"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b/>
                <w:bCs/>
                <w:color w:val="000000"/>
                <w:sz w:val="20"/>
                <w:szCs w:val="20"/>
              </w:rPr>
              <w:t>2022.gada plāns</w:t>
            </w:r>
          </w:p>
        </w:tc>
        <w:tc>
          <w:tcPr>
            <w:tcW w:w="3503" w:type="dxa"/>
            <w:gridSpan w:val="3"/>
            <w:tcBorders>
              <w:top w:val="single" w:sz="8" w:space="0" w:color="000000"/>
              <w:left w:val="nil"/>
              <w:bottom w:val="single" w:sz="8" w:space="0" w:color="000000"/>
              <w:right w:val="single" w:sz="8" w:space="0" w:color="000000"/>
            </w:tcBorders>
            <w:shd w:val="clear" w:color="auto" w:fill="BDD6EE"/>
            <w:tcMar>
              <w:top w:w="0" w:type="dxa"/>
              <w:left w:w="108" w:type="dxa"/>
              <w:bottom w:w="0" w:type="dxa"/>
              <w:right w:w="108" w:type="dxa"/>
            </w:tcMar>
            <w:vAlign w:val="center"/>
            <w:hideMark/>
          </w:tcPr>
          <w:p w14:paraId="3BDCB0A1"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b/>
                <w:bCs/>
                <w:color w:val="000000"/>
                <w:sz w:val="20"/>
                <w:szCs w:val="20"/>
              </w:rPr>
              <w:t>2023.gada plāns</w:t>
            </w:r>
          </w:p>
        </w:tc>
      </w:tr>
      <w:tr w:rsidR="000F6C00" w:rsidRPr="006C7EFD" w14:paraId="10173C09" w14:textId="77777777" w:rsidTr="00C404D5">
        <w:tc>
          <w:tcPr>
            <w:tcW w:w="341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3164BB00" w14:textId="0E03B34F" w:rsidR="000F6C00" w:rsidRPr="00E56E24" w:rsidRDefault="00E56E24" w:rsidP="00E56E24">
            <w:pPr>
              <w:jc w:val="center"/>
              <w:rPr>
                <w:rFonts w:ascii="Times New Roman" w:hAnsi="Times New Roman" w:cs="Times New Roman"/>
                <w:sz w:val="20"/>
                <w:szCs w:val="20"/>
              </w:rPr>
            </w:pPr>
            <w:r w:rsidRPr="00E56E24">
              <w:rPr>
                <w:rFonts w:ascii="Times New Roman" w:hAnsi="Times New Roman" w:cs="Times New Roman"/>
                <w:bCs/>
                <w:color w:val="000000"/>
                <w:sz w:val="20"/>
                <w:szCs w:val="20"/>
              </w:rPr>
              <w:t>Programma/pensijas, pabalsta veids</w:t>
            </w:r>
          </w:p>
        </w:tc>
        <w:tc>
          <w:tcPr>
            <w:tcW w:w="1195"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0066C70C" w14:textId="01DD37C0" w:rsidR="000F6C00" w:rsidRPr="00E56E24" w:rsidRDefault="000F6C00" w:rsidP="000F6C00">
            <w:pPr>
              <w:jc w:val="center"/>
              <w:rPr>
                <w:rFonts w:ascii="Times New Roman" w:hAnsi="Times New Roman" w:cs="Times New Roman"/>
                <w:sz w:val="20"/>
                <w:szCs w:val="20"/>
              </w:rPr>
            </w:pPr>
            <w:r w:rsidRPr="00E56E24">
              <w:rPr>
                <w:rFonts w:ascii="Times New Roman" w:hAnsi="Times New Roman" w:cs="Times New Roman"/>
                <w:bCs/>
                <w:color w:val="000000"/>
                <w:sz w:val="20"/>
                <w:szCs w:val="20"/>
              </w:rPr>
              <w:t>pensijas/ pabalsta/ a</w:t>
            </w:r>
            <w:r w:rsidR="00E56E24">
              <w:rPr>
                <w:rFonts w:ascii="Times New Roman" w:hAnsi="Times New Roman" w:cs="Times New Roman"/>
                <w:bCs/>
                <w:color w:val="000000"/>
                <w:sz w:val="20"/>
                <w:szCs w:val="20"/>
              </w:rPr>
              <w:t xml:space="preserve">tlīdzības apmērs vidēji mēnesī </w:t>
            </w:r>
          </w:p>
        </w:tc>
        <w:tc>
          <w:tcPr>
            <w:tcW w:w="1261"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01EEB4E3" w14:textId="77777777" w:rsidR="000F6C00" w:rsidRPr="00E56E24" w:rsidRDefault="000F6C00" w:rsidP="000F6C00">
            <w:pPr>
              <w:jc w:val="center"/>
              <w:rPr>
                <w:rFonts w:ascii="Times New Roman" w:hAnsi="Times New Roman" w:cs="Times New Roman"/>
                <w:bCs/>
                <w:color w:val="000000"/>
                <w:sz w:val="20"/>
                <w:szCs w:val="20"/>
              </w:rPr>
            </w:pPr>
            <w:r w:rsidRPr="00E56E24">
              <w:rPr>
                <w:rFonts w:ascii="Times New Roman" w:hAnsi="Times New Roman" w:cs="Times New Roman"/>
                <w:bCs/>
                <w:color w:val="000000"/>
                <w:sz w:val="20"/>
                <w:szCs w:val="20"/>
              </w:rPr>
              <w:t>Kontingents</w:t>
            </w:r>
          </w:p>
          <w:p w14:paraId="3D9E0B4F" w14:textId="77777777" w:rsidR="000F6C00" w:rsidRPr="00E56E24" w:rsidRDefault="000F6C00" w:rsidP="000F6C00">
            <w:pPr>
              <w:jc w:val="center"/>
              <w:rPr>
                <w:rFonts w:ascii="Times New Roman" w:hAnsi="Times New Roman" w:cs="Times New Roman"/>
                <w:sz w:val="20"/>
                <w:szCs w:val="20"/>
              </w:rPr>
            </w:pPr>
            <w:r w:rsidRPr="00E56E24">
              <w:rPr>
                <w:rFonts w:ascii="Times New Roman" w:hAnsi="Times New Roman" w:cs="Times New Roman"/>
                <w:bCs/>
                <w:color w:val="000000"/>
                <w:sz w:val="20"/>
                <w:szCs w:val="20"/>
              </w:rPr>
              <w:t>(vidēji mēnesī)</w:t>
            </w:r>
          </w:p>
        </w:tc>
        <w:tc>
          <w:tcPr>
            <w:tcW w:w="1116"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7324A94E" w14:textId="77777777" w:rsidR="000F6C00" w:rsidRPr="00E56E24" w:rsidRDefault="000F6C00" w:rsidP="000F6C00">
            <w:pPr>
              <w:jc w:val="center"/>
              <w:rPr>
                <w:rFonts w:ascii="Times New Roman" w:hAnsi="Times New Roman" w:cs="Times New Roman"/>
                <w:bCs/>
                <w:color w:val="000000"/>
                <w:sz w:val="20"/>
                <w:szCs w:val="20"/>
              </w:rPr>
            </w:pPr>
            <w:r w:rsidRPr="00E56E24">
              <w:rPr>
                <w:rFonts w:ascii="Times New Roman" w:hAnsi="Times New Roman" w:cs="Times New Roman"/>
                <w:bCs/>
                <w:color w:val="000000"/>
                <w:sz w:val="20"/>
                <w:szCs w:val="20"/>
              </w:rPr>
              <w:t>izdevumi kopā</w:t>
            </w:r>
          </w:p>
          <w:p w14:paraId="60800A86" w14:textId="206EEEF2" w:rsidR="000F6C00" w:rsidRPr="00E56E24" w:rsidRDefault="000F6C00" w:rsidP="00E56E24">
            <w:pPr>
              <w:rPr>
                <w:rFonts w:ascii="Times New Roman" w:hAnsi="Times New Roman" w:cs="Times New Roman"/>
                <w:sz w:val="20"/>
                <w:szCs w:val="20"/>
              </w:rPr>
            </w:pPr>
          </w:p>
        </w:tc>
        <w:tc>
          <w:tcPr>
            <w:tcW w:w="1141"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2B2093D1" w14:textId="587D6D06" w:rsidR="000F6C00" w:rsidRPr="00E56E24" w:rsidRDefault="000F6C00" w:rsidP="000F6C00">
            <w:pPr>
              <w:jc w:val="center"/>
              <w:rPr>
                <w:rFonts w:ascii="Times New Roman" w:hAnsi="Times New Roman" w:cs="Times New Roman"/>
                <w:sz w:val="20"/>
                <w:szCs w:val="20"/>
              </w:rPr>
            </w:pPr>
            <w:r w:rsidRPr="00E56E24">
              <w:rPr>
                <w:rFonts w:ascii="Times New Roman" w:hAnsi="Times New Roman" w:cs="Times New Roman"/>
                <w:bCs/>
                <w:color w:val="000000"/>
                <w:sz w:val="20"/>
                <w:szCs w:val="20"/>
              </w:rPr>
              <w:t>pensijas/ pabalsta/ a</w:t>
            </w:r>
            <w:r w:rsidR="00E56E24">
              <w:rPr>
                <w:rFonts w:ascii="Times New Roman" w:hAnsi="Times New Roman" w:cs="Times New Roman"/>
                <w:bCs/>
                <w:color w:val="000000"/>
                <w:sz w:val="20"/>
                <w:szCs w:val="20"/>
              </w:rPr>
              <w:t xml:space="preserve">tlīdzības apmērs vidēji mēnesī </w:t>
            </w:r>
          </w:p>
        </w:tc>
        <w:tc>
          <w:tcPr>
            <w:tcW w:w="1261"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1BD38A4D" w14:textId="77777777" w:rsidR="000F6C00" w:rsidRPr="00E56E24" w:rsidRDefault="000F6C00" w:rsidP="000F6C00">
            <w:pPr>
              <w:jc w:val="center"/>
              <w:rPr>
                <w:rFonts w:ascii="Times New Roman" w:hAnsi="Times New Roman" w:cs="Times New Roman"/>
                <w:sz w:val="20"/>
                <w:szCs w:val="20"/>
              </w:rPr>
            </w:pPr>
            <w:r w:rsidRPr="00E56E24">
              <w:rPr>
                <w:rFonts w:ascii="Times New Roman" w:hAnsi="Times New Roman" w:cs="Times New Roman"/>
                <w:bCs/>
                <w:color w:val="000000"/>
                <w:sz w:val="20"/>
                <w:szCs w:val="20"/>
              </w:rPr>
              <w:t>Kontingents (vidēji mēnesī)</w:t>
            </w:r>
          </w:p>
        </w:tc>
        <w:tc>
          <w:tcPr>
            <w:tcW w:w="1102"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1D6D697E" w14:textId="533D0318" w:rsidR="000F6C00" w:rsidRPr="00E56E24" w:rsidRDefault="00E56E24" w:rsidP="000F6C00">
            <w:pPr>
              <w:jc w:val="center"/>
              <w:rPr>
                <w:rFonts w:ascii="Times New Roman" w:hAnsi="Times New Roman" w:cs="Times New Roman"/>
                <w:sz w:val="20"/>
                <w:szCs w:val="20"/>
              </w:rPr>
            </w:pPr>
            <w:r>
              <w:rPr>
                <w:rFonts w:ascii="Times New Roman" w:hAnsi="Times New Roman" w:cs="Times New Roman"/>
                <w:bCs/>
                <w:color w:val="000000"/>
                <w:sz w:val="20"/>
                <w:szCs w:val="20"/>
              </w:rPr>
              <w:t>izdevumi kopā</w:t>
            </w:r>
          </w:p>
        </w:tc>
        <w:tc>
          <w:tcPr>
            <w:tcW w:w="1035"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0974BF20" w14:textId="40417B77" w:rsidR="000F6C00" w:rsidRPr="00E56E24" w:rsidRDefault="000F6C00" w:rsidP="000F6C00">
            <w:pPr>
              <w:jc w:val="center"/>
              <w:rPr>
                <w:rFonts w:ascii="Times New Roman" w:hAnsi="Times New Roman" w:cs="Times New Roman"/>
                <w:sz w:val="20"/>
                <w:szCs w:val="20"/>
              </w:rPr>
            </w:pPr>
            <w:r w:rsidRPr="00E56E24">
              <w:rPr>
                <w:rFonts w:ascii="Times New Roman" w:hAnsi="Times New Roman" w:cs="Times New Roman"/>
                <w:bCs/>
                <w:color w:val="000000"/>
                <w:sz w:val="20"/>
                <w:szCs w:val="20"/>
              </w:rPr>
              <w:t>pensijas/ pabalsta/ a</w:t>
            </w:r>
            <w:r w:rsidR="00E56E24">
              <w:rPr>
                <w:rFonts w:ascii="Times New Roman" w:hAnsi="Times New Roman" w:cs="Times New Roman"/>
                <w:bCs/>
                <w:color w:val="000000"/>
                <w:sz w:val="20"/>
                <w:szCs w:val="20"/>
              </w:rPr>
              <w:t xml:space="preserve">tlīdzības apmērs vidēji mēnesī </w:t>
            </w:r>
          </w:p>
        </w:tc>
        <w:tc>
          <w:tcPr>
            <w:tcW w:w="1261"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5ED4D284" w14:textId="77777777" w:rsidR="000F6C00" w:rsidRPr="00E56E24" w:rsidRDefault="000F6C00" w:rsidP="000F6C00">
            <w:pPr>
              <w:jc w:val="center"/>
              <w:rPr>
                <w:rFonts w:ascii="Times New Roman" w:hAnsi="Times New Roman" w:cs="Times New Roman"/>
                <w:sz w:val="20"/>
                <w:szCs w:val="20"/>
              </w:rPr>
            </w:pPr>
            <w:r w:rsidRPr="00E56E24">
              <w:rPr>
                <w:rFonts w:ascii="Times New Roman" w:hAnsi="Times New Roman" w:cs="Times New Roman"/>
                <w:bCs/>
                <w:color w:val="000000"/>
                <w:sz w:val="20"/>
                <w:szCs w:val="20"/>
              </w:rPr>
              <w:t>Kontingents (vidēji mēnesī)</w:t>
            </w:r>
          </w:p>
        </w:tc>
        <w:tc>
          <w:tcPr>
            <w:tcW w:w="1207"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259CEC05" w14:textId="15436ED3" w:rsidR="000F6C00" w:rsidRPr="00E56E24" w:rsidRDefault="000F6C00" w:rsidP="000F6C00">
            <w:pPr>
              <w:jc w:val="center"/>
              <w:rPr>
                <w:rFonts w:ascii="Times New Roman" w:hAnsi="Times New Roman" w:cs="Times New Roman"/>
                <w:sz w:val="20"/>
                <w:szCs w:val="20"/>
              </w:rPr>
            </w:pPr>
            <w:r w:rsidRPr="00E56E24">
              <w:rPr>
                <w:rFonts w:ascii="Times New Roman" w:hAnsi="Times New Roman" w:cs="Times New Roman"/>
                <w:bCs/>
                <w:color w:val="000000"/>
                <w:sz w:val="20"/>
                <w:szCs w:val="20"/>
              </w:rPr>
              <w:t>izdevumi kopā</w:t>
            </w:r>
          </w:p>
        </w:tc>
      </w:tr>
      <w:tr w:rsidR="000F6C00" w:rsidRPr="006C7EFD" w14:paraId="02BFCA49"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66CBEE" w14:textId="77777777" w:rsidR="000F6C00" w:rsidRPr="006C7EFD" w:rsidRDefault="000F6C00" w:rsidP="006C7EFD">
            <w:pPr>
              <w:rPr>
                <w:rFonts w:ascii="Times New Roman" w:hAnsi="Times New Roman" w:cs="Times New Roman"/>
                <w:sz w:val="20"/>
                <w:szCs w:val="20"/>
              </w:rPr>
            </w:pPr>
            <w:r w:rsidRPr="006C7EFD">
              <w:rPr>
                <w:rFonts w:ascii="Times New Roman" w:hAnsi="Times New Roman" w:cs="Times New Roman"/>
                <w:b/>
                <w:bCs/>
                <w:color w:val="000000"/>
                <w:sz w:val="20"/>
                <w:szCs w:val="20"/>
              </w:rPr>
              <w:t xml:space="preserve">Izdevumi kopā </w:t>
            </w:r>
          </w:p>
        </w:tc>
        <w:tc>
          <w:tcPr>
            <w:tcW w:w="119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0AA5F2D"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 </w:t>
            </w:r>
          </w:p>
        </w:tc>
        <w:tc>
          <w:tcPr>
            <w:tcW w:w="126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120288"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 </w:t>
            </w:r>
          </w:p>
        </w:tc>
        <w:tc>
          <w:tcPr>
            <w:tcW w:w="1116"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F81CA9" w14:textId="61179F96"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b/>
                <w:bCs/>
                <w:sz w:val="20"/>
                <w:szCs w:val="20"/>
              </w:rPr>
              <w:t>16 269 120</w:t>
            </w:r>
          </w:p>
        </w:tc>
        <w:tc>
          <w:tcPr>
            <w:tcW w:w="114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D703F9D" w14:textId="77777777" w:rsidR="000F6C00" w:rsidRPr="006C7EFD" w:rsidRDefault="000F6C00" w:rsidP="000F6C00">
            <w:pPr>
              <w:rPr>
                <w:rFonts w:ascii="Times New Roman" w:hAnsi="Times New Roman" w:cs="Times New Roman"/>
                <w:sz w:val="20"/>
                <w:szCs w:val="20"/>
              </w:rPr>
            </w:pPr>
            <w:r w:rsidRPr="006C7EFD">
              <w:rPr>
                <w:rFonts w:ascii="Times New Roman" w:hAnsi="Times New Roman" w:cs="Times New Roman"/>
                <w:sz w:val="20"/>
                <w:szCs w:val="20"/>
              </w:rPr>
              <w:t> </w:t>
            </w:r>
          </w:p>
        </w:tc>
        <w:tc>
          <w:tcPr>
            <w:tcW w:w="126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4510B3" w14:textId="77777777" w:rsidR="000F6C00" w:rsidRPr="006C7EFD" w:rsidRDefault="000F6C00" w:rsidP="000F6C00">
            <w:pPr>
              <w:rPr>
                <w:rFonts w:ascii="Times New Roman" w:hAnsi="Times New Roman" w:cs="Times New Roman"/>
                <w:sz w:val="20"/>
                <w:szCs w:val="20"/>
              </w:rPr>
            </w:pPr>
            <w:r w:rsidRPr="006C7EFD">
              <w:rPr>
                <w:rFonts w:ascii="Times New Roman" w:hAnsi="Times New Roman" w:cs="Times New Roman"/>
                <w:sz w:val="20"/>
                <w:szCs w:val="20"/>
              </w:rPr>
              <w:t> </w:t>
            </w:r>
          </w:p>
        </w:tc>
        <w:tc>
          <w:tcPr>
            <w:tcW w:w="1102"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9E7260"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b/>
                <w:bCs/>
                <w:sz w:val="20"/>
                <w:szCs w:val="20"/>
              </w:rPr>
              <w:t>16 269 120</w:t>
            </w:r>
          </w:p>
        </w:tc>
        <w:tc>
          <w:tcPr>
            <w:tcW w:w="103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96B46D" w14:textId="77777777" w:rsidR="000F6C00" w:rsidRPr="006C7EFD" w:rsidRDefault="000F6C00" w:rsidP="000F6C00">
            <w:pPr>
              <w:rPr>
                <w:rFonts w:ascii="Times New Roman" w:hAnsi="Times New Roman" w:cs="Times New Roman"/>
                <w:sz w:val="20"/>
                <w:szCs w:val="20"/>
              </w:rPr>
            </w:pPr>
            <w:r w:rsidRPr="006C7EFD">
              <w:rPr>
                <w:rFonts w:ascii="Times New Roman" w:hAnsi="Times New Roman" w:cs="Times New Roman"/>
                <w:sz w:val="20"/>
                <w:szCs w:val="20"/>
              </w:rPr>
              <w:t> </w:t>
            </w:r>
          </w:p>
        </w:tc>
        <w:tc>
          <w:tcPr>
            <w:tcW w:w="126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94947C" w14:textId="77777777" w:rsidR="000F6C00" w:rsidRPr="006C7EFD" w:rsidRDefault="000F6C00" w:rsidP="000F6C00">
            <w:pPr>
              <w:rPr>
                <w:rFonts w:ascii="Times New Roman" w:hAnsi="Times New Roman" w:cs="Times New Roman"/>
                <w:sz w:val="20"/>
                <w:szCs w:val="20"/>
              </w:rPr>
            </w:pPr>
            <w:r w:rsidRPr="006C7EFD">
              <w:rPr>
                <w:rFonts w:ascii="Times New Roman" w:hAnsi="Times New Roman" w:cs="Times New Roman"/>
                <w:sz w:val="20"/>
                <w:szCs w:val="20"/>
              </w:rPr>
              <w:t> </w:t>
            </w:r>
          </w:p>
        </w:tc>
        <w:tc>
          <w:tcPr>
            <w:tcW w:w="120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A113F8C"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b/>
                <w:bCs/>
                <w:sz w:val="20"/>
                <w:szCs w:val="20"/>
              </w:rPr>
              <w:t>16 269 120</w:t>
            </w:r>
          </w:p>
        </w:tc>
      </w:tr>
      <w:tr w:rsidR="000F6C00" w:rsidRPr="006C7EFD" w14:paraId="060D2CD9"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2BFFFB4" w14:textId="77777777" w:rsidR="000F6C00" w:rsidRPr="006C7EFD" w:rsidRDefault="000F6C00" w:rsidP="006C7EFD">
            <w:pPr>
              <w:rPr>
                <w:rFonts w:ascii="Times New Roman" w:hAnsi="Times New Roman" w:cs="Times New Roman"/>
                <w:sz w:val="20"/>
                <w:szCs w:val="20"/>
              </w:rPr>
            </w:pPr>
            <w:r w:rsidRPr="006C7EFD">
              <w:rPr>
                <w:rFonts w:ascii="Times New Roman" w:hAnsi="Times New Roman" w:cs="Times New Roman"/>
                <w:color w:val="000000"/>
                <w:sz w:val="20"/>
                <w:szCs w:val="20"/>
              </w:rPr>
              <w:t>(EKK 6000 Sociālie pabalsti)</w:t>
            </w:r>
          </w:p>
        </w:tc>
        <w:tc>
          <w:tcPr>
            <w:tcW w:w="0" w:type="auto"/>
            <w:vMerge/>
            <w:tcBorders>
              <w:top w:val="nil"/>
              <w:left w:val="nil"/>
              <w:bottom w:val="single" w:sz="8" w:space="0" w:color="000000"/>
              <w:right w:val="single" w:sz="8" w:space="0" w:color="000000"/>
            </w:tcBorders>
            <w:vAlign w:val="center"/>
            <w:hideMark/>
          </w:tcPr>
          <w:p w14:paraId="6AC1642C"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182CDD47"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0C31B8D9"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6A8D1E51"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42D10030" w14:textId="77777777" w:rsidR="000F6C00" w:rsidRPr="006C7EFD" w:rsidRDefault="000F6C00" w:rsidP="000F6C00">
            <w:pPr>
              <w:rPr>
                <w:rFonts w:ascii="Times New Roman" w:hAnsi="Times New Roman" w:cs="Times New Roman"/>
                <w:sz w:val="20"/>
                <w:szCs w:val="20"/>
              </w:rPr>
            </w:pPr>
          </w:p>
        </w:tc>
        <w:tc>
          <w:tcPr>
            <w:tcW w:w="1102" w:type="dxa"/>
            <w:vMerge/>
            <w:tcBorders>
              <w:top w:val="nil"/>
              <w:left w:val="nil"/>
              <w:bottom w:val="single" w:sz="8" w:space="0" w:color="000000"/>
              <w:right w:val="single" w:sz="8" w:space="0" w:color="000000"/>
            </w:tcBorders>
            <w:vAlign w:val="center"/>
            <w:hideMark/>
          </w:tcPr>
          <w:p w14:paraId="67010774" w14:textId="77777777" w:rsidR="000F6C00" w:rsidRPr="006C7EFD" w:rsidRDefault="000F6C00" w:rsidP="000F6C00">
            <w:pPr>
              <w:rPr>
                <w:rFonts w:ascii="Times New Roman" w:hAnsi="Times New Roman" w:cs="Times New Roman"/>
                <w:sz w:val="20"/>
                <w:szCs w:val="20"/>
              </w:rPr>
            </w:pPr>
          </w:p>
        </w:tc>
        <w:tc>
          <w:tcPr>
            <w:tcW w:w="1035" w:type="dxa"/>
            <w:vMerge/>
            <w:tcBorders>
              <w:top w:val="nil"/>
              <w:left w:val="nil"/>
              <w:bottom w:val="single" w:sz="8" w:space="0" w:color="000000"/>
              <w:right w:val="single" w:sz="8" w:space="0" w:color="000000"/>
            </w:tcBorders>
            <w:vAlign w:val="center"/>
            <w:hideMark/>
          </w:tcPr>
          <w:p w14:paraId="2D87DB10" w14:textId="77777777" w:rsidR="000F6C00" w:rsidRPr="006C7EFD" w:rsidRDefault="000F6C00" w:rsidP="000F6C00">
            <w:pPr>
              <w:rPr>
                <w:rFonts w:ascii="Times New Roman" w:hAnsi="Times New Roman" w:cs="Times New Roman"/>
                <w:sz w:val="20"/>
                <w:szCs w:val="20"/>
              </w:rPr>
            </w:pPr>
          </w:p>
        </w:tc>
        <w:tc>
          <w:tcPr>
            <w:tcW w:w="1261" w:type="dxa"/>
            <w:vMerge/>
            <w:tcBorders>
              <w:top w:val="nil"/>
              <w:left w:val="nil"/>
              <w:bottom w:val="single" w:sz="8" w:space="0" w:color="000000"/>
              <w:right w:val="single" w:sz="8" w:space="0" w:color="000000"/>
            </w:tcBorders>
            <w:vAlign w:val="center"/>
            <w:hideMark/>
          </w:tcPr>
          <w:p w14:paraId="4FEBBA32" w14:textId="77777777" w:rsidR="000F6C00" w:rsidRPr="006C7EFD" w:rsidRDefault="000F6C00" w:rsidP="000F6C00">
            <w:pPr>
              <w:rPr>
                <w:rFonts w:ascii="Times New Roman" w:hAnsi="Times New Roman" w:cs="Times New Roman"/>
                <w:sz w:val="20"/>
                <w:szCs w:val="20"/>
              </w:rPr>
            </w:pPr>
          </w:p>
        </w:tc>
        <w:tc>
          <w:tcPr>
            <w:tcW w:w="1207" w:type="dxa"/>
            <w:vMerge/>
            <w:tcBorders>
              <w:top w:val="nil"/>
              <w:left w:val="nil"/>
              <w:bottom w:val="single" w:sz="8" w:space="0" w:color="000000"/>
              <w:right w:val="single" w:sz="8" w:space="0" w:color="000000"/>
            </w:tcBorders>
            <w:vAlign w:val="center"/>
            <w:hideMark/>
          </w:tcPr>
          <w:p w14:paraId="2152F1A6" w14:textId="77777777" w:rsidR="000F6C00" w:rsidRPr="006C7EFD" w:rsidRDefault="000F6C00" w:rsidP="000F6C00">
            <w:pPr>
              <w:rPr>
                <w:rFonts w:ascii="Times New Roman" w:hAnsi="Times New Roman" w:cs="Times New Roman"/>
                <w:sz w:val="20"/>
                <w:szCs w:val="20"/>
              </w:rPr>
            </w:pPr>
          </w:p>
        </w:tc>
      </w:tr>
      <w:tr w:rsidR="000F6C00" w:rsidRPr="006C7EFD" w14:paraId="343AF943"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7E3582" w14:textId="77777777" w:rsidR="000F6C00" w:rsidRPr="006C7EFD" w:rsidRDefault="000F6C00" w:rsidP="006C7EFD">
            <w:pPr>
              <w:rPr>
                <w:rFonts w:ascii="Times New Roman" w:hAnsi="Times New Roman" w:cs="Times New Roman"/>
                <w:sz w:val="20"/>
                <w:szCs w:val="20"/>
              </w:rPr>
            </w:pPr>
            <w:r w:rsidRPr="006C7EFD">
              <w:rPr>
                <w:rFonts w:ascii="Times New Roman" w:hAnsi="Times New Roman" w:cs="Times New Roman"/>
                <w:b/>
                <w:bCs/>
                <w:color w:val="000000"/>
                <w:sz w:val="20"/>
                <w:szCs w:val="20"/>
              </w:rPr>
              <w:t xml:space="preserve">Izdienas pensijas – kopā </w:t>
            </w:r>
          </w:p>
        </w:tc>
        <w:tc>
          <w:tcPr>
            <w:tcW w:w="119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D78A4C"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26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E19027"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116"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63FC76"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b/>
                <w:bCs/>
                <w:sz w:val="20"/>
                <w:szCs w:val="20"/>
              </w:rPr>
              <w:t>14 528 504</w:t>
            </w:r>
          </w:p>
        </w:tc>
        <w:tc>
          <w:tcPr>
            <w:tcW w:w="114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D921F8"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26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F8FE89"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102"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49A6A3"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b/>
                <w:bCs/>
                <w:sz w:val="20"/>
                <w:szCs w:val="20"/>
              </w:rPr>
              <w:t>14 528 504</w:t>
            </w:r>
          </w:p>
        </w:tc>
        <w:tc>
          <w:tcPr>
            <w:tcW w:w="103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8A7F06"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26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A37F1C7"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20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434F02"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b/>
                <w:bCs/>
                <w:sz w:val="20"/>
                <w:szCs w:val="20"/>
              </w:rPr>
              <w:t>14 528 504</w:t>
            </w:r>
          </w:p>
        </w:tc>
      </w:tr>
      <w:tr w:rsidR="000F6C00" w:rsidRPr="006C7EFD" w14:paraId="03DC586C"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5794AA4" w14:textId="77777777" w:rsidR="000F6C00" w:rsidRPr="006C7EFD" w:rsidRDefault="000F6C00" w:rsidP="006C7EFD">
            <w:pPr>
              <w:rPr>
                <w:rFonts w:ascii="Times New Roman" w:hAnsi="Times New Roman" w:cs="Times New Roman"/>
                <w:sz w:val="20"/>
                <w:szCs w:val="20"/>
              </w:rPr>
            </w:pPr>
            <w:r w:rsidRPr="006C7EFD">
              <w:rPr>
                <w:rFonts w:ascii="Times New Roman" w:hAnsi="Times New Roman" w:cs="Times New Roman"/>
                <w:color w:val="000000"/>
                <w:sz w:val="20"/>
                <w:szCs w:val="20"/>
              </w:rPr>
              <w:t>(EKK 6216)</w:t>
            </w:r>
          </w:p>
        </w:tc>
        <w:tc>
          <w:tcPr>
            <w:tcW w:w="0" w:type="auto"/>
            <w:vMerge/>
            <w:tcBorders>
              <w:top w:val="nil"/>
              <w:left w:val="nil"/>
              <w:bottom w:val="single" w:sz="8" w:space="0" w:color="000000"/>
              <w:right w:val="single" w:sz="8" w:space="0" w:color="000000"/>
            </w:tcBorders>
            <w:vAlign w:val="center"/>
            <w:hideMark/>
          </w:tcPr>
          <w:p w14:paraId="29316479"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66E84933"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784D2229"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422469AB"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09F698D2" w14:textId="77777777" w:rsidR="000F6C00" w:rsidRPr="006C7EFD" w:rsidRDefault="000F6C00" w:rsidP="000F6C00">
            <w:pPr>
              <w:rPr>
                <w:rFonts w:ascii="Times New Roman" w:hAnsi="Times New Roman" w:cs="Times New Roman"/>
                <w:sz w:val="20"/>
                <w:szCs w:val="20"/>
              </w:rPr>
            </w:pPr>
          </w:p>
        </w:tc>
        <w:tc>
          <w:tcPr>
            <w:tcW w:w="1102" w:type="dxa"/>
            <w:vMerge/>
            <w:tcBorders>
              <w:top w:val="nil"/>
              <w:left w:val="nil"/>
              <w:bottom w:val="single" w:sz="8" w:space="0" w:color="000000"/>
              <w:right w:val="single" w:sz="8" w:space="0" w:color="000000"/>
            </w:tcBorders>
            <w:vAlign w:val="center"/>
            <w:hideMark/>
          </w:tcPr>
          <w:p w14:paraId="54515FA5" w14:textId="77777777" w:rsidR="000F6C00" w:rsidRPr="006C7EFD" w:rsidRDefault="000F6C00" w:rsidP="000F6C00">
            <w:pPr>
              <w:rPr>
                <w:rFonts w:ascii="Times New Roman" w:hAnsi="Times New Roman" w:cs="Times New Roman"/>
                <w:sz w:val="20"/>
                <w:szCs w:val="20"/>
              </w:rPr>
            </w:pPr>
          </w:p>
        </w:tc>
        <w:tc>
          <w:tcPr>
            <w:tcW w:w="1035" w:type="dxa"/>
            <w:vMerge/>
            <w:tcBorders>
              <w:top w:val="nil"/>
              <w:left w:val="nil"/>
              <w:bottom w:val="single" w:sz="8" w:space="0" w:color="000000"/>
              <w:right w:val="single" w:sz="8" w:space="0" w:color="000000"/>
            </w:tcBorders>
            <w:vAlign w:val="center"/>
            <w:hideMark/>
          </w:tcPr>
          <w:p w14:paraId="50CF0EFD" w14:textId="77777777" w:rsidR="000F6C00" w:rsidRPr="006C7EFD" w:rsidRDefault="000F6C00" w:rsidP="000F6C00">
            <w:pPr>
              <w:rPr>
                <w:rFonts w:ascii="Times New Roman" w:hAnsi="Times New Roman" w:cs="Times New Roman"/>
                <w:sz w:val="20"/>
                <w:szCs w:val="20"/>
              </w:rPr>
            </w:pPr>
          </w:p>
        </w:tc>
        <w:tc>
          <w:tcPr>
            <w:tcW w:w="1261" w:type="dxa"/>
            <w:vMerge/>
            <w:tcBorders>
              <w:top w:val="nil"/>
              <w:left w:val="nil"/>
              <w:bottom w:val="single" w:sz="8" w:space="0" w:color="000000"/>
              <w:right w:val="single" w:sz="8" w:space="0" w:color="000000"/>
            </w:tcBorders>
            <w:vAlign w:val="center"/>
            <w:hideMark/>
          </w:tcPr>
          <w:p w14:paraId="327ED5C7" w14:textId="77777777" w:rsidR="000F6C00" w:rsidRPr="006C7EFD" w:rsidRDefault="000F6C00" w:rsidP="000F6C00">
            <w:pPr>
              <w:rPr>
                <w:rFonts w:ascii="Times New Roman" w:hAnsi="Times New Roman" w:cs="Times New Roman"/>
                <w:sz w:val="20"/>
                <w:szCs w:val="20"/>
              </w:rPr>
            </w:pPr>
          </w:p>
        </w:tc>
        <w:tc>
          <w:tcPr>
            <w:tcW w:w="1207" w:type="dxa"/>
            <w:vMerge/>
            <w:tcBorders>
              <w:top w:val="nil"/>
              <w:left w:val="nil"/>
              <w:bottom w:val="single" w:sz="8" w:space="0" w:color="000000"/>
              <w:right w:val="single" w:sz="8" w:space="0" w:color="000000"/>
            </w:tcBorders>
            <w:vAlign w:val="center"/>
            <w:hideMark/>
          </w:tcPr>
          <w:p w14:paraId="46DC1347" w14:textId="77777777" w:rsidR="000F6C00" w:rsidRPr="006C7EFD" w:rsidRDefault="000F6C00" w:rsidP="000F6C00">
            <w:pPr>
              <w:rPr>
                <w:rFonts w:ascii="Times New Roman" w:hAnsi="Times New Roman" w:cs="Times New Roman"/>
                <w:sz w:val="20"/>
                <w:szCs w:val="20"/>
              </w:rPr>
            </w:pPr>
          </w:p>
        </w:tc>
      </w:tr>
      <w:tr w:rsidR="000F6C00" w:rsidRPr="006C7EFD" w14:paraId="0808B1B8"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38E19B" w14:textId="77777777" w:rsidR="000F6C00" w:rsidRPr="006C7EFD" w:rsidRDefault="000F6C00" w:rsidP="006C7EFD">
            <w:pPr>
              <w:ind w:left="447" w:hanging="283"/>
              <w:rPr>
                <w:rFonts w:ascii="Times New Roman" w:hAnsi="Times New Roman" w:cs="Times New Roman"/>
                <w:sz w:val="20"/>
                <w:szCs w:val="20"/>
              </w:rPr>
            </w:pPr>
            <w:r w:rsidRPr="006C7EFD">
              <w:rPr>
                <w:rFonts w:ascii="Times New Roman" w:hAnsi="Times New Roman" w:cs="Times New Roman"/>
                <w:i/>
                <w:iCs/>
                <w:color w:val="000000"/>
                <w:sz w:val="20"/>
                <w:szCs w:val="20"/>
              </w:rPr>
              <w:t>tajā skaitā:</w:t>
            </w:r>
          </w:p>
        </w:tc>
        <w:tc>
          <w:tcPr>
            <w:tcW w:w="10579" w:type="dxa"/>
            <w:gridSpan w:val="9"/>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33BDE5" w14:textId="77777777" w:rsidR="000F6C00" w:rsidRPr="006C7EFD" w:rsidRDefault="000F6C00" w:rsidP="000F6C00">
            <w:pPr>
              <w:ind w:left="-87"/>
              <w:rPr>
                <w:rFonts w:ascii="Times New Roman" w:hAnsi="Times New Roman" w:cs="Times New Roman"/>
                <w:sz w:val="20"/>
                <w:szCs w:val="20"/>
              </w:rPr>
            </w:pPr>
            <w:r w:rsidRPr="006C7EFD">
              <w:rPr>
                <w:rFonts w:ascii="Times New Roman" w:hAnsi="Times New Roman" w:cs="Times New Roman"/>
                <w:sz w:val="20"/>
                <w:szCs w:val="20"/>
              </w:rPr>
              <w:t> </w:t>
            </w:r>
          </w:p>
        </w:tc>
      </w:tr>
      <w:tr w:rsidR="000F6C00" w:rsidRPr="006C7EFD" w14:paraId="4300359B" w14:textId="77777777" w:rsidTr="00C404D5">
        <w:tc>
          <w:tcPr>
            <w:tcW w:w="34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9683CF" w14:textId="77777777" w:rsidR="000F6C00" w:rsidRPr="006C7EFD" w:rsidRDefault="000F6C00" w:rsidP="006C7EFD">
            <w:pPr>
              <w:ind w:left="306"/>
              <w:jc w:val="right"/>
              <w:rPr>
                <w:rFonts w:ascii="Times New Roman" w:hAnsi="Times New Roman" w:cs="Times New Roman"/>
                <w:sz w:val="20"/>
                <w:szCs w:val="20"/>
              </w:rPr>
            </w:pPr>
            <w:r w:rsidRPr="006C7EFD">
              <w:rPr>
                <w:rFonts w:ascii="Times New Roman" w:hAnsi="Times New Roman" w:cs="Times New Roman"/>
                <w:color w:val="000000"/>
                <w:sz w:val="20"/>
                <w:szCs w:val="20"/>
              </w:rPr>
              <w:t xml:space="preserve">Izdienas pensijas </w:t>
            </w:r>
          </w:p>
        </w:tc>
        <w:tc>
          <w:tcPr>
            <w:tcW w:w="11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4B7D3B"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590,59</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1022E4"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2 050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17523B"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14 528 504</w:t>
            </w:r>
          </w:p>
        </w:tc>
        <w:tc>
          <w:tcPr>
            <w:tcW w:w="11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BA6D42"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590,59</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FE7648"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2 050</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0CAB48"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sz w:val="20"/>
                <w:szCs w:val="20"/>
              </w:rPr>
              <w:t>14 528 504</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13BE34"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590,59</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748A97"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2 050</w:t>
            </w:r>
          </w:p>
        </w:tc>
        <w:tc>
          <w:tcPr>
            <w:tcW w:w="12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0F57116"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sz w:val="20"/>
                <w:szCs w:val="20"/>
              </w:rPr>
              <w:t>14 528 504</w:t>
            </w:r>
          </w:p>
        </w:tc>
      </w:tr>
      <w:tr w:rsidR="000F6C00" w:rsidRPr="006C7EFD" w14:paraId="01F47779"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154243" w14:textId="77777777" w:rsidR="000F6C00" w:rsidRPr="006C7EFD" w:rsidRDefault="000F6C00" w:rsidP="006C7EFD">
            <w:pPr>
              <w:rPr>
                <w:rFonts w:ascii="Times New Roman" w:hAnsi="Times New Roman" w:cs="Times New Roman"/>
                <w:sz w:val="20"/>
                <w:szCs w:val="20"/>
              </w:rPr>
            </w:pPr>
            <w:r w:rsidRPr="006C7EFD">
              <w:rPr>
                <w:rFonts w:ascii="Times New Roman" w:hAnsi="Times New Roman" w:cs="Times New Roman"/>
                <w:b/>
                <w:bCs/>
                <w:color w:val="000000"/>
                <w:sz w:val="20"/>
                <w:szCs w:val="20"/>
              </w:rPr>
              <w:t xml:space="preserve">Pārējie valsts pabalsti un kompensācijas – kopā </w:t>
            </w:r>
          </w:p>
        </w:tc>
        <w:tc>
          <w:tcPr>
            <w:tcW w:w="119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9C0512"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26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7B396A"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116"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5661FD"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b/>
                <w:bCs/>
                <w:sz w:val="20"/>
                <w:szCs w:val="20"/>
              </w:rPr>
              <w:t>1 740 616</w:t>
            </w:r>
          </w:p>
        </w:tc>
        <w:tc>
          <w:tcPr>
            <w:tcW w:w="114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F9EF83"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26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66752A"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102"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A9C0C5"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b/>
                <w:bCs/>
                <w:sz w:val="20"/>
                <w:szCs w:val="20"/>
              </w:rPr>
              <w:t>1 740 616</w:t>
            </w:r>
          </w:p>
        </w:tc>
        <w:tc>
          <w:tcPr>
            <w:tcW w:w="103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5530B7"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261"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3AAC94" w14:textId="77777777" w:rsidR="000F6C00" w:rsidRPr="006C7EFD" w:rsidRDefault="000F6C00" w:rsidP="000F6C00">
            <w:pPr>
              <w:jc w:val="center"/>
              <w:rPr>
                <w:rFonts w:ascii="Times New Roman" w:hAnsi="Times New Roman" w:cs="Times New Roman"/>
                <w:sz w:val="20"/>
                <w:szCs w:val="20"/>
              </w:rPr>
            </w:pPr>
            <w:r w:rsidRPr="006C7EFD">
              <w:rPr>
                <w:rFonts w:ascii="Times New Roman" w:hAnsi="Times New Roman" w:cs="Times New Roman"/>
                <w:sz w:val="20"/>
                <w:szCs w:val="20"/>
              </w:rPr>
              <w:t>x</w:t>
            </w:r>
          </w:p>
        </w:tc>
        <w:tc>
          <w:tcPr>
            <w:tcW w:w="120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FB8A46"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b/>
                <w:bCs/>
                <w:sz w:val="20"/>
                <w:szCs w:val="20"/>
              </w:rPr>
              <w:t>1 740 616</w:t>
            </w:r>
          </w:p>
        </w:tc>
      </w:tr>
      <w:tr w:rsidR="000F6C00" w:rsidRPr="006C7EFD" w14:paraId="77DAFD83"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9820D8" w14:textId="77777777" w:rsidR="000F6C00" w:rsidRPr="006C7EFD" w:rsidRDefault="000F6C00" w:rsidP="006C7EFD">
            <w:pPr>
              <w:rPr>
                <w:rFonts w:ascii="Times New Roman" w:hAnsi="Times New Roman" w:cs="Times New Roman"/>
                <w:sz w:val="20"/>
                <w:szCs w:val="20"/>
              </w:rPr>
            </w:pPr>
            <w:r w:rsidRPr="006C7EFD">
              <w:rPr>
                <w:rFonts w:ascii="Times New Roman" w:hAnsi="Times New Roman" w:cs="Times New Roman"/>
                <w:color w:val="000000"/>
                <w:sz w:val="20"/>
                <w:szCs w:val="20"/>
              </w:rPr>
              <w:t>(EKK 6239)</w:t>
            </w:r>
          </w:p>
        </w:tc>
        <w:tc>
          <w:tcPr>
            <w:tcW w:w="0" w:type="auto"/>
            <w:vMerge/>
            <w:tcBorders>
              <w:top w:val="nil"/>
              <w:left w:val="nil"/>
              <w:bottom w:val="single" w:sz="8" w:space="0" w:color="000000"/>
              <w:right w:val="single" w:sz="8" w:space="0" w:color="000000"/>
            </w:tcBorders>
            <w:vAlign w:val="center"/>
            <w:hideMark/>
          </w:tcPr>
          <w:p w14:paraId="5930C7AD"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3F691416"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3D345A79"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1C7F9C91" w14:textId="77777777" w:rsidR="000F6C00" w:rsidRPr="006C7EFD" w:rsidRDefault="000F6C00" w:rsidP="000F6C00">
            <w:pPr>
              <w:rPr>
                <w:rFonts w:ascii="Times New Roman" w:hAnsi="Times New Roman" w:cs="Times New Roman"/>
                <w:sz w:val="20"/>
                <w:szCs w:val="20"/>
              </w:rPr>
            </w:pPr>
          </w:p>
        </w:tc>
        <w:tc>
          <w:tcPr>
            <w:tcW w:w="0" w:type="auto"/>
            <w:vMerge/>
            <w:tcBorders>
              <w:top w:val="nil"/>
              <w:left w:val="nil"/>
              <w:bottom w:val="single" w:sz="8" w:space="0" w:color="000000"/>
              <w:right w:val="single" w:sz="8" w:space="0" w:color="000000"/>
            </w:tcBorders>
            <w:vAlign w:val="center"/>
            <w:hideMark/>
          </w:tcPr>
          <w:p w14:paraId="66A61A86" w14:textId="77777777" w:rsidR="000F6C00" w:rsidRPr="006C7EFD" w:rsidRDefault="000F6C00" w:rsidP="000F6C00">
            <w:pPr>
              <w:rPr>
                <w:rFonts w:ascii="Times New Roman" w:hAnsi="Times New Roman" w:cs="Times New Roman"/>
                <w:sz w:val="20"/>
                <w:szCs w:val="20"/>
              </w:rPr>
            </w:pPr>
          </w:p>
        </w:tc>
        <w:tc>
          <w:tcPr>
            <w:tcW w:w="1102" w:type="dxa"/>
            <w:vMerge/>
            <w:tcBorders>
              <w:top w:val="nil"/>
              <w:left w:val="nil"/>
              <w:bottom w:val="single" w:sz="8" w:space="0" w:color="000000"/>
              <w:right w:val="single" w:sz="8" w:space="0" w:color="000000"/>
            </w:tcBorders>
            <w:vAlign w:val="center"/>
            <w:hideMark/>
          </w:tcPr>
          <w:p w14:paraId="0D547B32" w14:textId="77777777" w:rsidR="000F6C00" w:rsidRPr="006C7EFD" w:rsidRDefault="000F6C00" w:rsidP="000F6C00">
            <w:pPr>
              <w:rPr>
                <w:rFonts w:ascii="Times New Roman" w:hAnsi="Times New Roman" w:cs="Times New Roman"/>
                <w:sz w:val="20"/>
                <w:szCs w:val="20"/>
              </w:rPr>
            </w:pPr>
          </w:p>
        </w:tc>
        <w:tc>
          <w:tcPr>
            <w:tcW w:w="1035" w:type="dxa"/>
            <w:vMerge/>
            <w:tcBorders>
              <w:top w:val="nil"/>
              <w:left w:val="nil"/>
              <w:bottom w:val="single" w:sz="8" w:space="0" w:color="000000"/>
              <w:right w:val="single" w:sz="8" w:space="0" w:color="000000"/>
            </w:tcBorders>
            <w:vAlign w:val="center"/>
            <w:hideMark/>
          </w:tcPr>
          <w:p w14:paraId="7D06F1F2" w14:textId="77777777" w:rsidR="000F6C00" w:rsidRPr="006C7EFD" w:rsidRDefault="000F6C00" w:rsidP="000F6C00">
            <w:pPr>
              <w:rPr>
                <w:rFonts w:ascii="Times New Roman" w:hAnsi="Times New Roman" w:cs="Times New Roman"/>
                <w:sz w:val="20"/>
                <w:szCs w:val="20"/>
              </w:rPr>
            </w:pPr>
          </w:p>
        </w:tc>
        <w:tc>
          <w:tcPr>
            <w:tcW w:w="1261" w:type="dxa"/>
            <w:vMerge/>
            <w:tcBorders>
              <w:top w:val="nil"/>
              <w:left w:val="nil"/>
              <w:bottom w:val="single" w:sz="8" w:space="0" w:color="000000"/>
              <w:right w:val="single" w:sz="8" w:space="0" w:color="000000"/>
            </w:tcBorders>
            <w:vAlign w:val="center"/>
            <w:hideMark/>
          </w:tcPr>
          <w:p w14:paraId="0E7CC761" w14:textId="77777777" w:rsidR="000F6C00" w:rsidRPr="006C7EFD" w:rsidRDefault="000F6C00" w:rsidP="000F6C00">
            <w:pPr>
              <w:rPr>
                <w:rFonts w:ascii="Times New Roman" w:hAnsi="Times New Roman" w:cs="Times New Roman"/>
                <w:sz w:val="20"/>
                <w:szCs w:val="20"/>
              </w:rPr>
            </w:pPr>
          </w:p>
        </w:tc>
        <w:tc>
          <w:tcPr>
            <w:tcW w:w="1207" w:type="dxa"/>
            <w:vMerge/>
            <w:tcBorders>
              <w:top w:val="nil"/>
              <w:left w:val="nil"/>
              <w:bottom w:val="single" w:sz="8" w:space="0" w:color="000000"/>
              <w:right w:val="single" w:sz="8" w:space="0" w:color="000000"/>
            </w:tcBorders>
            <w:vAlign w:val="center"/>
            <w:hideMark/>
          </w:tcPr>
          <w:p w14:paraId="63F98E75" w14:textId="77777777" w:rsidR="000F6C00" w:rsidRPr="006C7EFD" w:rsidRDefault="000F6C00" w:rsidP="000F6C00">
            <w:pPr>
              <w:rPr>
                <w:rFonts w:ascii="Times New Roman" w:hAnsi="Times New Roman" w:cs="Times New Roman"/>
                <w:sz w:val="20"/>
                <w:szCs w:val="20"/>
              </w:rPr>
            </w:pPr>
          </w:p>
        </w:tc>
      </w:tr>
      <w:tr w:rsidR="000F6C00" w:rsidRPr="006C7EFD" w14:paraId="7395532D"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3C70B8" w14:textId="77777777" w:rsidR="000F6C00" w:rsidRPr="006C7EFD" w:rsidRDefault="000F6C00" w:rsidP="006C7EFD">
            <w:pPr>
              <w:ind w:left="164"/>
              <w:rPr>
                <w:rFonts w:ascii="Times New Roman" w:hAnsi="Times New Roman" w:cs="Times New Roman"/>
                <w:sz w:val="20"/>
                <w:szCs w:val="20"/>
              </w:rPr>
            </w:pPr>
            <w:r w:rsidRPr="006C7EFD">
              <w:rPr>
                <w:rFonts w:ascii="Times New Roman" w:hAnsi="Times New Roman" w:cs="Times New Roman"/>
                <w:i/>
                <w:iCs/>
                <w:color w:val="000000"/>
                <w:sz w:val="20"/>
                <w:szCs w:val="20"/>
              </w:rPr>
              <w:t>tajā skaitā:</w:t>
            </w:r>
          </w:p>
        </w:tc>
        <w:tc>
          <w:tcPr>
            <w:tcW w:w="10579" w:type="dxa"/>
            <w:gridSpan w:val="9"/>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BD0C7F" w14:textId="77777777" w:rsidR="000F6C00" w:rsidRPr="006C7EFD" w:rsidRDefault="000F6C00" w:rsidP="000F6C00">
            <w:pPr>
              <w:ind w:left="-87"/>
              <w:jc w:val="center"/>
              <w:rPr>
                <w:rFonts w:ascii="Times New Roman" w:hAnsi="Times New Roman" w:cs="Times New Roman"/>
                <w:sz w:val="20"/>
                <w:szCs w:val="20"/>
              </w:rPr>
            </w:pPr>
            <w:r w:rsidRPr="006C7EFD">
              <w:rPr>
                <w:rFonts w:ascii="Times New Roman" w:hAnsi="Times New Roman" w:cs="Times New Roman"/>
                <w:sz w:val="20"/>
                <w:szCs w:val="20"/>
              </w:rPr>
              <w:t> </w:t>
            </w:r>
          </w:p>
        </w:tc>
      </w:tr>
      <w:tr w:rsidR="000F6C00" w:rsidRPr="006C7EFD" w14:paraId="0532ADA3"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A4ECE5" w14:textId="77777777" w:rsidR="000F6C00" w:rsidRPr="006C7EFD" w:rsidRDefault="000F6C00" w:rsidP="006C7EFD">
            <w:pPr>
              <w:ind w:firstLine="306"/>
              <w:jc w:val="right"/>
              <w:rPr>
                <w:rFonts w:ascii="Times New Roman" w:hAnsi="Times New Roman" w:cs="Times New Roman"/>
                <w:sz w:val="20"/>
                <w:szCs w:val="20"/>
              </w:rPr>
            </w:pPr>
            <w:r w:rsidRPr="006C7EFD">
              <w:rPr>
                <w:rFonts w:ascii="Times New Roman" w:hAnsi="Times New Roman" w:cs="Times New Roman"/>
                <w:color w:val="000000"/>
                <w:sz w:val="20"/>
                <w:szCs w:val="20"/>
              </w:rPr>
              <w:t>Nacionālās pretošanās kustības dalībnieku pabalsti</w:t>
            </w:r>
          </w:p>
        </w:tc>
        <w:tc>
          <w:tcPr>
            <w:tcW w:w="11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20D74C"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340,00</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F04ABD"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274</w:t>
            </w:r>
          </w:p>
        </w:tc>
        <w:tc>
          <w:tcPr>
            <w:tcW w:w="111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6FFD1D"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1 175 715</w:t>
            </w:r>
          </w:p>
        </w:tc>
        <w:tc>
          <w:tcPr>
            <w:tcW w:w="11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4E342E"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340,00</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3478E4"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274</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0E94CD"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sz w:val="20"/>
                <w:szCs w:val="20"/>
              </w:rPr>
              <w:t>1 175 715</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6F4B60"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340,00</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AB5F9D"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274</w:t>
            </w:r>
          </w:p>
        </w:tc>
        <w:tc>
          <w:tcPr>
            <w:tcW w:w="12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7FFDA6"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sz w:val="20"/>
                <w:szCs w:val="20"/>
              </w:rPr>
              <w:t>1 175 715</w:t>
            </w:r>
          </w:p>
        </w:tc>
      </w:tr>
      <w:tr w:rsidR="000F6C00" w:rsidRPr="006C7EFD" w14:paraId="75CEA81E"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43C0216" w14:textId="77777777" w:rsidR="000F6C00" w:rsidRPr="006C7EFD" w:rsidRDefault="000F6C00" w:rsidP="006C7EFD">
            <w:pPr>
              <w:ind w:firstLine="306"/>
              <w:jc w:val="right"/>
              <w:rPr>
                <w:rFonts w:ascii="Times New Roman" w:hAnsi="Times New Roman" w:cs="Times New Roman"/>
                <w:sz w:val="20"/>
                <w:szCs w:val="20"/>
              </w:rPr>
            </w:pPr>
            <w:r w:rsidRPr="006C7EFD">
              <w:rPr>
                <w:rFonts w:ascii="Times New Roman" w:hAnsi="Times New Roman" w:cs="Times New Roman"/>
                <w:color w:val="000000"/>
                <w:sz w:val="20"/>
                <w:szCs w:val="20"/>
              </w:rPr>
              <w:t>Barikāžu pabalsti</w:t>
            </w:r>
          </w:p>
        </w:tc>
        <w:tc>
          <w:tcPr>
            <w:tcW w:w="11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D28BE7E"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100,00</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209999"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8</w:t>
            </w:r>
          </w:p>
        </w:tc>
        <w:tc>
          <w:tcPr>
            <w:tcW w:w="111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0B17AC4"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9 600</w:t>
            </w:r>
          </w:p>
        </w:tc>
        <w:tc>
          <w:tcPr>
            <w:tcW w:w="11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BF9888"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100,00</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4B5F64"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8</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974BD4"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sz w:val="20"/>
                <w:szCs w:val="20"/>
              </w:rPr>
              <w:t>9 600</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44EF50"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100,00</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9DAE1A"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8</w:t>
            </w:r>
          </w:p>
        </w:tc>
        <w:tc>
          <w:tcPr>
            <w:tcW w:w="12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2CCD58"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sz w:val="20"/>
                <w:szCs w:val="20"/>
              </w:rPr>
              <w:t>9 600</w:t>
            </w:r>
          </w:p>
        </w:tc>
      </w:tr>
      <w:tr w:rsidR="000F6C00" w:rsidRPr="006C7EFD" w14:paraId="5881B4FD"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14908B" w14:textId="77777777" w:rsidR="000F6C00" w:rsidRPr="006C7EFD" w:rsidRDefault="000F6C00" w:rsidP="006C7EFD">
            <w:pPr>
              <w:ind w:firstLine="306"/>
              <w:jc w:val="right"/>
              <w:rPr>
                <w:rFonts w:ascii="Times New Roman" w:hAnsi="Times New Roman" w:cs="Times New Roman"/>
                <w:sz w:val="20"/>
                <w:szCs w:val="20"/>
              </w:rPr>
            </w:pPr>
            <w:r w:rsidRPr="006C7EFD">
              <w:rPr>
                <w:rFonts w:ascii="Times New Roman" w:hAnsi="Times New Roman" w:cs="Times New Roman"/>
                <w:color w:val="000000"/>
                <w:sz w:val="20"/>
                <w:szCs w:val="20"/>
              </w:rPr>
              <w:t>Obligātā militārā dienesta kompensācijas</w:t>
            </w:r>
          </w:p>
        </w:tc>
        <w:tc>
          <w:tcPr>
            <w:tcW w:w="11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F9F1E5"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231,22</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C1D062"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4</w:t>
            </w:r>
          </w:p>
        </w:tc>
        <w:tc>
          <w:tcPr>
            <w:tcW w:w="111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64128C"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11 098</w:t>
            </w:r>
          </w:p>
        </w:tc>
        <w:tc>
          <w:tcPr>
            <w:tcW w:w="11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28619E"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231,22</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35E5A8"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4</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B8303B"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sz w:val="20"/>
                <w:szCs w:val="20"/>
              </w:rPr>
              <w:t>11 098</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1F04DF"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231,22</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0ADD1E"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4</w:t>
            </w:r>
          </w:p>
        </w:tc>
        <w:tc>
          <w:tcPr>
            <w:tcW w:w="12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D19659"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sz w:val="20"/>
                <w:szCs w:val="20"/>
              </w:rPr>
              <w:t>11 098</w:t>
            </w:r>
          </w:p>
        </w:tc>
      </w:tr>
      <w:tr w:rsidR="000F6C00" w:rsidRPr="006C7EFD" w14:paraId="786A8AF9"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30933E4" w14:textId="77777777" w:rsidR="000F6C00" w:rsidRPr="006C7EFD" w:rsidRDefault="000F6C00" w:rsidP="006C7EFD">
            <w:pPr>
              <w:ind w:firstLine="306"/>
              <w:jc w:val="right"/>
              <w:rPr>
                <w:rFonts w:ascii="Times New Roman" w:hAnsi="Times New Roman" w:cs="Times New Roman"/>
                <w:sz w:val="20"/>
                <w:szCs w:val="20"/>
              </w:rPr>
            </w:pPr>
            <w:r w:rsidRPr="006C7EFD">
              <w:rPr>
                <w:rFonts w:ascii="Times New Roman" w:hAnsi="Times New Roman" w:cs="Times New Roman"/>
                <w:color w:val="000000"/>
                <w:sz w:val="20"/>
                <w:szCs w:val="20"/>
              </w:rPr>
              <w:t>Darbā nodarītā kaitējuma atlīdzība</w:t>
            </w:r>
          </w:p>
        </w:tc>
        <w:tc>
          <w:tcPr>
            <w:tcW w:w="11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186D79"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88,25</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2C84EA"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w:t>
            </w:r>
          </w:p>
        </w:tc>
        <w:tc>
          <w:tcPr>
            <w:tcW w:w="111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F3DA33"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2 118</w:t>
            </w:r>
          </w:p>
        </w:tc>
        <w:tc>
          <w:tcPr>
            <w:tcW w:w="11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06C485"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88,25</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AE1508"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69B144"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sz w:val="20"/>
                <w:szCs w:val="20"/>
              </w:rPr>
              <w:t>2 118</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C263FA"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88,25</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826BB3"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w:t>
            </w:r>
          </w:p>
        </w:tc>
        <w:tc>
          <w:tcPr>
            <w:tcW w:w="12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6A91DD"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sz w:val="20"/>
                <w:szCs w:val="20"/>
              </w:rPr>
              <w:t>2 118</w:t>
            </w:r>
          </w:p>
        </w:tc>
      </w:tr>
      <w:tr w:rsidR="000F6C00" w:rsidRPr="006C7EFD" w14:paraId="51AD4789"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A625B6F" w14:textId="77777777" w:rsidR="000F6C00" w:rsidRPr="006C7EFD" w:rsidRDefault="000F6C00" w:rsidP="006C7EFD">
            <w:pPr>
              <w:ind w:left="306"/>
              <w:jc w:val="right"/>
              <w:rPr>
                <w:rFonts w:ascii="Times New Roman" w:hAnsi="Times New Roman" w:cs="Times New Roman"/>
                <w:sz w:val="20"/>
                <w:szCs w:val="20"/>
              </w:rPr>
            </w:pPr>
            <w:r w:rsidRPr="006C7EFD">
              <w:rPr>
                <w:rFonts w:ascii="Times New Roman" w:hAnsi="Times New Roman" w:cs="Times New Roman"/>
                <w:color w:val="000000"/>
                <w:sz w:val="20"/>
                <w:szCs w:val="20"/>
              </w:rPr>
              <w:t>Veselības bojājuma, traumu un apbedīšanas pabalsti militārpersonām</w:t>
            </w:r>
          </w:p>
        </w:tc>
        <w:tc>
          <w:tcPr>
            <w:tcW w:w="11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5A773C"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1 456,51</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9CFE55"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19</w:t>
            </w:r>
          </w:p>
        </w:tc>
        <w:tc>
          <w:tcPr>
            <w:tcW w:w="111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D5CBEE"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332 085</w:t>
            </w:r>
          </w:p>
        </w:tc>
        <w:tc>
          <w:tcPr>
            <w:tcW w:w="11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FD6D7C"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1 456,51</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5E09FD"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19</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B1DD84"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sz w:val="20"/>
                <w:szCs w:val="20"/>
              </w:rPr>
              <w:t>332 085</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D8BEA0C"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1 456,51</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9E80B6"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19</w:t>
            </w:r>
          </w:p>
        </w:tc>
        <w:tc>
          <w:tcPr>
            <w:tcW w:w="12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BCA25B"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sz w:val="20"/>
                <w:szCs w:val="20"/>
              </w:rPr>
              <w:t>332 085</w:t>
            </w:r>
          </w:p>
        </w:tc>
      </w:tr>
      <w:tr w:rsidR="000F6C00" w:rsidRPr="006C7EFD" w14:paraId="531B637A" w14:textId="77777777" w:rsidTr="00C404D5">
        <w:tc>
          <w:tcPr>
            <w:tcW w:w="34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F9E41BC" w14:textId="77777777" w:rsidR="000F6C00" w:rsidRPr="006C7EFD" w:rsidRDefault="000F6C00" w:rsidP="006C7EFD">
            <w:pPr>
              <w:ind w:firstLine="306"/>
              <w:jc w:val="right"/>
              <w:rPr>
                <w:rFonts w:ascii="Times New Roman" w:hAnsi="Times New Roman" w:cs="Times New Roman"/>
                <w:sz w:val="20"/>
                <w:szCs w:val="20"/>
              </w:rPr>
            </w:pPr>
            <w:r w:rsidRPr="006C7EFD">
              <w:rPr>
                <w:rFonts w:ascii="Times New Roman" w:hAnsi="Times New Roman" w:cs="Times New Roman"/>
                <w:color w:val="000000"/>
                <w:sz w:val="20"/>
                <w:szCs w:val="20"/>
              </w:rPr>
              <w:t xml:space="preserve">Veselības aprūpes izdevumi </w:t>
            </w:r>
          </w:p>
        </w:tc>
        <w:tc>
          <w:tcPr>
            <w:tcW w:w="11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4CC9DF"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132,00</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E96487"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133</w:t>
            </w:r>
          </w:p>
        </w:tc>
        <w:tc>
          <w:tcPr>
            <w:tcW w:w="111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C253E8"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210 000</w:t>
            </w:r>
          </w:p>
        </w:tc>
        <w:tc>
          <w:tcPr>
            <w:tcW w:w="11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199BFC"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132,00</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81EEEF"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133</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B81F3D" w14:textId="77777777" w:rsidR="000F6C00" w:rsidRPr="006C7EFD" w:rsidRDefault="000F6C00" w:rsidP="000F6C00">
            <w:pPr>
              <w:ind w:left="-87"/>
              <w:jc w:val="right"/>
              <w:rPr>
                <w:rFonts w:ascii="Times New Roman" w:hAnsi="Times New Roman" w:cs="Times New Roman"/>
                <w:sz w:val="20"/>
                <w:szCs w:val="20"/>
              </w:rPr>
            </w:pPr>
            <w:r w:rsidRPr="006C7EFD">
              <w:rPr>
                <w:rFonts w:ascii="Times New Roman" w:hAnsi="Times New Roman" w:cs="Times New Roman"/>
                <w:sz w:val="20"/>
                <w:szCs w:val="20"/>
              </w:rPr>
              <w:t>210 000</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934DE4"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132,00</w:t>
            </w:r>
          </w:p>
        </w:tc>
        <w:tc>
          <w:tcPr>
            <w:tcW w:w="12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1FD86E" w14:textId="77777777" w:rsidR="000F6C00" w:rsidRPr="006C7EFD" w:rsidRDefault="000F6C00" w:rsidP="000F6C00">
            <w:pPr>
              <w:jc w:val="right"/>
              <w:rPr>
                <w:rFonts w:ascii="Times New Roman" w:hAnsi="Times New Roman" w:cs="Times New Roman"/>
                <w:sz w:val="20"/>
                <w:szCs w:val="20"/>
              </w:rPr>
            </w:pPr>
            <w:r w:rsidRPr="006C7EFD">
              <w:rPr>
                <w:rFonts w:ascii="Times New Roman" w:hAnsi="Times New Roman" w:cs="Times New Roman"/>
                <w:sz w:val="20"/>
                <w:szCs w:val="20"/>
              </w:rPr>
              <w:t>133</w:t>
            </w:r>
          </w:p>
        </w:tc>
        <w:tc>
          <w:tcPr>
            <w:tcW w:w="12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BEBB10" w14:textId="77777777" w:rsidR="000F6C00" w:rsidRPr="006C7EFD" w:rsidRDefault="000F6C00" w:rsidP="000F6C00">
            <w:pPr>
              <w:ind w:left="-42"/>
              <w:jc w:val="right"/>
              <w:rPr>
                <w:rFonts w:ascii="Times New Roman" w:hAnsi="Times New Roman" w:cs="Times New Roman"/>
                <w:sz w:val="20"/>
                <w:szCs w:val="20"/>
              </w:rPr>
            </w:pPr>
            <w:r w:rsidRPr="006C7EFD">
              <w:rPr>
                <w:rFonts w:ascii="Times New Roman" w:hAnsi="Times New Roman" w:cs="Times New Roman"/>
                <w:sz w:val="20"/>
                <w:szCs w:val="20"/>
              </w:rPr>
              <w:t>210 000</w:t>
            </w:r>
          </w:p>
        </w:tc>
      </w:tr>
    </w:tbl>
    <w:p w14:paraId="3602284C" w14:textId="083AC1F1" w:rsidR="003F3FCD" w:rsidRPr="00C404D5" w:rsidRDefault="00C404D5" w:rsidP="00401A5B">
      <w:pPr>
        <w:widowControl w:val="0"/>
        <w:rPr>
          <w:rFonts w:ascii="Times New Roman" w:eastAsia="Calibri" w:hAnsi="Times New Roman" w:cs="Times New Roman"/>
          <w:i/>
          <w:sz w:val="20"/>
        </w:rPr>
      </w:pPr>
      <w:r w:rsidRPr="00C404D5">
        <w:rPr>
          <w:rFonts w:ascii="Times New Roman" w:eastAsia="Calibri" w:hAnsi="Times New Roman" w:cs="Times New Roman"/>
          <w:i/>
          <w:sz w:val="20"/>
        </w:rPr>
        <w:t>Datu avots: FM</w:t>
      </w:r>
    </w:p>
    <w:p w14:paraId="22CF6200" w14:textId="2F4F7307" w:rsidR="006C7EFD" w:rsidRDefault="006C7EFD" w:rsidP="00401A5B">
      <w:pPr>
        <w:widowControl w:val="0"/>
        <w:jc w:val="right"/>
        <w:rPr>
          <w:rFonts w:ascii="Times New Roman" w:eastAsia="Times New Roman" w:hAnsi="Times New Roman" w:cs="Times New Roman"/>
          <w:color w:val="000000"/>
          <w:sz w:val="28"/>
          <w:highlight w:val="yellow"/>
        </w:rPr>
      </w:pPr>
    </w:p>
    <w:p w14:paraId="15FCAD16" w14:textId="77777777" w:rsidR="00B807E4" w:rsidRDefault="00B807E4" w:rsidP="00401A5B">
      <w:pPr>
        <w:widowControl w:val="0"/>
        <w:jc w:val="right"/>
        <w:rPr>
          <w:rFonts w:ascii="Times New Roman" w:eastAsia="Times New Roman" w:hAnsi="Times New Roman" w:cs="Times New Roman"/>
          <w:color w:val="000000"/>
          <w:sz w:val="28"/>
          <w:highlight w:val="yellow"/>
        </w:rPr>
      </w:pPr>
    </w:p>
    <w:p w14:paraId="0BD0C740" w14:textId="53D80F4A" w:rsidR="003F3FCD" w:rsidRPr="004D7DC6" w:rsidRDefault="000F6C00" w:rsidP="00401A5B">
      <w:pPr>
        <w:widowControl w:val="0"/>
        <w:jc w:val="right"/>
        <w:rPr>
          <w:rFonts w:ascii="Times New Roman" w:eastAsia="Times New Roman" w:hAnsi="Times New Roman" w:cs="Times New Roman"/>
          <w:color w:val="000000"/>
          <w:sz w:val="28"/>
        </w:rPr>
      </w:pPr>
      <w:r w:rsidRPr="004D7DC6">
        <w:rPr>
          <w:rFonts w:ascii="Times New Roman" w:eastAsia="Times New Roman" w:hAnsi="Times New Roman" w:cs="Times New Roman"/>
          <w:color w:val="000000"/>
          <w:sz w:val="28"/>
        </w:rPr>
        <w:t>6.</w:t>
      </w:r>
      <w:r w:rsidR="000548A5" w:rsidRPr="004D7DC6">
        <w:rPr>
          <w:rFonts w:ascii="Times New Roman" w:eastAsia="Times New Roman" w:hAnsi="Times New Roman" w:cs="Times New Roman"/>
          <w:color w:val="000000"/>
          <w:sz w:val="28"/>
        </w:rPr>
        <w:t>pielikums</w:t>
      </w:r>
    </w:p>
    <w:p w14:paraId="63789B58" w14:textId="571B9AB7" w:rsidR="003F3FCD" w:rsidRPr="000F6C00" w:rsidRDefault="00AC361B" w:rsidP="000F6C00">
      <w:pPr>
        <w:widowControl w:val="0"/>
        <w:jc w:val="right"/>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LM</w:t>
      </w:r>
      <w:r w:rsidR="000548A5" w:rsidRPr="004D7DC6">
        <w:rPr>
          <w:rFonts w:ascii="Times New Roman" w:eastAsia="Times New Roman" w:hAnsi="Times New Roman" w:cs="Times New Roman"/>
          <w:b/>
          <w:color w:val="000000"/>
          <w:sz w:val="28"/>
        </w:rPr>
        <w:t xml:space="preserve"> pamatbudžeta programma 20.01.00 "Valsts sociālie pabalsti"</w:t>
      </w:r>
    </w:p>
    <w:p w14:paraId="24EC688B" w14:textId="77777777" w:rsidR="003F3FCD" w:rsidRDefault="003F3FCD" w:rsidP="00401A5B">
      <w:pPr>
        <w:widowControl w:val="0"/>
        <w:jc w:val="center"/>
        <w:rPr>
          <w:rFonts w:ascii="Times New Roman" w:eastAsia="Times New Roman" w:hAnsi="Times New Roman" w:cs="Times New Roman"/>
          <w:b/>
          <w:color w:val="000000"/>
          <w:sz w:val="24"/>
        </w:rPr>
      </w:pPr>
    </w:p>
    <w:p w14:paraId="1FDA5147" w14:textId="2C7F47A1" w:rsidR="004D7DC6" w:rsidRPr="00890A0D" w:rsidRDefault="00890A0D" w:rsidP="00890A0D">
      <w:pPr>
        <w:widowControl w:val="0"/>
        <w:jc w:val="right"/>
        <w:rPr>
          <w:rFonts w:ascii="Times New Roman" w:eastAsia="Calibri" w:hAnsi="Times New Roman" w:cs="Times New Roman"/>
          <w:i/>
          <w:sz w:val="20"/>
        </w:rPr>
      </w:pPr>
      <w:r w:rsidRPr="00890A0D">
        <w:rPr>
          <w:rFonts w:ascii="Times New Roman" w:eastAsia="Calibri" w:hAnsi="Times New Roman" w:cs="Times New Roman"/>
          <w:i/>
          <w:sz w:val="20"/>
        </w:rPr>
        <w:t>euro</w:t>
      </w:r>
      <w:r w:rsidR="000548A5" w:rsidRPr="00890A0D">
        <w:rPr>
          <w:rFonts w:ascii="Times New Roman" w:eastAsia="Calibri" w:hAnsi="Times New Roman" w:cs="Times New Roman"/>
          <w:i/>
          <w:sz w:val="20"/>
        </w:rPr>
        <w:t xml:space="preserve"> </w:t>
      </w:r>
    </w:p>
    <w:tbl>
      <w:tblPr>
        <w:tblW w:w="13993" w:type="dxa"/>
        <w:tblLook w:val="04A0" w:firstRow="1" w:lastRow="0" w:firstColumn="1" w:lastColumn="0" w:noHBand="0" w:noVBand="1"/>
      </w:tblPr>
      <w:tblGrid>
        <w:gridCol w:w="4213"/>
        <w:gridCol w:w="1002"/>
        <w:gridCol w:w="1147"/>
        <w:gridCol w:w="1097"/>
        <w:gridCol w:w="1180"/>
        <w:gridCol w:w="1135"/>
        <w:gridCol w:w="1113"/>
        <w:gridCol w:w="1084"/>
        <w:gridCol w:w="1050"/>
        <w:gridCol w:w="972"/>
      </w:tblGrid>
      <w:tr w:rsidR="00890A0D" w:rsidRPr="004D7DC6" w14:paraId="329E319D" w14:textId="77777777" w:rsidTr="00C404D5">
        <w:trPr>
          <w:trHeight w:val="554"/>
        </w:trPr>
        <w:tc>
          <w:tcPr>
            <w:tcW w:w="421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156CC4CC"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c>
          <w:tcPr>
            <w:tcW w:w="3246"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08C67BD6" w14:textId="77777777" w:rsidR="004D7DC6" w:rsidRPr="004D7DC6" w:rsidRDefault="004D7DC6" w:rsidP="004D7DC6">
            <w:pPr>
              <w:jc w:val="center"/>
              <w:rPr>
                <w:rFonts w:ascii="Times New Roman" w:eastAsia="Times New Roman" w:hAnsi="Times New Roman" w:cs="Times New Roman"/>
                <w:b/>
                <w:sz w:val="20"/>
                <w:szCs w:val="20"/>
              </w:rPr>
            </w:pPr>
            <w:r w:rsidRPr="004D7DC6">
              <w:rPr>
                <w:rFonts w:ascii="Times New Roman" w:eastAsia="Times New Roman" w:hAnsi="Times New Roman" w:cs="Times New Roman"/>
                <w:b/>
                <w:sz w:val="20"/>
                <w:szCs w:val="20"/>
              </w:rPr>
              <w:t>2021.gada projekts</w:t>
            </w:r>
          </w:p>
        </w:tc>
        <w:tc>
          <w:tcPr>
            <w:tcW w:w="3428"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41897D49" w14:textId="77777777" w:rsidR="004D7DC6" w:rsidRPr="004D7DC6" w:rsidRDefault="004D7DC6" w:rsidP="004D7DC6">
            <w:pPr>
              <w:jc w:val="center"/>
              <w:rPr>
                <w:rFonts w:ascii="Times New Roman" w:eastAsia="Times New Roman" w:hAnsi="Times New Roman" w:cs="Times New Roman"/>
                <w:b/>
                <w:sz w:val="20"/>
                <w:szCs w:val="20"/>
              </w:rPr>
            </w:pPr>
            <w:r w:rsidRPr="004D7DC6">
              <w:rPr>
                <w:rFonts w:ascii="Times New Roman" w:eastAsia="Times New Roman" w:hAnsi="Times New Roman" w:cs="Times New Roman"/>
                <w:b/>
                <w:sz w:val="20"/>
                <w:szCs w:val="20"/>
              </w:rPr>
              <w:t>2022.gada prognoze</w:t>
            </w:r>
          </w:p>
        </w:tc>
        <w:tc>
          <w:tcPr>
            <w:tcW w:w="3106"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2982A5E" w14:textId="77777777" w:rsidR="004D7DC6" w:rsidRPr="004D7DC6" w:rsidRDefault="004D7DC6" w:rsidP="004D7DC6">
            <w:pPr>
              <w:jc w:val="center"/>
              <w:rPr>
                <w:rFonts w:ascii="Times New Roman" w:eastAsia="Times New Roman" w:hAnsi="Times New Roman" w:cs="Times New Roman"/>
                <w:b/>
                <w:sz w:val="20"/>
                <w:szCs w:val="20"/>
              </w:rPr>
            </w:pPr>
            <w:r w:rsidRPr="004D7DC6">
              <w:rPr>
                <w:rFonts w:ascii="Times New Roman" w:eastAsia="Times New Roman" w:hAnsi="Times New Roman" w:cs="Times New Roman"/>
                <w:b/>
                <w:sz w:val="20"/>
                <w:szCs w:val="20"/>
              </w:rPr>
              <w:t>2023.gada prognoze</w:t>
            </w:r>
          </w:p>
        </w:tc>
      </w:tr>
      <w:tr w:rsidR="00890A0D" w:rsidRPr="004D7DC6" w14:paraId="46606011" w14:textId="77777777" w:rsidTr="00C404D5">
        <w:trPr>
          <w:trHeight w:val="480"/>
        </w:trPr>
        <w:tc>
          <w:tcPr>
            <w:tcW w:w="42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E2293A"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Pabalsta veids</w:t>
            </w:r>
          </w:p>
        </w:tc>
        <w:tc>
          <w:tcPr>
            <w:tcW w:w="1002" w:type="dxa"/>
            <w:vMerge w:val="restart"/>
            <w:tcBorders>
              <w:top w:val="nil"/>
              <w:left w:val="single" w:sz="4" w:space="0" w:color="auto"/>
              <w:bottom w:val="single" w:sz="4" w:space="0" w:color="000000"/>
              <w:right w:val="single" w:sz="4" w:space="0" w:color="auto"/>
            </w:tcBorders>
            <w:shd w:val="clear" w:color="auto" w:fill="auto"/>
            <w:vAlign w:val="center"/>
            <w:hideMark/>
          </w:tcPr>
          <w:p w14:paraId="74548410" w14:textId="7C5BF0B4" w:rsidR="004D7DC6" w:rsidRPr="004D7DC6" w:rsidRDefault="004D7DC6" w:rsidP="00890A0D">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xml:space="preserve">Pabalsta apmērs vidēji mēnesī </w:t>
            </w:r>
          </w:p>
        </w:tc>
        <w:tc>
          <w:tcPr>
            <w:tcW w:w="1147" w:type="dxa"/>
            <w:tcBorders>
              <w:top w:val="nil"/>
              <w:left w:val="nil"/>
              <w:bottom w:val="nil"/>
              <w:right w:val="single" w:sz="4" w:space="0" w:color="auto"/>
            </w:tcBorders>
            <w:shd w:val="clear" w:color="auto" w:fill="auto"/>
            <w:vAlign w:val="center"/>
            <w:hideMark/>
          </w:tcPr>
          <w:p w14:paraId="695B4C87"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Saņēmēju</w:t>
            </w:r>
            <w:r w:rsidRPr="004D7DC6">
              <w:rPr>
                <w:rFonts w:ascii="Times New Roman" w:eastAsia="Times New Roman" w:hAnsi="Times New Roman" w:cs="Times New Roman"/>
                <w:sz w:val="20"/>
                <w:szCs w:val="20"/>
              </w:rPr>
              <w:br/>
              <w:t xml:space="preserve"> skaits</w:t>
            </w:r>
          </w:p>
        </w:tc>
        <w:tc>
          <w:tcPr>
            <w:tcW w:w="1097" w:type="dxa"/>
            <w:tcBorders>
              <w:top w:val="nil"/>
              <w:left w:val="nil"/>
              <w:bottom w:val="nil"/>
              <w:right w:val="single" w:sz="4" w:space="0" w:color="auto"/>
            </w:tcBorders>
            <w:shd w:val="clear" w:color="auto" w:fill="auto"/>
            <w:vAlign w:val="center"/>
            <w:hideMark/>
          </w:tcPr>
          <w:p w14:paraId="6E93B47A"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Izdevumi kopā</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14:paraId="337F9991" w14:textId="2F4F92DD" w:rsidR="004D7DC6" w:rsidRPr="004D7DC6" w:rsidRDefault="004D7DC6" w:rsidP="00890A0D">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xml:space="preserve">Pabalsta apmērs vidēji mēnesī </w:t>
            </w:r>
          </w:p>
        </w:tc>
        <w:tc>
          <w:tcPr>
            <w:tcW w:w="1135" w:type="dxa"/>
            <w:tcBorders>
              <w:top w:val="nil"/>
              <w:left w:val="nil"/>
              <w:bottom w:val="nil"/>
              <w:right w:val="single" w:sz="4" w:space="0" w:color="auto"/>
            </w:tcBorders>
            <w:shd w:val="clear" w:color="auto" w:fill="auto"/>
            <w:vAlign w:val="center"/>
            <w:hideMark/>
          </w:tcPr>
          <w:p w14:paraId="41332339"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Saņēmēju</w:t>
            </w:r>
            <w:r w:rsidRPr="004D7DC6">
              <w:rPr>
                <w:rFonts w:ascii="Times New Roman" w:eastAsia="Times New Roman" w:hAnsi="Times New Roman" w:cs="Times New Roman"/>
                <w:sz w:val="20"/>
                <w:szCs w:val="20"/>
              </w:rPr>
              <w:br/>
              <w:t xml:space="preserve"> skaits</w:t>
            </w:r>
          </w:p>
        </w:tc>
        <w:tc>
          <w:tcPr>
            <w:tcW w:w="1113" w:type="dxa"/>
            <w:tcBorders>
              <w:top w:val="nil"/>
              <w:left w:val="nil"/>
              <w:bottom w:val="nil"/>
              <w:right w:val="single" w:sz="4" w:space="0" w:color="auto"/>
            </w:tcBorders>
            <w:shd w:val="clear" w:color="auto" w:fill="auto"/>
            <w:vAlign w:val="center"/>
            <w:hideMark/>
          </w:tcPr>
          <w:p w14:paraId="61DB097D"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Izdevumi kopā</w:t>
            </w:r>
          </w:p>
        </w:tc>
        <w:tc>
          <w:tcPr>
            <w:tcW w:w="1084" w:type="dxa"/>
            <w:vMerge w:val="restart"/>
            <w:tcBorders>
              <w:top w:val="nil"/>
              <w:left w:val="single" w:sz="4" w:space="0" w:color="auto"/>
              <w:bottom w:val="single" w:sz="4" w:space="0" w:color="000000"/>
              <w:right w:val="single" w:sz="4" w:space="0" w:color="auto"/>
            </w:tcBorders>
            <w:shd w:val="clear" w:color="auto" w:fill="auto"/>
            <w:vAlign w:val="center"/>
            <w:hideMark/>
          </w:tcPr>
          <w:p w14:paraId="2B07DAB3" w14:textId="0D31C685" w:rsidR="004D7DC6" w:rsidRPr="004D7DC6" w:rsidRDefault="004D7DC6" w:rsidP="00890A0D">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xml:space="preserve">Pabalsta apmērs vidēji mēnesī </w:t>
            </w:r>
          </w:p>
        </w:tc>
        <w:tc>
          <w:tcPr>
            <w:tcW w:w="1050" w:type="dxa"/>
            <w:tcBorders>
              <w:top w:val="nil"/>
              <w:left w:val="nil"/>
              <w:bottom w:val="nil"/>
              <w:right w:val="single" w:sz="4" w:space="0" w:color="auto"/>
            </w:tcBorders>
            <w:shd w:val="clear" w:color="auto" w:fill="auto"/>
            <w:vAlign w:val="center"/>
            <w:hideMark/>
          </w:tcPr>
          <w:p w14:paraId="675DDA25"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Saņēmēju</w:t>
            </w:r>
            <w:r w:rsidRPr="004D7DC6">
              <w:rPr>
                <w:rFonts w:ascii="Times New Roman" w:eastAsia="Times New Roman" w:hAnsi="Times New Roman" w:cs="Times New Roman"/>
                <w:sz w:val="20"/>
                <w:szCs w:val="20"/>
              </w:rPr>
              <w:br/>
              <w:t xml:space="preserve"> skaits</w:t>
            </w:r>
          </w:p>
        </w:tc>
        <w:tc>
          <w:tcPr>
            <w:tcW w:w="972" w:type="dxa"/>
            <w:tcBorders>
              <w:top w:val="nil"/>
              <w:left w:val="nil"/>
              <w:bottom w:val="nil"/>
              <w:right w:val="single" w:sz="4" w:space="0" w:color="auto"/>
            </w:tcBorders>
            <w:shd w:val="clear" w:color="auto" w:fill="auto"/>
            <w:vAlign w:val="center"/>
            <w:hideMark/>
          </w:tcPr>
          <w:p w14:paraId="1686A478"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Izdevumi kopā</w:t>
            </w:r>
          </w:p>
        </w:tc>
      </w:tr>
      <w:tr w:rsidR="00890A0D" w:rsidRPr="004D7DC6" w14:paraId="047BA814" w14:textId="77777777" w:rsidTr="00C404D5">
        <w:trPr>
          <w:trHeight w:val="510"/>
        </w:trPr>
        <w:tc>
          <w:tcPr>
            <w:tcW w:w="4213" w:type="dxa"/>
            <w:vMerge/>
            <w:tcBorders>
              <w:top w:val="nil"/>
              <w:left w:val="single" w:sz="4" w:space="0" w:color="auto"/>
              <w:bottom w:val="single" w:sz="4" w:space="0" w:color="000000"/>
              <w:right w:val="single" w:sz="4" w:space="0" w:color="auto"/>
            </w:tcBorders>
            <w:vAlign w:val="center"/>
            <w:hideMark/>
          </w:tcPr>
          <w:p w14:paraId="7A524929" w14:textId="77777777" w:rsidR="004D7DC6" w:rsidRPr="004D7DC6" w:rsidRDefault="004D7DC6" w:rsidP="004D7DC6">
            <w:pPr>
              <w:rPr>
                <w:rFonts w:ascii="Times New Roman" w:eastAsia="Times New Roman" w:hAnsi="Times New Roman" w:cs="Times New Roman"/>
                <w:sz w:val="20"/>
                <w:szCs w:val="20"/>
              </w:rPr>
            </w:pPr>
          </w:p>
        </w:tc>
        <w:tc>
          <w:tcPr>
            <w:tcW w:w="1002" w:type="dxa"/>
            <w:vMerge/>
            <w:tcBorders>
              <w:top w:val="nil"/>
              <w:left w:val="single" w:sz="4" w:space="0" w:color="auto"/>
              <w:bottom w:val="single" w:sz="4" w:space="0" w:color="000000"/>
              <w:right w:val="single" w:sz="4" w:space="0" w:color="auto"/>
            </w:tcBorders>
            <w:vAlign w:val="center"/>
            <w:hideMark/>
          </w:tcPr>
          <w:p w14:paraId="41CD93B2" w14:textId="77777777" w:rsidR="004D7DC6" w:rsidRPr="004D7DC6" w:rsidRDefault="004D7DC6" w:rsidP="004D7DC6">
            <w:pPr>
              <w:rPr>
                <w:rFonts w:ascii="Times New Roman" w:eastAsia="Times New Roman" w:hAnsi="Times New Roman" w:cs="Times New Roman"/>
                <w:sz w:val="20"/>
                <w:szCs w:val="20"/>
              </w:rPr>
            </w:pPr>
          </w:p>
        </w:tc>
        <w:tc>
          <w:tcPr>
            <w:tcW w:w="1147" w:type="dxa"/>
            <w:tcBorders>
              <w:top w:val="nil"/>
              <w:left w:val="nil"/>
              <w:bottom w:val="single" w:sz="4" w:space="0" w:color="auto"/>
              <w:right w:val="single" w:sz="4" w:space="0" w:color="auto"/>
            </w:tcBorders>
            <w:shd w:val="clear" w:color="auto" w:fill="auto"/>
            <w:noWrap/>
            <w:vAlign w:val="bottom"/>
            <w:hideMark/>
          </w:tcPr>
          <w:p w14:paraId="06A7D96D"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(vid.mēn.)</w:t>
            </w:r>
          </w:p>
        </w:tc>
        <w:tc>
          <w:tcPr>
            <w:tcW w:w="1097" w:type="dxa"/>
            <w:tcBorders>
              <w:top w:val="nil"/>
              <w:left w:val="nil"/>
              <w:bottom w:val="single" w:sz="4" w:space="0" w:color="auto"/>
              <w:right w:val="single" w:sz="4" w:space="0" w:color="auto"/>
            </w:tcBorders>
            <w:shd w:val="clear" w:color="auto" w:fill="auto"/>
            <w:noWrap/>
            <w:vAlign w:val="bottom"/>
            <w:hideMark/>
          </w:tcPr>
          <w:p w14:paraId="704CE231" w14:textId="17E87779" w:rsidR="004D7DC6" w:rsidRPr="004D7DC6" w:rsidRDefault="004D7DC6" w:rsidP="004D7DC6">
            <w:pPr>
              <w:jc w:val="center"/>
              <w:rPr>
                <w:rFonts w:ascii="Times New Roman" w:eastAsia="Times New Roman" w:hAnsi="Times New Roman" w:cs="Times New Roman"/>
                <w:sz w:val="20"/>
                <w:szCs w:val="20"/>
              </w:rPr>
            </w:pPr>
          </w:p>
        </w:tc>
        <w:tc>
          <w:tcPr>
            <w:tcW w:w="1180" w:type="dxa"/>
            <w:vMerge/>
            <w:tcBorders>
              <w:top w:val="nil"/>
              <w:left w:val="single" w:sz="4" w:space="0" w:color="auto"/>
              <w:bottom w:val="single" w:sz="4" w:space="0" w:color="000000"/>
              <w:right w:val="single" w:sz="4" w:space="0" w:color="auto"/>
            </w:tcBorders>
            <w:vAlign w:val="center"/>
            <w:hideMark/>
          </w:tcPr>
          <w:p w14:paraId="508E6976" w14:textId="77777777" w:rsidR="004D7DC6" w:rsidRPr="004D7DC6" w:rsidRDefault="004D7DC6" w:rsidP="004D7DC6">
            <w:pPr>
              <w:rPr>
                <w:rFonts w:ascii="Times New Roman" w:eastAsia="Times New Roman" w:hAnsi="Times New Roman" w:cs="Times New Roman"/>
                <w:sz w:val="20"/>
                <w:szCs w:val="20"/>
              </w:rPr>
            </w:pPr>
          </w:p>
        </w:tc>
        <w:tc>
          <w:tcPr>
            <w:tcW w:w="1135" w:type="dxa"/>
            <w:tcBorders>
              <w:top w:val="nil"/>
              <w:left w:val="nil"/>
              <w:bottom w:val="single" w:sz="4" w:space="0" w:color="auto"/>
              <w:right w:val="single" w:sz="4" w:space="0" w:color="auto"/>
            </w:tcBorders>
            <w:shd w:val="clear" w:color="auto" w:fill="auto"/>
            <w:noWrap/>
            <w:vAlign w:val="bottom"/>
            <w:hideMark/>
          </w:tcPr>
          <w:p w14:paraId="0270B0DB"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(vid.mēn.)</w:t>
            </w:r>
          </w:p>
        </w:tc>
        <w:tc>
          <w:tcPr>
            <w:tcW w:w="1113" w:type="dxa"/>
            <w:tcBorders>
              <w:top w:val="nil"/>
              <w:left w:val="nil"/>
              <w:bottom w:val="single" w:sz="4" w:space="0" w:color="auto"/>
              <w:right w:val="single" w:sz="4" w:space="0" w:color="auto"/>
            </w:tcBorders>
            <w:shd w:val="clear" w:color="auto" w:fill="auto"/>
            <w:noWrap/>
            <w:vAlign w:val="bottom"/>
            <w:hideMark/>
          </w:tcPr>
          <w:p w14:paraId="383D84FF" w14:textId="3F839C95" w:rsidR="004D7DC6" w:rsidRPr="004D7DC6" w:rsidRDefault="004D7DC6" w:rsidP="004D7DC6">
            <w:pPr>
              <w:jc w:val="center"/>
              <w:rPr>
                <w:rFonts w:ascii="Times New Roman" w:eastAsia="Times New Roman" w:hAnsi="Times New Roman" w:cs="Times New Roman"/>
                <w:sz w:val="20"/>
                <w:szCs w:val="20"/>
              </w:rPr>
            </w:pPr>
          </w:p>
        </w:tc>
        <w:tc>
          <w:tcPr>
            <w:tcW w:w="1084" w:type="dxa"/>
            <w:vMerge/>
            <w:tcBorders>
              <w:top w:val="nil"/>
              <w:left w:val="single" w:sz="4" w:space="0" w:color="auto"/>
              <w:bottom w:val="single" w:sz="4" w:space="0" w:color="000000"/>
              <w:right w:val="single" w:sz="4" w:space="0" w:color="auto"/>
            </w:tcBorders>
            <w:vAlign w:val="center"/>
            <w:hideMark/>
          </w:tcPr>
          <w:p w14:paraId="2B23F066" w14:textId="77777777" w:rsidR="004D7DC6" w:rsidRPr="004D7DC6" w:rsidRDefault="004D7DC6" w:rsidP="004D7DC6">
            <w:pPr>
              <w:rPr>
                <w:rFonts w:ascii="Times New Roman" w:eastAsia="Times New Roman" w:hAnsi="Times New Roman" w:cs="Times New Roman"/>
                <w:sz w:val="20"/>
                <w:szCs w:val="20"/>
              </w:rPr>
            </w:pPr>
          </w:p>
        </w:tc>
        <w:tc>
          <w:tcPr>
            <w:tcW w:w="1050" w:type="dxa"/>
            <w:tcBorders>
              <w:top w:val="nil"/>
              <w:left w:val="nil"/>
              <w:bottom w:val="single" w:sz="4" w:space="0" w:color="auto"/>
              <w:right w:val="single" w:sz="4" w:space="0" w:color="auto"/>
            </w:tcBorders>
            <w:shd w:val="clear" w:color="auto" w:fill="auto"/>
            <w:noWrap/>
            <w:vAlign w:val="bottom"/>
            <w:hideMark/>
          </w:tcPr>
          <w:p w14:paraId="1CCA47A8"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(vid.mēn.)</w:t>
            </w:r>
          </w:p>
        </w:tc>
        <w:tc>
          <w:tcPr>
            <w:tcW w:w="972" w:type="dxa"/>
            <w:tcBorders>
              <w:top w:val="nil"/>
              <w:left w:val="nil"/>
              <w:bottom w:val="single" w:sz="4" w:space="0" w:color="auto"/>
              <w:right w:val="single" w:sz="4" w:space="0" w:color="auto"/>
            </w:tcBorders>
            <w:shd w:val="clear" w:color="auto" w:fill="auto"/>
            <w:noWrap/>
            <w:vAlign w:val="bottom"/>
            <w:hideMark/>
          </w:tcPr>
          <w:p w14:paraId="172BC044" w14:textId="08B7C203" w:rsidR="004D7DC6" w:rsidRPr="004D7DC6" w:rsidRDefault="004D7DC6" w:rsidP="004D7DC6">
            <w:pPr>
              <w:jc w:val="center"/>
              <w:rPr>
                <w:rFonts w:ascii="Times New Roman" w:eastAsia="Times New Roman" w:hAnsi="Times New Roman" w:cs="Times New Roman"/>
                <w:sz w:val="20"/>
                <w:szCs w:val="20"/>
              </w:rPr>
            </w:pPr>
          </w:p>
        </w:tc>
      </w:tr>
      <w:tr w:rsidR="00890A0D" w:rsidRPr="004D7DC6" w14:paraId="71439C92" w14:textId="77777777" w:rsidTr="00C404D5">
        <w:trPr>
          <w:trHeight w:val="300"/>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16EBC3A9"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w:t>
            </w:r>
          </w:p>
        </w:tc>
        <w:tc>
          <w:tcPr>
            <w:tcW w:w="1002" w:type="dxa"/>
            <w:tcBorders>
              <w:top w:val="nil"/>
              <w:left w:val="nil"/>
              <w:bottom w:val="single" w:sz="4" w:space="0" w:color="auto"/>
              <w:right w:val="single" w:sz="4" w:space="0" w:color="auto"/>
            </w:tcBorders>
            <w:shd w:val="clear" w:color="000000" w:fill="FFFFFF"/>
            <w:noWrap/>
            <w:vAlign w:val="bottom"/>
            <w:hideMark/>
          </w:tcPr>
          <w:p w14:paraId="6DBDED4E"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w:t>
            </w:r>
          </w:p>
        </w:tc>
        <w:tc>
          <w:tcPr>
            <w:tcW w:w="1147" w:type="dxa"/>
            <w:tcBorders>
              <w:top w:val="nil"/>
              <w:left w:val="nil"/>
              <w:bottom w:val="single" w:sz="4" w:space="0" w:color="auto"/>
              <w:right w:val="single" w:sz="4" w:space="0" w:color="auto"/>
            </w:tcBorders>
            <w:shd w:val="clear" w:color="auto" w:fill="auto"/>
            <w:noWrap/>
            <w:vAlign w:val="bottom"/>
            <w:hideMark/>
          </w:tcPr>
          <w:p w14:paraId="2A45AB0B"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w:t>
            </w:r>
          </w:p>
        </w:tc>
        <w:tc>
          <w:tcPr>
            <w:tcW w:w="1097" w:type="dxa"/>
            <w:tcBorders>
              <w:top w:val="nil"/>
              <w:left w:val="nil"/>
              <w:bottom w:val="single" w:sz="4" w:space="0" w:color="auto"/>
              <w:right w:val="single" w:sz="4" w:space="0" w:color="auto"/>
            </w:tcBorders>
            <w:shd w:val="clear" w:color="000000" w:fill="FFFFFF"/>
            <w:noWrap/>
            <w:vAlign w:val="bottom"/>
            <w:hideMark/>
          </w:tcPr>
          <w:p w14:paraId="4DBF9971"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w:t>
            </w:r>
          </w:p>
        </w:tc>
        <w:tc>
          <w:tcPr>
            <w:tcW w:w="1180" w:type="dxa"/>
            <w:tcBorders>
              <w:top w:val="nil"/>
              <w:left w:val="nil"/>
              <w:bottom w:val="single" w:sz="4" w:space="0" w:color="auto"/>
              <w:right w:val="single" w:sz="4" w:space="0" w:color="auto"/>
            </w:tcBorders>
            <w:shd w:val="clear" w:color="000000" w:fill="FFFFFF"/>
            <w:noWrap/>
            <w:vAlign w:val="bottom"/>
            <w:hideMark/>
          </w:tcPr>
          <w:p w14:paraId="4A6E52BA"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5</w:t>
            </w:r>
          </w:p>
        </w:tc>
        <w:tc>
          <w:tcPr>
            <w:tcW w:w="1135" w:type="dxa"/>
            <w:tcBorders>
              <w:top w:val="nil"/>
              <w:left w:val="nil"/>
              <w:bottom w:val="single" w:sz="4" w:space="0" w:color="auto"/>
              <w:right w:val="single" w:sz="4" w:space="0" w:color="auto"/>
            </w:tcBorders>
            <w:shd w:val="clear" w:color="000000" w:fill="FFFFFF"/>
            <w:noWrap/>
            <w:vAlign w:val="bottom"/>
            <w:hideMark/>
          </w:tcPr>
          <w:p w14:paraId="056878C6"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6</w:t>
            </w:r>
          </w:p>
        </w:tc>
        <w:tc>
          <w:tcPr>
            <w:tcW w:w="1113" w:type="dxa"/>
            <w:tcBorders>
              <w:top w:val="nil"/>
              <w:left w:val="nil"/>
              <w:bottom w:val="single" w:sz="4" w:space="0" w:color="auto"/>
              <w:right w:val="single" w:sz="4" w:space="0" w:color="auto"/>
            </w:tcBorders>
            <w:shd w:val="clear" w:color="000000" w:fill="FFFFFF"/>
            <w:noWrap/>
            <w:vAlign w:val="bottom"/>
            <w:hideMark/>
          </w:tcPr>
          <w:p w14:paraId="13EDF72F"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w:t>
            </w:r>
          </w:p>
        </w:tc>
        <w:tc>
          <w:tcPr>
            <w:tcW w:w="1084" w:type="dxa"/>
            <w:tcBorders>
              <w:top w:val="nil"/>
              <w:left w:val="nil"/>
              <w:bottom w:val="single" w:sz="4" w:space="0" w:color="auto"/>
              <w:right w:val="single" w:sz="4" w:space="0" w:color="auto"/>
            </w:tcBorders>
            <w:shd w:val="clear" w:color="000000" w:fill="FFFFFF"/>
            <w:noWrap/>
            <w:vAlign w:val="bottom"/>
            <w:hideMark/>
          </w:tcPr>
          <w:p w14:paraId="2B3082D8"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8</w:t>
            </w:r>
          </w:p>
        </w:tc>
        <w:tc>
          <w:tcPr>
            <w:tcW w:w="1050" w:type="dxa"/>
            <w:tcBorders>
              <w:top w:val="nil"/>
              <w:left w:val="nil"/>
              <w:bottom w:val="single" w:sz="4" w:space="0" w:color="auto"/>
              <w:right w:val="single" w:sz="4" w:space="0" w:color="auto"/>
            </w:tcBorders>
            <w:shd w:val="clear" w:color="auto" w:fill="auto"/>
            <w:noWrap/>
            <w:vAlign w:val="bottom"/>
            <w:hideMark/>
          </w:tcPr>
          <w:p w14:paraId="7F1857DB"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9</w:t>
            </w:r>
          </w:p>
        </w:tc>
        <w:tc>
          <w:tcPr>
            <w:tcW w:w="972" w:type="dxa"/>
            <w:tcBorders>
              <w:top w:val="nil"/>
              <w:left w:val="nil"/>
              <w:bottom w:val="single" w:sz="4" w:space="0" w:color="auto"/>
              <w:right w:val="single" w:sz="4" w:space="0" w:color="auto"/>
            </w:tcBorders>
            <w:shd w:val="clear" w:color="000000" w:fill="FFFFFF"/>
            <w:noWrap/>
            <w:vAlign w:val="bottom"/>
            <w:hideMark/>
          </w:tcPr>
          <w:p w14:paraId="63EF6005"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w:t>
            </w:r>
          </w:p>
        </w:tc>
      </w:tr>
      <w:tr w:rsidR="00890A0D" w:rsidRPr="004D7DC6" w14:paraId="3ACAE67B" w14:textId="77777777" w:rsidTr="00C404D5">
        <w:trPr>
          <w:trHeight w:val="360"/>
        </w:trPr>
        <w:tc>
          <w:tcPr>
            <w:tcW w:w="4213" w:type="dxa"/>
            <w:tcBorders>
              <w:top w:val="nil"/>
              <w:left w:val="single" w:sz="4" w:space="0" w:color="auto"/>
              <w:bottom w:val="single" w:sz="4" w:space="0" w:color="auto"/>
              <w:right w:val="single" w:sz="4" w:space="0" w:color="auto"/>
            </w:tcBorders>
            <w:shd w:val="clear" w:color="000000" w:fill="FFFFFF"/>
            <w:noWrap/>
            <w:vAlign w:val="bottom"/>
            <w:hideMark/>
          </w:tcPr>
          <w:p w14:paraId="49DA7770" w14:textId="77777777" w:rsidR="004D7DC6" w:rsidRPr="004D7DC6" w:rsidRDefault="004D7DC6" w:rsidP="004D7DC6">
            <w:pPr>
              <w:jc w:val="both"/>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Valsts sociālā nodrošinājuma pabalsts</w:t>
            </w:r>
          </w:p>
        </w:tc>
        <w:tc>
          <w:tcPr>
            <w:tcW w:w="1002" w:type="dxa"/>
            <w:tcBorders>
              <w:top w:val="nil"/>
              <w:left w:val="nil"/>
              <w:bottom w:val="single" w:sz="4" w:space="0" w:color="auto"/>
              <w:right w:val="nil"/>
            </w:tcBorders>
            <w:shd w:val="clear" w:color="auto" w:fill="auto"/>
            <w:noWrap/>
            <w:vAlign w:val="bottom"/>
            <w:hideMark/>
          </w:tcPr>
          <w:p w14:paraId="5D24DAD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166,92</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9EBDA5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20 239</w:t>
            </w:r>
          </w:p>
        </w:tc>
        <w:tc>
          <w:tcPr>
            <w:tcW w:w="1097" w:type="dxa"/>
            <w:tcBorders>
              <w:top w:val="nil"/>
              <w:left w:val="nil"/>
              <w:bottom w:val="single" w:sz="4" w:space="0" w:color="auto"/>
              <w:right w:val="single" w:sz="4" w:space="0" w:color="auto"/>
            </w:tcBorders>
            <w:shd w:val="clear" w:color="auto" w:fill="auto"/>
            <w:noWrap/>
            <w:vAlign w:val="bottom"/>
            <w:hideMark/>
          </w:tcPr>
          <w:p w14:paraId="182542C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40 539 454</w:t>
            </w:r>
          </w:p>
        </w:tc>
        <w:tc>
          <w:tcPr>
            <w:tcW w:w="1180" w:type="dxa"/>
            <w:tcBorders>
              <w:top w:val="nil"/>
              <w:left w:val="nil"/>
              <w:bottom w:val="single" w:sz="4" w:space="0" w:color="auto"/>
              <w:right w:val="nil"/>
            </w:tcBorders>
            <w:shd w:val="clear" w:color="auto" w:fill="auto"/>
            <w:noWrap/>
            <w:vAlign w:val="bottom"/>
            <w:hideMark/>
          </w:tcPr>
          <w:p w14:paraId="6880BFE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168,71</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2E5031A1"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20 481</w:t>
            </w:r>
          </w:p>
        </w:tc>
        <w:tc>
          <w:tcPr>
            <w:tcW w:w="1113" w:type="dxa"/>
            <w:tcBorders>
              <w:top w:val="nil"/>
              <w:left w:val="nil"/>
              <w:bottom w:val="single" w:sz="4" w:space="0" w:color="auto"/>
              <w:right w:val="single" w:sz="4" w:space="0" w:color="auto"/>
            </w:tcBorders>
            <w:shd w:val="clear" w:color="auto" w:fill="auto"/>
            <w:noWrap/>
            <w:vAlign w:val="bottom"/>
            <w:hideMark/>
          </w:tcPr>
          <w:p w14:paraId="558CC65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41 464 408</w:t>
            </w:r>
          </w:p>
        </w:tc>
        <w:tc>
          <w:tcPr>
            <w:tcW w:w="1084" w:type="dxa"/>
            <w:tcBorders>
              <w:top w:val="nil"/>
              <w:left w:val="nil"/>
              <w:bottom w:val="single" w:sz="4" w:space="0" w:color="auto"/>
              <w:right w:val="nil"/>
            </w:tcBorders>
            <w:shd w:val="clear" w:color="auto" w:fill="auto"/>
            <w:noWrap/>
            <w:vAlign w:val="bottom"/>
            <w:hideMark/>
          </w:tcPr>
          <w:p w14:paraId="14A254D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168,71</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329EB14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20 718</w:t>
            </w:r>
          </w:p>
        </w:tc>
        <w:tc>
          <w:tcPr>
            <w:tcW w:w="972" w:type="dxa"/>
            <w:tcBorders>
              <w:top w:val="nil"/>
              <w:left w:val="nil"/>
              <w:bottom w:val="single" w:sz="4" w:space="0" w:color="auto"/>
              <w:right w:val="single" w:sz="4" w:space="0" w:color="auto"/>
            </w:tcBorders>
            <w:shd w:val="clear" w:color="auto" w:fill="auto"/>
            <w:noWrap/>
            <w:vAlign w:val="bottom"/>
            <w:hideMark/>
          </w:tcPr>
          <w:p w14:paraId="0D02AD9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41 944 181</w:t>
            </w:r>
          </w:p>
        </w:tc>
      </w:tr>
      <w:tr w:rsidR="00890A0D" w:rsidRPr="004D7DC6" w14:paraId="224756E3" w14:textId="77777777" w:rsidTr="00C404D5">
        <w:trPr>
          <w:trHeight w:val="780"/>
        </w:trPr>
        <w:tc>
          <w:tcPr>
            <w:tcW w:w="4213" w:type="dxa"/>
            <w:tcBorders>
              <w:top w:val="nil"/>
              <w:left w:val="single" w:sz="4" w:space="0" w:color="auto"/>
              <w:bottom w:val="single" w:sz="4" w:space="0" w:color="auto"/>
              <w:right w:val="single" w:sz="4" w:space="0" w:color="auto"/>
            </w:tcBorders>
            <w:shd w:val="clear" w:color="000000" w:fill="FFFFFF"/>
            <w:vAlign w:val="bottom"/>
            <w:hideMark/>
          </w:tcPr>
          <w:p w14:paraId="14F8C7FD" w14:textId="77777777" w:rsidR="004D7DC6" w:rsidRPr="004D7DC6" w:rsidRDefault="004D7DC6" w:rsidP="004D7DC6">
            <w:pP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Pabalsts transporta izdevumu kompensēšanai personām ar invaliditāti, kurām ir apgrūtināta pārvietošanās</w:t>
            </w:r>
          </w:p>
        </w:tc>
        <w:tc>
          <w:tcPr>
            <w:tcW w:w="1002" w:type="dxa"/>
            <w:tcBorders>
              <w:top w:val="nil"/>
              <w:left w:val="nil"/>
              <w:bottom w:val="single" w:sz="4" w:space="0" w:color="auto"/>
              <w:right w:val="single" w:sz="4" w:space="0" w:color="auto"/>
            </w:tcBorders>
            <w:shd w:val="clear" w:color="auto" w:fill="auto"/>
            <w:noWrap/>
            <w:vAlign w:val="bottom"/>
            <w:hideMark/>
          </w:tcPr>
          <w:p w14:paraId="271CFD71"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80,90</w:t>
            </w:r>
          </w:p>
        </w:tc>
        <w:tc>
          <w:tcPr>
            <w:tcW w:w="1147" w:type="dxa"/>
            <w:tcBorders>
              <w:top w:val="nil"/>
              <w:left w:val="nil"/>
              <w:bottom w:val="single" w:sz="4" w:space="0" w:color="auto"/>
              <w:right w:val="single" w:sz="4" w:space="0" w:color="auto"/>
            </w:tcBorders>
            <w:shd w:val="clear" w:color="auto" w:fill="auto"/>
            <w:noWrap/>
            <w:vAlign w:val="bottom"/>
            <w:hideMark/>
          </w:tcPr>
          <w:p w14:paraId="1E33AB4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34 846</w:t>
            </w:r>
          </w:p>
        </w:tc>
        <w:tc>
          <w:tcPr>
            <w:tcW w:w="1097" w:type="dxa"/>
            <w:tcBorders>
              <w:top w:val="nil"/>
              <w:left w:val="nil"/>
              <w:bottom w:val="single" w:sz="4" w:space="0" w:color="auto"/>
              <w:right w:val="single" w:sz="4" w:space="0" w:color="auto"/>
            </w:tcBorders>
            <w:shd w:val="clear" w:color="auto" w:fill="auto"/>
            <w:noWrap/>
            <w:vAlign w:val="bottom"/>
            <w:hideMark/>
          </w:tcPr>
          <w:p w14:paraId="3F3F54E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5 637 957</w:t>
            </w:r>
          </w:p>
        </w:tc>
        <w:tc>
          <w:tcPr>
            <w:tcW w:w="1180" w:type="dxa"/>
            <w:tcBorders>
              <w:top w:val="nil"/>
              <w:left w:val="nil"/>
              <w:bottom w:val="single" w:sz="4" w:space="0" w:color="auto"/>
              <w:right w:val="nil"/>
            </w:tcBorders>
            <w:shd w:val="clear" w:color="auto" w:fill="auto"/>
            <w:noWrap/>
            <w:vAlign w:val="bottom"/>
            <w:hideMark/>
          </w:tcPr>
          <w:p w14:paraId="7BA8268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80,90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7CDA433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37 276</w:t>
            </w:r>
          </w:p>
        </w:tc>
        <w:tc>
          <w:tcPr>
            <w:tcW w:w="1113" w:type="dxa"/>
            <w:tcBorders>
              <w:top w:val="nil"/>
              <w:left w:val="nil"/>
              <w:bottom w:val="single" w:sz="4" w:space="0" w:color="auto"/>
              <w:right w:val="single" w:sz="4" w:space="0" w:color="auto"/>
            </w:tcBorders>
            <w:shd w:val="clear" w:color="auto" w:fill="auto"/>
            <w:noWrap/>
            <w:vAlign w:val="bottom"/>
            <w:hideMark/>
          </w:tcPr>
          <w:p w14:paraId="5C513D5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6 031 515</w:t>
            </w:r>
          </w:p>
        </w:tc>
        <w:tc>
          <w:tcPr>
            <w:tcW w:w="1084" w:type="dxa"/>
            <w:tcBorders>
              <w:top w:val="nil"/>
              <w:left w:val="nil"/>
              <w:bottom w:val="single" w:sz="4" w:space="0" w:color="auto"/>
              <w:right w:val="nil"/>
            </w:tcBorders>
            <w:shd w:val="clear" w:color="auto" w:fill="auto"/>
            <w:noWrap/>
            <w:vAlign w:val="bottom"/>
            <w:hideMark/>
          </w:tcPr>
          <w:p w14:paraId="33AC156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80,90</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6BBD79C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39 896</w:t>
            </w:r>
          </w:p>
        </w:tc>
        <w:tc>
          <w:tcPr>
            <w:tcW w:w="972" w:type="dxa"/>
            <w:tcBorders>
              <w:top w:val="nil"/>
              <w:left w:val="nil"/>
              <w:bottom w:val="single" w:sz="4" w:space="0" w:color="auto"/>
              <w:right w:val="single" w:sz="4" w:space="0" w:color="auto"/>
            </w:tcBorders>
            <w:shd w:val="clear" w:color="auto" w:fill="auto"/>
            <w:noWrap/>
            <w:vAlign w:val="bottom"/>
            <w:hideMark/>
          </w:tcPr>
          <w:p w14:paraId="5EF619C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6 455 464</w:t>
            </w:r>
          </w:p>
        </w:tc>
      </w:tr>
      <w:tr w:rsidR="00890A0D" w:rsidRPr="004D7DC6" w14:paraId="4412D7C9" w14:textId="77777777" w:rsidTr="00C404D5">
        <w:trPr>
          <w:trHeight w:val="1035"/>
        </w:trPr>
        <w:tc>
          <w:tcPr>
            <w:tcW w:w="4213" w:type="dxa"/>
            <w:tcBorders>
              <w:top w:val="nil"/>
              <w:left w:val="single" w:sz="4" w:space="0" w:color="auto"/>
              <w:bottom w:val="single" w:sz="4" w:space="0" w:color="auto"/>
              <w:right w:val="single" w:sz="4" w:space="0" w:color="auto"/>
            </w:tcBorders>
            <w:shd w:val="clear" w:color="000000" w:fill="FFFFFF"/>
            <w:vAlign w:val="bottom"/>
            <w:hideMark/>
          </w:tcPr>
          <w:p w14:paraId="25DCFE69" w14:textId="77777777" w:rsidR="004D7DC6" w:rsidRPr="004D7DC6" w:rsidRDefault="004D7DC6" w:rsidP="004D7DC6">
            <w:pP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Valsts sociālais pabalsts Černobiļas atomelektro-stacijas avārijas seku likvidēšanas dalībniekiem un mirušo Černobiļas atomelektrostacijas avārijas seku likvidēšanas dalībnieku ģimenēm</w:t>
            </w:r>
          </w:p>
        </w:tc>
        <w:tc>
          <w:tcPr>
            <w:tcW w:w="1002" w:type="dxa"/>
            <w:tcBorders>
              <w:top w:val="nil"/>
              <w:left w:val="nil"/>
              <w:bottom w:val="single" w:sz="4" w:space="0" w:color="auto"/>
              <w:right w:val="single" w:sz="4" w:space="0" w:color="auto"/>
            </w:tcBorders>
            <w:shd w:val="clear" w:color="auto" w:fill="auto"/>
            <w:noWrap/>
            <w:vAlign w:val="bottom"/>
            <w:hideMark/>
          </w:tcPr>
          <w:p w14:paraId="2A18C19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112,57</w:t>
            </w:r>
          </w:p>
        </w:tc>
        <w:tc>
          <w:tcPr>
            <w:tcW w:w="1147" w:type="dxa"/>
            <w:tcBorders>
              <w:top w:val="nil"/>
              <w:left w:val="nil"/>
              <w:bottom w:val="single" w:sz="4" w:space="0" w:color="auto"/>
              <w:right w:val="single" w:sz="4" w:space="0" w:color="auto"/>
            </w:tcBorders>
            <w:shd w:val="clear" w:color="auto" w:fill="auto"/>
            <w:noWrap/>
            <w:vAlign w:val="bottom"/>
            <w:hideMark/>
          </w:tcPr>
          <w:p w14:paraId="12C851B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3 056</w:t>
            </w:r>
          </w:p>
        </w:tc>
        <w:tc>
          <w:tcPr>
            <w:tcW w:w="1097" w:type="dxa"/>
            <w:tcBorders>
              <w:top w:val="nil"/>
              <w:left w:val="nil"/>
              <w:bottom w:val="single" w:sz="4" w:space="0" w:color="auto"/>
              <w:right w:val="single" w:sz="4" w:space="0" w:color="auto"/>
            </w:tcBorders>
            <w:shd w:val="clear" w:color="auto" w:fill="auto"/>
            <w:noWrap/>
            <w:vAlign w:val="bottom"/>
            <w:hideMark/>
          </w:tcPr>
          <w:p w14:paraId="29F4B83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4 128 167</w:t>
            </w:r>
          </w:p>
        </w:tc>
        <w:tc>
          <w:tcPr>
            <w:tcW w:w="1180" w:type="dxa"/>
            <w:tcBorders>
              <w:top w:val="nil"/>
              <w:left w:val="nil"/>
              <w:bottom w:val="single" w:sz="4" w:space="0" w:color="auto"/>
              <w:right w:val="single" w:sz="4" w:space="0" w:color="auto"/>
            </w:tcBorders>
            <w:shd w:val="clear" w:color="auto" w:fill="auto"/>
            <w:noWrap/>
            <w:vAlign w:val="bottom"/>
            <w:hideMark/>
          </w:tcPr>
          <w:p w14:paraId="2C4C202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112,57</w:t>
            </w:r>
          </w:p>
        </w:tc>
        <w:tc>
          <w:tcPr>
            <w:tcW w:w="1135" w:type="dxa"/>
            <w:tcBorders>
              <w:top w:val="nil"/>
              <w:left w:val="nil"/>
              <w:bottom w:val="single" w:sz="4" w:space="0" w:color="auto"/>
              <w:right w:val="single" w:sz="4" w:space="0" w:color="auto"/>
            </w:tcBorders>
            <w:shd w:val="clear" w:color="auto" w:fill="auto"/>
            <w:noWrap/>
            <w:vAlign w:val="bottom"/>
            <w:hideMark/>
          </w:tcPr>
          <w:p w14:paraId="7F7A298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2 989</w:t>
            </w:r>
          </w:p>
        </w:tc>
        <w:tc>
          <w:tcPr>
            <w:tcW w:w="1113" w:type="dxa"/>
            <w:tcBorders>
              <w:top w:val="nil"/>
              <w:left w:val="nil"/>
              <w:bottom w:val="single" w:sz="4" w:space="0" w:color="auto"/>
              <w:right w:val="single" w:sz="4" w:space="0" w:color="auto"/>
            </w:tcBorders>
            <w:shd w:val="clear" w:color="auto" w:fill="auto"/>
            <w:noWrap/>
            <w:vAlign w:val="bottom"/>
            <w:hideMark/>
          </w:tcPr>
          <w:p w14:paraId="0C98AE3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4 037 661</w:t>
            </w:r>
          </w:p>
        </w:tc>
        <w:tc>
          <w:tcPr>
            <w:tcW w:w="1084" w:type="dxa"/>
            <w:tcBorders>
              <w:top w:val="nil"/>
              <w:left w:val="nil"/>
              <w:bottom w:val="single" w:sz="4" w:space="0" w:color="auto"/>
              <w:right w:val="single" w:sz="4" w:space="0" w:color="auto"/>
            </w:tcBorders>
            <w:shd w:val="clear" w:color="auto" w:fill="auto"/>
            <w:noWrap/>
            <w:vAlign w:val="bottom"/>
            <w:hideMark/>
          </w:tcPr>
          <w:p w14:paraId="58610DA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112,57</w:t>
            </w:r>
          </w:p>
        </w:tc>
        <w:tc>
          <w:tcPr>
            <w:tcW w:w="1050" w:type="dxa"/>
            <w:tcBorders>
              <w:top w:val="nil"/>
              <w:left w:val="nil"/>
              <w:bottom w:val="single" w:sz="4" w:space="0" w:color="auto"/>
              <w:right w:val="single" w:sz="4" w:space="0" w:color="auto"/>
            </w:tcBorders>
            <w:shd w:val="clear" w:color="auto" w:fill="auto"/>
            <w:noWrap/>
            <w:vAlign w:val="bottom"/>
            <w:hideMark/>
          </w:tcPr>
          <w:p w14:paraId="1E54F7E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2 924</w:t>
            </w:r>
          </w:p>
        </w:tc>
        <w:tc>
          <w:tcPr>
            <w:tcW w:w="972" w:type="dxa"/>
            <w:tcBorders>
              <w:top w:val="nil"/>
              <w:left w:val="nil"/>
              <w:bottom w:val="single" w:sz="4" w:space="0" w:color="auto"/>
              <w:right w:val="single" w:sz="4" w:space="0" w:color="auto"/>
            </w:tcBorders>
            <w:shd w:val="clear" w:color="auto" w:fill="auto"/>
            <w:noWrap/>
            <w:vAlign w:val="bottom"/>
            <w:hideMark/>
          </w:tcPr>
          <w:p w14:paraId="3CB698D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3 949 856</w:t>
            </w:r>
          </w:p>
        </w:tc>
      </w:tr>
      <w:tr w:rsidR="00890A0D" w:rsidRPr="004D7DC6" w14:paraId="5E0B29E5" w14:textId="77777777" w:rsidTr="00C404D5">
        <w:trPr>
          <w:trHeight w:val="1035"/>
        </w:trPr>
        <w:tc>
          <w:tcPr>
            <w:tcW w:w="4213" w:type="dxa"/>
            <w:tcBorders>
              <w:top w:val="nil"/>
              <w:left w:val="single" w:sz="4" w:space="0" w:color="auto"/>
              <w:bottom w:val="single" w:sz="4" w:space="0" w:color="auto"/>
              <w:right w:val="single" w:sz="4" w:space="0" w:color="auto"/>
            </w:tcBorders>
            <w:shd w:val="clear" w:color="000000" w:fill="FFFFFF"/>
            <w:vAlign w:val="bottom"/>
            <w:hideMark/>
          </w:tcPr>
          <w:p w14:paraId="21ED05C6" w14:textId="77777777" w:rsidR="004D7DC6" w:rsidRPr="004D7DC6" w:rsidRDefault="004D7DC6" w:rsidP="004D7DC6">
            <w:pP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Kaitējuma atlīdzība Černobiļas atomelektrostacijas avārijas seku likvidēšanas dalībniekiem vai viņa nāves gadījumā – viņa apgādībā bijušajiem darbnespējīgajiem ģimenes locekļiem</w:t>
            </w:r>
          </w:p>
        </w:tc>
        <w:tc>
          <w:tcPr>
            <w:tcW w:w="1002" w:type="dxa"/>
            <w:tcBorders>
              <w:top w:val="nil"/>
              <w:left w:val="nil"/>
              <w:bottom w:val="single" w:sz="4" w:space="0" w:color="auto"/>
              <w:right w:val="single" w:sz="4" w:space="0" w:color="auto"/>
            </w:tcBorders>
            <w:shd w:val="clear" w:color="auto" w:fill="auto"/>
            <w:noWrap/>
            <w:vAlign w:val="bottom"/>
            <w:hideMark/>
          </w:tcPr>
          <w:p w14:paraId="1D0348E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221,96</w:t>
            </w:r>
          </w:p>
        </w:tc>
        <w:tc>
          <w:tcPr>
            <w:tcW w:w="1147" w:type="dxa"/>
            <w:tcBorders>
              <w:top w:val="nil"/>
              <w:left w:val="nil"/>
              <w:bottom w:val="single" w:sz="4" w:space="0" w:color="auto"/>
              <w:right w:val="single" w:sz="4" w:space="0" w:color="auto"/>
            </w:tcBorders>
            <w:shd w:val="clear" w:color="auto" w:fill="auto"/>
            <w:noWrap/>
            <w:vAlign w:val="bottom"/>
            <w:hideMark/>
          </w:tcPr>
          <w:p w14:paraId="2210CD2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433</w:t>
            </w:r>
          </w:p>
        </w:tc>
        <w:tc>
          <w:tcPr>
            <w:tcW w:w="1097" w:type="dxa"/>
            <w:tcBorders>
              <w:top w:val="nil"/>
              <w:left w:val="nil"/>
              <w:bottom w:val="single" w:sz="4" w:space="0" w:color="auto"/>
              <w:right w:val="single" w:sz="4" w:space="0" w:color="auto"/>
            </w:tcBorders>
            <w:shd w:val="clear" w:color="auto" w:fill="auto"/>
            <w:noWrap/>
            <w:vAlign w:val="bottom"/>
            <w:hideMark/>
          </w:tcPr>
          <w:p w14:paraId="799B98C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1 153 302</w:t>
            </w:r>
          </w:p>
        </w:tc>
        <w:tc>
          <w:tcPr>
            <w:tcW w:w="1180" w:type="dxa"/>
            <w:tcBorders>
              <w:top w:val="nil"/>
              <w:left w:val="nil"/>
              <w:bottom w:val="single" w:sz="4" w:space="0" w:color="auto"/>
              <w:right w:val="nil"/>
            </w:tcBorders>
            <w:shd w:val="clear" w:color="auto" w:fill="auto"/>
            <w:noWrap/>
            <w:vAlign w:val="bottom"/>
            <w:hideMark/>
          </w:tcPr>
          <w:p w14:paraId="6140DFE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237,45</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0DBC558"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433</w:t>
            </w:r>
          </w:p>
        </w:tc>
        <w:tc>
          <w:tcPr>
            <w:tcW w:w="1113" w:type="dxa"/>
            <w:tcBorders>
              <w:top w:val="nil"/>
              <w:left w:val="nil"/>
              <w:bottom w:val="single" w:sz="4" w:space="0" w:color="auto"/>
              <w:right w:val="single" w:sz="4" w:space="0" w:color="auto"/>
            </w:tcBorders>
            <w:shd w:val="clear" w:color="auto" w:fill="auto"/>
            <w:noWrap/>
            <w:vAlign w:val="bottom"/>
            <w:hideMark/>
          </w:tcPr>
          <w:p w14:paraId="5A2E7B9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1 233 790</w:t>
            </w:r>
          </w:p>
        </w:tc>
        <w:tc>
          <w:tcPr>
            <w:tcW w:w="1084" w:type="dxa"/>
            <w:tcBorders>
              <w:top w:val="nil"/>
              <w:left w:val="nil"/>
              <w:bottom w:val="single" w:sz="4" w:space="0" w:color="auto"/>
              <w:right w:val="nil"/>
            </w:tcBorders>
            <w:shd w:val="clear" w:color="auto" w:fill="auto"/>
            <w:noWrap/>
            <w:vAlign w:val="bottom"/>
            <w:hideMark/>
          </w:tcPr>
          <w:p w14:paraId="44471EC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254,10</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77756FF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433</w:t>
            </w:r>
          </w:p>
        </w:tc>
        <w:tc>
          <w:tcPr>
            <w:tcW w:w="972" w:type="dxa"/>
            <w:tcBorders>
              <w:top w:val="nil"/>
              <w:left w:val="nil"/>
              <w:bottom w:val="single" w:sz="4" w:space="0" w:color="auto"/>
              <w:right w:val="single" w:sz="4" w:space="0" w:color="auto"/>
            </w:tcBorders>
            <w:shd w:val="clear" w:color="auto" w:fill="auto"/>
            <w:noWrap/>
            <w:vAlign w:val="bottom"/>
            <w:hideMark/>
          </w:tcPr>
          <w:p w14:paraId="6F56551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1 320 309</w:t>
            </w:r>
          </w:p>
        </w:tc>
      </w:tr>
      <w:tr w:rsidR="00890A0D" w:rsidRPr="004D7DC6" w14:paraId="733EFC16" w14:textId="77777777" w:rsidTr="00C404D5">
        <w:trPr>
          <w:trHeight w:val="525"/>
        </w:trPr>
        <w:tc>
          <w:tcPr>
            <w:tcW w:w="4213" w:type="dxa"/>
            <w:tcBorders>
              <w:top w:val="nil"/>
              <w:left w:val="single" w:sz="4" w:space="0" w:color="auto"/>
              <w:bottom w:val="single" w:sz="4" w:space="0" w:color="auto"/>
              <w:right w:val="single" w:sz="4" w:space="0" w:color="auto"/>
            </w:tcBorders>
            <w:shd w:val="clear" w:color="auto" w:fill="auto"/>
            <w:vAlign w:val="bottom"/>
            <w:hideMark/>
          </w:tcPr>
          <w:p w14:paraId="6D532E99" w14:textId="77777777" w:rsidR="004D7DC6" w:rsidRPr="004D7DC6" w:rsidRDefault="004D7DC6" w:rsidP="004D7DC6">
            <w:pP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Pabalsts personai ar invaliditāti, kurai nepieciešama īpaša kopšana</w:t>
            </w:r>
          </w:p>
        </w:tc>
        <w:tc>
          <w:tcPr>
            <w:tcW w:w="1002" w:type="dxa"/>
            <w:tcBorders>
              <w:top w:val="nil"/>
              <w:left w:val="nil"/>
              <w:bottom w:val="single" w:sz="4" w:space="0" w:color="auto"/>
              <w:right w:val="single" w:sz="4" w:space="0" w:color="auto"/>
            </w:tcBorders>
            <w:shd w:val="clear" w:color="auto" w:fill="auto"/>
            <w:noWrap/>
            <w:vAlign w:val="bottom"/>
            <w:hideMark/>
          </w:tcPr>
          <w:p w14:paraId="2B2F9FD1"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240,33</w:t>
            </w:r>
          </w:p>
        </w:tc>
        <w:tc>
          <w:tcPr>
            <w:tcW w:w="1147" w:type="dxa"/>
            <w:tcBorders>
              <w:top w:val="nil"/>
              <w:left w:val="nil"/>
              <w:bottom w:val="single" w:sz="4" w:space="0" w:color="auto"/>
              <w:right w:val="single" w:sz="4" w:space="0" w:color="auto"/>
            </w:tcBorders>
            <w:shd w:val="clear" w:color="auto" w:fill="auto"/>
            <w:noWrap/>
            <w:vAlign w:val="bottom"/>
            <w:hideMark/>
          </w:tcPr>
          <w:p w14:paraId="5D12CEB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16 567</w:t>
            </w:r>
          </w:p>
        </w:tc>
        <w:tc>
          <w:tcPr>
            <w:tcW w:w="1097" w:type="dxa"/>
            <w:tcBorders>
              <w:top w:val="nil"/>
              <w:left w:val="nil"/>
              <w:bottom w:val="single" w:sz="4" w:space="0" w:color="auto"/>
              <w:right w:val="single" w:sz="4" w:space="0" w:color="auto"/>
            </w:tcBorders>
            <w:shd w:val="clear" w:color="auto" w:fill="auto"/>
            <w:noWrap/>
            <w:vAlign w:val="bottom"/>
            <w:hideMark/>
          </w:tcPr>
          <w:p w14:paraId="35905E3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47 778 114</w:t>
            </w:r>
          </w:p>
        </w:tc>
        <w:tc>
          <w:tcPr>
            <w:tcW w:w="1180" w:type="dxa"/>
            <w:tcBorders>
              <w:top w:val="nil"/>
              <w:left w:val="nil"/>
              <w:bottom w:val="single" w:sz="4" w:space="0" w:color="auto"/>
              <w:right w:val="single" w:sz="4" w:space="0" w:color="auto"/>
            </w:tcBorders>
            <w:shd w:val="clear" w:color="auto" w:fill="auto"/>
            <w:noWrap/>
            <w:vAlign w:val="bottom"/>
            <w:hideMark/>
          </w:tcPr>
          <w:p w14:paraId="7E7BAF8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240,33</w:t>
            </w:r>
          </w:p>
        </w:tc>
        <w:tc>
          <w:tcPr>
            <w:tcW w:w="1135" w:type="dxa"/>
            <w:tcBorders>
              <w:top w:val="nil"/>
              <w:left w:val="nil"/>
              <w:bottom w:val="single" w:sz="4" w:space="0" w:color="auto"/>
              <w:right w:val="single" w:sz="4" w:space="0" w:color="auto"/>
            </w:tcBorders>
            <w:shd w:val="clear" w:color="auto" w:fill="auto"/>
            <w:noWrap/>
            <w:vAlign w:val="bottom"/>
            <w:hideMark/>
          </w:tcPr>
          <w:p w14:paraId="6A0AEEA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16 567</w:t>
            </w:r>
          </w:p>
        </w:tc>
        <w:tc>
          <w:tcPr>
            <w:tcW w:w="1113" w:type="dxa"/>
            <w:tcBorders>
              <w:top w:val="nil"/>
              <w:left w:val="nil"/>
              <w:bottom w:val="single" w:sz="4" w:space="0" w:color="auto"/>
              <w:right w:val="single" w:sz="4" w:space="0" w:color="auto"/>
            </w:tcBorders>
            <w:shd w:val="clear" w:color="auto" w:fill="auto"/>
            <w:noWrap/>
            <w:vAlign w:val="bottom"/>
            <w:hideMark/>
          </w:tcPr>
          <w:p w14:paraId="407206C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47 778 114</w:t>
            </w:r>
          </w:p>
        </w:tc>
        <w:tc>
          <w:tcPr>
            <w:tcW w:w="1084" w:type="dxa"/>
            <w:tcBorders>
              <w:top w:val="nil"/>
              <w:left w:val="nil"/>
              <w:bottom w:val="single" w:sz="4" w:space="0" w:color="auto"/>
              <w:right w:val="single" w:sz="4" w:space="0" w:color="auto"/>
            </w:tcBorders>
            <w:shd w:val="clear" w:color="auto" w:fill="auto"/>
            <w:noWrap/>
            <w:vAlign w:val="bottom"/>
            <w:hideMark/>
          </w:tcPr>
          <w:p w14:paraId="717B148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240,33</w:t>
            </w:r>
          </w:p>
        </w:tc>
        <w:tc>
          <w:tcPr>
            <w:tcW w:w="1050" w:type="dxa"/>
            <w:tcBorders>
              <w:top w:val="nil"/>
              <w:left w:val="nil"/>
              <w:bottom w:val="single" w:sz="4" w:space="0" w:color="auto"/>
              <w:right w:val="single" w:sz="4" w:space="0" w:color="auto"/>
            </w:tcBorders>
            <w:shd w:val="clear" w:color="auto" w:fill="auto"/>
            <w:noWrap/>
            <w:vAlign w:val="bottom"/>
            <w:hideMark/>
          </w:tcPr>
          <w:p w14:paraId="19CE5748"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16 567</w:t>
            </w:r>
          </w:p>
        </w:tc>
        <w:tc>
          <w:tcPr>
            <w:tcW w:w="972" w:type="dxa"/>
            <w:tcBorders>
              <w:top w:val="nil"/>
              <w:left w:val="nil"/>
              <w:bottom w:val="single" w:sz="4" w:space="0" w:color="auto"/>
              <w:right w:val="single" w:sz="4" w:space="0" w:color="auto"/>
            </w:tcBorders>
            <w:shd w:val="clear" w:color="auto" w:fill="auto"/>
            <w:noWrap/>
            <w:vAlign w:val="bottom"/>
            <w:hideMark/>
          </w:tcPr>
          <w:p w14:paraId="1BF7247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47 778 114</w:t>
            </w:r>
          </w:p>
        </w:tc>
      </w:tr>
      <w:tr w:rsidR="00890A0D" w:rsidRPr="004D7DC6" w14:paraId="1AAF417F" w14:textId="77777777" w:rsidTr="00C404D5">
        <w:trPr>
          <w:trHeight w:val="525"/>
        </w:trPr>
        <w:tc>
          <w:tcPr>
            <w:tcW w:w="4213" w:type="dxa"/>
            <w:tcBorders>
              <w:top w:val="nil"/>
              <w:left w:val="single" w:sz="4" w:space="0" w:color="auto"/>
              <w:bottom w:val="single" w:sz="4" w:space="0" w:color="auto"/>
              <w:right w:val="single" w:sz="4" w:space="0" w:color="auto"/>
            </w:tcBorders>
            <w:shd w:val="clear" w:color="000000" w:fill="FFFFFF"/>
            <w:vAlign w:val="bottom"/>
            <w:hideMark/>
          </w:tcPr>
          <w:p w14:paraId="5259D8CB" w14:textId="77777777" w:rsidR="004D7DC6" w:rsidRPr="004D7DC6" w:rsidRDefault="004D7DC6" w:rsidP="004D7DC6">
            <w:pP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Apbedīšanas pabalsts, ja miris valsts sociālā nodrošinājuma pabalsta saņēmējs</w:t>
            </w:r>
          </w:p>
        </w:tc>
        <w:tc>
          <w:tcPr>
            <w:tcW w:w="1002" w:type="dxa"/>
            <w:tcBorders>
              <w:top w:val="nil"/>
              <w:left w:val="nil"/>
              <w:bottom w:val="single" w:sz="4" w:space="0" w:color="auto"/>
              <w:right w:val="nil"/>
            </w:tcBorders>
            <w:shd w:val="clear" w:color="auto" w:fill="auto"/>
            <w:noWrap/>
            <w:vAlign w:val="bottom"/>
            <w:hideMark/>
          </w:tcPr>
          <w:p w14:paraId="5BDEC6E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307,31</w:t>
            </w:r>
          </w:p>
        </w:tc>
        <w:tc>
          <w:tcPr>
            <w:tcW w:w="1147" w:type="dxa"/>
            <w:tcBorders>
              <w:top w:val="nil"/>
              <w:left w:val="single" w:sz="4" w:space="0" w:color="auto"/>
              <w:bottom w:val="single" w:sz="4" w:space="0" w:color="auto"/>
              <w:right w:val="nil"/>
            </w:tcBorders>
            <w:shd w:val="clear" w:color="auto" w:fill="auto"/>
            <w:noWrap/>
            <w:vAlign w:val="bottom"/>
            <w:hideMark/>
          </w:tcPr>
          <w:p w14:paraId="0C80652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42</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4B4701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154 882</w:t>
            </w:r>
          </w:p>
        </w:tc>
        <w:tc>
          <w:tcPr>
            <w:tcW w:w="1180" w:type="dxa"/>
            <w:tcBorders>
              <w:top w:val="nil"/>
              <w:left w:val="nil"/>
              <w:bottom w:val="single" w:sz="4" w:space="0" w:color="auto"/>
              <w:right w:val="nil"/>
            </w:tcBorders>
            <w:shd w:val="clear" w:color="auto" w:fill="auto"/>
            <w:noWrap/>
            <w:vAlign w:val="bottom"/>
            <w:hideMark/>
          </w:tcPr>
          <w:p w14:paraId="093CF8A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307,07</w:t>
            </w:r>
          </w:p>
        </w:tc>
        <w:tc>
          <w:tcPr>
            <w:tcW w:w="1135" w:type="dxa"/>
            <w:tcBorders>
              <w:top w:val="nil"/>
              <w:left w:val="single" w:sz="4" w:space="0" w:color="auto"/>
              <w:bottom w:val="single" w:sz="4" w:space="0" w:color="auto"/>
              <w:right w:val="nil"/>
            </w:tcBorders>
            <w:shd w:val="clear" w:color="auto" w:fill="auto"/>
            <w:noWrap/>
            <w:vAlign w:val="bottom"/>
            <w:hideMark/>
          </w:tcPr>
          <w:p w14:paraId="031CC1E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43</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0148094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158 450</w:t>
            </w:r>
          </w:p>
        </w:tc>
        <w:tc>
          <w:tcPr>
            <w:tcW w:w="1084" w:type="dxa"/>
            <w:tcBorders>
              <w:top w:val="nil"/>
              <w:left w:val="nil"/>
              <w:bottom w:val="single" w:sz="4" w:space="0" w:color="auto"/>
              <w:right w:val="nil"/>
            </w:tcBorders>
            <w:shd w:val="clear" w:color="auto" w:fill="auto"/>
            <w:noWrap/>
            <w:vAlign w:val="bottom"/>
            <w:hideMark/>
          </w:tcPr>
          <w:p w14:paraId="43987F0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306,85</w:t>
            </w:r>
          </w:p>
        </w:tc>
        <w:tc>
          <w:tcPr>
            <w:tcW w:w="1050" w:type="dxa"/>
            <w:tcBorders>
              <w:top w:val="nil"/>
              <w:left w:val="single" w:sz="4" w:space="0" w:color="auto"/>
              <w:bottom w:val="single" w:sz="4" w:space="0" w:color="auto"/>
              <w:right w:val="nil"/>
            </w:tcBorders>
            <w:shd w:val="clear" w:color="auto" w:fill="auto"/>
            <w:noWrap/>
            <w:vAlign w:val="bottom"/>
            <w:hideMark/>
          </w:tcPr>
          <w:p w14:paraId="4C4EDE2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44</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08AE1D8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162 019</w:t>
            </w:r>
          </w:p>
        </w:tc>
      </w:tr>
      <w:tr w:rsidR="00890A0D" w:rsidRPr="004D7DC6" w14:paraId="1682F02F" w14:textId="77777777" w:rsidTr="00C404D5">
        <w:trPr>
          <w:trHeight w:val="525"/>
        </w:trPr>
        <w:tc>
          <w:tcPr>
            <w:tcW w:w="4213" w:type="dxa"/>
            <w:tcBorders>
              <w:top w:val="nil"/>
              <w:left w:val="single" w:sz="4" w:space="0" w:color="auto"/>
              <w:bottom w:val="nil"/>
              <w:right w:val="nil"/>
            </w:tcBorders>
            <w:shd w:val="clear" w:color="000000" w:fill="FFFFFF"/>
            <w:vAlign w:val="bottom"/>
            <w:hideMark/>
          </w:tcPr>
          <w:p w14:paraId="5070783B" w14:textId="77777777" w:rsidR="004D7DC6" w:rsidRPr="004D7DC6" w:rsidRDefault="004D7DC6" w:rsidP="004D7DC6">
            <w:pP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Pabalsts par asistenta izmantošanu personām ar I grupas redzes invaliditāti</w:t>
            </w:r>
          </w:p>
        </w:tc>
        <w:tc>
          <w:tcPr>
            <w:tcW w:w="1002" w:type="dxa"/>
            <w:tcBorders>
              <w:top w:val="nil"/>
              <w:left w:val="single" w:sz="4" w:space="0" w:color="auto"/>
              <w:bottom w:val="single" w:sz="4" w:space="0" w:color="auto"/>
              <w:right w:val="nil"/>
            </w:tcBorders>
            <w:shd w:val="clear" w:color="auto" w:fill="auto"/>
            <w:noWrap/>
            <w:vAlign w:val="bottom"/>
            <w:hideMark/>
          </w:tcPr>
          <w:p w14:paraId="05C15A23"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73,37</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5AB970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2 247</w:t>
            </w:r>
          </w:p>
        </w:tc>
        <w:tc>
          <w:tcPr>
            <w:tcW w:w="1097" w:type="dxa"/>
            <w:tcBorders>
              <w:top w:val="nil"/>
              <w:left w:val="nil"/>
              <w:bottom w:val="single" w:sz="4" w:space="0" w:color="auto"/>
              <w:right w:val="single" w:sz="4" w:space="0" w:color="auto"/>
            </w:tcBorders>
            <w:shd w:val="clear" w:color="auto" w:fill="auto"/>
            <w:noWrap/>
            <w:vAlign w:val="bottom"/>
            <w:hideMark/>
          </w:tcPr>
          <w:p w14:paraId="02CCD43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1 978 349</w:t>
            </w:r>
          </w:p>
        </w:tc>
        <w:tc>
          <w:tcPr>
            <w:tcW w:w="1180" w:type="dxa"/>
            <w:tcBorders>
              <w:top w:val="nil"/>
              <w:left w:val="nil"/>
              <w:bottom w:val="single" w:sz="4" w:space="0" w:color="auto"/>
              <w:right w:val="nil"/>
            </w:tcBorders>
            <w:shd w:val="clear" w:color="auto" w:fill="auto"/>
            <w:noWrap/>
            <w:vAlign w:val="bottom"/>
            <w:hideMark/>
          </w:tcPr>
          <w:p w14:paraId="06F6D798"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73,37</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6B994D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2 278</w:t>
            </w:r>
          </w:p>
        </w:tc>
        <w:tc>
          <w:tcPr>
            <w:tcW w:w="1113" w:type="dxa"/>
            <w:tcBorders>
              <w:top w:val="nil"/>
              <w:left w:val="nil"/>
              <w:bottom w:val="single" w:sz="4" w:space="0" w:color="auto"/>
              <w:right w:val="single" w:sz="4" w:space="0" w:color="auto"/>
            </w:tcBorders>
            <w:shd w:val="clear" w:color="auto" w:fill="auto"/>
            <w:noWrap/>
            <w:vAlign w:val="bottom"/>
            <w:hideMark/>
          </w:tcPr>
          <w:p w14:paraId="589117C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2 005 642</w:t>
            </w:r>
          </w:p>
        </w:tc>
        <w:tc>
          <w:tcPr>
            <w:tcW w:w="1084" w:type="dxa"/>
            <w:tcBorders>
              <w:top w:val="nil"/>
              <w:left w:val="nil"/>
              <w:bottom w:val="single" w:sz="4" w:space="0" w:color="auto"/>
              <w:right w:val="nil"/>
            </w:tcBorders>
            <w:shd w:val="clear" w:color="auto" w:fill="auto"/>
            <w:noWrap/>
            <w:vAlign w:val="bottom"/>
            <w:hideMark/>
          </w:tcPr>
          <w:p w14:paraId="51490F1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73,37</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7AD5E11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2 309</w:t>
            </w:r>
          </w:p>
        </w:tc>
        <w:tc>
          <w:tcPr>
            <w:tcW w:w="972" w:type="dxa"/>
            <w:tcBorders>
              <w:top w:val="nil"/>
              <w:left w:val="nil"/>
              <w:bottom w:val="single" w:sz="4" w:space="0" w:color="auto"/>
              <w:right w:val="single" w:sz="4" w:space="0" w:color="auto"/>
            </w:tcBorders>
            <w:shd w:val="clear" w:color="auto" w:fill="auto"/>
            <w:noWrap/>
            <w:vAlign w:val="bottom"/>
            <w:hideMark/>
          </w:tcPr>
          <w:p w14:paraId="7A291E7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2 032 936</w:t>
            </w:r>
          </w:p>
        </w:tc>
      </w:tr>
      <w:tr w:rsidR="00890A0D" w:rsidRPr="004D7DC6" w14:paraId="5E432FC1" w14:textId="77777777" w:rsidTr="00C404D5">
        <w:trPr>
          <w:trHeight w:val="345"/>
        </w:trPr>
        <w:tc>
          <w:tcPr>
            <w:tcW w:w="421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8450807" w14:textId="77777777" w:rsidR="004D7DC6" w:rsidRPr="004D7DC6" w:rsidRDefault="004D7DC6" w:rsidP="004D7DC6">
            <w:pP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Valsts sociālie pabalsti ģimenēm ar bērniem - kopā</w:t>
            </w:r>
          </w:p>
        </w:tc>
        <w:tc>
          <w:tcPr>
            <w:tcW w:w="1002" w:type="dxa"/>
            <w:tcBorders>
              <w:top w:val="nil"/>
              <w:left w:val="nil"/>
              <w:bottom w:val="single" w:sz="4" w:space="0" w:color="auto"/>
              <w:right w:val="single" w:sz="4" w:space="0" w:color="auto"/>
            </w:tcBorders>
            <w:shd w:val="clear" w:color="auto" w:fill="auto"/>
            <w:noWrap/>
            <w:vAlign w:val="center"/>
            <w:hideMark/>
          </w:tcPr>
          <w:p w14:paraId="4B51BCEC"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1147" w:type="dxa"/>
            <w:tcBorders>
              <w:top w:val="nil"/>
              <w:left w:val="nil"/>
              <w:bottom w:val="single" w:sz="4" w:space="0" w:color="auto"/>
              <w:right w:val="single" w:sz="4" w:space="0" w:color="auto"/>
            </w:tcBorders>
            <w:shd w:val="clear" w:color="auto" w:fill="auto"/>
            <w:noWrap/>
            <w:vAlign w:val="center"/>
            <w:hideMark/>
          </w:tcPr>
          <w:p w14:paraId="19C99569"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1097" w:type="dxa"/>
            <w:tcBorders>
              <w:top w:val="nil"/>
              <w:left w:val="nil"/>
              <w:bottom w:val="single" w:sz="4" w:space="0" w:color="auto"/>
              <w:right w:val="single" w:sz="4" w:space="0" w:color="auto"/>
            </w:tcBorders>
            <w:shd w:val="clear" w:color="auto" w:fill="auto"/>
            <w:noWrap/>
            <w:vAlign w:val="bottom"/>
            <w:hideMark/>
          </w:tcPr>
          <w:p w14:paraId="6575914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201 708 320</w:t>
            </w:r>
          </w:p>
        </w:tc>
        <w:tc>
          <w:tcPr>
            <w:tcW w:w="1180" w:type="dxa"/>
            <w:tcBorders>
              <w:top w:val="nil"/>
              <w:left w:val="nil"/>
              <w:bottom w:val="single" w:sz="4" w:space="0" w:color="auto"/>
              <w:right w:val="single" w:sz="4" w:space="0" w:color="auto"/>
            </w:tcBorders>
            <w:shd w:val="clear" w:color="auto" w:fill="auto"/>
            <w:noWrap/>
            <w:vAlign w:val="center"/>
            <w:hideMark/>
          </w:tcPr>
          <w:p w14:paraId="6A53D444"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1135" w:type="dxa"/>
            <w:tcBorders>
              <w:top w:val="nil"/>
              <w:left w:val="nil"/>
              <w:bottom w:val="single" w:sz="4" w:space="0" w:color="auto"/>
              <w:right w:val="single" w:sz="4" w:space="0" w:color="auto"/>
            </w:tcBorders>
            <w:shd w:val="clear" w:color="auto" w:fill="auto"/>
            <w:noWrap/>
            <w:vAlign w:val="center"/>
            <w:hideMark/>
          </w:tcPr>
          <w:p w14:paraId="2D0335BB"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1113" w:type="dxa"/>
            <w:tcBorders>
              <w:top w:val="nil"/>
              <w:left w:val="nil"/>
              <w:bottom w:val="single" w:sz="4" w:space="0" w:color="auto"/>
              <w:right w:val="single" w:sz="4" w:space="0" w:color="auto"/>
            </w:tcBorders>
            <w:shd w:val="clear" w:color="auto" w:fill="auto"/>
            <w:noWrap/>
            <w:vAlign w:val="bottom"/>
            <w:hideMark/>
          </w:tcPr>
          <w:p w14:paraId="6F31188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202 182 871</w:t>
            </w:r>
          </w:p>
        </w:tc>
        <w:tc>
          <w:tcPr>
            <w:tcW w:w="1084" w:type="dxa"/>
            <w:tcBorders>
              <w:top w:val="nil"/>
              <w:left w:val="nil"/>
              <w:bottom w:val="single" w:sz="4" w:space="0" w:color="auto"/>
              <w:right w:val="single" w:sz="4" w:space="0" w:color="auto"/>
            </w:tcBorders>
            <w:shd w:val="clear" w:color="auto" w:fill="auto"/>
            <w:noWrap/>
            <w:vAlign w:val="center"/>
            <w:hideMark/>
          </w:tcPr>
          <w:p w14:paraId="4986EBD4"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1050" w:type="dxa"/>
            <w:tcBorders>
              <w:top w:val="nil"/>
              <w:left w:val="nil"/>
              <w:bottom w:val="single" w:sz="4" w:space="0" w:color="auto"/>
              <w:right w:val="single" w:sz="4" w:space="0" w:color="auto"/>
            </w:tcBorders>
            <w:shd w:val="clear" w:color="auto" w:fill="auto"/>
            <w:noWrap/>
            <w:vAlign w:val="center"/>
            <w:hideMark/>
          </w:tcPr>
          <w:p w14:paraId="5811F65C"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972" w:type="dxa"/>
            <w:tcBorders>
              <w:top w:val="nil"/>
              <w:left w:val="nil"/>
              <w:bottom w:val="single" w:sz="4" w:space="0" w:color="auto"/>
              <w:right w:val="single" w:sz="4" w:space="0" w:color="auto"/>
            </w:tcBorders>
            <w:shd w:val="clear" w:color="auto" w:fill="auto"/>
            <w:noWrap/>
            <w:vAlign w:val="bottom"/>
            <w:hideMark/>
          </w:tcPr>
          <w:p w14:paraId="4425192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202 591 262</w:t>
            </w:r>
          </w:p>
        </w:tc>
      </w:tr>
      <w:tr w:rsidR="00890A0D" w:rsidRPr="004D7DC6" w14:paraId="2FE6EE56" w14:textId="77777777" w:rsidTr="00C404D5">
        <w:trPr>
          <w:trHeight w:val="300"/>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528BF49A" w14:textId="77777777" w:rsidR="004D7DC6" w:rsidRPr="004D7DC6" w:rsidRDefault="004D7DC6" w:rsidP="004D7DC6">
            <w:pPr>
              <w:jc w:val="center"/>
              <w:rPr>
                <w:rFonts w:ascii="Times New Roman" w:eastAsia="Times New Roman" w:hAnsi="Times New Roman" w:cs="Times New Roman"/>
                <w:i/>
                <w:iCs/>
                <w:sz w:val="20"/>
                <w:szCs w:val="20"/>
              </w:rPr>
            </w:pPr>
            <w:r w:rsidRPr="004D7DC6">
              <w:rPr>
                <w:rFonts w:ascii="Times New Roman" w:eastAsia="Times New Roman" w:hAnsi="Times New Roman" w:cs="Times New Roman"/>
                <w:i/>
                <w:iCs/>
                <w:sz w:val="20"/>
                <w:szCs w:val="20"/>
              </w:rPr>
              <w:t>tajā skaitā:</w:t>
            </w:r>
          </w:p>
        </w:tc>
        <w:tc>
          <w:tcPr>
            <w:tcW w:w="1002" w:type="dxa"/>
            <w:tcBorders>
              <w:top w:val="nil"/>
              <w:left w:val="nil"/>
              <w:bottom w:val="single" w:sz="4" w:space="0" w:color="auto"/>
              <w:right w:val="single" w:sz="4" w:space="0" w:color="auto"/>
            </w:tcBorders>
            <w:shd w:val="clear" w:color="auto" w:fill="auto"/>
            <w:noWrap/>
            <w:vAlign w:val="bottom"/>
            <w:hideMark/>
          </w:tcPr>
          <w:p w14:paraId="5E338A9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c>
          <w:tcPr>
            <w:tcW w:w="1147" w:type="dxa"/>
            <w:tcBorders>
              <w:top w:val="nil"/>
              <w:left w:val="nil"/>
              <w:bottom w:val="single" w:sz="4" w:space="0" w:color="auto"/>
              <w:right w:val="single" w:sz="4" w:space="0" w:color="auto"/>
            </w:tcBorders>
            <w:shd w:val="clear" w:color="auto" w:fill="auto"/>
            <w:noWrap/>
            <w:vAlign w:val="bottom"/>
            <w:hideMark/>
          </w:tcPr>
          <w:p w14:paraId="7A58AA1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c>
          <w:tcPr>
            <w:tcW w:w="1097" w:type="dxa"/>
            <w:tcBorders>
              <w:top w:val="nil"/>
              <w:left w:val="nil"/>
              <w:bottom w:val="single" w:sz="4" w:space="0" w:color="auto"/>
              <w:right w:val="single" w:sz="4" w:space="0" w:color="auto"/>
            </w:tcBorders>
            <w:shd w:val="clear" w:color="auto" w:fill="auto"/>
            <w:noWrap/>
            <w:vAlign w:val="bottom"/>
            <w:hideMark/>
          </w:tcPr>
          <w:p w14:paraId="3682B33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F21092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c>
          <w:tcPr>
            <w:tcW w:w="1135" w:type="dxa"/>
            <w:tcBorders>
              <w:top w:val="nil"/>
              <w:left w:val="nil"/>
              <w:bottom w:val="single" w:sz="4" w:space="0" w:color="auto"/>
              <w:right w:val="single" w:sz="4" w:space="0" w:color="auto"/>
            </w:tcBorders>
            <w:shd w:val="clear" w:color="auto" w:fill="auto"/>
            <w:noWrap/>
            <w:vAlign w:val="bottom"/>
            <w:hideMark/>
          </w:tcPr>
          <w:p w14:paraId="41684F3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14:paraId="59B4DAF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c>
          <w:tcPr>
            <w:tcW w:w="1084" w:type="dxa"/>
            <w:tcBorders>
              <w:top w:val="nil"/>
              <w:left w:val="nil"/>
              <w:bottom w:val="single" w:sz="4" w:space="0" w:color="auto"/>
              <w:right w:val="single" w:sz="4" w:space="0" w:color="auto"/>
            </w:tcBorders>
            <w:shd w:val="clear" w:color="auto" w:fill="auto"/>
            <w:noWrap/>
            <w:vAlign w:val="bottom"/>
            <w:hideMark/>
          </w:tcPr>
          <w:p w14:paraId="0A40D641"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c>
          <w:tcPr>
            <w:tcW w:w="1050" w:type="dxa"/>
            <w:tcBorders>
              <w:top w:val="nil"/>
              <w:left w:val="nil"/>
              <w:bottom w:val="single" w:sz="4" w:space="0" w:color="auto"/>
              <w:right w:val="single" w:sz="4" w:space="0" w:color="auto"/>
            </w:tcBorders>
            <w:shd w:val="clear" w:color="auto" w:fill="auto"/>
            <w:noWrap/>
            <w:vAlign w:val="bottom"/>
            <w:hideMark/>
          </w:tcPr>
          <w:p w14:paraId="746828A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c>
          <w:tcPr>
            <w:tcW w:w="972" w:type="dxa"/>
            <w:tcBorders>
              <w:top w:val="nil"/>
              <w:left w:val="nil"/>
              <w:bottom w:val="single" w:sz="4" w:space="0" w:color="auto"/>
              <w:right w:val="single" w:sz="4" w:space="0" w:color="auto"/>
            </w:tcBorders>
            <w:shd w:val="clear" w:color="auto" w:fill="auto"/>
            <w:noWrap/>
            <w:vAlign w:val="bottom"/>
            <w:hideMark/>
          </w:tcPr>
          <w:p w14:paraId="5AEC222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w:t>
            </w:r>
          </w:p>
        </w:tc>
      </w:tr>
      <w:tr w:rsidR="00890A0D" w:rsidRPr="004D7DC6" w14:paraId="1FAACC01" w14:textId="77777777" w:rsidTr="00C404D5">
        <w:trPr>
          <w:trHeight w:val="330"/>
        </w:trPr>
        <w:tc>
          <w:tcPr>
            <w:tcW w:w="4213" w:type="dxa"/>
            <w:tcBorders>
              <w:top w:val="nil"/>
              <w:left w:val="single" w:sz="4" w:space="0" w:color="auto"/>
              <w:bottom w:val="single" w:sz="4" w:space="0" w:color="auto"/>
              <w:right w:val="single" w:sz="4" w:space="0" w:color="auto"/>
            </w:tcBorders>
            <w:shd w:val="clear" w:color="000000" w:fill="FFFFFF"/>
            <w:noWrap/>
            <w:vAlign w:val="bottom"/>
            <w:hideMark/>
          </w:tcPr>
          <w:p w14:paraId="49522D9C"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xml:space="preserve">   bērna piedzimšanas pabalsts</w:t>
            </w:r>
          </w:p>
        </w:tc>
        <w:tc>
          <w:tcPr>
            <w:tcW w:w="1002" w:type="dxa"/>
            <w:tcBorders>
              <w:top w:val="nil"/>
              <w:left w:val="nil"/>
              <w:bottom w:val="single" w:sz="4" w:space="0" w:color="auto"/>
              <w:right w:val="single" w:sz="4" w:space="0" w:color="auto"/>
            </w:tcBorders>
            <w:shd w:val="clear" w:color="auto" w:fill="auto"/>
            <w:noWrap/>
            <w:vAlign w:val="bottom"/>
            <w:hideMark/>
          </w:tcPr>
          <w:p w14:paraId="70ACA7B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421,20</w:t>
            </w:r>
          </w:p>
        </w:tc>
        <w:tc>
          <w:tcPr>
            <w:tcW w:w="1147" w:type="dxa"/>
            <w:tcBorders>
              <w:top w:val="nil"/>
              <w:left w:val="nil"/>
              <w:bottom w:val="single" w:sz="4" w:space="0" w:color="auto"/>
              <w:right w:val="nil"/>
            </w:tcBorders>
            <w:shd w:val="clear" w:color="auto" w:fill="auto"/>
            <w:noWrap/>
            <w:vAlign w:val="bottom"/>
            <w:hideMark/>
          </w:tcPr>
          <w:p w14:paraId="2AABF758"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1 517</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23CC43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7 667 525</w:t>
            </w:r>
          </w:p>
        </w:tc>
        <w:tc>
          <w:tcPr>
            <w:tcW w:w="1180" w:type="dxa"/>
            <w:tcBorders>
              <w:top w:val="nil"/>
              <w:left w:val="nil"/>
              <w:bottom w:val="single" w:sz="4" w:space="0" w:color="auto"/>
              <w:right w:val="single" w:sz="4" w:space="0" w:color="auto"/>
            </w:tcBorders>
            <w:shd w:val="clear" w:color="auto" w:fill="auto"/>
            <w:noWrap/>
            <w:vAlign w:val="bottom"/>
            <w:hideMark/>
          </w:tcPr>
          <w:p w14:paraId="10400BE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421,20</w:t>
            </w:r>
          </w:p>
        </w:tc>
        <w:tc>
          <w:tcPr>
            <w:tcW w:w="1135" w:type="dxa"/>
            <w:tcBorders>
              <w:top w:val="nil"/>
              <w:left w:val="nil"/>
              <w:bottom w:val="single" w:sz="4" w:space="0" w:color="auto"/>
              <w:right w:val="nil"/>
            </w:tcBorders>
            <w:shd w:val="clear" w:color="auto" w:fill="auto"/>
            <w:noWrap/>
            <w:vAlign w:val="bottom"/>
            <w:hideMark/>
          </w:tcPr>
          <w:p w14:paraId="04159748"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1 517</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4B594A0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7 667 525</w:t>
            </w:r>
          </w:p>
        </w:tc>
        <w:tc>
          <w:tcPr>
            <w:tcW w:w="1084" w:type="dxa"/>
            <w:tcBorders>
              <w:top w:val="nil"/>
              <w:left w:val="nil"/>
              <w:bottom w:val="single" w:sz="4" w:space="0" w:color="auto"/>
              <w:right w:val="single" w:sz="4" w:space="0" w:color="auto"/>
            </w:tcBorders>
            <w:shd w:val="clear" w:color="auto" w:fill="auto"/>
            <w:noWrap/>
            <w:vAlign w:val="bottom"/>
            <w:hideMark/>
          </w:tcPr>
          <w:p w14:paraId="3B7989B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421,20</w:t>
            </w:r>
          </w:p>
        </w:tc>
        <w:tc>
          <w:tcPr>
            <w:tcW w:w="1050" w:type="dxa"/>
            <w:tcBorders>
              <w:top w:val="nil"/>
              <w:left w:val="nil"/>
              <w:bottom w:val="single" w:sz="4" w:space="0" w:color="auto"/>
              <w:right w:val="nil"/>
            </w:tcBorders>
            <w:shd w:val="clear" w:color="auto" w:fill="auto"/>
            <w:noWrap/>
            <w:vAlign w:val="bottom"/>
            <w:hideMark/>
          </w:tcPr>
          <w:p w14:paraId="40A6156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1 517</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3E8F6F3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7 667 525</w:t>
            </w:r>
          </w:p>
        </w:tc>
      </w:tr>
      <w:tr w:rsidR="00890A0D" w:rsidRPr="004D7DC6" w14:paraId="542B0895" w14:textId="77777777" w:rsidTr="00C404D5">
        <w:trPr>
          <w:trHeight w:val="780"/>
        </w:trPr>
        <w:tc>
          <w:tcPr>
            <w:tcW w:w="4213" w:type="dxa"/>
            <w:tcBorders>
              <w:top w:val="nil"/>
              <w:left w:val="single" w:sz="4" w:space="0" w:color="auto"/>
              <w:bottom w:val="single" w:sz="4" w:space="0" w:color="auto"/>
              <w:right w:val="single" w:sz="4" w:space="0" w:color="auto"/>
            </w:tcBorders>
            <w:shd w:val="clear" w:color="000000" w:fill="FFFFFF"/>
            <w:vAlign w:val="bottom"/>
            <w:hideMark/>
          </w:tcPr>
          <w:p w14:paraId="76610439"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xml:space="preserve">  bērna kopšanas pabalsts un piemaksa pie bērna kopšanas pabalsta un vecāku pabalsta par dvīņiem vai vairākiem vienās dzemdībās dzimušiem bērniem</w:t>
            </w:r>
          </w:p>
        </w:tc>
        <w:tc>
          <w:tcPr>
            <w:tcW w:w="1002" w:type="dxa"/>
            <w:tcBorders>
              <w:top w:val="nil"/>
              <w:left w:val="nil"/>
              <w:bottom w:val="single" w:sz="4" w:space="0" w:color="auto"/>
              <w:right w:val="nil"/>
            </w:tcBorders>
            <w:shd w:val="clear" w:color="auto" w:fill="auto"/>
            <w:noWrap/>
            <w:vAlign w:val="bottom"/>
            <w:hideMark/>
          </w:tcPr>
          <w:p w14:paraId="02EBF1F3"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132,00</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30ADB8D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35 985</w:t>
            </w:r>
          </w:p>
        </w:tc>
        <w:tc>
          <w:tcPr>
            <w:tcW w:w="1097" w:type="dxa"/>
            <w:tcBorders>
              <w:top w:val="nil"/>
              <w:left w:val="nil"/>
              <w:bottom w:val="single" w:sz="4" w:space="0" w:color="auto"/>
              <w:right w:val="single" w:sz="4" w:space="0" w:color="auto"/>
            </w:tcBorders>
            <w:shd w:val="clear" w:color="auto" w:fill="auto"/>
            <w:noWrap/>
            <w:vAlign w:val="bottom"/>
            <w:hideMark/>
          </w:tcPr>
          <w:p w14:paraId="1398E77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57 000 834</w:t>
            </w:r>
          </w:p>
        </w:tc>
        <w:tc>
          <w:tcPr>
            <w:tcW w:w="1180" w:type="dxa"/>
            <w:tcBorders>
              <w:top w:val="nil"/>
              <w:left w:val="nil"/>
              <w:bottom w:val="single" w:sz="4" w:space="0" w:color="auto"/>
              <w:right w:val="nil"/>
            </w:tcBorders>
            <w:shd w:val="clear" w:color="auto" w:fill="auto"/>
            <w:noWrap/>
            <w:vAlign w:val="bottom"/>
            <w:hideMark/>
          </w:tcPr>
          <w:p w14:paraId="6BF4F5D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132,00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2F88B7C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35 787</w:t>
            </w:r>
          </w:p>
        </w:tc>
        <w:tc>
          <w:tcPr>
            <w:tcW w:w="1113" w:type="dxa"/>
            <w:tcBorders>
              <w:top w:val="nil"/>
              <w:left w:val="nil"/>
              <w:bottom w:val="single" w:sz="4" w:space="0" w:color="auto"/>
              <w:right w:val="single" w:sz="4" w:space="0" w:color="auto"/>
            </w:tcBorders>
            <w:shd w:val="clear" w:color="auto" w:fill="auto"/>
            <w:noWrap/>
            <w:vAlign w:val="bottom"/>
            <w:hideMark/>
          </w:tcPr>
          <w:p w14:paraId="2AFF832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56 686 608</w:t>
            </w:r>
          </w:p>
        </w:tc>
        <w:tc>
          <w:tcPr>
            <w:tcW w:w="1084" w:type="dxa"/>
            <w:tcBorders>
              <w:top w:val="nil"/>
              <w:left w:val="nil"/>
              <w:bottom w:val="single" w:sz="4" w:space="0" w:color="auto"/>
              <w:right w:val="nil"/>
            </w:tcBorders>
            <w:shd w:val="clear" w:color="auto" w:fill="auto"/>
            <w:noWrap/>
            <w:vAlign w:val="bottom"/>
            <w:hideMark/>
          </w:tcPr>
          <w:p w14:paraId="2756F63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132,00</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4E30524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35 787</w:t>
            </w:r>
          </w:p>
        </w:tc>
        <w:tc>
          <w:tcPr>
            <w:tcW w:w="972" w:type="dxa"/>
            <w:tcBorders>
              <w:top w:val="nil"/>
              <w:left w:val="nil"/>
              <w:bottom w:val="single" w:sz="4" w:space="0" w:color="auto"/>
              <w:right w:val="single" w:sz="4" w:space="0" w:color="auto"/>
            </w:tcBorders>
            <w:shd w:val="clear" w:color="auto" w:fill="auto"/>
            <w:noWrap/>
            <w:vAlign w:val="bottom"/>
            <w:hideMark/>
          </w:tcPr>
          <w:p w14:paraId="2ED24843"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56 686 608</w:t>
            </w:r>
          </w:p>
        </w:tc>
      </w:tr>
      <w:tr w:rsidR="00890A0D" w:rsidRPr="004D7DC6" w14:paraId="272B5031" w14:textId="77777777" w:rsidTr="00C404D5">
        <w:trPr>
          <w:trHeight w:val="300"/>
        </w:trPr>
        <w:tc>
          <w:tcPr>
            <w:tcW w:w="4213" w:type="dxa"/>
            <w:tcBorders>
              <w:top w:val="nil"/>
              <w:left w:val="single" w:sz="4" w:space="0" w:color="auto"/>
              <w:bottom w:val="single" w:sz="4" w:space="0" w:color="auto"/>
              <w:right w:val="single" w:sz="4" w:space="0" w:color="auto"/>
            </w:tcBorders>
            <w:shd w:val="clear" w:color="000000" w:fill="FFFFFF"/>
            <w:noWrap/>
            <w:vAlign w:val="bottom"/>
            <w:hideMark/>
          </w:tcPr>
          <w:p w14:paraId="11F51898"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xml:space="preserve">   bērna ar invaliditāti kopšanas pabalsts</w:t>
            </w:r>
          </w:p>
        </w:tc>
        <w:tc>
          <w:tcPr>
            <w:tcW w:w="1002" w:type="dxa"/>
            <w:tcBorders>
              <w:top w:val="nil"/>
              <w:left w:val="nil"/>
              <w:bottom w:val="single" w:sz="4" w:space="0" w:color="auto"/>
              <w:right w:val="nil"/>
            </w:tcBorders>
            <w:shd w:val="clear" w:color="auto" w:fill="auto"/>
            <w:noWrap/>
            <w:vAlign w:val="bottom"/>
            <w:hideMark/>
          </w:tcPr>
          <w:p w14:paraId="02BD383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318,62</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30235EC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2 575</w:t>
            </w:r>
          </w:p>
        </w:tc>
        <w:tc>
          <w:tcPr>
            <w:tcW w:w="1097" w:type="dxa"/>
            <w:tcBorders>
              <w:top w:val="nil"/>
              <w:left w:val="nil"/>
              <w:bottom w:val="single" w:sz="4" w:space="0" w:color="auto"/>
              <w:right w:val="single" w:sz="4" w:space="0" w:color="auto"/>
            </w:tcBorders>
            <w:shd w:val="clear" w:color="auto" w:fill="auto"/>
            <w:noWrap/>
            <w:vAlign w:val="bottom"/>
            <w:hideMark/>
          </w:tcPr>
          <w:p w14:paraId="57F7608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9 845 358</w:t>
            </w:r>
          </w:p>
        </w:tc>
        <w:tc>
          <w:tcPr>
            <w:tcW w:w="1180" w:type="dxa"/>
            <w:tcBorders>
              <w:top w:val="nil"/>
              <w:left w:val="nil"/>
              <w:bottom w:val="single" w:sz="4" w:space="0" w:color="auto"/>
              <w:right w:val="nil"/>
            </w:tcBorders>
            <w:shd w:val="clear" w:color="auto" w:fill="auto"/>
            <w:noWrap/>
            <w:vAlign w:val="bottom"/>
            <w:hideMark/>
          </w:tcPr>
          <w:p w14:paraId="483F8F1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318,62</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961099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2 666</w:t>
            </w:r>
          </w:p>
        </w:tc>
        <w:tc>
          <w:tcPr>
            <w:tcW w:w="1113" w:type="dxa"/>
            <w:tcBorders>
              <w:top w:val="nil"/>
              <w:left w:val="nil"/>
              <w:bottom w:val="single" w:sz="4" w:space="0" w:color="auto"/>
              <w:right w:val="single" w:sz="4" w:space="0" w:color="auto"/>
            </w:tcBorders>
            <w:shd w:val="clear" w:color="auto" w:fill="auto"/>
            <w:noWrap/>
            <w:vAlign w:val="bottom"/>
            <w:hideMark/>
          </w:tcPr>
          <w:p w14:paraId="2ABAEF4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10 193 291</w:t>
            </w:r>
          </w:p>
        </w:tc>
        <w:tc>
          <w:tcPr>
            <w:tcW w:w="1084" w:type="dxa"/>
            <w:tcBorders>
              <w:top w:val="nil"/>
              <w:left w:val="nil"/>
              <w:bottom w:val="single" w:sz="4" w:space="0" w:color="auto"/>
              <w:right w:val="nil"/>
            </w:tcBorders>
            <w:shd w:val="clear" w:color="auto" w:fill="auto"/>
            <w:noWrap/>
            <w:vAlign w:val="bottom"/>
            <w:hideMark/>
          </w:tcPr>
          <w:p w14:paraId="607B554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318,62</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7684869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2 760</w:t>
            </w:r>
          </w:p>
        </w:tc>
        <w:tc>
          <w:tcPr>
            <w:tcW w:w="972" w:type="dxa"/>
            <w:tcBorders>
              <w:top w:val="nil"/>
              <w:left w:val="nil"/>
              <w:bottom w:val="single" w:sz="4" w:space="0" w:color="auto"/>
              <w:right w:val="single" w:sz="4" w:space="0" w:color="auto"/>
            </w:tcBorders>
            <w:shd w:val="clear" w:color="auto" w:fill="auto"/>
            <w:noWrap/>
            <w:vAlign w:val="bottom"/>
            <w:hideMark/>
          </w:tcPr>
          <w:p w14:paraId="552C7FA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10 552 694</w:t>
            </w:r>
          </w:p>
        </w:tc>
      </w:tr>
      <w:tr w:rsidR="00890A0D" w:rsidRPr="004D7DC6" w14:paraId="74129DB3" w14:textId="77777777" w:rsidTr="00C404D5">
        <w:trPr>
          <w:trHeight w:val="300"/>
        </w:trPr>
        <w:tc>
          <w:tcPr>
            <w:tcW w:w="4213" w:type="dxa"/>
            <w:tcBorders>
              <w:top w:val="nil"/>
              <w:left w:val="single" w:sz="4" w:space="0" w:color="auto"/>
              <w:bottom w:val="single" w:sz="4" w:space="0" w:color="auto"/>
              <w:right w:val="single" w:sz="4" w:space="0" w:color="auto"/>
            </w:tcBorders>
            <w:shd w:val="clear" w:color="000000" w:fill="FFFFFF"/>
            <w:noWrap/>
            <w:vAlign w:val="bottom"/>
            <w:hideMark/>
          </w:tcPr>
          <w:p w14:paraId="43B025B1"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xml:space="preserve">   ģimenes valsts pabalsts</w:t>
            </w:r>
          </w:p>
        </w:tc>
        <w:tc>
          <w:tcPr>
            <w:tcW w:w="1002" w:type="dxa"/>
            <w:tcBorders>
              <w:top w:val="nil"/>
              <w:left w:val="nil"/>
              <w:bottom w:val="single" w:sz="4" w:space="0" w:color="auto"/>
              <w:right w:val="nil"/>
            </w:tcBorders>
            <w:shd w:val="clear" w:color="auto" w:fill="auto"/>
            <w:noWrap/>
            <w:vAlign w:val="bottom"/>
            <w:hideMark/>
          </w:tcPr>
          <w:p w14:paraId="57A2D27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27,75</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1C71E16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351 355</w:t>
            </w:r>
          </w:p>
        </w:tc>
        <w:tc>
          <w:tcPr>
            <w:tcW w:w="1097" w:type="dxa"/>
            <w:tcBorders>
              <w:top w:val="nil"/>
              <w:left w:val="nil"/>
              <w:bottom w:val="single" w:sz="4" w:space="0" w:color="auto"/>
              <w:right w:val="single" w:sz="4" w:space="0" w:color="auto"/>
            </w:tcBorders>
            <w:shd w:val="clear" w:color="auto" w:fill="auto"/>
            <w:noWrap/>
            <w:vAlign w:val="bottom"/>
            <w:hideMark/>
          </w:tcPr>
          <w:p w14:paraId="57E1C82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117 001 215</w:t>
            </w:r>
          </w:p>
        </w:tc>
        <w:tc>
          <w:tcPr>
            <w:tcW w:w="1180" w:type="dxa"/>
            <w:tcBorders>
              <w:top w:val="nil"/>
              <w:left w:val="nil"/>
              <w:bottom w:val="single" w:sz="4" w:space="0" w:color="auto"/>
              <w:right w:val="nil"/>
            </w:tcBorders>
            <w:shd w:val="clear" w:color="auto" w:fill="auto"/>
            <w:noWrap/>
            <w:vAlign w:val="bottom"/>
            <w:hideMark/>
          </w:tcPr>
          <w:p w14:paraId="0BC914F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27,75</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C35ADB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352 524</w:t>
            </w:r>
          </w:p>
        </w:tc>
        <w:tc>
          <w:tcPr>
            <w:tcW w:w="1113" w:type="dxa"/>
            <w:tcBorders>
              <w:top w:val="nil"/>
              <w:left w:val="nil"/>
              <w:bottom w:val="single" w:sz="4" w:space="0" w:color="auto"/>
              <w:right w:val="single" w:sz="4" w:space="0" w:color="auto"/>
            </w:tcBorders>
            <w:shd w:val="clear" w:color="auto" w:fill="auto"/>
            <w:noWrap/>
            <w:vAlign w:val="bottom"/>
            <w:hideMark/>
          </w:tcPr>
          <w:p w14:paraId="7256B7A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117 390 492</w:t>
            </w:r>
          </w:p>
        </w:tc>
        <w:tc>
          <w:tcPr>
            <w:tcW w:w="1084" w:type="dxa"/>
            <w:tcBorders>
              <w:top w:val="nil"/>
              <w:left w:val="nil"/>
              <w:bottom w:val="single" w:sz="4" w:space="0" w:color="auto"/>
              <w:right w:val="nil"/>
            </w:tcBorders>
            <w:shd w:val="clear" w:color="auto" w:fill="auto"/>
            <w:noWrap/>
            <w:vAlign w:val="bottom"/>
            <w:hideMark/>
          </w:tcPr>
          <w:p w14:paraId="03D0378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27,75</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65EF9A0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352 524</w:t>
            </w:r>
          </w:p>
        </w:tc>
        <w:tc>
          <w:tcPr>
            <w:tcW w:w="972" w:type="dxa"/>
            <w:tcBorders>
              <w:top w:val="nil"/>
              <w:left w:val="nil"/>
              <w:bottom w:val="single" w:sz="4" w:space="0" w:color="auto"/>
              <w:right w:val="single" w:sz="4" w:space="0" w:color="auto"/>
            </w:tcBorders>
            <w:shd w:val="clear" w:color="auto" w:fill="auto"/>
            <w:noWrap/>
            <w:vAlign w:val="bottom"/>
            <w:hideMark/>
          </w:tcPr>
          <w:p w14:paraId="33F5B44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117 390 492</w:t>
            </w:r>
          </w:p>
        </w:tc>
      </w:tr>
      <w:tr w:rsidR="00890A0D" w:rsidRPr="004D7DC6" w14:paraId="69D7C022" w14:textId="77777777" w:rsidTr="00C404D5">
        <w:trPr>
          <w:trHeight w:val="525"/>
        </w:trPr>
        <w:tc>
          <w:tcPr>
            <w:tcW w:w="4213" w:type="dxa"/>
            <w:tcBorders>
              <w:top w:val="nil"/>
              <w:left w:val="single" w:sz="4" w:space="0" w:color="auto"/>
              <w:bottom w:val="single" w:sz="4" w:space="0" w:color="auto"/>
              <w:right w:val="single" w:sz="4" w:space="0" w:color="auto"/>
            </w:tcBorders>
            <w:shd w:val="clear" w:color="000000" w:fill="FFFFFF"/>
            <w:vAlign w:val="bottom"/>
            <w:hideMark/>
          </w:tcPr>
          <w:p w14:paraId="0938D0EB"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 xml:space="preserve">   piemaksa pie ģimenes valsts pabalsta par bērnu ar invaliditāti </w:t>
            </w:r>
          </w:p>
        </w:tc>
        <w:tc>
          <w:tcPr>
            <w:tcW w:w="1002" w:type="dxa"/>
            <w:tcBorders>
              <w:top w:val="nil"/>
              <w:left w:val="nil"/>
              <w:bottom w:val="single" w:sz="4" w:space="0" w:color="auto"/>
              <w:right w:val="nil"/>
            </w:tcBorders>
            <w:shd w:val="clear" w:color="auto" w:fill="auto"/>
            <w:noWrap/>
            <w:vAlign w:val="bottom"/>
            <w:hideMark/>
          </w:tcPr>
          <w:p w14:paraId="63B388A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107,43</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98D90B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7 907</w:t>
            </w:r>
          </w:p>
        </w:tc>
        <w:tc>
          <w:tcPr>
            <w:tcW w:w="1097" w:type="dxa"/>
            <w:tcBorders>
              <w:top w:val="nil"/>
              <w:left w:val="nil"/>
              <w:bottom w:val="single" w:sz="4" w:space="0" w:color="auto"/>
              <w:right w:val="single" w:sz="4" w:space="0" w:color="auto"/>
            </w:tcBorders>
            <w:shd w:val="clear" w:color="auto" w:fill="auto"/>
            <w:noWrap/>
            <w:vAlign w:val="bottom"/>
            <w:hideMark/>
          </w:tcPr>
          <w:p w14:paraId="46F5522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10 193 388</w:t>
            </w:r>
          </w:p>
        </w:tc>
        <w:tc>
          <w:tcPr>
            <w:tcW w:w="1180" w:type="dxa"/>
            <w:tcBorders>
              <w:top w:val="nil"/>
              <w:left w:val="nil"/>
              <w:bottom w:val="single" w:sz="4" w:space="0" w:color="auto"/>
              <w:right w:val="nil"/>
            </w:tcBorders>
            <w:shd w:val="clear" w:color="auto" w:fill="auto"/>
            <w:noWrap/>
            <w:vAlign w:val="bottom"/>
            <w:hideMark/>
          </w:tcPr>
          <w:p w14:paraId="4C5CCF3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107,43</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F8694A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7 947</w:t>
            </w:r>
          </w:p>
        </w:tc>
        <w:tc>
          <w:tcPr>
            <w:tcW w:w="1113" w:type="dxa"/>
            <w:tcBorders>
              <w:top w:val="nil"/>
              <w:left w:val="nil"/>
              <w:bottom w:val="single" w:sz="4" w:space="0" w:color="auto"/>
              <w:right w:val="single" w:sz="4" w:space="0" w:color="auto"/>
            </w:tcBorders>
            <w:shd w:val="clear" w:color="auto" w:fill="auto"/>
            <w:noWrap/>
            <w:vAlign w:val="bottom"/>
            <w:hideMark/>
          </w:tcPr>
          <w:p w14:paraId="09008C9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10 244 955</w:t>
            </w:r>
          </w:p>
        </w:tc>
        <w:tc>
          <w:tcPr>
            <w:tcW w:w="1084" w:type="dxa"/>
            <w:tcBorders>
              <w:top w:val="nil"/>
              <w:left w:val="nil"/>
              <w:bottom w:val="single" w:sz="4" w:space="0" w:color="auto"/>
              <w:right w:val="nil"/>
            </w:tcBorders>
            <w:shd w:val="clear" w:color="auto" w:fill="auto"/>
            <w:noWrap/>
            <w:vAlign w:val="bottom"/>
            <w:hideMark/>
          </w:tcPr>
          <w:p w14:paraId="751DC40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107,43</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11F7596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7 985</w:t>
            </w:r>
          </w:p>
        </w:tc>
        <w:tc>
          <w:tcPr>
            <w:tcW w:w="972" w:type="dxa"/>
            <w:tcBorders>
              <w:top w:val="nil"/>
              <w:left w:val="nil"/>
              <w:bottom w:val="single" w:sz="4" w:space="0" w:color="auto"/>
              <w:right w:val="single" w:sz="4" w:space="0" w:color="auto"/>
            </w:tcBorders>
            <w:shd w:val="clear" w:color="auto" w:fill="auto"/>
            <w:noWrap/>
            <w:vAlign w:val="bottom"/>
            <w:hideMark/>
          </w:tcPr>
          <w:p w14:paraId="592E8CA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10 293 943</w:t>
            </w:r>
          </w:p>
        </w:tc>
      </w:tr>
      <w:tr w:rsidR="00890A0D" w:rsidRPr="004D7DC6" w14:paraId="245DCCAE" w14:textId="77777777" w:rsidTr="00C404D5">
        <w:trPr>
          <w:trHeight w:val="300"/>
        </w:trPr>
        <w:tc>
          <w:tcPr>
            <w:tcW w:w="4213" w:type="dxa"/>
            <w:tcBorders>
              <w:top w:val="nil"/>
              <w:left w:val="single" w:sz="4" w:space="0" w:color="auto"/>
              <w:bottom w:val="single" w:sz="4" w:space="0" w:color="auto"/>
              <w:right w:val="single" w:sz="4" w:space="0" w:color="auto"/>
            </w:tcBorders>
            <w:shd w:val="clear" w:color="000000" w:fill="FFFFFF"/>
            <w:vAlign w:val="bottom"/>
            <w:hideMark/>
          </w:tcPr>
          <w:p w14:paraId="14F2B8CA"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pabalsts aizbildnim par bērna uzturēšanu</w:t>
            </w:r>
          </w:p>
        </w:tc>
        <w:tc>
          <w:tcPr>
            <w:tcW w:w="1002" w:type="dxa"/>
            <w:tcBorders>
              <w:top w:val="nil"/>
              <w:left w:val="nil"/>
              <w:bottom w:val="single" w:sz="4" w:space="0" w:color="auto"/>
              <w:right w:val="nil"/>
            </w:tcBorders>
            <w:shd w:val="clear" w:color="auto" w:fill="auto"/>
            <w:noWrap/>
            <w:vAlign w:val="bottom"/>
            <w:hideMark/>
          </w:tcPr>
          <w:p w14:paraId="3EA7C818"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120,25</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5B408B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2 660</w:t>
            </w:r>
          </w:p>
        </w:tc>
        <w:tc>
          <w:tcPr>
            <w:tcW w:w="1097" w:type="dxa"/>
            <w:tcBorders>
              <w:top w:val="nil"/>
              <w:left w:val="nil"/>
              <w:bottom w:val="single" w:sz="4" w:space="0" w:color="auto"/>
              <w:right w:val="single" w:sz="4" w:space="0" w:color="auto"/>
            </w:tcBorders>
            <w:shd w:val="clear" w:color="auto" w:fill="auto"/>
            <w:noWrap/>
            <w:vAlign w:val="bottom"/>
            <w:hideMark/>
          </w:tcPr>
          <w:p w14:paraId="26BF906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3 838 527</w:t>
            </w:r>
          </w:p>
        </w:tc>
        <w:tc>
          <w:tcPr>
            <w:tcW w:w="1180" w:type="dxa"/>
            <w:tcBorders>
              <w:top w:val="nil"/>
              <w:left w:val="nil"/>
              <w:bottom w:val="single" w:sz="4" w:space="0" w:color="auto"/>
              <w:right w:val="nil"/>
            </w:tcBorders>
            <w:shd w:val="clear" w:color="auto" w:fill="auto"/>
            <w:noWrap/>
            <w:vAlign w:val="bottom"/>
            <w:hideMark/>
          </w:tcPr>
          <w:p w14:paraId="1E13882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148,82</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E5BE82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3 478</w:t>
            </w:r>
          </w:p>
        </w:tc>
        <w:tc>
          <w:tcPr>
            <w:tcW w:w="1113" w:type="dxa"/>
            <w:tcBorders>
              <w:top w:val="nil"/>
              <w:left w:val="nil"/>
              <w:bottom w:val="single" w:sz="4" w:space="0" w:color="auto"/>
              <w:right w:val="single" w:sz="4" w:space="0" w:color="auto"/>
            </w:tcBorders>
            <w:shd w:val="clear" w:color="auto" w:fill="auto"/>
            <w:noWrap/>
            <w:vAlign w:val="bottom"/>
            <w:hideMark/>
          </w:tcPr>
          <w:p w14:paraId="56E54C9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6 211 155</w:t>
            </w:r>
          </w:p>
        </w:tc>
        <w:tc>
          <w:tcPr>
            <w:tcW w:w="1084" w:type="dxa"/>
            <w:tcBorders>
              <w:top w:val="nil"/>
              <w:left w:val="nil"/>
              <w:bottom w:val="single" w:sz="4" w:space="0" w:color="auto"/>
              <w:right w:val="nil"/>
            </w:tcBorders>
            <w:shd w:val="clear" w:color="auto" w:fill="auto"/>
            <w:noWrap/>
            <w:vAlign w:val="bottom"/>
            <w:hideMark/>
          </w:tcPr>
          <w:p w14:paraId="35B95BB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148,82</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23010B53"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3 478</w:t>
            </w:r>
          </w:p>
        </w:tc>
        <w:tc>
          <w:tcPr>
            <w:tcW w:w="972" w:type="dxa"/>
            <w:tcBorders>
              <w:top w:val="nil"/>
              <w:left w:val="nil"/>
              <w:bottom w:val="single" w:sz="4" w:space="0" w:color="auto"/>
              <w:right w:val="single" w:sz="4" w:space="0" w:color="auto"/>
            </w:tcBorders>
            <w:shd w:val="clear" w:color="auto" w:fill="auto"/>
            <w:noWrap/>
            <w:vAlign w:val="bottom"/>
            <w:hideMark/>
          </w:tcPr>
          <w:p w14:paraId="7A1C2253"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6 211 155</w:t>
            </w:r>
          </w:p>
        </w:tc>
      </w:tr>
      <w:tr w:rsidR="00890A0D" w:rsidRPr="004D7DC6" w14:paraId="5CE96E59" w14:textId="77777777" w:rsidTr="00C404D5">
        <w:trPr>
          <w:trHeight w:val="300"/>
        </w:trPr>
        <w:tc>
          <w:tcPr>
            <w:tcW w:w="4213" w:type="dxa"/>
            <w:tcBorders>
              <w:top w:val="nil"/>
              <w:left w:val="single" w:sz="4" w:space="0" w:color="auto"/>
              <w:bottom w:val="single" w:sz="4" w:space="0" w:color="auto"/>
              <w:right w:val="single" w:sz="4" w:space="0" w:color="auto"/>
            </w:tcBorders>
            <w:shd w:val="clear" w:color="000000" w:fill="FFFFFF"/>
            <w:vAlign w:val="bottom"/>
            <w:hideMark/>
          </w:tcPr>
          <w:p w14:paraId="3D81F2DF"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atlīdzība par aizbildņa pienākumu pildīšanu</w:t>
            </w:r>
          </w:p>
        </w:tc>
        <w:tc>
          <w:tcPr>
            <w:tcW w:w="1002" w:type="dxa"/>
            <w:tcBorders>
              <w:top w:val="nil"/>
              <w:left w:val="nil"/>
              <w:bottom w:val="single" w:sz="4" w:space="0" w:color="auto"/>
              <w:right w:val="nil"/>
            </w:tcBorders>
            <w:shd w:val="clear" w:color="auto" w:fill="auto"/>
            <w:noWrap/>
            <w:vAlign w:val="bottom"/>
            <w:hideMark/>
          </w:tcPr>
          <w:p w14:paraId="3D4F2FA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54,35</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1E4D17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2 939</w:t>
            </w:r>
          </w:p>
        </w:tc>
        <w:tc>
          <w:tcPr>
            <w:tcW w:w="1097" w:type="dxa"/>
            <w:tcBorders>
              <w:top w:val="nil"/>
              <w:left w:val="nil"/>
              <w:bottom w:val="single" w:sz="4" w:space="0" w:color="auto"/>
              <w:right w:val="single" w:sz="4" w:space="0" w:color="auto"/>
            </w:tcBorders>
            <w:shd w:val="clear" w:color="auto" w:fill="auto"/>
            <w:noWrap/>
            <w:vAlign w:val="bottom"/>
            <w:hideMark/>
          </w:tcPr>
          <w:p w14:paraId="6243D4D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1 916 816</w:t>
            </w:r>
          </w:p>
        </w:tc>
        <w:tc>
          <w:tcPr>
            <w:tcW w:w="1180" w:type="dxa"/>
            <w:tcBorders>
              <w:top w:val="nil"/>
              <w:left w:val="nil"/>
              <w:bottom w:val="single" w:sz="4" w:space="0" w:color="auto"/>
              <w:right w:val="nil"/>
            </w:tcBorders>
            <w:shd w:val="clear" w:color="auto" w:fill="auto"/>
            <w:noWrap/>
            <w:vAlign w:val="bottom"/>
            <w:hideMark/>
          </w:tcPr>
          <w:p w14:paraId="5F48E81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54,35</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0AFC85B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2 895</w:t>
            </w:r>
          </w:p>
        </w:tc>
        <w:tc>
          <w:tcPr>
            <w:tcW w:w="1113" w:type="dxa"/>
            <w:tcBorders>
              <w:top w:val="nil"/>
              <w:left w:val="nil"/>
              <w:bottom w:val="single" w:sz="4" w:space="0" w:color="auto"/>
              <w:right w:val="single" w:sz="4" w:space="0" w:color="auto"/>
            </w:tcBorders>
            <w:shd w:val="clear" w:color="auto" w:fill="auto"/>
            <w:noWrap/>
            <w:vAlign w:val="bottom"/>
            <w:hideMark/>
          </w:tcPr>
          <w:p w14:paraId="14A34CC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1 888 119</w:t>
            </w:r>
          </w:p>
        </w:tc>
        <w:tc>
          <w:tcPr>
            <w:tcW w:w="1084" w:type="dxa"/>
            <w:tcBorders>
              <w:top w:val="nil"/>
              <w:left w:val="nil"/>
              <w:bottom w:val="single" w:sz="4" w:space="0" w:color="auto"/>
              <w:right w:val="nil"/>
            </w:tcBorders>
            <w:shd w:val="clear" w:color="auto" w:fill="auto"/>
            <w:noWrap/>
            <w:vAlign w:val="bottom"/>
            <w:hideMark/>
          </w:tcPr>
          <w:p w14:paraId="57C5FD3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54,35</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6190B971"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2 895</w:t>
            </w:r>
          </w:p>
        </w:tc>
        <w:tc>
          <w:tcPr>
            <w:tcW w:w="972" w:type="dxa"/>
            <w:tcBorders>
              <w:top w:val="nil"/>
              <w:left w:val="nil"/>
              <w:bottom w:val="single" w:sz="4" w:space="0" w:color="auto"/>
              <w:right w:val="single" w:sz="4" w:space="0" w:color="auto"/>
            </w:tcBorders>
            <w:shd w:val="clear" w:color="auto" w:fill="auto"/>
            <w:noWrap/>
            <w:vAlign w:val="bottom"/>
            <w:hideMark/>
          </w:tcPr>
          <w:p w14:paraId="08270B4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1 888 119</w:t>
            </w:r>
          </w:p>
        </w:tc>
      </w:tr>
      <w:tr w:rsidR="00890A0D" w:rsidRPr="004D7DC6" w14:paraId="1F17358A" w14:textId="77777777" w:rsidTr="00C404D5">
        <w:trPr>
          <w:trHeight w:val="300"/>
        </w:trPr>
        <w:tc>
          <w:tcPr>
            <w:tcW w:w="4213" w:type="dxa"/>
            <w:tcBorders>
              <w:top w:val="nil"/>
              <w:left w:val="single" w:sz="4" w:space="0" w:color="auto"/>
              <w:bottom w:val="single" w:sz="4" w:space="0" w:color="auto"/>
              <w:right w:val="single" w:sz="4" w:space="0" w:color="auto"/>
            </w:tcBorders>
            <w:shd w:val="clear" w:color="000000" w:fill="FFFFFF"/>
            <w:vAlign w:val="center"/>
            <w:hideMark/>
          </w:tcPr>
          <w:p w14:paraId="023B4352"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valsts atbalsts ar celiakiju slimiem bērniem</w:t>
            </w:r>
          </w:p>
        </w:tc>
        <w:tc>
          <w:tcPr>
            <w:tcW w:w="1002" w:type="dxa"/>
            <w:tcBorders>
              <w:top w:val="nil"/>
              <w:left w:val="nil"/>
              <w:bottom w:val="single" w:sz="4" w:space="0" w:color="auto"/>
              <w:right w:val="single" w:sz="4" w:space="0" w:color="auto"/>
            </w:tcBorders>
            <w:shd w:val="clear" w:color="auto" w:fill="auto"/>
            <w:noWrap/>
            <w:vAlign w:val="bottom"/>
            <w:hideMark/>
          </w:tcPr>
          <w:p w14:paraId="3692655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108,01</w:t>
            </w:r>
          </w:p>
        </w:tc>
        <w:tc>
          <w:tcPr>
            <w:tcW w:w="1147" w:type="dxa"/>
            <w:tcBorders>
              <w:top w:val="nil"/>
              <w:left w:val="nil"/>
              <w:bottom w:val="single" w:sz="4" w:space="0" w:color="auto"/>
              <w:right w:val="single" w:sz="4" w:space="0" w:color="auto"/>
            </w:tcBorders>
            <w:shd w:val="clear" w:color="auto" w:fill="auto"/>
            <w:noWrap/>
            <w:vAlign w:val="bottom"/>
            <w:hideMark/>
          </w:tcPr>
          <w:p w14:paraId="2946E8E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910</w:t>
            </w:r>
          </w:p>
        </w:tc>
        <w:tc>
          <w:tcPr>
            <w:tcW w:w="1097" w:type="dxa"/>
            <w:tcBorders>
              <w:top w:val="nil"/>
              <w:left w:val="nil"/>
              <w:bottom w:val="single" w:sz="4" w:space="0" w:color="auto"/>
              <w:right w:val="single" w:sz="4" w:space="0" w:color="auto"/>
            </w:tcBorders>
            <w:shd w:val="clear" w:color="auto" w:fill="auto"/>
            <w:noWrap/>
            <w:vAlign w:val="bottom"/>
            <w:hideMark/>
          </w:tcPr>
          <w:p w14:paraId="2061505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1 179 469</w:t>
            </w:r>
          </w:p>
        </w:tc>
        <w:tc>
          <w:tcPr>
            <w:tcW w:w="1180" w:type="dxa"/>
            <w:tcBorders>
              <w:top w:val="nil"/>
              <w:left w:val="nil"/>
              <w:bottom w:val="single" w:sz="4" w:space="0" w:color="auto"/>
              <w:right w:val="nil"/>
            </w:tcBorders>
            <w:shd w:val="clear" w:color="auto" w:fill="auto"/>
            <w:noWrap/>
            <w:vAlign w:val="bottom"/>
            <w:hideMark/>
          </w:tcPr>
          <w:p w14:paraId="5053E77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108,01</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DE342C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905</w:t>
            </w:r>
          </w:p>
        </w:tc>
        <w:tc>
          <w:tcPr>
            <w:tcW w:w="1113" w:type="dxa"/>
            <w:tcBorders>
              <w:top w:val="nil"/>
              <w:left w:val="nil"/>
              <w:bottom w:val="single" w:sz="4" w:space="0" w:color="auto"/>
              <w:right w:val="single" w:sz="4" w:space="0" w:color="auto"/>
            </w:tcBorders>
            <w:shd w:val="clear" w:color="auto" w:fill="auto"/>
            <w:noWrap/>
            <w:vAlign w:val="bottom"/>
            <w:hideMark/>
          </w:tcPr>
          <w:p w14:paraId="5285ACE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1 172 989</w:t>
            </w:r>
          </w:p>
        </w:tc>
        <w:tc>
          <w:tcPr>
            <w:tcW w:w="1084" w:type="dxa"/>
            <w:tcBorders>
              <w:top w:val="nil"/>
              <w:left w:val="nil"/>
              <w:bottom w:val="single" w:sz="4" w:space="0" w:color="auto"/>
              <w:right w:val="nil"/>
            </w:tcBorders>
            <w:shd w:val="clear" w:color="auto" w:fill="auto"/>
            <w:noWrap/>
            <w:vAlign w:val="bottom"/>
            <w:hideMark/>
          </w:tcPr>
          <w:p w14:paraId="6D45EC6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108,01</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2E8A51B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905</w:t>
            </w:r>
          </w:p>
        </w:tc>
        <w:tc>
          <w:tcPr>
            <w:tcW w:w="972" w:type="dxa"/>
            <w:tcBorders>
              <w:top w:val="nil"/>
              <w:left w:val="nil"/>
              <w:bottom w:val="single" w:sz="4" w:space="0" w:color="auto"/>
              <w:right w:val="single" w:sz="4" w:space="0" w:color="auto"/>
            </w:tcBorders>
            <w:shd w:val="clear" w:color="auto" w:fill="auto"/>
            <w:noWrap/>
            <w:vAlign w:val="bottom"/>
            <w:hideMark/>
          </w:tcPr>
          <w:p w14:paraId="0B6E3C9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1 172 989</w:t>
            </w:r>
          </w:p>
        </w:tc>
      </w:tr>
      <w:tr w:rsidR="00890A0D" w:rsidRPr="004D7DC6" w14:paraId="5F1F92D7" w14:textId="77777777" w:rsidTr="00C404D5">
        <w:trPr>
          <w:trHeight w:val="300"/>
        </w:trPr>
        <w:tc>
          <w:tcPr>
            <w:tcW w:w="4213" w:type="dxa"/>
            <w:tcBorders>
              <w:top w:val="nil"/>
              <w:left w:val="single" w:sz="4" w:space="0" w:color="auto"/>
              <w:bottom w:val="nil"/>
              <w:right w:val="single" w:sz="4" w:space="0" w:color="auto"/>
            </w:tcBorders>
            <w:shd w:val="clear" w:color="000000" w:fill="FFFFFF"/>
            <w:vAlign w:val="center"/>
            <w:hideMark/>
          </w:tcPr>
          <w:p w14:paraId="586DA9F3"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atlīdzība par audžuģimenes pienākumu pildīšanu</w:t>
            </w:r>
          </w:p>
        </w:tc>
        <w:tc>
          <w:tcPr>
            <w:tcW w:w="1002" w:type="dxa"/>
            <w:tcBorders>
              <w:top w:val="nil"/>
              <w:left w:val="nil"/>
              <w:bottom w:val="single" w:sz="4" w:space="0" w:color="auto"/>
              <w:right w:val="nil"/>
            </w:tcBorders>
            <w:shd w:val="clear" w:color="auto" w:fill="auto"/>
            <w:noWrap/>
            <w:vAlign w:val="bottom"/>
            <w:hideMark/>
          </w:tcPr>
          <w:p w14:paraId="021DBFA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222,80</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A4EEEA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596</w:t>
            </w:r>
          </w:p>
        </w:tc>
        <w:tc>
          <w:tcPr>
            <w:tcW w:w="1097" w:type="dxa"/>
            <w:tcBorders>
              <w:top w:val="nil"/>
              <w:left w:val="nil"/>
              <w:bottom w:val="single" w:sz="4" w:space="0" w:color="auto"/>
              <w:right w:val="single" w:sz="4" w:space="0" w:color="auto"/>
            </w:tcBorders>
            <w:shd w:val="clear" w:color="auto" w:fill="auto"/>
            <w:noWrap/>
            <w:vAlign w:val="bottom"/>
            <w:hideMark/>
          </w:tcPr>
          <w:p w14:paraId="5125FC8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1 593 465</w:t>
            </w:r>
          </w:p>
        </w:tc>
        <w:tc>
          <w:tcPr>
            <w:tcW w:w="1180" w:type="dxa"/>
            <w:tcBorders>
              <w:top w:val="nil"/>
              <w:left w:val="nil"/>
              <w:bottom w:val="single" w:sz="4" w:space="0" w:color="auto"/>
              <w:right w:val="nil"/>
            </w:tcBorders>
            <w:shd w:val="clear" w:color="auto" w:fill="auto"/>
            <w:noWrap/>
            <w:vAlign w:val="bottom"/>
            <w:hideMark/>
          </w:tcPr>
          <w:p w14:paraId="39555D3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222,80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AE6248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626</w:t>
            </w:r>
          </w:p>
        </w:tc>
        <w:tc>
          <w:tcPr>
            <w:tcW w:w="1113" w:type="dxa"/>
            <w:tcBorders>
              <w:top w:val="nil"/>
              <w:left w:val="nil"/>
              <w:bottom w:val="single" w:sz="4" w:space="0" w:color="auto"/>
              <w:right w:val="single" w:sz="4" w:space="0" w:color="auto"/>
            </w:tcBorders>
            <w:shd w:val="clear" w:color="auto" w:fill="auto"/>
            <w:noWrap/>
            <w:vAlign w:val="bottom"/>
            <w:hideMark/>
          </w:tcPr>
          <w:p w14:paraId="0A15350E"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1 673 673</w:t>
            </w:r>
          </w:p>
        </w:tc>
        <w:tc>
          <w:tcPr>
            <w:tcW w:w="1084" w:type="dxa"/>
            <w:tcBorders>
              <w:top w:val="nil"/>
              <w:left w:val="nil"/>
              <w:bottom w:val="nil"/>
              <w:right w:val="nil"/>
            </w:tcBorders>
            <w:shd w:val="clear" w:color="auto" w:fill="auto"/>
            <w:noWrap/>
            <w:vAlign w:val="bottom"/>
            <w:hideMark/>
          </w:tcPr>
          <w:p w14:paraId="6AA108E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222,80</w:t>
            </w:r>
          </w:p>
        </w:tc>
        <w:tc>
          <w:tcPr>
            <w:tcW w:w="1050" w:type="dxa"/>
            <w:tcBorders>
              <w:top w:val="nil"/>
              <w:left w:val="single" w:sz="4" w:space="0" w:color="auto"/>
              <w:bottom w:val="nil"/>
              <w:right w:val="single" w:sz="4" w:space="0" w:color="auto"/>
            </w:tcBorders>
            <w:shd w:val="clear" w:color="auto" w:fill="auto"/>
            <w:noWrap/>
            <w:vAlign w:val="bottom"/>
            <w:hideMark/>
          </w:tcPr>
          <w:p w14:paraId="3EDFE701"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657</w:t>
            </w:r>
          </w:p>
        </w:tc>
        <w:tc>
          <w:tcPr>
            <w:tcW w:w="972" w:type="dxa"/>
            <w:tcBorders>
              <w:top w:val="nil"/>
              <w:left w:val="nil"/>
              <w:bottom w:val="nil"/>
              <w:right w:val="single" w:sz="4" w:space="0" w:color="auto"/>
            </w:tcBorders>
            <w:shd w:val="clear" w:color="auto" w:fill="auto"/>
            <w:noWrap/>
            <w:vAlign w:val="bottom"/>
            <w:hideMark/>
          </w:tcPr>
          <w:p w14:paraId="2EADDDB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1 756 555</w:t>
            </w:r>
          </w:p>
        </w:tc>
      </w:tr>
      <w:tr w:rsidR="00890A0D" w:rsidRPr="004D7DC6" w14:paraId="240F3A9A" w14:textId="77777777" w:rsidTr="00C404D5">
        <w:trPr>
          <w:trHeight w:val="300"/>
        </w:trPr>
        <w:tc>
          <w:tcPr>
            <w:tcW w:w="4213" w:type="dxa"/>
            <w:tcBorders>
              <w:top w:val="single" w:sz="4" w:space="0" w:color="auto"/>
              <w:left w:val="single" w:sz="4" w:space="0" w:color="auto"/>
              <w:bottom w:val="nil"/>
              <w:right w:val="single" w:sz="4" w:space="0" w:color="auto"/>
            </w:tcBorders>
            <w:shd w:val="clear" w:color="000000" w:fill="FFFFFF"/>
            <w:vAlign w:val="bottom"/>
            <w:hideMark/>
          </w:tcPr>
          <w:p w14:paraId="59512862"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atlīdzība par adoptējamā bērna aprūpi</w:t>
            </w:r>
          </w:p>
        </w:tc>
        <w:tc>
          <w:tcPr>
            <w:tcW w:w="1002" w:type="dxa"/>
            <w:tcBorders>
              <w:top w:val="nil"/>
              <w:left w:val="nil"/>
              <w:bottom w:val="single" w:sz="4" w:space="0" w:color="auto"/>
              <w:right w:val="nil"/>
            </w:tcBorders>
            <w:shd w:val="clear" w:color="auto" w:fill="auto"/>
            <w:noWrap/>
            <w:vAlign w:val="bottom"/>
            <w:hideMark/>
          </w:tcPr>
          <w:p w14:paraId="19870F1F"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467,27</w:t>
            </w:r>
          </w:p>
        </w:tc>
        <w:tc>
          <w:tcPr>
            <w:tcW w:w="1147" w:type="dxa"/>
            <w:tcBorders>
              <w:top w:val="nil"/>
              <w:left w:val="single" w:sz="4" w:space="0" w:color="auto"/>
              <w:bottom w:val="nil"/>
              <w:right w:val="nil"/>
            </w:tcBorders>
            <w:shd w:val="clear" w:color="auto" w:fill="auto"/>
            <w:noWrap/>
            <w:vAlign w:val="bottom"/>
            <w:hideMark/>
          </w:tcPr>
          <w:p w14:paraId="6D5BD1B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38</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689D8F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213 077</w:t>
            </w:r>
          </w:p>
        </w:tc>
        <w:tc>
          <w:tcPr>
            <w:tcW w:w="1180" w:type="dxa"/>
            <w:tcBorders>
              <w:top w:val="nil"/>
              <w:left w:val="nil"/>
              <w:bottom w:val="single" w:sz="4" w:space="0" w:color="auto"/>
              <w:right w:val="nil"/>
            </w:tcBorders>
            <w:shd w:val="clear" w:color="auto" w:fill="auto"/>
            <w:noWrap/>
            <w:vAlign w:val="bottom"/>
            <w:hideMark/>
          </w:tcPr>
          <w:p w14:paraId="215624A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478,14</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00C9AE5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38</w:t>
            </w:r>
          </w:p>
        </w:tc>
        <w:tc>
          <w:tcPr>
            <w:tcW w:w="1113" w:type="dxa"/>
            <w:tcBorders>
              <w:top w:val="nil"/>
              <w:left w:val="nil"/>
              <w:bottom w:val="single" w:sz="4" w:space="0" w:color="auto"/>
              <w:right w:val="single" w:sz="4" w:space="0" w:color="auto"/>
            </w:tcBorders>
            <w:shd w:val="clear" w:color="auto" w:fill="auto"/>
            <w:noWrap/>
            <w:vAlign w:val="bottom"/>
            <w:hideMark/>
          </w:tcPr>
          <w:p w14:paraId="5431B02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218 032</w:t>
            </w:r>
          </w:p>
        </w:tc>
        <w:tc>
          <w:tcPr>
            <w:tcW w:w="1084" w:type="dxa"/>
            <w:tcBorders>
              <w:top w:val="single" w:sz="4" w:space="0" w:color="auto"/>
              <w:left w:val="nil"/>
              <w:bottom w:val="single" w:sz="4" w:space="0" w:color="auto"/>
              <w:right w:val="nil"/>
            </w:tcBorders>
            <w:shd w:val="clear" w:color="auto" w:fill="auto"/>
            <w:noWrap/>
            <w:vAlign w:val="bottom"/>
            <w:hideMark/>
          </w:tcPr>
          <w:p w14:paraId="114051C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489,14</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E947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38</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7E26A27"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223 047</w:t>
            </w:r>
          </w:p>
        </w:tc>
      </w:tr>
      <w:tr w:rsidR="00890A0D" w:rsidRPr="004D7DC6" w14:paraId="2FD673A3" w14:textId="77777777" w:rsidTr="00C404D5">
        <w:trPr>
          <w:trHeight w:val="300"/>
        </w:trPr>
        <w:tc>
          <w:tcPr>
            <w:tcW w:w="4213" w:type="dxa"/>
            <w:tcBorders>
              <w:top w:val="single" w:sz="4" w:space="0" w:color="auto"/>
              <w:left w:val="single" w:sz="4" w:space="0" w:color="auto"/>
              <w:bottom w:val="nil"/>
              <w:right w:val="nil"/>
            </w:tcBorders>
            <w:shd w:val="clear" w:color="000000" w:fill="FFFFFF"/>
            <w:vAlign w:val="bottom"/>
            <w:hideMark/>
          </w:tcPr>
          <w:p w14:paraId="7747F704"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bērna adopcijas pabalsts</w:t>
            </w:r>
          </w:p>
        </w:tc>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1EDC42D3"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123,63</w:t>
            </w:r>
          </w:p>
        </w:tc>
        <w:tc>
          <w:tcPr>
            <w:tcW w:w="1147" w:type="dxa"/>
            <w:tcBorders>
              <w:top w:val="single" w:sz="4" w:space="0" w:color="auto"/>
              <w:left w:val="nil"/>
              <w:bottom w:val="nil"/>
              <w:right w:val="single" w:sz="4" w:space="0" w:color="auto"/>
            </w:tcBorders>
            <w:shd w:val="clear" w:color="auto" w:fill="auto"/>
            <w:noWrap/>
            <w:vAlign w:val="bottom"/>
            <w:hideMark/>
          </w:tcPr>
          <w:p w14:paraId="02FC6190"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1 113</w:t>
            </w:r>
          </w:p>
        </w:tc>
        <w:tc>
          <w:tcPr>
            <w:tcW w:w="1097" w:type="dxa"/>
            <w:tcBorders>
              <w:top w:val="nil"/>
              <w:left w:val="nil"/>
              <w:bottom w:val="nil"/>
              <w:right w:val="single" w:sz="4" w:space="0" w:color="auto"/>
            </w:tcBorders>
            <w:shd w:val="clear" w:color="auto" w:fill="auto"/>
            <w:noWrap/>
            <w:vAlign w:val="bottom"/>
            <w:hideMark/>
          </w:tcPr>
          <w:p w14:paraId="27377AAD"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1 651 202</w:t>
            </w:r>
          </w:p>
        </w:tc>
        <w:tc>
          <w:tcPr>
            <w:tcW w:w="1180" w:type="dxa"/>
            <w:tcBorders>
              <w:top w:val="nil"/>
              <w:left w:val="nil"/>
              <w:bottom w:val="single" w:sz="4" w:space="0" w:color="auto"/>
              <w:right w:val="nil"/>
            </w:tcBorders>
            <w:shd w:val="clear" w:color="auto" w:fill="auto"/>
            <w:noWrap/>
            <w:vAlign w:val="bottom"/>
            <w:hideMark/>
          </w:tcPr>
          <w:p w14:paraId="1669FC85"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123,63</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7B09313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1 124</w:t>
            </w:r>
          </w:p>
        </w:tc>
        <w:tc>
          <w:tcPr>
            <w:tcW w:w="1113" w:type="dxa"/>
            <w:tcBorders>
              <w:top w:val="nil"/>
              <w:left w:val="nil"/>
              <w:bottom w:val="single" w:sz="4" w:space="0" w:color="auto"/>
              <w:right w:val="single" w:sz="4" w:space="0" w:color="auto"/>
            </w:tcBorders>
            <w:shd w:val="clear" w:color="auto" w:fill="auto"/>
            <w:noWrap/>
            <w:vAlign w:val="bottom"/>
            <w:hideMark/>
          </w:tcPr>
          <w:p w14:paraId="2AB2D078"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1 667 521</w:t>
            </w:r>
          </w:p>
        </w:tc>
        <w:tc>
          <w:tcPr>
            <w:tcW w:w="1084" w:type="dxa"/>
            <w:tcBorders>
              <w:top w:val="nil"/>
              <w:left w:val="nil"/>
              <w:bottom w:val="nil"/>
              <w:right w:val="nil"/>
            </w:tcBorders>
            <w:shd w:val="clear" w:color="auto" w:fill="auto"/>
            <w:noWrap/>
            <w:vAlign w:val="bottom"/>
            <w:hideMark/>
          </w:tcPr>
          <w:p w14:paraId="28F4673C"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123,63</w:t>
            </w:r>
          </w:p>
        </w:tc>
        <w:tc>
          <w:tcPr>
            <w:tcW w:w="1050" w:type="dxa"/>
            <w:tcBorders>
              <w:top w:val="nil"/>
              <w:left w:val="single" w:sz="4" w:space="0" w:color="auto"/>
              <w:bottom w:val="nil"/>
              <w:right w:val="single" w:sz="4" w:space="0" w:color="auto"/>
            </w:tcBorders>
            <w:shd w:val="clear" w:color="auto" w:fill="auto"/>
            <w:noWrap/>
            <w:vAlign w:val="bottom"/>
            <w:hideMark/>
          </w:tcPr>
          <w:p w14:paraId="432921E4"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1 135</w:t>
            </w:r>
          </w:p>
        </w:tc>
        <w:tc>
          <w:tcPr>
            <w:tcW w:w="972" w:type="dxa"/>
            <w:tcBorders>
              <w:top w:val="nil"/>
              <w:left w:val="nil"/>
              <w:bottom w:val="nil"/>
              <w:right w:val="single" w:sz="4" w:space="0" w:color="auto"/>
            </w:tcBorders>
            <w:shd w:val="clear" w:color="auto" w:fill="auto"/>
            <w:noWrap/>
            <w:vAlign w:val="bottom"/>
            <w:hideMark/>
          </w:tcPr>
          <w:p w14:paraId="1C061168"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1 683 840</w:t>
            </w:r>
          </w:p>
        </w:tc>
      </w:tr>
      <w:tr w:rsidR="00890A0D" w:rsidRPr="004D7DC6" w14:paraId="4075D2EF" w14:textId="77777777" w:rsidTr="00C404D5">
        <w:trPr>
          <w:trHeight w:val="300"/>
        </w:trPr>
        <w:tc>
          <w:tcPr>
            <w:tcW w:w="4213" w:type="dxa"/>
            <w:tcBorders>
              <w:top w:val="single" w:sz="4" w:space="0" w:color="auto"/>
              <w:left w:val="single" w:sz="4" w:space="0" w:color="auto"/>
              <w:bottom w:val="single" w:sz="4" w:space="0" w:color="auto"/>
              <w:right w:val="nil"/>
            </w:tcBorders>
            <w:shd w:val="clear" w:color="000000" w:fill="FFFFFF"/>
            <w:vAlign w:val="bottom"/>
            <w:hideMark/>
          </w:tcPr>
          <w:p w14:paraId="511EF82D" w14:textId="77777777" w:rsidR="004D7DC6" w:rsidRPr="004D7DC6" w:rsidRDefault="004D7DC6" w:rsidP="00890A0D">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atlīdzība par bērna adopciju</w:t>
            </w:r>
          </w:p>
        </w:tc>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2C23A686"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1 422,87</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6EB823CA"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14:paraId="2941F6AB"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221 968</w:t>
            </w:r>
          </w:p>
        </w:tc>
        <w:tc>
          <w:tcPr>
            <w:tcW w:w="1180" w:type="dxa"/>
            <w:tcBorders>
              <w:top w:val="nil"/>
              <w:left w:val="nil"/>
              <w:bottom w:val="single" w:sz="4" w:space="0" w:color="auto"/>
              <w:right w:val="nil"/>
            </w:tcBorders>
            <w:shd w:val="clear" w:color="auto" w:fill="auto"/>
            <w:noWrap/>
            <w:vAlign w:val="bottom"/>
            <w:hideMark/>
          </w:tcPr>
          <w:p w14:paraId="62A0C261"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1 422,87</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C4DEF49"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14</w:t>
            </w:r>
          </w:p>
        </w:tc>
        <w:tc>
          <w:tcPr>
            <w:tcW w:w="1113" w:type="dxa"/>
            <w:tcBorders>
              <w:top w:val="nil"/>
              <w:left w:val="nil"/>
              <w:bottom w:val="single" w:sz="4" w:space="0" w:color="auto"/>
              <w:right w:val="single" w:sz="4" w:space="0" w:color="auto"/>
            </w:tcBorders>
            <w:shd w:val="clear" w:color="auto" w:fill="auto"/>
            <w:noWrap/>
            <w:vAlign w:val="bottom"/>
            <w:hideMark/>
          </w:tcPr>
          <w:p w14:paraId="64E19A8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239 042</w:t>
            </w:r>
          </w:p>
        </w:tc>
        <w:tc>
          <w:tcPr>
            <w:tcW w:w="1084" w:type="dxa"/>
            <w:tcBorders>
              <w:top w:val="single" w:sz="4" w:space="0" w:color="auto"/>
              <w:left w:val="nil"/>
              <w:bottom w:val="single" w:sz="4" w:space="0" w:color="auto"/>
              <w:right w:val="nil"/>
            </w:tcBorders>
            <w:shd w:val="clear" w:color="auto" w:fill="auto"/>
            <w:noWrap/>
            <w:vAlign w:val="bottom"/>
            <w:hideMark/>
          </w:tcPr>
          <w:p w14:paraId="3DF1690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1 422,87</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64E43"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15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170546B2" w14:textId="77777777" w:rsidR="004D7DC6" w:rsidRPr="004D7DC6" w:rsidRDefault="004D7DC6" w:rsidP="004D7DC6">
            <w:pPr>
              <w:jc w:val="right"/>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256 117</w:t>
            </w:r>
          </w:p>
        </w:tc>
      </w:tr>
      <w:tr w:rsidR="00890A0D" w:rsidRPr="004D7DC6" w14:paraId="6BD8226A" w14:textId="77777777" w:rsidTr="00C404D5">
        <w:trPr>
          <w:trHeight w:val="300"/>
        </w:trPr>
        <w:tc>
          <w:tcPr>
            <w:tcW w:w="4213" w:type="dxa"/>
            <w:tcBorders>
              <w:top w:val="nil"/>
              <w:left w:val="single" w:sz="4" w:space="0" w:color="auto"/>
              <w:bottom w:val="single" w:sz="4" w:space="0" w:color="auto"/>
              <w:right w:val="single" w:sz="4" w:space="0" w:color="auto"/>
            </w:tcBorders>
            <w:shd w:val="clear" w:color="000000" w:fill="FFFFFF"/>
            <w:noWrap/>
            <w:vAlign w:val="bottom"/>
            <w:hideMark/>
          </w:tcPr>
          <w:p w14:paraId="032A047A" w14:textId="0DF104AC" w:rsidR="004D7DC6" w:rsidRPr="004D7DC6" w:rsidRDefault="00890A0D" w:rsidP="00890A0D">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Kopā</w:t>
            </w:r>
          </w:p>
        </w:tc>
        <w:tc>
          <w:tcPr>
            <w:tcW w:w="1002" w:type="dxa"/>
            <w:tcBorders>
              <w:top w:val="nil"/>
              <w:left w:val="nil"/>
              <w:bottom w:val="single" w:sz="4" w:space="0" w:color="auto"/>
              <w:right w:val="single" w:sz="4" w:space="0" w:color="auto"/>
            </w:tcBorders>
            <w:shd w:val="clear" w:color="auto" w:fill="auto"/>
            <w:noWrap/>
            <w:vAlign w:val="center"/>
            <w:hideMark/>
          </w:tcPr>
          <w:p w14:paraId="7DFA7423" w14:textId="77777777" w:rsidR="004D7DC6" w:rsidRPr="004D7DC6" w:rsidRDefault="004D7DC6" w:rsidP="004D7DC6">
            <w:pPr>
              <w:jc w:val="center"/>
              <w:rPr>
                <w:rFonts w:ascii="Times New Roman" w:eastAsia="Times New Roman" w:hAnsi="Times New Roman" w:cs="Times New Roman"/>
                <w:b/>
                <w:bCs/>
                <w:sz w:val="20"/>
                <w:szCs w:val="20"/>
              </w:rPr>
            </w:pPr>
            <w:r w:rsidRPr="004D7DC6">
              <w:rPr>
                <w:rFonts w:ascii="Times New Roman" w:eastAsia="Times New Roman" w:hAnsi="Times New Roman" w:cs="Times New Roman"/>
                <w:b/>
                <w:bCs/>
                <w:sz w:val="20"/>
                <w:szCs w:val="20"/>
              </w:rPr>
              <w:t>x</w:t>
            </w:r>
          </w:p>
        </w:tc>
        <w:tc>
          <w:tcPr>
            <w:tcW w:w="1147" w:type="dxa"/>
            <w:tcBorders>
              <w:top w:val="nil"/>
              <w:left w:val="nil"/>
              <w:bottom w:val="single" w:sz="4" w:space="0" w:color="auto"/>
              <w:right w:val="single" w:sz="4" w:space="0" w:color="auto"/>
            </w:tcBorders>
            <w:shd w:val="clear" w:color="auto" w:fill="auto"/>
            <w:noWrap/>
            <w:vAlign w:val="center"/>
            <w:hideMark/>
          </w:tcPr>
          <w:p w14:paraId="0C466F49" w14:textId="77777777" w:rsidR="004D7DC6" w:rsidRPr="004D7DC6" w:rsidRDefault="004D7DC6" w:rsidP="004D7DC6">
            <w:pPr>
              <w:jc w:val="center"/>
              <w:rPr>
                <w:rFonts w:ascii="Times New Roman" w:eastAsia="Times New Roman" w:hAnsi="Times New Roman" w:cs="Times New Roman"/>
                <w:b/>
                <w:bCs/>
                <w:sz w:val="20"/>
                <w:szCs w:val="20"/>
              </w:rPr>
            </w:pPr>
            <w:r w:rsidRPr="004D7DC6">
              <w:rPr>
                <w:rFonts w:ascii="Times New Roman" w:eastAsia="Times New Roman" w:hAnsi="Times New Roman" w:cs="Times New Roman"/>
                <w:b/>
                <w:bCs/>
                <w:sz w:val="20"/>
                <w:szCs w:val="20"/>
              </w:rPr>
              <w:t>x</w:t>
            </w:r>
          </w:p>
        </w:tc>
        <w:tc>
          <w:tcPr>
            <w:tcW w:w="1097" w:type="dxa"/>
            <w:tcBorders>
              <w:top w:val="nil"/>
              <w:left w:val="nil"/>
              <w:bottom w:val="single" w:sz="4" w:space="0" w:color="auto"/>
              <w:right w:val="single" w:sz="4" w:space="0" w:color="auto"/>
            </w:tcBorders>
            <w:shd w:val="clear" w:color="auto" w:fill="auto"/>
            <w:noWrap/>
            <w:vAlign w:val="center"/>
            <w:hideMark/>
          </w:tcPr>
          <w:p w14:paraId="052804C9" w14:textId="77777777" w:rsidR="004D7DC6" w:rsidRPr="004D7DC6" w:rsidRDefault="004D7DC6" w:rsidP="004D7DC6">
            <w:pPr>
              <w:jc w:val="right"/>
              <w:rPr>
                <w:rFonts w:ascii="Times New Roman" w:eastAsia="Times New Roman" w:hAnsi="Times New Roman" w:cs="Times New Roman"/>
                <w:b/>
                <w:bCs/>
                <w:sz w:val="20"/>
                <w:szCs w:val="20"/>
              </w:rPr>
            </w:pPr>
            <w:r w:rsidRPr="004D7DC6">
              <w:rPr>
                <w:rFonts w:ascii="Times New Roman" w:eastAsia="Times New Roman" w:hAnsi="Times New Roman" w:cs="Times New Roman"/>
                <w:b/>
                <w:bCs/>
                <w:sz w:val="20"/>
                <w:szCs w:val="20"/>
              </w:rPr>
              <w:t>313 693 069</w:t>
            </w:r>
          </w:p>
        </w:tc>
        <w:tc>
          <w:tcPr>
            <w:tcW w:w="1180" w:type="dxa"/>
            <w:tcBorders>
              <w:top w:val="nil"/>
              <w:left w:val="nil"/>
              <w:bottom w:val="single" w:sz="4" w:space="0" w:color="auto"/>
              <w:right w:val="single" w:sz="4" w:space="0" w:color="auto"/>
            </w:tcBorders>
            <w:shd w:val="clear" w:color="auto" w:fill="auto"/>
            <w:noWrap/>
            <w:vAlign w:val="center"/>
            <w:hideMark/>
          </w:tcPr>
          <w:p w14:paraId="6B4C4E83"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1135" w:type="dxa"/>
            <w:tcBorders>
              <w:top w:val="nil"/>
              <w:left w:val="nil"/>
              <w:bottom w:val="single" w:sz="4" w:space="0" w:color="auto"/>
              <w:right w:val="single" w:sz="4" w:space="0" w:color="auto"/>
            </w:tcBorders>
            <w:shd w:val="clear" w:color="auto" w:fill="auto"/>
            <w:noWrap/>
            <w:vAlign w:val="center"/>
            <w:hideMark/>
          </w:tcPr>
          <w:p w14:paraId="696CD9F8"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1113" w:type="dxa"/>
            <w:tcBorders>
              <w:top w:val="nil"/>
              <w:left w:val="nil"/>
              <w:bottom w:val="single" w:sz="4" w:space="0" w:color="auto"/>
              <w:right w:val="single" w:sz="4" w:space="0" w:color="auto"/>
            </w:tcBorders>
            <w:shd w:val="clear" w:color="auto" w:fill="auto"/>
            <w:noWrap/>
            <w:vAlign w:val="center"/>
            <w:hideMark/>
          </w:tcPr>
          <w:p w14:paraId="0FF2EBF8" w14:textId="77777777" w:rsidR="004D7DC6" w:rsidRPr="004D7DC6" w:rsidRDefault="004D7DC6" w:rsidP="004D7DC6">
            <w:pPr>
              <w:jc w:val="right"/>
              <w:rPr>
                <w:rFonts w:ascii="Times New Roman" w:eastAsia="Times New Roman" w:hAnsi="Times New Roman" w:cs="Times New Roman"/>
                <w:b/>
                <w:bCs/>
                <w:sz w:val="20"/>
                <w:szCs w:val="20"/>
              </w:rPr>
            </w:pPr>
            <w:r w:rsidRPr="004D7DC6">
              <w:rPr>
                <w:rFonts w:ascii="Times New Roman" w:eastAsia="Times New Roman" w:hAnsi="Times New Roman" w:cs="Times New Roman"/>
                <w:b/>
                <w:bCs/>
                <w:sz w:val="20"/>
                <w:szCs w:val="20"/>
              </w:rPr>
              <w:t>317 962 982</w:t>
            </w:r>
          </w:p>
        </w:tc>
        <w:tc>
          <w:tcPr>
            <w:tcW w:w="1084" w:type="dxa"/>
            <w:tcBorders>
              <w:top w:val="nil"/>
              <w:left w:val="nil"/>
              <w:bottom w:val="single" w:sz="4" w:space="0" w:color="auto"/>
              <w:right w:val="single" w:sz="4" w:space="0" w:color="auto"/>
            </w:tcBorders>
            <w:shd w:val="clear" w:color="auto" w:fill="auto"/>
            <w:noWrap/>
            <w:vAlign w:val="center"/>
            <w:hideMark/>
          </w:tcPr>
          <w:p w14:paraId="755339A5"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1050" w:type="dxa"/>
            <w:tcBorders>
              <w:top w:val="nil"/>
              <w:left w:val="nil"/>
              <w:bottom w:val="single" w:sz="4" w:space="0" w:color="auto"/>
              <w:right w:val="single" w:sz="4" w:space="0" w:color="auto"/>
            </w:tcBorders>
            <w:shd w:val="clear" w:color="auto" w:fill="auto"/>
            <w:noWrap/>
            <w:vAlign w:val="center"/>
            <w:hideMark/>
          </w:tcPr>
          <w:p w14:paraId="14D763C2" w14:textId="77777777" w:rsidR="004D7DC6" w:rsidRPr="004D7DC6" w:rsidRDefault="004D7DC6" w:rsidP="004D7DC6">
            <w:pPr>
              <w:jc w:val="center"/>
              <w:rPr>
                <w:rFonts w:ascii="Times New Roman" w:eastAsia="Times New Roman" w:hAnsi="Times New Roman" w:cs="Times New Roman"/>
                <w:sz w:val="20"/>
                <w:szCs w:val="20"/>
              </w:rPr>
            </w:pPr>
            <w:r w:rsidRPr="004D7DC6">
              <w:rPr>
                <w:rFonts w:ascii="Times New Roman" w:eastAsia="Times New Roman" w:hAnsi="Times New Roman" w:cs="Times New Roman"/>
                <w:sz w:val="20"/>
                <w:szCs w:val="20"/>
              </w:rPr>
              <w:t>x</w:t>
            </w:r>
          </w:p>
        </w:tc>
        <w:tc>
          <w:tcPr>
            <w:tcW w:w="972" w:type="dxa"/>
            <w:tcBorders>
              <w:top w:val="nil"/>
              <w:left w:val="nil"/>
              <w:bottom w:val="single" w:sz="4" w:space="0" w:color="auto"/>
              <w:right w:val="single" w:sz="4" w:space="0" w:color="auto"/>
            </w:tcBorders>
            <w:shd w:val="clear" w:color="auto" w:fill="auto"/>
            <w:noWrap/>
            <w:vAlign w:val="center"/>
            <w:hideMark/>
          </w:tcPr>
          <w:p w14:paraId="261AC3D9" w14:textId="77777777" w:rsidR="004D7DC6" w:rsidRPr="004D7DC6" w:rsidRDefault="004D7DC6" w:rsidP="004D7DC6">
            <w:pPr>
              <w:jc w:val="right"/>
              <w:rPr>
                <w:rFonts w:ascii="Times New Roman" w:eastAsia="Times New Roman" w:hAnsi="Times New Roman" w:cs="Times New Roman"/>
                <w:b/>
                <w:bCs/>
                <w:sz w:val="20"/>
                <w:szCs w:val="20"/>
              </w:rPr>
            </w:pPr>
            <w:r w:rsidRPr="004D7DC6">
              <w:rPr>
                <w:rFonts w:ascii="Times New Roman" w:eastAsia="Times New Roman" w:hAnsi="Times New Roman" w:cs="Times New Roman"/>
                <w:b/>
                <w:bCs/>
                <w:sz w:val="20"/>
                <w:szCs w:val="20"/>
              </w:rPr>
              <w:t>319 425 963</w:t>
            </w:r>
          </w:p>
        </w:tc>
      </w:tr>
    </w:tbl>
    <w:p w14:paraId="2C53BF89" w14:textId="77777777" w:rsidR="00C404D5" w:rsidRPr="00C404D5" w:rsidRDefault="00C404D5" w:rsidP="00C404D5">
      <w:pPr>
        <w:widowControl w:val="0"/>
        <w:rPr>
          <w:rFonts w:ascii="Times New Roman" w:eastAsia="Calibri" w:hAnsi="Times New Roman" w:cs="Times New Roman"/>
          <w:i/>
          <w:sz w:val="20"/>
        </w:rPr>
      </w:pPr>
      <w:r w:rsidRPr="00C404D5">
        <w:rPr>
          <w:rFonts w:ascii="Times New Roman" w:eastAsia="Calibri" w:hAnsi="Times New Roman" w:cs="Times New Roman"/>
          <w:i/>
          <w:sz w:val="20"/>
        </w:rPr>
        <w:t>Datu avots: FM</w:t>
      </w:r>
    </w:p>
    <w:p w14:paraId="5F5B38C6" w14:textId="5D4E4C84" w:rsidR="003F3FCD" w:rsidRDefault="003F3FCD" w:rsidP="00401A5B">
      <w:pPr>
        <w:widowControl w:val="0"/>
        <w:rPr>
          <w:rFonts w:ascii="Calibri" w:eastAsia="Calibri" w:hAnsi="Calibri" w:cs="Calibri"/>
        </w:rPr>
      </w:pPr>
    </w:p>
    <w:p w14:paraId="499DFF56" w14:textId="77777777" w:rsidR="003F3FCD" w:rsidRDefault="003F3FCD" w:rsidP="00401A5B">
      <w:pPr>
        <w:widowControl w:val="0"/>
        <w:rPr>
          <w:rFonts w:ascii="Calibri" w:eastAsia="Calibri" w:hAnsi="Calibri" w:cs="Calibri"/>
        </w:rPr>
      </w:pPr>
    </w:p>
    <w:p w14:paraId="4D59664D" w14:textId="77777777" w:rsidR="001C5161" w:rsidRDefault="001C5161" w:rsidP="00401A5B">
      <w:pPr>
        <w:widowControl w:val="0"/>
        <w:ind w:right="-315"/>
        <w:jc w:val="right"/>
        <w:rPr>
          <w:rFonts w:ascii="Times New Roman" w:eastAsia="Times New Roman" w:hAnsi="Times New Roman" w:cs="Times New Roman"/>
          <w:color w:val="000000"/>
          <w:sz w:val="24"/>
        </w:rPr>
      </w:pPr>
    </w:p>
    <w:p w14:paraId="79B66C90" w14:textId="77777777" w:rsidR="001C5161" w:rsidRDefault="001C5161" w:rsidP="00401A5B">
      <w:pPr>
        <w:widowControl w:val="0"/>
        <w:ind w:right="-315"/>
        <w:jc w:val="right"/>
        <w:rPr>
          <w:rFonts w:ascii="Times New Roman" w:eastAsia="Times New Roman" w:hAnsi="Times New Roman" w:cs="Times New Roman"/>
          <w:color w:val="000000"/>
          <w:sz w:val="24"/>
        </w:rPr>
      </w:pPr>
    </w:p>
    <w:p w14:paraId="666FD349" w14:textId="77777777" w:rsidR="001C5161" w:rsidRDefault="001C5161" w:rsidP="00401A5B">
      <w:pPr>
        <w:widowControl w:val="0"/>
        <w:ind w:right="-315"/>
        <w:jc w:val="right"/>
        <w:rPr>
          <w:rFonts w:ascii="Times New Roman" w:eastAsia="Times New Roman" w:hAnsi="Times New Roman" w:cs="Times New Roman"/>
          <w:color w:val="000000"/>
          <w:sz w:val="24"/>
        </w:rPr>
      </w:pPr>
    </w:p>
    <w:p w14:paraId="6B0984D6" w14:textId="77777777" w:rsidR="001C5161" w:rsidRDefault="001C5161" w:rsidP="00401A5B">
      <w:pPr>
        <w:widowControl w:val="0"/>
        <w:ind w:right="-315"/>
        <w:jc w:val="right"/>
        <w:rPr>
          <w:rFonts w:ascii="Times New Roman" w:eastAsia="Times New Roman" w:hAnsi="Times New Roman" w:cs="Times New Roman"/>
          <w:color w:val="000000"/>
          <w:sz w:val="24"/>
        </w:rPr>
      </w:pPr>
    </w:p>
    <w:p w14:paraId="381705D5" w14:textId="50E7230C" w:rsidR="001C5161" w:rsidRDefault="001C5161" w:rsidP="00C404D5">
      <w:pPr>
        <w:widowControl w:val="0"/>
        <w:ind w:right="-315"/>
        <w:rPr>
          <w:rFonts w:ascii="Times New Roman" w:eastAsia="Times New Roman" w:hAnsi="Times New Roman" w:cs="Times New Roman"/>
          <w:color w:val="000000"/>
          <w:sz w:val="24"/>
        </w:rPr>
      </w:pPr>
    </w:p>
    <w:p w14:paraId="00C56DE0" w14:textId="77777777" w:rsidR="000F6C00" w:rsidRPr="00890A0D" w:rsidRDefault="000F6C00" w:rsidP="00890A0D">
      <w:pPr>
        <w:widowControl w:val="0"/>
        <w:ind w:right="111"/>
        <w:jc w:val="right"/>
        <w:rPr>
          <w:rFonts w:ascii="Times New Roman" w:eastAsia="Times New Roman" w:hAnsi="Times New Roman" w:cs="Times New Roman"/>
          <w:color w:val="000000"/>
          <w:sz w:val="28"/>
        </w:rPr>
      </w:pPr>
      <w:r w:rsidRPr="00890A0D">
        <w:rPr>
          <w:rFonts w:ascii="Times New Roman" w:eastAsia="Times New Roman" w:hAnsi="Times New Roman" w:cs="Times New Roman"/>
          <w:color w:val="000000"/>
          <w:sz w:val="28"/>
        </w:rPr>
        <w:t>7</w:t>
      </w:r>
      <w:r w:rsidR="000548A5" w:rsidRPr="00890A0D">
        <w:rPr>
          <w:rFonts w:ascii="Times New Roman" w:eastAsia="Times New Roman" w:hAnsi="Times New Roman" w:cs="Times New Roman"/>
          <w:color w:val="000000"/>
          <w:sz w:val="28"/>
        </w:rPr>
        <w:t>. pielikums</w:t>
      </w:r>
    </w:p>
    <w:p w14:paraId="610D6E87" w14:textId="65963597" w:rsidR="003F3FCD" w:rsidRDefault="00AC361B" w:rsidP="00890A0D">
      <w:pPr>
        <w:widowControl w:val="0"/>
        <w:ind w:right="-31"/>
        <w:jc w:val="right"/>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LM</w:t>
      </w:r>
      <w:r w:rsidR="000548A5" w:rsidRPr="00890A0D">
        <w:rPr>
          <w:rFonts w:ascii="Times New Roman" w:eastAsia="Times New Roman" w:hAnsi="Times New Roman" w:cs="Times New Roman"/>
          <w:b/>
          <w:color w:val="000000"/>
          <w:sz w:val="28"/>
        </w:rPr>
        <w:t xml:space="preserve"> pamatbudžeta programma 20.02.00 "Izdienas pensijas"</w:t>
      </w:r>
    </w:p>
    <w:p w14:paraId="6680058E" w14:textId="77777777" w:rsidR="00890A0D" w:rsidRPr="000F6C00" w:rsidRDefault="00890A0D" w:rsidP="000F6C00">
      <w:pPr>
        <w:widowControl w:val="0"/>
        <w:ind w:right="-315"/>
        <w:jc w:val="right"/>
        <w:rPr>
          <w:rFonts w:ascii="Times New Roman" w:eastAsia="Times New Roman" w:hAnsi="Times New Roman" w:cs="Times New Roman"/>
          <w:color w:val="000000"/>
          <w:sz w:val="28"/>
        </w:rPr>
      </w:pPr>
    </w:p>
    <w:p w14:paraId="5B560B41" w14:textId="2675A219" w:rsidR="003F3FCD" w:rsidRPr="00890A0D" w:rsidRDefault="00890A0D" w:rsidP="00890A0D">
      <w:pPr>
        <w:widowControl w:val="0"/>
        <w:jc w:val="right"/>
        <w:rPr>
          <w:rFonts w:ascii="Times New Roman" w:eastAsia="Times New Roman" w:hAnsi="Times New Roman" w:cs="Times New Roman"/>
          <w:i/>
          <w:sz w:val="20"/>
        </w:rPr>
      </w:pPr>
      <w:r w:rsidRPr="00890A0D">
        <w:rPr>
          <w:rFonts w:ascii="Times New Roman" w:eastAsia="Times New Roman" w:hAnsi="Times New Roman" w:cs="Times New Roman"/>
          <w:i/>
          <w:sz w:val="20"/>
        </w:rPr>
        <w:t>euro</w:t>
      </w:r>
    </w:p>
    <w:tbl>
      <w:tblPr>
        <w:tblW w:w="13993" w:type="dxa"/>
        <w:tblLook w:val="04A0" w:firstRow="1" w:lastRow="0" w:firstColumn="1" w:lastColumn="0" w:noHBand="0" w:noVBand="1"/>
      </w:tblPr>
      <w:tblGrid>
        <w:gridCol w:w="4108"/>
        <w:gridCol w:w="1124"/>
        <w:gridCol w:w="1139"/>
        <w:gridCol w:w="1110"/>
        <w:gridCol w:w="1182"/>
        <w:gridCol w:w="1211"/>
        <w:gridCol w:w="1011"/>
        <w:gridCol w:w="1086"/>
        <w:gridCol w:w="1050"/>
        <w:gridCol w:w="972"/>
      </w:tblGrid>
      <w:tr w:rsidR="00890A0D" w:rsidRPr="00890A0D" w14:paraId="529D2D88" w14:textId="77777777" w:rsidTr="00C404D5">
        <w:trPr>
          <w:trHeight w:val="501"/>
        </w:trPr>
        <w:tc>
          <w:tcPr>
            <w:tcW w:w="410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71D78D71" w14:textId="77777777" w:rsidR="00890A0D" w:rsidRPr="00890A0D" w:rsidRDefault="00890A0D" w:rsidP="00890A0D">
            <w:pPr>
              <w:jc w:val="center"/>
              <w:rPr>
                <w:rFonts w:ascii="Times New Roman" w:eastAsia="Times New Roman" w:hAnsi="Times New Roman" w:cs="Times New Roman"/>
                <w:b/>
                <w:sz w:val="20"/>
                <w:szCs w:val="20"/>
              </w:rPr>
            </w:pPr>
            <w:r w:rsidRPr="00890A0D">
              <w:rPr>
                <w:rFonts w:ascii="Times New Roman" w:eastAsia="Times New Roman" w:hAnsi="Times New Roman" w:cs="Times New Roman"/>
                <w:b/>
                <w:sz w:val="20"/>
                <w:szCs w:val="20"/>
              </w:rPr>
              <w:t> </w:t>
            </w:r>
          </w:p>
        </w:tc>
        <w:tc>
          <w:tcPr>
            <w:tcW w:w="3373"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755A22A1" w14:textId="77777777" w:rsidR="00890A0D" w:rsidRPr="00890A0D" w:rsidRDefault="00890A0D" w:rsidP="00890A0D">
            <w:pPr>
              <w:jc w:val="center"/>
              <w:rPr>
                <w:rFonts w:ascii="Times New Roman" w:eastAsia="Times New Roman" w:hAnsi="Times New Roman" w:cs="Times New Roman"/>
                <w:b/>
                <w:sz w:val="20"/>
                <w:szCs w:val="20"/>
              </w:rPr>
            </w:pPr>
            <w:r w:rsidRPr="00890A0D">
              <w:rPr>
                <w:rFonts w:ascii="Times New Roman" w:eastAsia="Times New Roman" w:hAnsi="Times New Roman" w:cs="Times New Roman"/>
                <w:b/>
                <w:sz w:val="20"/>
                <w:szCs w:val="20"/>
              </w:rPr>
              <w:t>2021.gada projekts</w:t>
            </w:r>
          </w:p>
        </w:tc>
        <w:tc>
          <w:tcPr>
            <w:tcW w:w="3404"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1DEF80FD" w14:textId="77777777" w:rsidR="00890A0D" w:rsidRPr="00890A0D" w:rsidRDefault="00890A0D" w:rsidP="00890A0D">
            <w:pPr>
              <w:jc w:val="center"/>
              <w:rPr>
                <w:rFonts w:ascii="Times New Roman" w:eastAsia="Times New Roman" w:hAnsi="Times New Roman" w:cs="Times New Roman"/>
                <w:b/>
                <w:sz w:val="20"/>
                <w:szCs w:val="20"/>
              </w:rPr>
            </w:pPr>
            <w:r w:rsidRPr="00890A0D">
              <w:rPr>
                <w:rFonts w:ascii="Times New Roman" w:eastAsia="Times New Roman" w:hAnsi="Times New Roman" w:cs="Times New Roman"/>
                <w:b/>
                <w:sz w:val="20"/>
                <w:szCs w:val="20"/>
              </w:rPr>
              <w:t>2022.gada prognoze</w:t>
            </w:r>
          </w:p>
        </w:tc>
        <w:tc>
          <w:tcPr>
            <w:tcW w:w="3108"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8341F30" w14:textId="77777777" w:rsidR="00890A0D" w:rsidRPr="00890A0D" w:rsidRDefault="00890A0D" w:rsidP="00890A0D">
            <w:pPr>
              <w:jc w:val="center"/>
              <w:rPr>
                <w:rFonts w:ascii="Times New Roman" w:eastAsia="Times New Roman" w:hAnsi="Times New Roman" w:cs="Times New Roman"/>
                <w:b/>
                <w:sz w:val="20"/>
                <w:szCs w:val="20"/>
              </w:rPr>
            </w:pPr>
            <w:r w:rsidRPr="00890A0D">
              <w:rPr>
                <w:rFonts w:ascii="Times New Roman" w:eastAsia="Times New Roman" w:hAnsi="Times New Roman" w:cs="Times New Roman"/>
                <w:b/>
                <w:sz w:val="20"/>
                <w:szCs w:val="20"/>
              </w:rPr>
              <w:t>2023.gada prognoze</w:t>
            </w:r>
          </w:p>
        </w:tc>
      </w:tr>
      <w:tr w:rsidR="00890A0D" w:rsidRPr="00890A0D" w14:paraId="6DCB1737" w14:textId="77777777" w:rsidTr="00C404D5">
        <w:trPr>
          <w:trHeight w:val="720"/>
        </w:trPr>
        <w:tc>
          <w:tcPr>
            <w:tcW w:w="41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E8A3F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Pabalsta veids</w:t>
            </w:r>
          </w:p>
        </w:tc>
        <w:tc>
          <w:tcPr>
            <w:tcW w:w="1124" w:type="dxa"/>
            <w:vMerge w:val="restart"/>
            <w:tcBorders>
              <w:top w:val="nil"/>
              <w:left w:val="single" w:sz="4" w:space="0" w:color="auto"/>
              <w:bottom w:val="single" w:sz="4" w:space="0" w:color="000000"/>
              <w:right w:val="single" w:sz="4" w:space="0" w:color="auto"/>
            </w:tcBorders>
            <w:shd w:val="clear" w:color="auto" w:fill="auto"/>
            <w:vAlign w:val="center"/>
            <w:hideMark/>
          </w:tcPr>
          <w:p w14:paraId="61E7AB66" w14:textId="42253BC5"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 xml:space="preserve">Pabalsta apmērs vidēji mēnesī </w:t>
            </w:r>
          </w:p>
        </w:tc>
        <w:tc>
          <w:tcPr>
            <w:tcW w:w="1139" w:type="dxa"/>
            <w:tcBorders>
              <w:top w:val="nil"/>
              <w:left w:val="nil"/>
              <w:bottom w:val="nil"/>
              <w:right w:val="single" w:sz="4" w:space="0" w:color="auto"/>
            </w:tcBorders>
            <w:shd w:val="clear" w:color="auto" w:fill="auto"/>
            <w:vAlign w:val="center"/>
            <w:hideMark/>
          </w:tcPr>
          <w:p w14:paraId="0FA75262"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Saņēmēju</w:t>
            </w:r>
            <w:r w:rsidRPr="00890A0D">
              <w:rPr>
                <w:rFonts w:ascii="Times New Roman" w:eastAsia="Times New Roman" w:hAnsi="Times New Roman" w:cs="Times New Roman"/>
                <w:sz w:val="20"/>
                <w:szCs w:val="20"/>
              </w:rPr>
              <w:br/>
              <w:t xml:space="preserve"> skaits</w:t>
            </w:r>
          </w:p>
        </w:tc>
        <w:tc>
          <w:tcPr>
            <w:tcW w:w="1110" w:type="dxa"/>
            <w:tcBorders>
              <w:top w:val="nil"/>
              <w:left w:val="nil"/>
              <w:bottom w:val="nil"/>
              <w:right w:val="single" w:sz="4" w:space="0" w:color="auto"/>
            </w:tcBorders>
            <w:shd w:val="clear" w:color="auto" w:fill="auto"/>
            <w:vAlign w:val="center"/>
            <w:hideMark/>
          </w:tcPr>
          <w:p w14:paraId="2110236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Izdevumi kopā</w:t>
            </w:r>
          </w:p>
        </w:tc>
        <w:tc>
          <w:tcPr>
            <w:tcW w:w="1182" w:type="dxa"/>
            <w:tcBorders>
              <w:top w:val="nil"/>
              <w:left w:val="nil"/>
              <w:bottom w:val="nil"/>
              <w:right w:val="single" w:sz="4" w:space="0" w:color="auto"/>
            </w:tcBorders>
            <w:shd w:val="clear" w:color="auto" w:fill="auto"/>
            <w:vAlign w:val="center"/>
            <w:hideMark/>
          </w:tcPr>
          <w:p w14:paraId="032B5AA0" w14:textId="738749C3"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Pabalsta apmērs vidēji mēnesī</w:t>
            </w:r>
          </w:p>
        </w:tc>
        <w:tc>
          <w:tcPr>
            <w:tcW w:w="1211" w:type="dxa"/>
            <w:tcBorders>
              <w:top w:val="nil"/>
              <w:left w:val="nil"/>
              <w:bottom w:val="nil"/>
              <w:right w:val="single" w:sz="4" w:space="0" w:color="auto"/>
            </w:tcBorders>
            <w:shd w:val="clear" w:color="auto" w:fill="auto"/>
            <w:vAlign w:val="center"/>
            <w:hideMark/>
          </w:tcPr>
          <w:p w14:paraId="314059AF"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Saņēmēju</w:t>
            </w:r>
            <w:r w:rsidRPr="00890A0D">
              <w:rPr>
                <w:rFonts w:ascii="Times New Roman" w:eastAsia="Times New Roman" w:hAnsi="Times New Roman" w:cs="Times New Roman"/>
                <w:sz w:val="20"/>
                <w:szCs w:val="20"/>
              </w:rPr>
              <w:br/>
              <w:t xml:space="preserve"> skaits</w:t>
            </w:r>
          </w:p>
        </w:tc>
        <w:tc>
          <w:tcPr>
            <w:tcW w:w="1011" w:type="dxa"/>
            <w:tcBorders>
              <w:top w:val="nil"/>
              <w:left w:val="nil"/>
              <w:bottom w:val="nil"/>
              <w:right w:val="single" w:sz="4" w:space="0" w:color="auto"/>
            </w:tcBorders>
            <w:shd w:val="clear" w:color="auto" w:fill="auto"/>
            <w:vAlign w:val="center"/>
            <w:hideMark/>
          </w:tcPr>
          <w:p w14:paraId="0CBD52D7"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Izdevumi kopā</w:t>
            </w:r>
          </w:p>
        </w:tc>
        <w:tc>
          <w:tcPr>
            <w:tcW w:w="1086" w:type="dxa"/>
            <w:tcBorders>
              <w:top w:val="nil"/>
              <w:left w:val="nil"/>
              <w:bottom w:val="nil"/>
              <w:right w:val="single" w:sz="4" w:space="0" w:color="auto"/>
            </w:tcBorders>
            <w:shd w:val="clear" w:color="auto" w:fill="auto"/>
            <w:vAlign w:val="center"/>
            <w:hideMark/>
          </w:tcPr>
          <w:p w14:paraId="561FB86D" w14:textId="14D669BC"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Pabalsta apmērs vidēji mēnesī</w:t>
            </w:r>
          </w:p>
        </w:tc>
        <w:tc>
          <w:tcPr>
            <w:tcW w:w="1050" w:type="dxa"/>
            <w:tcBorders>
              <w:top w:val="nil"/>
              <w:left w:val="nil"/>
              <w:bottom w:val="nil"/>
              <w:right w:val="single" w:sz="4" w:space="0" w:color="auto"/>
            </w:tcBorders>
            <w:shd w:val="clear" w:color="auto" w:fill="auto"/>
            <w:vAlign w:val="center"/>
            <w:hideMark/>
          </w:tcPr>
          <w:p w14:paraId="19F321E4"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Saņēmēju</w:t>
            </w:r>
            <w:r w:rsidRPr="00890A0D">
              <w:rPr>
                <w:rFonts w:ascii="Times New Roman" w:eastAsia="Times New Roman" w:hAnsi="Times New Roman" w:cs="Times New Roman"/>
                <w:sz w:val="20"/>
                <w:szCs w:val="20"/>
              </w:rPr>
              <w:br/>
              <w:t xml:space="preserve"> skaits</w:t>
            </w:r>
          </w:p>
        </w:tc>
        <w:tc>
          <w:tcPr>
            <w:tcW w:w="972" w:type="dxa"/>
            <w:tcBorders>
              <w:top w:val="nil"/>
              <w:left w:val="nil"/>
              <w:bottom w:val="nil"/>
              <w:right w:val="single" w:sz="4" w:space="0" w:color="auto"/>
            </w:tcBorders>
            <w:shd w:val="clear" w:color="auto" w:fill="auto"/>
            <w:vAlign w:val="center"/>
            <w:hideMark/>
          </w:tcPr>
          <w:p w14:paraId="1F67D7B6"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Izdevumi kopā</w:t>
            </w:r>
          </w:p>
        </w:tc>
      </w:tr>
      <w:tr w:rsidR="00890A0D" w:rsidRPr="00890A0D" w14:paraId="07B5C5B7" w14:textId="77777777" w:rsidTr="00C404D5">
        <w:trPr>
          <w:trHeight w:val="300"/>
        </w:trPr>
        <w:tc>
          <w:tcPr>
            <w:tcW w:w="4108" w:type="dxa"/>
            <w:vMerge/>
            <w:tcBorders>
              <w:top w:val="nil"/>
              <w:left w:val="single" w:sz="4" w:space="0" w:color="auto"/>
              <w:bottom w:val="single" w:sz="4" w:space="0" w:color="000000"/>
              <w:right w:val="single" w:sz="4" w:space="0" w:color="auto"/>
            </w:tcBorders>
            <w:vAlign w:val="center"/>
            <w:hideMark/>
          </w:tcPr>
          <w:p w14:paraId="2346785E" w14:textId="77777777" w:rsidR="00890A0D" w:rsidRPr="00890A0D" w:rsidRDefault="00890A0D" w:rsidP="00890A0D">
            <w:pPr>
              <w:rPr>
                <w:rFonts w:ascii="Times New Roman" w:eastAsia="Times New Roman" w:hAnsi="Times New Roman" w:cs="Times New Roman"/>
                <w:sz w:val="20"/>
                <w:szCs w:val="20"/>
              </w:rPr>
            </w:pPr>
          </w:p>
        </w:tc>
        <w:tc>
          <w:tcPr>
            <w:tcW w:w="1124" w:type="dxa"/>
            <w:vMerge/>
            <w:tcBorders>
              <w:top w:val="nil"/>
              <w:left w:val="single" w:sz="4" w:space="0" w:color="auto"/>
              <w:bottom w:val="single" w:sz="4" w:space="0" w:color="000000"/>
              <w:right w:val="single" w:sz="4" w:space="0" w:color="auto"/>
            </w:tcBorders>
            <w:vAlign w:val="center"/>
            <w:hideMark/>
          </w:tcPr>
          <w:p w14:paraId="61846A77" w14:textId="77777777" w:rsidR="00890A0D" w:rsidRPr="00890A0D" w:rsidRDefault="00890A0D" w:rsidP="00890A0D">
            <w:pPr>
              <w:rPr>
                <w:rFonts w:ascii="Times New Roman" w:eastAsia="Times New Roman" w:hAnsi="Times New Roman" w:cs="Times New Roman"/>
                <w:sz w:val="20"/>
                <w:szCs w:val="20"/>
              </w:rPr>
            </w:pPr>
          </w:p>
        </w:tc>
        <w:tc>
          <w:tcPr>
            <w:tcW w:w="1139" w:type="dxa"/>
            <w:tcBorders>
              <w:top w:val="nil"/>
              <w:left w:val="nil"/>
              <w:bottom w:val="single" w:sz="4" w:space="0" w:color="auto"/>
              <w:right w:val="single" w:sz="4" w:space="0" w:color="auto"/>
            </w:tcBorders>
            <w:shd w:val="clear" w:color="auto" w:fill="auto"/>
            <w:noWrap/>
            <w:vAlign w:val="bottom"/>
            <w:hideMark/>
          </w:tcPr>
          <w:p w14:paraId="2FF5398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(vid.mēn.)</w:t>
            </w:r>
          </w:p>
        </w:tc>
        <w:tc>
          <w:tcPr>
            <w:tcW w:w="1110" w:type="dxa"/>
            <w:tcBorders>
              <w:top w:val="nil"/>
              <w:left w:val="nil"/>
              <w:bottom w:val="single" w:sz="4" w:space="0" w:color="auto"/>
              <w:right w:val="single" w:sz="4" w:space="0" w:color="auto"/>
            </w:tcBorders>
            <w:shd w:val="clear" w:color="auto" w:fill="auto"/>
            <w:noWrap/>
            <w:vAlign w:val="bottom"/>
            <w:hideMark/>
          </w:tcPr>
          <w:p w14:paraId="6DAD2298" w14:textId="047C3C1C" w:rsidR="00890A0D" w:rsidRPr="00890A0D" w:rsidRDefault="00890A0D" w:rsidP="00890A0D">
            <w:pPr>
              <w:jc w:val="center"/>
              <w:rPr>
                <w:rFonts w:ascii="Times New Roman" w:eastAsia="Times New Roman" w:hAnsi="Times New Roman" w:cs="Times New Roman"/>
                <w:sz w:val="20"/>
                <w:szCs w:val="20"/>
              </w:rPr>
            </w:pPr>
          </w:p>
        </w:tc>
        <w:tc>
          <w:tcPr>
            <w:tcW w:w="1182" w:type="dxa"/>
            <w:tcBorders>
              <w:top w:val="nil"/>
              <w:left w:val="nil"/>
              <w:bottom w:val="single" w:sz="4" w:space="0" w:color="auto"/>
              <w:right w:val="single" w:sz="4" w:space="0" w:color="auto"/>
            </w:tcBorders>
            <w:shd w:val="clear" w:color="auto" w:fill="auto"/>
            <w:vAlign w:val="center"/>
            <w:hideMark/>
          </w:tcPr>
          <w:p w14:paraId="26151BA7"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 </w:t>
            </w:r>
          </w:p>
        </w:tc>
        <w:tc>
          <w:tcPr>
            <w:tcW w:w="1211" w:type="dxa"/>
            <w:tcBorders>
              <w:top w:val="nil"/>
              <w:left w:val="nil"/>
              <w:bottom w:val="single" w:sz="4" w:space="0" w:color="auto"/>
              <w:right w:val="single" w:sz="4" w:space="0" w:color="auto"/>
            </w:tcBorders>
            <w:shd w:val="clear" w:color="auto" w:fill="auto"/>
            <w:noWrap/>
            <w:vAlign w:val="bottom"/>
            <w:hideMark/>
          </w:tcPr>
          <w:p w14:paraId="12D2A804"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(vid.mēn.)</w:t>
            </w:r>
          </w:p>
        </w:tc>
        <w:tc>
          <w:tcPr>
            <w:tcW w:w="1011" w:type="dxa"/>
            <w:tcBorders>
              <w:top w:val="nil"/>
              <w:left w:val="nil"/>
              <w:bottom w:val="single" w:sz="4" w:space="0" w:color="auto"/>
              <w:right w:val="single" w:sz="4" w:space="0" w:color="auto"/>
            </w:tcBorders>
            <w:shd w:val="clear" w:color="auto" w:fill="auto"/>
            <w:noWrap/>
            <w:vAlign w:val="bottom"/>
            <w:hideMark/>
          </w:tcPr>
          <w:p w14:paraId="36846CD5" w14:textId="1C9E9F76" w:rsidR="00890A0D" w:rsidRPr="00890A0D" w:rsidRDefault="00890A0D" w:rsidP="00890A0D">
            <w:pPr>
              <w:jc w:val="center"/>
              <w:rPr>
                <w:rFonts w:ascii="Times New Roman" w:eastAsia="Times New Roman" w:hAnsi="Times New Roman" w:cs="Times New Roman"/>
                <w:sz w:val="20"/>
                <w:szCs w:val="20"/>
              </w:rPr>
            </w:pPr>
          </w:p>
        </w:tc>
        <w:tc>
          <w:tcPr>
            <w:tcW w:w="1086" w:type="dxa"/>
            <w:tcBorders>
              <w:top w:val="nil"/>
              <w:left w:val="nil"/>
              <w:bottom w:val="single" w:sz="4" w:space="0" w:color="auto"/>
              <w:right w:val="single" w:sz="4" w:space="0" w:color="auto"/>
            </w:tcBorders>
            <w:shd w:val="clear" w:color="auto" w:fill="auto"/>
            <w:vAlign w:val="center"/>
            <w:hideMark/>
          </w:tcPr>
          <w:p w14:paraId="114FF6E2"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 </w:t>
            </w:r>
          </w:p>
        </w:tc>
        <w:tc>
          <w:tcPr>
            <w:tcW w:w="1050" w:type="dxa"/>
            <w:tcBorders>
              <w:top w:val="nil"/>
              <w:left w:val="nil"/>
              <w:bottom w:val="single" w:sz="4" w:space="0" w:color="auto"/>
              <w:right w:val="single" w:sz="4" w:space="0" w:color="auto"/>
            </w:tcBorders>
            <w:shd w:val="clear" w:color="auto" w:fill="auto"/>
            <w:noWrap/>
            <w:vAlign w:val="bottom"/>
            <w:hideMark/>
          </w:tcPr>
          <w:p w14:paraId="43BEE4DD"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(vid.mēn.)</w:t>
            </w:r>
          </w:p>
        </w:tc>
        <w:tc>
          <w:tcPr>
            <w:tcW w:w="972" w:type="dxa"/>
            <w:tcBorders>
              <w:top w:val="nil"/>
              <w:left w:val="nil"/>
              <w:bottom w:val="single" w:sz="4" w:space="0" w:color="auto"/>
              <w:right w:val="single" w:sz="4" w:space="0" w:color="auto"/>
            </w:tcBorders>
            <w:shd w:val="clear" w:color="auto" w:fill="auto"/>
            <w:noWrap/>
            <w:vAlign w:val="bottom"/>
            <w:hideMark/>
          </w:tcPr>
          <w:p w14:paraId="0D5EC4EF" w14:textId="58531AD7" w:rsidR="00890A0D" w:rsidRPr="00890A0D" w:rsidRDefault="00890A0D" w:rsidP="00890A0D">
            <w:pPr>
              <w:jc w:val="center"/>
              <w:rPr>
                <w:rFonts w:ascii="Times New Roman" w:eastAsia="Times New Roman" w:hAnsi="Times New Roman" w:cs="Times New Roman"/>
                <w:sz w:val="20"/>
                <w:szCs w:val="20"/>
              </w:rPr>
            </w:pPr>
          </w:p>
        </w:tc>
      </w:tr>
      <w:tr w:rsidR="00890A0D" w:rsidRPr="00890A0D" w14:paraId="005DF946" w14:textId="77777777" w:rsidTr="00C404D5">
        <w:trPr>
          <w:trHeight w:val="300"/>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636EBC7E"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w:t>
            </w:r>
          </w:p>
        </w:tc>
        <w:tc>
          <w:tcPr>
            <w:tcW w:w="1124" w:type="dxa"/>
            <w:tcBorders>
              <w:top w:val="nil"/>
              <w:left w:val="nil"/>
              <w:bottom w:val="single" w:sz="4" w:space="0" w:color="auto"/>
              <w:right w:val="single" w:sz="4" w:space="0" w:color="auto"/>
            </w:tcBorders>
            <w:shd w:val="clear" w:color="000000" w:fill="FFFFFF"/>
            <w:noWrap/>
            <w:vAlign w:val="bottom"/>
            <w:hideMark/>
          </w:tcPr>
          <w:p w14:paraId="2A4224C3"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w:t>
            </w:r>
          </w:p>
        </w:tc>
        <w:tc>
          <w:tcPr>
            <w:tcW w:w="1139" w:type="dxa"/>
            <w:tcBorders>
              <w:top w:val="nil"/>
              <w:left w:val="nil"/>
              <w:bottom w:val="single" w:sz="4" w:space="0" w:color="auto"/>
              <w:right w:val="single" w:sz="4" w:space="0" w:color="auto"/>
            </w:tcBorders>
            <w:shd w:val="clear" w:color="auto" w:fill="auto"/>
            <w:noWrap/>
            <w:vAlign w:val="bottom"/>
            <w:hideMark/>
          </w:tcPr>
          <w:p w14:paraId="46891166"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3</w:t>
            </w:r>
          </w:p>
        </w:tc>
        <w:tc>
          <w:tcPr>
            <w:tcW w:w="1110" w:type="dxa"/>
            <w:tcBorders>
              <w:top w:val="nil"/>
              <w:left w:val="nil"/>
              <w:bottom w:val="single" w:sz="4" w:space="0" w:color="auto"/>
              <w:right w:val="single" w:sz="4" w:space="0" w:color="auto"/>
            </w:tcBorders>
            <w:shd w:val="clear" w:color="000000" w:fill="FFFFFF"/>
            <w:noWrap/>
            <w:vAlign w:val="bottom"/>
            <w:hideMark/>
          </w:tcPr>
          <w:p w14:paraId="136D579D"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000000" w:fill="FFFFFF"/>
            <w:noWrap/>
            <w:vAlign w:val="bottom"/>
            <w:hideMark/>
          </w:tcPr>
          <w:p w14:paraId="64C6E88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w:t>
            </w:r>
          </w:p>
        </w:tc>
        <w:tc>
          <w:tcPr>
            <w:tcW w:w="1211" w:type="dxa"/>
            <w:tcBorders>
              <w:top w:val="nil"/>
              <w:left w:val="nil"/>
              <w:bottom w:val="single" w:sz="4" w:space="0" w:color="auto"/>
              <w:right w:val="single" w:sz="4" w:space="0" w:color="auto"/>
            </w:tcBorders>
            <w:shd w:val="clear" w:color="000000" w:fill="FFFFFF"/>
            <w:noWrap/>
            <w:vAlign w:val="bottom"/>
            <w:hideMark/>
          </w:tcPr>
          <w:p w14:paraId="3DD3F36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6</w:t>
            </w:r>
          </w:p>
        </w:tc>
        <w:tc>
          <w:tcPr>
            <w:tcW w:w="1011" w:type="dxa"/>
            <w:tcBorders>
              <w:top w:val="nil"/>
              <w:left w:val="nil"/>
              <w:bottom w:val="single" w:sz="4" w:space="0" w:color="auto"/>
              <w:right w:val="single" w:sz="4" w:space="0" w:color="auto"/>
            </w:tcBorders>
            <w:shd w:val="clear" w:color="000000" w:fill="FFFFFF"/>
            <w:noWrap/>
            <w:vAlign w:val="bottom"/>
            <w:hideMark/>
          </w:tcPr>
          <w:p w14:paraId="072DF7F6"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7</w:t>
            </w:r>
          </w:p>
        </w:tc>
        <w:tc>
          <w:tcPr>
            <w:tcW w:w="1086" w:type="dxa"/>
            <w:tcBorders>
              <w:top w:val="nil"/>
              <w:left w:val="nil"/>
              <w:bottom w:val="single" w:sz="4" w:space="0" w:color="auto"/>
              <w:right w:val="single" w:sz="4" w:space="0" w:color="auto"/>
            </w:tcBorders>
            <w:shd w:val="clear" w:color="000000" w:fill="FFFFFF"/>
            <w:noWrap/>
            <w:vAlign w:val="bottom"/>
            <w:hideMark/>
          </w:tcPr>
          <w:p w14:paraId="098E52A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8</w:t>
            </w:r>
          </w:p>
        </w:tc>
        <w:tc>
          <w:tcPr>
            <w:tcW w:w="1050" w:type="dxa"/>
            <w:tcBorders>
              <w:top w:val="nil"/>
              <w:left w:val="nil"/>
              <w:bottom w:val="single" w:sz="4" w:space="0" w:color="auto"/>
              <w:right w:val="single" w:sz="4" w:space="0" w:color="auto"/>
            </w:tcBorders>
            <w:shd w:val="clear" w:color="auto" w:fill="auto"/>
            <w:noWrap/>
            <w:vAlign w:val="bottom"/>
            <w:hideMark/>
          </w:tcPr>
          <w:p w14:paraId="3406035F"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w:t>
            </w:r>
          </w:p>
        </w:tc>
        <w:tc>
          <w:tcPr>
            <w:tcW w:w="972" w:type="dxa"/>
            <w:tcBorders>
              <w:top w:val="nil"/>
              <w:left w:val="nil"/>
              <w:bottom w:val="single" w:sz="4" w:space="0" w:color="auto"/>
              <w:right w:val="single" w:sz="4" w:space="0" w:color="auto"/>
            </w:tcBorders>
            <w:shd w:val="clear" w:color="000000" w:fill="FFFFFF"/>
            <w:noWrap/>
            <w:vAlign w:val="bottom"/>
            <w:hideMark/>
          </w:tcPr>
          <w:p w14:paraId="65BC3584"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10</w:t>
            </w:r>
          </w:p>
        </w:tc>
      </w:tr>
      <w:tr w:rsidR="00890A0D" w:rsidRPr="00890A0D" w14:paraId="4E426036" w14:textId="77777777" w:rsidTr="00C404D5">
        <w:trPr>
          <w:trHeight w:val="300"/>
        </w:trPr>
        <w:tc>
          <w:tcPr>
            <w:tcW w:w="4108" w:type="dxa"/>
            <w:tcBorders>
              <w:top w:val="nil"/>
              <w:left w:val="single" w:sz="4" w:space="0" w:color="auto"/>
              <w:bottom w:val="single" w:sz="4" w:space="0" w:color="auto"/>
              <w:right w:val="nil"/>
            </w:tcBorders>
            <w:shd w:val="clear" w:color="auto" w:fill="auto"/>
            <w:noWrap/>
            <w:vAlign w:val="bottom"/>
            <w:hideMark/>
          </w:tcPr>
          <w:p w14:paraId="3030B09F" w14:textId="77777777" w:rsidR="00890A0D" w:rsidRPr="00890A0D" w:rsidRDefault="00890A0D" w:rsidP="00890A0D">
            <w:pP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Izdienas pensijas</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56F49476"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522,02</w:t>
            </w:r>
          </w:p>
        </w:tc>
        <w:tc>
          <w:tcPr>
            <w:tcW w:w="1139" w:type="dxa"/>
            <w:tcBorders>
              <w:top w:val="nil"/>
              <w:left w:val="nil"/>
              <w:bottom w:val="nil"/>
              <w:right w:val="single" w:sz="4" w:space="0" w:color="auto"/>
            </w:tcBorders>
            <w:shd w:val="clear" w:color="auto" w:fill="auto"/>
            <w:noWrap/>
            <w:vAlign w:val="bottom"/>
            <w:hideMark/>
          </w:tcPr>
          <w:p w14:paraId="7FF04CC7"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9 311</w:t>
            </w:r>
          </w:p>
        </w:tc>
        <w:tc>
          <w:tcPr>
            <w:tcW w:w="1110" w:type="dxa"/>
            <w:tcBorders>
              <w:top w:val="nil"/>
              <w:left w:val="nil"/>
              <w:bottom w:val="nil"/>
              <w:right w:val="single" w:sz="4" w:space="0" w:color="auto"/>
            </w:tcBorders>
            <w:shd w:val="clear" w:color="auto" w:fill="auto"/>
            <w:noWrap/>
            <w:vAlign w:val="bottom"/>
            <w:hideMark/>
          </w:tcPr>
          <w:p w14:paraId="40BE6D4C"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58 326 339</w:t>
            </w:r>
          </w:p>
        </w:tc>
        <w:tc>
          <w:tcPr>
            <w:tcW w:w="1182" w:type="dxa"/>
            <w:tcBorders>
              <w:top w:val="nil"/>
              <w:left w:val="nil"/>
              <w:bottom w:val="single" w:sz="4" w:space="0" w:color="auto"/>
              <w:right w:val="single" w:sz="4" w:space="0" w:color="auto"/>
            </w:tcBorders>
            <w:shd w:val="clear" w:color="auto" w:fill="auto"/>
            <w:noWrap/>
            <w:vAlign w:val="bottom"/>
            <w:hideMark/>
          </w:tcPr>
          <w:p w14:paraId="6473D1F3"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526,43</w:t>
            </w:r>
          </w:p>
        </w:tc>
        <w:tc>
          <w:tcPr>
            <w:tcW w:w="1211" w:type="dxa"/>
            <w:tcBorders>
              <w:top w:val="nil"/>
              <w:left w:val="nil"/>
              <w:bottom w:val="nil"/>
              <w:right w:val="single" w:sz="4" w:space="0" w:color="auto"/>
            </w:tcBorders>
            <w:shd w:val="clear" w:color="auto" w:fill="auto"/>
            <w:noWrap/>
            <w:vAlign w:val="bottom"/>
            <w:hideMark/>
          </w:tcPr>
          <w:p w14:paraId="4A4A5335"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9 732</w:t>
            </w:r>
          </w:p>
        </w:tc>
        <w:tc>
          <w:tcPr>
            <w:tcW w:w="1011" w:type="dxa"/>
            <w:tcBorders>
              <w:top w:val="nil"/>
              <w:left w:val="nil"/>
              <w:bottom w:val="nil"/>
              <w:right w:val="single" w:sz="4" w:space="0" w:color="auto"/>
            </w:tcBorders>
            <w:shd w:val="clear" w:color="auto" w:fill="auto"/>
            <w:noWrap/>
            <w:vAlign w:val="bottom"/>
            <w:hideMark/>
          </w:tcPr>
          <w:p w14:paraId="206702BB"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61 478 601</w:t>
            </w:r>
          </w:p>
        </w:tc>
        <w:tc>
          <w:tcPr>
            <w:tcW w:w="1086" w:type="dxa"/>
            <w:tcBorders>
              <w:top w:val="nil"/>
              <w:left w:val="nil"/>
              <w:bottom w:val="single" w:sz="4" w:space="0" w:color="auto"/>
              <w:right w:val="single" w:sz="4" w:space="0" w:color="auto"/>
            </w:tcBorders>
            <w:shd w:val="clear" w:color="auto" w:fill="auto"/>
            <w:noWrap/>
            <w:vAlign w:val="bottom"/>
            <w:hideMark/>
          </w:tcPr>
          <w:p w14:paraId="2AE077AF"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543,40</w:t>
            </w:r>
          </w:p>
        </w:tc>
        <w:tc>
          <w:tcPr>
            <w:tcW w:w="1050" w:type="dxa"/>
            <w:tcBorders>
              <w:top w:val="nil"/>
              <w:left w:val="nil"/>
              <w:bottom w:val="nil"/>
              <w:right w:val="single" w:sz="4" w:space="0" w:color="auto"/>
            </w:tcBorders>
            <w:shd w:val="clear" w:color="auto" w:fill="auto"/>
            <w:noWrap/>
            <w:vAlign w:val="bottom"/>
            <w:hideMark/>
          </w:tcPr>
          <w:p w14:paraId="005C2D73"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10 188</w:t>
            </w:r>
          </w:p>
        </w:tc>
        <w:tc>
          <w:tcPr>
            <w:tcW w:w="972" w:type="dxa"/>
            <w:tcBorders>
              <w:top w:val="nil"/>
              <w:left w:val="nil"/>
              <w:bottom w:val="nil"/>
              <w:right w:val="single" w:sz="4" w:space="0" w:color="auto"/>
            </w:tcBorders>
            <w:shd w:val="clear" w:color="auto" w:fill="auto"/>
            <w:noWrap/>
            <w:vAlign w:val="bottom"/>
            <w:hideMark/>
          </w:tcPr>
          <w:p w14:paraId="6B484315"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66 433 910</w:t>
            </w:r>
          </w:p>
        </w:tc>
      </w:tr>
      <w:tr w:rsidR="00890A0D" w:rsidRPr="00890A0D" w14:paraId="3BBEA020" w14:textId="77777777" w:rsidTr="00C404D5">
        <w:trPr>
          <w:trHeight w:val="525"/>
        </w:trPr>
        <w:tc>
          <w:tcPr>
            <w:tcW w:w="4108" w:type="dxa"/>
            <w:tcBorders>
              <w:top w:val="nil"/>
              <w:left w:val="single" w:sz="4" w:space="0" w:color="auto"/>
              <w:bottom w:val="single" w:sz="4" w:space="0" w:color="auto"/>
              <w:right w:val="nil"/>
            </w:tcBorders>
            <w:shd w:val="clear" w:color="auto" w:fill="auto"/>
            <w:vAlign w:val="bottom"/>
            <w:hideMark/>
          </w:tcPr>
          <w:p w14:paraId="6371C8EA" w14:textId="77777777" w:rsidR="00890A0D" w:rsidRPr="00890A0D" w:rsidRDefault="00890A0D" w:rsidP="00890A0D">
            <w:pP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Apbedīšanas pabalsts, ja miris izdienas pensijas saņēmējs</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1F3595EC"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938,45</w:t>
            </w:r>
          </w:p>
        </w:tc>
        <w:tc>
          <w:tcPr>
            <w:tcW w:w="1139" w:type="dxa"/>
            <w:tcBorders>
              <w:top w:val="single" w:sz="4" w:space="0" w:color="auto"/>
              <w:left w:val="nil"/>
              <w:bottom w:val="single" w:sz="4" w:space="0" w:color="auto"/>
              <w:right w:val="nil"/>
            </w:tcBorders>
            <w:shd w:val="clear" w:color="auto" w:fill="auto"/>
            <w:noWrap/>
            <w:vAlign w:val="bottom"/>
            <w:hideMark/>
          </w:tcPr>
          <w:p w14:paraId="65C53B33"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w:t>
            </w:r>
          </w:p>
        </w:tc>
        <w:tc>
          <w:tcPr>
            <w:tcW w:w="1110" w:type="dxa"/>
            <w:tcBorders>
              <w:top w:val="single" w:sz="4" w:space="0" w:color="auto"/>
              <w:left w:val="single" w:sz="4" w:space="0" w:color="auto"/>
              <w:bottom w:val="nil"/>
              <w:right w:val="single" w:sz="4" w:space="0" w:color="auto"/>
            </w:tcBorders>
            <w:shd w:val="clear" w:color="auto" w:fill="auto"/>
            <w:noWrap/>
            <w:vAlign w:val="bottom"/>
            <w:hideMark/>
          </w:tcPr>
          <w:p w14:paraId="5A7D03C5"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56 307</w:t>
            </w:r>
          </w:p>
        </w:tc>
        <w:tc>
          <w:tcPr>
            <w:tcW w:w="1182" w:type="dxa"/>
            <w:tcBorders>
              <w:top w:val="nil"/>
              <w:left w:val="nil"/>
              <w:bottom w:val="single" w:sz="4" w:space="0" w:color="auto"/>
              <w:right w:val="single" w:sz="4" w:space="0" w:color="auto"/>
            </w:tcBorders>
            <w:shd w:val="clear" w:color="auto" w:fill="auto"/>
            <w:noWrap/>
            <w:vAlign w:val="bottom"/>
            <w:hideMark/>
          </w:tcPr>
          <w:p w14:paraId="09067A28"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979,68</w:t>
            </w:r>
          </w:p>
        </w:tc>
        <w:tc>
          <w:tcPr>
            <w:tcW w:w="1211" w:type="dxa"/>
            <w:tcBorders>
              <w:top w:val="single" w:sz="4" w:space="0" w:color="auto"/>
              <w:left w:val="nil"/>
              <w:bottom w:val="single" w:sz="4" w:space="0" w:color="auto"/>
              <w:right w:val="nil"/>
            </w:tcBorders>
            <w:shd w:val="clear" w:color="auto" w:fill="auto"/>
            <w:noWrap/>
            <w:vAlign w:val="bottom"/>
            <w:hideMark/>
          </w:tcPr>
          <w:p w14:paraId="5888FEFC"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AFB11"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58 781</w:t>
            </w:r>
          </w:p>
        </w:tc>
        <w:tc>
          <w:tcPr>
            <w:tcW w:w="1086" w:type="dxa"/>
            <w:tcBorders>
              <w:top w:val="nil"/>
              <w:left w:val="nil"/>
              <w:bottom w:val="single" w:sz="4" w:space="0" w:color="auto"/>
              <w:right w:val="single" w:sz="4" w:space="0" w:color="auto"/>
            </w:tcBorders>
            <w:shd w:val="clear" w:color="auto" w:fill="auto"/>
            <w:noWrap/>
            <w:vAlign w:val="bottom"/>
            <w:hideMark/>
          </w:tcPr>
          <w:p w14:paraId="2C6E75C5"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979,68</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24A8E20E"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7DF5049B"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58 781</w:t>
            </w:r>
          </w:p>
        </w:tc>
      </w:tr>
      <w:tr w:rsidR="00890A0D" w:rsidRPr="00890A0D" w14:paraId="6B7E4193" w14:textId="77777777" w:rsidTr="00C404D5">
        <w:trPr>
          <w:trHeight w:val="525"/>
        </w:trPr>
        <w:tc>
          <w:tcPr>
            <w:tcW w:w="4108" w:type="dxa"/>
            <w:tcBorders>
              <w:top w:val="nil"/>
              <w:left w:val="single" w:sz="4" w:space="0" w:color="auto"/>
              <w:bottom w:val="single" w:sz="4" w:space="0" w:color="auto"/>
              <w:right w:val="nil"/>
            </w:tcBorders>
            <w:shd w:val="clear" w:color="auto" w:fill="auto"/>
            <w:vAlign w:val="bottom"/>
            <w:hideMark/>
          </w:tcPr>
          <w:p w14:paraId="1B11C22B" w14:textId="77777777" w:rsidR="00890A0D" w:rsidRPr="00890A0D" w:rsidRDefault="00890A0D" w:rsidP="00890A0D">
            <w:pP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Pabalsts izdienas pensijas saņēmēja nāves gadījumā pārdzīvojušajam laulātajam</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1352BD98"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938,42</w:t>
            </w:r>
          </w:p>
        </w:tc>
        <w:tc>
          <w:tcPr>
            <w:tcW w:w="1139" w:type="dxa"/>
            <w:tcBorders>
              <w:top w:val="nil"/>
              <w:left w:val="nil"/>
              <w:bottom w:val="single" w:sz="4" w:space="0" w:color="auto"/>
              <w:right w:val="nil"/>
            </w:tcBorders>
            <w:shd w:val="clear" w:color="auto" w:fill="auto"/>
            <w:noWrap/>
            <w:vAlign w:val="bottom"/>
            <w:hideMark/>
          </w:tcPr>
          <w:p w14:paraId="68403F1E"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24602"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11 261</w:t>
            </w:r>
          </w:p>
        </w:tc>
        <w:tc>
          <w:tcPr>
            <w:tcW w:w="1182" w:type="dxa"/>
            <w:tcBorders>
              <w:top w:val="nil"/>
              <w:left w:val="nil"/>
              <w:bottom w:val="single" w:sz="4" w:space="0" w:color="auto"/>
              <w:right w:val="single" w:sz="4" w:space="0" w:color="auto"/>
            </w:tcBorders>
            <w:shd w:val="clear" w:color="auto" w:fill="auto"/>
            <w:noWrap/>
            <w:vAlign w:val="bottom"/>
            <w:hideMark/>
          </w:tcPr>
          <w:p w14:paraId="4F04619D"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979,67</w:t>
            </w:r>
          </w:p>
        </w:tc>
        <w:tc>
          <w:tcPr>
            <w:tcW w:w="1211" w:type="dxa"/>
            <w:tcBorders>
              <w:top w:val="nil"/>
              <w:left w:val="nil"/>
              <w:bottom w:val="nil"/>
              <w:right w:val="nil"/>
            </w:tcBorders>
            <w:shd w:val="clear" w:color="auto" w:fill="auto"/>
            <w:noWrap/>
            <w:vAlign w:val="bottom"/>
            <w:hideMark/>
          </w:tcPr>
          <w:p w14:paraId="7621A849"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w:t>
            </w:r>
          </w:p>
        </w:tc>
        <w:tc>
          <w:tcPr>
            <w:tcW w:w="1011" w:type="dxa"/>
            <w:tcBorders>
              <w:top w:val="nil"/>
              <w:left w:val="single" w:sz="4" w:space="0" w:color="auto"/>
              <w:bottom w:val="nil"/>
              <w:right w:val="single" w:sz="4" w:space="0" w:color="auto"/>
            </w:tcBorders>
            <w:shd w:val="clear" w:color="auto" w:fill="auto"/>
            <w:noWrap/>
            <w:vAlign w:val="bottom"/>
            <w:hideMark/>
          </w:tcPr>
          <w:p w14:paraId="0441FA13"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11 756</w:t>
            </w:r>
          </w:p>
        </w:tc>
        <w:tc>
          <w:tcPr>
            <w:tcW w:w="1086" w:type="dxa"/>
            <w:tcBorders>
              <w:top w:val="nil"/>
              <w:left w:val="nil"/>
              <w:bottom w:val="nil"/>
              <w:right w:val="single" w:sz="4" w:space="0" w:color="auto"/>
            </w:tcBorders>
            <w:shd w:val="clear" w:color="auto" w:fill="auto"/>
            <w:noWrap/>
            <w:vAlign w:val="bottom"/>
            <w:hideMark/>
          </w:tcPr>
          <w:p w14:paraId="722360A0"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979,67</w:t>
            </w:r>
          </w:p>
        </w:tc>
        <w:tc>
          <w:tcPr>
            <w:tcW w:w="1050" w:type="dxa"/>
            <w:tcBorders>
              <w:top w:val="nil"/>
              <w:left w:val="nil"/>
              <w:bottom w:val="single" w:sz="4" w:space="0" w:color="auto"/>
              <w:right w:val="single" w:sz="4" w:space="0" w:color="auto"/>
            </w:tcBorders>
            <w:shd w:val="clear" w:color="auto" w:fill="auto"/>
            <w:noWrap/>
            <w:vAlign w:val="bottom"/>
            <w:hideMark/>
          </w:tcPr>
          <w:p w14:paraId="523EBD08"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w:t>
            </w:r>
          </w:p>
        </w:tc>
        <w:tc>
          <w:tcPr>
            <w:tcW w:w="972" w:type="dxa"/>
            <w:tcBorders>
              <w:top w:val="nil"/>
              <w:left w:val="nil"/>
              <w:bottom w:val="single" w:sz="4" w:space="0" w:color="auto"/>
              <w:right w:val="single" w:sz="4" w:space="0" w:color="auto"/>
            </w:tcBorders>
            <w:shd w:val="clear" w:color="auto" w:fill="auto"/>
            <w:noWrap/>
            <w:vAlign w:val="bottom"/>
            <w:hideMark/>
          </w:tcPr>
          <w:p w14:paraId="4BE6ACC1"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11 756</w:t>
            </w:r>
          </w:p>
        </w:tc>
      </w:tr>
      <w:tr w:rsidR="00890A0D" w:rsidRPr="00890A0D" w14:paraId="730A40FC" w14:textId="77777777" w:rsidTr="00C404D5">
        <w:trPr>
          <w:trHeight w:val="1545"/>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65A69FF5" w14:textId="77777777" w:rsidR="00890A0D" w:rsidRPr="00890A0D" w:rsidRDefault="00890A0D" w:rsidP="00890A0D">
            <w:pP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Piemaksas pie vecuma pensijām, lai saglabātu piešķirto izdienas pensijas apmēru tām personām, kurām izdienas pensijas piešķirtas saskaņā ar nolikumu "Par iekšlietu iestāžu ierindas un komandējošā sastāva darbinieku pensijām (darba devēju pensijām)"</w:t>
            </w:r>
          </w:p>
        </w:tc>
        <w:tc>
          <w:tcPr>
            <w:tcW w:w="1124" w:type="dxa"/>
            <w:tcBorders>
              <w:top w:val="nil"/>
              <w:left w:val="nil"/>
              <w:bottom w:val="single" w:sz="4" w:space="0" w:color="auto"/>
              <w:right w:val="single" w:sz="4" w:space="0" w:color="auto"/>
            </w:tcBorders>
            <w:shd w:val="clear" w:color="auto" w:fill="auto"/>
            <w:noWrap/>
            <w:vAlign w:val="bottom"/>
            <w:hideMark/>
          </w:tcPr>
          <w:p w14:paraId="44536813"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151,08</w:t>
            </w:r>
          </w:p>
        </w:tc>
        <w:tc>
          <w:tcPr>
            <w:tcW w:w="1139" w:type="dxa"/>
            <w:tcBorders>
              <w:top w:val="nil"/>
              <w:left w:val="nil"/>
              <w:bottom w:val="single" w:sz="4" w:space="0" w:color="auto"/>
              <w:right w:val="single" w:sz="4" w:space="0" w:color="auto"/>
            </w:tcBorders>
            <w:shd w:val="clear" w:color="auto" w:fill="auto"/>
            <w:noWrap/>
            <w:vAlign w:val="bottom"/>
            <w:hideMark/>
          </w:tcPr>
          <w:p w14:paraId="4ECC7439"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34</w:t>
            </w:r>
          </w:p>
        </w:tc>
        <w:tc>
          <w:tcPr>
            <w:tcW w:w="1110" w:type="dxa"/>
            <w:tcBorders>
              <w:top w:val="nil"/>
              <w:left w:val="nil"/>
              <w:bottom w:val="single" w:sz="4" w:space="0" w:color="auto"/>
              <w:right w:val="single" w:sz="4" w:space="0" w:color="auto"/>
            </w:tcBorders>
            <w:shd w:val="clear" w:color="auto" w:fill="auto"/>
            <w:noWrap/>
            <w:vAlign w:val="bottom"/>
            <w:hideMark/>
          </w:tcPr>
          <w:p w14:paraId="149387F3"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61 641</w:t>
            </w:r>
          </w:p>
        </w:tc>
        <w:tc>
          <w:tcPr>
            <w:tcW w:w="1182" w:type="dxa"/>
            <w:tcBorders>
              <w:top w:val="nil"/>
              <w:left w:val="nil"/>
              <w:bottom w:val="single" w:sz="4" w:space="0" w:color="auto"/>
              <w:right w:val="single" w:sz="4" w:space="0" w:color="auto"/>
            </w:tcBorders>
            <w:shd w:val="clear" w:color="auto" w:fill="auto"/>
            <w:noWrap/>
            <w:vAlign w:val="bottom"/>
            <w:hideMark/>
          </w:tcPr>
          <w:p w14:paraId="7AD33590"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152,55</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13BACFAC"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40</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00BDC4CB"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73 224</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0B3341EB"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158,69</w:t>
            </w:r>
          </w:p>
        </w:tc>
        <w:tc>
          <w:tcPr>
            <w:tcW w:w="1050" w:type="dxa"/>
            <w:tcBorders>
              <w:top w:val="nil"/>
              <w:left w:val="nil"/>
              <w:bottom w:val="single" w:sz="4" w:space="0" w:color="auto"/>
              <w:right w:val="single" w:sz="4" w:space="0" w:color="auto"/>
            </w:tcBorders>
            <w:shd w:val="clear" w:color="auto" w:fill="auto"/>
            <w:noWrap/>
            <w:vAlign w:val="bottom"/>
            <w:hideMark/>
          </w:tcPr>
          <w:p w14:paraId="48748141"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46</w:t>
            </w:r>
          </w:p>
        </w:tc>
        <w:tc>
          <w:tcPr>
            <w:tcW w:w="972" w:type="dxa"/>
            <w:tcBorders>
              <w:top w:val="nil"/>
              <w:left w:val="nil"/>
              <w:bottom w:val="single" w:sz="4" w:space="0" w:color="auto"/>
              <w:right w:val="single" w:sz="4" w:space="0" w:color="auto"/>
            </w:tcBorders>
            <w:shd w:val="clear" w:color="auto" w:fill="auto"/>
            <w:noWrap/>
            <w:vAlign w:val="bottom"/>
            <w:hideMark/>
          </w:tcPr>
          <w:p w14:paraId="388F7863"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87 597</w:t>
            </w:r>
          </w:p>
        </w:tc>
      </w:tr>
      <w:tr w:rsidR="00890A0D" w:rsidRPr="00890A0D" w14:paraId="0057E7DF" w14:textId="77777777" w:rsidTr="00C404D5">
        <w:trPr>
          <w:trHeight w:val="300"/>
        </w:trPr>
        <w:tc>
          <w:tcPr>
            <w:tcW w:w="4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BE746" w14:textId="2A704D7D" w:rsidR="00890A0D" w:rsidRPr="00890A0D" w:rsidRDefault="00890A0D" w:rsidP="00890A0D">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Kopā</w:t>
            </w:r>
          </w:p>
        </w:tc>
        <w:tc>
          <w:tcPr>
            <w:tcW w:w="1124" w:type="dxa"/>
            <w:tcBorders>
              <w:top w:val="nil"/>
              <w:left w:val="nil"/>
              <w:bottom w:val="single" w:sz="4" w:space="0" w:color="auto"/>
              <w:right w:val="nil"/>
            </w:tcBorders>
            <w:shd w:val="clear" w:color="auto" w:fill="auto"/>
            <w:noWrap/>
            <w:vAlign w:val="center"/>
            <w:hideMark/>
          </w:tcPr>
          <w:p w14:paraId="25945FA4"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4825F01E"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110" w:type="dxa"/>
            <w:tcBorders>
              <w:top w:val="nil"/>
              <w:left w:val="nil"/>
              <w:bottom w:val="single" w:sz="4" w:space="0" w:color="auto"/>
              <w:right w:val="single" w:sz="4" w:space="0" w:color="auto"/>
            </w:tcBorders>
            <w:shd w:val="clear" w:color="auto" w:fill="auto"/>
            <w:noWrap/>
            <w:vAlign w:val="center"/>
            <w:hideMark/>
          </w:tcPr>
          <w:p w14:paraId="72798B0F" w14:textId="77777777" w:rsidR="00890A0D" w:rsidRPr="00890A0D" w:rsidRDefault="00890A0D" w:rsidP="00890A0D">
            <w:pPr>
              <w:jc w:val="right"/>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58 455 548</w:t>
            </w:r>
          </w:p>
        </w:tc>
        <w:tc>
          <w:tcPr>
            <w:tcW w:w="1182" w:type="dxa"/>
            <w:tcBorders>
              <w:top w:val="nil"/>
              <w:left w:val="nil"/>
              <w:bottom w:val="single" w:sz="4" w:space="0" w:color="auto"/>
              <w:right w:val="nil"/>
            </w:tcBorders>
            <w:shd w:val="clear" w:color="auto" w:fill="auto"/>
            <w:noWrap/>
            <w:vAlign w:val="center"/>
            <w:hideMark/>
          </w:tcPr>
          <w:p w14:paraId="3BD8A853"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211" w:type="dxa"/>
            <w:tcBorders>
              <w:top w:val="nil"/>
              <w:left w:val="single" w:sz="4" w:space="0" w:color="auto"/>
              <w:bottom w:val="single" w:sz="4" w:space="0" w:color="auto"/>
              <w:right w:val="single" w:sz="4" w:space="0" w:color="auto"/>
            </w:tcBorders>
            <w:shd w:val="clear" w:color="auto" w:fill="auto"/>
            <w:noWrap/>
            <w:vAlign w:val="center"/>
            <w:hideMark/>
          </w:tcPr>
          <w:p w14:paraId="01BE44F5"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011" w:type="dxa"/>
            <w:tcBorders>
              <w:top w:val="nil"/>
              <w:left w:val="nil"/>
              <w:bottom w:val="single" w:sz="4" w:space="0" w:color="auto"/>
              <w:right w:val="single" w:sz="4" w:space="0" w:color="auto"/>
            </w:tcBorders>
            <w:shd w:val="clear" w:color="auto" w:fill="auto"/>
            <w:noWrap/>
            <w:vAlign w:val="center"/>
            <w:hideMark/>
          </w:tcPr>
          <w:p w14:paraId="7B682572" w14:textId="77777777" w:rsidR="00890A0D" w:rsidRPr="00890A0D" w:rsidRDefault="00890A0D" w:rsidP="00890A0D">
            <w:pPr>
              <w:jc w:val="right"/>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61 622 362</w:t>
            </w:r>
          </w:p>
        </w:tc>
        <w:tc>
          <w:tcPr>
            <w:tcW w:w="1086" w:type="dxa"/>
            <w:tcBorders>
              <w:top w:val="nil"/>
              <w:left w:val="nil"/>
              <w:bottom w:val="single" w:sz="4" w:space="0" w:color="auto"/>
              <w:right w:val="nil"/>
            </w:tcBorders>
            <w:shd w:val="clear" w:color="auto" w:fill="auto"/>
            <w:noWrap/>
            <w:vAlign w:val="center"/>
            <w:hideMark/>
          </w:tcPr>
          <w:p w14:paraId="65717A54"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4D6ED948"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972" w:type="dxa"/>
            <w:tcBorders>
              <w:top w:val="nil"/>
              <w:left w:val="nil"/>
              <w:bottom w:val="single" w:sz="4" w:space="0" w:color="auto"/>
              <w:right w:val="single" w:sz="4" w:space="0" w:color="auto"/>
            </w:tcBorders>
            <w:shd w:val="clear" w:color="auto" w:fill="auto"/>
            <w:noWrap/>
            <w:vAlign w:val="center"/>
            <w:hideMark/>
          </w:tcPr>
          <w:p w14:paraId="30928728" w14:textId="77777777" w:rsidR="00890A0D" w:rsidRPr="00890A0D" w:rsidRDefault="00890A0D" w:rsidP="00890A0D">
            <w:pPr>
              <w:jc w:val="right"/>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66 592 044</w:t>
            </w:r>
          </w:p>
        </w:tc>
      </w:tr>
    </w:tbl>
    <w:p w14:paraId="253FA6C6" w14:textId="77777777" w:rsidR="00C404D5" w:rsidRPr="00C404D5" w:rsidRDefault="00C404D5" w:rsidP="00C404D5">
      <w:pPr>
        <w:widowControl w:val="0"/>
        <w:rPr>
          <w:rFonts w:ascii="Times New Roman" w:eastAsia="Calibri" w:hAnsi="Times New Roman" w:cs="Times New Roman"/>
          <w:i/>
          <w:sz w:val="20"/>
        </w:rPr>
      </w:pPr>
      <w:r w:rsidRPr="00C404D5">
        <w:rPr>
          <w:rFonts w:ascii="Times New Roman" w:eastAsia="Calibri" w:hAnsi="Times New Roman" w:cs="Times New Roman"/>
          <w:i/>
          <w:sz w:val="20"/>
        </w:rPr>
        <w:t>Datu avots: FM</w:t>
      </w:r>
    </w:p>
    <w:p w14:paraId="55FFE02F" w14:textId="23F115B4" w:rsidR="005E7346" w:rsidRDefault="005E7346" w:rsidP="00C404D5">
      <w:pPr>
        <w:widowControl w:val="0"/>
        <w:rPr>
          <w:rFonts w:ascii="Times New Roman" w:eastAsia="Times New Roman" w:hAnsi="Times New Roman" w:cs="Times New Roman"/>
          <w:b/>
          <w:color w:val="000000"/>
          <w:sz w:val="24"/>
        </w:rPr>
      </w:pPr>
    </w:p>
    <w:p w14:paraId="5448510D" w14:textId="77777777" w:rsidR="005E7346" w:rsidRDefault="005E7346" w:rsidP="00401A5B">
      <w:pPr>
        <w:widowControl w:val="0"/>
        <w:jc w:val="center"/>
        <w:rPr>
          <w:rFonts w:ascii="Times New Roman" w:eastAsia="Times New Roman" w:hAnsi="Times New Roman" w:cs="Times New Roman"/>
          <w:b/>
          <w:color w:val="000000"/>
          <w:sz w:val="24"/>
        </w:rPr>
      </w:pPr>
    </w:p>
    <w:p w14:paraId="755A41BA" w14:textId="3F76D9EF" w:rsidR="005E7346" w:rsidRDefault="005E7346" w:rsidP="00401A5B">
      <w:pPr>
        <w:widowControl w:val="0"/>
        <w:jc w:val="center"/>
        <w:rPr>
          <w:rFonts w:ascii="Times New Roman" w:eastAsia="Times New Roman" w:hAnsi="Times New Roman" w:cs="Times New Roman"/>
          <w:b/>
          <w:color w:val="000000"/>
          <w:sz w:val="24"/>
        </w:rPr>
      </w:pPr>
    </w:p>
    <w:p w14:paraId="4D937519" w14:textId="77777777" w:rsidR="00C404D5" w:rsidRDefault="00C404D5" w:rsidP="00401A5B">
      <w:pPr>
        <w:widowControl w:val="0"/>
        <w:jc w:val="center"/>
        <w:rPr>
          <w:rFonts w:ascii="Times New Roman" w:eastAsia="Times New Roman" w:hAnsi="Times New Roman" w:cs="Times New Roman"/>
          <w:b/>
          <w:color w:val="000000"/>
          <w:sz w:val="24"/>
        </w:rPr>
      </w:pPr>
    </w:p>
    <w:p w14:paraId="0785AC52" w14:textId="77777777" w:rsidR="00890A0D" w:rsidRDefault="00890A0D" w:rsidP="000F6C00">
      <w:pPr>
        <w:widowControl w:val="0"/>
        <w:jc w:val="right"/>
        <w:rPr>
          <w:rFonts w:ascii="Times New Roman" w:eastAsia="Times New Roman" w:hAnsi="Times New Roman" w:cs="Times New Roman"/>
          <w:color w:val="000000"/>
          <w:sz w:val="28"/>
        </w:rPr>
      </w:pPr>
    </w:p>
    <w:p w14:paraId="22986CE4" w14:textId="6D58ECEA" w:rsidR="005E7346" w:rsidRPr="000F6C00" w:rsidRDefault="000F6C00" w:rsidP="000F6C00">
      <w:pPr>
        <w:widowControl w:val="0"/>
        <w:jc w:val="right"/>
        <w:rPr>
          <w:rFonts w:ascii="Times New Roman" w:eastAsia="Times New Roman" w:hAnsi="Times New Roman" w:cs="Times New Roman"/>
          <w:color w:val="000000"/>
          <w:sz w:val="28"/>
        </w:rPr>
      </w:pPr>
      <w:r w:rsidRPr="000F6C00">
        <w:rPr>
          <w:rFonts w:ascii="Times New Roman" w:eastAsia="Times New Roman" w:hAnsi="Times New Roman" w:cs="Times New Roman"/>
          <w:color w:val="000000"/>
          <w:sz w:val="28"/>
        </w:rPr>
        <w:t>8.pielikums</w:t>
      </w:r>
    </w:p>
    <w:p w14:paraId="4C962518" w14:textId="2860B867" w:rsidR="005E7346" w:rsidRPr="000F6C00" w:rsidRDefault="00AC361B" w:rsidP="000F6C00">
      <w:pPr>
        <w:widowControl w:val="0"/>
        <w:jc w:val="right"/>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LM</w:t>
      </w:r>
      <w:r w:rsidR="000F6C00" w:rsidRPr="000F6C00">
        <w:rPr>
          <w:rFonts w:ascii="Times New Roman" w:eastAsia="Times New Roman" w:hAnsi="Times New Roman" w:cs="Times New Roman"/>
          <w:b/>
          <w:color w:val="000000"/>
          <w:sz w:val="28"/>
        </w:rPr>
        <w:t xml:space="preserve">  pamatbudžeta programma 20.03.00 „Piemaksas pie vecuma un invaliditātes pensijām”</w:t>
      </w:r>
    </w:p>
    <w:p w14:paraId="3719E163" w14:textId="41E7DD81" w:rsidR="005E7346" w:rsidRDefault="005E7346" w:rsidP="00401A5B">
      <w:pPr>
        <w:widowControl w:val="0"/>
        <w:jc w:val="center"/>
        <w:rPr>
          <w:rFonts w:ascii="Times New Roman" w:eastAsia="Times New Roman" w:hAnsi="Times New Roman" w:cs="Times New Roman"/>
          <w:b/>
          <w:color w:val="000000"/>
          <w:sz w:val="24"/>
        </w:rPr>
      </w:pPr>
    </w:p>
    <w:p w14:paraId="772981D1" w14:textId="25AF24A3" w:rsidR="00890A0D" w:rsidRPr="00890A0D" w:rsidRDefault="00890A0D" w:rsidP="00890A0D">
      <w:pPr>
        <w:widowControl w:val="0"/>
        <w:jc w:val="right"/>
        <w:rPr>
          <w:rFonts w:ascii="Times New Roman" w:eastAsia="Times New Roman" w:hAnsi="Times New Roman" w:cs="Times New Roman"/>
          <w:i/>
          <w:color w:val="000000"/>
          <w:sz w:val="20"/>
        </w:rPr>
      </w:pPr>
      <w:r w:rsidRPr="00890A0D">
        <w:rPr>
          <w:rFonts w:ascii="Times New Roman" w:eastAsia="Times New Roman" w:hAnsi="Times New Roman" w:cs="Times New Roman"/>
          <w:i/>
          <w:color w:val="000000"/>
          <w:sz w:val="20"/>
        </w:rPr>
        <w:t>euro</w:t>
      </w:r>
    </w:p>
    <w:tbl>
      <w:tblPr>
        <w:tblW w:w="13993" w:type="dxa"/>
        <w:tblLook w:val="04A0" w:firstRow="1" w:lastRow="0" w:firstColumn="1" w:lastColumn="0" w:noHBand="0" w:noVBand="1"/>
      </w:tblPr>
      <w:tblGrid>
        <w:gridCol w:w="4041"/>
        <w:gridCol w:w="1109"/>
        <w:gridCol w:w="1050"/>
        <w:gridCol w:w="1184"/>
        <w:gridCol w:w="1166"/>
        <w:gridCol w:w="1221"/>
        <w:gridCol w:w="999"/>
        <w:gridCol w:w="1071"/>
        <w:gridCol w:w="1180"/>
        <w:gridCol w:w="972"/>
      </w:tblGrid>
      <w:tr w:rsidR="00890A0D" w:rsidRPr="00890A0D" w14:paraId="55AF38AF" w14:textId="77777777" w:rsidTr="00C404D5">
        <w:trPr>
          <w:trHeight w:val="412"/>
        </w:trPr>
        <w:tc>
          <w:tcPr>
            <w:tcW w:w="404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41B99F31"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 </w:t>
            </w:r>
          </w:p>
        </w:tc>
        <w:tc>
          <w:tcPr>
            <w:tcW w:w="3343"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091CF6D1" w14:textId="77777777" w:rsidR="00890A0D" w:rsidRPr="00E56E24" w:rsidRDefault="00890A0D" w:rsidP="00890A0D">
            <w:pPr>
              <w:jc w:val="center"/>
              <w:rPr>
                <w:rFonts w:ascii="Times New Roman" w:eastAsia="Times New Roman" w:hAnsi="Times New Roman" w:cs="Times New Roman"/>
                <w:b/>
                <w:sz w:val="20"/>
                <w:szCs w:val="20"/>
              </w:rPr>
            </w:pPr>
            <w:r w:rsidRPr="00E56E24">
              <w:rPr>
                <w:rFonts w:ascii="Times New Roman" w:eastAsia="Times New Roman" w:hAnsi="Times New Roman" w:cs="Times New Roman"/>
                <w:b/>
                <w:sz w:val="20"/>
                <w:szCs w:val="20"/>
              </w:rPr>
              <w:t>2021.gada projekts</w:t>
            </w:r>
          </w:p>
        </w:tc>
        <w:tc>
          <w:tcPr>
            <w:tcW w:w="3386"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37356580" w14:textId="77777777" w:rsidR="00890A0D" w:rsidRPr="00E56E24" w:rsidRDefault="00890A0D" w:rsidP="00890A0D">
            <w:pPr>
              <w:jc w:val="center"/>
              <w:rPr>
                <w:rFonts w:ascii="Times New Roman" w:eastAsia="Times New Roman" w:hAnsi="Times New Roman" w:cs="Times New Roman"/>
                <w:b/>
                <w:sz w:val="20"/>
                <w:szCs w:val="20"/>
              </w:rPr>
            </w:pPr>
            <w:r w:rsidRPr="00E56E24">
              <w:rPr>
                <w:rFonts w:ascii="Times New Roman" w:eastAsia="Times New Roman" w:hAnsi="Times New Roman" w:cs="Times New Roman"/>
                <w:b/>
                <w:sz w:val="20"/>
                <w:szCs w:val="20"/>
              </w:rPr>
              <w:t>2022.gada prognoze</w:t>
            </w:r>
          </w:p>
        </w:tc>
        <w:tc>
          <w:tcPr>
            <w:tcW w:w="3223"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683B479" w14:textId="77777777" w:rsidR="00890A0D" w:rsidRPr="00E56E24" w:rsidRDefault="00890A0D" w:rsidP="00890A0D">
            <w:pPr>
              <w:jc w:val="center"/>
              <w:rPr>
                <w:rFonts w:ascii="Times New Roman" w:eastAsia="Times New Roman" w:hAnsi="Times New Roman" w:cs="Times New Roman"/>
                <w:b/>
                <w:sz w:val="20"/>
                <w:szCs w:val="20"/>
              </w:rPr>
            </w:pPr>
            <w:r w:rsidRPr="00E56E24">
              <w:rPr>
                <w:rFonts w:ascii="Times New Roman" w:eastAsia="Times New Roman" w:hAnsi="Times New Roman" w:cs="Times New Roman"/>
                <w:b/>
                <w:sz w:val="20"/>
                <w:szCs w:val="20"/>
              </w:rPr>
              <w:t>2023.gada prognoze</w:t>
            </w:r>
          </w:p>
        </w:tc>
      </w:tr>
      <w:tr w:rsidR="00890A0D" w:rsidRPr="00890A0D" w14:paraId="7800C038" w14:textId="77777777" w:rsidTr="00C404D5">
        <w:trPr>
          <w:trHeight w:val="480"/>
        </w:trPr>
        <w:tc>
          <w:tcPr>
            <w:tcW w:w="40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1E6A4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Pabalsta veids</w:t>
            </w:r>
          </w:p>
        </w:tc>
        <w:tc>
          <w:tcPr>
            <w:tcW w:w="11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E0751F" w14:textId="17031551"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w:t>
            </w:r>
            <w:r>
              <w:rPr>
                <w:rFonts w:ascii="Times New Roman" w:eastAsia="Times New Roman" w:hAnsi="Times New Roman" w:cs="Times New Roman"/>
                <w:sz w:val="20"/>
                <w:szCs w:val="20"/>
              </w:rPr>
              <w:t xml:space="preserve">lsta apmērs vidēji mēnesī </w:t>
            </w:r>
          </w:p>
        </w:tc>
        <w:tc>
          <w:tcPr>
            <w:tcW w:w="1050" w:type="dxa"/>
            <w:tcBorders>
              <w:top w:val="nil"/>
              <w:left w:val="nil"/>
              <w:bottom w:val="nil"/>
              <w:right w:val="single" w:sz="4" w:space="0" w:color="auto"/>
            </w:tcBorders>
            <w:shd w:val="clear" w:color="auto" w:fill="auto"/>
            <w:vAlign w:val="center"/>
            <w:hideMark/>
          </w:tcPr>
          <w:p w14:paraId="50F9F0BD"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Saņēmēju</w:t>
            </w:r>
            <w:r w:rsidRPr="00890A0D">
              <w:rPr>
                <w:rFonts w:ascii="Times New Roman" w:eastAsia="Times New Roman" w:hAnsi="Times New Roman" w:cs="Times New Roman"/>
                <w:sz w:val="20"/>
                <w:szCs w:val="20"/>
              </w:rPr>
              <w:br/>
              <w:t xml:space="preserve"> skaits</w:t>
            </w:r>
          </w:p>
        </w:tc>
        <w:tc>
          <w:tcPr>
            <w:tcW w:w="1184" w:type="dxa"/>
            <w:tcBorders>
              <w:top w:val="nil"/>
              <w:left w:val="nil"/>
              <w:bottom w:val="nil"/>
              <w:right w:val="single" w:sz="4" w:space="0" w:color="auto"/>
            </w:tcBorders>
            <w:shd w:val="clear" w:color="000000" w:fill="FFFFFF"/>
            <w:vAlign w:val="center"/>
            <w:hideMark/>
          </w:tcPr>
          <w:p w14:paraId="1F9571A2"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Izdevumi kopā</w:t>
            </w:r>
          </w:p>
        </w:tc>
        <w:tc>
          <w:tcPr>
            <w:tcW w:w="1166" w:type="dxa"/>
            <w:vMerge w:val="restart"/>
            <w:tcBorders>
              <w:top w:val="nil"/>
              <w:left w:val="single" w:sz="4" w:space="0" w:color="auto"/>
              <w:bottom w:val="single" w:sz="4" w:space="0" w:color="000000"/>
              <w:right w:val="single" w:sz="4" w:space="0" w:color="auto"/>
            </w:tcBorders>
            <w:shd w:val="clear" w:color="auto" w:fill="auto"/>
            <w:vAlign w:val="center"/>
            <w:hideMark/>
          </w:tcPr>
          <w:p w14:paraId="433507B4" w14:textId="0DB59DA6"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w:t>
            </w:r>
            <w:r>
              <w:rPr>
                <w:rFonts w:ascii="Times New Roman" w:eastAsia="Times New Roman" w:hAnsi="Times New Roman" w:cs="Times New Roman"/>
                <w:sz w:val="20"/>
                <w:szCs w:val="20"/>
              </w:rPr>
              <w:t xml:space="preserve">lsta apmērs vidēji mēnesī </w:t>
            </w:r>
          </w:p>
        </w:tc>
        <w:tc>
          <w:tcPr>
            <w:tcW w:w="1221" w:type="dxa"/>
            <w:tcBorders>
              <w:top w:val="nil"/>
              <w:left w:val="nil"/>
              <w:bottom w:val="nil"/>
              <w:right w:val="single" w:sz="4" w:space="0" w:color="auto"/>
            </w:tcBorders>
            <w:shd w:val="clear" w:color="auto" w:fill="auto"/>
            <w:vAlign w:val="center"/>
            <w:hideMark/>
          </w:tcPr>
          <w:p w14:paraId="6475528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Saņēmēju</w:t>
            </w:r>
            <w:r w:rsidRPr="00890A0D">
              <w:rPr>
                <w:rFonts w:ascii="Times New Roman" w:eastAsia="Times New Roman" w:hAnsi="Times New Roman" w:cs="Times New Roman"/>
                <w:sz w:val="20"/>
                <w:szCs w:val="20"/>
              </w:rPr>
              <w:br/>
              <w:t xml:space="preserve"> skaits</w:t>
            </w:r>
          </w:p>
        </w:tc>
        <w:tc>
          <w:tcPr>
            <w:tcW w:w="999" w:type="dxa"/>
            <w:tcBorders>
              <w:top w:val="nil"/>
              <w:left w:val="nil"/>
              <w:bottom w:val="nil"/>
              <w:right w:val="single" w:sz="4" w:space="0" w:color="auto"/>
            </w:tcBorders>
            <w:shd w:val="clear" w:color="auto" w:fill="auto"/>
            <w:vAlign w:val="center"/>
            <w:hideMark/>
          </w:tcPr>
          <w:p w14:paraId="03EC6349"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Izdevumi kopā</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14:paraId="1EA99142" w14:textId="697A226E"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w:t>
            </w:r>
            <w:r>
              <w:rPr>
                <w:rFonts w:ascii="Times New Roman" w:eastAsia="Times New Roman" w:hAnsi="Times New Roman" w:cs="Times New Roman"/>
                <w:sz w:val="20"/>
                <w:szCs w:val="20"/>
              </w:rPr>
              <w:t xml:space="preserve">lsta apmērs vidēji mēnesī </w:t>
            </w:r>
          </w:p>
        </w:tc>
        <w:tc>
          <w:tcPr>
            <w:tcW w:w="1180" w:type="dxa"/>
            <w:tcBorders>
              <w:top w:val="nil"/>
              <w:left w:val="nil"/>
              <w:bottom w:val="nil"/>
              <w:right w:val="single" w:sz="4" w:space="0" w:color="auto"/>
            </w:tcBorders>
            <w:shd w:val="clear" w:color="auto" w:fill="auto"/>
            <w:vAlign w:val="center"/>
            <w:hideMark/>
          </w:tcPr>
          <w:p w14:paraId="6A364B1E"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Saņēmēju</w:t>
            </w:r>
            <w:r w:rsidRPr="00890A0D">
              <w:rPr>
                <w:rFonts w:ascii="Times New Roman" w:eastAsia="Times New Roman" w:hAnsi="Times New Roman" w:cs="Times New Roman"/>
                <w:sz w:val="20"/>
                <w:szCs w:val="20"/>
              </w:rPr>
              <w:br/>
              <w:t xml:space="preserve"> skaits</w:t>
            </w:r>
          </w:p>
        </w:tc>
        <w:tc>
          <w:tcPr>
            <w:tcW w:w="972" w:type="dxa"/>
            <w:tcBorders>
              <w:top w:val="nil"/>
              <w:left w:val="nil"/>
              <w:bottom w:val="nil"/>
              <w:right w:val="single" w:sz="4" w:space="0" w:color="auto"/>
            </w:tcBorders>
            <w:shd w:val="clear" w:color="auto" w:fill="auto"/>
            <w:vAlign w:val="center"/>
            <w:hideMark/>
          </w:tcPr>
          <w:p w14:paraId="3FECBC4E"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Izdevumi kopā</w:t>
            </w:r>
          </w:p>
        </w:tc>
      </w:tr>
      <w:tr w:rsidR="00890A0D" w:rsidRPr="00890A0D" w14:paraId="0DAAC960" w14:textId="77777777" w:rsidTr="00C404D5">
        <w:trPr>
          <w:trHeight w:val="300"/>
        </w:trPr>
        <w:tc>
          <w:tcPr>
            <w:tcW w:w="4041" w:type="dxa"/>
            <w:vMerge/>
            <w:tcBorders>
              <w:top w:val="nil"/>
              <w:left w:val="single" w:sz="4" w:space="0" w:color="auto"/>
              <w:bottom w:val="single" w:sz="4" w:space="0" w:color="000000"/>
              <w:right w:val="single" w:sz="4" w:space="0" w:color="auto"/>
            </w:tcBorders>
            <w:vAlign w:val="center"/>
            <w:hideMark/>
          </w:tcPr>
          <w:p w14:paraId="4FDB13E9" w14:textId="77777777" w:rsidR="00890A0D" w:rsidRPr="00890A0D" w:rsidRDefault="00890A0D" w:rsidP="00890A0D">
            <w:pPr>
              <w:rPr>
                <w:rFonts w:ascii="Times New Roman" w:eastAsia="Times New Roman" w:hAnsi="Times New Roman" w:cs="Times New Roman"/>
                <w:sz w:val="20"/>
                <w:szCs w:val="20"/>
              </w:rPr>
            </w:pPr>
          </w:p>
        </w:tc>
        <w:tc>
          <w:tcPr>
            <w:tcW w:w="1109" w:type="dxa"/>
            <w:vMerge/>
            <w:tcBorders>
              <w:top w:val="nil"/>
              <w:left w:val="single" w:sz="4" w:space="0" w:color="auto"/>
              <w:bottom w:val="single" w:sz="4" w:space="0" w:color="000000"/>
              <w:right w:val="single" w:sz="4" w:space="0" w:color="auto"/>
            </w:tcBorders>
            <w:vAlign w:val="center"/>
            <w:hideMark/>
          </w:tcPr>
          <w:p w14:paraId="2297BD52" w14:textId="77777777" w:rsidR="00890A0D" w:rsidRPr="00890A0D" w:rsidRDefault="00890A0D" w:rsidP="00890A0D">
            <w:pPr>
              <w:rPr>
                <w:rFonts w:ascii="Times New Roman" w:eastAsia="Times New Roman" w:hAnsi="Times New Roman" w:cs="Times New Roman"/>
                <w:sz w:val="20"/>
                <w:szCs w:val="20"/>
              </w:rPr>
            </w:pPr>
          </w:p>
        </w:tc>
        <w:tc>
          <w:tcPr>
            <w:tcW w:w="1050" w:type="dxa"/>
            <w:tcBorders>
              <w:top w:val="nil"/>
              <w:left w:val="nil"/>
              <w:bottom w:val="single" w:sz="4" w:space="0" w:color="auto"/>
              <w:right w:val="single" w:sz="4" w:space="0" w:color="auto"/>
            </w:tcBorders>
            <w:shd w:val="clear" w:color="000000" w:fill="FFFFFF"/>
            <w:noWrap/>
            <w:vAlign w:val="bottom"/>
            <w:hideMark/>
          </w:tcPr>
          <w:p w14:paraId="3246A6F1"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(vid.mēn.)</w:t>
            </w:r>
          </w:p>
        </w:tc>
        <w:tc>
          <w:tcPr>
            <w:tcW w:w="1184" w:type="dxa"/>
            <w:tcBorders>
              <w:top w:val="nil"/>
              <w:left w:val="nil"/>
              <w:bottom w:val="single" w:sz="4" w:space="0" w:color="auto"/>
              <w:right w:val="single" w:sz="4" w:space="0" w:color="auto"/>
            </w:tcBorders>
            <w:shd w:val="clear" w:color="000000" w:fill="FFFFFF"/>
            <w:noWrap/>
            <w:vAlign w:val="bottom"/>
            <w:hideMark/>
          </w:tcPr>
          <w:p w14:paraId="5B7F2F36" w14:textId="1FD71450" w:rsidR="00890A0D" w:rsidRPr="00890A0D" w:rsidRDefault="00890A0D" w:rsidP="00890A0D">
            <w:pPr>
              <w:jc w:val="center"/>
              <w:rPr>
                <w:rFonts w:ascii="Times New Roman" w:eastAsia="Times New Roman" w:hAnsi="Times New Roman" w:cs="Times New Roman"/>
                <w:sz w:val="20"/>
                <w:szCs w:val="20"/>
              </w:rPr>
            </w:pPr>
          </w:p>
        </w:tc>
        <w:tc>
          <w:tcPr>
            <w:tcW w:w="1166" w:type="dxa"/>
            <w:vMerge/>
            <w:tcBorders>
              <w:top w:val="nil"/>
              <w:left w:val="single" w:sz="4" w:space="0" w:color="auto"/>
              <w:bottom w:val="single" w:sz="4" w:space="0" w:color="000000"/>
              <w:right w:val="single" w:sz="4" w:space="0" w:color="auto"/>
            </w:tcBorders>
            <w:vAlign w:val="center"/>
            <w:hideMark/>
          </w:tcPr>
          <w:p w14:paraId="39430548" w14:textId="77777777" w:rsidR="00890A0D" w:rsidRPr="00890A0D" w:rsidRDefault="00890A0D" w:rsidP="00890A0D">
            <w:pPr>
              <w:rPr>
                <w:rFonts w:ascii="Times New Roman" w:eastAsia="Times New Roman" w:hAnsi="Times New Roman" w:cs="Times New Roman"/>
                <w:sz w:val="20"/>
                <w:szCs w:val="20"/>
              </w:rPr>
            </w:pPr>
          </w:p>
        </w:tc>
        <w:tc>
          <w:tcPr>
            <w:tcW w:w="1221" w:type="dxa"/>
            <w:tcBorders>
              <w:top w:val="nil"/>
              <w:left w:val="nil"/>
              <w:bottom w:val="single" w:sz="4" w:space="0" w:color="auto"/>
              <w:right w:val="single" w:sz="4" w:space="0" w:color="auto"/>
            </w:tcBorders>
            <w:shd w:val="clear" w:color="auto" w:fill="auto"/>
            <w:noWrap/>
            <w:vAlign w:val="bottom"/>
            <w:hideMark/>
          </w:tcPr>
          <w:p w14:paraId="5B2E6CC0"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(vid.mēn.)</w:t>
            </w:r>
          </w:p>
        </w:tc>
        <w:tc>
          <w:tcPr>
            <w:tcW w:w="999" w:type="dxa"/>
            <w:tcBorders>
              <w:top w:val="nil"/>
              <w:left w:val="nil"/>
              <w:bottom w:val="single" w:sz="4" w:space="0" w:color="auto"/>
              <w:right w:val="single" w:sz="4" w:space="0" w:color="auto"/>
            </w:tcBorders>
            <w:shd w:val="clear" w:color="auto" w:fill="auto"/>
            <w:noWrap/>
            <w:vAlign w:val="bottom"/>
            <w:hideMark/>
          </w:tcPr>
          <w:p w14:paraId="1F0EFA89" w14:textId="46151989" w:rsidR="00890A0D" w:rsidRPr="00890A0D" w:rsidRDefault="00890A0D" w:rsidP="00890A0D">
            <w:pPr>
              <w:jc w:val="center"/>
              <w:rPr>
                <w:rFonts w:ascii="Times New Roman" w:eastAsia="Times New Roman" w:hAnsi="Times New Roman" w:cs="Times New Roman"/>
                <w:sz w:val="20"/>
                <w:szCs w:val="20"/>
              </w:rPr>
            </w:pPr>
          </w:p>
        </w:tc>
        <w:tc>
          <w:tcPr>
            <w:tcW w:w="1071" w:type="dxa"/>
            <w:vMerge/>
            <w:tcBorders>
              <w:top w:val="nil"/>
              <w:left w:val="single" w:sz="4" w:space="0" w:color="auto"/>
              <w:bottom w:val="single" w:sz="4" w:space="0" w:color="000000"/>
              <w:right w:val="single" w:sz="4" w:space="0" w:color="auto"/>
            </w:tcBorders>
            <w:vAlign w:val="center"/>
            <w:hideMark/>
          </w:tcPr>
          <w:p w14:paraId="1CAE2C1E" w14:textId="77777777" w:rsidR="00890A0D" w:rsidRPr="00890A0D" w:rsidRDefault="00890A0D" w:rsidP="00890A0D">
            <w:pPr>
              <w:rPr>
                <w:rFonts w:ascii="Times New Roman" w:eastAsia="Times New Roman" w:hAnsi="Times New Roman" w:cs="Times New Roman"/>
                <w:sz w:val="20"/>
                <w:szCs w:val="20"/>
              </w:rPr>
            </w:pPr>
          </w:p>
        </w:tc>
        <w:tc>
          <w:tcPr>
            <w:tcW w:w="1180" w:type="dxa"/>
            <w:tcBorders>
              <w:top w:val="nil"/>
              <w:left w:val="nil"/>
              <w:bottom w:val="single" w:sz="4" w:space="0" w:color="auto"/>
              <w:right w:val="single" w:sz="4" w:space="0" w:color="auto"/>
            </w:tcBorders>
            <w:shd w:val="clear" w:color="auto" w:fill="auto"/>
            <w:noWrap/>
            <w:vAlign w:val="bottom"/>
            <w:hideMark/>
          </w:tcPr>
          <w:p w14:paraId="60DF4646"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(vid.mēn.)</w:t>
            </w:r>
          </w:p>
        </w:tc>
        <w:tc>
          <w:tcPr>
            <w:tcW w:w="972" w:type="dxa"/>
            <w:tcBorders>
              <w:top w:val="nil"/>
              <w:left w:val="nil"/>
              <w:bottom w:val="single" w:sz="4" w:space="0" w:color="auto"/>
              <w:right w:val="single" w:sz="4" w:space="0" w:color="auto"/>
            </w:tcBorders>
            <w:shd w:val="clear" w:color="auto" w:fill="auto"/>
            <w:noWrap/>
            <w:vAlign w:val="bottom"/>
            <w:hideMark/>
          </w:tcPr>
          <w:p w14:paraId="7097E14A" w14:textId="39366158" w:rsidR="00890A0D" w:rsidRPr="00890A0D" w:rsidRDefault="00890A0D" w:rsidP="00890A0D">
            <w:pPr>
              <w:jc w:val="center"/>
              <w:rPr>
                <w:rFonts w:ascii="Times New Roman" w:eastAsia="Times New Roman" w:hAnsi="Times New Roman" w:cs="Times New Roman"/>
                <w:sz w:val="20"/>
                <w:szCs w:val="20"/>
              </w:rPr>
            </w:pPr>
          </w:p>
        </w:tc>
      </w:tr>
      <w:tr w:rsidR="00890A0D" w:rsidRPr="00890A0D" w14:paraId="4E555E67" w14:textId="77777777" w:rsidTr="00C404D5">
        <w:trPr>
          <w:trHeight w:val="300"/>
        </w:trPr>
        <w:tc>
          <w:tcPr>
            <w:tcW w:w="4041" w:type="dxa"/>
            <w:tcBorders>
              <w:top w:val="nil"/>
              <w:left w:val="single" w:sz="4" w:space="0" w:color="auto"/>
              <w:bottom w:val="single" w:sz="4" w:space="0" w:color="auto"/>
              <w:right w:val="single" w:sz="4" w:space="0" w:color="auto"/>
            </w:tcBorders>
            <w:shd w:val="clear" w:color="auto" w:fill="auto"/>
            <w:noWrap/>
            <w:vAlign w:val="bottom"/>
            <w:hideMark/>
          </w:tcPr>
          <w:p w14:paraId="6BFC1428"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w:t>
            </w:r>
          </w:p>
        </w:tc>
        <w:tc>
          <w:tcPr>
            <w:tcW w:w="1109" w:type="dxa"/>
            <w:tcBorders>
              <w:top w:val="nil"/>
              <w:left w:val="nil"/>
              <w:bottom w:val="single" w:sz="4" w:space="0" w:color="auto"/>
              <w:right w:val="single" w:sz="4" w:space="0" w:color="auto"/>
            </w:tcBorders>
            <w:shd w:val="clear" w:color="000000" w:fill="FFFFFF"/>
            <w:noWrap/>
            <w:vAlign w:val="bottom"/>
            <w:hideMark/>
          </w:tcPr>
          <w:p w14:paraId="409E29C8"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w:t>
            </w:r>
          </w:p>
        </w:tc>
        <w:tc>
          <w:tcPr>
            <w:tcW w:w="1050" w:type="dxa"/>
            <w:tcBorders>
              <w:top w:val="nil"/>
              <w:left w:val="nil"/>
              <w:bottom w:val="single" w:sz="4" w:space="0" w:color="auto"/>
              <w:right w:val="single" w:sz="4" w:space="0" w:color="auto"/>
            </w:tcBorders>
            <w:shd w:val="clear" w:color="auto" w:fill="auto"/>
            <w:noWrap/>
            <w:vAlign w:val="bottom"/>
            <w:hideMark/>
          </w:tcPr>
          <w:p w14:paraId="0EB5C330"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3</w:t>
            </w:r>
          </w:p>
        </w:tc>
        <w:tc>
          <w:tcPr>
            <w:tcW w:w="1184" w:type="dxa"/>
            <w:tcBorders>
              <w:top w:val="nil"/>
              <w:left w:val="nil"/>
              <w:bottom w:val="single" w:sz="4" w:space="0" w:color="auto"/>
              <w:right w:val="single" w:sz="4" w:space="0" w:color="auto"/>
            </w:tcBorders>
            <w:shd w:val="clear" w:color="000000" w:fill="FFFFFF"/>
            <w:noWrap/>
            <w:vAlign w:val="bottom"/>
            <w:hideMark/>
          </w:tcPr>
          <w:p w14:paraId="6E0DC0A2"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w:t>
            </w:r>
          </w:p>
        </w:tc>
        <w:tc>
          <w:tcPr>
            <w:tcW w:w="1166" w:type="dxa"/>
            <w:tcBorders>
              <w:top w:val="nil"/>
              <w:left w:val="nil"/>
              <w:bottom w:val="single" w:sz="4" w:space="0" w:color="auto"/>
              <w:right w:val="single" w:sz="4" w:space="0" w:color="auto"/>
            </w:tcBorders>
            <w:shd w:val="clear" w:color="000000" w:fill="FFFFFF"/>
            <w:noWrap/>
            <w:vAlign w:val="bottom"/>
            <w:hideMark/>
          </w:tcPr>
          <w:p w14:paraId="20A3E989"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w:t>
            </w:r>
          </w:p>
        </w:tc>
        <w:tc>
          <w:tcPr>
            <w:tcW w:w="1221" w:type="dxa"/>
            <w:tcBorders>
              <w:top w:val="nil"/>
              <w:left w:val="nil"/>
              <w:bottom w:val="single" w:sz="4" w:space="0" w:color="auto"/>
              <w:right w:val="single" w:sz="4" w:space="0" w:color="auto"/>
            </w:tcBorders>
            <w:shd w:val="clear" w:color="000000" w:fill="FFFFFF"/>
            <w:noWrap/>
            <w:vAlign w:val="bottom"/>
            <w:hideMark/>
          </w:tcPr>
          <w:p w14:paraId="4B42E8C9"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6</w:t>
            </w:r>
          </w:p>
        </w:tc>
        <w:tc>
          <w:tcPr>
            <w:tcW w:w="999" w:type="dxa"/>
            <w:tcBorders>
              <w:top w:val="nil"/>
              <w:left w:val="nil"/>
              <w:bottom w:val="single" w:sz="4" w:space="0" w:color="auto"/>
              <w:right w:val="single" w:sz="4" w:space="0" w:color="auto"/>
            </w:tcBorders>
            <w:shd w:val="clear" w:color="000000" w:fill="FFFFFF"/>
            <w:noWrap/>
            <w:vAlign w:val="bottom"/>
            <w:hideMark/>
          </w:tcPr>
          <w:p w14:paraId="60E953D0"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7</w:t>
            </w:r>
          </w:p>
        </w:tc>
        <w:tc>
          <w:tcPr>
            <w:tcW w:w="1071" w:type="dxa"/>
            <w:tcBorders>
              <w:top w:val="nil"/>
              <w:left w:val="nil"/>
              <w:bottom w:val="single" w:sz="4" w:space="0" w:color="auto"/>
              <w:right w:val="single" w:sz="4" w:space="0" w:color="auto"/>
            </w:tcBorders>
            <w:shd w:val="clear" w:color="000000" w:fill="FFFFFF"/>
            <w:noWrap/>
            <w:vAlign w:val="bottom"/>
            <w:hideMark/>
          </w:tcPr>
          <w:p w14:paraId="724148DF"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8</w:t>
            </w:r>
          </w:p>
        </w:tc>
        <w:tc>
          <w:tcPr>
            <w:tcW w:w="1180" w:type="dxa"/>
            <w:tcBorders>
              <w:top w:val="nil"/>
              <w:left w:val="nil"/>
              <w:bottom w:val="single" w:sz="4" w:space="0" w:color="auto"/>
              <w:right w:val="single" w:sz="4" w:space="0" w:color="auto"/>
            </w:tcBorders>
            <w:shd w:val="clear" w:color="auto" w:fill="auto"/>
            <w:noWrap/>
            <w:vAlign w:val="bottom"/>
            <w:hideMark/>
          </w:tcPr>
          <w:p w14:paraId="4D958BF2"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w:t>
            </w:r>
          </w:p>
        </w:tc>
        <w:tc>
          <w:tcPr>
            <w:tcW w:w="972" w:type="dxa"/>
            <w:tcBorders>
              <w:top w:val="nil"/>
              <w:left w:val="nil"/>
              <w:bottom w:val="single" w:sz="4" w:space="0" w:color="auto"/>
              <w:right w:val="single" w:sz="4" w:space="0" w:color="auto"/>
            </w:tcBorders>
            <w:shd w:val="clear" w:color="000000" w:fill="FFFFFF"/>
            <w:noWrap/>
            <w:vAlign w:val="bottom"/>
            <w:hideMark/>
          </w:tcPr>
          <w:p w14:paraId="7D26A358"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10</w:t>
            </w:r>
          </w:p>
        </w:tc>
      </w:tr>
      <w:tr w:rsidR="00890A0D" w:rsidRPr="00890A0D" w14:paraId="73C38899" w14:textId="77777777" w:rsidTr="00C404D5">
        <w:trPr>
          <w:trHeight w:val="300"/>
        </w:trPr>
        <w:tc>
          <w:tcPr>
            <w:tcW w:w="4041" w:type="dxa"/>
            <w:tcBorders>
              <w:top w:val="nil"/>
              <w:left w:val="single" w:sz="4" w:space="0" w:color="auto"/>
              <w:bottom w:val="single" w:sz="4" w:space="0" w:color="auto"/>
              <w:right w:val="single" w:sz="4" w:space="0" w:color="auto"/>
            </w:tcBorders>
            <w:shd w:val="clear" w:color="auto" w:fill="auto"/>
            <w:noWrap/>
            <w:vAlign w:val="bottom"/>
            <w:hideMark/>
          </w:tcPr>
          <w:p w14:paraId="3C1383F0" w14:textId="77777777" w:rsidR="00890A0D" w:rsidRPr="00890A0D" w:rsidRDefault="00890A0D" w:rsidP="00890A0D">
            <w:pP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Piemaksas pie vecuma pensijām</w:t>
            </w:r>
          </w:p>
        </w:tc>
        <w:tc>
          <w:tcPr>
            <w:tcW w:w="1109" w:type="dxa"/>
            <w:tcBorders>
              <w:top w:val="nil"/>
              <w:left w:val="nil"/>
              <w:bottom w:val="single" w:sz="4" w:space="0" w:color="auto"/>
              <w:right w:val="single" w:sz="4" w:space="0" w:color="auto"/>
            </w:tcBorders>
            <w:shd w:val="clear" w:color="auto" w:fill="auto"/>
            <w:noWrap/>
            <w:vAlign w:val="bottom"/>
            <w:hideMark/>
          </w:tcPr>
          <w:p w14:paraId="53B964F4"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41,43</w:t>
            </w:r>
          </w:p>
        </w:tc>
        <w:tc>
          <w:tcPr>
            <w:tcW w:w="1050" w:type="dxa"/>
            <w:tcBorders>
              <w:top w:val="nil"/>
              <w:left w:val="nil"/>
              <w:bottom w:val="single" w:sz="4" w:space="0" w:color="auto"/>
              <w:right w:val="single" w:sz="4" w:space="0" w:color="auto"/>
            </w:tcBorders>
            <w:shd w:val="clear" w:color="auto" w:fill="auto"/>
            <w:noWrap/>
            <w:vAlign w:val="bottom"/>
            <w:hideMark/>
          </w:tcPr>
          <w:p w14:paraId="0A62CB85"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320 662</w:t>
            </w:r>
          </w:p>
        </w:tc>
        <w:tc>
          <w:tcPr>
            <w:tcW w:w="1184" w:type="dxa"/>
            <w:tcBorders>
              <w:top w:val="nil"/>
              <w:left w:val="nil"/>
              <w:bottom w:val="single" w:sz="4" w:space="0" w:color="auto"/>
              <w:right w:val="single" w:sz="4" w:space="0" w:color="auto"/>
            </w:tcBorders>
            <w:shd w:val="clear" w:color="auto" w:fill="auto"/>
            <w:vAlign w:val="bottom"/>
            <w:hideMark/>
          </w:tcPr>
          <w:p w14:paraId="0B266FDB"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159 421 457</w:t>
            </w:r>
          </w:p>
        </w:tc>
        <w:tc>
          <w:tcPr>
            <w:tcW w:w="1166" w:type="dxa"/>
            <w:tcBorders>
              <w:top w:val="nil"/>
              <w:left w:val="nil"/>
              <w:bottom w:val="single" w:sz="4" w:space="0" w:color="auto"/>
              <w:right w:val="single" w:sz="4" w:space="0" w:color="auto"/>
            </w:tcBorders>
            <w:shd w:val="clear" w:color="auto" w:fill="auto"/>
            <w:noWrap/>
            <w:vAlign w:val="bottom"/>
            <w:hideMark/>
          </w:tcPr>
          <w:p w14:paraId="5C9DE36C"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41,81</w:t>
            </w:r>
          </w:p>
        </w:tc>
        <w:tc>
          <w:tcPr>
            <w:tcW w:w="1221" w:type="dxa"/>
            <w:tcBorders>
              <w:top w:val="nil"/>
              <w:left w:val="nil"/>
              <w:bottom w:val="single" w:sz="4" w:space="0" w:color="auto"/>
              <w:right w:val="single" w:sz="4" w:space="0" w:color="auto"/>
            </w:tcBorders>
            <w:shd w:val="clear" w:color="auto" w:fill="auto"/>
            <w:noWrap/>
            <w:vAlign w:val="bottom"/>
            <w:hideMark/>
          </w:tcPr>
          <w:p w14:paraId="302A8F49"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306 537</w:t>
            </w:r>
          </w:p>
        </w:tc>
        <w:tc>
          <w:tcPr>
            <w:tcW w:w="999" w:type="dxa"/>
            <w:tcBorders>
              <w:top w:val="nil"/>
              <w:left w:val="nil"/>
              <w:bottom w:val="single" w:sz="4" w:space="0" w:color="auto"/>
              <w:right w:val="single" w:sz="4" w:space="0" w:color="auto"/>
            </w:tcBorders>
            <w:shd w:val="clear" w:color="auto" w:fill="auto"/>
            <w:vAlign w:val="bottom"/>
            <w:hideMark/>
          </w:tcPr>
          <w:p w14:paraId="6BC7B052"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153 805 437</w:t>
            </w:r>
          </w:p>
        </w:tc>
        <w:tc>
          <w:tcPr>
            <w:tcW w:w="1071" w:type="dxa"/>
            <w:tcBorders>
              <w:top w:val="nil"/>
              <w:left w:val="nil"/>
              <w:bottom w:val="nil"/>
              <w:right w:val="single" w:sz="4" w:space="0" w:color="auto"/>
            </w:tcBorders>
            <w:shd w:val="clear" w:color="auto" w:fill="auto"/>
            <w:noWrap/>
            <w:vAlign w:val="bottom"/>
            <w:hideMark/>
          </w:tcPr>
          <w:p w14:paraId="66C41A98"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43,44</w:t>
            </w:r>
          </w:p>
        </w:tc>
        <w:tc>
          <w:tcPr>
            <w:tcW w:w="1180" w:type="dxa"/>
            <w:tcBorders>
              <w:top w:val="nil"/>
              <w:left w:val="nil"/>
              <w:bottom w:val="single" w:sz="4" w:space="0" w:color="auto"/>
              <w:right w:val="single" w:sz="4" w:space="0" w:color="auto"/>
            </w:tcBorders>
            <w:shd w:val="clear" w:color="auto" w:fill="auto"/>
            <w:noWrap/>
            <w:vAlign w:val="bottom"/>
            <w:hideMark/>
          </w:tcPr>
          <w:p w14:paraId="0C3D2D23"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292 961</w:t>
            </w:r>
          </w:p>
        </w:tc>
        <w:tc>
          <w:tcPr>
            <w:tcW w:w="972" w:type="dxa"/>
            <w:tcBorders>
              <w:top w:val="nil"/>
              <w:left w:val="nil"/>
              <w:bottom w:val="single" w:sz="4" w:space="0" w:color="auto"/>
              <w:right w:val="single" w:sz="4" w:space="0" w:color="auto"/>
            </w:tcBorders>
            <w:shd w:val="clear" w:color="auto" w:fill="auto"/>
            <w:vAlign w:val="bottom"/>
            <w:hideMark/>
          </w:tcPr>
          <w:p w14:paraId="21F94B1E"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152 698 116</w:t>
            </w:r>
          </w:p>
        </w:tc>
      </w:tr>
      <w:tr w:rsidR="00890A0D" w:rsidRPr="00890A0D" w14:paraId="0E1C4EA8" w14:textId="77777777" w:rsidTr="00C404D5">
        <w:trPr>
          <w:trHeight w:val="300"/>
        </w:trPr>
        <w:tc>
          <w:tcPr>
            <w:tcW w:w="4041" w:type="dxa"/>
            <w:tcBorders>
              <w:top w:val="nil"/>
              <w:left w:val="single" w:sz="4" w:space="0" w:color="auto"/>
              <w:bottom w:val="nil"/>
              <w:right w:val="single" w:sz="4" w:space="0" w:color="auto"/>
            </w:tcBorders>
            <w:shd w:val="clear" w:color="auto" w:fill="auto"/>
            <w:noWrap/>
            <w:vAlign w:val="bottom"/>
            <w:hideMark/>
          </w:tcPr>
          <w:p w14:paraId="2F5C5975" w14:textId="77777777" w:rsidR="00890A0D" w:rsidRPr="00890A0D" w:rsidRDefault="00890A0D" w:rsidP="00890A0D">
            <w:pP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Piemaksas pie invaliditātes pensijām</w:t>
            </w:r>
          </w:p>
        </w:tc>
        <w:tc>
          <w:tcPr>
            <w:tcW w:w="1109" w:type="dxa"/>
            <w:tcBorders>
              <w:top w:val="nil"/>
              <w:left w:val="nil"/>
              <w:bottom w:val="single" w:sz="4" w:space="0" w:color="auto"/>
              <w:right w:val="single" w:sz="4" w:space="0" w:color="auto"/>
            </w:tcBorders>
            <w:shd w:val="clear" w:color="auto" w:fill="auto"/>
            <w:noWrap/>
            <w:vAlign w:val="bottom"/>
            <w:hideMark/>
          </w:tcPr>
          <w:p w14:paraId="04E0AB5C"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11,87</w:t>
            </w:r>
          </w:p>
        </w:tc>
        <w:tc>
          <w:tcPr>
            <w:tcW w:w="1050" w:type="dxa"/>
            <w:tcBorders>
              <w:top w:val="nil"/>
              <w:left w:val="nil"/>
              <w:bottom w:val="nil"/>
              <w:right w:val="single" w:sz="4" w:space="0" w:color="auto"/>
            </w:tcBorders>
            <w:shd w:val="clear" w:color="auto" w:fill="auto"/>
            <w:noWrap/>
            <w:vAlign w:val="bottom"/>
            <w:hideMark/>
          </w:tcPr>
          <w:p w14:paraId="3A1A9155"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26 463</w:t>
            </w:r>
          </w:p>
        </w:tc>
        <w:tc>
          <w:tcPr>
            <w:tcW w:w="1184" w:type="dxa"/>
            <w:tcBorders>
              <w:top w:val="nil"/>
              <w:left w:val="nil"/>
              <w:bottom w:val="nil"/>
              <w:right w:val="single" w:sz="4" w:space="0" w:color="auto"/>
            </w:tcBorders>
            <w:shd w:val="clear" w:color="auto" w:fill="auto"/>
            <w:vAlign w:val="bottom"/>
            <w:hideMark/>
          </w:tcPr>
          <w:p w14:paraId="28464A77"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3 769 390</w:t>
            </w:r>
          </w:p>
        </w:tc>
        <w:tc>
          <w:tcPr>
            <w:tcW w:w="1166" w:type="dxa"/>
            <w:tcBorders>
              <w:top w:val="nil"/>
              <w:left w:val="nil"/>
              <w:bottom w:val="single" w:sz="4" w:space="0" w:color="auto"/>
              <w:right w:val="single" w:sz="4" w:space="0" w:color="auto"/>
            </w:tcBorders>
            <w:shd w:val="clear" w:color="auto" w:fill="auto"/>
            <w:noWrap/>
            <w:vAlign w:val="bottom"/>
            <w:hideMark/>
          </w:tcPr>
          <w:p w14:paraId="2BA36FE1"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11,55</w:t>
            </w:r>
          </w:p>
        </w:tc>
        <w:tc>
          <w:tcPr>
            <w:tcW w:w="1221" w:type="dxa"/>
            <w:tcBorders>
              <w:top w:val="nil"/>
              <w:left w:val="nil"/>
              <w:bottom w:val="nil"/>
              <w:right w:val="single" w:sz="4" w:space="0" w:color="auto"/>
            </w:tcBorders>
            <w:shd w:val="clear" w:color="auto" w:fill="auto"/>
            <w:noWrap/>
            <w:vAlign w:val="bottom"/>
            <w:hideMark/>
          </w:tcPr>
          <w:p w14:paraId="3807CA81"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24 051</w:t>
            </w:r>
          </w:p>
        </w:tc>
        <w:tc>
          <w:tcPr>
            <w:tcW w:w="999" w:type="dxa"/>
            <w:tcBorders>
              <w:top w:val="nil"/>
              <w:left w:val="nil"/>
              <w:bottom w:val="nil"/>
              <w:right w:val="single" w:sz="4" w:space="0" w:color="auto"/>
            </w:tcBorders>
            <w:shd w:val="clear" w:color="auto" w:fill="auto"/>
            <w:vAlign w:val="bottom"/>
            <w:hideMark/>
          </w:tcPr>
          <w:p w14:paraId="1DF08072"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3 332 840</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2E7C5721"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11,24</w:t>
            </w:r>
          </w:p>
        </w:tc>
        <w:tc>
          <w:tcPr>
            <w:tcW w:w="1180" w:type="dxa"/>
            <w:tcBorders>
              <w:top w:val="nil"/>
              <w:left w:val="nil"/>
              <w:bottom w:val="single" w:sz="4" w:space="0" w:color="auto"/>
              <w:right w:val="single" w:sz="4" w:space="0" w:color="auto"/>
            </w:tcBorders>
            <w:shd w:val="clear" w:color="auto" w:fill="auto"/>
            <w:noWrap/>
            <w:vAlign w:val="bottom"/>
            <w:hideMark/>
          </w:tcPr>
          <w:p w14:paraId="73274BED"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21 858</w:t>
            </w:r>
          </w:p>
        </w:tc>
        <w:tc>
          <w:tcPr>
            <w:tcW w:w="972" w:type="dxa"/>
            <w:tcBorders>
              <w:top w:val="nil"/>
              <w:left w:val="nil"/>
              <w:bottom w:val="single" w:sz="4" w:space="0" w:color="auto"/>
              <w:right w:val="single" w:sz="4" w:space="0" w:color="auto"/>
            </w:tcBorders>
            <w:shd w:val="clear" w:color="auto" w:fill="auto"/>
            <w:vAlign w:val="bottom"/>
            <w:hideMark/>
          </w:tcPr>
          <w:p w14:paraId="4598B31E"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2 947 211</w:t>
            </w:r>
          </w:p>
        </w:tc>
      </w:tr>
      <w:tr w:rsidR="00890A0D" w:rsidRPr="00890A0D" w14:paraId="212567EB" w14:textId="77777777" w:rsidTr="00C404D5">
        <w:trPr>
          <w:trHeight w:val="300"/>
        </w:trPr>
        <w:tc>
          <w:tcPr>
            <w:tcW w:w="4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244D1" w14:textId="64D5C57E" w:rsidR="00890A0D" w:rsidRPr="00890A0D" w:rsidRDefault="00E56E24" w:rsidP="00890A0D">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Kopā</w:t>
            </w:r>
          </w:p>
        </w:tc>
        <w:tc>
          <w:tcPr>
            <w:tcW w:w="1109" w:type="dxa"/>
            <w:tcBorders>
              <w:top w:val="nil"/>
              <w:left w:val="nil"/>
              <w:bottom w:val="single" w:sz="4" w:space="0" w:color="auto"/>
              <w:right w:val="nil"/>
            </w:tcBorders>
            <w:shd w:val="clear" w:color="auto" w:fill="auto"/>
            <w:noWrap/>
            <w:vAlign w:val="center"/>
            <w:hideMark/>
          </w:tcPr>
          <w:p w14:paraId="4516F232"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5423"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14:paraId="36E692BD" w14:textId="77777777" w:rsidR="00890A0D" w:rsidRPr="00890A0D" w:rsidRDefault="00890A0D" w:rsidP="00890A0D">
            <w:pPr>
              <w:jc w:val="right"/>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163 190 847</w:t>
            </w:r>
          </w:p>
        </w:tc>
        <w:tc>
          <w:tcPr>
            <w:tcW w:w="1166" w:type="dxa"/>
            <w:tcBorders>
              <w:top w:val="nil"/>
              <w:left w:val="nil"/>
              <w:bottom w:val="single" w:sz="4" w:space="0" w:color="auto"/>
              <w:right w:val="nil"/>
            </w:tcBorders>
            <w:shd w:val="clear" w:color="auto" w:fill="auto"/>
            <w:noWrap/>
            <w:vAlign w:val="center"/>
            <w:hideMark/>
          </w:tcPr>
          <w:p w14:paraId="46983633"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41EB0"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3FA2FD0" w14:textId="77777777" w:rsidR="00890A0D" w:rsidRPr="00890A0D" w:rsidRDefault="00890A0D" w:rsidP="00890A0D">
            <w:pPr>
              <w:jc w:val="right"/>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157 138 277</w:t>
            </w:r>
          </w:p>
        </w:tc>
        <w:tc>
          <w:tcPr>
            <w:tcW w:w="1071" w:type="dxa"/>
            <w:tcBorders>
              <w:top w:val="nil"/>
              <w:left w:val="nil"/>
              <w:bottom w:val="single" w:sz="4" w:space="0" w:color="auto"/>
              <w:right w:val="nil"/>
            </w:tcBorders>
            <w:shd w:val="clear" w:color="auto" w:fill="auto"/>
            <w:noWrap/>
            <w:vAlign w:val="center"/>
            <w:hideMark/>
          </w:tcPr>
          <w:p w14:paraId="00090B4B"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02EFB8"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972" w:type="dxa"/>
            <w:tcBorders>
              <w:top w:val="nil"/>
              <w:left w:val="nil"/>
              <w:bottom w:val="single" w:sz="4" w:space="0" w:color="auto"/>
              <w:right w:val="single" w:sz="4" w:space="0" w:color="auto"/>
            </w:tcBorders>
            <w:shd w:val="clear" w:color="auto" w:fill="auto"/>
            <w:noWrap/>
            <w:vAlign w:val="center"/>
            <w:hideMark/>
          </w:tcPr>
          <w:p w14:paraId="69B35DE1" w14:textId="77777777" w:rsidR="00890A0D" w:rsidRPr="00890A0D" w:rsidRDefault="00890A0D" w:rsidP="00890A0D">
            <w:pPr>
              <w:jc w:val="right"/>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155 645 327</w:t>
            </w:r>
          </w:p>
        </w:tc>
      </w:tr>
    </w:tbl>
    <w:p w14:paraId="14B7FAD2" w14:textId="77777777" w:rsidR="00C404D5" w:rsidRPr="00C404D5" w:rsidRDefault="00C404D5" w:rsidP="00C404D5">
      <w:pPr>
        <w:widowControl w:val="0"/>
        <w:rPr>
          <w:rFonts w:ascii="Times New Roman" w:eastAsia="Calibri" w:hAnsi="Times New Roman" w:cs="Times New Roman"/>
          <w:i/>
          <w:sz w:val="20"/>
        </w:rPr>
      </w:pPr>
      <w:r w:rsidRPr="00C404D5">
        <w:rPr>
          <w:rFonts w:ascii="Times New Roman" w:eastAsia="Calibri" w:hAnsi="Times New Roman" w:cs="Times New Roman"/>
          <w:i/>
          <w:sz w:val="20"/>
        </w:rPr>
        <w:t>Datu avots: FM</w:t>
      </w:r>
    </w:p>
    <w:p w14:paraId="76E85A5E" w14:textId="77777777" w:rsidR="005E7346" w:rsidRDefault="005E7346" w:rsidP="00C404D5">
      <w:pPr>
        <w:widowControl w:val="0"/>
        <w:rPr>
          <w:rFonts w:ascii="Times New Roman" w:eastAsia="Times New Roman" w:hAnsi="Times New Roman" w:cs="Times New Roman"/>
          <w:b/>
          <w:color w:val="000000"/>
          <w:sz w:val="24"/>
        </w:rPr>
      </w:pPr>
    </w:p>
    <w:p w14:paraId="4ADFCC52" w14:textId="77777777" w:rsidR="005E7346" w:rsidRDefault="005E7346" w:rsidP="00401A5B">
      <w:pPr>
        <w:widowControl w:val="0"/>
        <w:jc w:val="center"/>
        <w:rPr>
          <w:rFonts w:ascii="Times New Roman" w:eastAsia="Times New Roman" w:hAnsi="Times New Roman" w:cs="Times New Roman"/>
          <w:b/>
          <w:color w:val="000000"/>
          <w:sz w:val="24"/>
        </w:rPr>
      </w:pPr>
    </w:p>
    <w:p w14:paraId="06AE4F84" w14:textId="210C3120" w:rsidR="003F3FCD" w:rsidRDefault="003F3FCD" w:rsidP="00401A5B">
      <w:pPr>
        <w:widowControl w:val="0"/>
        <w:jc w:val="center"/>
        <w:rPr>
          <w:rFonts w:ascii="Times New Roman" w:eastAsia="Times New Roman" w:hAnsi="Times New Roman" w:cs="Times New Roman"/>
          <w:b/>
          <w:color w:val="000000"/>
          <w:sz w:val="24"/>
        </w:rPr>
      </w:pPr>
    </w:p>
    <w:p w14:paraId="6BC560DB" w14:textId="55F47479" w:rsidR="00890A0D" w:rsidRDefault="00890A0D" w:rsidP="00401A5B">
      <w:pPr>
        <w:widowControl w:val="0"/>
        <w:jc w:val="center"/>
        <w:rPr>
          <w:rFonts w:ascii="Times New Roman" w:eastAsia="Times New Roman" w:hAnsi="Times New Roman" w:cs="Times New Roman"/>
          <w:b/>
          <w:color w:val="000000"/>
          <w:sz w:val="24"/>
        </w:rPr>
      </w:pPr>
    </w:p>
    <w:p w14:paraId="1E252ABD" w14:textId="5BD55CFA" w:rsidR="00890A0D" w:rsidRDefault="00890A0D" w:rsidP="00401A5B">
      <w:pPr>
        <w:widowControl w:val="0"/>
        <w:jc w:val="center"/>
        <w:rPr>
          <w:rFonts w:ascii="Times New Roman" w:eastAsia="Times New Roman" w:hAnsi="Times New Roman" w:cs="Times New Roman"/>
          <w:b/>
          <w:color w:val="000000"/>
          <w:sz w:val="24"/>
        </w:rPr>
      </w:pPr>
    </w:p>
    <w:p w14:paraId="235CC1AE" w14:textId="5F1D12DD" w:rsidR="00890A0D" w:rsidRDefault="00890A0D" w:rsidP="00401A5B">
      <w:pPr>
        <w:widowControl w:val="0"/>
        <w:jc w:val="center"/>
        <w:rPr>
          <w:rFonts w:ascii="Times New Roman" w:eastAsia="Times New Roman" w:hAnsi="Times New Roman" w:cs="Times New Roman"/>
          <w:b/>
          <w:color w:val="000000"/>
          <w:sz w:val="24"/>
        </w:rPr>
      </w:pPr>
    </w:p>
    <w:p w14:paraId="79699B86" w14:textId="30BA5D21" w:rsidR="00890A0D" w:rsidRDefault="00890A0D" w:rsidP="00401A5B">
      <w:pPr>
        <w:widowControl w:val="0"/>
        <w:jc w:val="center"/>
        <w:rPr>
          <w:rFonts w:ascii="Times New Roman" w:eastAsia="Times New Roman" w:hAnsi="Times New Roman" w:cs="Times New Roman"/>
          <w:b/>
          <w:color w:val="000000"/>
          <w:sz w:val="24"/>
        </w:rPr>
      </w:pPr>
    </w:p>
    <w:p w14:paraId="78939307" w14:textId="1EFD412B" w:rsidR="00890A0D" w:rsidRDefault="00890A0D" w:rsidP="00401A5B">
      <w:pPr>
        <w:widowControl w:val="0"/>
        <w:jc w:val="center"/>
        <w:rPr>
          <w:rFonts w:ascii="Times New Roman" w:eastAsia="Times New Roman" w:hAnsi="Times New Roman" w:cs="Times New Roman"/>
          <w:b/>
          <w:color w:val="000000"/>
          <w:sz w:val="24"/>
        </w:rPr>
      </w:pPr>
    </w:p>
    <w:p w14:paraId="74B9DE58" w14:textId="4BED0584" w:rsidR="00890A0D" w:rsidRDefault="00890A0D" w:rsidP="00401A5B">
      <w:pPr>
        <w:widowControl w:val="0"/>
        <w:jc w:val="center"/>
        <w:rPr>
          <w:rFonts w:ascii="Times New Roman" w:eastAsia="Times New Roman" w:hAnsi="Times New Roman" w:cs="Times New Roman"/>
          <w:b/>
          <w:color w:val="000000"/>
          <w:sz w:val="24"/>
        </w:rPr>
      </w:pPr>
    </w:p>
    <w:p w14:paraId="5EF96B39" w14:textId="650454AF" w:rsidR="00890A0D" w:rsidRDefault="00890A0D" w:rsidP="00401A5B">
      <w:pPr>
        <w:widowControl w:val="0"/>
        <w:jc w:val="center"/>
        <w:rPr>
          <w:rFonts w:ascii="Times New Roman" w:eastAsia="Times New Roman" w:hAnsi="Times New Roman" w:cs="Times New Roman"/>
          <w:b/>
          <w:color w:val="000000"/>
          <w:sz w:val="24"/>
        </w:rPr>
      </w:pPr>
    </w:p>
    <w:p w14:paraId="7231BA7A" w14:textId="2699C7C8" w:rsidR="00E56E24" w:rsidRDefault="00E56E24" w:rsidP="00401A5B">
      <w:pPr>
        <w:widowControl w:val="0"/>
        <w:jc w:val="center"/>
        <w:rPr>
          <w:rFonts w:ascii="Times New Roman" w:eastAsia="Times New Roman" w:hAnsi="Times New Roman" w:cs="Times New Roman"/>
          <w:b/>
          <w:color w:val="000000"/>
          <w:sz w:val="24"/>
        </w:rPr>
      </w:pPr>
    </w:p>
    <w:p w14:paraId="749213C0" w14:textId="77777777" w:rsidR="00E56E24" w:rsidRDefault="00E56E24" w:rsidP="00401A5B">
      <w:pPr>
        <w:widowControl w:val="0"/>
        <w:jc w:val="center"/>
        <w:rPr>
          <w:rFonts w:ascii="Times New Roman" w:eastAsia="Times New Roman" w:hAnsi="Times New Roman" w:cs="Times New Roman"/>
          <w:b/>
          <w:color w:val="000000"/>
          <w:sz w:val="24"/>
        </w:rPr>
      </w:pPr>
    </w:p>
    <w:p w14:paraId="08FF89F5" w14:textId="492B2D84" w:rsidR="00890A0D" w:rsidRDefault="00890A0D" w:rsidP="00401A5B">
      <w:pPr>
        <w:widowControl w:val="0"/>
        <w:jc w:val="center"/>
        <w:rPr>
          <w:rFonts w:ascii="Times New Roman" w:eastAsia="Times New Roman" w:hAnsi="Times New Roman" w:cs="Times New Roman"/>
          <w:b/>
          <w:color w:val="000000"/>
          <w:sz w:val="24"/>
        </w:rPr>
      </w:pPr>
    </w:p>
    <w:p w14:paraId="187DF3E7" w14:textId="4632D6C1" w:rsidR="00890A0D" w:rsidRDefault="00890A0D" w:rsidP="00401A5B">
      <w:pPr>
        <w:widowControl w:val="0"/>
        <w:jc w:val="center"/>
        <w:rPr>
          <w:rFonts w:ascii="Times New Roman" w:eastAsia="Times New Roman" w:hAnsi="Times New Roman" w:cs="Times New Roman"/>
          <w:b/>
          <w:color w:val="000000"/>
          <w:sz w:val="24"/>
        </w:rPr>
      </w:pPr>
    </w:p>
    <w:p w14:paraId="27658B13" w14:textId="09FE68F8" w:rsidR="00890A0D" w:rsidRDefault="00890A0D" w:rsidP="00401A5B">
      <w:pPr>
        <w:widowControl w:val="0"/>
        <w:jc w:val="center"/>
        <w:rPr>
          <w:rFonts w:ascii="Times New Roman" w:eastAsia="Times New Roman" w:hAnsi="Times New Roman" w:cs="Times New Roman"/>
          <w:b/>
          <w:color w:val="000000"/>
          <w:sz w:val="24"/>
        </w:rPr>
      </w:pPr>
    </w:p>
    <w:p w14:paraId="000D964A" w14:textId="77777777" w:rsidR="00890A0D" w:rsidRDefault="00890A0D" w:rsidP="00401A5B">
      <w:pPr>
        <w:widowControl w:val="0"/>
        <w:jc w:val="center"/>
        <w:rPr>
          <w:rFonts w:ascii="Times New Roman" w:eastAsia="Times New Roman" w:hAnsi="Times New Roman" w:cs="Times New Roman"/>
          <w:b/>
          <w:color w:val="000000"/>
          <w:sz w:val="24"/>
        </w:rPr>
      </w:pPr>
    </w:p>
    <w:p w14:paraId="682D39BE" w14:textId="77777777" w:rsidR="003F3FCD" w:rsidRDefault="003F3FCD" w:rsidP="00401A5B">
      <w:pPr>
        <w:widowControl w:val="0"/>
        <w:rPr>
          <w:rFonts w:ascii="Times New Roman" w:eastAsia="Times New Roman" w:hAnsi="Times New Roman" w:cs="Times New Roman"/>
          <w:sz w:val="20"/>
        </w:rPr>
      </w:pPr>
    </w:p>
    <w:p w14:paraId="74243FD7" w14:textId="4B39B4E0" w:rsidR="003F3FCD" w:rsidRPr="000F6C00" w:rsidRDefault="000F6C00" w:rsidP="000F6C00">
      <w:pPr>
        <w:widowControl w:val="0"/>
        <w:jc w:val="right"/>
        <w:rPr>
          <w:rFonts w:ascii="Times New Roman" w:eastAsia="Times New Roman" w:hAnsi="Times New Roman" w:cs="Times New Roman"/>
          <w:sz w:val="28"/>
        </w:rPr>
      </w:pPr>
      <w:r w:rsidRPr="000F6C00">
        <w:rPr>
          <w:rFonts w:ascii="Times New Roman" w:eastAsia="Times New Roman" w:hAnsi="Times New Roman" w:cs="Times New Roman"/>
          <w:sz w:val="28"/>
        </w:rPr>
        <w:t>9.pielikums</w:t>
      </w:r>
    </w:p>
    <w:p w14:paraId="34D49A88" w14:textId="3932023A" w:rsidR="003F3FCD" w:rsidRDefault="00AC361B" w:rsidP="00890A0D">
      <w:pPr>
        <w:widowControl w:val="0"/>
        <w:jc w:val="right"/>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LM</w:t>
      </w:r>
      <w:r w:rsidR="000548A5" w:rsidRPr="000F6C00">
        <w:rPr>
          <w:rFonts w:ascii="Times New Roman" w:eastAsia="Times New Roman" w:hAnsi="Times New Roman" w:cs="Times New Roman"/>
          <w:b/>
          <w:color w:val="000000"/>
          <w:sz w:val="28"/>
        </w:rPr>
        <w:t xml:space="preserve"> pamatbudžeta programma 20.04.00 „Bēgļa un alternatīvo statusu ieguvušo personu pabalsti”</w:t>
      </w:r>
    </w:p>
    <w:p w14:paraId="035006E2" w14:textId="77777777" w:rsidR="00890A0D" w:rsidRPr="00890A0D" w:rsidRDefault="00890A0D" w:rsidP="00890A0D">
      <w:pPr>
        <w:widowControl w:val="0"/>
        <w:jc w:val="right"/>
        <w:rPr>
          <w:rFonts w:ascii="Times New Roman" w:eastAsia="Times New Roman" w:hAnsi="Times New Roman" w:cs="Times New Roman"/>
          <w:b/>
          <w:color w:val="000000"/>
          <w:sz w:val="28"/>
        </w:rPr>
      </w:pPr>
    </w:p>
    <w:p w14:paraId="5D0C14DD" w14:textId="60807D78" w:rsidR="00890A0D" w:rsidRPr="00890A0D" w:rsidRDefault="000548A5" w:rsidP="00890A0D">
      <w:pPr>
        <w:widowControl w:val="0"/>
        <w:jc w:val="right"/>
        <w:rPr>
          <w:rFonts w:ascii="Times New Roman" w:eastAsia="Calibri" w:hAnsi="Times New Roman" w:cs="Times New Roman"/>
          <w:i/>
          <w:sz w:val="20"/>
        </w:rPr>
      </w:pPr>
      <w:r w:rsidRPr="00890A0D">
        <w:rPr>
          <w:rFonts w:ascii="Times New Roman" w:eastAsia="Calibri" w:hAnsi="Times New Roman" w:cs="Times New Roman"/>
          <w:i/>
          <w:sz w:val="20"/>
        </w:rPr>
        <w:t xml:space="preserve"> </w:t>
      </w:r>
      <w:r w:rsidR="00890A0D" w:rsidRPr="00890A0D">
        <w:rPr>
          <w:rFonts w:ascii="Times New Roman" w:eastAsia="Calibri" w:hAnsi="Times New Roman" w:cs="Times New Roman"/>
          <w:i/>
          <w:sz w:val="20"/>
        </w:rPr>
        <w:t>euro</w:t>
      </w:r>
    </w:p>
    <w:tbl>
      <w:tblPr>
        <w:tblW w:w="13993" w:type="dxa"/>
        <w:tblLook w:val="04A0" w:firstRow="1" w:lastRow="0" w:firstColumn="1" w:lastColumn="0" w:noHBand="0" w:noVBand="1"/>
      </w:tblPr>
      <w:tblGrid>
        <w:gridCol w:w="4060"/>
        <w:gridCol w:w="1113"/>
        <w:gridCol w:w="1200"/>
        <w:gridCol w:w="1038"/>
        <w:gridCol w:w="1170"/>
        <w:gridCol w:w="1189"/>
        <w:gridCol w:w="1036"/>
        <w:gridCol w:w="1076"/>
        <w:gridCol w:w="1139"/>
        <w:gridCol w:w="972"/>
      </w:tblGrid>
      <w:tr w:rsidR="00890A0D" w:rsidRPr="00890A0D" w14:paraId="05C4DC9E" w14:textId="77777777" w:rsidTr="00C404D5">
        <w:trPr>
          <w:trHeight w:val="498"/>
        </w:trPr>
        <w:tc>
          <w:tcPr>
            <w:tcW w:w="40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338957B3" w14:textId="77777777" w:rsidR="00890A0D" w:rsidRPr="00890A0D" w:rsidRDefault="00890A0D" w:rsidP="00890A0D">
            <w:pPr>
              <w:jc w:val="center"/>
              <w:rPr>
                <w:rFonts w:ascii="Times New Roman" w:eastAsia="Times New Roman" w:hAnsi="Times New Roman" w:cs="Times New Roman"/>
                <w:b/>
                <w:sz w:val="20"/>
                <w:szCs w:val="20"/>
              </w:rPr>
            </w:pPr>
            <w:r w:rsidRPr="00890A0D">
              <w:rPr>
                <w:rFonts w:ascii="Times New Roman" w:eastAsia="Times New Roman" w:hAnsi="Times New Roman" w:cs="Times New Roman"/>
                <w:b/>
                <w:sz w:val="20"/>
                <w:szCs w:val="20"/>
              </w:rPr>
              <w:t> </w:t>
            </w:r>
          </w:p>
        </w:tc>
        <w:tc>
          <w:tcPr>
            <w:tcW w:w="3351"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36F639B5" w14:textId="77777777" w:rsidR="00890A0D" w:rsidRPr="00890A0D" w:rsidRDefault="00890A0D" w:rsidP="00890A0D">
            <w:pPr>
              <w:jc w:val="center"/>
              <w:rPr>
                <w:rFonts w:ascii="Times New Roman" w:eastAsia="Times New Roman" w:hAnsi="Times New Roman" w:cs="Times New Roman"/>
                <w:b/>
                <w:sz w:val="20"/>
                <w:szCs w:val="20"/>
              </w:rPr>
            </w:pPr>
            <w:r w:rsidRPr="00890A0D">
              <w:rPr>
                <w:rFonts w:ascii="Times New Roman" w:eastAsia="Times New Roman" w:hAnsi="Times New Roman" w:cs="Times New Roman"/>
                <w:b/>
                <w:sz w:val="20"/>
                <w:szCs w:val="20"/>
              </w:rPr>
              <w:t>2021.gada projekts</w:t>
            </w:r>
          </w:p>
        </w:tc>
        <w:tc>
          <w:tcPr>
            <w:tcW w:w="3395"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1F1099C4" w14:textId="77777777" w:rsidR="00890A0D" w:rsidRPr="00890A0D" w:rsidRDefault="00890A0D" w:rsidP="00890A0D">
            <w:pPr>
              <w:jc w:val="center"/>
              <w:rPr>
                <w:rFonts w:ascii="Times New Roman" w:eastAsia="Times New Roman" w:hAnsi="Times New Roman" w:cs="Times New Roman"/>
                <w:b/>
                <w:sz w:val="20"/>
                <w:szCs w:val="20"/>
              </w:rPr>
            </w:pPr>
            <w:r w:rsidRPr="00890A0D">
              <w:rPr>
                <w:rFonts w:ascii="Times New Roman" w:eastAsia="Times New Roman" w:hAnsi="Times New Roman" w:cs="Times New Roman"/>
                <w:b/>
                <w:sz w:val="20"/>
                <w:szCs w:val="20"/>
              </w:rPr>
              <w:t>2022.gada prognoze</w:t>
            </w:r>
          </w:p>
        </w:tc>
        <w:tc>
          <w:tcPr>
            <w:tcW w:w="3187"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AE7B2D8" w14:textId="77777777" w:rsidR="00890A0D" w:rsidRPr="00890A0D" w:rsidRDefault="00890A0D" w:rsidP="00890A0D">
            <w:pPr>
              <w:jc w:val="center"/>
              <w:rPr>
                <w:rFonts w:ascii="Times New Roman" w:eastAsia="Times New Roman" w:hAnsi="Times New Roman" w:cs="Times New Roman"/>
                <w:b/>
                <w:sz w:val="20"/>
                <w:szCs w:val="20"/>
              </w:rPr>
            </w:pPr>
            <w:r w:rsidRPr="00890A0D">
              <w:rPr>
                <w:rFonts w:ascii="Times New Roman" w:eastAsia="Times New Roman" w:hAnsi="Times New Roman" w:cs="Times New Roman"/>
                <w:b/>
                <w:sz w:val="20"/>
                <w:szCs w:val="20"/>
              </w:rPr>
              <w:t>2023.gada prognoze</w:t>
            </w:r>
          </w:p>
        </w:tc>
      </w:tr>
      <w:tr w:rsidR="00890A0D" w:rsidRPr="00890A0D" w14:paraId="47807A5C" w14:textId="77777777" w:rsidTr="00C404D5">
        <w:trPr>
          <w:trHeight w:val="480"/>
        </w:trPr>
        <w:tc>
          <w:tcPr>
            <w:tcW w:w="40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C504C33"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Pabalsta veids</w:t>
            </w:r>
          </w:p>
        </w:tc>
        <w:tc>
          <w:tcPr>
            <w:tcW w:w="11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882036" w14:textId="61E8313C"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 xml:space="preserve">Pabalsta apmērs vidēji mēnesī </w:t>
            </w:r>
          </w:p>
        </w:tc>
        <w:tc>
          <w:tcPr>
            <w:tcW w:w="1200" w:type="dxa"/>
            <w:tcBorders>
              <w:top w:val="nil"/>
              <w:left w:val="nil"/>
              <w:bottom w:val="nil"/>
              <w:right w:val="single" w:sz="4" w:space="0" w:color="auto"/>
            </w:tcBorders>
            <w:shd w:val="clear" w:color="auto" w:fill="auto"/>
            <w:vAlign w:val="center"/>
            <w:hideMark/>
          </w:tcPr>
          <w:p w14:paraId="04488FD0"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Saņēmēju</w:t>
            </w:r>
            <w:r w:rsidRPr="00890A0D">
              <w:rPr>
                <w:rFonts w:ascii="Times New Roman" w:eastAsia="Times New Roman" w:hAnsi="Times New Roman" w:cs="Times New Roman"/>
                <w:sz w:val="20"/>
                <w:szCs w:val="20"/>
              </w:rPr>
              <w:br/>
              <w:t xml:space="preserve"> skaits</w:t>
            </w:r>
          </w:p>
        </w:tc>
        <w:tc>
          <w:tcPr>
            <w:tcW w:w="1038" w:type="dxa"/>
            <w:tcBorders>
              <w:top w:val="nil"/>
              <w:left w:val="nil"/>
              <w:bottom w:val="nil"/>
              <w:right w:val="single" w:sz="4" w:space="0" w:color="auto"/>
            </w:tcBorders>
            <w:shd w:val="clear" w:color="000000" w:fill="FFFFFF"/>
            <w:vAlign w:val="center"/>
            <w:hideMark/>
          </w:tcPr>
          <w:p w14:paraId="6EC1CA05"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Izdevumi kopā</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14:paraId="1B700925" w14:textId="6CDC8DEF"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w:t>
            </w:r>
            <w:r>
              <w:rPr>
                <w:rFonts w:ascii="Times New Roman" w:eastAsia="Times New Roman" w:hAnsi="Times New Roman" w:cs="Times New Roman"/>
                <w:sz w:val="20"/>
                <w:szCs w:val="20"/>
              </w:rPr>
              <w:t>lsta apmērs vidēji mēnesī</w:t>
            </w:r>
          </w:p>
        </w:tc>
        <w:tc>
          <w:tcPr>
            <w:tcW w:w="1189" w:type="dxa"/>
            <w:tcBorders>
              <w:top w:val="nil"/>
              <w:left w:val="nil"/>
              <w:bottom w:val="nil"/>
              <w:right w:val="single" w:sz="4" w:space="0" w:color="auto"/>
            </w:tcBorders>
            <w:shd w:val="clear" w:color="auto" w:fill="auto"/>
            <w:vAlign w:val="center"/>
            <w:hideMark/>
          </w:tcPr>
          <w:p w14:paraId="341B9680"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Saņēmēju</w:t>
            </w:r>
            <w:r w:rsidRPr="00890A0D">
              <w:rPr>
                <w:rFonts w:ascii="Times New Roman" w:eastAsia="Times New Roman" w:hAnsi="Times New Roman" w:cs="Times New Roman"/>
                <w:sz w:val="20"/>
                <w:szCs w:val="20"/>
              </w:rPr>
              <w:br/>
              <w:t xml:space="preserve"> skaits</w:t>
            </w:r>
          </w:p>
        </w:tc>
        <w:tc>
          <w:tcPr>
            <w:tcW w:w="1036" w:type="dxa"/>
            <w:tcBorders>
              <w:top w:val="nil"/>
              <w:left w:val="nil"/>
              <w:bottom w:val="nil"/>
              <w:right w:val="single" w:sz="4" w:space="0" w:color="auto"/>
            </w:tcBorders>
            <w:shd w:val="clear" w:color="auto" w:fill="auto"/>
            <w:vAlign w:val="center"/>
            <w:hideMark/>
          </w:tcPr>
          <w:p w14:paraId="21697FF9"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Izdevumi kopā</w:t>
            </w:r>
          </w:p>
        </w:tc>
        <w:tc>
          <w:tcPr>
            <w:tcW w:w="1076" w:type="dxa"/>
            <w:vMerge w:val="restart"/>
            <w:tcBorders>
              <w:top w:val="nil"/>
              <w:left w:val="single" w:sz="4" w:space="0" w:color="auto"/>
              <w:bottom w:val="single" w:sz="4" w:space="0" w:color="000000"/>
              <w:right w:val="single" w:sz="4" w:space="0" w:color="auto"/>
            </w:tcBorders>
            <w:shd w:val="clear" w:color="auto" w:fill="auto"/>
            <w:vAlign w:val="center"/>
            <w:hideMark/>
          </w:tcPr>
          <w:p w14:paraId="675F3445" w14:textId="63C891FE"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Paba</w:t>
            </w:r>
            <w:r>
              <w:rPr>
                <w:rFonts w:ascii="Times New Roman" w:eastAsia="Times New Roman" w:hAnsi="Times New Roman" w:cs="Times New Roman"/>
                <w:sz w:val="20"/>
                <w:szCs w:val="20"/>
              </w:rPr>
              <w:t xml:space="preserve">lsta apmērs vidēji mēnesī </w:t>
            </w:r>
          </w:p>
        </w:tc>
        <w:tc>
          <w:tcPr>
            <w:tcW w:w="1139" w:type="dxa"/>
            <w:tcBorders>
              <w:top w:val="nil"/>
              <w:left w:val="nil"/>
              <w:bottom w:val="nil"/>
              <w:right w:val="single" w:sz="4" w:space="0" w:color="auto"/>
            </w:tcBorders>
            <w:shd w:val="clear" w:color="auto" w:fill="auto"/>
            <w:vAlign w:val="center"/>
            <w:hideMark/>
          </w:tcPr>
          <w:p w14:paraId="4A65197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Saņēmēju</w:t>
            </w:r>
            <w:r w:rsidRPr="00890A0D">
              <w:rPr>
                <w:rFonts w:ascii="Times New Roman" w:eastAsia="Times New Roman" w:hAnsi="Times New Roman" w:cs="Times New Roman"/>
                <w:sz w:val="20"/>
                <w:szCs w:val="20"/>
              </w:rPr>
              <w:br/>
              <w:t xml:space="preserve"> skaits</w:t>
            </w:r>
          </w:p>
        </w:tc>
        <w:tc>
          <w:tcPr>
            <w:tcW w:w="972" w:type="dxa"/>
            <w:tcBorders>
              <w:top w:val="nil"/>
              <w:left w:val="nil"/>
              <w:bottom w:val="nil"/>
              <w:right w:val="single" w:sz="4" w:space="0" w:color="auto"/>
            </w:tcBorders>
            <w:shd w:val="clear" w:color="auto" w:fill="auto"/>
            <w:vAlign w:val="center"/>
            <w:hideMark/>
          </w:tcPr>
          <w:p w14:paraId="238F3211"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Izdevumi kopā</w:t>
            </w:r>
          </w:p>
        </w:tc>
      </w:tr>
      <w:tr w:rsidR="00890A0D" w:rsidRPr="00890A0D" w14:paraId="067C0FE8" w14:textId="77777777" w:rsidTr="00C404D5">
        <w:trPr>
          <w:trHeight w:val="300"/>
        </w:trPr>
        <w:tc>
          <w:tcPr>
            <w:tcW w:w="4060" w:type="dxa"/>
            <w:vMerge/>
            <w:tcBorders>
              <w:top w:val="nil"/>
              <w:left w:val="single" w:sz="4" w:space="0" w:color="auto"/>
              <w:bottom w:val="single" w:sz="4" w:space="0" w:color="000000"/>
              <w:right w:val="single" w:sz="4" w:space="0" w:color="auto"/>
            </w:tcBorders>
            <w:vAlign w:val="center"/>
            <w:hideMark/>
          </w:tcPr>
          <w:p w14:paraId="26E30081" w14:textId="77777777" w:rsidR="00890A0D" w:rsidRPr="00890A0D" w:rsidRDefault="00890A0D" w:rsidP="00890A0D">
            <w:pPr>
              <w:rPr>
                <w:rFonts w:ascii="Times New Roman" w:eastAsia="Times New Roman" w:hAnsi="Times New Roman" w:cs="Times New Roman"/>
                <w:sz w:val="20"/>
                <w:szCs w:val="20"/>
              </w:rPr>
            </w:pPr>
          </w:p>
        </w:tc>
        <w:tc>
          <w:tcPr>
            <w:tcW w:w="1113" w:type="dxa"/>
            <w:vMerge/>
            <w:tcBorders>
              <w:top w:val="nil"/>
              <w:left w:val="single" w:sz="4" w:space="0" w:color="auto"/>
              <w:bottom w:val="single" w:sz="4" w:space="0" w:color="000000"/>
              <w:right w:val="single" w:sz="4" w:space="0" w:color="auto"/>
            </w:tcBorders>
            <w:vAlign w:val="center"/>
            <w:hideMark/>
          </w:tcPr>
          <w:p w14:paraId="6D97099C" w14:textId="77777777" w:rsidR="00890A0D" w:rsidRPr="00890A0D" w:rsidRDefault="00890A0D" w:rsidP="00890A0D">
            <w:pPr>
              <w:rPr>
                <w:rFonts w:ascii="Times New Roman" w:eastAsia="Times New Roman" w:hAnsi="Times New Roman" w:cs="Times New Roman"/>
                <w:sz w:val="20"/>
                <w:szCs w:val="20"/>
              </w:rPr>
            </w:pPr>
          </w:p>
        </w:tc>
        <w:tc>
          <w:tcPr>
            <w:tcW w:w="1200" w:type="dxa"/>
            <w:tcBorders>
              <w:top w:val="nil"/>
              <w:left w:val="nil"/>
              <w:bottom w:val="single" w:sz="4" w:space="0" w:color="auto"/>
              <w:right w:val="single" w:sz="4" w:space="0" w:color="auto"/>
            </w:tcBorders>
            <w:shd w:val="clear" w:color="000000" w:fill="FFFFFF"/>
            <w:noWrap/>
            <w:vAlign w:val="bottom"/>
            <w:hideMark/>
          </w:tcPr>
          <w:p w14:paraId="5658A114"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(vid.mēn.)</w:t>
            </w:r>
          </w:p>
        </w:tc>
        <w:tc>
          <w:tcPr>
            <w:tcW w:w="1038" w:type="dxa"/>
            <w:tcBorders>
              <w:top w:val="nil"/>
              <w:left w:val="nil"/>
              <w:bottom w:val="single" w:sz="4" w:space="0" w:color="auto"/>
              <w:right w:val="single" w:sz="4" w:space="0" w:color="auto"/>
            </w:tcBorders>
            <w:shd w:val="clear" w:color="000000" w:fill="FFFFFF"/>
            <w:noWrap/>
            <w:vAlign w:val="bottom"/>
            <w:hideMark/>
          </w:tcPr>
          <w:p w14:paraId="21285C67" w14:textId="4D59441A" w:rsidR="00890A0D" w:rsidRPr="00890A0D" w:rsidRDefault="00890A0D" w:rsidP="00890A0D">
            <w:pPr>
              <w:jc w:val="center"/>
              <w:rPr>
                <w:rFonts w:ascii="Times New Roman" w:eastAsia="Times New Roman" w:hAnsi="Times New Roman" w:cs="Times New Roman"/>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246D909E" w14:textId="77777777" w:rsidR="00890A0D" w:rsidRPr="00890A0D" w:rsidRDefault="00890A0D" w:rsidP="00890A0D">
            <w:pPr>
              <w:rPr>
                <w:rFonts w:ascii="Times New Roman" w:eastAsia="Times New Roman" w:hAnsi="Times New Roman" w:cs="Times New Roman"/>
                <w:sz w:val="20"/>
                <w:szCs w:val="20"/>
              </w:rPr>
            </w:pPr>
          </w:p>
        </w:tc>
        <w:tc>
          <w:tcPr>
            <w:tcW w:w="1189" w:type="dxa"/>
            <w:tcBorders>
              <w:top w:val="nil"/>
              <w:left w:val="nil"/>
              <w:bottom w:val="single" w:sz="4" w:space="0" w:color="auto"/>
              <w:right w:val="single" w:sz="4" w:space="0" w:color="auto"/>
            </w:tcBorders>
            <w:shd w:val="clear" w:color="auto" w:fill="auto"/>
            <w:noWrap/>
            <w:vAlign w:val="bottom"/>
            <w:hideMark/>
          </w:tcPr>
          <w:p w14:paraId="1A51D5E4"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(vid.mēn.)</w:t>
            </w:r>
          </w:p>
        </w:tc>
        <w:tc>
          <w:tcPr>
            <w:tcW w:w="1036" w:type="dxa"/>
            <w:tcBorders>
              <w:top w:val="nil"/>
              <w:left w:val="nil"/>
              <w:bottom w:val="single" w:sz="4" w:space="0" w:color="auto"/>
              <w:right w:val="single" w:sz="4" w:space="0" w:color="auto"/>
            </w:tcBorders>
            <w:shd w:val="clear" w:color="auto" w:fill="auto"/>
            <w:noWrap/>
            <w:vAlign w:val="bottom"/>
            <w:hideMark/>
          </w:tcPr>
          <w:p w14:paraId="50875329" w14:textId="10BE2C3E" w:rsidR="00890A0D" w:rsidRPr="00890A0D" w:rsidRDefault="00890A0D" w:rsidP="00890A0D">
            <w:pPr>
              <w:jc w:val="center"/>
              <w:rPr>
                <w:rFonts w:ascii="Times New Roman" w:eastAsia="Times New Roman" w:hAnsi="Times New Roman" w:cs="Times New Roman"/>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728E22BC" w14:textId="77777777" w:rsidR="00890A0D" w:rsidRPr="00890A0D" w:rsidRDefault="00890A0D" w:rsidP="00890A0D">
            <w:pPr>
              <w:rPr>
                <w:rFonts w:ascii="Times New Roman" w:eastAsia="Times New Roman" w:hAnsi="Times New Roman" w:cs="Times New Roman"/>
                <w:sz w:val="20"/>
                <w:szCs w:val="20"/>
              </w:rPr>
            </w:pPr>
          </w:p>
        </w:tc>
        <w:tc>
          <w:tcPr>
            <w:tcW w:w="1139" w:type="dxa"/>
            <w:tcBorders>
              <w:top w:val="nil"/>
              <w:left w:val="nil"/>
              <w:bottom w:val="single" w:sz="4" w:space="0" w:color="auto"/>
              <w:right w:val="single" w:sz="4" w:space="0" w:color="auto"/>
            </w:tcBorders>
            <w:shd w:val="clear" w:color="auto" w:fill="auto"/>
            <w:noWrap/>
            <w:vAlign w:val="bottom"/>
            <w:hideMark/>
          </w:tcPr>
          <w:p w14:paraId="51D77424"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(vid.mēn.)</w:t>
            </w:r>
          </w:p>
        </w:tc>
        <w:tc>
          <w:tcPr>
            <w:tcW w:w="972" w:type="dxa"/>
            <w:tcBorders>
              <w:top w:val="nil"/>
              <w:left w:val="nil"/>
              <w:bottom w:val="single" w:sz="4" w:space="0" w:color="auto"/>
              <w:right w:val="single" w:sz="4" w:space="0" w:color="auto"/>
            </w:tcBorders>
            <w:shd w:val="clear" w:color="auto" w:fill="auto"/>
            <w:noWrap/>
            <w:vAlign w:val="bottom"/>
            <w:hideMark/>
          </w:tcPr>
          <w:p w14:paraId="518F6E01" w14:textId="64CAE1FE" w:rsidR="00890A0D" w:rsidRPr="00890A0D" w:rsidRDefault="00890A0D" w:rsidP="00890A0D">
            <w:pPr>
              <w:jc w:val="center"/>
              <w:rPr>
                <w:rFonts w:ascii="Times New Roman" w:eastAsia="Times New Roman" w:hAnsi="Times New Roman" w:cs="Times New Roman"/>
                <w:sz w:val="20"/>
                <w:szCs w:val="20"/>
              </w:rPr>
            </w:pPr>
          </w:p>
        </w:tc>
      </w:tr>
      <w:tr w:rsidR="00890A0D" w:rsidRPr="00890A0D" w14:paraId="0754D2F8" w14:textId="77777777" w:rsidTr="00C40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07AEE34"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w:t>
            </w:r>
          </w:p>
        </w:tc>
        <w:tc>
          <w:tcPr>
            <w:tcW w:w="1113" w:type="dxa"/>
            <w:tcBorders>
              <w:top w:val="nil"/>
              <w:left w:val="nil"/>
              <w:bottom w:val="single" w:sz="4" w:space="0" w:color="auto"/>
              <w:right w:val="single" w:sz="4" w:space="0" w:color="auto"/>
            </w:tcBorders>
            <w:shd w:val="clear" w:color="000000" w:fill="FFFFFF"/>
            <w:noWrap/>
            <w:vAlign w:val="bottom"/>
            <w:hideMark/>
          </w:tcPr>
          <w:p w14:paraId="67112033"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w:t>
            </w:r>
          </w:p>
        </w:tc>
        <w:tc>
          <w:tcPr>
            <w:tcW w:w="1200" w:type="dxa"/>
            <w:tcBorders>
              <w:top w:val="nil"/>
              <w:left w:val="nil"/>
              <w:bottom w:val="single" w:sz="4" w:space="0" w:color="auto"/>
              <w:right w:val="single" w:sz="4" w:space="0" w:color="auto"/>
            </w:tcBorders>
            <w:shd w:val="clear" w:color="auto" w:fill="auto"/>
            <w:noWrap/>
            <w:vAlign w:val="bottom"/>
            <w:hideMark/>
          </w:tcPr>
          <w:p w14:paraId="170D202B"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3</w:t>
            </w:r>
          </w:p>
        </w:tc>
        <w:tc>
          <w:tcPr>
            <w:tcW w:w="1038" w:type="dxa"/>
            <w:tcBorders>
              <w:top w:val="nil"/>
              <w:left w:val="nil"/>
              <w:bottom w:val="single" w:sz="4" w:space="0" w:color="auto"/>
              <w:right w:val="single" w:sz="4" w:space="0" w:color="auto"/>
            </w:tcBorders>
            <w:shd w:val="clear" w:color="000000" w:fill="FFFFFF"/>
            <w:noWrap/>
            <w:vAlign w:val="bottom"/>
            <w:hideMark/>
          </w:tcPr>
          <w:p w14:paraId="6D97CAB7"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w:t>
            </w:r>
          </w:p>
        </w:tc>
        <w:tc>
          <w:tcPr>
            <w:tcW w:w="1170" w:type="dxa"/>
            <w:tcBorders>
              <w:top w:val="nil"/>
              <w:left w:val="nil"/>
              <w:bottom w:val="single" w:sz="4" w:space="0" w:color="auto"/>
              <w:right w:val="single" w:sz="4" w:space="0" w:color="auto"/>
            </w:tcBorders>
            <w:shd w:val="clear" w:color="000000" w:fill="FFFFFF"/>
            <w:noWrap/>
            <w:vAlign w:val="bottom"/>
            <w:hideMark/>
          </w:tcPr>
          <w:p w14:paraId="7348B80D"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w:t>
            </w:r>
          </w:p>
        </w:tc>
        <w:tc>
          <w:tcPr>
            <w:tcW w:w="1189" w:type="dxa"/>
            <w:tcBorders>
              <w:top w:val="nil"/>
              <w:left w:val="nil"/>
              <w:bottom w:val="single" w:sz="4" w:space="0" w:color="auto"/>
              <w:right w:val="single" w:sz="4" w:space="0" w:color="auto"/>
            </w:tcBorders>
            <w:shd w:val="clear" w:color="000000" w:fill="FFFFFF"/>
            <w:noWrap/>
            <w:vAlign w:val="bottom"/>
            <w:hideMark/>
          </w:tcPr>
          <w:p w14:paraId="47C9C861"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6</w:t>
            </w:r>
          </w:p>
        </w:tc>
        <w:tc>
          <w:tcPr>
            <w:tcW w:w="1036" w:type="dxa"/>
            <w:tcBorders>
              <w:top w:val="nil"/>
              <w:left w:val="nil"/>
              <w:bottom w:val="single" w:sz="4" w:space="0" w:color="auto"/>
              <w:right w:val="single" w:sz="4" w:space="0" w:color="auto"/>
            </w:tcBorders>
            <w:shd w:val="clear" w:color="000000" w:fill="FFFFFF"/>
            <w:noWrap/>
            <w:vAlign w:val="bottom"/>
            <w:hideMark/>
          </w:tcPr>
          <w:p w14:paraId="2318FC3E"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7</w:t>
            </w:r>
          </w:p>
        </w:tc>
        <w:tc>
          <w:tcPr>
            <w:tcW w:w="1076" w:type="dxa"/>
            <w:tcBorders>
              <w:top w:val="nil"/>
              <w:left w:val="nil"/>
              <w:bottom w:val="single" w:sz="4" w:space="0" w:color="auto"/>
              <w:right w:val="single" w:sz="4" w:space="0" w:color="auto"/>
            </w:tcBorders>
            <w:shd w:val="clear" w:color="000000" w:fill="FFFFFF"/>
            <w:noWrap/>
            <w:vAlign w:val="bottom"/>
            <w:hideMark/>
          </w:tcPr>
          <w:p w14:paraId="1091A98C"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8</w:t>
            </w:r>
          </w:p>
        </w:tc>
        <w:tc>
          <w:tcPr>
            <w:tcW w:w="1139" w:type="dxa"/>
            <w:tcBorders>
              <w:top w:val="nil"/>
              <w:left w:val="nil"/>
              <w:bottom w:val="single" w:sz="4" w:space="0" w:color="auto"/>
              <w:right w:val="single" w:sz="4" w:space="0" w:color="auto"/>
            </w:tcBorders>
            <w:shd w:val="clear" w:color="auto" w:fill="auto"/>
            <w:noWrap/>
            <w:vAlign w:val="bottom"/>
            <w:hideMark/>
          </w:tcPr>
          <w:p w14:paraId="3F221D3A"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9</w:t>
            </w:r>
          </w:p>
        </w:tc>
        <w:tc>
          <w:tcPr>
            <w:tcW w:w="972" w:type="dxa"/>
            <w:tcBorders>
              <w:top w:val="nil"/>
              <w:left w:val="nil"/>
              <w:bottom w:val="single" w:sz="4" w:space="0" w:color="auto"/>
              <w:right w:val="single" w:sz="4" w:space="0" w:color="auto"/>
            </w:tcBorders>
            <w:shd w:val="clear" w:color="000000" w:fill="FFFFFF"/>
            <w:noWrap/>
            <w:vAlign w:val="bottom"/>
            <w:hideMark/>
          </w:tcPr>
          <w:p w14:paraId="1AC80AD8" w14:textId="77777777" w:rsidR="00890A0D" w:rsidRPr="00890A0D" w:rsidRDefault="00890A0D" w:rsidP="00890A0D">
            <w:pPr>
              <w:jc w:val="cente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10</w:t>
            </w:r>
          </w:p>
        </w:tc>
      </w:tr>
      <w:tr w:rsidR="00890A0D" w:rsidRPr="00890A0D" w14:paraId="5B890685" w14:textId="77777777" w:rsidTr="00C404D5">
        <w:trPr>
          <w:trHeight w:val="300"/>
        </w:trPr>
        <w:tc>
          <w:tcPr>
            <w:tcW w:w="4060" w:type="dxa"/>
            <w:tcBorders>
              <w:top w:val="nil"/>
              <w:left w:val="single" w:sz="4" w:space="0" w:color="auto"/>
              <w:bottom w:val="nil"/>
              <w:right w:val="single" w:sz="4" w:space="0" w:color="auto"/>
            </w:tcBorders>
            <w:shd w:val="clear" w:color="auto" w:fill="auto"/>
            <w:noWrap/>
            <w:vAlign w:val="bottom"/>
            <w:hideMark/>
          </w:tcPr>
          <w:p w14:paraId="5C2E270B" w14:textId="77777777" w:rsidR="00890A0D" w:rsidRPr="00890A0D" w:rsidRDefault="00890A0D" w:rsidP="00890A0D">
            <w:pPr>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Bēgļu pabalsti</w:t>
            </w:r>
          </w:p>
        </w:tc>
        <w:tc>
          <w:tcPr>
            <w:tcW w:w="1113" w:type="dxa"/>
            <w:tcBorders>
              <w:top w:val="nil"/>
              <w:left w:val="nil"/>
              <w:bottom w:val="nil"/>
              <w:right w:val="single" w:sz="4" w:space="0" w:color="auto"/>
            </w:tcBorders>
            <w:shd w:val="clear" w:color="auto" w:fill="auto"/>
            <w:noWrap/>
            <w:vAlign w:val="bottom"/>
            <w:hideMark/>
          </w:tcPr>
          <w:p w14:paraId="719CBE9D"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154,21</w:t>
            </w:r>
          </w:p>
        </w:tc>
        <w:tc>
          <w:tcPr>
            <w:tcW w:w="1200" w:type="dxa"/>
            <w:tcBorders>
              <w:top w:val="nil"/>
              <w:left w:val="nil"/>
              <w:bottom w:val="nil"/>
              <w:right w:val="nil"/>
            </w:tcBorders>
            <w:shd w:val="clear" w:color="auto" w:fill="auto"/>
            <w:noWrap/>
            <w:vAlign w:val="bottom"/>
            <w:hideMark/>
          </w:tcPr>
          <w:p w14:paraId="25498346"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24</w:t>
            </w:r>
          </w:p>
        </w:tc>
        <w:tc>
          <w:tcPr>
            <w:tcW w:w="1038" w:type="dxa"/>
            <w:tcBorders>
              <w:top w:val="nil"/>
              <w:left w:val="single" w:sz="4" w:space="0" w:color="auto"/>
              <w:bottom w:val="nil"/>
              <w:right w:val="single" w:sz="4" w:space="0" w:color="auto"/>
            </w:tcBorders>
            <w:shd w:val="clear" w:color="auto" w:fill="auto"/>
            <w:noWrap/>
            <w:vAlign w:val="bottom"/>
            <w:hideMark/>
          </w:tcPr>
          <w:p w14:paraId="103DE02F"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44 412</w:t>
            </w:r>
          </w:p>
        </w:tc>
        <w:tc>
          <w:tcPr>
            <w:tcW w:w="1170" w:type="dxa"/>
            <w:tcBorders>
              <w:top w:val="nil"/>
              <w:left w:val="nil"/>
              <w:bottom w:val="nil"/>
              <w:right w:val="single" w:sz="4" w:space="0" w:color="auto"/>
            </w:tcBorders>
            <w:shd w:val="clear" w:color="auto" w:fill="auto"/>
            <w:noWrap/>
            <w:vAlign w:val="bottom"/>
            <w:hideMark/>
          </w:tcPr>
          <w:p w14:paraId="30CE370E"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154,21</w:t>
            </w:r>
          </w:p>
        </w:tc>
        <w:tc>
          <w:tcPr>
            <w:tcW w:w="1189" w:type="dxa"/>
            <w:tcBorders>
              <w:top w:val="nil"/>
              <w:left w:val="nil"/>
              <w:bottom w:val="nil"/>
              <w:right w:val="nil"/>
            </w:tcBorders>
            <w:shd w:val="clear" w:color="auto" w:fill="auto"/>
            <w:noWrap/>
            <w:vAlign w:val="bottom"/>
            <w:hideMark/>
          </w:tcPr>
          <w:p w14:paraId="7222CE9A"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27</w:t>
            </w:r>
          </w:p>
        </w:tc>
        <w:tc>
          <w:tcPr>
            <w:tcW w:w="1036" w:type="dxa"/>
            <w:tcBorders>
              <w:top w:val="nil"/>
              <w:left w:val="single" w:sz="4" w:space="0" w:color="auto"/>
              <w:bottom w:val="nil"/>
              <w:right w:val="single" w:sz="4" w:space="0" w:color="auto"/>
            </w:tcBorders>
            <w:shd w:val="clear" w:color="auto" w:fill="auto"/>
            <w:noWrap/>
            <w:vAlign w:val="bottom"/>
            <w:hideMark/>
          </w:tcPr>
          <w:p w14:paraId="3C5CE4D4"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49 964</w:t>
            </w:r>
          </w:p>
        </w:tc>
        <w:tc>
          <w:tcPr>
            <w:tcW w:w="1076" w:type="dxa"/>
            <w:tcBorders>
              <w:top w:val="nil"/>
              <w:left w:val="nil"/>
              <w:bottom w:val="nil"/>
              <w:right w:val="single" w:sz="4" w:space="0" w:color="auto"/>
            </w:tcBorders>
            <w:shd w:val="clear" w:color="auto" w:fill="auto"/>
            <w:noWrap/>
            <w:vAlign w:val="bottom"/>
            <w:hideMark/>
          </w:tcPr>
          <w:p w14:paraId="52C36EA8"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154,21</w:t>
            </w:r>
          </w:p>
        </w:tc>
        <w:tc>
          <w:tcPr>
            <w:tcW w:w="1139" w:type="dxa"/>
            <w:tcBorders>
              <w:top w:val="nil"/>
              <w:left w:val="nil"/>
              <w:bottom w:val="nil"/>
              <w:right w:val="nil"/>
            </w:tcBorders>
            <w:shd w:val="clear" w:color="auto" w:fill="auto"/>
            <w:noWrap/>
            <w:vAlign w:val="bottom"/>
            <w:hideMark/>
          </w:tcPr>
          <w:p w14:paraId="2E791479"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30</w:t>
            </w:r>
          </w:p>
        </w:tc>
        <w:tc>
          <w:tcPr>
            <w:tcW w:w="972" w:type="dxa"/>
            <w:tcBorders>
              <w:top w:val="nil"/>
              <w:left w:val="single" w:sz="4" w:space="0" w:color="auto"/>
              <w:bottom w:val="nil"/>
              <w:right w:val="single" w:sz="4" w:space="0" w:color="auto"/>
            </w:tcBorders>
            <w:shd w:val="clear" w:color="auto" w:fill="auto"/>
            <w:noWrap/>
            <w:vAlign w:val="bottom"/>
            <w:hideMark/>
          </w:tcPr>
          <w:p w14:paraId="76133FF1" w14:textId="77777777" w:rsidR="00890A0D" w:rsidRPr="00890A0D" w:rsidRDefault="00890A0D" w:rsidP="00890A0D">
            <w:pPr>
              <w:jc w:val="right"/>
              <w:rPr>
                <w:rFonts w:ascii="Times New Roman" w:eastAsia="Times New Roman" w:hAnsi="Times New Roman" w:cs="Times New Roman"/>
                <w:sz w:val="20"/>
                <w:szCs w:val="20"/>
              </w:rPr>
            </w:pPr>
            <w:r w:rsidRPr="00890A0D">
              <w:rPr>
                <w:rFonts w:ascii="Times New Roman" w:eastAsia="Times New Roman" w:hAnsi="Times New Roman" w:cs="Times New Roman"/>
                <w:sz w:val="20"/>
                <w:szCs w:val="20"/>
              </w:rPr>
              <w:t>55 516</w:t>
            </w:r>
          </w:p>
        </w:tc>
      </w:tr>
      <w:tr w:rsidR="00890A0D" w:rsidRPr="00890A0D" w14:paraId="265E5213" w14:textId="77777777" w:rsidTr="00C404D5">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C13D4" w14:textId="0647477C" w:rsidR="00890A0D" w:rsidRPr="00890A0D" w:rsidRDefault="00E56E24" w:rsidP="00890A0D">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Kopā</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5A217AFD"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17826FB"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097C5AAE" w14:textId="77777777" w:rsidR="00890A0D" w:rsidRPr="00890A0D" w:rsidRDefault="00890A0D" w:rsidP="00890A0D">
            <w:pPr>
              <w:jc w:val="right"/>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44 412</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2AF837B"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2253B6FD"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009FCF53" w14:textId="77777777" w:rsidR="00890A0D" w:rsidRPr="00890A0D" w:rsidRDefault="00890A0D" w:rsidP="00890A0D">
            <w:pPr>
              <w:jc w:val="right"/>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49 964</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14:paraId="0DE14B3E"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171043D2" w14:textId="77777777" w:rsidR="00890A0D" w:rsidRPr="00890A0D" w:rsidRDefault="00890A0D" w:rsidP="00890A0D">
            <w:pPr>
              <w:jc w:val="center"/>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x</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66069A67" w14:textId="77777777" w:rsidR="00890A0D" w:rsidRPr="00890A0D" w:rsidRDefault="00890A0D" w:rsidP="00890A0D">
            <w:pPr>
              <w:jc w:val="right"/>
              <w:rPr>
                <w:rFonts w:ascii="Times New Roman" w:eastAsia="Times New Roman" w:hAnsi="Times New Roman" w:cs="Times New Roman"/>
                <w:b/>
                <w:bCs/>
                <w:sz w:val="20"/>
                <w:szCs w:val="20"/>
              </w:rPr>
            </w:pPr>
            <w:r w:rsidRPr="00890A0D">
              <w:rPr>
                <w:rFonts w:ascii="Times New Roman" w:eastAsia="Times New Roman" w:hAnsi="Times New Roman" w:cs="Times New Roman"/>
                <w:b/>
                <w:bCs/>
                <w:sz w:val="20"/>
                <w:szCs w:val="20"/>
              </w:rPr>
              <w:t>55 516</w:t>
            </w:r>
          </w:p>
        </w:tc>
      </w:tr>
    </w:tbl>
    <w:p w14:paraId="4AC1F13C" w14:textId="77777777" w:rsidR="00C404D5" w:rsidRPr="00C404D5" w:rsidRDefault="00C404D5" w:rsidP="00C404D5">
      <w:pPr>
        <w:widowControl w:val="0"/>
        <w:rPr>
          <w:rFonts w:ascii="Times New Roman" w:eastAsia="Calibri" w:hAnsi="Times New Roman" w:cs="Times New Roman"/>
          <w:i/>
          <w:sz w:val="20"/>
        </w:rPr>
      </w:pPr>
      <w:r w:rsidRPr="00C404D5">
        <w:rPr>
          <w:rFonts w:ascii="Times New Roman" w:eastAsia="Calibri" w:hAnsi="Times New Roman" w:cs="Times New Roman"/>
          <w:i/>
          <w:sz w:val="20"/>
        </w:rPr>
        <w:t>Datu avots: FM</w:t>
      </w:r>
    </w:p>
    <w:p w14:paraId="5B391C76" w14:textId="56A39806" w:rsidR="003F3FCD" w:rsidRDefault="003F3FCD" w:rsidP="00401A5B">
      <w:pPr>
        <w:widowControl w:val="0"/>
        <w:rPr>
          <w:rFonts w:ascii="Calibri" w:eastAsia="Calibri" w:hAnsi="Calibri" w:cs="Calibri"/>
        </w:rPr>
      </w:pPr>
    </w:p>
    <w:p w14:paraId="3905B887" w14:textId="326A8E73" w:rsidR="005E7346" w:rsidRDefault="005E7346" w:rsidP="00401A5B">
      <w:pPr>
        <w:widowControl w:val="0"/>
        <w:rPr>
          <w:rFonts w:ascii="Calibri" w:eastAsia="Calibri" w:hAnsi="Calibri" w:cs="Calibri"/>
        </w:rPr>
      </w:pPr>
    </w:p>
    <w:p w14:paraId="3CE7AC4B" w14:textId="6EB59DF6" w:rsidR="00890A0D" w:rsidRDefault="00890A0D" w:rsidP="00401A5B">
      <w:pPr>
        <w:widowControl w:val="0"/>
        <w:rPr>
          <w:rFonts w:ascii="Calibri" w:eastAsia="Calibri" w:hAnsi="Calibri" w:cs="Calibri"/>
        </w:rPr>
      </w:pPr>
    </w:p>
    <w:p w14:paraId="4879EA2A" w14:textId="637B8C4C" w:rsidR="00890A0D" w:rsidRDefault="00890A0D" w:rsidP="00401A5B">
      <w:pPr>
        <w:widowControl w:val="0"/>
        <w:rPr>
          <w:rFonts w:ascii="Calibri" w:eastAsia="Calibri" w:hAnsi="Calibri" w:cs="Calibri"/>
        </w:rPr>
      </w:pPr>
    </w:p>
    <w:p w14:paraId="15C21D59" w14:textId="0F35610C" w:rsidR="00890A0D" w:rsidRDefault="00890A0D" w:rsidP="00401A5B">
      <w:pPr>
        <w:widowControl w:val="0"/>
        <w:rPr>
          <w:rFonts w:ascii="Calibri" w:eastAsia="Calibri" w:hAnsi="Calibri" w:cs="Calibri"/>
        </w:rPr>
      </w:pPr>
    </w:p>
    <w:p w14:paraId="0DD8D424" w14:textId="373DC2B8" w:rsidR="00890A0D" w:rsidRDefault="00890A0D" w:rsidP="00401A5B">
      <w:pPr>
        <w:widowControl w:val="0"/>
        <w:rPr>
          <w:rFonts w:ascii="Calibri" w:eastAsia="Calibri" w:hAnsi="Calibri" w:cs="Calibri"/>
        </w:rPr>
      </w:pPr>
    </w:p>
    <w:p w14:paraId="5763EA5A" w14:textId="7266BFDD" w:rsidR="00890A0D" w:rsidRDefault="00890A0D" w:rsidP="00401A5B">
      <w:pPr>
        <w:widowControl w:val="0"/>
        <w:rPr>
          <w:rFonts w:ascii="Calibri" w:eastAsia="Calibri" w:hAnsi="Calibri" w:cs="Calibri"/>
        </w:rPr>
      </w:pPr>
    </w:p>
    <w:p w14:paraId="6ADB690F" w14:textId="79C98B41" w:rsidR="00890A0D" w:rsidRDefault="00890A0D" w:rsidP="00401A5B">
      <w:pPr>
        <w:widowControl w:val="0"/>
        <w:rPr>
          <w:rFonts w:ascii="Calibri" w:eastAsia="Calibri" w:hAnsi="Calibri" w:cs="Calibri"/>
        </w:rPr>
      </w:pPr>
    </w:p>
    <w:p w14:paraId="35595165" w14:textId="52816767" w:rsidR="00890A0D" w:rsidRDefault="00890A0D" w:rsidP="00401A5B">
      <w:pPr>
        <w:widowControl w:val="0"/>
        <w:rPr>
          <w:rFonts w:ascii="Calibri" w:eastAsia="Calibri" w:hAnsi="Calibri" w:cs="Calibri"/>
        </w:rPr>
      </w:pPr>
    </w:p>
    <w:p w14:paraId="4968B89A" w14:textId="77777777" w:rsidR="00C404D5" w:rsidRDefault="00C404D5" w:rsidP="00401A5B">
      <w:pPr>
        <w:widowControl w:val="0"/>
        <w:rPr>
          <w:rFonts w:ascii="Calibri" w:eastAsia="Calibri" w:hAnsi="Calibri" w:cs="Calibri"/>
        </w:rPr>
      </w:pPr>
    </w:p>
    <w:p w14:paraId="46F4BC67" w14:textId="7D930469" w:rsidR="00890A0D" w:rsidRDefault="00890A0D" w:rsidP="00401A5B">
      <w:pPr>
        <w:widowControl w:val="0"/>
        <w:rPr>
          <w:rFonts w:ascii="Calibri" w:eastAsia="Calibri" w:hAnsi="Calibri" w:cs="Calibri"/>
        </w:rPr>
      </w:pPr>
    </w:p>
    <w:p w14:paraId="0C1D3B07" w14:textId="2598FA70" w:rsidR="00890A0D" w:rsidRDefault="00890A0D" w:rsidP="00401A5B">
      <w:pPr>
        <w:widowControl w:val="0"/>
        <w:rPr>
          <w:rFonts w:ascii="Calibri" w:eastAsia="Calibri" w:hAnsi="Calibri" w:cs="Calibri"/>
        </w:rPr>
      </w:pPr>
    </w:p>
    <w:p w14:paraId="78CC56C7" w14:textId="461A9287" w:rsidR="00890A0D" w:rsidRDefault="00890A0D" w:rsidP="00401A5B">
      <w:pPr>
        <w:widowControl w:val="0"/>
        <w:rPr>
          <w:rFonts w:ascii="Calibri" w:eastAsia="Calibri" w:hAnsi="Calibri" w:cs="Calibri"/>
        </w:rPr>
      </w:pPr>
    </w:p>
    <w:p w14:paraId="04740EA0" w14:textId="11E248A8" w:rsidR="00890A0D" w:rsidRDefault="00890A0D" w:rsidP="00401A5B">
      <w:pPr>
        <w:widowControl w:val="0"/>
        <w:rPr>
          <w:rFonts w:ascii="Calibri" w:eastAsia="Calibri" w:hAnsi="Calibri" w:cs="Calibri"/>
        </w:rPr>
      </w:pPr>
    </w:p>
    <w:p w14:paraId="310A0E21" w14:textId="77777777" w:rsidR="00890A0D" w:rsidRDefault="00890A0D" w:rsidP="00401A5B">
      <w:pPr>
        <w:widowControl w:val="0"/>
        <w:rPr>
          <w:rFonts w:ascii="Calibri" w:eastAsia="Calibri" w:hAnsi="Calibri" w:cs="Calibri"/>
        </w:rPr>
      </w:pPr>
    </w:p>
    <w:p w14:paraId="2B84EED5" w14:textId="77777777" w:rsidR="005E7346" w:rsidRDefault="005E7346" w:rsidP="00401A5B">
      <w:pPr>
        <w:widowControl w:val="0"/>
        <w:rPr>
          <w:rFonts w:ascii="Calibri" w:eastAsia="Calibri" w:hAnsi="Calibri" w:cs="Calibri"/>
        </w:rPr>
      </w:pPr>
    </w:p>
    <w:p w14:paraId="0365C58B" w14:textId="204797A7" w:rsidR="003F3FCD" w:rsidRPr="000F6C00" w:rsidRDefault="000F6C00" w:rsidP="000F6C00">
      <w:pPr>
        <w:widowControl w:val="0"/>
        <w:ind w:right="111"/>
        <w:jc w:val="right"/>
        <w:rPr>
          <w:rFonts w:ascii="Times New Roman" w:eastAsia="Times New Roman" w:hAnsi="Times New Roman" w:cs="Times New Roman"/>
          <w:color w:val="000000"/>
          <w:sz w:val="28"/>
        </w:rPr>
      </w:pPr>
      <w:r w:rsidRPr="000F6C00">
        <w:rPr>
          <w:rFonts w:ascii="Times New Roman" w:eastAsia="Times New Roman" w:hAnsi="Times New Roman" w:cs="Times New Roman"/>
          <w:color w:val="000000"/>
          <w:sz w:val="28"/>
        </w:rPr>
        <w:t>10.pielikums</w:t>
      </w:r>
    </w:p>
    <w:p w14:paraId="7258221C" w14:textId="4FA4EE13" w:rsidR="003F3FCD" w:rsidRDefault="000548A5" w:rsidP="000F6C00">
      <w:pPr>
        <w:widowControl w:val="0"/>
        <w:jc w:val="right"/>
        <w:rPr>
          <w:rFonts w:ascii="Times New Roman" w:eastAsia="Times New Roman" w:hAnsi="Times New Roman" w:cs="Times New Roman"/>
          <w:b/>
          <w:color w:val="000000"/>
          <w:sz w:val="28"/>
        </w:rPr>
      </w:pPr>
      <w:r w:rsidRPr="000F6C00">
        <w:rPr>
          <w:rFonts w:ascii="Times New Roman" w:eastAsia="Times New Roman" w:hAnsi="Times New Roman" w:cs="Times New Roman"/>
          <w:b/>
          <w:color w:val="000000"/>
          <w:sz w:val="28"/>
        </w:rPr>
        <w:t>Valsts sociālās apdrošināšanas speciālā budžeta programma 04.00.00. "Sociālā apdrošināšana"</w:t>
      </w:r>
    </w:p>
    <w:p w14:paraId="054E3389" w14:textId="6EAD2A3B" w:rsidR="000F6C00" w:rsidRDefault="000F6C00" w:rsidP="000F6C00">
      <w:pPr>
        <w:widowControl w:val="0"/>
        <w:jc w:val="right"/>
        <w:rPr>
          <w:rFonts w:ascii="Times New Roman" w:eastAsia="Times New Roman" w:hAnsi="Times New Roman" w:cs="Times New Roman"/>
          <w:b/>
          <w:color w:val="000000"/>
          <w:sz w:val="28"/>
        </w:rPr>
      </w:pPr>
    </w:p>
    <w:p w14:paraId="043A1D16" w14:textId="2277BB88" w:rsidR="00E56E24" w:rsidRPr="00E56E24" w:rsidRDefault="00E56E24" w:rsidP="000F6C00">
      <w:pPr>
        <w:widowControl w:val="0"/>
        <w:jc w:val="right"/>
        <w:rPr>
          <w:rFonts w:ascii="Times New Roman" w:eastAsia="Times New Roman" w:hAnsi="Times New Roman" w:cs="Times New Roman"/>
          <w:i/>
          <w:color w:val="000000"/>
          <w:sz w:val="20"/>
        </w:rPr>
      </w:pPr>
      <w:r w:rsidRPr="00E56E24">
        <w:rPr>
          <w:rFonts w:ascii="Times New Roman" w:eastAsia="Times New Roman" w:hAnsi="Times New Roman" w:cs="Times New Roman"/>
          <w:i/>
          <w:color w:val="000000"/>
          <w:sz w:val="20"/>
        </w:rPr>
        <w:t>euro</w:t>
      </w:r>
    </w:p>
    <w:tbl>
      <w:tblPr>
        <w:tblStyle w:val="TableGrid"/>
        <w:tblW w:w="0" w:type="auto"/>
        <w:tblLook w:val="04A0" w:firstRow="1" w:lastRow="0" w:firstColumn="1" w:lastColumn="0" w:noHBand="0" w:noVBand="1"/>
      </w:tblPr>
      <w:tblGrid>
        <w:gridCol w:w="4396"/>
        <w:gridCol w:w="980"/>
        <w:gridCol w:w="1144"/>
        <w:gridCol w:w="1111"/>
        <w:gridCol w:w="980"/>
        <w:gridCol w:w="1045"/>
        <w:gridCol w:w="1161"/>
        <w:gridCol w:w="980"/>
        <w:gridCol w:w="1002"/>
        <w:gridCol w:w="1194"/>
      </w:tblGrid>
      <w:tr w:rsidR="000F6C00" w:rsidRPr="00E56E24" w14:paraId="3CD25F3F" w14:textId="77777777" w:rsidTr="00C404D5">
        <w:trPr>
          <w:trHeight w:val="356"/>
        </w:trPr>
        <w:tc>
          <w:tcPr>
            <w:tcW w:w="4409" w:type="dxa"/>
            <w:shd w:val="clear" w:color="auto" w:fill="DEEAF6" w:themeFill="accent1" w:themeFillTint="33"/>
            <w:noWrap/>
            <w:hideMark/>
          </w:tcPr>
          <w:p w14:paraId="767484F3" w14:textId="4D4DB8CE" w:rsidR="000F6C00" w:rsidRPr="00E56E24" w:rsidRDefault="000F6C00" w:rsidP="000F6C00">
            <w:pPr>
              <w:widowControl w:val="0"/>
              <w:rPr>
                <w:rFonts w:ascii="Times New Roman" w:eastAsia="Times New Roman" w:hAnsi="Times New Roman" w:cs="Times New Roman"/>
                <w:sz w:val="20"/>
                <w:szCs w:val="20"/>
              </w:rPr>
            </w:pPr>
          </w:p>
        </w:tc>
        <w:tc>
          <w:tcPr>
            <w:tcW w:w="3234" w:type="dxa"/>
            <w:gridSpan w:val="3"/>
            <w:shd w:val="clear" w:color="auto" w:fill="DEEAF6" w:themeFill="accent1" w:themeFillTint="33"/>
            <w:noWrap/>
            <w:hideMark/>
          </w:tcPr>
          <w:p w14:paraId="6F1D4813" w14:textId="449E6F4A" w:rsidR="000F6C00" w:rsidRPr="00E56E24" w:rsidRDefault="000F6C00" w:rsidP="00E56E24">
            <w:pPr>
              <w:widowControl w:val="0"/>
              <w:jc w:val="center"/>
              <w:rPr>
                <w:rFonts w:ascii="Times New Roman" w:eastAsia="Times New Roman" w:hAnsi="Times New Roman" w:cs="Times New Roman"/>
                <w:b/>
                <w:sz w:val="20"/>
                <w:szCs w:val="20"/>
              </w:rPr>
            </w:pPr>
            <w:r w:rsidRPr="00E56E24">
              <w:rPr>
                <w:rFonts w:ascii="Times New Roman" w:eastAsia="Times New Roman" w:hAnsi="Times New Roman" w:cs="Times New Roman"/>
                <w:b/>
                <w:sz w:val="20"/>
                <w:szCs w:val="20"/>
              </w:rPr>
              <w:t>2021. gada projekts</w:t>
            </w:r>
          </w:p>
        </w:tc>
        <w:tc>
          <w:tcPr>
            <w:tcW w:w="3185" w:type="dxa"/>
            <w:gridSpan w:val="3"/>
            <w:shd w:val="clear" w:color="auto" w:fill="DEEAF6" w:themeFill="accent1" w:themeFillTint="33"/>
            <w:noWrap/>
            <w:hideMark/>
          </w:tcPr>
          <w:p w14:paraId="5162ED06" w14:textId="77777777" w:rsidR="000F6C00" w:rsidRPr="00E56E24" w:rsidRDefault="000F6C00" w:rsidP="00E56E24">
            <w:pPr>
              <w:widowControl w:val="0"/>
              <w:jc w:val="center"/>
              <w:rPr>
                <w:rFonts w:ascii="Times New Roman" w:eastAsia="Times New Roman" w:hAnsi="Times New Roman" w:cs="Times New Roman"/>
                <w:b/>
                <w:sz w:val="20"/>
                <w:szCs w:val="20"/>
              </w:rPr>
            </w:pPr>
            <w:r w:rsidRPr="00E56E24">
              <w:rPr>
                <w:rFonts w:ascii="Times New Roman" w:eastAsia="Times New Roman" w:hAnsi="Times New Roman" w:cs="Times New Roman"/>
                <w:b/>
                <w:sz w:val="20"/>
                <w:szCs w:val="20"/>
              </w:rPr>
              <w:t>2022. gada prognoze</w:t>
            </w:r>
          </w:p>
        </w:tc>
        <w:tc>
          <w:tcPr>
            <w:tcW w:w="3165" w:type="dxa"/>
            <w:gridSpan w:val="3"/>
            <w:shd w:val="clear" w:color="auto" w:fill="DEEAF6" w:themeFill="accent1" w:themeFillTint="33"/>
            <w:noWrap/>
            <w:hideMark/>
          </w:tcPr>
          <w:p w14:paraId="5B2BDD37" w14:textId="77777777" w:rsidR="000F6C00" w:rsidRPr="00E56E24" w:rsidRDefault="000F6C00" w:rsidP="00E56E24">
            <w:pPr>
              <w:widowControl w:val="0"/>
              <w:jc w:val="center"/>
              <w:rPr>
                <w:rFonts w:ascii="Times New Roman" w:eastAsia="Times New Roman" w:hAnsi="Times New Roman" w:cs="Times New Roman"/>
                <w:b/>
                <w:sz w:val="20"/>
                <w:szCs w:val="20"/>
              </w:rPr>
            </w:pPr>
            <w:r w:rsidRPr="00E56E24">
              <w:rPr>
                <w:rFonts w:ascii="Times New Roman" w:eastAsia="Times New Roman" w:hAnsi="Times New Roman" w:cs="Times New Roman"/>
                <w:b/>
                <w:sz w:val="20"/>
                <w:szCs w:val="20"/>
              </w:rPr>
              <w:t>2023. gada prognoze</w:t>
            </w:r>
          </w:p>
        </w:tc>
      </w:tr>
      <w:tr w:rsidR="000F6C00" w:rsidRPr="00E56E24" w14:paraId="20DC5C0B" w14:textId="77777777" w:rsidTr="00C404D5">
        <w:trPr>
          <w:trHeight w:val="1785"/>
        </w:trPr>
        <w:tc>
          <w:tcPr>
            <w:tcW w:w="4409" w:type="dxa"/>
            <w:hideMark/>
          </w:tcPr>
          <w:p w14:paraId="23F2EFA3" w14:textId="77777777" w:rsidR="00E56E24" w:rsidRDefault="00E56E24" w:rsidP="00E56E24">
            <w:pPr>
              <w:widowControl w:val="0"/>
              <w:jc w:val="center"/>
              <w:rPr>
                <w:rFonts w:ascii="Times New Roman" w:eastAsia="Times New Roman" w:hAnsi="Times New Roman" w:cs="Times New Roman"/>
                <w:sz w:val="20"/>
                <w:szCs w:val="20"/>
              </w:rPr>
            </w:pPr>
          </w:p>
          <w:p w14:paraId="70AA0175" w14:textId="77777777" w:rsidR="00E56E24" w:rsidRDefault="00E56E24" w:rsidP="00E56E24">
            <w:pPr>
              <w:widowControl w:val="0"/>
              <w:jc w:val="center"/>
              <w:rPr>
                <w:rFonts w:ascii="Times New Roman" w:eastAsia="Times New Roman" w:hAnsi="Times New Roman" w:cs="Times New Roman"/>
                <w:sz w:val="20"/>
                <w:szCs w:val="20"/>
              </w:rPr>
            </w:pPr>
          </w:p>
          <w:p w14:paraId="4319DB79" w14:textId="77777777" w:rsidR="00E56E24" w:rsidRDefault="00E56E24" w:rsidP="00E56E24">
            <w:pPr>
              <w:widowControl w:val="0"/>
              <w:jc w:val="center"/>
              <w:rPr>
                <w:rFonts w:ascii="Times New Roman" w:eastAsia="Times New Roman" w:hAnsi="Times New Roman" w:cs="Times New Roman"/>
                <w:sz w:val="20"/>
                <w:szCs w:val="20"/>
              </w:rPr>
            </w:pPr>
          </w:p>
          <w:p w14:paraId="6D9CCCAD" w14:textId="460B85D3" w:rsidR="000F6C00" w:rsidRPr="00E56E24" w:rsidRDefault="00E56E24" w:rsidP="00E56E24">
            <w:pPr>
              <w:widowControl w:val="0"/>
              <w:jc w:val="center"/>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Pabalsta veids</w:t>
            </w:r>
          </w:p>
        </w:tc>
        <w:tc>
          <w:tcPr>
            <w:tcW w:w="973" w:type="dxa"/>
            <w:hideMark/>
          </w:tcPr>
          <w:p w14:paraId="3364EC0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Pensijas/ pabalsta/ atlīdzības apmērs vidēji mēnesī (euro)</w:t>
            </w:r>
          </w:p>
        </w:tc>
        <w:tc>
          <w:tcPr>
            <w:tcW w:w="1147" w:type="dxa"/>
            <w:hideMark/>
          </w:tcPr>
          <w:p w14:paraId="41C09B7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Saņēmēju skaits (vidēji mēnesī)</w:t>
            </w:r>
          </w:p>
        </w:tc>
        <w:tc>
          <w:tcPr>
            <w:tcW w:w="1114" w:type="dxa"/>
            <w:hideMark/>
          </w:tcPr>
          <w:p w14:paraId="15182D6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Izdevumi kopā (</w:t>
            </w:r>
            <w:r w:rsidRPr="00E56E24">
              <w:rPr>
                <w:rFonts w:ascii="Times New Roman" w:eastAsia="Times New Roman" w:hAnsi="Times New Roman" w:cs="Times New Roman"/>
                <w:i/>
                <w:iCs/>
                <w:sz w:val="20"/>
                <w:szCs w:val="20"/>
              </w:rPr>
              <w:t>euro</w:t>
            </w:r>
            <w:r w:rsidRPr="00E56E24">
              <w:rPr>
                <w:rFonts w:ascii="Times New Roman" w:eastAsia="Times New Roman" w:hAnsi="Times New Roman" w:cs="Times New Roman"/>
                <w:sz w:val="20"/>
                <w:szCs w:val="20"/>
              </w:rPr>
              <w:t>)</w:t>
            </w:r>
          </w:p>
        </w:tc>
        <w:tc>
          <w:tcPr>
            <w:tcW w:w="973" w:type="dxa"/>
            <w:hideMark/>
          </w:tcPr>
          <w:p w14:paraId="5B92526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Pensijas/ pabalsta/ atlīdzības apmērs vidēji mēnesī (euro)</w:t>
            </w:r>
          </w:p>
        </w:tc>
        <w:tc>
          <w:tcPr>
            <w:tcW w:w="1048" w:type="dxa"/>
            <w:hideMark/>
          </w:tcPr>
          <w:p w14:paraId="176F598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Saņēmēju skaits (vidēji mēnesī)</w:t>
            </w:r>
          </w:p>
        </w:tc>
        <w:tc>
          <w:tcPr>
            <w:tcW w:w="1164" w:type="dxa"/>
            <w:hideMark/>
          </w:tcPr>
          <w:p w14:paraId="25C9BD4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Izdevumi kopā (</w:t>
            </w:r>
            <w:r w:rsidRPr="00E56E24">
              <w:rPr>
                <w:rFonts w:ascii="Times New Roman" w:eastAsia="Times New Roman" w:hAnsi="Times New Roman" w:cs="Times New Roman"/>
                <w:i/>
                <w:iCs/>
                <w:sz w:val="20"/>
                <w:szCs w:val="20"/>
              </w:rPr>
              <w:t>euro</w:t>
            </w:r>
            <w:r w:rsidRPr="00E56E24">
              <w:rPr>
                <w:rFonts w:ascii="Times New Roman" w:eastAsia="Times New Roman" w:hAnsi="Times New Roman" w:cs="Times New Roman"/>
                <w:sz w:val="20"/>
                <w:szCs w:val="20"/>
              </w:rPr>
              <w:t>)</w:t>
            </w:r>
          </w:p>
        </w:tc>
        <w:tc>
          <w:tcPr>
            <w:tcW w:w="973" w:type="dxa"/>
            <w:hideMark/>
          </w:tcPr>
          <w:p w14:paraId="476DFEB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Pensijas/ pabalsta/ atlīdzības apmērs vidēji mēnesī (euro)</w:t>
            </w:r>
          </w:p>
        </w:tc>
        <w:tc>
          <w:tcPr>
            <w:tcW w:w="995" w:type="dxa"/>
            <w:hideMark/>
          </w:tcPr>
          <w:p w14:paraId="61D2853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Saņēmēju skaits (vidēji mēnesī)</w:t>
            </w:r>
          </w:p>
        </w:tc>
        <w:tc>
          <w:tcPr>
            <w:tcW w:w="1197" w:type="dxa"/>
            <w:hideMark/>
          </w:tcPr>
          <w:p w14:paraId="644E09D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Izdevumi kopā (</w:t>
            </w:r>
            <w:r w:rsidRPr="00E56E24">
              <w:rPr>
                <w:rFonts w:ascii="Times New Roman" w:eastAsia="Times New Roman" w:hAnsi="Times New Roman" w:cs="Times New Roman"/>
                <w:i/>
                <w:iCs/>
                <w:sz w:val="20"/>
                <w:szCs w:val="20"/>
              </w:rPr>
              <w:t>euro</w:t>
            </w:r>
            <w:r w:rsidRPr="00E56E24">
              <w:rPr>
                <w:rFonts w:ascii="Times New Roman" w:eastAsia="Times New Roman" w:hAnsi="Times New Roman" w:cs="Times New Roman"/>
                <w:sz w:val="20"/>
                <w:szCs w:val="20"/>
              </w:rPr>
              <w:t>)</w:t>
            </w:r>
          </w:p>
        </w:tc>
      </w:tr>
      <w:tr w:rsidR="000F6C00" w:rsidRPr="00E56E24" w14:paraId="2C2901F1" w14:textId="77777777" w:rsidTr="00C404D5">
        <w:trPr>
          <w:trHeight w:val="255"/>
        </w:trPr>
        <w:tc>
          <w:tcPr>
            <w:tcW w:w="4409" w:type="dxa"/>
            <w:noWrap/>
            <w:hideMark/>
          </w:tcPr>
          <w:p w14:paraId="40C3CAC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w:t>
            </w:r>
          </w:p>
        </w:tc>
        <w:tc>
          <w:tcPr>
            <w:tcW w:w="973" w:type="dxa"/>
            <w:noWrap/>
            <w:hideMark/>
          </w:tcPr>
          <w:p w14:paraId="32479B7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w:t>
            </w:r>
          </w:p>
        </w:tc>
        <w:tc>
          <w:tcPr>
            <w:tcW w:w="1147" w:type="dxa"/>
            <w:noWrap/>
            <w:hideMark/>
          </w:tcPr>
          <w:p w14:paraId="00234C1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w:t>
            </w:r>
          </w:p>
        </w:tc>
        <w:tc>
          <w:tcPr>
            <w:tcW w:w="1114" w:type="dxa"/>
            <w:noWrap/>
            <w:hideMark/>
          </w:tcPr>
          <w:p w14:paraId="652BDD5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w:t>
            </w:r>
          </w:p>
        </w:tc>
        <w:tc>
          <w:tcPr>
            <w:tcW w:w="973" w:type="dxa"/>
            <w:noWrap/>
            <w:hideMark/>
          </w:tcPr>
          <w:p w14:paraId="5ED7F0A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w:t>
            </w:r>
          </w:p>
        </w:tc>
        <w:tc>
          <w:tcPr>
            <w:tcW w:w="1048" w:type="dxa"/>
            <w:noWrap/>
            <w:hideMark/>
          </w:tcPr>
          <w:p w14:paraId="1D393EC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w:t>
            </w:r>
          </w:p>
        </w:tc>
        <w:tc>
          <w:tcPr>
            <w:tcW w:w="1164" w:type="dxa"/>
            <w:noWrap/>
            <w:hideMark/>
          </w:tcPr>
          <w:p w14:paraId="3829D33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w:t>
            </w:r>
          </w:p>
        </w:tc>
        <w:tc>
          <w:tcPr>
            <w:tcW w:w="973" w:type="dxa"/>
            <w:noWrap/>
            <w:hideMark/>
          </w:tcPr>
          <w:p w14:paraId="379817E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w:t>
            </w:r>
          </w:p>
        </w:tc>
        <w:tc>
          <w:tcPr>
            <w:tcW w:w="995" w:type="dxa"/>
            <w:noWrap/>
            <w:hideMark/>
          </w:tcPr>
          <w:p w14:paraId="60D8F01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9</w:t>
            </w:r>
          </w:p>
        </w:tc>
        <w:tc>
          <w:tcPr>
            <w:tcW w:w="1197" w:type="dxa"/>
            <w:noWrap/>
            <w:hideMark/>
          </w:tcPr>
          <w:p w14:paraId="7D7FD55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10</w:t>
            </w:r>
          </w:p>
        </w:tc>
      </w:tr>
      <w:tr w:rsidR="000F6C00" w:rsidRPr="00E56E24" w14:paraId="00DF3C88" w14:textId="77777777" w:rsidTr="00C404D5">
        <w:trPr>
          <w:trHeight w:val="300"/>
        </w:trPr>
        <w:tc>
          <w:tcPr>
            <w:tcW w:w="4409" w:type="dxa"/>
            <w:noWrap/>
            <w:hideMark/>
          </w:tcPr>
          <w:p w14:paraId="3C3C3405"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04.01.00 Valsts pensiju speciālais budžets</w:t>
            </w:r>
          </w:p>
        </w:tc>
        <w:tc>
          <w:tcPr>
            <w:tcW w:w="973" w:type="dxa"/>
            <w:noWrap/>
            <w:hideMark/>
          </w:tcPr>
          <w:p w14:paraId="6CA489DE"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47" w:type="dxa"/>
            <w:noWrap/>
            <w:hideMark/>
          </w:tcPr>
          <w:p w14:paraId="7F49F29F"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14" w:type="dxa"/>
            <w:noWrap/>
            <w:hideMark/>
          </w:tcPr>
          <w:p w14:paraId="52EDAA08"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2 260 975 446</w:t>
            </w:r>
          </w:p>
        </w:tc>
        <w:tc>
          <w:tcPr>
            <w:tcW w:w="973" w:type="dxa"/>
            <w:noWrap/>
            <w:hideMark/>
          </w:tcPr>
          <w:p w14:paraId="02A0E0E2"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048" w:type="dxa"/>
            <w:noWrap/>
            <w:hideMark/>
          </w:tcPr>
          <w:p w14:paraId="70DFE7C2"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64" w:type="dxa"/>
            <w:noWrap/>
            <w:hideMark/>
          </w:tcPr>
          <w:p w14:paraId="58CAFD61"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2 306 184 931</w:t>
            </w:r>
          </w:p>
        </w:tc>
        <w:tc>
          <w:tcPr>
            <w:tcW w:w="973" w:type="dxa"/>
            <w:noWrap/>
            <w:hideMark/>
          </w:tcPr>
          <w:p w14:paraId="7E676566"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995" w:type="dxa"/>
            <w:noWrap/>
            <w:hideMark/>
          </w:tcPr>
          <w:p w14:paraId="5FAA0139"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97" w:type="dxa"/>
            <w:noWrap/>
            <w:hideMark/>
          </w:tcPr>
          <w:p w14:paraId="17FDDBA0"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2 434 899 138</w:t>
            </w:r>
          </w:p>
        </w:tc>
      </w:tr>
      <w:tr w:rsidR="000F6C00" w:rsidRPr="00E56E24" w14:paraId="4EA0C1FE" w14:textId="77777777" w:rsidTr="00C404D5">
        <w:trPr>
          <w:trHeight w:val="300"/>
        </w:trPr>
        <w:tc>
          <w:tcPr>
            <w:tcW w:w="4409" w:type="dxa"/>
            <w:noWrap/>
            <w:hideMark/>
          </w:tcPr>
          <w:p w14:paraId="0F21D1C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pensijas – kopā</w:t>
            </w:r>
          </w:p>
        </w:tc>
        <w:tc>
          <w:tcPr>
            <w:tcW w:w="973" w:type="dxa"/>
            <w:noWrap/>
            <w:hideMark/>
          </w:tcPr>
          <w:p w14:paraId="1F7869E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698375E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734F233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2 228 067 982</w:t>
            </w:r>
          </w:p>
        </w:tc>
        <w:tc>
          <w:tcPr>
            <w:tcW w:w="973" w:type="dxa"/>
            <w:noWrap/>
            <w:hideMark/>
          </w:tcPr>
          <w:p w14:paraId="3E0662D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160AFA7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3E37AD0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2 272 161 003</w:t>
            </w:r>
          </w:p>
        </w:tc>
        <w:tc>
          <w:tcPr>
            <w:tcW w:w="973" w:type="dxa"/>
            <w:noWrap/>
            <w:hideMark/>
          </w:tcPr>
          <w:p w14:paraId="78F6B54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2B95FBD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33EAB7F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2 398 795 341</w:t>
            </w:r>
          </w:p>
        </w:tc>
      </w:tr>
      <w:tr w:rsidR="000F6C00" w:rsidRPr="00E56E24" w14:paraId="33792912" w14:textId="77777777" w:rsidTr="00C404D5">
        <w:trPr>
          <w:trHeight w:val="255"/>
        </w:trPr>
        <w:tc>
          <w:tcPr>
            <w:tcW w:w="4409" w:type="dxa"/>
            <w:noWrap/>
            <w:hideMark/>
          </w:tcPr>
          <w:p w14:paraId="083F14C1"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770BDDA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1D43D3B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4E1F0C2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1821C56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629ED1B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01E0366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11937D2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623557C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33753B8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62577AE3" w14:textId="77777777" w:rsidTr="00C404D5">
        <w:trPr>
          <w:trHeight w:val="255"/>
        </w:trPr>
        <w:tc>
          <w:tcPr>
            <w:tcW w:w="4409" w:type="dxa"/>
            <w:noWrap/>
            <w:hideMark/>
          </w:tcPr>
          <w:p w14:paraId="4A29638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Vecuma pensijas</w:t>
            </w:r>
          </w:p>
        </w:tc>
        <w:tc>
          <w:tcPr>
            <w:tcW w:w="973" w:type="dxa"/>
            <w:noWrap/>
            <w:hideMark/>
          </w:tcPr>
          <w:p w14:paraId="30DB9FD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411,28</w:t>
            </w:r>
          </w:p>
        </w:tc>
        <w:tc>
          <w:tcPr>
            <w:tcW w:w="1147" w:type="dxa"/>
            <w:noWrap/>
            <w:hideMark/>
          </w:tcPr>
          <w:p w14:paraId="748FA94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439 908</w:t>
            </w:r>
          </w:p>
        </w:tc>
        <w:tc>
          <w:tcPr>
            <w:tcW w:w="1114" w:type="dxa"/>
            <w:noWrap/>
            <w:hideMark/>
          </w:tcPr>
          <w:p w14:paraId="465D44F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2 171 080 520</w:t>
            </w:r>
          </w:p>
        </w:tc>
        <w:tc>
          <w:tcPr>
            <w:tcW w:w="973" w:type="dxa"/>
            <w:noWrap/>
            <w:hideMark/>
          </w:tcPr>
          <w:p w14:paraId="032C42B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420,95</w:t>
            </w:r>
          </w:p>
        </w:tc>
        <w:tc>
          <w:tcPr>
            <w:tcW w:w="1048" w:type="dxa"/>
            <w:noWrap/>
            <w:hideMark/>
          </w:tcPr>
          <w:p w14:paraId="5407ADF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438 449</w:t>
            </w:r>
          </w:p>
        </w:tc>
        <w:tc>
          <w:tcPr>
            <w:tcW w:w="1164" w:type="dxa"/>
            <w:noWrap/>
            <w:hideMark/>
          </w:tcPr>
          <w:p w14:paraId="45AA780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2 214 775 491</w:t>
            </w:r>
          </w:p>
        </w:tc>
        <w:tc>
          <w:tcPr>
            <w:tcW w:w="973" w:type="dxa"/>
            <w:noWrap/>
            <w:hideMark/>
          </w:tcPr>
          <w:p w14:paraId="37CBD9C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445,91</w:t>
            </w:r>
          </w:p>
        </w:tc>
        <w:tc>
          <w:tcPr>
            <w:tcW w:w="995" w:type="dxa"/>
            <w:noWrap/>
            <w:hideMark/>
          </w:tcPr>
          <w:p w14:paraId="226F297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437 241</w:t>
            </w:r>
          </w:p>
        </w:tc>
        <w:tc>
          <w:tcPr>
            <w:tcW w:w="1197" w:type="dxa"/>
            <w:noWrap/>
            <w:hideMark/>
          </w:tcPr>
          <w:p w14:paraId="1D97C46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2 339 653 905</w:t>
            </w:r>
          </w:p>
        </w:tc>
      </w:tr>
      <w:tr w:rsidR="000F6C00" w:rsidRPr="00E56E24" w14:paraId="0B100EB8" w14:textId="77777777" w:rsidTr="00C404D5">
        <w:trPr>
          <w:trHeight w:val="255"/>
        </w:trPr>
        <w:tc>
          <w:tcPr>
            <w:tcW w:w="4409" w:type="dxa"/>
            <w:noWrap/>
            <w:hideMark/>
          </w:tcPr>
          <w:p w14:paraId="511248E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Pensijas apgādnieka zaudējuma gadījumā</w:t>
            </w:r>
          </w:p>
        </w:tc>
        <w:tc>
          <w:tcPr>
            <w:tcW w:w="973" w:type="dxa"/>
            <w:noWrap/>
            <w:hideMark/>
          </w:tcPr>
          <w:p w14:paraId="4582C79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246,35</w:t>
            </w:r>
          </w:p>
        </w:tc>
        <w:tc>
          <w:tcPr>
            <w:tcW w:w="1147" w:type="dxa"/>
            <w:noWrap/>
            <w:hideMark/>
          </w:tcPr>
          <w:p w14:paraId="452FBC4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14 507</w:t>
            </w:r>
          </w:p>
        </w:tc>
        <w:tc>
          <w:tcPr>
            <w:tcW w:w="1114" w:type="dxa"/>
            <w:noWrap/>
            <w:hideMark/>
          </w:tcPr>
          <w:p w14:paraId="5355DFA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42 885 721</w:t>
            </w:r>
          </w:p>
        </w:tc>
        <w:tc>
          <w:tcPr>
            <w:tcW w:w="973" w:type="dxa"/>
            <w:noWrap/>
            <w:hideMark/>
          </w:tcPr>
          <w:p w14:paraId="2071116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253,29</w:t>
            </w:r>
          </w:p>
        </w:tc>
        <w:tc>
          <w:tcPr>
            <w:tcW w:w="1048" w:type="dxa"/>
            <w:noWrap/>
            <w:hideMark/>
          </w:tcPr>
          <w:p w14:paraId="2CB5AE8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14 358</w:t>
            </w:r>
          </w:p>
        </w:tc>
        <w:tc>
          <w:tcPr>
            <w:tcW w:w="1164" w:type="dxa"/>
            <w:noWrap/>
            <w:hideMark/>
          </w:tcPr>
          <w:p w14:paraId="50F5528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43 641 309</w:t>
            </w:r>
          </w:p>
        </w:tc>
        <w:tc>
          <w:tcPr>
            <w:tcW w:w="973" w:type="dxa"/>
            <w:noWrap/>
            <w:hideMark/>
          </w:tcPr>
          <w:p w14:paraId="6E6BC49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266,91</w:t>
            </w:r>
          </w:p>
        </w:tc>
        <w:tc>
          <w:tcPr>
            <w:tcW w:w="995" w:type="dxa"/>
            <w:noWrap/>
            <w:hideMark/>
          </w:tcPr>
          <w:p w14:paraId="3761632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14 212</w:t>
            </w:r>
          </w:p>
        </w:tc>
        <w:tc>
          <w:tcPr>
            <w:tcW w:w="1197" w:type="dxa"/>
            <w:noWrap/>
            <w:hideMark/>
          </w:tcPr>
          <w:p w14:paraId="2E2636C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45 520 324</w:t>
            </w:r>
          </w:p>
        </w:tc>
      </w:tr>
      <w:tr w:rsidR="000F6C00" w:rsidRPr="00E56E24" w14:paraId="3ACD3687" w14:textId="77777777" w:rsidTr="00C404D5">
        <w:trPr>
          <w:trHeight w:val="255"/>
        </w:trPr>
        <w:tc>
          <w:tcPr>
            <w:tcW w:w="4409" w:type="dxa"/>
            <w:noWrap/>
            <w:hideMark/>
          </w:tcPr>
          <w:p w14:paraId="0211529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Augstākās padomes deputātu pensijas</w:t>
            </w:r>
          </w:p>
        </w:tc>
        <w:tc>
          <w:tcPr>
            <w:tcW w:w="973" w:type="dxa"/>
            <w:noWrap/>
            <w:hideMark/>
          </w:tcPr>
          <w:p w14:paraId="6D99D84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2 370,40</w:t>
            </w:r>
          </w:p>
        </w:tc>
        <w:tc>
          <w:tcPr>
            <w:tcW w:w="1147" w:type="dxa"/>
            <w:noWrap/>
            <w:hideMark/>
          </w:tcPr>
          <w:p w14:paraId="420ACD7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110</w:t>
            </w:r>
          </w:p>
        </w:tc>
        <w:tc>
          <w:tcPr>
            <w:tcW w:w="1114" w:type="dxa"/>
            <w:noWrap/>
            <w:hideMark/>
          </w:tcPr>
          <w:p w14:paraId="337975D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3 128 928</w:t>
            </w:r>
          </w:p>
        </w:tc>
        <w:tc>
          <w:tcPr>
            <w:tcW w:w="973" w:type="dxa"/>
            <w:noWrap/>
            <w:hideMark/>
          </w:tcPr>
          <w:p w14:paraId="55AAC5F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2 370,40</w:t>
            </w:r>
          </w:p>
        </w:tc>
        <w:tc>
          <w:tcPr>
            <w:tcW w:w="1048" w:type="dxa"/>
            <w:noWrap/>
            <w:hideMark/>
          </w:tcPr>
          <w:p w14:paraId="1379A78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110</w:t>
            </w:r>
          </w:p>
        </w:tc>
        <w:tc>
          <w:tcPr>
            <w:tcW w:w="1164" w:type="dxa"/>
            <w:noWrap/>
            <w:hideMark/>
          </w:tcPr>
          <w:p w14:paraId="3D1C466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3 128 928</w:t>
            </w:r>
          </w:p>
        </w:tc>
        <w:tc>
          <w:tcPr>
            <w:tcW w:w="973" w:type="dxa"/>
            <w:noWrap/>
            <w:hideMark/>
          </w:tcPr>
          <w:p w14:paraId="00C6846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2 370,40</w:t>
            </w:r>
          </w:p>
        </w:tc>
        <w:tc>
          <w:tcPr>
            <w:tcW w:w="995" w:type="dxa"/>
            <w:noWrap/>
            <w:hideMark/>
          </w:tcPr>
          <w:p w14:paraId="5AD28E8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110</w:t>
            </w:r>
          </w:p>
        </w:tc>
        <w:tc>
          <w:tcPr>
            <w:tcW w:w="1197" w:type="dxa"/>
            <w:noWrap/>
            <w:hideMark/>
          </w:tcPr>
          <w:p w14:paraId="5AB3B25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3 128 928</w:t>
            </w:r>
          </w:p>
        </w:tc>
      </w:tr>
      <w:tr w:rsidR="000F6C00" w:rsidRPr="00E56E24" w14:paraId="797F08BE" w14:textId="77777777" w:rsidTr="00C404D5">
        <w:trPr>
          <w:trHeight w:val="255"/>
        </w:trPr>
        <w:tc>
          <w:tcPr>
            <w:tcW w:w="4409" w:type="dxa"/>
            <w:noWrap/>
            <w:hideMark/>
          </w:tcPr>
          <w:p w14:paraId="6DB1B61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Pensijas saskaņā ar speciāliem lēmumiem</w:t>
            </w:r>
          </w:p>
        </w:tc>
        <w:tc>
          <w:tcPr>
            <w:tcW w:w="973" w:type="dxa"/>
            <w:noWrap/>
            <w:hideMark/>
          </w:tcPr>
          <w:p w14:paraId="55A3F43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0DDCA3B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6480A29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0</w:t>
            </w:r>
          </w:p>
        </w:tc>
        <w:tc>
          <w:tcPr>
            <w:tcW w:w="973" w:type="dxa"/>
            <w:noWrap/>
            <w:hideMark/>
          </w:tcPr>
          <w:p w14:paraId="35EADDF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0E52156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7E0C3E5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0</w:t>
            </w:r>
          </w:p>
        </w:tc>
        <w:tc>
          <w:tcPr>
            <w:tcW w:w="973" w:type="dxa"/>
            <w:noWrap/>
            <w:hideMark/>
          </w:tcPr>
          <w:p w14:paraId="36BFE68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7AFC4E0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3C49E26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0</w:t>
            </w:r>
          </w:p>
        </w:tc>
      </w:tr>
      <w:tr w:rsidR="000F6C00" w:rsidRPr="00E56E24" w14:paraId="66F4521B" w14:textId="77777777" w:rsidTr="00C404D5">
        <w:trPr>
          <w:trHeight w:val="255"/>
        </w:trPr>
        <w:tc>
          <w:tcPr>
            <w:tcW w:w="4409" w:type="dxa"/>
            <w:noWrap/>
            <w:hideMark/>
          </w:tcPr>
          <w:p w14:paraId="197F48E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Izdienas pensijas </w:t>
            </w:r>
          </w:p>
        </w:tc>
        <w:tc>
          <w:tcPr>
            <w:tcW w:w="973" w:type="dxa"/>
            <w:noWrap/>
            <w:hideMark/>
          </w:tcPr>
          <w:p w14:paraId="431B89E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491,88</w:t>
            </w:r>
          </w:p>
        </w:tc>
        <w:tc>
          <w:tcPr>
            <w:tcW w:w="1147" w:type="dxa"/>
            <w:noWrap/>
            <w:hideMark/>
          </w:tcPr>
          <w:p w14:paraId="128706B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1 859</w:t>
            </w:r>
          </w:p>
        </w:tc>
        <w:tc>
          <w:tcPr>
            <w:tcW w:w="1114" w:type="dxa"/>
            <w:noWrap/>
            <w:hideMark/>
          </w:tcPr>
          <w:p w14:paraId="6118739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10 972 813</w:t>
            </w:r>
          </w:p>
        </w:tc>
        <w:tc>
          <w:tcPr>
            <w:tcW w:w="973" w:type="dxa"/>
            <w:noWrap/>
            <w:hideMark/>
          </w:tcPr>
          <w:p w14:paraId="02183A8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515,50</w:t>
            </w:r>
          </w:p>
        </w:tc>
        <w:tc>
          <w:tcPr>
            <w:tcW w:w="1048" w:type="dxa"/>
            <w:noWrap/>
            <w:hideMark/>
          </w:tcPr>
          <w:p w14:paraId="768A4DD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1 716</w:t>
            </w:r>
          </w:p>
        </w:tc>
        <w:tc>
          <w:tcPr>
            <w:tcW w:w="1164" w:type="dxa"/>
            <w:noWrap/>
            <w:hideMark/>
          </w:tcPr>
          <w:p w14:paraId="32D93A8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10 615 275</w:t>
            </w:r>
          </w:p>
        </w:tc>
        <w:tc>
          <w:tcPr>
            <w:tcW w:w="973" w:type="dxa"/>
            <w:noWrap/>
            <w:hideMark/>
          </w:tcPr>
          <w:p w14:paraId="52A71C8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551,99</w:t>
            </w:r>
          </w:p>
        </w:tc>
        <w:tc>
          <w:tcPr>
            <w:tcW w:w="995" w:type="dxa"/>
            <w:noWrap/>
            <w:hideMark/>
          </w:tcPr>
          <w:p w14:paraId="6FFECF9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1 584</w:t>
            </w:r>
          </w:p>
        </w:tc>
        <w:tc>
          <w:tcPr>
            <w:tcW w:w="1197" w:type="dxa"/>
            <w:noWrap/>
            <w:hideMark/>
          </w:tcPr>
          <w:p w14:paraId="1D6FD96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10 492 184</w:t>
            </w:r>
          </w:p>
        </w:tc>
      </w:tr>
      <w:tr w:rsidR="000F6C00" w:rsidRPr="00E56E24" w14:paraId="6C9104B7" w14:textId="77777777" w:rsidTr="00C404D5">
        <w:trPr>
          <w:trHeight w:val="300"/>
        </w:trPr>
        <w:tc>
          <w:tcPr>
            <w:tcW w:w="4409" w:type="dxa"/>
            <w:noWrap/>
            <w:hideMark/>
          </w:tcPr>
          <w:p w14:paraId="45FEC22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sociālās apdrošināšanas pabalsti naudā – kopā</w:t>
            </w:r>
          </w:p>
        </w:tc>
        <w:tc>
          <w:tcPr>
            <w:tcW w:w="973" w:type="dxa"/>
            <w:noWrap/>
            <w:hideMark/>
          </w:tcPr>
          <w:p w14:paraId="596B450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03442F3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69D3BBE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32 138 631</w:t>
            </w:r>
          </w:p>
        </w:tc>
        <w:tc>
          <w:tcPr>
            <w:tcW w:w="973" w:type="dxa"/>
            <w:noWrap/>
            <w:hideMark/>
          </w:tcPr>
          <w:p w14:paraId="7ADD4B5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16A11E9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3E1EEDE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33 251 109</w:t>
            </w:r>
          </w:p>
        </w:tc>
        <w:tc>
          <w:tcPr>
            <w:tcW w:w="973" w:type="dxa"/>
            <w:noWrap/>
            <w:hideMark/>
          </w:tcPr>
          <w:p w14:paraId="4399A47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7847322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5E5B387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35 330 978</w:t>
            </w:r>
          </w:p>
        </w:tc>
      </w:tr>
      <w:tr w:rsidR="000F6C00" w:rsidRPr="00E56E24" w14:paraId="7CA969F5" w14:textId="77777777" w:rsidTr="00C404D5">
        <w:trPr>
          <w:trHeight w:val="255"/>
        </w:trPr>
        <w:tc>
          <w:tcPr>
            <w:tcW w:w="4409" w:type="dxa"/>
            <w:noWrap/>
            <w:hideMark/>
          </w:tcPr>
          <w:p w14:paraId="126ECD21"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3FC02D2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4A90F38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35DC65E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633D33A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3DF3F32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52C4C6D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620CD02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2099CB1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471145A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0B571F6B" w14:textId="77777777" w:rsidTr="00C404D5">
        <w:trPr>
          <w:trHeight w:val="255"/>
        </w:trPr>
        <w:tc>
          <w:tcPr>
            <w:tcW w:w="4409" w:type="dxa"/>
            <w:noWrap/>
            <w:hideMark/>
          </w:tcPr>
          <w:p w14:paraId="0A52E3D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Apbedīšanas pabalsts</w:t>
            </w:r>
          </w:p>
        </w:tc>
        <w:tc>
          <w:tcPr>
            <w:tcW w:w="973" w:type="dxa"/>
            <w:noWrap/>
            <w:hideMark/>
          </w:tcPr>
          <w:p w14:paraId="28FBE1D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713,31</w:t>
            </w:r>
          </w:p>
        </w:tc>
        <w:tc>
          <w:tcPr>
            <w:tcW w:w="1147" w:type="dxa"/>
            <w:noWrap/>
            <w:hideMark/>
          </w:tcPr>
          <w:p w14:paraId="6212A43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2 000</w:t>
            </w:r>
          </w:p>
        </w:tc>
        <w:tc>
          <w:tcPr>
            <w:tcW w:w="1114" w:type="dxa"/>
            <w:noWrap/>
            <w:hideMark/>
          </w:tcPr>
          <w:p w14:paraId="00324F3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17 119 555</w:t>
            </w:r>
          </w:p>
        </w:tc>
        <w:tc>
          <w:tcPr>
            <w:tcW w:w="973" w:type="dxa"/>
            <w:noWrap/>
            <w:hideMark/>
          </w:tcPr>
          <w:p w14:paraId="251588C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739,01</w:t>
            </w:r>
          </w:p>
        </w:tc>
        <w:tc>
          <w:tcPr>
            <w:tcW w:w="1048" w:type="dxa"/>
            <w:noWrap/>
            <w:hideMark/>
          </w:tcPr>
          <w:p w14:paraId="462E3DE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2 000</w:t>
            </w:r>
          </w:p>
        </w:tc>
        <w:tc>
          <w:tcPr>
            <w:tcW w:w="1164" w:type="dxa"/>
            <w:noWrap/>
            <w:hideMark/>
          </w:tcPr>
          <w:p w14:paraId="77097A7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17 736 241</w:t>
            </w:r>
          </w:p>
        </w:tc>
        <w:tc>
          <w:tcPr>
            <w:tcW w:w="973" w:type="dxa"/>
            <w:noWrap/>
            <w:hideMark/>
          </w:tcPr>
          <w:p w14:paraId="41AC263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785,62</w:t>
            </w:r>
          </w:p>
        </w:tc>
        <w:tc>
          <w:tcPr>
            <w:tcW w:w="995" w:type="dxa"/>
            <w:noWrap/>
            <w:hideMark/>
          </w:tcPr>
          <w:p w14:paraId="0443A12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2 000</w:t>
            </w:r>
          </w:p>
        </w:tc>
        <w:tc>
          <w:tcPr>
            <w:tcW w:w="1197" w:type="dxa"/>
            <w:noWrap/>
            <w:hideMark/>
          </w:tcPr>
          <w:p w14:paraId="3189B7A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18 854 974</w:t>
            </w:r>
          </w:p>
        </w:tc>
      </w:tr>
      <w:tr w:rsidR="000F6C00" w:rsidRPr="00E56E24" w14:paraId="228512D9" w14:textId="77777777" w:rsidTr="00C404D5">
        <w:trPr>
          <w:trHeight w:val="510"/>
        </w:trPr>
        <w:tc>
          <w:tcPr>
            <w:tcW w:w="4409" w:type="dxa"/>
            <w:hideMark/>
          </w:tcPr>
          <w:p w14:paraId="285D039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Kaitējuma atlīdzība Černobiļas AES avārijas rezultātā cietušajām personāmnām</w:t>
            </w:r>
          </w:p>
        </w:tc>
        <w:tc>
          <w:tcPr>
            <w:tcW w:w="973" w:type="dxa"/>
            <w:noWrap/>
            <w:hideMark/>
          </w:tcPr>
          <w:p w14:paraId="1360A3A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400,17</w:t>
            </w:r>
          </w:p>
        </w:tc>
        <w:tc>
          <w:tcPr>
            <w:tcW w:w="1147" w:type="dxa"/>
            <w:noWrap/>
            <w:hideMark/>
          </w:tcPr>
          <w:p w14:paraId="7D72528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33</w:t>
            </w:r>
          </w:p>
        </w:tc>
        <w:tc>
          <w:tcPr>
            <w:tcW w:w="1114" w:type="dxa"/>
            <w:noWrap/>
            <w:hideMark/>
          </w:tcPr>
          <w:p w14:paraId="25D49BE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158 467</w:t>
            </w:r>
          </w:p>
        </w:tc>
        <w:tc>
          <w:tcPr>
            <w:tcW w:w="973" w:type="dxa"/>
            <w:noWrap/>
            <w:hideMark/>
          </w:tcPr>
          <w:p w14:paraId="686D897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424,04</w:t>
            </w:r>
          </w:p>
        </w:tc>
        <w:tc>
          <w:tcPr>
            <w:tcW w:w="1048" w:type="dxa"/>
            <w:noWrap/>
            <w:hideMark/>
          </w:tcPr>
          <w:p w14:paraId="4D3F7BF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33</w:t>
            </w:r>
          </w:p>
        </w:tc>
        <w:tc>
          <w:tcPr>
            <w:tcW w:w="1164" w:type="dxa"/>
            <w:noWrap/>
            <w:hideMark/>
          </w:tcPr>
          <w:p w14:paraId="17827AA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167 920</w:t>
            </w:r>
          </w:p>
        </w:tc>
        <w:tc>
          <w:tcPr>
            <w:tcW w:w="973" w:type="dxa"/>
            <w:noWrap/>
            <w:hideMark/>
          </w:tcPr>
          <w:p w14:paraId="03A7678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449,61</w:t>
            </w:r>
          </w:p>
        </w:tc>
        <w:tc>
          <w:tcPr>
            <w:tcW w:w="995" w:type="dxa"/>
            <w:noWrap/>
            <w:hideMark/>
          </w:tcPr>
          <w:p w14:paraId="483B753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33</w:t>
            </w:r>
          </w:p>
        </w:tc>
        <w:tc>
          <w:tcPr>
            <w:tcW w:w="1197" w:type="dxa"/>
            <w:noWrap/>
            <w:hideMark/>
          </w:tcPr>
          <w:p w14:paraId="2C0DA52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178 046</w:t>
            </w:r>
          </w:p>
        </w:tc>
      </w:tr>
      <w:tr w:rsidR="000F6C00" w:rsidRPr="00E56E24" w14:paraId="3FE04237" w14:textId="77777777" w:rsidTr="00C404D5">
        <w:trPr>
          <w:trHeight w:val="510"/>
        </w:trPr>
        <w:tc>
          <w:tcPr>
            <w:tcW w:w="4409" w:type="dxa"/>
            <w:hideMark/>
          </w:tcPr>
          <w:p w14:paraId="6630CE3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Pabalsts pensijas saņēmēja nāves gadījumā pārdzīvojušam laulātajam</w:t>
            </w:r>
          </w:p>
        </w:tc>
        <w:tc>
          <w:tcPr>
            <w:tcW w:w="973" w:type="dxa"/>
            <w:noWrap/>
            <w:hideMark/>
          </w:tcPr>
          <w:p w14:paraId="79642DC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206,40</w:t>
            </w:r>
          </w:p>
        </w:tc>
        <w:tc>
          <w:tcPr>
            <w:tcW w:w="1147" w:type="dxa"/>
            <w:noWrap/>
            <w:hideMark/>
          </w:tcPr>
          <w:p w14:paraId="133E348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6 000</w:t>
            </w:r>
          </w:p>
        </w:tc>
        <w:tc>
          <w:tcPr>
            <w:tcW w:w="1114" w:type="dxa"/>
            <w:noWrap/>
            <w:hideMark/>
          </w:tcPr>
          <w:p w14:paraId="54718F6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14 860 609</w:t>
            </w:r>
          </w:p>
        </w:tc>
        <w:tc>
          <w:tcPr>
            <w:tcW w:w="973" w:type="dxa"/>
            <w:noWrap/>
            <w:hideMark/>
          </w:tcPr>
          <w:p w14:paraId="23967DD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213,15</w:t>
            </w:r>
          </w:p>
        </w:tc>
        <w:tc>
          <w:tcPr>
            <w:tcW w:w="1048" w:type="dxa"/>
            <w:noWrap/>
            <w:hideMark/>
          </w:tcPr>
          <w:p w14:paraId="5F676A4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6 000</w:t>
            </w:r>
          </w:p>
        </w:tc>
        <w:tc>
          <w:tcPr>
            <w:tcW w:w="1164" w:type="dxa"/>
            <w:noWrap/>
            <w:hideMark/>
          </w:tcPr>
          <w:p w14:paraId="1D648A8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15 346 948</w:t>
            </w:r>
          </w:p>
        </w:tc>
        <w:tc>
          <w:tcPr>
            <w:tcW w:w="973" w:type="dxa"/>
            <w:noWrap/>
            <w:hideMark/>
          </w:tcPr>
          <w:p w14:paraId="3522E5A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226,36</w:t>
            </w:r>
          </w:p>
        </w:tc>
        <w:tc>
          <w:tcPr>
            <w:tcW w:w="995" w:type="dxa"/>
            <w:noWrap/>
            <w:hideMark/>
          </w:tcPr>
          <w:p w14:paraId="16D159F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6 000</w:t>
            </w:r>
          </w:p>
        </w:tc>
        <w:tc>
          <w:tcPr>
            <w:tcW w:w="1197" w:type="dxa"/>
            <w:noWrap/>
            <w:hideMark/>
          </w:tcPr>
          <w:p w14:paraId="78751CD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16 297 958</w:t>
            </w:r>
          </w:p>
        </w:tc>
      </w:tr>
      <w:tr w:rsidR="000F6C00" w:rsidRPr="00E56E24" w14:paraId="0736F86B" w14:textId="77777777" w:rsidTr="00C404D5">
        <w:trPr>
          <w:trHeight w:val="255"/>
        </w:trPr>
        <w:tc>
          <w:tcPr>
            <w:tcW w:w="4409" w:type="dxa"/>
            <w:hideMark/>
          </w:tcPr>
          <w:p w14:paraId="1959173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budžeta maksājumi - kopā</w:t>
            </w:r>
          </w:p>
        </w:tc>
        <w:tc>
          <w:tcPr>
            <w:tcW w:w="973" w:type="dxa"/>
            <w:noWrap/>
            <w:hideMark/>
          </w:tcPr>
          <w:p w14:paraId="09DC6DA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68675CE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6063334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768 833</w:t>
            </w:r>
          </w:p>
        </w:tc>
        <w:tc>
          <w:tcPr>
            <w:tcW w:w="973" w:type="dxa"/>
            <w:noWrap/>
            <w:hideMark/>
          </w:tcPr>
          <w:p w14:paraId="58B3EBB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09667DB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3BF070E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772 819</w:t>
            </w:r>
          </w:p>
        </w:tc>
        <w:tc>
          <w:tcPr>
            <w:tcW w:w="973" w:type="dxa"/>
            <w:noWrap/>
            <w:hideMark/>
          </w:tcPr>
          <w:p w14:paraId="1227141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003ACAF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6A883A7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772 819</w:t>
            </w:r>
          </w:p>
        </w:tc>
      </w:tr>
      <w:tr w:rsidR="000F6C00" w:rsidRPr="00E56E24" w14:paraId="3A8A0A8D" w14:textId="77777777" w:rsidTr="00C404D5">
        <w:trPr>
          <w:trHeight w:val="255"/>
        </w:trPr>
        <w:tc>
          <w:tcPr>
            <w:tcW w:w="4409" w:type="dxa"/>
            <w:noWrap/>
            <w:hideMark/>
          </w:tcPr>
          <w:p w14:paraId="62E4C9EE"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7E239DF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37707CF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71765D4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64E649C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71AA675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314B1F9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2A08AE1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2A0A887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7121D8E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6BB352DD" w14:textId="77777777" w:rsidTr="00C404D5">
        <w:trPr>
          <w:trHeight w:val="255"/>
        </w:trPr>
        <w:tc>
          <w:tcPr>
            <w:tcW w:w="4409" w:type="dxa"/>
            <w:noWrap/>
            <w:hideMark/>
          </w:tcPr>
          <w:p w14:paraId="5CC3A2C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    Pārmaksāto sociālās apdrošināšanas iemaksu atmaksa</w:t>
            </w:r>
          </w:p>
        </w:tc>
        <w:tc>
          <w:tcPr>
            <w:tcW w:w="973" w:type="dxa"/>
            <w:noWrap/>
            <w:hideMark/>
          </w:tcPr>
          <w:p w14:paraId="5847B6A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52371E2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278B9C5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268 833</w:t>
            </w:r>
          </w:p>
        </w:tc>
        <w:tc>
          <w:tcPr>
            <w:tcW w:w="973" w:type="dxa"/>
            <w:noWrap/>
            <w:hideMark/>
          </w:tcPr>
          <w:p w14:paraId="31F8E8C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3507F9B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0E036A8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272 819</w:t>
            </w:r>
          </w:p>
        </w:tc>
        <w:tc>
          <w:tcPr>
            <w:tcW w:w="973" w:type="dxa"/>
            <w:noWrap/>
            <w:hideMark/>
          </w:tcPr>
          <w:p w14:paraId="341B55E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17BA442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5FD4399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272 819</w:t>
            </w:r>
          </w:p>
        </w:tc>
      </w:tr>
      <w:tr w:rsidR="000F6C00" w:rsidRPr="00E56E24" w14:paraId="6C4870B7" w14:textId="77777777" w:rsidTr="00C404D5">
        <w:trPr>
          <w:trHeight w:val="510"/>
        </w:trPr>
        <w:tc>
          <w:tcPr>
            <w:tcW w:w="4409" w:type="dxa"/>
            <w:hideMark/>
          </w:tcPr>
          <w:p w14:paraId="597EDAC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       Eiropas Savienības pensiju shēmai pārskaitītais pensijas </w:t>
            </w:r>
            <w:r w:rsidRPr="00E56E24">
              <w:rPr>
                <w:rFonts w:ascii="Times New Roman" w:eastAsia="Times New Roman" w:hAnsi="Times New Roman" w:cs="Times New Roman"/>
                <w:sz w:val="20"/>
                <w:szCs w:val="20"/>
              </w:rPr>
              <w:br/>
              <w:t xml:space="preserve">       kapitāls</w:t>
            </w:r>
          </w:p>
        </w:tc>
        <w:tc>
          <w:tcPr>
            <w:tcW w:w="973" w:type="dxa"/>
            <w:noWrap/>
            <w:hideMark/>
          </w:tcPr>
          <w:p w14:paraId="729BCCB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5E0AAE0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hideMark/>
          </w:tcPr>
          <w:p w14:paraId="5AC3191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500 000</w:t>
            </w:r>
          </w:p>
        </w:tc>
        <w:tc>
          <w:tcPr>
            <w:tcW w:w="973" w:type="dxa"/>
            <w:noWrap/>
            <w:hideMark/>
          </w:tcPr>
          <w:p w14:paraId="09A632F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47FDFCA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hideMark/>
          </w:tcPr>
          <w:p w14:paraId="75D1909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500 000</w:t>
            </w:r>
          </w:p>
        </w:tc>
        <w:tc>
          <w:tcPr>
            <w:tcW w:w="973" w:type="dxa"/>
            <w:noWrap/>
            <w:hideMark/>
          </w:tcPr>
          <w:p w14:paraId="03A4E47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67DDB3E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hideMark/>
          </w:tcPr>
          <w:p w14:paraId="3F4C46E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500 000</w:t>
            </w:r>
          </w:p>
        </w:tc>
      </w:tr>
      <w:tr w:rsidR="000F6C00" w:rsidRPr="00E56E24" w14:paraId="7449454B" w14:textId="77777777" w:rsidTr="00C404D5">
        <w:trPr>
          <w:trHeight w:val="300"/>
        </w:trPr>
        <w:tc>
          <w:tcPr>
            <w:tcW w:w="4409" w:type="dxa"/>
            <w:noWrap/>
            <w:hideMark/>
          </w:tcPr>
          <w:p w14:paraId="32191F28"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04.02.00 Nodarbinātības speciālais budžets</w:t>
            </w:r>
          </w:p>
        </w:tc>
        <w:tc>
          <w:tcPr>
            <w:tcW w:w="973" w:type="dxa"/>
            <w:noWrap/>
            <w:hideMark/>
          </w:tcPr>
          <w:p w14:paraId="08CD12FB"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47" w:type="dxa"/>
            <w:noWrap/>
            <w:hideMark/>
          </w:tcPr>
          <w:p w14:paraId="3E5DEBAB"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14" w:type="dxa"/>
            <w:noWrap/>
            <w:hideMark/>
          </w:tcPr>
          <w:p w14:paraId="3426D9B6"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175 684 789</w:t>
            </w:r>
          </w:p>
        </w:tc>
        <w:tc>
          <w:tcPr>
            <w:tcW w:w="973" w:type="dxa"/>
            <w:noWrap/>
            <w:hideMark/>
          </w:tcPr>
          <w:p w14:paraId="517AE5BF"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048" w:type="dxa"/>
            <w:noWrap/>
            <w:hideMark/>
          </w:tcPr>
          <w:p w14:paraId="72CCA6ED"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64" w:type="dxa"/>
            <w:noWrap/>
            <w:hideMark/>
          </w:tcPr>
          <w:p w14:paraId="302CCA6F"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144 109 125</w:t>
            </w:r>
          </w:p>
        </w:tc>
        <w:tc>
          <w:tcPr>
            <w:tcW w:w="973" w:type="dxa"/>
            <w:noWrap/>
            <w:hideMark/>
          </w:tcPr>
          <w:p w14:paraId="415ED360"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995" w:type="dxa"/>
            <w:noWrap/>
            <w:hideMark/>
          </w:tcPr>
          <w:p w14:paraId="6DDFD58D"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97" w:type="dxa"/>
            <w:noWrap/>
            <w:hideMark/>
          </w:tcPr>
          <w:p w14:paraId="3F106D98"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131 138 680</w:t>
            </w:r>
          </w:p>
        </w:tc>
      </w:tr>
      <w:tr w:rsidR="000F6C00" w:rsidRPr="00E56E24" w14:paraId="08BFBB54" w14:textId="77777777" w:rsidTr="00C404D5">
        <w:trPr>
          <w:trHeight w:val="300"/>
        </w:trPr>
        <w:tc>
          <w:tcPr>
            <w:tcW w:w="4409" w:type="dxa"/>
            <w:noWrap/>
            <w:hideMark/>
          </w:tcPr>
          <w:p w14:paraId="39F44FB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sociālās apdrošināšanas pabalsti naudā – kopā</w:t>
            </w:r>
          </w:p>
        </w:tc>
        <w:tc>
          <w:tcPr>
            <w:tcW w:w="973" w:type="dxa"/>
            <w:noWrap/>
            <w:hideMark/>
          </w:tcPr>
          <w:p w14:paraId="6CA3414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4E0B144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1A16EF7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47 088</w:t>
            </w:r>
          </w:p>
        </w:tc>
        <w:tc>
          <w:tcPr>
            <w:tcW w:w="973" w:type="dxa"/>
            <w:noWrap/>
            <w:hideMark/>
          </w:tcPr>
          <w:p w14:paraId="7CECAC9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1EA64EA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6D24849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47 088</w:t>
            </w:r>
          </w:p>
        </w:tc>
        <w:tc>
          <w:tcPr>
            <w:tcW w:w="973" w:type="dxa"/>
            <w:noWrap/>
            <w:hideMark/>
          </w:tcPr>
          <w:p w14:paraId="2CFF242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531A550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343C4F6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47 088</w:t>
            </w:r>
          </w:p>
        </w:tc>
      </w:tr>
      <w:tr w:rsidR="000F6C00" w:rsidRPr="00E56E24" w14:paraId="38F38DED" w14:textId="77777777" w:rsidTr="00C404D5">
        <w:trPr>
          <w:trHeight w:val="300"/>
        </w:trPr>
        <w:tc>
          <w:tcPr>
            <w:tcW w:w="4409" w:type="dxa"/>
            <w:noWrap/>
            <w:hideMark/>
          </w:tcPr>
          <w:p w14:paraId="3E8237DE"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24A61BE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13889DF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7B20158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18E6698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5A6B548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6297B6B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714A1A6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42E3753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2B13FD9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6477D3E9" w14:textId="77777777" w:rsidTr="00C404D5">
        <w:trPr>
          <w:trHeight w:val="255"/>
        </w:trPr>
        <w:tc>
          <w:tcPr>
            <w:tcW w:w="4409" w:type="dxa"/>
            <w:noWrap/>
            <w:hideMark/>
          </w:tcPr>
          <w:p w14:paraId="7298864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Apbedīšanas pabalsts</w:t>
            </w:r>
          </w:p>
        </w:tc>
        <w:tc>
          <w:tcPr>
            <w:tcW w:w="973" w:type="dxa"/>
            <w:noWrap/>
            <w:hideMark/>
          </w:tcPr>
          <w:p w14:paraId="6065239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327,00</w:t>
            </w:r>
          </w:p>
        </w:tc>
        <w:tc>
          <w:tcPr>
            <w:tcW w:w="1147" w:type="dxa"/>
            <w:noWrap/>
            <w:hideMark/>
          </w:tcPr>
          <w:p w14:paraId="23126B9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12</w:t>
            </w:r>
          </w:p>
        </w:tc>
        <w:tc>
          <w:tcPr>
            <w:tcW w:w="1114" w:type="dxa"/>
            <w:noWrap/>
            <w:hideMark/>
          </w:tcPr>
          <w:p w14:paraId="14B6214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47 088</w:t>
            </w:r>
          </w:p>
        </w:tc>
        <w:tc>
          <w:tcPr>
            <w:tcW w:w="973" w:type="dxa"/>
            <w:noWrap/>
            <w:hideMark/>
          </w:tcPr>
          <w:p w14:paraId="2A2754B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327,00</w:t>
            </w:r>
          </w:p>
        </w:tc>
        <w:tc>
          <w:tcPr>
            <w:tcW w:w="1048" w:type="dxa"/>
            <w:noWrap/>
            <w:hideMark/>
          </w:tcPr>
          <w:p w14:paraId="41E9EBF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12</w:t>
            </w:r>
          </w:p>
        </w:tc>
        <w:tc>
          <w:tcPr>
            <w:tcW w:w="1164" w:type="dxa"/>
            <w:noWrap/>
            <w:hideMark/>
          </w:tcPr>
          <w:p w14:paraId="460E236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47 088</w:t>
            </w:r>
          </w:p>
        </w:tc>
        <w:tc>
          <w:tcPr>
            <w:tcW w:w="973" w:type="dxa"/>
            <w:noWrap/>
            <w:hideMark/>
          </w:tcPr>
          <w:p w14:paraId="2770AA2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327,00</w:t>
            </w:r>
          </w:p>
        </w:tc>
        <w:tc>
          <w:tcPr>
            <w:tcW w:w="995" w:type="dxa"/>
            <w:noWrap/>
            <w:hideMark/>
          </w:tcPr>
          <w:p w14:paraId="283CEA3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12</w:t>
            </w:r>
          </w:p>
        </w:tc>
        <w:tc>
          <w:tcPr>
            <w:tcW w:w="1197" w:type="dxa"/>
            <w:noWrap/>
            <w:hideMark/>
          </w:tcPr>
          <w:p w14:paraId="43F3365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47 088</w:t>
            </w:r>
          </w:p>
        </w:tc>
      </w:tr>
      <w:tr w:rsidR="000F6C00" w:rsidRPr="00E56E24" w14:paraId="372F3409" w14:textId="77777777" w:rsidTr="00C404D5">
        <w:trPr>
          <w:trHeight w:val="300"/>
        </w:trPr>
        <w:tc>
          <w:tcPr>
            <w:tcW w:w="4409" w:type="dxa"/>
            <w:noWrap/>
            <w:hideMark/>
          </w:tcPr>
          <w:p w14:paraId="64096F9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nodarbinātības pabalsti naudā – kopā</w:t>
            </w:r>
          </w:p>
        </w:tc>
        <w:tc>
          <w:tcPr>
            <w:tcW w:w="973" w:type="dxa"/>
            <w:noWrap/>
            <w:hideMark/>
          </w:tcPr>
          <w:p w14:paraId="590B5E9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24393D3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42EE702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175 488 834</w:t>
            </w:r>
          </w:p>
        </w:tc>
        <w:tc>
          <w:tcPr>
            <w:tcW w:w="973" w:type="dxa"/>
            <w:noWrap/>
            <w:hideMark/>
          </w:tcPr>
          <w:p w14:paraId="5052383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7D43E6A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30F48FD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143 916 473</w:t>
            </w:r>
          </w:p>
        </w:tc>
        <w:tc>
          <w:tcPr>
            <w:tcW w:w="973" w:type="dxa"/>
            <w:noWrap/>
            <w:hideMark/>
          </w:tcPr>
          <w:p w14:paraId="313F695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68B95C4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2A165E5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130 946 028</w:t>
            </w:r>
          </w:p>
        </w:tc>
      </w:tr>
      <w:tr w:rsidR="000F6C00" w:rsidRPr="00E56E24" w14:paraId="40348D73" w14:textId="77777777" w:rsidTr="00C404D5">
        <w:trPr>
          <w:trHeight w:val="255"/>
        </w:trPr>
        <w:tc>
          <w:tcPr>
            <w:tcW w:w="4409" w:type="dxa"/>
            <w:noWrap/>
            <w:hideMark/>
          </w:tcPr>
          <w:p w14:paraId="28EC08B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Bezdarbnieka pabalsts</w:t>
            </w:r>
          </w:p>
        </w:tc>
        <w:tc>
          <w:tcPr>
            <w:tcW w:w="973" w:type="dxa"/>
            <w:noWrap/>
            <w:hideMark/>
          </w:tcPr>
          <w:p w14:paraId="021777A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357,72</w:t>
            </w:r>
          </w:p>
        </w:tc>
        <w:tc>
          <w:tcPr>
            <w:tcW w:w="1147" w:type="dxa"/>
            <w:noWrap/>
            <w:hideMark/>
          </w:tcPr>
          <w:p w14:paraId="5956F2D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40 881</w:t>
            </w:r>
          </w:p>
        </w:tc>
        <w:tc>
          <w:tcPr>
            <w:tcW w:w="1114" w:type="dxa"/>
            <w:noWrap/>
            <w:hideMark/>
          </w:tcPr>
          <w:p w14:paraId="77AF683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175 488 834</w:t>
            </w:r>
          </w:p>
        </w:tc>
        <w:tc>
          <w:tcPr>
            <w:tcW w:w="973" w:type="dxa"/>
            <w:noWrap/>
            <w:hideMark/>
          </w:tcPr>
          <w:p w14:paraId="1F3E00B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376,75</w:t>
            </w:r>
          </w:p>
        </w:tc>
        <w:tc>
          <w:tcPr>
            <w:tcW w:w="1048" w:type="dxa"/>
            <w:noWrap/>
            <w:hideMark/>
          </w:tcPr>
          <w:p w14:paraId="28AE345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31 833</w:t>
            </w:r>
          </w:p>
        </w:tc>
        <w:tc>
          <w:tcPr>
            <w:tcW w:w="1164" w:type="dxa"/>
            <w:noWrap/>
            <w:hideMark/>
          </w:tcPr>
          <w:p w14:paraId="3E1AA88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143 916 473</w:t>
            </w:r>
          </w:p>
        </w:tc>
        <w:tc>
          <w:tcPr>
            <w:tcW w:w="973" w:type="dxa"/>
            <w:noWrap/>
            <w:hideMark/>
          </w:tcPr>
          <w:p w14:paraId="1FBF078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395,58</w:t>
            </w:r>
          </w:p>
        </w:tc>
        <w:tc>
          <w:tcPr>
            <w:tcW w:w="995" w:type="dxa"/>
            <w:noWrap/>
            <w:hideMark/>
          </w:tcPr>
          <w:p w14:paraId="7E8F7A8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27 585</w:t>
            </w:r>
          </w:p>
        </w:tc>
        <w:tc>
          <w:tcPr>
            <w:tcW w:w="1197" w:type="dxa"/>
            <w:noWrap/>
            <w:hideMark/>
          </w:tcPr>
          <w:p w14:paraId="615CCD1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130 946 028</w:t>
            </w:r>
          </w:p>
        </w:tc>
      </w:tr>
      <w:tr w:rsidR="000F6C00" w:rsidRPr="00E56E24" w14:paraId="1B0D26D9" w14:textId="77777777" w:rsidTr="00C404D5">
        <w:trPr>
          <w:trHeight w:val="300"/>
        </w:trPr>
        <w:tc>
          <w:tcPr>
            <w:tcW w:w="4409" w:type="dxa"/>
            <w:hideMark/>
          </w:tcPr>
          <w:p w14:paraId="3B23410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budžeta maksājumi - kopā</w:t>
            </w:r>
          </w:p>
        </w:tc>
        <w:tc>
          <w:tcPr>
            <w:tcW w:w="973" w:type="dxa"/>
            <w:noWrap/>
            <w:hideMark/>
          </w:tcPr>
          <w:p w14:paraId="52838C7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1BB10EB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728E7FF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148 867</w:t>
            </w:r>
          </w:p>
        </w:tc>
        <w:tc>
          <w:tcPr>
            <w:tcW w:w="973" w:type="dxa"/>
            <w:noWrap/>
            <w:hideMark/>
          </w:tcPr>
          <w:p w14:paraId="5FD0C9E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67DE775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5C95F97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145 564</w:t>
            </w:r>
          </w:p>
        </w:tc>
        <w:tc>
          <w:tcPr>
            <w:tcW w:w="973" w:type="dxa"/>
            <w:noWrap/>
            <w:hideMark/>
          </w:tcPr>
          <w:p w14:paraId="008FF31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2D6CACC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3D2DA48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145 564</w:t>
            </w:r>
          </w:p>
        </w:tc>
      </w:tr>
      <w:tr w:rsidR="000F6C00" w:rsidRPr="00E56E24" w14:paraId="0226C5CD" w14:textId="77777777" w:rsidTr="00C404D5">
        <w:trPr>
          <w:trHeight w:val="255"/>
        </w:trPr>
        <w:tc>
          <w:tcPr>
            <w:tcW w:w="4409" w:type="dxa"/>
            <w:noWrap/>
            <w:hideMark/>
          </w:tcPr>
          <w:p w14:paraId="6298082E"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7D7EB32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00AB2B2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41A3E85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4816062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0FF7380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1A2E067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72B9EDF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61EB49E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1A7E80F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4CF33BB5" w14:textId="77777777" w:rsidTr="00C404D5">
        <w:trPr>
          <w:trHeight w:val="255"/>
        </w:trPr>
        <w:tc>
          <w:tcPr>
            <w:tcW w:w="4409" w:type="dxa"/>
            <w:noWrap/>
            <w:hideMark/>
          </w:tcPr>
          <w:p w14:paraId="247EE7D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    Pārmaksāto sociālās apdrošināšanas iemaksu atmaksa</w:t>
            </w:r>
          </w:p>
        </w:tc>
        <w:tc>
          <w:tcPr>
            <w:tcW w:w="973" w:type="dxa"/>
            <w:noWrap/>
            <w:hideMark/>
          </w:tcPr>
          <w:p w14:paraId="33902C6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3D05008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03F1237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23 725</w:t>
            </w:r>
          </w:p>
        </w:tc>
        <w:tc>
          <w:tcPr>
            <w:tcW w:w="973" w:type="dxa"/>
            <w:noWrap/>
            <w:hideMark/>
          </w:tcPr>
          <w:p w14:paraId="54EA547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3CB7109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5604C6B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20 422</w:t>
            </w:r>
          </w:p>
        </w:tc>
        <w:tc>
          <w:tcPr>
            <w:tcW w:w="973" w:type="dxa"/>
            <w:noWrap/>
            <w:hideMark/>
          </w:tcPr>
          <w:p w14:paraId="1047AA4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285D2DA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19AE40A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20 422</w:t>
            </w:r>
          </w:p>
        </w:tc>
      </w:tr>
      <w:tr w:rsidR="000F6C00" w:rsidRPr="00E56E24" w14:paraId="0C911A50" w14:textId="77777777" w:rsidTr="00C404D5">
        <w:trPr>
          <w:trHeight w:val="510"/>
        </w:trPr>
        <w:tc>
          <w:tcPr>
            <w:tcW w:w="4409" w:type="dxa"/>
            <w:hideMark/>
          </w:tcPr>
          <w:p w14:paraId="2A465DF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       Eiropas Savienības pensiju shēmai pārskaitītais pensijas </w:t>
            </w:r>
            <w:r w:rsidRPr="00E56E24">
              <w:rPr>
                <w:rFonts w:ascii="Times New Roman" w:eastAsia="Times New Roman" w:hAnsi="Times New Roman" w:cs="Times New Roman"/>
                <w:sz w:val="20"/>
                <w:szCs w:val="20"/>
              </w:rPr>
              <w:br/>
              <w:t xml:space="preserve">       kapitāls</w:t>
            </w:r>
          </w:p>
        </w:tc>
        <w:tc>
          <w:tcPr>
            <w:tcW w:w="973" w:type="dxa"/>
            <w:noWrap/>
            <w:hideMark/>
          </w:tcPr>
          <w:p w14:paraId="688F334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58AE27B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2C3789C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4 000</w:t>
            </w:r>
          </w:p>
        </w:tc>
        <w:tc>
          <w:tcPr>
            <w:tcW w:w="973" w:type="dxa"/>
            <w:noWrap/>
            <w:hideMark/>
          </w:tcPr>
          <w:p w14:paraId="69AD646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3BF14D0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3324292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4 000</w:t>
            </w:r>
          </w:p>
        </w:tc>
        <w:tc>
          <w:tcPr>
            <w:tcW w:w="973" w:type="dxa"/>
            <w:noWrap/>
            <w:hideMark/>
          </w:tcPr>
          <w:p w14:paraId="0D4BBEC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2DE354B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05363B6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4 000</w:t>
            </w:r>
          </w:p>
        </w:tc>
      </w:tr>
      <w:tr w:rsidR="000F6C00" w:rsidRPr="00E56E24" w14:paraId="4E8579B8" w14:textId="77777777" w:rsidTr="00C404D5">
        <w:trPr>
          <w:trHeight w:val="510"/>
        </w:trPr>
        <w:tc>
          <w:tcPr>
            <w:tcW w:w="4409" w:type="dxa"/>
            <w:hideMark/>
          </w:tcPr>
          <w:p w14:paraId="35AB1E4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Pārējie klasifikācijā neminētie no valsts un pašvaldību budžeta veiktie maksājumi iedzīvotājiem naudā  </w:t>
            </w:r>
          </w:p>
        </w:tc>
        <w:tc>
          <w:tcPr>
            <w:tcW w:w="973" w:type="dxa"/>
            <w:noWrap/>
            <w:hideMark/>
          </w:tcPr>
          <w:p w14:paraId="00B5012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113,43</w:t>
            </w:r>
          </w:p>
        </w:tc>
        <w:tc>
          <w:tcPr>
            <w:tcW w:w="1147" w:type="dxa"/>
            <w:noWrap/>
            <w:hideMark/>
          </w:tcPr>
          <w:p w14:paraId="3AFAF97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89</w:t>
            </w:r>
          </w:p>
        </w:tc>
        <w:tc>
          <w:tcPr>
            <w:tcW w:w="1114" w:type="dxa"/>
            <w:noWrap/>
            <w:hideMark/>
          </w:tcPr>
          <w:p w14:paraId="4940DCB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121 142</w:t>
            </w:r>
          </w:p>
        </w:tc>
        <w:tc>
          <w:tcPr>
            <w:tcW w:w="973" w:type="dxa"/>
            <w:noWrap/>
            <w:hideMark/>
          </w:tcPr>
          <w:p w14:paraId="58611EC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113,43</w:t>
            </w:r>
          </w:p>
        </w:tc>
        <w:tc>
          <w:tcPr>
            <w:tcW w:w="1048" w:type="dxa"/>
            <w:noWrap/>
            <w:hideMark/>
          </w:tcPr>
          <w:p w14:paraId="20E72D5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89</w:t>
            </w:r>
          </w:p>
        </w:tc>
        <w:tc>
          <w:tcPr>
            <w:tcW w:w="1164" w:type="dxa"/>
            <w:noWrap/>
            <w:hideMark/>
          </w:tcPr>
          <w:p w14:paraId="5FC2083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121 142</w:t>
            </w:r>
          </w:p>
        </w:tc>
        <w:tc>
          <w:tcPr>
            <w:tcW w:w="973" w:type="dxa"/>
            <w:noWrap/>
            <w:hideMark/>
          </w:tcPr>
          <w:p w14:paraId="31C1072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113,43</w:t>
            </w:r>
          </w:p>
        </w:tc>
        <w:tc>
          <w:tcPr>
            <w:tcW w:w="995" w:type="dxa"/>
            <w:noWrap/>
            <w:hideMark/>
          </w:tcPr>
          <w:p w14:paraId="553B7A3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89</w:t>
            </w:r>
          </w:p>
        </w:tc>
        <w:tc>
          <w:tcPr>
            <w:tcW w:w="1197" w:type="dxa"/>
            <w:noWrap/>
            <w:hideMark/>
          </w:tcPr>
          <w:p w14:paraId="65CB97A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121 142</w:t>
            </w:r>
          </w:p>
        </w:tc>
      </w:tr>
      <w:tr w:rsidR="000F6C00" w:rsidRPr="00E56E24" w14:paraId="79E9A14C" w14:textId="77777777" w:rsidTr="00C404D5">
        <w:trPr>
          <w:trHeight w:val="300"/>
        </w:trPr>
        <w:tc>
          <w:tcPr>
            <w:tcW w:w="4409" w:type="dxa"/>
            <w:noWrap/>
            <w:hideMark/>
          </w:tcPr>
          <w:p w14:paraId="719B6D72"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04.03.00 Darba negadījumu speciālais budžets</w:t>
            </w:r>
          </w:p>
        </w:tc>
        <w:tc>
          <w:tcPr>
            <w:tcW w:w="973" w:type="dxa"/>
            <w:noWrap/>
            <w:hideMark/>
          </w:tcPr>
          <w:p w14:paraId="72C293F0"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47" w:type="dxa"/>
            <w:noWrap/>
            <w:hideMark/>
          </w:tcPr>
          <w:p w14:paraId="2DB26330"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14" w:type="dxa"/>
            <w:noWrap/>
            <w:hideMark/>
          </w:tcPr>
          <w:p w14:paraId="2F93EBCD"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66 635 865</w:t>
            </w:r>
          </w:p>
        </w:tc>
        <w:tc>
          <w:tcPr>
            <w:tcW w:w="973" w:type="dxa"/>
            <w:noWrap/>
            <w:hideMark/>
          </w:tcPr>
          <w:p w14:paraId="58C9D643"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048" w:type="dxa"/>
            <w:noWrap/>
            <w:hideMark/>
          </w:tcPr>
          <w:p w14:paraId="522DAA6C"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64" w:type="dxa"/>
            <w:noWrap/>
            <w:hideMark/>
          </w:tcPr>
          <w:p w14:paraId="3CEFC228"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75 244 860</w:t>
            </w:r>
          </w:p>
        </w:tc>
        <w:tc>
          <w:tcPr>
            <w:tcW w:w="973" w:type="dxa"/>
            <w:noWrap/>
            <w:hideMark/>
          </w:tcPr>
          <w:p w14:paraId="54F858F7"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995" w:type="dxa"/>
            <w:noWrap/>
            <w:hideMark/>
          </w:tcPr>
          <w:p w14:paraId="5679CCCD"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97" w:type="dxa"/>
            <w:noWrap/>
            <w:hideMark/>
          </w:tcPr>
          <w:p w14:paraId="19B2C2D8"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83 484 900</w:t>
            </w:r>
          </w:p>
        </w:tc>
      </w:tr>
      <w:tr w:rsidR="000F6C00" w:rsidRPr="00E56E24" w14:paraId="27BF85F8" w14:textId="77777777" w:rsidTr="00C404D5">
        <w:trPr>
          <w:trHeight w:val="300"/>
        </w:trPr>
        <w:tc>
          <w:tcPr>
            <w:tcW w:w="4409" w:type="dxa"/>
            <w:noWrap/>
            <w:hideMark/>
          </w:tcPr>
          <w:p w14:paraId="12DDCFB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sociālās apdrošināšanas pabalsti naudā – kopā</w:t>
            </w:r>
          </w:p>
        </w:tc>
        <w:tc>
          <w:tcPr>
            <w:tcW w:w="973" w:type="dxa"/>
            <w:noWrap/>
            <w:hideMark/>
          </w:tcPr>
          <w:p w14:paraId="6276FAC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098030F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15E41B5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66 626 235</w:t>
            </w:r>
          </w:p>
        </w:tc>
        <w:tc>
          <w:tcPr>
            <w:tcW w:w="973" w:type="dxa"/>
            <w:noWrap/>
            <w:hideMark/>
          </w:tcPr>
          <w:p w14:paraId="6AF9089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6ECB164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00221C5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75 236 938</w:t>
            </w:r>
          </w:p>
        </w:tc>
        <w:tc>
          <w:tcPr>
            <w:tcW w:w="973" w:type="dxa"/>
            <w:noWrap/>
            <w:hideMark/>
          </w:tcPr>
          <w:p w14:paraId="37A56C1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6030F40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510E2C1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83 476 978</w:t>
            </w:r>
          </w:p>
        </w:tc>
      </w:tr>
      <w:tr w:rsidR="000F6C00" w:rsidRPr="00E56E24" w14:paraId="1772DAA4" w14:textId="77777777" w:rsidTr="00C404D5">
        <w:trPr>
          <w:trHeight w:val="255"/>
        </w:trPr>
        <w:tc>
          <w:tcPr>
            <w:tcW w:w="4409" w:type="dxa"/>
            <w:noWrap/>
            <w:hideMark/>
          </w:tcPr>
          <w:p w14:paraId="7983335D"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3956606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41BE60A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3F8F012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6C2CBD4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0B66A49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7BC4ED2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4CC9CE4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74FB31C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63B0F9F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133B509D" w14:textId="77777777" w:rsidTr="00C404D5">
        <w:trPr>
          <w:trHeight w:val="255"/>
        </w:trPr>
        <w:tc>
          <w:tcPr>
            <w:tcW w:w="4409" w:type="dxa"/>
            <w:noWrap/>
            <w:hideMark/>
          </w:tcPr>
          <w:p w14:paraId="2C3A91D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Slimības pabalsts</w:t>
            </w:r>
          </w:p>
        </w:tc>
        <w:tc>
          <w:tcPr>
            <w:tcW w:w="973" w:type="dxa"/>
            <w:noWrap/>
            <w:hideMark/>
          </w:tcPr>
          <w:p w14:paraId="5DFA54F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1 559,74</w:t>
            </w:r>
          </w:p>
        </w:tc>
        <w:tc>
          <w:tcPr>
            <w:tcW w:w="1147" w:type="dxa"/>
            <w:noWrap/>
            <w:hideMark/>
          </w:tcPr>
          <w:p w14:paraId="6799D8A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603</w:t>
            </w:r>
          </w:p>
        </w:tc>
        <w:tc>
          <w:tcPr>
            <w:tcW w:w="1114" w:type="dxa"/>
            <w:noWrap/>
            <w:hideMark/>
          </w:tcPr>
          <w:p w14:paraId="141A3BF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11 286 244</w:t>
            </w:r>
          </w:p>
        </w:tc>
        <w:tc>
          <w:tcPr>
            <w:tcW w:w="973" w:type="dxa"/>
            <w:noWrap/>
            <w:hideMark/>
          </w:tcPr>
          <w:p w14:paraId="4D7C3C4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1 669,18</w:t>
            </w:r>
          </w:p>
        </w:tc>
        <w:tc>
          <w:tcPr>
            <w:tcW w:w="1048" w:type="dxa"/>
            <w:noWrap/>
            <w:hideMark/>
          </w:tcPr>
          <w:p w14:paraId="3220D10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658</w:t>
            </w:r>
          </w:p>
        </w:tc>
        <w:tc>
          <w:tcPr>
            <w:tcW w:w="1164" w:type="dxa"/>
            <w:noWrap/>
            <w:hideMark/>
          </w:tcPr>
          <w:p w14:paraId="2FFEADB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13 179 874</w:t>
            </w:r>
          </w:p>
        </w:tc>
        <w:tc>
          <w:tcPr>
            <w:tcW w:w="973" w:type="dxa"/>
            <w:noWrap/>
            <w:hideMark/>
          </w:tcPr>
          <w:p w14:paraId="585C031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1 751,68</w:t>
            </w:r>
          </w:p>
        </w:tc>
        <w:tc>
          <w:tcPr>
            <w:tcW w:w="995" w:type="dxa"/>
            <w:noWrap/>
            <w:hideMark/>
          </w:tcPr>
          <w:p w14:paraId="5CEFD54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658</w:t>
            </w:r>
          </w:p>
        </w:tc>
        <w:tc>
          <w:tcPr>
            <w:tcW w:w="1197" w:type="dxa"/>
            <w:noWrap/>
            <w:hideMark/>
          </w:tcPr>
          <w:p w14:paraId="77D721D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13 831 294</w:t>
            </w:r>
          </w:p>
        </w:tc>
      </w:tr>
      <w:tr w:rsidR="000F6C00" w:rsidRPr="00E56E24" w14:paraId="54799488" w14:textId="77777777" w:rsidTr="00C404D5">
        <w:trPr>
          <w:trHeight w:val="255"/>
        </w:trPr>
        <w:tc>
          <w:tcPr>
            <w:tcW w:w="4409" w:type="dxa"/>
            <w:noWrap/>
            <w:hideMark/>
          </w:tcPr>
          <w:p w14:paraId="6590606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Atlīdzība par darbspēju zaudējumu</w:t>
            </w:r>
          </w:p>
        </w:tc>
        <w:tc>
          <w:tcPr>
            <w:tcW w:w="973" w:type="dxa"/>
            <w:noWrap/>
            <w:hideMark/>
          </w:tcPr>
          <w:p w14:paraId="6ECEAF7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381,02</w:t>
            </w:r>
          </w:p>
        </w:tc>
        <w:tc>
          <w:tcPr>
            <w:tcW w:w="1147" w:type="dxa"/>
            <w:noWrap/>
            <w:hideMark/>
          </w:tcPr>
          <w:p w14:paraId="0A2F8CC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11 636</w:t>
            </w:r>
          </w:p>
        </w:tc>
        <w:tc>
          <w:tcPr>
            <w:tcW w:w="1114" w:type="dxa"/>
            <w:noWrap/>
            <w:hideMark/>
          </w:tcPr>
          <w:p w14:paraId="5D39837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53 203 041</w:t>
            </w:r>
          </w:p>
        </w:tc>
        <w:tc>
          <w:tcPr>
            <w:tcW w:w="973" w:type="dxa"/>
            <w:noWrap/>
            <w:hideMark/>
          </w:tcPr>
          <w:p w14:paraId="0274604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403,52</w:t>
            </w:r>
          </w:p>
        </w:tc>
        <w:tc>
          <w:tcPr>
            <w:tcW w:w="1048" w:type="dxa"/>
            <w:noWrap/>
            <w:hideMark/>
          </w:tcPr>
          <w:p w14:paraId="459DDED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12 336</w:t>
            </w:r>
          </w:p>
        </w:tc>
        <w:tc>
          <w:tcPr>
            <w:tcW w:w="1164" w:type="dxa"/>
            <w:noWrap/>
            <w:hideMark/>
          </w:tcPr>
          <w:p w14:paraId="547B3C5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59 733 193</w:t>
            </w:r>
          </w:p>
        </w:tc>
        <w:tc>
          <w:tcPr>
            <w:tcW w:w="973" w:type="dxa"/>
            <w:noWrap/>
            <w:hideMark/>
          </w:tcPr>
          <w:p w14:paraId="16C6E31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427,72</w:t>
            </w:r>
          </w:p>
        </w:tc>
        <w:tc>
          <w:tcPr>
            <w:tcW w:w="995" w:type="dxa"/>
            <w:noWrap/>
            <w:hideMark/>
          </w:tcPr>
          <w:p w14:paraId="670200F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13 076</w:t>
            </w:r>
          </w:p>
        </w:tc>
        <w:tc>
          <w:tcPr>
            <w:tcW w:w="1197" w:type="dxa"/>
            <w:noWrap/>
            <w:hideMark/>
          </w:tcPr>
          <w:p w14:paraId="52EC760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67 113 869</w:t>
            </w:r>
          </w:p>
        </w:tc>
      </w:tr>
      <w:tr w:rsidR="000F6C00" w:rsidRPr="00E56E24" w14:paraId="620490A5" w14:textId="77777777" w:rsidTr="00C404D5">
        <w:trPr>
          <w:trHeight w:val="255"/>
        </w:trPr>
        <w:tc>
          <w:tcPr>
            <w:tcW w:w="4409" w:type="dxa"/>
            <w:noWrap/>
            <w:hideMark/>
          </w:tcPr>
          <w:p w14:paraId="57440E0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Atlīdzība par apgādnieka zaudējumu</w:t>
            </w:r>
          </w:p>
        </w:tc>
        <w:tc>
          <w:tcPr>
            <w:tcW w:w="973" w:type="dxa"/>
            <w:noWrap/>
            <w:hideMark/>
          </w:tcPr>
          <w:p w14:paraId="68DA2C1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378,30</w:t>
            </w:r>
          </w:p>
        </w:tc>
        <w:tc>
          <w:tcPr>
            <w:tcW w:w="1147" w:type="dxa"/>
            <w:noWrap/>
            <w:hideMark/>
          </w:tcPr>
          <w:p w14:paraId="14D9F4C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66</w:t>
            </w:r>
          </w:p>
        </w:tc>
        <w:tc>
          <w:tcPr>
            <w:tcW w:w="1114" w:type="dxa"/>
            <w:noWrap/>
            <w:hideMark/>
          </w:tcPr>
          <w:p w14:paraId="089127C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299 614</w:t>
            </w:r>
          </w:p>
        </w:tc>
        <w:tc>
          <w:tcPr>
            <w:tcW w:w="973" w:type="dxa"/>
            <w:noWrap/>
            <w:hideMark/>
          </w:tcPr>
          <w:p w14:paraId="43AFC5D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400,07</w:t>
            </w:r>
          </w:p>
        </w:tc>
        <w:tc>
          <w:tcPr>
            <w:tcW w:w="1048" w:type="dxa"/>
            <w:noWrap/>
            <w:hideMark/>
          </w:tcPr>
          <w:p w14:paraId="494502E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67</w:t>
            </w:r>
          </w:p>
        </w:tc>
        <w:tc>
          <w:tcPr>
            <w:tcW w:w="1164" w:type="dxa"/>
            <w:noWrap/>
            <w:hideMark/>
          </w:tcPr>
          <w:p w14:paraId="778D03D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321 656</w:t>
            </w:r>
          </w:p>
        </w:tc>
        <w:tc>
          <w:tcPr>
            <w:tcW w:w="973" w:type="dxa"/>
            <w:noWrap/>
            <w:hideMark/>
          </w:tcPr>
          <w:p w14:paraId="77D8A06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423,95</w:t>
            </w:r>
          </w:p>
        </w:tc>
        <w:tc>
          <w:tcPr>
            <w:tcW w:w="995" w:type="dxa"/>
            <w:noWrap/>
            <w:hideMark/>
          </w:tcPr>
          <w:p w14:paraId="4C8F494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68</w:t>
            </w:r>
          </w:p>
        </w:tc>
        <w:tc>
          <w:tcPr>
            <w:tcW w:w="1197" w:type="dxa"/>
            <w:noWrap/>
            <w:hideMark/>
          </w:tcPr>
          <w:p w14:paraId="2FFB980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345 940</w:t>
            </w:r>
          </w:p>
        </w:tc>
      </w:tr>
      <w:tr w:rsidR="000F6C00" w:rsidRPr="00E56E24" w14:paraId="657C209F" w14:textId="77777777" w:rsidTr="00C404D5">
        <w:trPr>
          <w:trHeight w:val="255"/>
        </w:trPr>
        <w:tc>
          <w:tcPr>
            <w:tcW w:w="4409" w:type="dxa"/>
            <w:noWrap/>
            <w:hideMark/>
          </w:tcPr>
          <w:p w14:paraId="642E020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Apbedīšanas pabalsts</w:t>
            </w:r>
          </w:p>
        </w:tc>
        <w:tc>
          <w:tcPr>
            <w:tcW w:w="973" w:type="dxa"/>
            <w:noWrap/>
            <w:hideMark/>
          </w:tcPr>
          <w:p w14:paraId="54118D1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1 352,52</w:t>
            </w:r>
          </w:p>
        </w:tc>
        <w:tc>
          <w:tcPr>
            <w:tcW w:w="1147" w:type="dxa"/>
            <w:noWrap/>
            <w:hideMark/>
          </w:tcPr>
          <w:p w14:paraId="405E28B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w:t>
            </w:r>
          </w:p>
        </w:tc>
        <w:tc>
          <w:tcPr>
            <w:tcW w:w="1114" w:type="dxa"/>
            <w:noWrap/>
            <w:hideMark/>
          </w:tcPr>
          <w:p w14:paraId="774D806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64 921</w:t>
            </w:r>
          </w:p>
        </w:tc>
        <w:tc>
          <w:tcPr>
            <w:tcW w:w="973" w:type="dxa"/>
            <w:noWrap/>
            <w:hideMark/>
          </w:tcPr>
          <w:p w14:paraId="73449E0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1 495,31</w:t>
            </w:r>
          </w:p>
        </w:tc>
        <w:tc>
          <w:tcPr>
            <w:tcW w:w="1048" w:type="dxa"/>
            <w:noWrap/>
            <w:hideMark/>
          </w:tcPr>
          <w:p w14:paraId="2A704B7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w:t>
            </w:r>
          </w:p>
        </w:tc>
        <w:tc>
          <w:tcPr>
            <w:tcW w:w="1164" w:type="dxa"/>
            <w:noWrap/>
            <w:hideMark/>
          </w:tcPr>
          <w:p w14:paraId="310AE52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71 775</w:t>
            </w:r>
          </w:p>
        </w:tc>
        <w:tc>
          <w:tcPr>
            <w:tcW w:w="973" w:type="dxa"/>
            <w:noWrap/>
            <w:hideMark/>
          </w:tcPr>
          <w:p w14:paraId="0A04C38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1 654,38</w:t>
            </w:r>
          </w:p>
        </w:tc>
        <w:tc>
          <w:tcPr>
            <w:tcW w:w="995" w:type="dxa"/>
            <w:noWrap/>
            <w:hideMark/>
          </w:tcPr>
          <w:p w14:paraId="73CD259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w:t>
            </w:r>
          </w:p>
        </w:tc>
        <w:tc>
          <w:tcPr>
            <w:tcW w:w="1197" w:type="dxa"/>
            <w:noWrap/>
            <w:hideMark/>
          </w:tcPr>
          <w:p w14:paraId="202924F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79 410</w:t>
            </w:r>
          </w:p>
        </w:tc>
      </w:tr>
      <w:tr w:rsidR="000F6C00" w:rsidRPr="00E56E24" w14:paraId="1145EEB3" w14:textId="77777777" w:rsidTr="00C404D5">
        <w:trPr>
          <w:trHeight w:val="255"/>
        </w:trPr>
        <w:tc>
          <w:tcPr>
            <w:tcW w:w="4409" w:type="dxa"/>
            <w:noWrap/>
            <w:hideMark/>
          </w:tcPr>
          <w:p w14:paraId="65FC6E7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Pārējie pabalsti</w:t>
            </w:r>
          </w:p>
        </w:tc>
        <w:tc>
          <w:tcPr>
            <w:tcW w:w="973" w:type="dxa"/>
            <w:noWrap/>
            <w:hideMark/>
          </w:tcPr>
          <w:p w14:paraId="2027C5D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275,05</w:t>
            </w:r>
          </w:p>
        </w:tc>
        <w:tc>
          <w:tcPr>
            <w:tcW w:w="1147" w:type="dxa"/>
            <w:noWrap/>
            <w:hideMark/>
          </w:tcPr>
          <w:p w14:paraId="30DDC2C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537</w:t>
            </w:r>
          </w:p>
        </w:tc>
        <w:tc>
          <w:tcPr>
            <w:tcW w:w="1114" w:type="dxa"/>
            <w:noWrap/>
            <w:hideMark/>
          </w:tcPr>
          <w:p w14:paraId="4686989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1 772 415</w:t>
            </w:r>
          </w:p>
        </w:tc>
        <w:tc>
          <w:tcPr>
            <w:tcW w:w="973" w:type="dxa"/>
            <w:noWrap/>
            <w:hideMark/>
          </w:tcPr>
          <w:p w14:paraId="3499F26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290,90</w:t>
            </w:r>
          </w:p>
        </w:tc>
        <w:tc>
          <w:tcPr>
            <w:tcW w:w="1048" w:type="dxa"/>
            <w:noWrap/>
            <w:hideMark/>
          </w:tcPr>
          <w:p w14:paraId="10F5A08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553</w:t>
            </w:r>
          </w:p>
        </w:tc>
        <w:tc>
          <w:tcPr>
            <w:tcW w:w="1164" w:type="dxa"/>
            <w:noWrap/>
            <w:hideMark/>
          </w:tcPr>
          <w:p w14:paraId="3A1B401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1 930 440</w:t>
            </w:r>
          </w:p>
        </w:tc>
        <w:tc>
          <w:tcPr>
            <w:tcW w:w="973" w:type="dxa"/>
            <w:noWrap/>
            <w:hideMark/>
          </w:tcPr>
          <w:p w14:paraId="42769A4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307,96</w:t>
            </w:r>
          </w:p>
        </w:tc>
        <w:tc>
          <w:tcPr>
            <w:tcW w:w="995" w:type="dxa"/>
            <w:noWrap/>
            <w:hideMark/>
          </w:tcPr>
          <w:p w14:paraId="5B09938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570</w:t>
            </w:r>
          </w:p>
        </w:tc>
        <w:tc>
          <w:tcPr>
            <w:tcW w:w="1197" w:type="dxa"/>
            <w:noWrap/>
            <w:hideMark/>
          </w:tcPr>
          <w:p w14:paraId="196D4D9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2 106 465</w:t>
            </w:r>
          </w:p>
        </w:tc>
      </w:tr>
      <w:tr w:rsidR="000F6C00" w:rsidRPr="00E56E24" w14:paraId="35549272" w14:textId="77777777" w:rsidTr="00C404D5">
        <w:trPr>
          <w:trHeight w:val="300"/>
        </w:trPr>
        <w:tc>
          <w:tcPr>
            <w:tcW w:w="4409" w:type="dxa"/>
            <w:hideMark/>
          </w:tcPr>
          <w:p w14:paraId="42E30AE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budžeta maksājumi - kopā</w:t>
            </w:r>
          </w:p>
        </w:tc>
        <w:tc>
          <w:tcPr>
            <w:tcW w:w="973" w:type="dxa"/>
            <w:noWrap/>
            <w:hideMark/>
          </w:tcPr>
          <w:p w14:paraId="1B2599B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0C86762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1D70190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9 630</w:t>
            </w:r>
          </w:p>
        </w:tc>
        <w:tc>
          <w:tcPr>
            <w:tcW w:w="973" w:type="dxa"/>
            <w:noWrap/>
            <w:hideMark/>
          </w:tcPr>
          <w:p w14:paraId="707DE1D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284EA27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6BBB9EA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7 922</w:t>
            </w:r>
          </w:p>
        </w:tc>
        <w:tc>
          <w:tcPr>
            <w:tcW w:w="973" w:type="dxa"/>
            <w:noWrap/>
            <w:hideMark/>
          </w:tcPr>
          <w:p w14:paraId="17C223F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0DEA96A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7BA2F31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7 922</w:t>
            </w:r>
          </w:p>
        </w:tc>
      </w:tr>
      <w:tr w:rsidR="000F6C00" w:rsidRPr="00E56E24" w14:paraId="73E9BB96" w14:textId="77777777" w:rsidTr="00C404D5">
        <w:trPr>
          <w:trHeight w:val="255"/>
        </w:trPr>
        <w:tc>
          <w:tcPr>
            <w:tcW w:w="4409" w:type="dxa"/>
            <w:noWrap/>
            <w:hideMark/>
          </w:tcPr>
          <w:p w14:paraId="0882F835"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2378C61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6B54737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21DD7F0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495F2CB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6344893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5751813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6CD6DA3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097E7BE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5462F8A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46107859" w14:textId="77777777" w:rsidTr="00C404D5">
        <w:trPr>
          <w:trHeight w:val="255"/>
        </w:trPr>
        <w:tc>
          <w:tcPr>
            <w:tcW w:w="4409" w:type="dxa"/>
            <w:noWrap/>
            <w:hideMark/>
          </w:tcPr>
          <w:p w14:paraId="68CE6E0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    Pārmaksāto sociālās apdrošināšanas iemaksu atmaksa</w:t>
            </w:r>
          </w:p>
        </w:tc>
        <w:tc>
          <w:tcPr>
            <w:tcW w:w="973" w:type="dxa"/>
            <w:noWrap/>
            <w:hideMark/>
          </w:tcPr>
          <w:p w14:paraId="52605BE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55B2D12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480EF1B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7 630</w:t>
            </w:r>
          </w:p>
        </w:tc>
        <w:tc>
          <w:tcPr>
            <w:tcW w:w="973" w:type="dxa"/>
            <w:noWrap/>
            <w:hideMark/>
          </w:tcPr>
          <w:p w14:paraId="005C52A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70DA86B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0A6FC68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5 922</w:t>
            </w:r>
          </w:p>
        </w:tc>
        <w:tc>
          <w:tcPr>
            <w:tcW w:w="973" w:type="dxa"/>
            <w:noWrap/>
            <w:hideMark/>
          </w:tcPr>
          <w:p w14:paraId="7D1EC31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202F11B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48C8451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5 922</w:t>
            </w:r>
          </w:p>
        </w:tc>
      </w:tr>
      <w:tr w:rsidR="000F6C00" w:rsidRPr="00E56E24" w14:paraId="476054AF" w14:textId="77777777" w:rsidTr="00C404D5">
        <w:trPr>
          <w:trHeight w:val="510"/>
        </w:trPr>
        <w:tc>
          <w:tcPr>
            <w:tcW w:w="4409" w:type="dxa"/>
            <w:hideMark/>
          </w:tcPr>
          <w:p w14:paraId="00E5D01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       Eiropas Savienības pensiju shēmai pārskaitītais pensijas </w:t>
            </w:r>
            <w:r w:rsidRPr="00E56E24">
              <w:rPr>
                <w:rFonts w:ascii="Times New Roman" w:eastAsia="Times New Roman" w:hAnsi="Times New Roman" w:cs="Times New Roman"/>
                <w:sz w:val="20"/>
                <w:szCs w:val="20"/>
              </w:rPr>
              <w:br/>
              <w:t xml:space="preserve">       kapitāls</w:t>
            </w:r>
          </w:p>
        </w:tc>
        <w:tc>
          <w:tcPr>
            <w:tcW w:w="973" w:type="dxa"/>
            <w:noWrap/>
            <w:hideMark/>
          </w:tcPr>
          <w:p w14:paraId="0B6DC3F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0D030BD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48E9C57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2 000</w:t>
            </w:r>
          </w:p>
        </w:tc>
        <w:tc>
          <w:tcPr>
            <w:tcW w:w="973" w:type="dxa"/>
            <w:noWrap/>
            <w:hideMark/>
          </w:tcPr>
          <w:p w14:paraId="4B48D7E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448EC81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349E6BF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2 000</w:t>
            </w:r>
          </w:p>
        </w:tc>
        <w:tc>
          <w:tcPr>
            <w:tcW w:w="973" w:type="dxa"/>
            <w:noWrap/>
            <w:hideMark/>
          </w:tcPr>
          <w:p w14:paraId="3CA11EF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0C2D34E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3D537FF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2 000</w:t>
            </w:r>
          </w:p>
        </w:tc>
      </w:tr>
      <w:tr w:rsidR="000F6C00" w:rsidRPr="00E56E24" w14:paraId="5B9170A3" w14:textId="77777777" w:rsidTr="00C404D5">
        <w:trPr>
          <w:trHeight w:val="585"/>
        </w:trPr>
        <w:tc>
          <w:tcPr>
            <w:tcW w:w="4409" w:type="dxa"/>
            <w:hideMark/>
          </w:tcPr>
          <w:p w14:paraId="559D9B62"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04.04.00 Invaliditātes, maternitātes un slimības speciālais budžets</w:t>
            </w:r>
          </w:p>
        </w:tc>
        <w:tc>
          <w:tcPr>
            <w:tcW w:w="973" w:type="dxa"/>
            <w:noWrap/>
            <w:hideMark/>
          </w:tcPr>
          <w:p w14:paraId="1A5EE854"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47" w:type="dxa"/>
            <w:noWrap/>
            <w:hideMark/>
          </w:tcPr>
          <w:p w14:paraId="46039D4E"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14" w:type="dxa"/>
            <w:noWrap/>
            <w:hideMark/>
          </w:tcPr>
          <w:p w14:paraId="13B69B6C"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636 393 690</w:t>
            </w:r>
          </w:p>
        </w:tc>
        <w:tc>
          <w:tcPr>
            <w:tcW w:w="973" w:type="dxa"/>
            <w:noWrap/>
            <w:hideMark/>
          </w:tcPr>
          <w:p w14:paraId="5F7528CB"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048" w:type="dxa"/>
            <w:noWrap/>
            <w:hideMark/>
          </w:tcPr>
          <w:p w14:paraId="2CAAD42E"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64" w:type="dxa"/>
            <w:noWrap/>
            <w:hideMark/>
          </w:tcPr>
          <w:p w14:paraId="309AB9C9"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668 995 120</w:t>
            </w:r>
          </w:p>
        </w:tc>
        <w:tc>
          <w:tcPr>
            <w:tcW w:w="973" w:type="dxa"/>
            <w:noWrap/>
            <w:hideMark/>
          </w:tcPr>
          <w:p w14:paraId="3AD61C07"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995" w:type="dxa"/>
            <w:noWrap/>
            <w:hideMark/>
          </w:tcPr>
          <w:p w14:paraId="42FE0160"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97" w:type="dxa"/>
            <w:noWrap/>
            <w:hideMark/>
          </w:tcPr>
          <w:p w14:paraId="258788A2"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699 480 972</w:t>
            </w:r>
          </w:p>
        </w:tc>
      </w:tr>
      <w:tr w:rsidR="000F6C00" w:rsidRPr="00E56E24" w14:paraId="0F5C7118" w14:textId="77777777" w:rsidTr="00C404D5">
        <w:trPr>
          <w:trHeight w:val="300"/>
        </w:trPr>
        <w:tc>
          <w:tcPr>
            <w:tcW w:w="4409" w:type="dxa"/>
            <w:noWrap/>
            <w:hideMark/>
          </w:tcPr>
          <w:p w14:paraId="759B097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pensijas – kopā</w:t>
            </w:r>
          </w:p>
        </w:tc>
        <w:tc>
          <w:tcPr>
            <w:tcW w:w="973" w:type="dxa"/>
            <w:noWrap/>
            <w:hideMark/>
          </w:tcPr>
          <w:p w14:paraId="57C7C5F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26019DF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271610C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214 840 161</w:t>
            </w:r>
          </w:p>
        </w:tc>
        <w:tc>
          <w:tcPr>
            <w:tcW w:w="973" w:type="dxa"/>
            <w:noWrap/>
            <w:hideMark/>
          </w:tcPr>
          <w:p w14:paraId="148D97E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17093FF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58E72E9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226 803 074</w:t>
            </w:r>
          </w:p>
        </w:tc>
        <w:tc>
          <w:tcPr>
            <w:tcW w:w="973" w:type="dxa"/>
            <w:noWrap/>
            <w:hideMark/>
          </w:tcPr>
          <w:p w14:paraId="37F3EEA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2416C67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18C9C37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240 269 163</w:t>
            </w:r>
          </w:p>
        </w:tc>
      </w:tr>
      <w:tr w:rsidR="000F6C00" w:rsidRPr="00E56E24" w14:paraId="0DDFE303" w14:textId="77777777" w:rsidTr="00C404D5">
        <w:trPr>
          <w:trHeight w:val="300"/>
        </w:trPr>
        <w:tc>
          <w:tcPr>
            <w:tcW w:w="4409" w:type="dxa"/>
            <w:noWrap/>
            <w:hideMark/>
          </w:tcPr>
          <w:p w14:paraId="686B566C"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78DF499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47" w:type="dxa"/>
            <w:noWrap/>
            <w:hideMark/>
          </w:tcPr>
          <w:p w14:paraId="2918312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14" w:type="dxa"/>
            <w:noWrap/>
            <w:hideMark/>
          </w:tcPr>
          <w:p w14:paraId="2023721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0ADC1DD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048" w:type="dxa"/>
            <w:noWrap/>
            <w:hideMark/>
          </w:tcPr>
          <w:p w14:paraId="397294C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64" w:type="dxa"/>
            <w:noWrap/>
            <w:hideMark/>
          </w:tcPr>
          <w:p w14:paraId="7BC1986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4D00EE5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95" w:type="dxa"/>
            <w:noWrap/>
            <w:hideMark/>
          </w:tcPr>
          <w:p w14:paraId="37C4D66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1197" w:type="dxa"/>
            <w:noWrap/>
            <w:hideMark/>
          </w:tcPr>
          <w:p w14:paraId="1562E46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66BEE300" w14:textId="77777777" w:rsidTr="00C404D5">
        <w:trPr>
          <w:trHeight w:val="300"/>
        </w:trPr>
        <w:tc>
          <w:tcPr>
            <w:tcW w:w="4409" w:type="dxa"/>
            <w:noWrap/>
            <w:hideMark/>
          </w:tcPr>
          <w:p w14:paraId="61149D0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Invaliditātes pensijas</w:t>
            </w:r>
          </w:p>
        </w:tc>
        <w:tc>
          <w:tcPr>
            <w:tcW w:w="973" w:type="dxa"/>
            <w:noWrap/>
            <w:hideMark/>
          </w:tcPr>
          <w:p w14:paraId="6ED9764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240,35</w:t>
            </w:r>
          </w:p>
        </w:tc>
        <w:tc>
          <w:tcPr>
            <w:tcW w:w="1147" w:type="dxa"/>
            <w:noWrap/>
            <w:hideMark/>
          </w:tcPr>
          <w:p w14:paraId="279A6B7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74 086</w:t>
            </w:r>
          </w:p>
        </w:tc>
        <w:tc>
          <w:tcPr>
            <w:tcW w:w="1114" w:type="dxa"/>
            <w:noWrap/>
            <w:hideMark/>
          </w:tcPr>
          <w:p w14:paraId="6A1A662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213 682 810</w:t>
            </w:r>
          </w:p>
        </w:tc>
        <w:tc>
          <w:tcPr>
            <w:tcW w:w="973" w:type="dxa"/>
            <w:noWrap/>
            <w:hideMark/>
          </w:tcPr>
          <w:p w14:paraId="11CE253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251,30</w:t>
            </w:r>
          </w:p>
        </w:tc>
        <w:tc>
          <w:tcPr>
            <w:tcW w:w="1048" w:type="dxa"/>
            <w:noWrap/>
            <w:hideMark/>
          </w:tcPr>
          <w:p w14:paraId="2C774FA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74 828</w:t>
            </w:r>
          </w:p>
        </w:tc>
        <w:tc>
          <w:tcPr>
            <w:tcW w:w="1164" w:type="dxa"/>
            <w:noWrap/>
            <w:hideMark/>
          </w:tcPr>
          <w:p w14:paraId="78389AB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225 651 412</w:t>
            </w:r>
          </w:p>
        </w:tc>
        <w:tc>
          <w:tcPr>
            <w:tcW w:w="973" w:type="dxa"/>
            <w:noWrap/>
            <w:hideMark/>
          </w:tcPr>
          <w:p w14:paraId="2E94CD9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263,64</w:t>
            </w:r>
          </w:p>
        </w:tc>
        <w:tc>
          <w:tcPr>
            <w:tcW w:w="995" w:type="dxa"/>
            <w:noWrap/>
            <w:hideMark/>
          </w:tcPr>
          <w:p w14:paraId="1D9F71E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75 582</w:t>
            </w:r>
          </w:p>
        </w:tc>
        <w:tc>
          <w:tcPr>
            <w:tcW w:w="1197" w:type="dxa"/>
            <w:noWrap/>
            <w:hideMark/>
          </w:tcPr>
          <w:p w14:paraId="08E2255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239 115 514</w:t>
            </w:r>
          </w:p>
        </w:tc>
      </w:tr>
      <w:tr w:rsidR="000F6C00" w:rsidRPr="00E56E24" w14:paraId="0A9E93E4" w14:textId="77777777" w:rsidTr="00C404D5">
        <w:trPr>
          <w:trHeight w:val="300"/>
        </w:trPr>
        <w:tc>
          <w:tcPr>
            <w:tcW w:w="4409" w:type="dxa"/>
            <w:noWrap/>
            <w:hideMark/>
          </w:tcPr>
          <w:p w14:paraId="44176EE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Pensijas saskaņā ar speciāliem lēmumiem</w:t>
            </w:r>
          </w:p>
        </w:tc>
        <w:tc>
          <w:tcPr>
            <w:tcW w:w="973" w:type="dxa"/>
            <w:noWrap/>
            <w:hideMark/>
          </w:tcPr>
          <w:p w14:paraId="5205C5E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86,81</w:t>
            </w:r>
          </w:p>
        </w:tc>
        <w:tc>
          <w:tcPr>
            <w:tcW w:w="1147" w:type="dxa"/>
            <w:noWrap/>
            <w:hideMark/>
          </w:tcPr>
          <w:p w14:paraId="42869ED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1 111</w:t>
            </w:r>
          </w:p>
        </w:tc>
        <w:tc>
          <w:tcPr>
            <w:tcW w:w="1114" w:type="dxa"/>
            <w:noWrap/>
            <w:hideMark/>
          </w:tcPr>
          <w:p w14:paraId="4188691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1 157 351</w:t>
            </w:r>
          </w:p>
        </w:tc>
        <w:tc>
          <w:tcPr>
            <w:tcW w:w="973" w:type="dxa"/>
            <w:noWrap/>
            <w:hideMark/>
          </w:tcPr>
          <w:p w14:paraId="29352A3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97,63</w:t>
            </w:r>
          </w:p>
        </w:tc>
        <w:tc>
          <w:tcPr>
            <w:tcW w:w="1048" w:type="dxa"/>
            <w:noWrap/>
            <w:hideMark/>
          </w:tcPr>
          <w:p w14:paraId="77A07D8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983</w:t>
            </w:r>
          </w:p>
        </w:tc>
        <w:tc>
          <w:tcPr>
            <w:tcW w:w="1164" w:type="dxa"/>
            <w:noWrap/>
            <w:hideMark/>
          </w:tcPr>
          <w:p w14:paraId="62FC9B2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1 151 662</w:t>
            </w:r>
          </w:p>
        </w:tc>
        <w:tc>
          <w:tcPr>
            <w:tcW w:w="973" w:type="dxa"/>
            <w:noWrap/>
            <w:hideMark/>
          </w:tcPr>
          <w:p w14:paraId="0FDA065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110,50</w:t>
            </w:r>
          </w:p>
        </w:tc>
        <w:tc>
          <w:tcPr>
            <w:tcW w:w="995" w:type="dxa"/>
            <w:noWrap/>
            <w:hideMark/>
          </w:tcPr>
          <w:p w14:paraId="3A32B84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870</w:t>
            </w:r>
          </w:p>
        </w:tc>
        <w:tc>
          <w:tcPr>
            <w:tcW w:w="1197" w:type="dxa"/>
            <w:noWrap/>
            <w:hideMark/>
          </w:tcPr>
          <w:p w14:paraId="46D5941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1 153 649</w:t>
            </w:r>
          </w:p>
        </w:tc>
      </w:tr>
      <w:tr w:rsidR="000F6C00" w:rsidRPr="00E56E24" w14:paraId="4F5301FB" w14:textId="77777777" w:rsidTr="00C404D5">
        <w:trPr>
          <w:trHeight w:val="300"/>
        </w:trPr>
        <w:tc>
          <w:tcPr>
            <w:tcW w:w="4409" w:type="dxa"/>
            <w:noWrap/>
            <w:hideMark/>
          </w:tcPr>
          <w:p w14:paraId="009C566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sociālās apdrošināšanas pabalsti naudā – kopā</w:t>
            </w:r>
          </w:p>
        </w:tc>
        <w:tc>
          <w:tcPr>
            <w:tcW w:w="973" w:type="dxa"/>
            <w:noWrap/>
            <w:hideMark/>
          </w:tcPr>
          <w:p w14:paraId="08AAF58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2199DC3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26A0FFD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421 454 117</w:t>
            </w:r>
          </w:p>
        </w:tc>
        <w:tc>
          <w:tcPr>
            <w:tcW w:w="973" w:type="dxa"/>
            <w:noWrap/>
            <w:hideMark/>
          </w:tcPr>
          <w:p w14:paraId="098451A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343D7B1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35A8673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442 091 609</w:t>
            </w:r>
          </w:p>
        </w:tc>
        <w:tc>
          <w:tcPr>
            <w:tcW w:w="973" w:type="dxa"/>
            <w:noWrap/>
            <w:hideMark/>
          </w:tcPr>
          <w:p w14:paraId="188C146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50F7F27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531E5FE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459 111 372</w:t>
            </w:r>
          </w:p>
        </w:tc>
      </w:tr>
      <w:tr w:rsidR="000F6C00" w:rsidRPr="00E56E24" w14:paraId="6FAA5AD2" w14:textId="77777777" w:rsidTr="00C404D5">
        <w:trPr>
          <w:trHeight w:val="300"/>
        </w:trPr>
        <w:tc>
          <w:tcPr>
            <w:tcW w:w="4409" w:type="dxa"/>
            <w:noWrap/>
            <w:hideMark/>
          </w:tcPr>
          <w:p w14:paraId="3E7FCFD4"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4854C318"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47" w:type="dxa"/>
            <w:noWrap/>
            <w:hideMark/>
          </w:tcPr>
          <w:p w14:paraId="76CD49B4"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14" w:type="dxa"/>
            <w:noWrap/>
            <w:hideMark/>
          </w:tcPr>
          <w:p w14:paraId="3C91845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358FB4EF"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048" w:type="dxa"/>
            <w:noWrap/>
            <w:hideMark/>
          </w:tcPr>
          <w:p w14:paraId="651D03CC"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64" w:type="dxa"/>
            <w:noWrap/>
            <w:hideMark/>
          </w:tcPr>
          <w:p w14:paraId="2527942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7A6C9833"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995" w:type="dxa"/>
            <w:noWrap/>
            <w:hideMark/>
          </w:tcPr>
          <w:p w14:paraId="3317E785"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97" w:type="dxa"/>
            <w:noWrap/>
            <w:hideMark/>
          </w:tcPr>
          <w:p w14:paraId="3719B10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798F52C6" w14:textId="77777777" w:rsidTr="00C404D5">
        <w:trPr>
          <w:trHeight w:val="300"/>
        </w:trPr>
        <w:tc>
          <w:tcPr>
            <w:tcW w:w="4409" w:type="dxa"/>
            <w:noWrap/>
            <w:hideMark/>
          </w:tcPr>
          <w:p w14:paraId="756B2A5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Slimības pabalsts</w:t>
            </w:r>
          </w:p>
        </w:tc>
        <w:tc>
          <w:tcPr>
            <w:tcW w:w="973" w:type="dxa"/>
            <w:noWrap/>
            <w:hideMark/>
          </w:tcPr>
          <w:p w14:paraId="2B4435C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1 069,64</w:t>
            </w:r>
          </w:p>
        </w:tc>
        <w:tc>
          <w:tcPr>
            <w:tcW w:w="1147" w:type="dxa"/>
            <w:noWrap/>
            <w:hideMark/>
          </w:tcPr>
          <w:p w14:paraId="72CFFBF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17 906</w:t>
            </w:r>
          </w:p>
        </w:tc>
        <w:tc>
          <w:tcPr>
            <w:tcW w:w="1114" w:type="dxa"/>
            <w:noWrap/>
            <w:hideMark/>
          </w:tcPr>
          <w:p w14:paraId="3002296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229 834 629</w:t>
            </w:r>
          </w:p>
        </w:tc>
        <w:tc>
          <w:tcPr>
            <w:tcW w:w="973" w:type="dxa"/>
            <w:noWrap/>
            <w:hideMark/>
          </w:tcPr>
          <w:p w14:paraId="5DFBBCE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1 101,59</w:t>
            </w:r>
          </w:p>
        </w:tc>
        <w:tc>
          <w:tcPr>
            <w:tcW w:w="1048" w:type="dxa"/>
            <w:noWrap/>
            <w:hideMark/>
          </w:tcPr>
          <w:p w14:paraId="1D8B756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18 205</w:t>
            </w:r>
          </w:p>
        </w:tc>
        <w:tc>
          <w:tcPr>
            <w:tcW w:w="1164" w:type="dxa"/>
            <w:noWrap/>
            <w:hideMark/>
          </w:tcPr>
          <w:p w14:paraId="0A24288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240 654 238</w:t>
            </w:r>
          </w:p>
        </w:tc>
        <w:tc>
          <w:tcPr>
            <w:tcW w:w="973" w:type="dxa"/>
            <w:noWrap/>
            <w:hideMark/>
          </w:tcPr>
          <w:p w14:paraId="283334F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1 139,14</w:t>
            </w:r>
          </w:p>
        </w:tc>
        <w:tc>
          <w:tcPr>
            <w:tcW w:w="995" w:type="dxa"/>
            <w:noWrap/>
            <w:hideMark/>
          </w:tcPr>
          <w:p w14:paraId="4F836F2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18 097</w:t>
            </w:r>
          </w:p>
        </w:tc>
        <w:tc>
          <w:tcPr>
            <w:tcW w:w="1197" w:type="dxa"/>
            <w:noWrap/>
            <w:hideMark/>
          </w:tcPr>
          <w:p w14:paraId="004BDDF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247 380 362</w:t>
            </w:r>
          </w:p>
        </w:tc>
      </w:tr>
      <w:tr w:rsidR="000F6C00" w:rsidRPr="00E56E24" w14:paraId="15E7CAD0" w14:textId="77777777" w:rsidTr="00C404D5">
        <w:trPr>
          <w:trHeight w:val="300"/>
        </w:trPr>
        <w:tc>
          <w:tcPr>
            <w:tcW w:w="4409" w:type="dxa"/>
            <w:noWrap/>
            <w:hideMark/>
          </w:tcPr>
          <w:p w14:paraId="0A67746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Maternitātes pabalsts</w:t>
            </w:r>
          </w:p>
        </w:tc>
        <w:tc>
          <w:tcPr>
            <w:tcW w:w="973" w:type="dxa"/>
            <w:noWrap/>
            <w:hideMark/>
          </w:tcPr>
          <w:p w14:paraId="3DE9B96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3 260,33</w:t>
            </w:r>
          </w:p>
        </w:tc>
        <w:tc>
          <w:tcPr>
            <w:tcW w:w="1147" w:type="dxa"/>
            <w:noWrap/>
            <w:hideMark/>
          </w:tcPr>
          <w:p w14:paraId="4A79CB4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1 380</w:t>
            </w:r>
          </w:p>
        </w:tc>
        <w:tc>
          <w:tcPr>
            <w:tcW w:w="1114" w:type="dxa"/>
            <w:noWrap/>
            <w:hideMark/>
          </w:tcPr>
          <w:p w14:paraId="3D77509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53 991 065</w:t>
            </w:r>
          </w:p>
        </w:tc>
        <w:tc>
          <w:tcPr>
            <w:tcW w:w="973" w:type="dxa"/>
            <w:noWrap/>
            <w:hideMark/>
          </w:tcPr>
          <w:p w14:paraId="255C3BE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3 467,09</w:t>
            </w:r>
          </w:p>
        </w:tc>
        <w:tc>
          <w:tcPr>
            <w:tcW w:w="1048" w:type="dxa"/>
            <w:noWrap/>
            <w:hideMark/>
          </w:tcPr>
          <w:p w14:paraId="5E72CE7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1 380</w:t>
            </w:r>
          </w:p>
        </w:tc>
        <w:tc>
          <w:tcPr>
            <w:tcW w:w="1164" w:type="dxa"/>
            <w:noWrap/>
            <w:hideMark/>
          </w:tcPr>
          <w:p w14:paraId="75681C0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57 415 010</w:t>
            </w:r>
          </w:p>
        </w:tc>
        <w:tc>
          <w:tcPr>
            <w:tcW w:w="973" w:type="dxa"/>
            <w:noWrap/>
            <w:hideMark/>
          </w:tcPr>
          <w:p w14:paraId="3608F09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3 640,45</w:t>
            </w:r>
          </w:p>
        </w:tc>
        <w:tc>
          <w:tcPr>
            <w:tcW w:w="995" w:type="dxa"/>
            <w:noWrap/>
            <w:hideMark/>
          </w:tcPr>
          <w:p w14:paraId="1003CBC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1 380</w:t>
            </w:r>
          </w:p>
        </w:tc>
        <w:tc>
          <w:tcPr>
            <w:tcW w:w="1197" w:type="dxa"/>
            <w:noWrap/>
            <w:hideMark/>
          </w:tcPr>
          <w:p w14:paraId="7CAD0D6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60 285 852</w:t>
            </w:r>
          </w:p>
        </w:tc>
      </w:tr>
      <w:tr w:rsidR="000F6C00" w:rsidRPr="00E56E24" w14:paraId="291C3EDD" w14:textId="77777777" w:rsidTr="00C404D5">
        <w:trPr>
          <w:trHeight w:val="300"/>
        </w:trPr>
        <w:tc>
          <w:tcPr>
            <w:tcW w:w="4409" w:type="dxa"/>
            <w:noWrap/>
            <w:hideMark/>
          </w:tcPr>
          <w:p w14:paraId="785C4F6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Apbedīšanas pabalsts</w:t>
            </w:r>
          </w:p>
        </w:tc>
        <w:tc>
          <w:tcPr>
            <w:tcW w:w="973" w:type="dxa"/>
            <w:noWrap/>
            <w:hideMark/>
          </w:tcPr>
          <w:p w14:paraId="085FD57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1 365,34</w:t>
            </w:r>
          </w:p>
        </w:tc>
        <w:tc>
          <w:tcPr>
            <w:tcW w:w="1147" w:type="dxa"/>
            <w:noWrap/>
            <w:hideMark/>
          </w:tcPr>
          <w:p w14:paraId="5F8D6AE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230</w:t>
            </w:r>
          </w:p>
        </w:tc>
        <w:tc>
          <w:tcPr>
            <w:tcW w:w="1114" w:type="dxa"/>
            <w:noWrap/>
            <w:hideMark/>
          </w:tcPr>
          <w:p w14:paraId="4F4A377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3 768 344</w:t>
            </w:r>
          </w:p>
        </w:tc>
        <w:tc>
          <w:tcPr>
            <w:tcW w:w="973" w:type="dxa"/>
            <w:noWrap/>
            <w:hideMark/>
          </w:tcPr>
          <w:p w14:paraId="6D3EC87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1 410,63</w:t>
            </w:r>
          </w:p>
        </w:tc>
        <w:tc>
          <w:tcPr>
            <w:tcW w:w="1048" w:type="dxa"/>
            <w:noWrap/>
            <w:hideMark/>
          </w:tcPr>
          <w:p w14:paraId="1C9E51B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242</w:t>
            </w:r>
          </w:p>
        </w:tc>
        <w:tc>
          <w:tcPr>
            <w:tcW w:w="1164" w:type="dxa"/>
            <w:noWrap/>
            <w:hideMark/>
          </w:tcPr>
          <w:p w14:paraId="00B14E9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4 096 476</w:t>
            </w:r>
          </w:p>
        </w:tc>
        <w:tc>
          <w:tcPr>
            <w:tcW w:w="973" w:type="dxa"/>
            <w:noWrap/>
            <w:hideMark/>
          </w:tcPr>
          <w:p w14:paraId="2D21D04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1 457,67</w:t>
            </w:r>
          </w:p>
        </w:tc>
        <w:tc>
          <w:tcPr>
            <w:tcW w:w="995" w:type="dxa"/>
            <w:noWrap/>
            <w:hideMark/>
          </w:tcPr>
          <w:p w14:paraId="053FF53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254</w:t>
            </w:r>
          </w:p>
        </w:tc>
        <w:tc>
          <w:tcPr>
            <w:tcW w:w="1197" w:type="dxa"/>
            <w:noWrap/>
            <w:hideMark/>
          </w:tcPr>
          <w:p w14:paraId="01AEC73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4 442 986</w:t>
            </w:r>
          </w:p>
        </w:tc>
      </w:tr>
      <w:tr w:rsidR="000F6C00" w:rsidRPr="00E56E24" w14:paraId="5FF8C02C" w14:textId="77777777" w:rsidTr="00C404D5">
        <w:trPr>
          <w:trHeight w:val="510"/>
        </w:trPr>
        <w:tc>
          <w:tcPr>
            <w:tcW w:w="4409" w:type="dxa"/>
            <w:hideMark/>
          </w:tcPr>
          <w:p w14:paraId="3BA46BE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Kaitējuma atlīdzība Černobiļas AES avārijas rezultātā cietušajām personām</w:t>
            </w:r>
          </w:p>
        </w:tc>
        <w:tc>
          <w:tcPr>
            <w:tcW w:w="973" w:type="dxa"/>
            <w:noWrap/>
            <w:hideMark/>
          </w:tcPr>
          <w:p w14:paraId="2DCB89C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263,50</w:t>
            </w:r>
          </w:p>
        </w:tc>
        <w:tc>
          <w:tcPr>
            <w:tcW w:w="1147" w:type="dxa"/>
            <w:noWrap/>
            <w:hideMark/>
          </w:tcPr>
          <w:p w14:paraId="7471F3E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2 443</w:t>
            </w:r>
          </w:p>
        </w:tc>
        <w:tc>
          <w:tcPr>
            <w:tcW w:w="1114" w:type="dxa"/>
            <w:noWrap/>
            <w:hideMark/>
          </w:tcPr>
          <w:p w14:paraId="52A5F55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7 724 766</w:t>
            </w:r>
          </w:p>
        </w:tc>
        <w:tc>
          <w:tcPr>
            <w:tcW w:w="973" w:type="dxa"/>
            <w:noWrap/>
            <w:hideMark/>
          </w:tcPr>
          <w:p w14:paraId="43C245D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272,43</w:t>
            </w:r>
          </w:p>
        </w:tc>
        <w:tc>
          <w:tcPr>
            <w:tcW w:w="1048" w:type="dxa"/>
            <w:noWrap/>
            <w:hideMark/>
          </w:tcPr>
          <w:p w14:paraId="0EFE92F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2 472</w:t>
            </w:r>
          </w:p>
        </w:tc>
        <w:tc>
          <w:tcPr>
            <w:tcW w:w="1164" w:type="dxa"/>
            <w:noWrap/>
            <w:hideMark/>
          </w:tcPr>
          <w:p w14:paraId="5758CE3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8 081 364</w:t>
            </w:r>
          </w:p>
        </w:tc>
        <w:tc>
          <w:tcPr>
            <w:tcW w:w="973" w:type="dxa"/>
            <w:noWrap/>
            <w:hideMark/>
          </w:tcPr>
          <w:p w14:paraId="04ED096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281,84</w:t>
            </w:r>
          </w:p>
        </w:tc>
        <w:tc>
          <w:tcPr>
            <w:tcW w:w="995" w:type="dxa"/>
            <w:noWrap/>
            <w:hideMark/>
          </w:tcPr>
          <w:p w14:paraId="148F597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2 505</w:t>
            </w:r>
          </w:p>
        </w:tc>
        <w:tc>
          <w:tcPr>
            <w:tcW w:w="1197" w:type="dxa"/>
            <w:noWrap/>
            <w:hideMark/>
          </w:tcPr>
          <w:p w14:paraId="5A67ECE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8 472 110</w:t>
            </w:r>
          </w:p>
        </w:tc>
      </w:tr>
      <w:tr w:rsidR="000F6C00" w:rsidRPr="00E56E24" w14:paraId="5DCB58F3" w14:textId="77777777" w:rsidTr="00C404D5">
        <w:trPr>
          <w:trHeight w:val="300"/>
        </w:trPr>
        <w:tc>
          <w:tcPr>
            <w:tcW w:w="4409" w:type="dxa"/>
            <w:hideMark/>
          </w:tcPr>
          <w:p w14:paraId="64F138C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Paternitātes pabalsts</w:t>
            </w:r>
          </w:p>
        </w:tc>
        <w:tc>
          <w:tcPr>
            <w:tcW w:w="973" w:type="dxa"/>
            <w:noWrap/>
            <w:hideMark/>
          </w:tcPr>
          <w:p w14:paraId="151C914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397,77</w:t>
            </w:r>
          </w:p>
        </w:tc>
        <w:tc>
          <w:tcPr>
            <w:tcW w:w="1147" w:type="dxa"/>
            <w:noWrap/>
            <w:hideMark/>
          </w:tcPr>
          <w:p w14:paraId="03FEEA6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913</w:t>
            </w:r>
          </w:p>
        </w:tc>
        <w:tc>
          <w:tcPr>
            <w:tcW w:w="1114" w:type="dxa"/>
            <w:noWrap/>
            <w:hideMark/>
          </w:tcPr>
          <w:p w14:paraId="65722F9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4 357 968</w:t>
            </w:r>
          </w:p>
        </w:tc>
        <w:tc>
          <w:tcPr>
            <w:tcW w:w="973" w:type="dxa"/>
            <w:noWrap/>
            <w:hideMark/>
          </w:tcPr>
          <w:p w14:paraId="68981E4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424,82</w:t>
            </w:r>
          </w:p>
        </w:tc>
        <w:tc>
          <w:tcPr>
            <w:tcW w:w="1048" w:type="dxa"/>
            <w:noWrap/>
            <w:hideMark/>
          </w:tcPr>
          <w:p w14:paraId="2ECE57A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941</w:t>
            </w:r>
          </w:p>
        </w:tc>
        <w:tc>
          <w:tcPr>
            <w:tcW w:w="1164" w:type="dxa"/>
            <w:noWrap/>
            <w:hideMark/>
          </w:tcPr>
          <w:p w14:paraId="3D05243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4 797 067</w:t>
            </w:r>
          </w:p>
        </w:tc>
        <w:tc>
          <w:tcPr>
            <w:tcW w:w="973" w:type="dxa"/>
            <w:noWrap/>
            <w:hideMark/>
          </w:tcPr>
          <w:p w14:paraId="094B329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446,07</w:t>
            </w:r>
          </w:p>
        </w:tc>
        <w:tc>
          <w:tcPr>
            <w:tcW w:w="995" w:type="dxa"/>
            <w:noWrap/>
            <w:hideMark/>
          </w:tcPr>
          <w:p w14:paraId="24DF9D5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969</w:t>
            </w:r>
          </w:p>
        </w:tc>
        <w:tc>
          <w:tcPr>
            <w:tcW w:w="1197" w:type="dxa"/>
            <w:noWrap/>
            <w:hideMark/>
          </w:tcPr>
          <w:p w14:paraId="31A338E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5 186 902</w:t>
            </w:r>
          </w:p>
        </w:tc>
      </w:tr>
      <w:tr w:rsidR="000F6C00" w:rsidRPr="00E56E24" w14:paraId="556B4D67" w14:textId="77777777" w:rsidTr="00C404D5">
        <w:trPr>
          <w:trHeight w:val="300"/>
        </w:trPr>
        <w:tc>
          <w:tcPr>
            <w:tcW w:w="4409" w:type="dxa"/>
            <w:hideMark/>
          </w:tcPr>
          <w:p w14:paraId="5D204A5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Darbā nodarītā kaitējuma atlīdzība</w:t>
            </w:r>
          </w:p>
        </w:tc>
        <w:tc>
          <w:tcPr>
            <w:tcW w:w="973" w:type="dxa"/>
            <w:noWrap/>
            <w:hideMark/>
          </w:tcPr>
          <w:p w14:paraId="3AD1440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151,03</w:t>
            </w:r>
          </w:p>
        </w:tc>
        <w:tc>
          <w:tcPr>
            <w:tcW w:w="1147" w:type="dxa"/>
            <w:noWrap/>
            <w:hideMark/>
          </w:tcPr>
          <w:p w14:paraId="092A7DA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1 020</w:t>
            </w:r>
          </w:p>
        </w:tc>
        <w:tc>
          <w:tcPr>
            <w:tcW w:w="1114" w:type="dxa"/>
            <w:noWrap/>
            <w:hideMark/>
          </w:tcPr>
          <w:p w14:paraId="3E235EB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1 848 614</w:t>
            </w:r>
          </w:p>
        </w:tc>
        <w:tc>
          <w:tcPr>
            <w:tcW w:w="973" w:type="dxa"/>
            <w:noWrap/>
            <w:hideMark/>
          </w:tcPr>
          <w:p w14:paraId="6DF54D4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155,36</w:t>
            </w:r>
          </w:p>
        </w:tc>
        <w:tc>
          <w:tcPr>
            <w:tcW w:w="1048" w:type="dxa"/>
            <w:noWrap/>
            <w:hideMark/>
          </w:tcPr>
          <w:p w14:paraId="76A34D0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1 020</w:t>
            </w:r>
          </w:p>
        </w:tc>
        <w:tc>
          <w:tcPr>
            <w:tcW w:w="1164" w:type="dxa"/>
            <w:noWrap/>
            <w:hideMark/>
          </w:tcPr>
          <w:p w14:paraId="71CDE48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1 901 613</w:t>
            </w:r>
          </w:p>
        </w:tc>
        <w:tc>
          <w:tcPr>
            <w:tcW w:w="973" w:type="dxa"/>
            <w:noWrap/>
            <w:hideMark/>
          </w:tcPr>
          <w:p w14:paraId="02C4B55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159,86</w:t>
            </w:r>
          </w:p>
        </w:tc>
        <w:tc>
          <w:tcPr>
            <w:tcW w:w="995" w:type="dxa"/>
            <w:noWrap/>
            <w:hideMark/>
          </w:tcPr>
          <w:p w14:paraId="4F6D50D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1 020</w:t>
            </w:r>
          </w:p>
        </w:tc>
        <w:tc>
          <w:tcPr>
            <w:tcW w:w="1197" w:type="dxa"/>
            <w:noWrap/>
            <w:hideMark/>
          </w:tcPr>
          <w:p w14:paraId="2FC28B6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1 956 643</w:t>
            </w:r>
          </w:p>
        </w:tc>
      </w:tr>
      <w:tr w:rsidR="000F6C00" w:rsidRPr="00E56E24" w14:paraId="40271F8C" w14:textId="77777777" w:rsidTr="00C404D5">
        <w:trPr>
          <w:trHeight w:val="300"/>
        </w:trPr>
        <w:tc>
          <w:tcPr>
            <w:tcW w:w="4409" w:type="dxa"/>
            <w:hideMark/>
          </w:tcPr>
          <w:p w14:paraId="108557D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Vecāku pabalsts</w:t>
            </w:r>
          </w:p>
        </w:tc>
        <w:tc>
          <w:tcPr>
            <w:tcW w:w="973" w:type="dxa"/>
            <w:noWrap/>
            <w:hideMark/>
          </w:tcPr>
          <w:p w14:paraId="66878A6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470,51</w:t>
            </w:r>
          </w:p>
        </w:tc>
        <w:tc>
          <w:tcPr>
            <w:tcW w:w="1147" w:type="dxa"/>
            <w:noWrap/>
            <w:hideMark/>
          </w:tcPr>
          <w:p w14:paraId="78D56D3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21 114</w:t>
            </w:r>
          </w:p>
        </w:tc>
        <w:tc>
          <w:tcPr>
            <w:tcW w:w="1114" w:type="dxa"/>
            <w:noWrap/>
            <w:hideMark/>
          </w:tcPr>
          <w:p w14:paraId="2ECB514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119 212 178</w:t>
            </w:r>
          </w:p>
        </w:tc>
        <w:tc>
          <w:tcPr>
            <w:tcW w:w="973" w:type="dxa"/>
            <w:noWrap/>
            <w:hideMark/>
          </w:tcPr>
          <w:p w14:paraId="48FA3ED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493,19</w:t>
            </w:r>
          </w:p>
        </w:tc>
        <w:tc>
          <w:tcPr>
            <w:tcW w:w="1048" w:type="dxa"/>
            <w:noWrap/>
            <w:hideMark/>
          </w:tcPr>
          <w:p w14:paraId="434A092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21 021</w:t>
            </w:r>
          </w:p>
        </w:tc>
        <w:tc>
          <w:tcPr>
            <w:tcW w:w="1164" w:type="dxa"/>
            <w:noWrap/>
            <w:hideMark/>
          </w:tcPr>
          <w:p w14:paraId="0A4E4D2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124 408 164</w:t>
            </w:r>
          </w:p>
        </w:tc>
        <w:tc>
          <w:tcPr>
            <w:tcW w:w="973" w:type="dxa"/>
            <w:noWrap/>
            <w:hideMark/>
          </w:tcPr>
          <w:p w14:paraId="78F384A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517,85</w:t>
            </w:r>
          </w:p>
        </w:tc>
        <w:tc>
          <w:tcPr>
            <w:tcW w:w="995" w:type="dxa"/>
            <w:noWrap/>
            <w:hideMark/>
          </w:tcPr>
          <w:p w14:paraId="3135A5B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21 021</w:t>
            </w:r>
          </w:p>
        </w:tc>
        <w:tc>
          <w:tcPr>
            <w:tcW w:w="1197" w:type="dxa"/>
            <w:noWrap/>
            <w:hideMark/>
          </w:tcPr>
          <w:p w14:paraId="7222E7E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130 628 698</w:t>
            </w:r>
          </w:p>
        </w:tc>
      </w:tr>
      <w:tr w:rsidR="000F6C00" w:rsidRPr="00E56E24" w14:paraId="2986928D" w14:textId="77777777" w:rsidTr="00C404D5">
        <w:trPr>
          <w:trHeight w:val="510"/>
        </w:trPr>
        <w:tc>
          <w:tcPr>
            <w:tcW w:w="4409" w:type="dxa"/>
            <w:hideMark/>
          </w:tcPr>
          <w:p w14:paraId="37F2124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Pabalsts pensijas saņēmēja nāves gadījumā pārdzīvojušam laulātajam</w:t>
            </w:r>
          </w:p>
        </w:tc>
        <w:tc>
          <w:tcPr>
            <w:tcW w:w="973" w:type="dxa"/>
            <w:noWrap/>
            <w:hideMark/>
          </w:tcPr>
          <w:p w14:paraId="5CB5090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165,87</w:t>
            </w:r>
          </w:p>
        </w:tc>
        <w:tc>
          <w:tcPr>
            <w:tcW w:w="1147" w:type="dxa"/>
            <w:noWrap/>
            <w:hideMark/>
          </w:tcPr>
          <w:p w14:paraId="2827874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360</w:t>
            </w:r>
          </w:p>
        </w:tc>
        <w:tc>
          <w:tcPr>
            <w:tcW w:w="1114" w:type="dxa"/>
            <w:noWrap/>
            <w:hideMark/>
          </w:tcPr>
          <w:p w14:paraId="0F7DFB8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716 553</w:t>
            </w:r>
          </w:p>
        </w:tc>
        <w:tc>
          <w:tcPr>
            <w:tcW w:w="973" w:type="dxa"/>
            <w:noWrap/>
            <w:hideMark/>
          </w:tcPr>
          <w:p w14:paraId="6F261A4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170,76</w:t>
            </w:r>
          </w:p>
        </w:tc>
        <w:tc>
          <w:tcPr>
            <w:tcW w:w="1048" w:type="dxa"/>
            <w:noWrap/>
            <w:hideMark/>
          </w:tcPr>
          <w:p w14:paraId="23CA887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360</w:t>
            </w:r>
          </w:p>
        </w:tc>
        <w:tc>
          <w:tcPr>
            <w:tcW w:w="1164" w:type="dxa"/>
            <w:noWrap/>
            <w:hideMark/>
          </w:tcPr>
          <w:p w14:paraId="2BE1BDC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737 677</w:t>
            </w:r>
          </w:p>
        </w:tc>
        <w:tc>
          <w:tcPr>
            <w:tcW w:w="973" w:type="dxa"/>
            <w:noWrap/>
            <w:hideMark/>
          </w:tcPr>
          <w:p w14:paraId="0E39795F"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175,42</w:t>
            </w:r>
          </w:p>
        </w:tc>
        <w:tc>
          <w:tcPr>
            <w:tcW w:w="995" w:type="dxa"/>
            <w:noWrap/>
            <w:hideMark/>
          </w:tcPr>
          <w:p w14:paraId="4DF1E656"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360</w:t>
            </w:r>
          </w:p>
        </w:tc>
        <w:tc>
          <w:tcPr>
            <w:tcW w:w="1197" w:type="dxa"/>
            <w:noWrap/>
            <w:hideMark/>
          </w:tcPr>
          <w:p w14:paraId="541E4D4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757 819</w:t>
            </w:r>
          </w:p>
        </w:tc>
      </w:tr>
      <w:tr w:rsidR="000F6C00" w:rsidRPr="00E56E24" w14:paraId="22F3F16F" w14:textId="77777777" w:rsidTr="00C404D5">
        <w:trPr>
          <w:trHeight w:val="315"/>
        </w:trPr>
        <w:tc>
          <w:tcPr>
            <w:tcW w:w="4409" w:type="dxa"/>
            <w:hideMark/>
          </w:tcPr>
          <w:p w14:paraId="2AB10031"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Valsts budžeta maksājumi - kopā</w:t>
            </w:r>
          </w:p>
        </w:tc>
        <w:tc>
          <w:tcPr>
            <w:tcW w:w="973" w:type="dxa"/>
            <w:noWrap/>
            <w:hideMark/>
          </w:tcPr>
          <w:p w14:paraId="636130E4"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47" w:type="dxa"/>
            <w:noWrap/>
            <w:hideMark/>
          </w:tcPr>
          <w:p w14:paraId="229D738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14" w:type="dxa"/>
            <w:noWrap/>
            <w:hideMark/>
          </w:tcPr>
          <w:p w14:paraId="0D6677BC"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99 412</w:t>
            </w:r>
          </w:p>
        </w:tc>
        <w:tc>
          <w:tcPr>
            <w:tcW w:w="973" w:type="dxa"/>
            <w:noWrap/>
            <w:hideMark/>
          </w:tcPr>
          <w:p w14:paraId="2F0C31C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048" w:type="dxa"/>
            <w:noWrap/>
            <w:hideMark/>
          </w:tcPr>
          <w:p w14:paraId="01DE67E7"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64" w:type="dxa"/>
            <w:noWrap/>
            <w:hideMark/>
          </w:tcPr>
          <w:p w14:paraId="4C44BCC5"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100 437</w:t>
            </w:r>
          </w:p>
        </w:tc>
        <w:tc>
          <w:tcPr>
            <w:tcW w:w="973" w:type="dxa"/>
            <w:noWrap/>
            <w:hideMark/>
          </w:tcPr>
          <w:p w14:paraId="040A9FB9"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995" w:type="dxa"/>
            <w:noWrap/>
            <w:hideMark/>
          </w:tcPr>
          <w:p w14:paraId="269E31A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x</w:t>
            </w:r>
          </w:p>
        </w:tc>
        <w:tc>
          <w:tcPr>
            <w:tcW w:w="1197" w:type="dxa"/>
            <w:noWrap/>
            <w:hideMark/>
          </w:tcPr>
          <w:p w14:paraId="1DE2DAE3"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100 437</w:t>
            </w:r>
          </w:p>
        </w:tc>
      </w:tr>
      <w:tr w:rsidR="000F6C00" w:rsidRPr="00E56E24" w14:paraId="5CF94A44" w14:textId="77777777" w:rsidTr="00C404D5">
        <w:trPr>
          <w:trHeight w:val="255"/>
        </w:trPr>
        <w:tc>
          <w:tcPr>
            <w:tcW w:w="4409" w:type="dxa"/>
            <w:noWrap/>
            <w:hideMark/>
          </w:tcPr>
          <w:p w14:paraId="0382074B" w14:textId="77777777" w:rsidR="000F6C00" w:rsidRPr="00E56E24" w:rsidRDefault="000F6C00" w:rsidP="000F6C00">
            <w:pPr>
              <w:widowControl w:val="0"/>
              <w:rPr>
                <w:rFonts w:ascii="Times New Roman" w:eastAsia="Times New Roman" w:hAnsi="Times New Roman" w:cs="Times New Roman"/>
                <w:i/>
                <w:iCs/>
                <w:sz w:val="20"/>
                <w:szCs w:val="20"/>
              </w:rPr>
            </w:pPr>
            <w:r w:rsidRPr="00E56E24">
              <w:rPr>
                <w:rFonts w:ascii="Times New Roman" w:eastAsia="Times New Roman" w:hAnsi="Times New Roman" w:cs="Times New Roman"/>
                <w:i/>
                <w:iCs/>
                <w:sz w:val="20"/>
                <w:szCs w:val="20"/>
              </w:rPr>
              <w:t>tajā skaitā:</w:t>
            </w:r>
          </w:p>
        </w:tc>
        <w:tc>
          <w:tcPr>
            <w:tcW w:w="973" w:type="dxa"/>
            <w:noWrap/>
            <w:hideMark/>
          </w:tcPr>
          <w:p w14:paraId="2E5E852A"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47" w:type="dxa"/>
            <w:noWrap/>
            <w:hideMark/>
          </w:tcPr>
          <w:p w14:paraId="7B276995"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14" w:type="dxa"/>
            <w:noWrap/>
            <w:hideMark/>
          </w:tcPr>
          <w:p w14:paraId="320A645A"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53B8A7D6"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048" w:type="dxa"/>
            <w:noWrap/>
            <w:hideMark/>
          </w:tcPr>
          <w:p w14:paraId="6E0BA018"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64" w:type="dxa"/>
            <w:noWrap/>
            <w:hideMark/>
          </w:tcPr>
          <w:p w14:paraId="4F09B360"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c>
          <w:tcPr>
            <w:tcW w:w="973" w:type="dxa"/>
            <w:noWrap/>
            <w:hideMark/>
          </w:tcPr>
          <w:p w14:paraId="4233510D"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995" w:type="dxa"/>
            <w:noWrap/>
            <w:hideMark/>
          </w:tcPr>
          <w:p w14:paraId="45B93E22"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97" w:type="dxa"/>
            <w:noWrap/>
            <w:hideMark/>
          </w:tcPr>
          <w:p w14:paraId="6E91731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w:t>
            </w:r>
          </w:p>
        </w:tc>
      </w:tr>
      <w:tr w:rsidR="000F6C00" w:rsidRPr="00E56E24" w14:paraId="4AED8B16" w14:textId="77777777" w:rsidTr="00C404D5">
        <w:trPr>
          <w:trHeight w:val="255"/>
        </w:trPr>
        <w:tc>
          <w:tcPr>
            <w:tcW w:w="4409" w:type="dxa"/>
            <w:noWrap/>
            <w:hideMark/>
          </w:tcPr>
          <w:p w14:paraId="62A2F7E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    Pārmaksāto sociālās apdrošināšanas iemaksu atmaksa</w:t>
            </w:r>
          </w:p>
        </w:tc>
        <w:tc>
          <w:tcPr>
            <w:tcW w:w="973" w:type="dxa"/>
            <w:noWrap/>
            <w:hideMark/>
          </w:tcPr>
          <w:p w14:paraId="210E4E83"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47" w:type="dxa"/>
            <w:noWrap/>
            <w:hideMark/>
          </w:tcPr>
          <w:p w14:paraId="3CE6C464"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14" w:type="dxa"/>
            <w:noWrap/>
            <w:hideMark/>
          </w:tcPr>
          <w:p w14:paraId="7C09112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79 412</w:t>
            </w:r>
          </w:p>
        </w:tc>
        <w:tc>
          <w:tcPr>
            <w:tcW w:w="973" w:type="dxa"/>
            <w:noWrap/>
            <w:hideMark/>
          </w:tcPr>
          <w:p w14:paraId="02E33945"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048" w:type="dxa"/>
            <w:noWrap/>
            <w:hideMark/>
          </w:tcPr>
          <w:p w14:paraId="6218BF8A"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64" w:type="dxa"/>
            <w:noWrap/>
            <w:hideMark/>
          </w:tcPr>
          <w:p w14:paraId="6A79092B"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80 437</w:t>
            </w:r>
          </w:p>
        </w:tc>
        <w:tc>
          <w:tcPr>
            <w:tcW w:w="973" w:type="dxa"/>
            <w:noWrap/>
            <w:hideMark/>
          </w:tcPr>
          <w:p w14:paraId="4061A704"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995" w:type="dxa"/>
            <w:noWrap/>
            <w:hideMark/>
          </w:tcPr>
          <w:p w14:paraId="7D51099C"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97" w:type="dxa"/>
            <w:noWrap/>
            <w:hideMark/>
          </w:tcPr>
          <w:p w14:paraId="28EA989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80 437</w:t>
            </w:r>
          </w:p>
        </w:tc>
      </w:tr>
      <w:tr w:rsidR="000F6C00" w:rsidRPr="00E56E24" w14:paraId="730940EB" w14:textId="77777777" w:rsidTr="00C404D5">
        <w:trPr>
          <w:trHeight w:val="255"/>
        </w:trPr>
        <w:tc>
          <w:tcPr>
            <w:tcW w:w="4409" w:type="dxa"/>
            <w:hideMark/>
          </w:tcPr>
          <w:p w14:paraId="15FDB2D8"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 xml:space="preserve">       Eiropas Savienības pensiju shēmai pārskaitītais pensijas </w:t>
            </w:r>
            <w:r w:rsidRPr="00E56E24">
              <w:rPr>
                <w:rFonts w:ascii="Times New Roman" w:eastAsia="Times New Roman" w:hAnsi="Times New Roman" w:cs="Times New Roman"/>
                <w:sz w:val="20"/>
                <w:szCs w:val="20"/>
              </w:rPr>
              <w:br/>
              <w:t xml:space="preserve">       kapitāls</w:t>
            </w:r>
          </w:p>
        </w:tc>
        <w:tc>
          <w:tcPr>
            <w:tcW w:w="973" w:type="dxa"/>
            <w:noWrap/>
            <w:hideMark/>
          </w:tcPr>
          <w:p w14:paraId="40C2D8DE"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47" w:type="dxa"/>
            <w:noWrap/>
            <w:hideMark/>
          </w:tcPr>
          <w:p w14:paraId="0E0692AB"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14" w:type="dxa"/>
            <w:noWrap/>
            <w:hideMark/>
          </w:tcPr>
          <w:p w14:paraId="2D3571AE"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20 000</w:t>
            </w:r>
          </w:p>
        </w:tc>
        <w:tc>
          <w:tcPr>
            <w:tcW w:w="973" w:type="dxa"/>
            <w:noWrap/>
            <w:hideMark/>
          </w:tcPr>
          <w:p w14:paraId="7656E597"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048" w:type="dxa"/>
            <w:noWrap/>
            <w:hideMark/>
          </w:tcPr>
          <w:p w14:paraId="7EB2D9B2"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64" w:type="dxa"/>
            <w:noWrap/>
            <w:hideMark/>
          </w:tcPr>
          <w:p w14:paraId="2E568E02"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20 000</w:t>
            </w:r>
          </w:p>
        </w:tc>
        <w:tc>
          <w:tcPr>
            <w:tcW w:w="973" w:type="dxa"/>
            <w:noWrap/>
            <w:hideMark/>
          </w:tcPr>
          <w:p w14:paraId="49929E72"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995" w:type="dxa"/>
            <w:noWrap/>
            <w:hideMark/>
          </w:tcPr>
          <w:p w14:paraId="18D54C57"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97" w:type="dxa"/>
            <w:noWrap/>
            <w:hideMark/>
          </w:tcPr>
          <w:p w14:paraId="49DE5FAD" w14:textId="77777777" w:rsidR="000F6C00" w:rsidRPr="00E56E24" w:rsidRDefault="000F6C00" w:rsidP="000F6C00">
            <w:pPr>
              <w:widowControl w:val="0"/>
              <w:rPr>
                <w:rFonts w:ascii="Times New Roman" w:eastAsia="Times New Roman" w:hAnsi="Times New Roman" w:cs="Times New Roman"/>
                <w:sz w:val="20"/>
                <w:szCs w:val="20"/>
              </w:rPr>
            </w:pPr>
            <w:r w:rsidRPr="00E56E24">
              <w:rPr>
                <w:rFonts w:ascii="Times New Roman" w:eastAsia="Times New Roman" w:hAnsi="Times New Roman" w:cs="Times New Roman"/>
                <w:sz w:val="20"/>
                <w:szCs w:val="20"/>
              </w:rPr>
              <w:t>20 000</w:t>
            </w:r>
          </w:p>
        </w:tc>
      </w:tr>
      <w:tr w:rsidR="000F6C00" w:rsidRPr="00E56E24" w14:paraId="4AA7EC25" w14:textId="77777777" w:rsidTr="00C404D5">
        <w:trPr>
          <w:trHeight w:val="255"/>
        </w:trPr>
        <w:tc>
          <w:tcPr>
            <w:tcW w:w="4409" w:type="dxa"/>
            <w:noWrap/>
            <w:hideMark/>
          </w:tcPr>
          <w:p w14:paraId="450C65BE"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Kopā</w:t>
            </w:r>
          </w:p>
        </w:tc>
        <w:tc>
          <w:tcPr>
            <w:tcW w:w="973" w:type="dxa"/>
            <w:noWrap/>
            <w:hideMark/>
          </w:tcPr>
          <w:p w14:paraId="07A7F2EF"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47" w:type="dxa"/>
            <w:noWrap/>
            <w:hideMark/>
          </w:tcPr>
          <w:p w14:paraId="511F642F"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14" w:type="dxa"/>
            <w:noWrap/>
            <w:hideMark/>
          </w:tcPr>
          <w:p w14:paraId="3C53431B"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3 139 689 790</w:t>
            </w:r>
          </w:p>
        </w:tc>
        <w:tc>
          <w:tcPr>
            <w:tcW w:w="973" w:type="dxa"/>
            <w:noWrap/>
            <w:hideMark/>
          </w:tcPr>
          <w:p w14:paraId="61422917"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048" w:type="dxa"/>
            <w:noWrap/>
            <w:hideMark/>
          </w:tcPr>
          <w:p w14:paraId="422F3FBB"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64" w:type="dxa"/>
            <w:noWrap/>
            <w:hideMark/>
          </w:tcPr>
          <w:p w14:paraId="29ACC3C0"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3 194 534 036</w:t>
            </w:r>
          </w:p>
        </w:tc>
        <w:tc>
          <w:tcPr>
            <w:tcW w:w="973" w:type="dxa"/>
            <w:noWrap/>
            <w:hideMark/>
          </w:tcPr>
          <w:p w14:paraId="63DE55EB"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995" w:type="dxa"/>
            <w:noWrap/>
            <w:hideMark/>
          </w:tcPr>
          <w:p w14:paraId="639308E9"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 </w:t>
            </w:r>
          </w:p>
        </w:tc>
        <w:tc>
          <w:tcPr>
            <w:tcW w:w="1197" w:type="dxa"/>
            <w:noWrap/>
            <w:hideMark/>
          </w:tcPr>
          <w:p w14:paraId="1AC9CC1B" w14:textId="77777777" w:rsidR="000F6C00" w:rsidRPr="00E56E24" w:rsidRDefault="000F6C00" w:rsidP="000F6C00">
            <w:pPr>
              <w:widowControl w:val="0"/>
              <w:rPr>
                <w:rFonts w:ascii="Times New Roman" w:eastAsia="Times New Roman" w:hAnsi="Times New Roman" w:cs="Times New Roman"/>
                <w:b/>
                <w:bCs/>
                <w:sz w:val="20"/>
                <w:szCs w:val="20"/>
              </w:rPr>
            </w:pPr>
            <w:r w:rsidRPr="00E56E24">
              <w:rPr>
                <w:rFonts w:ascii="Times New Roman" w:eastAsia="Times New Roman" w:hAnsi="Times New Roman" w:cs="Times New Roman"/>
                <w:b/>
                <w:bCs/>
                <w:sz w:val="20"/>
                <w:szCs w:val="20"/>
              </w:rPr>
              <w:t>3 349 003 690</w:t>
            </w:r>
          </w:p>
        </w:tc>
      </w:tr>
    </w:tbl>
    <w:p w14:paraId="28078517" w14:textId="77777777" w:rsidR="00C404D5" w:rsidRPr="00C404D5" w:rsidRDefault="00C404D5" w:rsidP="00C404D5">
      <w:pPr>
        <w:widowControl w:val="0"/>
        <w:rPr>
          <w:rFonts w:ascii="Times New Roman" w:eastAsia="Calibri" w:hAnsi="Times New Roman" w:cs="Times New Roman"/>
          <w:i/>
          <w:sz w:val="20"/>
        </w:rPr>
      </w:pPr>
      <w:r w:rsidRPr="00C404D5">
        <w:rPr>
          <w:rFonts w:ascii="Times New Roman" w:eastAsia="Calibri" w:hAnsi="Times New Roman" w:cs="Times New Roman"/>
          <w:i/>
          <w:sz w:val="20"/>
        </w:rPr>
        <w:t>Datu avots: FM</w:t>
      </w:r>
    </w:p>
    <w:p w14:paraId="3A218A5A" w14:textId="77777777" w:rsidR="003F3FCD" w:rsidRDefault="003F3FCD" w:rsidP="00401A5B">
      <w:pPr>
        <w:widowControl w:val="0"/>
        <w:rPr>
          <w:rFonts w:ascii="Times New Roman" w:eastAsia="Times New Roman" w:hAnsi="Times New Roman" w:cs="Times New Roman"/>
        </w:rPr>
      </w:pPr>
    </w:p>
    <w:p w14:paraId="1844E05B" w14:textId="77777777" w:rsidR="003F3FCD" w:rsidRDefault="003F3FCD" w:rsidP="00401A5B">
      <w:pPr>
        <w:widowControl w:val="0"/>
        <w:rPr>
          <w:rFonts w:ascii="Times New Roman" w:eastAsia="Times New Roman" w:hAnsi="Times New Roman" w:cs="Times New Roman"/>
        </w:rPr>
      </w:pPr>
    </w:p>
    <w:p w14:paraId="48E18E82" w14:textId="09CDF10B" w:rsidR="003F3FCD" w:rsidRPr="005E7346" w:rsidRDefault="008E246B" w:rsidP="008E246B">
      <w:pPr>
        <w:widowControl w:val="0"/>
        <w:ind w:right="-924" w:firstLine="720"/>
        <w:rPr>
          <w:rFonts w:ascii="Times New Roman" w:eastAsia="Times New Roman" w:hAnsi="Times New Roman" w:cs="Times New Roman"/>
          <w:sz w:val="28"/>
        </w:rPr>
      </w:pPr>
      <w:r>
        <w:rPr>
          <w:rFonts w:ascii="Times New Roman" w:eastAsia="Times New Roman" w:hAnsi="Times New Roman" w:cs="Times New Roman"/>
          <w:sz w:val="28"/>
        </w:rPr>
        <w:t>Finanšu ministrs</w:t>
      </w:r>
      <w:r w:rsidR="000548A5">
        <w:rPr>
          <w:rFonts w:ascii="Times New Roman" w:eastAsia="Times New Roman" w:hAnsi="Times New Roman" w:cs="Times New Roman"/>
          <w:sz w:val="28"/>
        </w:rPr>
        <w:tab/>
      </w:r>
      <w:r w:rsidR="000548A5">
        <w:rPr>
          <w:rFonts w:ascii="Times New Roman" w:eastAsia="Times New Roman" w:hAnsi="Times New Roman" w:cs="Times New Roman"/>
          <w:sz w:val="28"/>
        </w:rPr>
        <w:tab/>
        <w:t xml:space="preserve">  </w:t>
      </w:r>
      <w:r w:rsidR="000548A5">
        <w:rPr>
          <w:rFonts w:ascii="Times New Roman" w:eastAsia="Times New Roman" w:hAnsi="Times New Roman" w:cs="Times New Roman"/>
          <w:sz w:val="28"/>
        </w:rPr>
        <w:tab/>
      </w:r>
      <w:r w:rsidR="000548A5">
        <w:rPr>
          <w:rFonts w:ascii="Times New Roman" w:eastAsia="Times New Roman" w:hAnsi="Times New Roman" w:cs="Times New Roman"/>
          <w:sz w:val="28"/>
        </w:rPr>
        <w:tab/>
      </w:r>
      <w:r w:rsidR="000548A5">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sidR="000548A5">
        <w:rPr>
          <w:rFonts w:ascii="Times New Roman" w:eastAsia="Times New Roman" w:hAnsi="Times New Roman" w:cs="Times New Roman"/>
          <w:sz w:val="28"/>
        </w:rPr>
        <w:t>J. Reirs</w:t>
      </w:r>
    </w:p>
    <w:sectPr w:rsidR="003F3FCD" w:rsidRPr="005E7346" w:rsidSect="003347CE">
      <w:pgSz w:w="16838" w:h="11906" w:orient="landscape" w:code="9"/>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C00A5" w14:textId="77777777" w:rsidR="000C25D0" w:rsidRDefault="000C25D0" w:rsidP="00383CEF">
      <w:r>
        <w:separator/>
      </w:r>
    </w:p>
  </w:endnote>
  <w:endnote w:type="continuationSeparator" w:id="0">
    <w:p w14:paraId="78767CE8" w14:textId="77777777" w:rsidR="000C25D0" w:rsidRDefault="000C25D0" w:rsidP="00383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CF33B" w14:textId="77777777" w:rsidR="000C25D0" w:rsidRDefault="000C25D0" w:rsidP="00F2378C">
    <w:pPr>
      <w:pStyle w:val="Footer"/>
      <w:jc w:val="both"/>
      <w:rPr>
        <w:rFonts w:ascii="Times New Roman" w:hAnsi="Times New Roman" w:cs="Times New Roman"/>
        <w:sz w:val="20"/>
      </w:rPr>
    </w:pPr>
  </w:p>
  <w:p w14:paraId="39DA6C9E" w14:textId="7A4449E7" w:rsidR="000C25D0" w:rsidRPr="00CB62E1" w:rsidRDefault="000C25D0" w:rsidP="00F2378C">
    <w:pPr>
      <w:pStyle w:val="Footer"/>
      <w:jc w:val="both"/>
      <w:rPr>
        <w:rFonts w:ascii="Times New Roman" w:hAnsi="Times New Roman" w:cs="Times New Roman"/>
        <w:noProof/>
        <w:sz w:val="20"/>
      </w:rPr>
    </w:pPr>
    <w:r w:rsidRPr="00CB62E1">
      <w:rPr>
        <w:rFonts w:ascii="Times New Roman" w:hAnsi="Times New Roman" w:cs="Times New Roman"/>
        <w:sz w:val="20"/>
      </w:rPr>
      <w:fldChar w:fldCharType="begin"/>
    </w:r>
    <w:r w:rsidRPr="00CB62E1">
      <w:rPr>
        <w:rFonts w:ascii="Times New Roman" w:hAnsi="Times New Roman" w:cs="Times New Roman"/>
        <w:sz w:val="20"/>
      </w:rPr>
      <w:instrText xml:space="preserve"> FILENAME   \* MERGEFORMAT </w:instrText>
    </w:r>
    <w:r w:rsidRPr="00CB62E1">
      <w:rPr>
        <w:rFonts w:ascii="Times New Roman" w:hAnsi="Times New Roman" w:cs="Times New Roman"/>
        <w:sz w:val="20"/>
      </w:rPr>
      <w:fldChar w:fldCharType="separate"/>
    </w:r>
    <w:r>
      <w:rPr>
        <w:rFonts w:ascii="Times New Roman" w:hAnsi="Times New Roman" w:cs="Times New Roman"/>
        <w:noProof/>
        <w:sz w:val="20"/>
      </w:rPr>
      <w:t>FMpask_121020_VTBIL_2021_2023.docx</w:t>
    </w:r>
    <w:r w:rsidRPr="00CB62E1">
      <w:rPr>
        <w:rFonts w:ascii="Times New Roman" w:hAnsi="Times New Roman" w:cs="Times New Roman"/>
        <w:sz w:val="20"/>
      </w:rPr>
      <w:fldChar w:fldCharType="end"/>
    </w:r>
  </w:p>
  <w:p w14:paraId="0B85B1EF" w14:textId="77777777" w:rsidR="000C25D0" w:rsidRDefault="000C25D0" w:rsidP="00F2378C">
    <w:pPr>
      <w:pStyle w:val="Footer"/>
      <w:ind w:firstLine="720"/>
    </w:pPr>
  </w:p>
  <w:p w14:paraId="2307CAB5" w14:textId="77777777" w:rsidR="000C25D0" w:rsidRDefault="000C25D0" w:rsidP="00F2378C">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FA538" w14:textId="77777777" w:rsidR="000C25D0" w:rsidRDefault="000C25D0" w:rsidP="00383CEF">
      <w:r>
        <w:separator/>
      </w:r>
    </w:p>
  </w:footnote>
  <w:footnote w:type="continuationSeparator" w:id="0">
    <w:p w14:paraId="755AC20D" w14:textId="77777777" w:rsidR="000C25D0" w:rsidRDefault="000C25D0" w:rsidP="00383CEF">
      <w:r>
        <w:continuationSeparator/>
      </w:r>
    </w:p>
  </w:footnote>
  <w:footnote w:id="1">
    <w:p w14:paraId="1D13E857" w14:textId="7394C280" w:rsidR="000C25D0" w:rsidRPr="00BA7FA7" w:rsidRDefault="000C25D0" w:rsidP="005E3FF5">
      <w:pPr>
        <w:pStyle w:val="FootnoteText"/>
        <w:tabs>
          <w:tab w:val="left" w:pos="7185"/>
        </w:tabs>
        <w:jc w:val="both"/>
        <w:rPr>
          <w:rFonts w:ascii="Times New Roman" w:hAnsi="Times New Roman" w:cs="Times New Roman"/>
        </w:rPr>
      </w:pPr>
      <w:r w:rsidRPr="00BA7FA7">
        <w:rPr>
          <w:rStyle w:val="FootnoteReference"/>
          <w:rFonts w:ascii="Times New Roman" w:hAnsi="Times New Roman" w:cs="Times New Roman"/>
        </w:rPr>
        <w:footnoteRef/>
      </w:r>
      <w:r w:rsidRPr="00BA7FA7">
        <w:rPr>
          <w:rFonts w:ascii="Times New Roman" w:hAnsi="Times New Roman" w:cs="Times New Roman"/>
        </w:rPr>
        <w:t xml:space="preserve"> </w:t>
      </w:r>
      <w:r w:rsidRPr="005E3FF5">
        <w:rPr>
          <w:rFonts w:ascii="Times New Roman" w:hAnsi="Times New Roman" w:cs="Times New Roman"/>
        </w:rPr>
        <w:t xml:space="preserve">Datu avoti: Ja nav norādīts citādi - </w:t>
      </w:r>
      <w:r>
        <w:rPr>
          <w:rFonts w:ascii="Times New Roman" w:hAnsi="Times New Roman" w:cs="Times New Roman"/>
        </w:rPr>
        <w:t>CSP</w:t>
      </w:r>
      <w:r w:rsidRPr="005E3FF5">
        <w:rPr>
          <w:rFonts w:ascii="Times New Roman" w:hAnsi="Times New Roman" w:cs="Times New Roman"/>
        </w:rPr>
        <w:t xml:space="preserve"> un FM prognozes. Dati atbilstoši </w:t>
      </w:r>
      <w:r>
        <w:rPr>
          <w:rFonts w:ascii="Times New Roman" w:hAnsi="Times New Roman" w:cs="Times New Roman"/>
        </w:rPr>
        <w:t>CSP</w:t>
      </w:r>
      <w:r w:rsidRPr="005E3FF5">
        <w:rPr>
          <w:rFonts w:ascii="Times New Roman" w:hAnsi="Times New Roman" w:cs="Times New Roman"/>
        </w:rPr>
        <w:t xml:space="preserve"> datu bāzēs pieejamajai informācijai līdz 30.09.2020., ietverot arī 30.09.2020. veikto IKP datu revīziju.</w:t>
      </w:r>
      <w:r w:rsidRPr="00BA7FA7">
        <w:rPr>
          <w:rFonts w:ascii="Times New Roman" w:hAnsi="Times New Roman" w:cs="Times New Roman"/>
        </w:rPr>
        <w:tab/>
      </w:r>
    </w:p>
  </w:footnote>
  <w:footnote w:id="2">
    <w:p w14:paraId="7FEC4B07" w14:textId="77777777" w:rsidR="000C25D0" w:rsidRPr="00935836" w:rsidRDefault="000C25D0" w:rsidP="00222F32">
      <w:pPr>
        <w:pStyle w:val="FootnoteText"/>
        <w:rPr>
          <w:rFonts w:ascii="Times New Roman" w:hAnsi="Times New Roman" w:cs="Times New Roman"/>
        </w:rPr>
      </w:pPr>
      <w:r w:rsidRPr="00935836">
        <w:rPr>
          <w:rStyle w:val="FootnoteReference"/>
          <w:rFonts w:ascii="Times New Roman" w:hAnsi="Times New Roman" w:cs="Times New Roman"/>
        </w:rPr>
        <w:footnoteRef/>
      </w:r>
      <w:r w:rsidRPr="00935836">
        <w:rPr>
          <w:rFonts w:ascii="Times New Roman" w:hAnsi="Times New Roman" w:cs="Times New Roman"/>
        </w:rPr>
        <w:t xml:space="preserve"> D</w:t>
      </w:r>
      <w:r w:rsidRPr="00E80840">
        <w:rPr>
          <w:rFonts w:ascii="Times New Roman" w:hAnsi="Times New Roman" w:cs="Times New Roman"/>
        </w:rPr>
        <w:t xml:space="preserve">atu avots: Latvijas, Lietuvas, Igaunijas statistikas pārvaldes, </w:t>
      </w:r>
      <w:hyperlink r:id="rId1" w:history="1">
        <w:r w:rsidRPr="00E80840">
          <w:rPr>
            <w:rFonts w:ascii="Times New Roman" w:hAnsi="Times New Roman" w:cs="Times New Roman"/>
          </w:rPr>
          <w:t>www.portnews.ru</w:t>
        </w:r>
      </w:hyperlink>
    </w:p>
  </w:footnote>
  <w:footnote w:id="3">
    <w:p w14:paraId="4C25C111" w14:textId="7AA503E3" w:rsidR="000C25D0" w:rsidRPr="00181CD3" w:rsidRDefault="000C25D0" w:rsidP="00D639E3">
      <w:pPr>
        <w:pStyle w:val="FootnoteText"/>
        <w:ind w:left="142" w:hanging="142"/>
        <w:jc w:val="both"/>
        <w:rPr>
          <w:rFonts w:ascii="Times New Roman" w:hAnsi="Times New Roman" w:cs="Times New Roman"/>
        </w:rPr>
      </w:pPr>
      <w:r w:rsidRPr="00181CD3">
        <w:rPr>
          <w:rFonts w:ascii="Times New Roman" w:hAnsi="Times New Roman" w:cs="Times New Roman"/>
          <w:vertAlign w:val="superscript"/>
        </w:rPr>
        <w:footnoteRef/>
      </w:r>
      <w:r w:rsidRPr="00181CD3">
        <w:rPr>
          <w:rFonts w:ascii="Times New Roman" w:hAnsi="Times New Roman" w:cs="Times New Roman"/>
          <w:vertAlign w:val="superscript"/>
        </w:rPr>
        <w:t xml:space="preserve"> </w:t>
      </w:r>
      <w:r w:rsidRPr="00181CD3">
        <w:rPr>
          <w:rFonts w:ascii="Times New Roman" w:hAnsi="Times New Roman" w:cs="Times New Roman"/>
        </w:rPr>
        <w:t xml:space="preserve">http://eur-lex.europa.eu: Jaunās regulas veido arī par Eiropas Semestra pamatu. Eiropas Semestris ir ES ekonomikas un budžeta politikas saskaņošanas ikgadējais cikls, kura ietvaros ES dalībvalstis saņem </w:t>
      </w:r>
      <w:r>
        <w:rPr>
          <w:rFonts w:ascii="Times New Roman" w:hAnsi="Times New Roman" w:cs="Times New Roman"/>
        </w:rPr>
        <w:t>EK</w:t>
      </w:r>
      <w:r w:rsidRPr="00181CD3">
        <w:rPr>
          <w:rFonts w:ascii="Times New Roman" w:hAnsi="Times New Roman" w:cs="Times New Roman"/>
        </w:rPr>
        <w:t xml:space="preserve"> ieteikumus - ieteikumi tiek sniegti </w:t>
      </w:r>
      <w:r>
        <w:rPr>
          <w:rFonts w:ascii="Times New Roman" w:hAnsi="Times New Roman" w:cs="Times New Roman"/>
        </w:rPr>
        <w:t>SIP</w:t>
      </w:r>
      <w:r w:rsidRPr="00181CD3">
        <w:rPr>
          <w:rFonts w:ascii="Times New Roman" w:hAnsi="Times New Roman" w:cs="Times New Roman"/>
        </w:rPr>
        <w:t xml:space="preserve"> un makroekonomikas nelīdzsvarotības novēršanas procedūras kontekstā.</w:t>
      </w:r>
    </w:p>
  </w:footnote>
  <w:footnote w:id="4">
    <w:p w14:paraId="6BBDEB0F" w14:textId="77777777" w:rsidR="000C25D0" w:rsidRPr="00164009" w:rsidRDefault="000C25D0" w:rsidP="00983CAA">
      <w:pPr>
        <w:pStyle w:val="FootnoteText"/>
        <w:ind w:left="142" w:hanging="142"/>
        <w:rPr>
          <w:rFonts w:ascii="Times New Roman" w:hAnsi="Times New Roman" w:cs="Times New Roman"/>
        </w:rPr>
      </w:pPr>
      <w:r w:rsidRPr="00164009">
        <w:rPr>
          <w:rStyle w:val="FootnoteReference"/>
          <w:rFonts w:ascii="Times New Roman" w:hAnsi="Times New Roman" w:cs="Times New Roman"/>
        </w:rPr>
        <w:footnoteRef/>
      </w:r>
      <w:r w:rsidRPr="00164009">
        <w:rPr>
          <w:rFonts w:ascii="Times New Roman" w:hAnsi="Times New Roman" w:cs="Times New Roman"/>
        </w:rPr>
        <w:t xml:space="preserve"> Nominālās vienības darbaspēka izmaksas (</w:t>
      </w:r>
      <w:r w:rsidRPr="00164009">
        <w:rPr>
          <w:rFonts w:ascii="Times New Roman" w:hAnsi="Times New Roman" w:cs="Times New Roman"/>
          <w:i/>
          <w:lang w:val="en-GB"/>
        </w:rPr>
        <w:t>Nominal Unit Labour Costs</w:t>
      </w:r>
      <w:r w:rsidRPr="00164009">
        <w:rPr>
          <w:rFonts w:ascii="Times New Roman" w:hAnsi="Times New Roman" w:cs="Times New Roman"/>
        </w:rPr>
        <w:t>) mēra vidējās darbaspēka izmaksas uz vienu saražoto produkcijas vienību</w:t>
      </w:r>
      <w:r>
        <w:rPr>
          <w:rFonts w:ascii="Times New Roman" w:hAnsi="Times New Roman" w:cs="Times New Roman"/>
        </w:rPr>
        <w:t>.</w:t>
      </w:r>
    </w:p>
  </w:footnote>
  <w:footnote w:id="5">
    <w:p w14:paraId="2F108656" w14:textId="77777777" w:rsidR="000C25D0" w:rsidRPr="00B94F9E" w:rsidRDefault="000C25D0" w:rsidP="00983CAA">
      <w:pPr>
        <w:pStyle w:val="FootnoteText"/>
        <w:rPr>
          <w:rFonts w:ascii="Times New Roman" w:eastAsiaTheme="minorHAnsi" w:hAnsi="Times New Roman" w:cs="Times New Roman"/>
          <w:color w:val="000000"/>
        </w:rPr>
      </w:pPr>
      <w:r w:rsidRPr="00B94F9E">
        <w:rPr>
          <w:rFonts w:ascii="Times New Roman" w:hAnsi="Times New Roman" w:cs="Times New Roman"/>
          <w:vertAlign w:val="superscript"/>
        </w:rPr>
        <w:footnoteRef/>
      </w:r>
      <w:r w:rsidRPr="00B94F9E">
        <w:rPr>
          <w:rFonts w:ascii="Times New Roman" w:hAnsi="Times New Roman" w:cs="Times New Roman"/>
        </w:rPr>
        <w:t xml:space="preserve"> </w:t>
      </w:r>
      <w:hyperlink r:id="rId2" w:history="1">
        <w:r w:rsidRPr="00B94F9E">
          <w:rPr>
            <w:rFonts w:ascii="Times New Roman" w:eastAsiaTheme="minorHAnsi" w:hAnsi="Times New Roman" w:cs="Times New Roman"/>
            <w:color w:val="000000"/>
          </w:rPr>
          <w:t>http://ec.europa.eu/</w:t>
        </w:r>
      </w:hyperlink>
      <w:r w:rsidRPr="00B94F9E">
        <w:rPr>
          <w:rFonts w:ascii="Times New Roman" w:eastAsiaTheme="minorHAnsi" w:hAnsi="Times New Roman" w:cs="Times New Roman"/>
          <w:color w:val="000000"/>
        </w:rPr>
        <w:t xml:space="preserve">; </w:t>
      </w:r>
      <w:r w:rsidRPr="00B03BE4">
        <w:rPr>
          <w:rFonts w:ascii="Times New Roman" w:eastAsiaTheme="minorHAnsi" w:hAnsi="Times New Roman" w:cs="Times New Roman"/>
          <w:color w:val="000000"/>
          <w:lang w:val="en-GB"/>
        </w:rPr>
        <w:t>Alert Mechanism Report</w:t>
      </w:r>
      <w:r w:rsidRPr="00B94F9E">
        <w:rPr>
          <w:rFonts w:ascii="Times New Roman" w:eastAsiaTheme="minorHAnsi" w:hAnsi="Times New Roman" w:cs="Times New Roman"/>
          <w:color w:val="000000"/>
        </w:rPr>
        <w:t xml:space="preserve"> 2019 </w:t>
      </w:r>
    </w:p>
  </w:footnote>
  <w:footnote w:id="6">
    <w:p w14:paraId="7C10A511" w14:textId="77777777" w:rsidR="000C25D0" w:rsidRPr="00792CED" w:rsidRDefault="000C25D0" w:rsidP="00294F87">
      <w:pPr>
        <w:pStyle w:val="FootnoteText"/>
        <w:rPr>
          <w:rFonts w:ascii="Times New Roman" w:hAnsi="Times New Roman" w:cs="Times New Roman"/>
        </w:rPr>
      </w:pPr>
      <w:r w:rsidRPr="00792CED">
        <w:rPr>
          <w:rStyle w:val="FootnoteReference"/>
          <w:rFonts w:ascii="Times New Roman" w:hAnsi="Times New Roman" w:cs="Times New Roman"/>
        </w:rPr>
        <w:footnoteRef/>
      </w:r>
      <w:r w:rsidRPr="00792CED">
        <w:rPr>
          <w:rFonts w:ascii="Times New Roman" w:hAnsi="Times New Roman" w:cs="Times New Roman"/>
        </w:rPr>
        <w:t xml:space="preserve"> Procentu likmei saglabājoties kā bāzes scenārijā.</w:t>
      </w:r>
    </w:p>
  </w:footnote>
  <w:footnote w:id="7">
    <w:p w14:paraId="2BF45CEF" w14:textId="77777777" w:rsidR="000C25D0" w:rsidRPr="00B70782" w:rsidRDefault="000C25D0" w:rsidP="00792CED">
      <w:pPr>
        <w:pStyle w:val="FootnoteText"/>
        <w:rPr>
          <w:rFonts w:ascii="Times New Roman" w:hAnsi="Times New Roman" w:cs="Times New Roman"/>
          <w:sz w:val="16"/>
          <w:szCs w:val="16"/>
        </w:rPr>
      </w:pPr>
      <w:r w:rsidRPr="00B70782">
        <w:rPr>
          <w:rStyle w:val="FootnoteReference"/>
          <w:sz w:val="16"/>
          <w:szCs w:val="16"/>
        </w:rPr>
        <w:footnoteRef/>
      </w:r>
      <w:r w:rsidRPr="00B70782">
        <w:rPr>
          <w:rFonts w:ascii="Times New Roman" w:hAnsi="Times New Roman" w:cs="Times New Roman"/>
          <w:sz w:val="16"/>
          <w:szCs w:val="16"/>
        </w:rPr>
        <w:t xml:space="preserve"> Procentu likmei saglabājoties kā bāzes sc</w:t>
      </w:r>
      <w:r>
        <w:rPr>
          <w:rFonts w:ascii="Times New Roman" w:hAnsi="Times New Roman" w:cs="Times New Roman"/>
          <w:sz w:val="16"/>
          <w:szCs w:val="16"/>
        </w:rPr>
        <w:t>enārijā</w:t>
      </w:r>
      <w:r w:rsidRPr="00B70782">
        <w:rPr>
          <w:rFonts w:ascii="Times New Roman" w:hAnsi="Times New Roman" w:cs="Times New Roman"/>
          <w:sz w:val="16"/>
          <w:szCs w:val="16"/>
        </w:rPr>
        <w:t>.</w:t>
      </w:r>
    </w:p>
  </w:footnote>
  <w:footnote w:id="8">
    <w:p w14:paraId="26D7BCEC" w14:textId="77777777" w:rsidR="000C25D0" w:rsidRPr="00411AA1" w:rsidRDefault="000C25D0" w:rsidP="00DF70B4">
      <w:pPr>
        <w:pStyle w:val="FootnoteText"/>
        <w:ind w:left="142" w:hanging="142"/>
        <w:jc w:val="both"/>
        <w:rPr>
          <w:rFonts w:ascii="Times New Roman" w:hAnsi="Times New Roman" w:cs="Times New Roman"/>
          <w:sz w:val="16"/>
        </w:rPr>
      </w:pPr>
      <w:r w:rsidRPr="00411AA1">
        <w:rPr>
          <w:rStyle w:val="FootnoteReference"/>
          <w:rFonts w:ascii="Times New Roman" w:hAnsi="Times New Roman" w:cs="Times New Roman"/>
          <w:sz w:val="18"/>
        </w:rPr>
        <w:footnoteRef/>
      </w:r>
      <w:r w:rsidRPr="00411AA1">
        <w:rPr>
          <w:rFonts w:ascii="Times New Roman" w:hAnsi="Times New Roman" w:cs="Times New Roman"/>
        </w:rPr>
        <w:t xml:space="preserve"> Tabulā ir atspoguļotas attiecīgā gada prognozes, kas izstrādātas vienu gadu iepriekš (T-1). Piemēram, 2020. gada prognozes ir izstrādātas 2019. gadā. FM prognozes ir attiecīgā gada budžeta prognozes, kas izstrādātas iepriekšējā gada jūnijā, izņemot 2011. un 2012., 2015., kā arī 2018. gada budžetus, kad iepriekšējā gada rudenī notika Saeimas vēlēšanas un prognozes tika sagatavotas vēlāk rudenī. OECD, SVF un EK prognozes ir minēto institūciju tekošajā gadā publicētās jaunākās (līdz attiecīgā gada jūnijam) prognozes par nākošo gadu.</w:t>
      </w:r>
    </w:p>
  </w:footnote>
  <w:footnote w:id="9">
    <w:p w14:paraId="3B9241DD" w14:textId="34324F00" w:rsidR="000C25D0" w:rsidRPr="008643AC" w:rsidRDefault="000C25D0" w:rsidP="008643AC">
      <w:pPr>
        <w:pStyle w:val="FootnoteText"/>
        <w:ind w:left="142" w:hanging="142"/>
        <w:rPr>
          <w:rFonts w:ascii="Times New Roman" w:hAnsi="Times New Roman" w:cs="Times New Roman"/>
        </w:rPr>
      </w:pPr>
      <w:r w:rsidRPr="008643AC">
        <w:rPr>
          <w:rStyle w:val="FootnoteReference"/>
          <w:rFonts w:ascii="Times New Roman" w:hAnsi="Times New Roman" w:cs="Times New Roman"/>
        </w:rPr>
        <w:footnoteRef/>
      </w:r>
      <w:r w:rsidRPr="008643AC">
        <w:rPr>
          <w:rFonts w:ascii="Times New Roman" w:hAnsi="Times New Roman" w:cs="Times New Roman"/>
        </w:rPr>
        <w:t xml:space="preserve"> Valsts (S130130) vai pašvaldību struktūru (S130330) kontrolētās un finansētās komercsabiedrības. Komersantu saraksts ir pieejams C</w:t>
      </w:r>
      <w:r>
        <w:rPr>
          <w:rFonts w:ascii="Times New Roman" w:hAnsi="Times New Roman" w:cs="Times New Roman"/>
        </w:rPr>
        <w:t xml:space="preserve">SP oficiālajā tīmekļa vietnē: </w:t>
      </w:r>
      <w:r w:rsidRPr="008643AC">
        <w:rPr>
          <w:rFonts w:ascii="Times New Roman" w:hAnsi="Times New Roman" w:cs="Times New Roman"/>
        </w:rPr>
        <w:t xml:space="preserve"> https://www.csb.gov.lv/lv/statistika/klasifikacijas/institucionalo-sektoru-klasifikacija/kodi</w:t>
      </w:r>
    </w:p>
  </w:footnote>
  <w:footnote w:id="10">
    <w:p w14:paraId="74F58815" w14:textId="74673EA2" w:rsidR="000C25D0" w:rsidRPr="004129D2" w:rsidRDefault="000C25D0" w:rsidP="008643AC">
      <w:pPr>
        <w:pStyle w:val="FootnoteText"/>
        <w:ind w:left="142" w:hanging="142"/>
        <w:rPr>
          <w:sz w:val="17"/>
          <w:szCs w:val="17"/>
        </w:rPr>
      </w:pPr>
      <w:r w:rsidRPr="008643AC">
        <w:rPr>
          <w:rStyle w:val="FootnoteReference"/>
          <w:rFonts w:ascii="Times New Roman" w:hAnsi="Times New Roman" w:cs="Times New Roman"/>
        </w:rPr>
        <w:footnoteRef/>
      </w:r>
      <w:r w:rsidRPr="008643AC">
        <w:rPr>
          <w:rFonts w:ascii="Times New Roman" w:hAnsi="Times New Roman" w:cs="Times New Roman"/>
        </w:rPr>
        <w:t xml:space="preserve"> No valsts budžeta daļēji finansēto atvasināto publisko personu (S130160) un budžeta nefinansēto iestāžu budžeti (</w:t>
      </w:r>
      <w:r>
        <w:rPr>
          <w:rFonts w:ascii="Times New Roman" w:hAnsi="Times New Roman" w:cs="Times New Roman"/>
        </w:rPr>
        <w:t xml:space="preserve">S130150). Iestāžu saraksts ir atrodams CSP oficiālajā tīmekļa vietnē: </w:t>
      </w:r>
      <w:r w:rsidRPr="008643AC">
        <w:rPr>
          <w:rFonts w:ascii="Times New Roman" w:hAnsi="Times New Roman" w:cs="Times New Roman"/>
        </w:rPr>
        <w:t>https://www.csb.gov.lv/lv/statistika/klasifikacijas/institucionalo-sektoru-klasifikacija/kodi</w:t>
      </w:r>
    </w:p>
  </w:footnote>
  <w:footnote w:id="11">
    <w:p w14:paraId="1ECEDDF9" w14:textId="77777777" w:rsidR="000C25D0" w:rsidRPr="00294F87" w:rsidRDefault="000C25D0" w:rsidP="00294F87">
      <w:pPr>
        <w:pStyle w:val="FootnoteText"/>
        <w:rPr>
          <w:rFonts w:ascii="Times New Roman" w:hAnsi="Times New Roman" w:cs="Times New Roman"/>
        </w:rPr>
      </w:pPr>
      <w:r w:rsidRPr="00294F87">
        <w:rPr>
          <w:rStyle w:val="FootnoteReference"/>
          <w:rFonts w:ascii="Times New Roman" w:hAnsi="Times New Roman" w:cs="Times New Roman"/>
        </w:rPr>
        <w:footnoteRef/>
      </w:r>
      <w:r w:rsidRPr="00294F87">
        <w:rPr>
          <w:rFonts w:ascii="Times New Roman" w:hAnsi="Times New Roman" w:cs="Times New Roman"/>
        </w:rPr>
        <w:t xml:space="preserve"> Nodokļu ieņēmumi (</w:t>
      </w:r>
      <w:r w:rsidRPr="00294F87">
        <w:rPr>
          <w:rFonts w:ascii="Times New Roman" w:hAnsi="Times New Roman" w:cs="Times New Roman"/>
          <w:i/>
          <w:noProof/>
          <w:lang w:val="en-US"/>
        </w:rPr>
        <w:t>Tax burden</w:t>
      </w:r>
      <w:r w:rsidRPr="00294F87">
        <w:rPr>
          <w:rFonts w:ascii="Times New Roman" w:hAnsi="Times New Roman" w:cs="Times New Roman"/>
        </w:rPr>
        <w:t>) atbilstoši EKS metodoloģijai (D.2 (</w:t>
      </w:r>
      <w:r w:rsidRPr="00294F87">
        <w:rPr>
          <w:rFonts w:ascii="Times New Roman" w:hAnsi="Times New Roman" w:cs="Times New Roman"/>
          <w:i/>
          <w:noProof/>
          <w:lang w:val="en-US"/>
        </w:rPr>
        <w:t>including those collected by EU</w:t>
      </w:r>
      <w:r w:rsidRPr="00294F87">
        <w:rPr>
          <w:rFonts w:ascii="Times New Roman" w:hAnsi="Times New Roman" w:cs="Times New Roman"/>
        </w:rPr>
        <w:t>) + D.5 + D.61 + D.91 - D.995).</w:t>
      </w:r>
    </w:p>
  </w:footnote>
  <w:footnote w:id="12">
    <w:p w14:paraId="001220D8" w14:textId="5C78B922" w:rsidR="000C25D0" w:rsidRPr="005D5F3A" w:rsidRDefault="000C25D0">
      <w:pPr>
        <w:pStyle w:val="FootnoteText"/>
        <w:rPr>
          <w:rFonts w:ascii="Times New Roman" w:hAnsi="Times New Roman" w:cs="Times New Roman"/>
        </w:rPr>
      </w:pPr>
      <w:r w:rsidRPr="00400235">
        <w:rPr>
          <w:rStyle w:val="FootnoteReference"/>
          <w:rFonts w:ascii="Times New Roman" w:hAnsi="Times New Roman" w:cs="Times New Roman"/>
        </w:rPr>
        <w:footnoteRef/>
      </w:r>
      <w:r w:rsidRPr="00400235">
        <w:rPr>
          <w:rFonts w:ascii="Times New Roman" w:hAnsi="Times New Roman" w:cs="Times New Roman"/>
        </w:rPr>
        <w:t xml:space="preserve"> </w:t>
      </w:r>
      <w:r w:rsidRPr="00400235">
        <w:rPr>
          <w:rFonts w:ascii="Times New Roman" w:hAnsi="Times New Roman" w:cs="Times New Roman"/>
          <w:color w:val="000000"/>
        </w:rPr>
        <w:t>OECD datu bāze (skatīts 02.10.2020.)</w:t>
      </w:r>
    </w:p>
  </w:footnote>
  <w:footnote w:id="13">
    <w:p w14:paraId="7BF4BD24" w14:textId="00329AA7" w:rsidR="000C25D0" w:rsidRPr="005D5F3A" w:rsidRDefault="000C25D0">
      <w:pPr>
        <w:pStyle w:val="FootnoteText"/>
        <w:rPr>
          <w:rFonts w:ascii="Times New Roman" w:hAnsi="Times New Roman" w:cs="Times New Roman"/>
        </w:rPr>
      </w:pPr>
      <w:r w:rsidRPr="00400235">
        <w:rPr>
          <w:rStyle w:val="FootnoteReference"/>
          <w:rFonts w:ascii="Times New Roman" w:hAnsi="Times New Roman" w:cs="Times New Roman"/>
        </w:rPr>
        <w:footnoteRef/>
      </w:r>
      <w:r w:rsidRPr="00400235">
        <w:rPr>
          <w:rFonts w:ascii="Times New Roman" w:hAnsi="Times New Roman" w:cs="Times New Roman"/>
        </w:rPr>
        <w:t xml:space="preserve"> Latvijas veselības aprūpes infrastruktūras ģenerālplāns 2016. – 2025</w:t>
      </w:r>
      <w:r>
        <w:rPr>
          <w:rFonts w:ascii="Times New Roman" w:hAnsi="Times New Roman" w:cs="Times New Roman"/>
        </w:rPr>
        <w:t>.gadam (8.lpp.), Pasaules Banka</w:t>
      </w:r>
    </w:p>
  </w:footnote>
  <w:footnote w:id="14">
    <w:p w14:paraId="2B3B3782" w14:textId="2277FFE3" w:rsidR="000C25D0" w:rsidRPr="003D0245" w:rsidRDefault="000C25D0" w:rsidP="003D0245">
      <w:pPr>
        <w:pStyle w:val="FootnoteText"/>
        <w:tabs>
          <w:tab w:val="left" w:pos="266"/>
        </w:tabs>
        <w:ind w:left="284" w:hanging="284"/>
        <w:jc w:val="both"/>
        <w:rPr>
          <w:rFonts w:ascii="Times New Roman" w:hAnsi="Times New Roman" w:cs="Times New Roman"/>
        </w:rPr>
      </w:pPr>
      <w:r w:rsidRPr="003D0245">
        <w:rPr>
          <w:rStyle w:val="FootnoteReference"/>
          <w:rFonts w:ascii="Times New Roman" w:hAnsi="Times New Roman" w:cs="Times New Roman"/>
        </w:rPr>
        <w:footnoteRef/>
      </w:r>
      <w:r w:rsidRPr="003D0245">
        <w:rPr>
          <w:rFonts w:ascii="Times New Roman" w:hAnsi="Times New Roman" w:cs="Times New Roman"/>
        </w:rPr>
        <w:t xml:space="preserve"> </w:t>
      </w:r>
      <w:r w:rsidRPr="003D0245">
        <w:rPr>
          <w:rFonts w:ascii="Times New Roman" w:hAnsi="Times New Roman" w:cs="Times New Roman"/>
        </w:rPr>
        <w:tab/>
        <w:t>Valsts sociālās apdrošināšanas aģentūras dati uz 2019.gada aprīli par vidējo</w:t>
      </w:r>
      <w:r>
        <w:rPr>
          <w:rFonts w:ascii="Times New Roman" w:hAnsi="Times New Roman" w:cs="Times New Roman"/>
        </w:rPr>
        <w:t xml:space="preserve"> darba ņēmēju </w:t>
      </w:r>
      <w:r w:rsidRPr="003D0245">
        <w:rPr>
          <w:rFonts w:ascii="Times New Roman" w:hAnsi="Times New Roman" w:cs="Times New Roman"/>
        </w:rPr>
        <w:t xml:space="preserve">(neieskaitot mikrouzņēmuma režīmā strādājošos) un pašnodarbināto personu </w:t>
      </w:r>
      <w:r w:rsidRPr="003D0245">
        <w:rPr>
          <w:rFonts w:ascii="Times New Roman" w:eastAsia="Times New Roman" w:hAnsi="Times New Roman" w:cs="Times New Roman"/>
          <w:bCs/>
          <w:lang w:eastAsia="lv-LV"/>
        </w:rPr>
        <w:t>(</w:t>
      </w:r>
      <w:r w:rsidRPr="003D0245">
        <w:rPr>
          <w:rFonts w:ascii="Times New Roman" w:hAnsi="Times New Roman" w:cs="Times New Roman"/>
        </w:rPr>
        <w:t>ieskaitot patentmaksātājus un autoratlīdzības saņēmējus)</w:t>
      </w:r>
      <w:r w:rsidRPr="003D0245">
        <w:rPr>
          <w:rFonts w:ascii="Times New Roman" w:eastAsia="Times New Roman" w:hAnsi="Times New Roman" w:cs="Times New Roman"/>
          <w:bCs/>
          <w:lang w:eastAsia="lv-LV"/>
        </w:rPr>
        <w:t xml:space="preserve"> </w:t>
      </w:r>
      <w:r w:rsidRPr="003D0245">
        <w:rPr>
          <w:rFonts w:ascii="Times New Roman" w:hAnsi="Times New Roman" w:cs="Times New Roman"/>
        </w:rPr>
        <w:t xml:space="preserve">skaitu, kuru </w:t>
      </w:r>
      <w:r w:rsidRPr="003D0245">
        <w:rPr>
          <w:rFonts w:ascii="Times New Roman" w:hAnsi="Times New Roman" w:cs="Times New Roman"/>
          <w:color w:val="000000" w:themeColor="text1"/>
        </w:rPr>
        <w:t xml:space="preserve">vidējais veicamais iemaksu objekts </w:t>
      </w:r>
      <w:r w:rsidRPr="003D0245">
        <w:rPr>
          <w:rFonts w:ascii="Times New Roman" w:hAnsi="Times New Roman" w:cs="Times New Roman"/>
        </w:rPr>
        <w:t>bija no 0,01 līdz 429,99 </w:t>
      </w:r>
      <w:r w:rsidRPr="003D0245">
        <w:rPr>
          <w:rFonts w:ascii="Times New Roman" w:hAnsi="Times New Roman" w:cs="Times New Roman"/>
          <w:i/>
        </w:rPr>
        <w:t xml:space="preserve">euro </w:t>
      </w:r>
      <w:r w:rsidRPr="003D0245">
        <w:rPr>
          <w:rFonts w:ascii="Times New Roman" w:hAnsi="Times New Roman" w:cs="Times New Roman"/>
        </w:rPr>
        <w:t>mēnesī</w:t>
      </w:r>
    </w:p>
  </w:footnote>
  <w:footnote w:id="15">
    <w:p w14:paraId="1C39F6F2" w14:textId="41CF2098" w:rsidR="000C25D0" w:rsidRPr="00900767" w:rsidRDefault="000C25D0" w:rsidP="00AC087C">
      <w:pPr>
        <w:pStyle w:val="FootnoteText"/>
        <w:rPr>
          <w:rFonts w:ascii="Times New Roman" w:hAnsi="Times New Roman" w:cs="Times New Roman"/>
        </w:rPr>
      </w:pPr>
      <w:r w:rsidRPr="00900767">
        <w:rPr>
          <w:rStyle w:val="FootnoteReference"/>
          <w:rFonts w:ascii="Times New Roman" w:hAnsi="Times New Roman" w:cs="Times New Roman"/>
        </w:rPr>
        <w:footnoteRef/>
      </w:r>
      <w:r w:rsidRPr="00900767">
        <w:rPr>
          <w:rFonts w:ascii="Times New Roman" w:hAnsi="Times New Roman" w:cs="Times New Roman"/>
        </w:rPr>
        <w:t xml:space="preserve"> Neieskaitot iemaks</w:t>
      </w:r>
      <w:r>
        <w:rPr>
          <w:rFonts w:ascii="Times New Roman" w:hAnsi="Times New Roman" w:cs="Times New Roman"/>
        </w:rPr>
        <w:t>as valsts fondēto pensiju shēmā.</w:t>
      </w:r>
    </w:p>
  </w:footnote>
  <w:footnote w:id="16">
    <w:p w14:paraId="58887372" w14:textId="71C002F0" w:rsidR="000C25D0" w:rsidRPr="00DB596B" w:rsidRDefault="000C25D0" w:rsidP="00DB596B">
      <w:pPr>
        <w:pStyle w:val="FootnoteText"/>
        <w:ind w:left="142" w:hanging="142"/>
        <w:rPr>
          <w:rFonts w:ascii="Times New Roman" w:hAnsi="Times New Roman" w:cs="Times New Roman"/>
        </w:rPr>
      </w:pPr>
      <w:r w:rsidRPr="00DB596B">
        <w:rPr>
          <w:rStyle w:val="FootnoteReference"/>
          <w:rFonts w:ascii="Times New Roman" w:hAnsi="Times New Roman" w:cs="Times New Roman"/>
        </w:rPr>
        <w:footnoteRef/>
      </w:r>
      <w:r w:rsidRPr="00DB596B">
        <w:rPr>
          <w:rFonts w:ascii="Times New Roman" w:hAnsi="Times New Roman" w:cs="Times New Roman"/>
        </w:rPr>
        <w:t xml:space="preserve"> Neieskaitot valsts sociālās apdrošināšanas iemaksas fondēto pensiju shēmā, 3.pensiju līmenī un solidaritātes nodokli</w:t>
      </w:r>
      <w:r>
        <w:rPr>
          <w:rFonts w:ascii="Times New Roman" w:hAnsi="Times New Roman" w:cs="Times New Roman"/>
        </w:rPr>
        <w:t>.</w:t>
      </w:r>
    </w:p>
  </w:footnote>
  <w:footnote w:id="17">
    <w:p w14:paraId="29E65ED9" w14:textId="77777777" w:rsidR="000C25D0" w:rsidRPr="0039031D" w:rsidRDefault="000C25D0" w:rsidP="00891B25">
      <w:pPr>
        <w:pStyle w:val="FootnoteText"/>
        <w:ind w:left="142" w:hanging="142"/>
        <w:rPr>
          <w:rFonts w:ascii="Times New Roman" w:hAnsi="Times New Roman" w:cs="Times New Roman"/>
        </w:rPr>
      </w:pPr>
      <w:r w:rsidRPr="0039031D">
        <w:rPr>
          <w:rStyle w:val="FootnoteReference"/>
          <w:rFonts w:ascii="Times New Roman" w:hAnsi="Times New Roman" w:cs="Times New Roman"/>
        </w:rPr>
        <w:footnoteRef/>
      </w:r>
      <w:r w:rsidRPr="0039031D">
        <w:rPr>
          <w:rFonts w:ascii="Times New Roman" w:hAnsi="Times New Roman" w:cs="Times New Roman"/>
        </w:rPr>
        <w:t xml:space="preserve"> </w:t>
      </w:r>
      <w:r w:rsidRPr="009775E7">
        <w:rPr>
          <w:rFonts w:ascii="Times New Roman" w:hAnsi="Times New Roman" w:cs="Times New Roman"/>
        </w:rPr>
        <w:t>Nominālvērtībā</w:t>
      </w:r>
      <w:r>
        <w:rPr>
          <w:rFonts w:ascii="Times New Roman" w:hAnsi="Times New Roman" w:cs="Times New Roman"/>
        </w:rPr>
        <w:t>,</w:t>
      </w:r>
      <w:r w:rsidRPr="009775E7">
        <w:rPr>
          <w:rFonts w:ascii="Times New Roman" w:hAnsi="Times New Roman" w:cs="Times New Roman"/>
        </w:rPr>
        <w:t xml:space="preserve"> </w:t>
      </w:r>
      <w:r>
        <w:rPr>
          <w:rFonts w:ascii="Times New Roman" w:hAnsi="Times New Roman" w:cs="Times New Roman"/>
        </w:rPr>
        <w:t>ņ</w:t>
      </w:r>
      <w:r w:rsidRPr="0039031D">
        <w:rPr>
          <w:rFonts w:ascii="Times New Roman" w:hAnsi="Times New Roman" w:cs="Times New Roman"/>
        </w:rPr>
        <w:t>emot vērā Valsts kases administrētajiem ārējiem aizņēmumiem un parāda vērtspapīriem piesaistīto atvasināto finanšu instrumentu valūtas rezultātu</w:t>
      </w:r>
    </w:p>
  </w:footnote>
  <w:footnote w:id="18">
    <w:p w14:paraId="0F7C4EA3" w14:textId="0116797E" w:rsidR="000C25D0" w:rsidRPr="003347CE" w:rsidRDefault="000C25D0">
      <w:pPr>
        <w:pStyle w:val="FootnoteText"/>
        <w:rPr>
          <w:lang w:val="en-US"/>
        </w:rPr>
      </w:pPr>
      <w:r>
        <w:rPr>
          <w:rStyle w:val="FootnoteReference"/>
        </w:rPr>
        <w:footnoteRef/>
      </w:r>
      <w:r>
        <w:t xml:space="preserve"> </w:t>
      </w:r>
      <w:r w:rsidRPr="006E4EE0">
        <w:rPr>
          <w:rFonts w:ascii="Times New Roman" w:hAnsi="Times New Roman" w:cs="Times New Roman"/>
          <w:sz w:val="18"/>
        </w:rPr>
        <w:t>2020.gada ziņojumā p</w:t>
      </w:r>
      <w:r>
        <w:rPr>
          <w:rFonts w:ascii="Times New Roman" w:hAnsi="Times New Roman" w:cs="Times New Roman"/>
          <w:sz w:val="18"/>
        </w:rPr>
        <w:t>ar Latviju tiek izmantoti 2018.</w:t>
      </w:r>
      <w:r w:rsidRPr="006E4EE0">
        <w:rPr>
          <w:rFonts w:ascii="Times New Roman" w:hAnsi="Times New Roman" w:cs="Times New Roman"/>
          <w:sz w:val="18"/>
        </w:rPr>
        <w:t>gada statistikas dati</w:t>
      </w:r>
      <w:r>
        <w:rPr>
          <w:rFonts w:ascii="Times New Roman" w:hAnsi="Times New Roman" w:cs="Times New Roman"/>
          <w:sz w:val="18"/>
        </w:rPr>
        <w:t>.</w:t>
      </w:r>
    </w:p>
  </w:footnote>
  <w:footnote w:id="19">
    <w:p w14:paraId="46C4AD44" w14:textId="0545C8DB" w:rsidR="000C25D0" w:rsidRPr="003347CE" w:rsidRDefault="000C25D0">
      <w:pPr>
        <w:pStyle w:val="FootnoteText"/>
        <w:rPr>
          <w:lang w:val="en-US"/>
        </w:rPr>
      </w:pPr>
      <w:r w:rsidRPr="003347CE">
        <w:rPr>
          <w:rStyle w:val="FootnoteReference"/>
          <w:rFonts w:ascii="Times New Roman" w:hAnsi="Times New Roman" w:cs="Times New Roman"/>
        </w:rPr>
        <w:footnoteRef/>
      </w:r>
      <w:r w:rsidRPr="003347CE">
        <w:rPr>
          <w:rFonts w:ascii="Times New Roman" w:hAnsi="Times New Roman" w:cs="Times New Roman"/>
        </w:rPr>
        <w:t xml:space="preserve"> </w:t>
      </w:r>
      <w:r>
        <w:rPr>
          <w:rFonts w:ascii="Times New Roman" w:hAnsi="Times New Roman" w:cs="Times New Roman"/>
          <w:sz w:val="18"/>
        </w:rPr>
        <w:t>P</w:t>
      </w:r>
      <w:r w:rsidRPr="006E4EE0">
        <w:rPr>
          <w:rFonts w:ascii="Times New Roman" w:hAnsi="Times New Roman" w:cs="Times New Roman"/>
          <w:sz w:val="18"/>
        </w:rPr>
        <w:t xml:space="preserve">ēdējā ailē ir norādīts provizorisks novērtējums par 2019.gadu no </w:t>
      </w:r>
      <w:r w:rsidRPr="006E4EE0">
        <w:rPr>
          <w:rFonts w:ascii="Times New Roman" w:hAnsi="Times New Roman" w:cs="Times New Roman"/>
          <w:i/>
          <w:sz w:val="18"/>
        </w:rPr>
        <w:t>Eurostat</w:t>
      </w:r>
      <w:r w:rsidRPr="006E4EE0">
        <w:rPr>
          <w:rFonts w:ascii="Times New Roman" w:hAnsi="Times New Roman" w:cs="Times New Roman"/>
          <w:sz w:val="18"/>
        </w:rPr>
        <w:t xml:space="preserve"> datiem, kas tiks izmantots par pamatu 2021.gada AMR ziņojuma sagatav</w:t>
      </w:r>
      <w:r>
        <w:rPr>
          <w:rFonts w:ascii="Times New Roman" w:hAnsi="Times New Roman" w:cs="Times New Roman"/>
          <w:sz w:val="18"/>
        </w:rPr>
        <w:t>ošanā, kas tiks publicēts 2020.</w:t>
      </w:r>
      <w:r w:rsidRPr="006E4EE0">
        <w:rPr>
          <w:rFonts w:ascii="Times New Roman" w:hAnsi="Times New Roman" w:cs="Times New Roman"/>
          <w:sz w:val="18"/>
        </w:rPr>
        <w:t>gada nogalē</w:t>
      </w:r>
      <w:r>
        <w:rPr>
          <w:rFonts w:ascii="Times New Roman" w:hAnsi="Times New Roman" w:cs="Times New Roman"/>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534582"/>
      <w:docPartObj>
        <w:docPartGallery w:val="Page Numbers (Top of Page)"/>
        <w:docPartUnique/>
      </w:docPartObj>
    </w:sdtPr>
    <w:sdtEndPr>
      <w:rPr>
        <w:rFonts w:ascii="Times New Roman" w:hAnsi="Times New Roman" w:cs="Times New Roman"/>
        <w:noProof/>
        <w:sz w:val="24"/>
        <w:szCs w:val="24"/>
      </w:rPr>
    </w:sdtEndPr>
    <w:sdtContent>
      <w:p w14:paraId="263BCA2D" w14:textId="70632199" w:rsidR="000C25D0" w:rsidRPr="00677573" w:rsidRDefault="000C25D0">
        <w:pPr>
          <w:pStyle w:val="Header"/>
          <w:jc w:val="center"/>
          <w:rPr>
            <w:rFonts w:ascii="Times New Roman" w:hAnsi="Times New Roman" w:cs="Times New Roman"/>
            <w:sz w:val="24"/>
            <w:szCs w:val="24"/>
          </w:rPr>
        </w:pPr>
        <w:r w:rsidRPr="00677573">
          <w:rPr>
            <w:rFonts w:ascii="Times New Roman" w:hAnsi="Times New Roman" w:cs="Times New Roman"/>
            <w:sz w:val="24"/>
            <w:szCs w:val="24"/>
          </w:rPr>
          <w:fldChar w:fldCharType="begin"/>
        </w:r>
        <w:r w:rsidRPr="00677573">
          <w:rPr>
            <w:rFonts w:ascii="Times New Roman" w:hAnsi="Times New Roman" w:cs="Times New Roman"/>
            <w:sz w:val="24"/>
            <w:szCs w:val="24"/>
          </w:rPr>
          <w:instrText xml:space="preserve"> PAGE   \* MERGEFORMAT </w:instrText>
        </w:r>
        <w:r w:rsidRPr="00677573">
          <w:rPr>
            <w:rFonts w:ascii="Times New Roman" w:hAnsi="Times New Roman" w:cs="Times New Roman"/>
            <w:sz w:val="24"/>
            <w:szCs w:val="24"/>
          </w:rPr>
          <w:fldChar w:fldCharType="separate"/>
        </w:r>
        <w:r w:rsidR="00295172">
          <w:rPr>
            <w:rFonts w:ascii="Times New Roman" w:hAnsi="Times New Roman" w:cs="Times New Roman"/>
            <w:noProof/>
            <w:sz w:val="24"/>
            <w:szCs w:val="24"/>
          </w:rPr>
          <w:t>89</w:t>
        </w:r>
        <w:r w:rsidRPr="00677573">
          <w:rPr>
            <w:rFonts w:ascii="Times New Roman" w:hAnsi="Times New Roman" w:cs="Times New Roman"/>
            <w:noProof/>
            <w:sz w:val="24"/>
            <w:szCs w:val="24"/>
          </w:rPr>
          <w:fldChar w:fldCharType="end"/>
        </w:r>
      </w:p>
    </w:sdtContent>
  </w:sdt>
  <w:p w14:paraId="5EC7E9B3" w14:textId="77777777" w:rsidR="000C25D0" w:rsidRDefault="000C25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36C"/>
    <w:multiLevelType w:val="hybridMultilevel"/>
    <w:tmpl w:val="786EA0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E061A8"/>
    <w:multiLevelType w:val="hybridMultilevel"/>
    <w:tmpl w:val="0972B144"/>
    <w:lvl w:ilvl="0" w:tplc="04260001">
      <w:start w:val="1"/>
      <w:numFmt w:val="bullet"/>
      <w:lvlText w:val=""/>
      <w:lvlJc w:val="left"/>
      <w:pPr>
        <w:ind w:left="1429" w:hanging="360"/>
      </w:pPr>
      <w:rPr>
        <w:rFonts w:ascii="Symbol" w:hAnsi="Symbol" w:hint="default"/>
      </w:rPr>
    </w:lvl>
    <w:lvl w:ilvl="1" w:tplc="E4B4502C">
      <w:start w:val="1"/>
      <w:numFmt w:val="bullet"/>
      <w:lvlText w:val=""/>
      <w:lvlJc w:val="left"/>
      <w:pPr>
        <w:ind w:left="2149" w:hanging="360"/>
      </w:pPr>
      <w:rPr>
        <w:rFonts w:ascii="Symbol" w:hAnsi="Symbol"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 w15:restartNumberingAfterBreak="0">
    <w:nsid w:val="04056D95"/>
    <w:multiLevelType w:val="hybridMultilevel"/>
    <w:tmpl w:val="896C64E4"/>
    <w:lvl w:ilvl="0" w:tplc="04260005">
      <w:start w:val="1"/>
      <w:numFmt w:val="bullet"/>
      <w:lvlText w:val=""/>
      <w:lvlJc w:val="left"/>
      <w:pPr>
        <w:ind w:left="2509" w:hanging="360"/>
      </w:pPr>
      <w:rPr>
        <w:rFonts w:ascii="Wingdings" w:hAnsi="Wingdings" w:hint="default"/>
      </w:rPr>
    </w:lvl>
    <w:lvl w:ilvl="1" w:tplc="04090001">
      <w:start w:val="1"/>
      <w:numFmt w:val="bullet"/>
      <w:lvlText w:val=""/>
      <w:lvlJc w:val="left"/>
      <w:pPr>
        <w:ind w:left="3229" w:hanging="360"/>
      </w:pPr>
      <w:rPr>
        <w:rFonts w:ascii="Symbol" w:hAnsi="Symbol" w:hint="default"/>
      </w:rPr>
    </w:lvl>
    <w:lvl w:ilvl="2" w:tplc="0426001B">
      <w:start w:val="1"/>
      <w:numFmt w:val="lowerRoman"/>
      <w:lvlText w:val="%3."/>
      <w:lvlJc w:val="right"/>
      <w:pPr>
        <w:ind w:left="3949" w:hanging="180"/>
      </w:pPr>
    </w:lvl>
    <w:lvl w:ilvl="3" w:tplc="0426000F">
      <w:start w:val="1"/>
      <w:numFmt w:val="decimal"/>
      <w:lvlText w:val="%4."/>
      <w:lvlJc w:val="left"/>
      <w:pPr>
        <w:ind w:left="4669" w:hanging="360"/>
      </w:pPr>
    </w:lvl>
    <w:lvl w:ilvl="4" w:tplc="04260019">
      <w:start w:val="1"/>
      <w:numFmt w:val="lowerLetter"/>
      <w:lvlText w:val="%5."/>
      <w:lvlJc w:val="left"/>
      <w:pPr>
        <w:ind w:left="5389" w:hanging="360"/>
      </w:pPr>
    </w:lvl>
    <w:lvl w:ilvl="5" w:tplc="0426001B">
      <w:start w:val="1"/>
      <w:numFmt w:val="lowerRoman"/>
      <w:lvlText w:val="%6."/>
      <w:lvlJc w:val="right"/>
      <w:pPr>
        <w:ind w:left="6109" w:hanging="180"/>
      </w:pPr>
    </w:lvl>
    <w:lvl w:ilvl="6" w:tplc="0426000F">
      <w:start w:val="1"/>
      <w:numFmt w:val="decimal"/>
      <w:lvlText w:val="%7."/>
      <w:lvlJc w:val="left"/>
      <w:pPr>
        <w:ind w:left="6829" w:hanging="360"/>
      </w:pPr>
    </w:lvl>
    <w:lvl w:ilvl="7" w:tplc="04260019">
      <w:start w:val="1"/>
      <w:numFmt w:val="lowerLetter"/>
      <w:lvlText w:val="%8."/>
      <w:lvlJc w:val="left"/>
      <w:pPr>
        <w:ind w:left="7549" w:hanging="360"/>
      </w:pPr>
    </w:lvl>
    <w:lvl w:ilvl="8" w:tplc="0426001B">
      <w:start w:val="1"/>
      <w:numFmt w:val="lowerRoman"/>
      <w:lvlText w:val="%9."/>
      <w:lvlJc w:val="right"/>
      <w:pPr>
        <w:ind w:left="8269" w:hanging="180"/>
      </w:pPr>
    </w:lvl>
  </w:abstractNum>
  <w:abstractNum w:abstractNumId="3" w15:restartNumberingAfterBreak="0">
    <w:nsid w:val="041018B3"/>
    <w:multiLevelType w:val="hybridMultilevel"/>
    <w:tmpl w:val="63984EC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049209C5"/>
    <w:multiLevelType w:val="hybridMultilevel"/>
    <w:tmpl w:val="04220A26"/>
    <w:lvl w:ilvl="0" w:tplc="04260001">
      <w:start w:val="1"/>
      <w:numFmt w:val="bullet"/>
      <w:lvlText w:val=""/>
      <w:lvlJc w:val="left"/>
      <w:pPr>
        <w:ind w:left="2203" w:hanging="360"/>
      </w:pPr>
      <w:rPr>
        <w:rFonts w:ascii="Symbol" w:hAnsi="Symbol" w:hint="default"/>
      </w:rPr>
    </w:lvl>
    <w:lvl w:ilvl="1" w:tplc="E4B4502C">
      <w:start w:val="1"/>
      <w:numFmt w:val="bullet"/>
      <w:lvlText w:val=""/>
      <w:lvlJc w:val="left"/>
      <w:pPr>
        <w:ind w:left="2923" w:hanging="360"/>
      </w:pPr>
      <w:rPr>
        <w:rFonts w:ascii="Symbol" w:hAnsi="Symbol" w:hint="default"/>
      </w:rPr>
    </w:lvl>
    <w:lvl w:ilvl="2" w:tplc="04260005" w:tentative="1">
      <w:start w:val="1"/>
      <w:numFmt w:val="bullet"/>
      <w:lvlText w:val=""/>
      <w:lvlJc w:val="left"/>
      <w:pPr>
        <w:ind w:left="3643" w:hanging="360"/>
      </w:pPr>
      <w:rPr>
        <w:rFonts w:ascii="Wingdings" w:hAnsi="Wingdings" w:hint="default"/>
      </w:rPr>
    </w:lvl>
    <w:lvl w:ilvl="3" w:tplc="04260001" w:tentative="1">
      <w:start w:val="1"/>
      <w:numFmt w:val="bullet"/>
      <w:lvlText w:val=""/>
      <w:lvlJc w:val="left"/>
      <w:pPr>
        <w:ind w:left="4363" w:hanging="360"/>
      </w:pPr>
      <w:rPr>
        <w:rFonts w:ascii="Symbol" w:hAnsi="Symbol" w:hint="default"/>
      </w:rPr>
    </w:lvl>
    <w:lvl w:ilvl="4" w:tplc="04260003" w:tentative="1">
      <w:start w:val="1"/>
      <w:numFmt w:val="bullet"/>
      <w:lvlText w:val="o"/>
      <w:lvlJc w:val="left"/>
      <w:pPr>
        <w:ind w:left="5083" w:hanging="360"/>
      </w:pPr>
      <w:rPr>
        <w:rFonts w:ascii="Courier New" w:hAnsi="Courier New" w:cs="Courier New" w:hint="default"/>
      </w:rPr>
    </w:lvl>
    <w:lvl w:ilvl="5" w:tplc="04260005" w:tentative="1">
      <w:start w:val="1"/>
      <w:numFmt w:val="bullet"/>
      <w:lvlText w:val=""/>
      <w:lvlJc w:val="left"/>
      <w:pPr>
        <w:ind w:left="5803" w:hanging="360"/>
      </w:pPr>
      <w:rPr>
        <w:rFonts w:ascii="Wingdings" w:hAnsi="Wingdings" w:hint="default"/>
      </w:rPr>
    </w:lvl>
    <w:lvl w:ilvl="6" w:tplc="04260001" w:tentative="1">
      <w:start w:val="1"/>
      <w:numFmt w:val="bullet"/>
      <w:lvlText w:val=""/>
      <w:lvlJc w:val="left"/>
      <w:pPr>
        <w:ind w:left="6523" w:hanging="360"/>
      </w:pPr>
      <w:rPr>
        <w:rFonts w:ascii="Symbol" w:hAnsi="Symbol" w:hint="default"/>
      </w:rPr>
    </w:lvl>
    <w:lvl w:ilvl="7" w:tplc="04260003" w:tentative="1">
      <w:start w:val="1"/>
      <w:numFmt w:val="bullet"/>
      <w:lvlText w:val="o"/>
      <w:lvlJc w:val="left"/>
      <w:pPr>
        <w:ind w:left="7243" w:hanging="360"/>
      </w:pPr>
      <w:rPr>
        <w:rFonts w:ascii="Courier New" w:hAnsi="Courier New" w:cs="Courier New" w:hint="default"/>
      </w:rPr>
    </w:lvl>
    <w:lvl w:ilvl="8" w:tplc="04260005" w:tentative="1">
      <w:start w:val="1"/>
      <w:numFmt w:val="bullet"/>
      <w:lvlText w:val=""/>
      <w:lvlJc w:val="left"/>
      <w:pPr>
        <w:ind w:left="7963" w:hanging="360"/>
      </w:pPr>
      <w:rPr>
        <w:rFonts w:ascii="Wingdings" w:hAnsi="Wingdings" w:hint="default"/>
      </w:rPr>
    </w:lvl>
  </w:abstractNum>
  <w:abstractNum w:abstractNumId="5" w15:restartNumberingAfterBreak="0">
    <w:nsid w:val="04A97A5A"/>
    <w:multiLevelType w:val="multilevel"/>
    <w:tmpl w:val="424EF5D0"/>
    <w:lvl w:ilvl="0">
      <w:start w:val="1"/>
      <w:numFmt w:val="decimal"/>
      <w:lvlText w:val="%1."/>
      <w:lvlJc w:val="left"/>
      <w:pPr>
        <w:ind w:left="480" w:hanging="480"/>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2216" w:hanging="144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964" w:hanging="1800"/>
      </w:pPr>
      <w:rPr>
        <w:rFonts w:hint="default"/>
      </w:rPr>
    </w:lvl>
    <w:lvl w:ilvl="7">
      <w:start w:val="1"/>
      <w:numFmt w:val="decimal"/>
      <w:lvlText w:val="%1.%2.%3.%4.%5.%6.%7.%8."/>
      <w:lvlJc w:val="left"/>
      <w:pPr>
        <w:ind w:left="21018" w:hanging="2160"/>
      </w:pPr>
      <w:rPr>
        <w:rFonts w:hint="default"/>
      </w:rPr>
    </w:lvl>
    <w:lvl w:ilvl="8">
      <w:start w:val="1"/>
      <w:numFmt w:val="decimal"/>
      <w:lvlText w:val="%1.%2.%3.%4.%5.%6.%7.%8.%9."/>
      <w:lvlJc w:val="left"/>
      <w:pPr>
        <w:ind w:left="23712" w:hanging="2160"/>
      </w:pPr>
      <w:rPr>
        <w:rFonts w:hint="default"/>
      </w:rPr>
    </w:lvl>
  </w:abstractNum>
  <w:abstractNum w:abstractNumId="6" w15:restartNumberingAfterBreak="0">
    <w:nsid w:val="05C32C5C"/>
    <w:multiLevelType w:val="hybridMultilevel"/>
    <w:tmpl w:val="0EC6157E"/>
    <w:lvl w:ilvl="0" w:tplc="04260001">
      <w:start w:val="1"/>
      <w:numFmt w:val="bullet"/>
      <w:lvlText w:val=""/>
      <w:lvlJc w:val="left"/>
      <w:pPr>
        <w:ind w:left="1276" w:hanging="360"/>
      </w:pPr>
      <w:rPr>
        <w:rFonts w:ascii="Symbol" w:hAnsi="Symbol" w:hint="default"/>
      </w:rPr>
    </w:lvl>
    <w:lvl w:ilvl="1" w:tplc="04260003" w:tentative="1">
      <w:start w:val="1"/>
      <w:numFmt w:val="bullet"/>
      <w:lvlText w:val="o"/>
      <w:lvlJc w:val="left"/>
      <w:pPr>
        <w:ind w:left="1996" w:hanging="360"/>
      </w:pPr>
      <w:rPr>
        <w:rFonts w:ascii="Courier New" w:hAnsi="Courier New" w:cs="Courier New" w:hint="default"/>
      </w:rPr>
    </w:lvl>
    <w:lvl w:ilvl="2" w:tplc="04260005" w:tentative="1">
      <w:start w:val="1"/>
      <w:numFmt w:val="bullet"/>
      <w:lvlText w:val=""/>
      <w:lvlJc w:val="left"/>
      <w:pPr>
        <w:ind w:left="2716" w:hanging="360"/>
      </w:pPr>
      <w:rPr>
        <w:rFonts w:ascii="Wingdings" w:hAnsi="Wingdings" w:hint="default"/>
      </w:rPr>
    </w:lvl>
    <w:lvl w:ilvl="3" w:tplc="04260001" w:tentative="1">
      <w:start w:val="1"/>
      <w:numFmt w:val="bullet"/>
      <w:lvlText w:val=""/>
      <w:lvlJc w:val="left"/>
      <w:pPr>
        <w:ind w:left="3436" w:hanging="360"/>
      </w:pPr>
      <w:rPr>
        <w:rFonts w:ascii="Symbol" w:hAnsi="Symbol" w:hint="default"/>
      </w:rPr>
    </w:lvl>
    <w:lvl w:ilvl="4" w:tplc="04260003" w:tentative="1">
      <w:start w:val="1"/>
      <w:numFmt w:val="bullet"/>
      <w:lvlText w:val="o"/>
      <w:lvlJc w:val="left"/>
      <w:pPr>
        <w:ind w:left="4156" w:hanging="360"/>
      </w:pPr>
      <w:rPr>
        <w:rFonts w:ascii="Courier New" w:hAnsi="Courier New" w:cs="Courier New" w:hint="default"/>
      </w:rPr>
    </w:lvl>
    <w:lvl w:ilvl="5" w:tplc="04260005" w:tentative="1">
      <w:start w:val="1"/>
      <w:numFmt w:val="bullet"/>
      <w:lvlText w:val=""/>
      <w:lvlJc w:val="left"/>
      <w:pPr>
        <w:ind w:left="4876" w:hanging="360"/>
      </w:pPr>
      <w:rPr>
        <w:rFonts w:ascii="Wingdings" w:hAnsi="Wingdings" w:hint="default"/>
      </w:rPr>
    </w:lvl>
    <w:lvl w:ilvl="6" w:tplc="04260001" w:tentative="1">
      <w:start w:val="1"/>
      <w:numFmt w:val="bullet"/>
      <w:lvlText w:val=""/>
      <w:lvlJc w:val="left"/>
      <w:pPr>
        <w:ind w:left="5596" w:hanging="360"/>
      </w:pPr>
      <w:rPr>
        <w:rFonts w:ascii="Symbol" w:hAnsi="Symbol" w:hint="default"/>
      </w:rPr>
    </w:lvl>
    <w:lvl w:ilvl="7" w:tplc="04260003" w:tentative="1">
      <w:start w:val="1"/>
      <w:numFmt w:val="bullet"/>
      <w:lvlText w:val="o"/>
      <w:lvlJc w:val="left"/>
      <w:pPr>
        <w:ind w:left="6316" w:hanging="360"/>
      </w:pPr>
      <w:rPr>
        <w:rFonts w:ascii="Courier New" w:hAnsi="Courier New" w:cs="Courier New" w:hint="default"/>
      </w:rPr>
    </w:lvl>
    <w:lvl w:ilvl="8" w:tplc="04260005" w:tentative="1">
      <w:start w:val="1"/>
      <w:numFmt w:val="bullet"/>
      <w:lvlText w:val=""/>
      <w:lvlJc w:val="left"/>
      <w:pPr>
        <w:ind w:left="7036" w:hanging="360"/>
      </w:pPr>
      <w:rPr>
        <w:rFonts w:ascii="Wingdings" w:hAnsi="Wingdings" w:hint="default"/>
      </w:rPr>
    </w:lvl>
  </w:abstractNum>
  <w:abstractNum w:abstractNumId="7" w15:restartNumberingAfterBreak="0">
    <w:nsid w:val="09DE34E5"/>
    <w:multiLevelType w:val="hybridMultilevel"/>
    <w:tmpl w:val="D5C8D7A8"/>
    <w:lvl w:ilvl="0" w:tplc="04260001">
      <w:start w:val="1"/>
      <w:numFmt w:val="bullet"/>
      <w:lvlText w:val=""/>
      <w:lvlJc w:val="left"/>
      <w:pPr>
        <w:ind w:left="1429" w:hanging="360"/>
      </w:pPr>
      <w:rPr>
        <w:rFonts w:ascii="Symbol" w:hAnsi="Symbol" w:hint="default"/>
      </w:rPr>
    </w:lvl>
    <w:lvl w:ilvl="1" w:tplc="E4B4502C">
      <w:start w:val="1"/>
      <w:numFmt w:val="bullet"/>
      <w:lvlText w:val=""/>
      <w:lvlJc w:val="left"/>
      <w:pPr>
        <w:ind w:left="2149" w:hanging="360"/>
      </w:pPr>
      <w:rPr>
        <w:rFonts w:ascii="Symbol" w:hAnsi="Symbol"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 w15:restartNumberingAfterBreak="0">
    <w:nsid w:val="0AC9621D"/>
    <w:multiLevelType w:val="hybridMultilevel"/>
    <w:tmpl w:val="5D807A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0B3672D"/>
    <w:multiLevelType w:val="multilevel"/>
    <w:tmpl w:val="06509836"/>
    <w:lvl w:ilvl="0">
      <w:start w:val="1"/>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1E9530B"/>
    <w:multiLevelType w:val="multilevel"/>
    <w:tmpl w:val="5E068A64"/>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3270" w:hanging="576"/>
      </w:pPr>
    </w:lvl>
    <w:lvl w:ilvl="2">
      <w:start w:val="1"/>
      <w:numFmt w:val="decimal"/>
      <w:lvlText w:val="%1.%2.%3"/>
      <w:lvlJc w:val="left"/>
      <w:pPr>
        <w:ind w:left="313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5307E9E"/>
    <w:multiLevelType w:val="multilevel"/>
    <w:tmpl w:val="98C420B0"/>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9367155"/>
    <w:multiLevelType w:val="hybridMultilevel"/>
    <w:tmpl w:val="4D4824A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19463815"/>
    <w:multiLevelType w:val="hybridMultilevel"/>
    <w:tmpl w:val="5636D34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5" w15:restartNumberingAfterBreak="0">
    <w:nsid w:val="1CB76165"/>
    <w:multiLevelType w:val="hybridMultilevel"/>
    <w:tmpl w:val="6ED6753A"/>
    <w:lvl w:ilvl="0" w:tplc="0426000F">
      <w:start w:val="1"/>
      <w:numFmt w:val="decimal"/>
      <w:lvlText w:val="%1."/>
      <w:lvlJc w:val="left"/>
      <w:pPr>
        <w:ind w:left="720" w:hanging="360"/>
      </w:pPr>
    </w:lvl>
    <w:lvl w:ilvl="1" w:tplc="E4B4502C">
      <w:start w:val="1"/>
      <w:numFmt w:val="bullet"/>
      <w:lvlText w:val=""/>
      <w:lvlJc w:val="left"/>
      <w:pPr>
        <w:ind w:left="1440" w:hanging="360"/>
      </w:pPr>
      <w:rPr>
        <w:rFonts w:ascii="Symbol" w:hAnsi="Symbol"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37F0AD3"/>
    <w:multiLevelType w:val="multilevel"/>
    <w:tmpl w:val="DAD4890A"/>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8587B03"/>
    <w:multiLevelType w:val="hybridMultilevel"/>
    <w:tmpl w:val="C5B402BE"/>
    <w:lvl w:ilvl="0" w:tplc="E4B4502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BA10AF7"/>
    <w:multiLevelType w:val="multilevel"/>
    <w:tmpl w:val="FFA0241E"/>
    <w:lvl w:ilvl="0">
      <w:start w:val="3"/>
      <w:numFmt w:val="decimal"/>
      <w:lvlText w:val="%1."/>
      <w:lvlJc w:val="left"/>
      <w:pPr>
        <w:ind w:left="675" w:hanging="675"/>
      </w:pPr>
      <w:rPr>
        <w:rFonts w:hint="default"/>
      </w:rPr>
    </w:lvl>
    <w:lvl w:ilvl="1">
      <w:start w:val="1"/>
      <w:numFmt w:val="decimal"/>
      <w:lvlText w:val="%1.%2."/>
      <w:lvlJc w:val="left"/>
      <w:pPr>
        <w:ind w:left="1925" w:hanging="72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4695" w:hanging="108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465" w:hanging="1440"/>
      </w:pPr>
      <w:rPr>
        <w:rFonts w:hint="default"/>
      </w:rPr>
    </w:lvl>
    <w:lvl w:ilvl="6">
      <w:start w:val="1"/>
      <w:numFmt w:val="decimal"/>
      <w:lvlText w:val="%1.%2.%3.%4.%5.%6.%7."/>
      <w:lvlJc w:val="left"/>
      <w:pPr>
        <w:ind w:left="9030" w:hanging="1800"/>
      </w:pPr>
      <w:rPr>
        <w:rFonts w:hint="default"/>
      </w:rPr>
    </w:lvl>
    <w:lvl w:ilvl="7">
      <w:start w:val="1"/>
      <w:numFmt w:val="decimal"/>
      <w:lvlText w:val="%1.%2.%3.%4.%5.%6.%7.%8."/>
      <w:lvlJc w:val="left"/>
      <w:pPr>
        <w:ind w:left="10235" w:hanging="1800"/>
      </w:pPr>
      <w:rPr>
        <w:rFonts w:hint="default"/>
      </w:rPr>
    </w:lvl>
    <w:lvl w:ilvl="8">
      <w:start w:val="1"/>
      <w:numFmt w:val="decimal"/>
      <w:lvlText w:val="%1.%2.%3.%4.%5.%6.%7.%8.%9."/>
      <w:lvlJc w:val="left"/>
      <w:pPr>
        <w:ind w:left="11800" w:hanging="2160"/>
      </w:pPr>
      <w:rPr>
        <w:rFonts w:hint="default"/>
      </w:rPr>
    </w:lvl>
  </w:abstractNum>
  <w:abstractNum w:abstractNumId="19" w15:restartNumberingAfterBreak="0">
    <w:nsid w:val="2BF47BF2"/>
    <w:multiLevelType w:val="hybridMultilevel"/>
    <w:tmpl w:val="9A0AE7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C3C2C40"/>
    <w:multiLevelType w:val="multilevel"/>
    <w:tmpl w:val="91D65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C86498B"/>
    <w:multiLevelType w:val="multilevel"/>
    <w:tmpl w:val="460821E0"/>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EB10138"/>
    <w:multiLevelType w:val="hybridMultilevel"/>
    <w:tmpl w:val="FEAA81B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32B03991"/>
    <w:multiLevelType w:val="hybridMultilevel"/>
    <w:tmpl w:val="6952093A"/>
    <w:lvl w:ilvl="0" w:tplc="E4B4502C">
      <w:start w:val="1"/>
      <w:numFmt w:val="bullet"/>
      <w:lvlText w:val=""/>
      <w:lvlJc w:val="left"/>
      <w:pPr>
        <w:ind w:left="2127" w:hanging="360"/>
      </w:pPr>
      <w:rPr>
        <w:rFonts w:ascii="Symbol" w:hAnsi="Symbol" w:hint="default"/>
      </w:rPr>
    </w:lvl>
    <w:lvl w:ilvl="1" w:tplc="04260003">
      <w:start w:val="1"/>
      <w:numFmt w:val="bullet"/>
      <w:lvlText w:val="o"/>
      <w:lvlJc w:val="left"/>
      <w:pPr>
        <w:ind w:left="2847" w:hanging="360"/>
      </w:pPr>
      <w:rPr>
        <w:rFonts w:ascii="Courier New" w:hAnsi="Courier New" w:cs="Courier New" w:hint="default"/>
      </w:rPr>
    </w:lvl>
    <w:lvl w:ilvl="2" w:tplc="04260005" w:tentative="1">
      <w:start w:val="1"/>
      <w:numFmt w:val="bullet"/>
      <w:lvlText w:val=""/>
      <w:lvlJc w:val="left"/>
      <w:pPr>
        <w:ind w:left="3567" w:hanging="360"/>
      </w:pPr>
      <w:rPr>
        <w:rFonts w:ascii="Wingdings" w:hAnsi="Wingdings" w:hint="default"/>
      </w:rPr>
    </w:lvl>
    <w:lvl w:ilvl="3" w:tplc="04260001" w:tentative="1">
      <w:start w:val="1"/>
      <w:numFmt w:val="bullet"/>
      <w:lvlText w:val=""/>
      <w:lvlJc w:val="left"/>
      <w:pPr>
        <w:ind w:left="4287" w:hanging="360"/>
      </w:pPr>
      <w:rPr>
        <w:rFonts w:ascii="Symbol" w:hAnsi="Symbol" w:hint="default"/>
      </w:rPr>
    </w:lvl>
    <w:lvl w:ilvl="4" w:tplc="04260003" w:tentative="1">
      <w:start w:val="1"/>
      <w:numFmt w:val="bullet"/>
      <w:lvlText w:val="o"/>
      <w:lvlJc w:val="left"/>
      <w:pPr>
        <w:ind w:left="5007" w:hanging="360"/>
      </w:pPr>
      <w:rPr>
        <w:rFonts w:ascii="Courier New" w:hAnsi="Courier New" w:cs="Courier New" w:hint="default"/>
      </w:rPr>
    </w:lvl>
    <w:lvl w:ilvl="5" w:tplc="04260005" w:tentative="1">
      <w:start w:val="1"/>
      <w:numFmt w:val="bullet"/>
      <w:lvlText w:val=""/>
      <w:lvlJc w:val="left"/>
      <w:pPr>
        <w:ind w:left="5727" w:hanging="360"/>
      </w:pPr>
      <w:rPr>
        <w:rFonts w:ascii="Wingdings" w:hAnsi="Wingdings" w:hint="default"/>
      </w:rPr>
    </w:lvl>
    <w:lvl w:ilvl="6" w:tplc="04260001" w:tentative="1">
      <w:start w:val="1"/>
      <w:numFmt w:val="bullet"/>
      <w:lvlText w:val=""/>
      <w:lvlJc w:val="left"/>
      <w:pPr>
        <w:ind w:left="6447" w:hanging="360"/>
      </w:pPr>
      <w:rPr>
        <w:rFonts w:ascii="Symbol" w:hAnsi="Symbol" w:hint="default"/>
      </w:rPr>
    </w:lvl>
    <w:lvl w:ilvl="7" w:tplc="04260003" w:tentative="1">
      <w:start w:val="1"/>
      <w:numFmt w:val="bullet"/>
      <w:lvlText w:val="o"/>
      <w:lvlJc w:val="left"/>
      <w:pPr>
        <w:ind w:left="7167" w:hanging="360"/>
      </w:pPr>
      <w:rPr>
        <w:rFonts w:ascii="Courier New" w:hAnsi="Courier New" w:cs="Courier New" w:hint="default"/>
      </w:rPr>
    </w:lvl>
    <w:lvl w:ilvl="8" w:tplc="04260005" w:tentative="1">
      <w:start w:val="1"/>
      <w:numFmt w:val="bullet"/>
      <w:lvlText w:val=""/>
      <w:lvlJc w:val="left"/>
      <w:pPr>
        <w:ind w:left="7887" w:hanging="360"/>
      </w:pPr>
      <w:rPr>
        <w:rFonts w:ascii="Wingdings" w:hAnsi="Wingdings" w:hint="default"/>
      </w:rPr>
    </w:lvl>
  </w:abstractNum>
  <w:abstractNum w:abstractNumId="24" w15:restartNumberingAfterBreak="0">
    <w:nsid w:val="33550CB8"/>
    <w:multiLevelType w:val="hybridMultilevel"/>
    <w:tmpl w:val="2F8C974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38A837C6"/>
    <w:multiLevelType w:val="multilevel"/>
    <w:tmpl w:val="D0D6226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F424D0"/>
    <w:multiLevelType w:val="multilevel"/>
    <w:tmpl w:val="F9AA900C"/>
    <w:lvl w:ilvl="0">
      <w:start w:val="1"/>
      <w:numFmt w:val="decimal"/>
      <w:lvlRestart w:val="0"/>
      <w:pStyle w:val="Point123"/>
      <w:lvlText w:val="%1."/>
      <w:lvlJc w:val="left"/>
      <w:pPr>
        <w:tabs>
          <w:tab w:val="num" w:pos="567"/>
        </w:tabs>
        <w:ind w:left="567" w:hanging="567"/>
      </w:pPr>
      <w:rPr>
        <w:rFonts w:ascii="Times New Roman" w:eastAsia="Times New Roman" w:hAnsi="Times New Roman" w:cs="Times New Roman" w:hint="default"/>
      </w:rPr>
    </w:lvl>
    <w:lvl w:ilvl="1">
      <w:start w:val="1"/>
      <w:numFmt w:val="lowerLetter"/>
      <w:pStyle w:val="Pointabc"/>
      <w:lvlText w:val="%2)"/>
      <w:lvlJc w:val="left"/>
      <w:pPr>
        <w:tabs>
          <w:tab w:val="num" w:pos="567"/>
        </w:tabs>
        <w:ind w:left="567" w:hanging="567"/>
      </w:pPr>
      <w:rPr>
        <w:rFonts w:hint="default"/>
      </w:rPr>
    </w:lvl>
    <w:lvl w:ilvl="2">
      <w:start w:val="1"/>
      <w:numFmt w:val="decimal"/>
      <w:pStyle w:val="Point1231"/>
      <w:lvlText w:val="%3."/>
      <w:lvlJc w:val="left"/>
      <w:pPr>
        <w:tabs>
          <w:tab w:val="num" w:pos="993"/>
        </w:tabs>
        <w:ind w:left="993" w:hanging="567"/>
      </w:pPr>
      <w:rPr>
        <w:rFonts w:hint="default"/>
      </w:rPr>
    </w:lvl>
    <w:lvl w:ilvl="3">
      <w:start w:val="1"/>
      <w:numFmt w:val="lowerLetter"/>
      <w:pStyle w:val="Pointabc1"/>
      <w:lvlText w:val="%4)"/>
      <w:lvlJc w:val="left"/>
      <w:pPr>
        <w:tabs>
          <w:tab w:val="num" w:pos="1134"/>
        </w:tabs>
        <w:ind w:left="1134" w:hanging="567"/>
      </w:pPr>
      <w:rPr>
        <w:rFonts w:hint="default"/>
      </w:rPr>
    </w:lvl>
    <w:lvl w:ilvl="4">
      <w:start w:val="1"/>
      <w:numFmt w:val="decimal"/>
      <w:pStyle w:val="Point1232"/>
      <w:lvlText w:val="%5."/>
      <w:lvlJc w:val="left"/>
      <w:pPr>
        <w:tabs>
          <w:tab w:val="num" w:pos="1701"/>
        </w:tabs>
        <w:ind w:left="1701" w:hanging="567"/>
      </w:pPr>
      <w:rPr>
        <w:rFonts w:hint="default"/>
      </w:rPr>
    </w:lvl>
    <w:lvl w:ilvl="5">
      <w:start w:val="1"/>
      <w:numFmt w:val="lowerLetter"/>
      <w:pStyle w:val="Pointabc2"/>
      <w:lvlText w:val="%6)"/>
      <w:lvlJc w:val="left"/>
      <w:pPr>
        <w:tabs>
          <w:tab w:val="num" w:pos="1701"/>
        </w:tabs>
        <w:ind w:left="1701" w:hanging="567"/>
      </w:pPr>
      <w:rPr>
        <w:rFonts w:hint="default"/>
      </w:rPr>
    </w:lvl>
    <w:lvl w:ilvl="6">
      <w:start w:val="1"/>
      <w:numFmt w:val="decimal"/>
      <w:pStyle w:val="Point1233"/>
      <w:lvlText w:val="%7."/>
      <w:lvlJc w:val="left"/>
      <w:pPr>
        <w:tabs>
          <w:tab w:val="num" w:pos="2268"/>
        </w:tabs>
        <w:ind w:left="2268" w:hanging="567"/>
      </w:pPr>
      <w:rPr>
        <w:rFonts w:hint="default"/>
      </w:rPr>
    </w:lvl>
    <w:lvl w:ilvl="7">
      <w:start w:val="1"/>
      <w:numFmt w:val="lowerLetter"/>
      <w:pStyle w:val="Pointabc3"/>
      <w:lvlText w:val="%8)"/>
      <w:lvlJc w:val="left"/>
      <w:pPr>
        <w:tabs>
          <w:tab w:val="num" w:pos="2268"/>
        </w:tabs>
        <w:ind w:left="2268" w:hanging="567"/>
      </w:pPr>
      <w:rPr>
        <w:rFonts w:hint="default"/>
      </w:rPr>
    </w:lvl>
    <w:lvl w:ilvl="8">
      <w:start w:val="1"/>
      <w:numFmt w:val="lowerLetter"/>
      <w:pStyle w:val="Pointabc4"/>
      <w:lvlText w:val="%9)"/>
      <w:lvlJc w:val="left"/>
      <w:pPr>
        <w:tabs>
          <w:tab w:val="num" w:pos="2835"/>
        </w:tabs>
        <w:ind w:left="2835" w:hanging="567"/>
      </w:pPr>
      <w:rPr>
        <w:rFonts w:hint="default"/>
      </w:rPr>
    </w:lvl>
  </w:abstractNum>
  <w:abstractNum w:abstractNumId="27" w15:restartNumberingAfterBreak="0">
    <w:nsid w:val="390833FC"/>
    <w:multiLevelType w:val="hybridMultilevel"/>
    <w:tmpl w:val="FF2A9F38"/>
    <w:lvl w:ilvl="0" w:tplc="E4B4502C">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3CC34A9C"/>
    <w:multiLevelType w:val="hybridMultilevel"/>
    <w:tmpl w:val="EF74BE5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9" w15:restartNumberingAfterBreak="0">
    <w:nsid w:val="3E0B641A"/>
    <w:multiLevelType w:val="hybridMultilevel"/>
    <w:tmpl w:val="23283B26"/>
    <w:lvl w:ilvl="0" w:tplc="04260001">
      <w:start w:val="1"/>
      <w:numFmt w:val="bullet"/>
      <w:lvlText w:val=""/>
      <w:lvlJc w:val="left"/>
      <w:pPr>
        <w:ind w:left="1507" w:hanging="360"/>
      </w:pPr>
      <w:rPr>
        <w:rFonts w:ascii="Symbol" w:hAnsi="Symbol" w:hint="default"/>
      </w:rPr>
    </w:lvl>
    <w:lvl w:ilvl="1" w:tplc="04260003" w:tentative="1">
      <w:start w:val="1"/>
      <w:numFmt w:val="bullet"/>
      <w:lvlText w:val="o"/>
      <w:lvlJc w:val="left"/>
      <w:pPr>
        <w:ind w:left="2227" w:hanging="360"/>
      </w:pPr>
      <w:rPr>
        <w:rFonts w:ascii="Courier New" w:hAnsi="Courier New" w:cs="Courier New" w:hint="default"/>
      </w:rPr>
    </w:lvl>
    <w:lvl w:ilvl="2" w:tplc="04260005" w:tentative="1">
      <w:start w:val="1"/>
      <w:numFmt w:val="bullet"/>
      <w:lvlText w:val=""/>
      <w:lvlJc w:val="left"/>
      <w:pPr>
        <w:ind w:left="2947" w:hanging="360"/>
      </w:pPr>
      <w:rPr>
        <w:rFonts w:ascii="Wingdings" w:hAnsi="Wingdings" w:hint="default"/>
      </w:rPr>
    </w:lvl>
    <w:lvl w:ilvl="3" w:tplc="04260001" w:tentative="1">
      <w:start w:val="1"/>
      <w:numFmt w:val="bullet"/>
      <w:lvlText w:val=""/>
      <w:lvlJc w:val="left"/>
      <w:pPr>
        <w:ind w:left="3667" w:hanging="360"/>
      </w:pPr>
      <w:rPr>
        <w:rFonts w:ascii="Symbol" w:hAnsi="Symbol" w:hint="default"/>
      </w:rPr>
    </w:lvl>
    <w:lvl w:ilvl="4" w:tplc="04260003" w:tentative="1">
      <w:start w:val="1"/>
      <w:numFmt w:val="bullet"/>
      <w:lvlText w:val="o"/>
      <w:lvlJc w:val="left"/>
      <w:pPr>
        <w:ind w:left="4387" w:hanging="360"/>
      </w:pPr>
      <w:rPr>
        <w:rFonts w:ascii="Courier New" w:hAnsi="Courier New" w:cs="Courier New" w:hint="default"/>
      </w:rPr>
    </w:lvl>
    <w:lvl w:ilvl="5" w:tplc="04260005" w:tentative="1">
      <w:start w:val="1"/>
      <w:numFmt w:val="bullet"/>
      <w:lvlText w:val=""/>
      <w:lvlJc w:val="left"/>
      <w:pPr>
        <w:ind w:left="5107" w:hanging="360"/>
      </w:pPr>
      <w:rPr>
        <w:rFonts w:ascii="Wingdings" w:hAnsi="Wingdings" w:hint="default"/>
      </w:rPr>
    </w:lvl>
    <w:lvl w:ilvl="6" w:tplc="04260001" w:tentative="1">
      <w:start w:val="1"/>
      <w:numFmt w:val="bullet"/>
      <w:lvlText w:val=""/>
      <w:lvlJc w:val="left"/>
      <w:pPr>
        <w:ind w:left="5827" w:hanging="360"/>
      </w:pPr>
      <w:rPr>
        <w:rFonts w:ascii="Symbol" w:hAnsi="Symbol" w:hint="default"/>
      </w:rPr>
    </w:lvl>
    <w:lvl w:ilvl="7" w:tplc="04260003" w:tentative="1">
      <w:start w:val="1"/>
      <w:numFmt w:val="bullet"/>
      <w:lvlText w:val="o"/>
      <w:lvlJc w:val="left"/>
      <w:pPr>
        <w:ind w:left="6547" w:hanging="360"/>
      </w:pPr>
      <w:rPr>
        <w:rFonts w:ascii="Courier New" w:hAnsi="Courier New" w:cs="Courier New" w:hint="default"/>
      </w:rPr>
    </w:lvl>
    <w:lvl w:ilvl="8" w:tplc="04260005" w:tentative="1">
      <w:start w:val="1"/>
      <w:numFmt w:val="bullet"/>
      <w:lvlText w:val=""/>
      <w:lvlJc w:val="left"/>
      <w:pPr>
        <w:ind w:left="7267" w:hanging="360"/>
      </w:pPr>
      <w:rPr>
        <w:rFonts w:ascii="Wingdings" w:hAnsi="Wingdings" w:hint="default"/>
      </w:rPr>
    </w:lvl>
  </w:abstractNum>
  <w:abstractNum w:abstractNumId="30" w15:restartNumberingAfterBreak="0">
    <w:nsid w:val="47846599"/>
    <w:multiLevelType w:val="hybridMultilevel"/>
    <w:tmpl w:val="F112E260"/>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1" w15:restartNumberingAfterBreak="0">
    <w:nsid w:val="4C785AAD"/>
    <w:multiLevelType w:val="hybridMultilevel"/>
    <w:tmpl w:val="C5FCFEC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2" w15:restartNumberingAfterBreak="0">
    <w:nsid w:val="4EBB1C11"/>
    <w:multiLevelType w:val="multilevel"/>
    <w:tmpl w:val="FEBC08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1D514E2"/>
    <w:multiLevelType w:val="hybridMultilevel"/>
    <w:tmpl w:val="D3027BC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4" w15:restartNumberingAfterBreak="0">
    <w:nsid w:val="55A020B9"/>
    <w:multiLevelType w:val="hybridMultilevel"/>
    <w:tmpl w:val="2D103A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5D525A2"/>
    <w:multiLevelType w:val="hybridMultilevel"/>
    <w:tmpl w:val="D21894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8EE5A62"/>
    <w:multiLevelType w:val="hybridMultilevel"/>
    <w:tmpl w:val="719619B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7" w15:restartNumberingAfterBreak="0">
    <w:nsid w:val="599E3D70"/>
    <w:multiLevelType w:val="hybridMultilevel"/>
    <w:tmpl w:val="5240DD28"/>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5A5C5248"/>
    <w:multiLevelType w:val="hybridMultilevel"/>
    <w:tmpl w:val="B19AF90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5B546F03"/>
    <w:multiLevelType w:val="hybridMultilevel"/>
    <w:tmpl w:val="1B2CD8D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5B674616"/>
    <w:multiLevelType w:val="hybridMultilevel"/>
    <w:tmpl w:val="DA9E78A6"/>
    <w:lvl w:ilvl="0" w:tplc="04260001">
      <w:start w:val="1"/>
      <w:numFmt w:val="bullet"/>
      <w:lvlText w:val=""/>
      <w:lvlJc w:val="left"/>
      <w:pPr>
        <w:ind w:left="4156" w:hanging="360"/>
      </w:pPr>
      <w:rPr>
        <w:rFonts w:ascii="Symbol" w:hAnsi="Symbol" w:hint="default"/>
      </w:rPr>
    </w:lvl>
    <w:lvl w:ilvl="1" w:tplc="E4B4502C">
      <w:start w:val="1"/>
      <w:numFmt w:val="bullet"/>
      <w:lvlText w:val=""/>
      <w:lvlJc w:val="left"/>
      <w:pPr>
        <w:ind w:left="4876" w:hanging="360"/>
      </w:pPr>
      <w:rPr>
        <w:rFonts w:ascii="Symbol" w:hAnsi="Symbol" w:hint="default"/>
      </w:rPr>
    </w:lvl>
    <w:lvl w:ilvl="2" w:tplc="04260005" w:tentative="1">
      <w:start w:val="1"/>
      <w:numFmt w:val="bullet"/>
      <w:lvlText w:val=""/>
      <w:lvlJc w:val="left"/>
      <w:pPr>
        <w:ind w:left="5596" w:hanging="360"/>
      </w:pPr>
      <w:rPr>
        <w:rFonts w:ascii="Wingdings" w:hAnsi="Wingdings" w:hint="default"/>
      </w:rPr>
    </w:lvl>
    <w:lvl w:ilvl="3" w:tplc="04260001" w:tentative="1">
      <w:start w:val="1"/>
      <w:numFmt w:val="bullet"/>
      <w:lvlText w:val=""/>
      <w:lvlJc w:val="left"/>
      <w:pPr>
        <w:ind w:left="6316" w:hanging="360"/>
      </w:pPr>
      <w:rPr>
        <w:rFonts w:ascii="Symbol" w:hAnsi="Symbol" w:hint="default"/>
      </w:rPr>
    </w:lvl>
    <w:lvl w:ilvl="4" w:tplc="04260003" w:tentative="1">
      <w:start w:val="1"/>
      <w:numFmt w:val="bullet"/>
      <w:lvlText w:val="o"/>
      <w:lvlJc w:val="left"/>
      <w:pPr>
        <w:ind w:left="7036" w:hanging="360"/>
      </w:pPr>
      <w:rPr>
        <w:rFonts w:ascii="Courier New" w:hAnsi="Courier New" w:cs="Courier New" w:hint="default"/>
      </w:rPr>
    </w:lvl>
    <w:lvl w:ilvl="5" w:tplc="04260005" w:tentative="1">
      <w:start w:val="1"/>
      <w:numFmt w:val="bullet"/>
      <w:lvlText w:val=""/>
      <w:lvlJc w:val="left"/>
      <w:pPr>
        <w:ind w:left="7756" w:hanging="360"/>
      </w:pPr>
      <w:rPr>
        <w:rFonts w:ascii="Wingdings" w:hAnsi="Wingdings" w:hint="default"/>
      </w:rPr>
    </w:lvl>
    <w:lvl w:ilvl="6" w:tplc="04260001" w:tentative="1">
      <w:start w:val="1"/>
      <w:numFmt w:val="bullet"/>
      <w:lvlText w:val=""/>
      <w:lvlJc w:val="left"/>
      <w:pPr>
        <w:ind w:left="8476" w:hanging="360"/>
      </w:pPr>
      <w:rPr>
        <w:rFonts w:ascii="Symbol" w:hAnsi="Symbol" w:hint="default"/>
      </w:rPr>
    </w:lvl>
    <w:lvl w:ilvl="7" w:tplc="04260003" w:tentative="1">
      <w:start w:val="1"/>
      <w:numFmt w:val="bullet"/>
      <w:lvlText w:val="o"/>
      <w:lvlJc w:val="left"/>
      <w:pPr>
        <w:ind w:left="9196" w:hanging="360"/>
      </w:pPr>
      <w:rPr>
        <w:rFonts w:ascii="Courier New" w:hAnsi="Courier New" w:cs="Courier New" w:hint="default"/>
      </w:rPr>
    </w:lvl>
    <w:lvl w:ilvl="8" w:tplc="04260005" w:tentative="1">
      <w:start w:val="1"/>
      <w:numFmt w:val="bullet"/>
      <w:lvlText w:val=""/>
      <w:lvlJc w:val="left"/>
      <w:pPr>
        <w:ind w:left="9916" w:hanging="360"/>
      </w:pPr>
      <w:rPr>
        <w:rFonts w:ascii="Wingdings" w:hAnsi="Wingdings" w:hint="default"/>
      </w:rPr>
    </w:lvl>
  </w:abstractNum>
  <w:abstractNum w:abstractNumId="41" w15:restartNumberingAfterBreak="0">
    <w:nsid w:val="5DC517B8"/>
    <w:multiLevelType w:val="hybridMultilevel"/>
    <w:tmpl w:val="5712C56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2" w15:restartNumberingAfterBreak="0">
    <w:nsid w:val="5DE7248A"/>
    <w:multiLevelType w:val="multilevel"/>
    <w:tmpl w:val="79E25108"/>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133233B"/>
    <w:multiLevelType w:val="hybridMultilevel"/>
    <w:tmpl w:val="C97ACD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23E2B5E"/>
    <w:multiLevelType w:val="hybridMultilevel"/>
    <w:tmpl w:val="CDBC2E9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5" w15:restartNumberingAfterBreak="0">
    <w:nsid w:val="62AB0F79"/>
    <w:multiLevelType w:val="hybridMultilevel"/>
    <w:tmpl w:val="981E48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4501CD5"/>
    <w:multiLevelType w:val="hybridMultilevel"/>
    <w:tmpl w:val="8D465C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4804FF6"/>
    <w:multiLevelType w:val="hybridMultilevel"/>
    <w:tmpl w:val="B01E18D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8" w15:restartNumberingAfterBreak="0">
    <w:nsid w:val="64E146EE"/>
    <w:multiLevelType w:val="hybridMultilevel"/>
    <w:tmpl w:val="92B80DAA"/>
    <w:lvl w:ilvl="0" w:tplc="04260011">
      <w:start w:val="1"/>
      <w:numFmt w:val="decimal"/>
      <w:lvlText w:val="%1)"/>
      <w:lvlJc w:val="left"/>
      <w:pPr>
        <w:ind w:left="106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49" w15:restartNumberingAfterBreak="0">
    <w:nsid w:val="685148ED"/>
    <w:multiLevelType w:val="hybridMultilevel"/>
    <w:tmpl w:val="D7F8FBA0"/>
    <w:lvl w:ilvl="0" w:tplc="E4B4502C">
      <w:start w:val="1"/>
      <w:numFmt w:val="bullet"/>
      <w:lvlText w:val=""/>
      <w:lvlJc w:val="left"/>
      <w:pPr>
        <w:ind w:left="2149" w:hanging="360"/>
      </w:pPr>
      <w:rPr>
        <w:rFonts w:ascii="Symbol" w:hAnsi="Symbol" w:hint="default"/>
      </w:rPr>
    </w:lvl>
    <w:lvl w:ilvl="1" w:tplc="04260003">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50" w15:restartNumberingAfterBreak="0">
    <w:nsid w:val="69B059CC"/>
    <w:multiLevelType w:val="hybridMultilevel"/>
    <w:tmpl w:val="765AE0CC"/>
    <w:lvl w:ilvl="0" w:tplc="E4B4502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6A4F3174"/>
    <w:multiLevelType w:val="hybridMultilevel"/>
    <w:tmpl w:val="4C04A2BE"/>
    <w:lvl w:ilvl="0" w:tplc="FF0877C0">
      <w:start w:val="1"/>
      <w:numFmt w:val="decimal"/>
      <w:lvlText w:val="%1."/>
      <w:lvlJc w:val="left"/>
      <w:pPr>
        <w:ind w:left="360" w:hanging="360"/>
      </w:pPr>
      <w:rPr>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6B2F3A62"/>
    <w:multiLevelType w:val="multilevel"/>
    <w:tmpl w:val="153AC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B461BC5"/>
    <w:multiLevelType w:val="hybridMultilevel"/>
    <w:tmpl w:val="C1266886"/>
    <w:lvl w:ilvl="0" w:tplc="04260001">
      <w:start w:val="1"/>
      <w:numFmt w:val="bullet"/>
      <w:lvlText w:val=""/>
      <w:lvlJc w:val="left"/>
      <w:pPr>
        <w:ind w:left="2149" w:hanging="360"/>
      </w:pPr>
      <w:rPr>
        <w:rFonts w:ascii="Symbol" w:hAnsi="Symbol"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54" w15:restartNumberingAfterBreak="0">
    <w:nsid w:val="6C0F41F2"/>
    <w:multiLevelType w:val="hybridMultilevel"/>
    <w:tmpl w:val="36D640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6CEB39D9"/>
    <w:multiLevelType w:val="hybridMultilevel"/>
    <w:tmpl w:val="0E8A26D8"/>
    <w:lvl w:ilvl="0" w:tplc="04260001">
      <w:start w:val="1"/>
      <w:numFmt w:val="bullet"/>
      <w:lvlText w:val=""/>
      <w:lvlJc w:val="left"/>
      <w:pPr>
        <w:ind w:left="4156" w:hanging="360"/>
      </w:pPr>
      <w:rPr>
        <w:rFonts w:ascii="Symbol" w:hAnsi="Symbol" w:hint="default"/>
      </w:rPr>
    </w:lvl>
    <w:lvl w:ilvl="1" w:tplc="04260003">
      <w:start w:val="1"/>
      <w:numFmt w:val="bullet"/>
      <w:lvlText w:val="o"/>
      <w:lvlJc w:val="left"/>
      <w:pPr>
        <w:ind w:left="4876" w:hanging="360"/>
      </w:pPr>
      <w:rPr>
        <w:rFonts w:ascii="Courier New" w:hAnsi="Courier New" w:cs="Courier New" w:hint="default"/>
      </w:rPr>
    </w:lvl>
    <w:lvl w:ilvl="2" w:tplc="04260005" w:tentative="1">
      <w:start w:val="1"/>
      <w:numFmt w:val="bullet"/>
      <w:lvlText w:val=""/>
      <w:lvlJc w:val="left"/>
      <w:pPr>
        <w:ind w:left="5596" w:hanging="360"/>
      </w:pPr>
      <w:rPr>
        <w:rFonts w:ascii="Wingdings" w:hAnsi="Wingdings" w:hint="default"/>
      </w:rPr>
    </w:lvl>
    <w:lvl w:ilvl="3" w:tplc="04260001" w:tentative="1">
      <w:start w:val="1"/>
      <w:numFmt w:val="bullet"/>
      <w:lvlText w:val=""/>
      <w:lvlJc w:val="left"/>
      <w:pPr>
        <w:ind w:left="6316" w:hanging="360"/>
      </w:pPr>
      <w:rPr>
        <w:rFonts w:ascii="Symbol" w:hAnsi="Symbol" w:hint="default"/>
      </w:rPr>
    </w:lvl>
    <w:lvl w:ilvl="4" w:tplc="04260003" w:tentative="1">
      <w:start w:val="1"/>
      <w:numFmt w:val="bullet"/>
      <w:lvlText w:val="o"/>
      <w:lvlJc w:val="left"/>
      <w:pPr>
        <w:ind w:left="7036" w:hanging="360"/>
      </w:pPr>
      <w:rPr>
        <w:rFonts w:ascii="Courier New" w:hAnsi="Courier New" w:cs="Courier New" w:hint="default"/>
      </w:rPr>
    </w:lvl>
    <w:lvl w:ilvl="5" w:tplc="04260005" w:tentative="1">
      <w:start w:val="1"/>
      <w:numFmt w:val="bullet"/>
      <w:lvlText w:val=""/>
      <w:lvlJc w:val="left"/>
      <w:pPr>
        <w:ind w:left="7756" w:hanging="360"/>
      </w:pPr>
      <w:rPr>
        <w:rFonts w:ascii="Wingdings" w:hAnsi="Wingdings" w:hint="default"/>
      </w:rPr>
    </w:lvl>
    <w:lvl w:ilvl="6" w:tplc="04260001" w:tentative="1">
      <w:start w:val="1"/>
      <w:numFmt w:val="bullet"/>
      <w:lvlText w:val=""/>
      <w:lvlJc w:val="left"/>
      <w:pPr>
        <w:ind w:left="8476" w:hanging="360"/>
      </w:pPr>
      <w:rPr>
        <w:rFonts w:ascii="Symbol" w:hAnsi="Symbol" w:hint="default"/>
      </w:rPr>
    </w:lvl>
    <w:lvl w:ilvl="7" w:tplc="04260003" w:tentative="1">
      <w:start w:val="1"/>
      <w:numFmt w:val="bullet"/>
      <w:lvlText w:val="o"/>
      <w:lvlJc w:val="left"/>
      <w:pPr>
        <w:ind w:left="9196" w:hanging="360"/>
      </w:pPr>
      <w:rPr>
        <w:rFonts w:ascii="Courier New" w:hAnsi="Courier New" w:cs="Courier New" w:hint="default"/>
      </w:rPr>
    </w:lvl>
    <w:lvl w:ilvl="8" w:tplc="04260005" w:tentative="1">
      <w:start w:val="1"/>
      <w:numFmt w:val="bullet"/>
      <w:lvlText w:val=""/>
      <w:lvlJc w:val="left"/>
      <w:pPr>
        <w:ind w:left="9916" w:hanging="360"/>
      </w:pPr>
      <w:rPr>
        <w:rFonts w:ascii="Wingdings" w:hAnsi="Wingdings" w:hint="default"/>
      </w:rPr>
    </w:lvl>
  </w:abstractNum>
  <w:abstractNum w:abstractNumId="56" w15:restartNumberingAfterBreak="0">
    <w:nsid w:val="6D9776C2"/>
    <w:multiLevelType w:val="multilevel"/>
    <w:tmpl w:val="97C01970"/>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DFD6259"/>
    <w:multiLevelType w:val="multilevel"/>
    <w:tmpl w:val="988CA7C8"/>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610109D"/>
    <w:multiLevelType w:val="multilevel"/>
    <w:tmpl w:val="1D442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615616E"/>
    <w:multiLevelType w:val="hybridMultilevel"/>
    <w:tmpl w:val="1BB2CAF4"/>
    <w:lvl w:ilvl="0" w:tplc="E4B4502C">
      <w:start w:val="1"/>
      <w:numFmt w:val="bullet"/>
      <w:lvlText w:val=""/>
      <w:lvlJc w:val="left"/>
      <w:pPr>
        <w:ind w:left="2149" w:hanging="360"/>
      </w:pPr>
      <w:rPr>
        <w:rFonts w:ascii="Symbol" w:hAnsi="Symbol" w:hint="default"/>
      </w:rPr>
    </w:lvl>
    <w:lvl w:ilvl="1" w:tplc="04260005">
      <w:start w:val="1"/>
      <w:numFmt w:val="bullet"/>
      <w:lvlText w:val=""/>
      <w:lvlJc w:val="left"/>
      <w:pPr>
        <w:ind w:left="2869" w:hanging="360"/>
      </w:pPr>
      <w:rPr>
        <w:rFonts w:ascii="Wingdings" w:hAnsi="Wingdings"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num w:numId="1">
    <w:abstractNumId w:val="58"/>
  </w:num>
  <w:num w:numId="2">
    <w:abstractNumId w:val="52"/>
  </w:num>
  <w:num w:numId="3">
    <w:abstractNumId w:val="20"/>
  </w:num>
  <w:num w:numId="4">
    <w:abstractNumId w:val="32"/>
  </w:num>
  <w:num w:numId="5">
    <w:abstractNumId w:val="11"/>
  </w:num>
  <w:num w:numId="6">
    <w:abstractNumId w:val="42"/>
  </w:num>
  <w:num w:numId="7">
    <w:abstractNumId w:val="16"/>
  </w:num>
  <w:num w:numId="8">
    <w:abstractNumId w:val="56"/>
  </w:num>
  <w:num w:numId="9">
    <w:abstractNumId w:val="12"/>
  </w:num>
  <w:num w:numId="10">
    <w:abstractNumId w:val="21"/>
  </w:num>
  <w:num w:numId="11">
    <w:abstractNumId w:val="57"/>
  </w:num>
  <w:num w:numId="12">
    <w:abstractNumId w:val="10"/>
  </w:num>
  <w:num w:numId="13">
    <w:abstractNumId w:val="5"/>
  </w:num>
  <w:num w:numId="14">
    <w:abstractNumId w:val="18"/>
  </w:num>
  <w:num w:numId="15">
    <w:abstractNumId w:val="6"/>
  </w:num>
  <w:num w:numId="16">
    <w:abstractNumId w:val="14"/>
  </w:num>
  <w:num w:numId="17">
    <w:abstractNumId w:val="34"/>
  </w:num>
  <w:num w:numId="18">
    <w:abstractNumId w:val="33"/>
  </w:num>
  <w:num w:numId="19">
    <w:abstractNumId w:val="25"/>
  </w:num>
  <w:num w:numId="20">
    <w:abstractNumId w:val="51"/>
  </w:num>
  <w:num w:numId="21">
    <w:abstractNumId w:val="24"/>
  </w:num>
  <w:num w:numId="22">
    <w:abstractNumId w:val="37"/>
  </w:num>
  <w:num w:numId="23">
    <w:abstractNumId w:val="26"/>
  </w:num>
  <w:num w:numId="24">
    <w:abstractNumId w:val="55"/>
  </w:num>
  <w:num w:numId="25">
    <w:abstractNumId w:val="53"/>
  </w:num>
  <w:num w:numId="26">
    <w:abstractNumId w:val="15"/>
  </w:num>
  <w:num w:numId="27">
    <w:abstractNumId w:val="45"/>
  </w:num>
  <w:num w:numId="28">
    <w:abstractNumId w:val="13"/>
  </w:num>
  <w:num w:numId="29">
    <w:abstractNumId w:val="47"/>
  </w:num>
  <w:num w:numId="30">
    <w:abstractNumId w:val="35"/>
  </w:num>
  <w:num w:numId="31">
    <w:abstractNumId w:val="38"/>
  </w:num>
  <w:num w:numId="32">
    <w:abstractNumId w:val="1"/>
  </w:num>
  <w:num w:numId="33">
    <w:abstractNumId w:val="4"/>
  </w:num>
  <w:num w:numId="34">
    <w:abstractNumId w:val="39"/>
  </w:num>
  <w:num w:numId="35">
    <w:abstractNumId w:val="54"/>
  </w:num>
  <w:num w:numId="36">
    <w:abstractNumId w:val="22"/>
  </w:num>
  <w:num w:numId="37">
    <w:abstractNumId w:val="31"/>
  </w:num>
  <w:num w:numId="38">
    <w:abstractNumId w:val="41"/>
  </w:num>
  <w:num w:numId="39">
    <w:abstractNumId w:val="7"/>
  </w:num>
  <w:num w:numId="40">
    <w:abstractNumId w:val="2"/>
  </w:num>
  <w:num w:numId="41">
    <w:abstractNumId w:val="49"/>
  </w:num>
  <w:num w:numId="42">
    <w:abstractNumId w:val="59"/>
  </w:num>
  <w:num w:numId="43">
    <w:abstractNumId w:val="23"/>
  </w:num>
  <w:num w:numId="44">
    <w:abstractNumId w:val="27"/>
  </w:num>
  <w:num w:numId="45">
    <w:abstractNumId w:val="40"/>
  </w:num>
  <w:num w:numId="46">
    <w:abstractNumId w:val="17"/>
  </w:num>
  <w:num w:numId="47">
    <w:abstractNumId w:val="50"/>
  </w:num>
  <w:num w:numId="48">
    <w:abstractNumId w:val="43"/>
  </w:num>
  <w:num w:numId="49">
    <w:abstractNumId w:val="8"/>
  </w:num>
  <w:num w:numId="50">
    <w:abstractNumId w:val="46"/>
  </w:num>
  <w:num w:numId="51">
    <w:abstractNumId w:val="19"/>
  </w:num>
  <w:num w:numId="52">
    <w:abstractNumId w:val="44"/>
  </w:num>
  <w:num w:numId="53">
    <w:abstractNumId w:val="36"/>
  </w:num>
  <w:num w:numId="54">
    <w:abstractNumId w:val="48"/>
  </w:num>
  <w:num w:numId="55">
    <w:abstractNumId w:val="30"/>
  </w:num>
  <w:num w:numId="56">
    <w:abstractNumId w:val="3"/>
  </w:num>
  <w:num w:numId="57">
    <w:abstractNumId w:val="28"/>
  </w:num>
  <w:num w:numId="58">
    <w:abstractNumId w:val="29"/>
  </w:num>
  <w:num w:numId="59">
    <w:abstractNumId w:val="9"/>
  </w:num>
  <w:num w:numId="60">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6"/>
  <w:hideGrammaticalErrors/>
  <w:revisionView w:markup="0"/>
  <w:defaultTabStop w:val="720"/>
  <w:doNotShadeFormData/>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FCD"/>
    <w:rsid w:val="00003C17"/>
    <w:rsid w:val="00006347"/>
    <w:rsid w:val="00027929"/>
    <w:rsid w:val="00040682"/>
    <w:rsid w:val="0004087E"/>
    <w:rsid w:val="000408CF"/>
    <w:rsid w:val="0005104E"/>
    <w:rsid w:val="00051573"/>
    <w:rsid w:val="000548A5"/>
    <w:rsid w:val="0005600D"/>
    <w:rsid w:val="00062B9C"/>
    <w:rsid w:val="000671B6"/>
    <w:rsid w:val="000736B9"/>
    <w:rsid w:val="000738ED"/>
    <w:rsid w:val="00077698"/>
    <w:rsid w:val="00080880"/>
    <w:rsid w:val="00080F5D"/>
    <w:rsid w:val="00090B27"/>
    <w:rsid w:val="00096494"/>
    <w:rsid w:val="000A2DF9"/>
    <w:rsid w:val="000A3972"/>
    <w:rsid w:val="000C237C"/>
    <w:rsid w:val="000C25D0"/>
    <w:rsid w:val="000C2811"/>
    <w:rsid w:val="000C391E"/>
    <w:rsid w:val="000C3B1C"/>
    <w:rsid w:val="000C3EB5"/>
    <w:rsid w:val="000D017B"/>
    <w:rsid w:val="000F0A11"/>
    <w:rsid w:val="000F6C00"/>
    <w:rsid w:val="00115108"/>
    <w:rsid w:val="00116FC6"/>
    <w:rsid w:val="0012299E"/>
    <w:rsid w:val="00122F78"/>
    <w:rsid w:val="00127E05"/>
    <w:rsid w:val="00134F91"/>
    <w:rsid w:val="00155DEF"/>
    <w:rsid w:val="00160722"/>
    <w:rsid w:val="00170845"/>
    <w:rsid w:val="00170982"/>
    <w:rsid w:val="00181A15"/>
    <w:rsid w:val="00181F59"/>
    <w:rsid w:val="00182ED0"/>
    <w:rsid w:val="00186BB3"/>
    <w:rsid w:val="0019312B"/>
    <w:rsid w:val="00195261"/>
    <w:rsid w:val="00195F8C"/>
    <w:rsid w:val="00196342"/>
    <w:rsid w:val="001A4980"/>
    <w:rsid w:val="001B743F"/>
    <w:rsid w:val="001B7888"/>
    <w:rsid w:val="001C5161"/>
    <w:rsid w:val="001C58DD"/>
    <w:rsid w:val="001D00AC"/>
    <w:rsid w:val="001D4063"/>
    <w:rsid w:val="001D6A54"/>
    <w:rsid w:val="001F2FAC"/>
    <w:rsid w:val="001F4280"/>
    <w:rsid w:val="002065E6"/>
    <w:rsid w:val="0020678D"/>
    <w:rsid w:val="00222F32"/>
    <w:rsid w:val="00224245"/>
    <w:rsid w:val="00230E9D"/>
    <w:rsid w:val="002449BE"/>
    <w:rsid w:val="00247C4D"/>
    <w:rsid w:val="00252700"/>
    <w:rsid w:val="00275CCB"/>
    <w:rsid w:val="002805C7"/>
    <w:rsid w:val="002808B3"/>
    <w:rsid w:val="00286907"/>
    <w:rsid w:val="00287B03"/>
    <w:rsid w:val="00294C90"/>
    <w:rsid w:val="00294F87"/>
    <w:rsid w:val="00295172"/>
    <w:rsid w:val="00295F32"/>
    <w:rsid w:val="002A0876"/>
    <w:rsid w:val="002A0A3A"/>
    <w:rsid w:val="002A3640"/>
    <w:rsid w:val="002A7B17"/>
    <w:rsid w:val="002B3B96"/>
    <w:rsid w:val="002D0756"/>
    <w:rsid w:val="002D09C3"/>
    <w:rsid w:val="002D0E5B"/>
    <w:rsid w:val="002E0F33"/>
    <w:rsid w:val="002E297C"/>
    <w:rsid w:val="002E38F8"/>
    <w:rsid w:val="002F1928"/>
    <w:rsid w:val="00302FF6"/>
    <w:rsid w:val="00303EDE"/>
    <w:rsid w:val="003075A7"/>
    <w:rsid w:val="00307A1B"/>
    <w:rsid w:val="0031027C"/>
    <w:rsid w:val="00322C7C"/>
    <w:rsid w:val="00326F4A"/>
    <w:rsid w:val="003347CE"/>
    <w:rsid w:val="003374E1"/>
    <w:rsid w:val="00341DF7"/>
    <w:rsid w:val="00344CED"/>
    <w:rsid w:val="00346EEF"/>
    <w:rsid w:val="00350B96"/>
    <w:rsid w:val="0036084D"/>
    <w:rsid w:val="003634C7"/>
    <w:rsid w:val="00380144"/>
    <w:rsid w:val="00380C17"/>
    <w:rsid w:val="00383CEF"/>
    <w:rsid w:val="003A0250"/>
    <w:rsid w:val="003B02F2"/>
    <w:rsid w:val="003B2348"/>
    <w:rsid w:val="003B42BD"/>
    <w:rsid w:val="003B4DAE"/>
    <w:rsid w:val="003C0B3A"/>
    <w:rsid w:val="003C54D9"/>
    <w:rsid w:val="003D0245"/>
    <w:rsid w:val="003D0817"/>
    <w:rsid w:val="003D46A0"/>
    <w:rsid w:val="003E040B"/>
    <w:rsid w:val="003E11E6"/>
    <w:rsid w:val="003F3FCD"/>
    <w:rsid w:val="00400235"/>
    <w:rsid w:val="00401A5B"/>
    <w:rsid w:val="004023B2"/>
    <w:rsid w:val="00404885"/>
    <w:rsid w:val="004061C6"/>
    <w:rsid w:val="00407ECB"/>
    <w:rsid w:val="00425AF5"/>
    <w:rsid w:val="004303AB"/>
    <w:rsid w:val="00431958"/>
    <w:rsid w:val="004404AE"/>
    <w:rsid w:val="00455250"/>
    <w:rsid w:val="00460DC2"/>
    <w:rsid w:val="004646BD"/>
    <w:rsid w:val="0046585B"/>
    <w:rsid w:val="00466B29"/>
    <w:rsid w:val="004700FF"/>
    <w:rsid w:val="00483B2C"/>
    <w:rsid w:val="00494B95"/>
    <w:rsid w:val="004A747E"/>
    <w:rsid w:val="004A75B6"/>
    <w:rsid w:val="004C2FF6"/>
    <w:rsid w:val="004D28CD"/>
    <w:rsid w:val="004D7DC6"/>
    <w:rsid w:val="004E1429"/>
    <w:rsid w:val="004E4194"/>
    <w:rsid w:val="004F391E"/>
    <w:rsid w:val="00504360"/>
    <w:rsid w:val="00504D89"/>
    <w:rsid w:val="00510CBD"/>
    <w:rsid w:val="0052019B"/>
    <w:rsid w:val="00523556"/>
    <w:rsid w:val="00531B21"/>
    <w:rsid w:val="00531FC5"/>
    <w:rsid w:val="00541277"/>
    <w:rsid w:val="00542E7F"/>
    <w:rsid w:val="005433BD"/>
    <w:rsid w:val="00552647"/>
    <w:rsid w:val="00557196"/>
    <w:rsid w:val="0056028B"/>
    <w:rsid w:val="005603EA"/>
    <w:rsid w:val="005715BC"/>
    <w:rsid w:val="00571C4A"/>
    <w:rsid w:val="005730B1"/>
    <w:rsid w:val="005756C5"/>
    <w:rsid w:val="005818AC"/>
    <w:rsid w:val="00581FF3"/>
    <w:rsid w:val="005A37CD"/>
    <w:rsid w:val="005C3151"/>
    <w:rsid w:val="005D361F"/>
    <w:rsid w:val="005D5F3A"/>
    <w:rsid w:val="005D60AE"/>
    <w:rsid w:val="005E2BAA"/>
    <w:rsid w:val="005E2E93"/>
    <w:rsid w:val="005E3FF5"/>
    <w:rsid w:val="005E7346"/>
    <w:rsid w:val="0060189B"/>
    <w:rsid w:val="0060325A"/>
    <w:rsid w:val="00624BB8"/>
    <w:rsid w:val="00626934"/>
    <w:rsid w:val="00657FE0"/>
    <w:rsid w:val="0066740D"/>
    <w:rsid w:val="006732AD"/>
    <w:rsid w:val="00677573"/>
    <w:rsid w:val="006932E0"/>
    <w:rsid w:val="006B7E80"/>
    <w:rsid w:val="006C030A"/>
    <w:rsid w:val="006C28CA"/>
    <w:rsid w:val="006C2A58"/>
    <w:rsid w:val="006C7EFD"/>
    <w:rsid w:val="006D0364"/>
    <w:rsid w:val="006D092C"/>
    <w:rsid w:val="006D0E53"/>
    <w:rsid w:val="006D25B8"/>
    <w:rsid w:val="006D43AF"/>
    <w:rsid w:val="006D472A"/>
    <w:rsid w:val="006E1592"/>
    <w:rsid w:val="006E256C"/>
    <w:rsid w:val="006E6F08"/>
    <w:rsid w:val="006F3E60"/>
    <w:rsid w:val="007002A7"/>
    <w:rsid w:val="00703D95"/>
    <w:rsid w:val="00717AA4"/>
    <w:rsid w:val="00730F30"/>
    <w:rsid w:val="00736AD3"/>
    <w:rsid w:val="00750CD1"/>
    <w:rsid w:val="007550A7"/>
    <w:rsid w:val="00770462"/>
    <w:rsid w:val="0078543F"/>
    <w:rsid w:val="00792CED"/>
    <w:rsid w:val="00796AFC"/>
    <w:rsid w:val="007A565C"/>
    <w:rsid w:val="007B2901"/>
    <w:rsid w:val="007C3C26"/>
    <w:rsid w:val="007D1882"/>
    <w:rsid w:val="007F305B"/>
    <w:rsid w:val="007F5702"/>
    <w:rsid w:val="00802180"/>
    <w:rsid w:val="00803F5A"/>
    <w:rsid w:val="00831E9C"/>
    <w:rsid w:val="00836A35"/>
    <w:rsid w:val="00856DBD"/>
    <w:rsid w:val="00862260"/>
    <w:rsid w:val="008643AC"/>
    <w:rsid w:val="00887336"/>
    <w:rsid w:val="00890173"/>
    <w:rsid w:val="0089036D"/>
    <w:rsid w:val="00890A0D"/>
    <w:rsid w:val="00891B25"/>
    <w:rsid w:val="00893CC1"/>
    <w:rsid w:val="0089579E"/>
    <w:rsid w:val="00896BEC"/>
    <w:rsid w:val="008A3E8E"/>
    <w:rsid w:val="008B4213"/>
    <w:rsid w:val="008C052D"/>
    <w:rsid w:val="008C6453"/>
    <w:rsid w:val="008E246B"/>
    <w:rsid w:val="008E52E1"/>
    <w:rsid w:val="008E72AA"/>
    <w:rsid w:val="008F204C"/>
    <w:rsid w:val="00900F58"/>
    <w:rsid w:val="00903240"/>
    <w:rsid w:val="00913134"/>
    <w:rsid w:val="00913BD3"/>
    <w:rsid w:val="00915FCE"/>
    <w:rsid w:val="00921D7E"/>
    <w:rsid w:val="00934057"/>
    <w:rsid w:val="00941601"/>
    <w:rsid w:val="00965128"/>
    <w:rsid w:val="00972667"/>
    <w:rsid w:val="00972933"/>
    <w:rsid w:val="00973963"/>
    <w:rsid w:val="00983CAA"/>
    <w:rsid w:val="0098669F"/>
    <w:rsid w:val="009A5C2F"/>
    <w:rsid w:val="009A71A1"/>
    <w:rsid w:val="009B6093"/>
    <w:rsid w:val="009C340A"/>
    <w:rsid w:val="009C549B"/>
    <w:rsid w:val="009C6D09"/>
    <w:rsid w:val="009D05C2"/>
    <w:rsid w:val="009E5822"/>
    <w:rsid w:val="009F0EC7"/>
    <w:rsid w:val="00A30414"/>
    <w:rsid w:val="00A5237F"/>
    <w:rsid w:val="00A533F6"/>
    <w:rsid w:val="00A56986"/>
    <w:rsid w:val="00A575F0"/>
    <w:rsid w:val="00A72C53"/>
    <w:rsid w:val="00A80C7E"/>
    <w:rsid w:val="00AB2199"/>
    <w:rsid w:val="00AC087C"/>
    <w:rsid w:val="00AC183F"/>
    <w:rsid w:val="00AC361B"/>
    <w:rsid w:val="00AC6874"/>
    <w:rsid w:val="00AD4DF5"/>
    <w:rsid w:val="00AD6471"/>
    <w:rsid w:val="00AE01F6"/>
    <w:rsid w:val="00AE6155"/>
    <w:rsid w:val="00AF27E8"/>
    <w:rsid w:val="00B10B1F"/>
    <w:rsid w:val="00B40A9D"/>
    <w:rsid w:val="00B42FAE"/>
    <w:rsid w:val="00B754BB"/>
    <w:rsid w:val="00B75DA3"/>
    <w:rsid w:val="00B807E4"/>
    <w:rsid w:val="00B87E24"/>
    <w:rsid w:val="00B95C60"/>
    <w:rsid w:val="00BA3601"/>
    <w:rsid w:val="00BA778A"/>
    <w:rsid w:val="00BC3C19"/>
    <w:rsid w:val="00BC40AA"/>
    <w:rsid w:val="00BC779F"/>
    <w:rsid w:val="00BD4468"/>
    <w:rsid w:val="00BF3C9F"/>
    <w:rsid w:val="00BF47F5"/>
    <w:rsid w:val="00C1074F"/>
    <w:rsid w:val="00C12B42"/>
    <w:rsid w:val="00C25697"/>
    <w:rsid w:val="00C357ED"/>
    <w:rsid w:val="00C36D14"/>
    <w:rsid w:val="00C404D5"/>
    <w:rsid w:val="00C51225"/>
    <w:rsid w:val="00C51ADE"/>
    <w:rsid w:val="00C5278B"/>
    <w:rsid w:val="00C52BBA"/>
    <w:rsid w:val="00C52F8D"/>
    <w:rsid w:val="00C64291"/>
    <w:rsid w:val="00C655B7"/>
    <w:rsid w:val="00C729BC"/>
    <w:rsid w:val="00C83CB8"/>
    <w:rsid w:val="00C91D3E"/>
    <w:rsid w:val="00CA0DB9"/>
    <w:rsid w:val="00CA3224"/>
    <w:rsid w:val="00CA7774"/>
    <w:rsid w:val="00CB2D0F"/>
    <w:rsid w:val="00CC3C22"/>
    <w:rsid w:val="00CD50A6"/>
    <w:rsid w:val="00CF6E0C"/>
    <w:rsid w:val="00D378E4"/>
    <w:rsid w:val="00D4108D"/>
    <w:rsid w:val="00D50EF9"/>
    <w:rsid w:val="00D56D87"/>
    <w:rsid w:val="00D57525"/>
    <w:rsid w:val="00D57DD6"/>
    <w:rsid w:val="00D619F1"/>
    <w:rsid w:val="00D61FC1"/>
    <w:rsid w:val="00D639E3"/>
    <w:rsid w:val="00D66195"/>
    <w:rsid w:val="00D73AE5"/>
    <w:rsid w:val="00D74388"/>
    <w:rsid w:val="00D93343"/>
    <w:rsid w:val="00D93536"/>
    <w:rsid w:val="00D96A1E"/>
    <w:rsid w:val="00DA117B"/>
    <w:rsid w:val="00DA531D"/>
    <w:rsid w:val="00DA7941"/>
    <w:rsid w:val="00DB596B"/>
    <w:rsid w:val="00DC73D6"/>
    <w:rsid w:val="00DF1C97"/>
    <w:rsid w:val="00DF70B4"/>
    <w:rsid w:val="00E0033D"/>
    <w:rsid w:val="00E00EF2"/>
    <w:rsid w:val="00E05D0D"/>
    <w:rsid w:val="00E15FB9"/>
    <w:rsid w:val="00E17E3F"/>
    <w:rsid w:val="00E50E54"/>
    <w:rsid w:val="00E56E24"/>
    <w:rsid w:val="00E613FE"/>
    <w:rsid w:val="00E62AB5"/>
    <w:rsid w:val="00E67A33"/>
    <w:rsid w:val="00E7378A"/>
    <w:rsid w:val="00E76C8B"/>
    <w:rsid w:val="00E8646E"/>
    <w:rsid w:val="00E90DC4"/>
    <w:rsid w:val="00E90EA4"/>
    <w:rsid w:val="00EB2B95"/>
    <w:rsid w:val="00EC328B"/>
    <w:rsid w:val="00ED16E3"/>
    <w:rsid w:val="00ED235F"/>
    <w:rsid w:val="00EE6C6F"/>
    <w:rsid w:val="00F2378C"/>
    <w:rsid w:val="00F266F7"/>
    <w:rsid w:val="00F30041"/>
    <w:rsid w:val="00F43687"/>
    <w:rsid w:val="00F65567"/>
    <w:rsid w:val="00F671F7"/>
    <w:rsid w:val="00F67ACA"/>
    <w:rsid w:val="00F70A26"/>
    <w:rsid w:val="00F75A1F"/>
    <w:rsid w:val="00F77FDF"/>
    <w:rsid w:val="00F83A47"/>
    <w:rsid w:val="00FB2B77"/>
    <w:rsid w:val="00FB5161"/>
    <w:rsid w:val="00FB6B23"/>
    <w:rsid w:val="00FC0E12"/>
    <w:rsid w:val="00FC20F7"/>
    <w:rsid w:val="00FC4BBA"/>
    <w:rsid w:val="00FD3F8E"/>
    <w:rsid w:val="00FD5F28"/>
    <w:rsid w:val="00FE5F6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CDEFD68"/>
  <w15:docId w15:val="{A09FEB5A-C013-47B0-A5E5-3E2D8B62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8CD"/>
  </w:style>
  <w:style w:type="paragraph" w:styleId="Heading1">
    <w:name w:val="heading 1"/>
    <w:basedOn w:val="Normal"/>
    <w:next w:val="Normal"/>
    <w:link w:val="Heading1Char"/>
    <w:uiPriority w:val="9"/>
    <w:qFormat/>
    <w:rsid w:val="003C0B3A"/>
    <w:pPr>
      <w:keepNext/>
      <w:keepLines/>
      <w:numPr>
        <w:numId w:val="5"/>
      </w:numPr>
      <w:spacing w:before="360"/>
      <w:outlineLvl w:val="0"/>
    </w:pPr>
    <w:rPr>
      <w:rFonts w:ascii="Times New Roman" w:eastAsiaTheme="majorEastAsia" w:hAnsi="Times New Roman"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4D28CD"/>
    <w:pPr>
      <w:keepNext/>
      <w:keepLines/>
      <w:numPr>
        <w:ilvl w:val="1"/>
        <w:numId w:val="5"/>
      </w:numPr>
      <w:spacing w:before="36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autoRedefine/>
    <w:uiPriority w:val="9"/>
    <w:unhideWhenUsed/>
    <w:qFormat/>
    <w:rsid w:val="005D361F"/>
    <w:pPr>
      <w:keepNext/>
      <w:keepLines/>
      <w:spacing w:before="200"/>
      <w:ind w:left="720"/>
      <w:jc w:val="center"/>
      <w:outlineLvl w:val="2"/>
    </w:pPr>
    <w:rPr>
      <w:rFonts w:ascii="Times New Roman" w:eastAsia="Calibri" w:hAnsi="Times New Roman" w:cs="Times New Roman"/>
      <w:b/>
      <w:bCs/>
      <w:color w:val="000000" w:themeColor="text1"/>
      <w:sz w:val="28"/>
      <w:szCs w:val="28"/>
    </w:rPr>
  </w:style>
  <w:style w:type="paragraph" w:styleId="Heading4">
    <w:name w:val="heading 4"/>
    <w:basedOn w:val="Normal"/>
    <w:next w:val="Normal"/>
    <w:link w:val="Heading4Char"/>
    <w:unhideWhenUsed/>
    <w:qFormat/>
    <w:rsid w:val="004D28CD"/>
    <w:pPr>
      <w:keepNext/>
      <w:keepLines/>
      <w:numPr>
        <w:ilvl w:val="3"/>
        <w:numId w:val="5"/>
      </w:numPr>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4D28CD"/>
    <w:pPr>
      <w:keepNext/>
      <w:keepLines/>
      <w:numPr>
        <w:ilvl w:val="4"/>
        <w:numId w:val="5"/>
      </w:numPr>
      <w:spacing w:before="20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4D28CD"/>
    <w:pPr>
      <w:keepNext/>
      <w:keepLines/>
      <w:numPr>
        <w:ilvl w:val="5"/>
        <w:numId w:val="5"/>
      </w:numPr>
      <w:spacing w:before="20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4D28CD"/>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D28CD"/>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D28CD"/>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B3A"/>
    <w:rPr>
      <w:rFonts w:ascii="Times New Roman" w:eastAsiaTheme="majorEastAsia" w:hAnsi="Times New Roman" w:cstheme="majorBidi"/>
      <w:b/>
      <w:bCs/>
      <w:smallCaps/>
      <w:color w:val="000000" w:themeColor="text1"/>
      <w:sz w:val="36"/>
      <w:szCs w:val="36"/>
    </w:rPr>
  </w:style>
  <w:style w:type="paragraph" w:styleId="TOCHeading">
    <w:name w:val="TOC Heading"/>
    <w:basedOn w:val="Heading1"/>
    <w:next w:val="Normal"/>
    <w:uiPriority w:val="39"/>
    <w:unhideWhenUsed/>
    <w:qFormat/>
    <w:rsid w:val="004D28CD"/>
    <w:pPr>
      <w:outlineLvl w:val="9"/>
    </w:pPr>
  </w:style>
  <w:style w:type="character" w:customStyle="1" w:styleId="Heading2Char">
    <w:name w:val="Heading 2 Char"/>
    <w:basedOn w:val="DefaultParagraphFont"/>
    <w:link w:val="Heading2"/>
    <w:uiPriority w:val="9"/>
    <w:rsid w:val="004D28CD"/>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5D361F"/>
    <w:rPr>
      <w:rFonts w:ascii="Times New Roman" w:eastAsia="Calibri" w:hAnsi="Times New Roman" w:cs="Times New Roman"/>
      <w:b/>
      <w:bCs/>
      <w:color w:val="000000" w:themeColor="text1"/>
      <w:sz w:val="28"/>
      <w:szCs w:val="28"/>
    </w:rPr>
  </w:style>
  <w:style w:type="character" w:customStyle="1" w:styleId="Heading4Char">
    <w:name w:val="Heading 4 Char"/>
    <w:basedOn w:val="DefaultParagraphFont"/>
    <w:link w:val="Heading4"/>
    <w:rsid w:val="004D28CD"/>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4D28CD"/>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4D28CD"/>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4D28C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D28C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D28C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D28CD"/>
    <w:pPr>
      <w:spacing w:after="200"/>
    </w:pPr>
    <w:rPr>
      <w:i/>
      <w:iCs/>
      <w:color w:val="44546A" w:themeColor="text2"/>
      <w:sz w:val="18"/>
      <w:szCs w:val="18"/>
    </w:rPr>
  </w:style>
  <w:style w:type="paragraph" w:styleId="Title">
    <w:name w:val="Title"/>
    <w:basedOn w:val="Normal"/>
    <w:next w:val="Normal"/>
    <w:link w:val="TitleChar"/>
    <w:uiPriority w:val="10"/>
    <w:qFormat/>
    <w:rsid w:val="004D28CD"/>
    <w:pPr>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4D28CD"/>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4D28C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4D28CD"/>
    <w:rPr>
      <w:color w:val="5A5A5A" w:themeColor="text1" w:themeTint="A5"/>
      <w:spacing w:val="10"/>
    </w:rPr>
  </w:style>
  <w:style w:type="character" w:styleId="Strong">
    <w:name w:val="Strong"/>
    <w:basedOn w:val="DefaultParagraphFont"/>
    <w:uiPriority w:val="22"/>
    <w:qFormat/>
    <w:rsid w:val="004D28CD"/>
    <w:rPr>
      <w:b/>
      <w:bCs/>
      <w:color w:val="000000" w:themeColor="text1"/>
    </w:rPr>
  </w:style>
  <w:style w:type="character" w:styleId="Emphasis">
    <w:name w:val="Emphasis"/>
    <w:basedOn w:val="DefaultParagraphFont"/>
    <w:uiPriority w:val="20"/>
    <w:qFormat/>
    <w:rsid w:val="004D28CD"/>
    <w:rPr>
      <w:i/>
      <w:iCs/>
      <w:color w:val="auto"/>
    </w:rPr>
  </w:style>
  <w:style w:type="paragraph" w:styleId="NoSpacing">
    <w:name w:val="No Spacing"/>
    <w:uiPriority w:val="1"/>
    <w:qFormat/>
    <w:rsid w:val="004D28CD"/>
  </w:style>
  <w:style w:type="paragraph" w:styleId="Quote">
    <w:name w:val="Quote"/>
    <w:basedOn w:val="Normal"/>
    <w:next w:val="Normal"/>
    <w:link w:val="QuoteChar"/>
    <w:uiPriority w:val="29"/>
    <w:qFormat/>
    <w:rsid w:val="004D28CD"/>
    <w:pPr>
      <w:spacing w:before="160"/>
      <w:ind w:left="720" w:right="720"/>
    </w:pPr>
    <w:rPr>
      <w:i/>
      <w:iCs/>
      <w:color w:val="000000" w:themeColor="text1"/>
    </w:rPr>
  </w:style>
  <w:style w:type="character" w:customStyle="1" w:styleId="QuoteChar">
    <w:name w:val="Quote Char"/>
    <w:basedOn w:val="DefaultParagraphFont"/>
    <w:link w:val="Quote"/>
    <w:uiPriority w:val="29"/>
    <w:rsid w:val="004D28CD"/>
    <w:rPr>
      <w:i/>
      <w:iCs/>
      <w:color w:val="000000" w:themeColor="text1"/>
    </w:rPr>
  </w:style>
  <w:style w:type="paragraph" w:styleId="IntenseQuote">
    <w:name w:val="Intense Quote"/>
    <w:basedOn w:val="Normal"/>
    <w:next w:val="Normal"/>
    <w:link w:val="IntenseQuoteChar"/>
    <w:uiPriority w:val="30"/>
    <w:qFormat/>
    <w:rsid w:val="004D28C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4D28CD"/>
    <w:rPr>
      <w:color w:val="000000" w:themeColor="text1"/>
      <w:shd w:val="clear" w:color="auto" w:fill="F2F2F2" w:themeFill="background1" w:themeFillShade="F2"/>
    </w:rPr>
  </w:style>
  <w:style w:type="character" w:styleId="SubtleEmphasis">
    <w:name w:val="Subtle Emphasis"/>
    <w:basedOn w:val="DefaultParagraphFont"/>
    <w:uiPriority w:val="19"/>
    <w:qFormat/>
    <w:rsid w:val="004D28CD"/>
    <w:rPr>
      <w:i/>
      <w:iCs/>
      <w:color w:val="404040" w:themeColor="text1" w:themeTint="BF"/>
    </w:rPr>
  </w:style>
  <w:style w:type="character" w:styleId="IntenseEmphasis">
    <w:name w:val="Intense Emphasis"/>
    <w:basedOn w:val="DefaultParagraphFont"/>
    <w:uiPriority w:val="21"/>
    <w:qFormat/>
    <w:rsid w:val="004D28CD"/>
    <w:rPr>
      <w:b/>
      <w:bCs/>
      <w:i/>
      <w:iCs/>
      <w:caps/>
    </w:rPr>
  </w:style>
  <w:style w:type="character" w:styleId="SubtleReference">
    <w:name w:val="Subtle Reference"/>
    <w:basedOn w:val="DefaultParagraphFont"/>
    <w:uiPriority w:val="31"/>
    <w:qFormat/>
    <w:rsid w:val="004D28C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D28CD"/>
    <w:rPr>
      <w:b/>
      <w:bCs/>
      <w:smallCaps/>
      <w:u w:val="single"/>
    </w:rPr>
  </w:style>
  <w:style w:type="character" w:styleId="BookTitle">
    <w:name w:val="Book Title"/>
    <w:basedOn w:val="DefaultParagraphFont"/>
    <w:uiPriority w:val="33"/>
    <w:qFormat/>
    <w:rsid w:val="004D28CD"/>
    <w:rPr>
      <w:b w:val="0"/>
      <w:bCs w:val="0"/>
      <w:smallCaps/>
      <w:spacing w:val="5"/>
    </w:rPr>
  </w:style>
  <w:style w:type="paragraph" w:styleId="TOC1">
    <w:name w:val="toc 1"/>
    <w:basedOn w:val="Normal"/>
    <w:next w:val="Normal"/>
    <w:autoRedefine/>
    <w:uiPriority w:val="39"/>
    <w:unhideWhenUsed/>
    <w:rsid w:val="00383CEF"/>
    <w:pPr>
      <w:spacing w:after="100"/>
    </w:pPr>
  </w:style>
  <w:style w:type="paragraph" w:styleId="TOC2">
    <w:name w:val="toc 2"/>
    <w:basedOn w:val="Normal"/>
    <w:next w:val="Normal"/>
    <w:autoRedefine/>
    <w:uiPriority w:val="39"/>
    <w:unhideWhenUsed/>
    <w:rsid w:val="00626934"/>
    <w:pPr>
      <w:tabs>
        <w:tab w:val="left" w:pos="851"/>
        <w:tab w:val="right" w:leader="dot" w:pos="9071"/>
      </w:tabs>
      <w:spacing w:after="100"/>
      <w:ind w:left="567" w:hanging="141"/>
    </w:pPr>
  </w:style>
  <w:style w:type="character" w:styleId="Hyperlink">
    <w:name w:val="Hyperlink"/>
    <w:basedOn w:val="DefaultParagraphFont"/>
    <w:uiPriority w:val="99"/>
    <w:unhideWhenUsed/>
    <w:rsid w:val="00383CEF"/>
    <w:rPr>
      <w:color w:val="0563C1" w:themeColor="hyperlink"/>
      <w:u w:val="single"/>
    </w:rPr>
  </w:style>
  <w:style w:type="paragraph" w:styleId="ListParagraph">
    <w:name w:val="List Paragraph"/>
    <w:aliases w:val="2,Numbered Para 1,Dot pt,No Spacing1,List Paragraph Char Char Char,Indicator Text,Bullet 1,Bullet Points,MAIN CONTENT,IFCL - List Paragraph,List Paragraph12,OBC Bullet,F5 List Paragraph,Colorful List - Accent 11,Strip,Akapit z listą BS"/>
    <w:basedOn w:val="Normal"/>
    <w:link w:val="ListParagraphChar"/>
    <w:uiPriority w:val="34"/>
    <w:qFormat/>
    <w:rsid w:val="00383CEF"/>
    <w:pPr>
      <w:ind w:left="720"/>
      <w:contextualSpacing/>
    </w:pPr>
  </w:style>
  <w:style w:type="paragraph" w:styleId="FootnoteText">
    <w:name w:val="footnote text"/>
    <w:aliases w:val="Footnote,Fußnote,Fußnote Char Char Char,single space,ft Rakstz. Rakstz.,ft Rakstz.,ft,-E Fußnotentext,Fußnotentext Ursprung,Vēres teksts Char Char Char Char Char,Char Char Char Char Char Char Char Char Char Char Char Char,footnote tex,Char"/>
    <w:basedOn w:val="Normal"/>
    <w:link w:val="FootnoteTextChar"/>
    <w:uiPriority w:val="99"/>
    <w:unhideWhenUsed/>
    <w:qFormat/>
    <w:rsid w:val="00383CEF"/>
    <w:rPr>
      <w:sz w:val="20"/>
      <w:szCs w:val="20"/>
      <w:lang w:eastAsia="en-US"/>
    </w:rPr>
  </w:style>
  <w:style w:type="character" w:customStyle="1" w:styleId="FootnoteTextChar">
    <w:name w:val="Footnote Text Char"/>
    <w:aliases w:val="Footnote Char,Fußnote Char,Fußnote Char Char Char Char,single space Char,ft Rakstz. Rakstz. Char,ft Rakstz. Char,ft Char,-E Fußnotentext Char,Fußnotentext Ursprung Char,Vēres teksts Char Char Char Char Char Char,footnote tex Char"/>
    <w:basedOn w:val="DefaultParagraphFont"/>
    <w:link w:val="FootnoteText"/>
    <w:uiPriority w:val="99"/>
    <w:rsid w:val="00383CEF"/>
    <w:rPr>
      <w:sz w:val="20"/>
      <w:szCs w:val="20"/>
      <w:lang w:eastAsia="en-US"/>
    </w:rPr>
  </w:style>
  <w:style w:type="character" w:styleId="FootnoteReference">
    <w:name w:val="footnote reference"/>
    <w:aliases w:val="Footnote Reference Number,Footnote symbol,Footnote Reference Superscript,ftref,Footnote Refernece,Odwołanie przypisu,BVI fnr,Footnotes refss,SUPERS,Ref,de nota al pie,-E Fußnotenzeichen,Footnote reference number,Times 10 Point,E,E FNZ"/>
    <w:basedOn w:val="DefaultParagraphFont"/>
    <w:link w:val="Char2"/>
    <w:uiPriority w:val="99"/>
    <w:unhideWhenUsed/>
    <w:qFormat/>
    <w:rsid w:val="00383CEF"/>
    <w:rPr>
      <w:vertAlign w:val="superscript"/>
    </w:rPr>
  </w:style>
  <w:style w:type="paragraph" w:customStyle="1" w:styleId="Char2">
    <w:name w:val="Char2"/>
    <w:aliases w:val="Char Char Char Char"/>
    <w:basedOn w:val="Normal"/>
    <w:next w:val="Normal"/>
    <w:link w:val="FootnoteReference"/>
    <w:uiPriority w:val="99"/>
    <w:rsid w:val="00383CEF"/>
    <w:pPr>
      <w:spacing w:line="240" w:lineRule="exact"/>
      <w:jc w:val="both"/>
      <w:textAlignment w:val="baseline"/>
    </w:pPr>
    <w:rPr>
      <w:vertAlign w:val="superscript"/>
    </w:rPr>
  </w:style>
  <w:style w:type="paragraph" w:customStyle="1" w:styleId="footnotetex1">
    <w:name w:val="footnote tex1"/>
    <w:basedOn w:val="Normal"/>
    <w:next w:val="FootnoteText"/>
    <w:unhideWhenUsed/>
    <w:qFormat/>
    <w:rsid w:val="00383CEF"/>
    <w:rPr>
      <w:rFonts w:ascii="Times New Roman" w:eastAsia="Calibri" w:hAnsi="Times New Roman" w:cs="Times New Roman"/>
      <w:sz w:val="20"/>
      <w:szCs w:val="20"/>
      <w:lang w:eastAsia="en-US"/>
    </w:rPr>
  </w:style>
  <w:style w:type="paragraph" w:styleId="Header">
    <w:name w:val="header"/>
    <w:basedOn w:val="Normal"/>
    <w:link w:val="HeaderChar"/>
    <w:uiPriority w:val="99"/>
    <w:unhideWhenUsed/>
    <w:rsid w:val="00F2378C"/>
    <w:pPr>
      <w:tabs>
        <w:tab w:val="center" w:pos="4153"/>
        <w:tab w:val="right" w:pos="8306"/>
      </w:tabs>
    </w:pPr>
  </w:style>
  <w:style w:type="character" w:customStyle="1" w:styleId="HeaderChar">
    <w:name w:val="Header Char"/>
    <w:basedOn w:val="DefaultParagraphFont"/>
    <w:link w:val="Header"/>
    <w:uiPriority w:val="99"/>
    <w:rsid w:val="00F2378C"/>
  </w:style>
  <w:style w:type="paragraph" w:styleId="Footer">
    <w:name w:val="footer"/>
    <w:basedOn w:val="Normal"/>
    <w:link w:val="FooterChar"/>
    <w:unhideWhenUsed/>
    <w:rsid w:val="00F2378C"/>
    <w:pPr>
      <w:tabs>
        <w:tab w:val="center" w:pos="4153"/>
        <w:tab w:val="right" w:pos="8306"/>
      </w:tabs>
    </w:pPr>
  </w:style>
  <w:style w:type="character" w:customStyle="1" w:styleId="FooterChar">
    <w:name w:val="Footer Char"/>
    <w:basedOn w:val="DefaultParagraphFont"/>
    <w:link w:val="Footer"/>
    <w:uiPriority w:val="99"/>
    <w:rsid w:val="00F2378C"/>
  </w:style>
  <w:style w:type="paragraph" w:styleId="TOC3">
    <w:name w:val="toc 3"/>
    <w:basedOn w:val="Normal"/>
    <w:next w:val="Normal"/>
    <w:autoRedefine/>
    <w:uiPriority w:val="39"/>
    <w:unhideWhenUsed/>
    <w:rsid w:val="00626934"/>
    <w:pPr>
      <w:tabs>
        <w:tab w:val="left" w:pos="1276"/>
        <w:tab w:val="right" w:leader="dot" w:pos="9071"/>
      </w:tabs>
      <w:spacing w:after="100"/>
      <w:ind w:left="1843" w:hanging="1134"/>
    </w:pPr>
    <w:rPr>
      <w:rFonts w:ascii="Times New Roman" w:hAnsi="Times New Roman" w:cs="Times New Roman"/>
      <w:noProof/>
      <w:sz w:val="28"/>
    </w:rPr>
  </w:style>
  <w:style w:type="character" w:styleId="CommentReference">
    <w:name w:val="annotation reference"/>
    <w:basedOn w:val="DefaultParagraphFont"/>
    <w:uiPriority w:val="99"/>
    <w:semiHidden/>
    <w:unhideWhenUsed/>
    <w:rsid w:val="00C83CB8"/>
    <w:rPr>
      <w:sz w:val="16"/>
      <w:szCs w:val="16"/>
    </w:rPr>
  </w:style>
  <w:style w:type="paragraph" w:styleId="CommentText">
    <w:name w:val="annotation text"/>
    <w:basedOn w:val="Normal"/>
    <w:link w:val="CommentTextChar"/>
    <w:uiPriority w:val="99"/>
    <w:unhideWhenUsed/>
    <w:rsid w:val="00C83CB8"/>
    <w:rPr>
      <w:sz w:val="20"/>
      <w:szCs w:val="20"/>
    </w:rPr>
  </w:style>
  <w:style w:type="character" w:customStyle="1" w:styleId="CommentTextChar">
    <w:name w:val="Comment Text Char"/>
    <w:basedOn w:val="DefaultParagraphFont"/>
    <w:link w:val="CommentText"/>
    <w:uiPriority w:val="99"/>
    <w:rsid w:val="00C83CB8"/>
    <w:rPr>
      <w:sz w:val="20"/>
      <w:szCs w:val="20"/>
    </w:rPr>
  </w:style>
  <w:style w:type="paragraph" w:styleId="CommentSubject">
    <w:name w:val="annotation subject"/>
    <w:basedOn w:val="CommentText"/>
    <w:next w:val="CommentText"/>
    <w:link w:val="CommentSubjectChar"/>
    <w:uiPriority w:val="99"/>
    <w:semiHidden/>
    <w:unhideWhenUsed/>
    <w:rsid w:val="00C83CB8"/>
    <w:rPr>
      <w:b/>
      <w:bCs/>
    </w:rPr>
  </w:style>
  <w:style w:type="character" w:customStyle="1" w:styleId="CommentSubjectChar">
    <w:name w:val="Comment Subject Char"/>
    <w:basedOn w:val="CommentTextChar"/>
    <w:link w:val="CommentSubject"/>
    <w:uiPriority w:val="99"/>
    <w:semiHidden/>
    <w:rsid w:val="00C83CB8"/>
    <w:rPr>
      <w:b/>
      <w:bCs/>
      <w:sz w:val="20"/>
      <w:szCs w:val="20"/>
    </w:rPr>
  </w:style>
  <w:style w:type="paragraph" w:styleId="BalloonText">
    <w:name w:val="Balloon Text"/>
    <w:basedOn w:val="Normal"/>
    <w:link w:val="BalloonTextChar"/>
    <w:semiHidden/>
    <w:unhideWhenUsed/>
    <w:rsid w:val="00C83C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CB8"/>
    <w:rPr>
      <w:rFonts w:ascii="Segoe UI" w:hAnsi="Segoe UI" w:cs="Segoe UI"/>
      <w:sz w:val="18"/>
      <w:szCs w:val="18"/>
    </w:rPr>
  </w:style>
  <w:style w:type="table" w:styleId="TableGrid">
    <w:name w:val="Table Grid"/>
    <w:basedOn w:val="TableNormal"/>
    <w:uiPriority w:val="39"/>
    <w:rsid w:val="00E05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5D0D"/>
  </w:style>
  <w:style w:type="table" w:styleId="ListTable2-Accent1">
    <w:name w:val="List Table 2 Accent 1"/>
    <w:basedOn w:val="TableNormal"/>
    <w:uiPriority w:val="47"/>
    <w:rsid w:val="00983CAA"/>
    <w:rPr>
      <w:lang w:eastAsia="en-US"/>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1">
    <w:name w:val="No List1"/>
    <w:next w:val="NoList"/>
    <w:uiPriority w:val="99"/>
    <w:semiHidden/>
    <w:unhideWhenUsed/>
    <w:rsid w:val="00DB596B"/>
  </w:style>
  <w:style w:type="paragraph" w:customStyle="1" w:styleId="H4">
    <w:name w:val="H4"/>
    <w:rsid w:val="00DB596B"/>
    <w:pPr>
      <w:spacing w:after="120"/>
      <w:jc w:val="center"/>
      <w:outlineLvl w:val="3"/>
    </w:pPr>
    <w:rPr>
      <w:rFonts w:ascii="Times New Roman" w:eastAsia="Times New Roman" w:hAnsi="Times New Roman" w:cs="Times New Roman"/>
      <w:b/>
      <w:sz w:val="28"/>
      <w:szCs w:val="20"/>
      <w:lang w:eastAsia="en-US"/>
    </w:rPr>
  </w:style>
  <w:style w:type="paragraph" w:customStyle="1" w:styleId="H3">
    <w:name w:val="H3"/>
    <w:rsid w:val="00DB596B"/>
    <w:pPr>
      <w:spacing w:after="120"/>
      <w:jc w:val="center"/>
      <w:outlineLvl w:val="2"/>
    </w:pPr>
    <w:rPr>
      <w:rFonts w:ascii="Times New Roman" w:eastAsia="Times New Roman" w:hAnsi="Times New Roman" w:cs="Times New Roman"/>
      <w:b/>
      <w:sz w:val="32"/>
      <w:szCs w:val="20"/>
      <w:lang w:eastAsia="en-US"/>
    </w:rPr>
  </w:style>
  <w:style w:type="paragraph" w:customStyle="1" w:styleId="H2">
    <w:name w:val="H2"/>
    <w:rsid w:val="00DB596B"/>
    <w:pPr>
      <w:spacing w:after="120"/>
      <w:jc w:val="center"/>
      <w:outlineLvl w:val="1"/>
    </w:pPr>
    <w:rPr>
      <w:rFonts w:ascii="Times New Roman" w:eastAsia="Times New Roman" w:hAnsi="Times New Roman" w:cs="Times New Roman"/>
      <w:b/>
      <w:sz w:val="36"/>
      <w:szCs w:val="20"/>
      <w:lang w:eastAsia="en-US"/>
    </w:rPr>
  </w:style>
  <w:style w:type="paragraph" w:customStyle="1" w:styleId="H1">
    <w:name w:val="H1"/>
    <w:rsid w:val="00DB596B"/>
    <w:pPr>
      <w:spacing w:after="120"/>
      <w:jc w:val="center"/>
      <w:outlineLvl w:val="0"/>
    </w:pPr>
    <w:rPr>
      <w:rFonts w:ascii="Times New Roman" w:eastAsia="Times New Roman" w:hAnsi="Times New Roman" w:cs="Times New Roman"/>
      <w:b/>
      <w:sz w:val="44"/>
      <w:szCs w:val="20"/>
      <w:lang w:eastAsia="en-US"/>
    </w:rPr>
  </w:style>
  <w:style w:type="paragraph" w:customStyle="1" w:styleId="T">
    <w:name w:val="T"/>
    <w:basedOn w:val="Normal"/>
    <w:uiPriority w:val="99"/>
    <w:rsid w:val="00DB596B"/>
    <w:pPr>
      <w:spacing w:after="120"/>
      <w:jc w:val="center"/>
    </w:pPr>
    <w:rPr>
      <w:rFonts w:ascii="Times New Roman" w:eastAsia="Times New Roman" w:hAnsi="Times New Roman" w:cs="Times New Roman"/>
      <w:b/>
      <w:i/>
      <w:sz w:val="24"/>
      <w:szCs w:val="20"/>
      <w:lang w:eastAsia="en-US"/>
    </w:rPr>
  </w:style>
  <w:style w:type="paragraph" w:customStyle="1" w:styleId="Z">
    <w:name w:val="Z"/>
    <w:basedOn w:val="T"/>
    <w:uiPriority w:val="99"/>
    <w:rsid w:val="00DB596B"/>
  </w:style>
  <w:style w:type="character" w:styleId="PageNumber">
    <w:name w:val="page number"/>
    <w:basedOn w:val="DefaultParagraphFont"/>
    <w:rsid w:val="00DB596B"/>
  </w:style>
  <w:style w:type="paragraph" w:customStyle="1" w:styleId="paraksti">
    <w:name w:val="paraksti"/>
    <w:basedOn w:val="Normal"/>
    <w:qFormat/>
    <w:rsid w:val="00DB596B"/>
    <w:pPr>
      <w:spacing w:after="120"/>
    </w:pPr>
    <w:rPr>
      <w:rFonts w:ascii="Times New Roman" w:eastAsia="Times New Roman" w:hAnsi="Times New Roman" w:cs="Times New Roman"/>
      <w:sz w:val="20"/>
      <w:szCs w:val="20"/>
      <w:lang w:eastAsia="en-US"/>
    </w:rPr>
  </w:style>
  <w:style w:type="paragraph" w:customStyle="1" w:styleId="tabtekst">
    <w:name w:val="tab_tekst"/>
    <w:basedOn w:val="Normal"/>
    <w:uiPriority w:val="99"/>
    <w:rsid w:val="00DB596B"/>
    <w:rPr>
      <w:rFonts w:ascii="Times New Roman" w:eastAsia="Times New Roman" w:hAnsi="Times New Roman" w:cs="Times New Roman"/>
      <w:snapToGrid w:val="0"/>
      <w:color w:val="000000"/>
      <w:sz w:val="20"/>
      <w:szCs w:val="20"/>
      <w:lang w:eastAsia="en-US"/>
    </w:rPr>
  </w:style>
  <w:style w:type="paragraph" w:styleId="EndnoteText">
    <w:name w:val="endnote text"/>
    <w:basedOn w:val="Normal"/>
    <w:link w:val="EndnoteTextChar"/>
    <w:uiPriority w:val="99"/>
    <w:semiHidden/>
    <w:unhideWhenUsed/>
    <w:rsid w:val="00DB596B"/>
    <w:pPr>
      <w:spacing w:after="120"/>
      <w:ind w:firstLine="720"/>
      <w:jc w:val="both"/>
    </w:pPr>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uiPriority w:val="99"/>
    <w:semiHidden/>
    <w:rsid w:val="00DB596B"/>
    <w:rPr>
      <w:rFonts w:ascii="Times New Roman" w:eastAsia="Times New Roman" w:hAnsi="Times New Roman" w:cs="Times New Roman"/>
      <w:sz w:val="20"/>
      <w:szCs w:val="20"/>
      <w:lang w:eastAsia="en-US"/>
    </w:rPr>
  </w:style>
  <w:style w:type="character" w:styleId="EndnoteReference">
    <w:name w:val="endnote reference"/>
    <w:uiPriority w:val="99"/>
    <w:semiHidden/>
    <w:unhideWhenUsed/>
    <w:rsid w:val="00DB596B"/>
    <w:rPr>
      <w:vertAlign w:val="superscript"/>
    </w:rPr>
  </w:style>
  <w:style w:type="paragraph" w:customStyle="1" w:styleId="naisf">
    <w:name w:val="naisf"/>
    <w:basedOn w:val="Normal"/>
    <w:rsid w:val="00DB596B"/>
    <w:pPr>
      <w:spacing w:before="100" w:beforeAutospacing="1" w:after="100" w:afterAutospacing="1"/>
    </w:pPr>
    <w:rPr>
      <w:rFonts w:ascii="Times New Roman" w:eastAsia="Times New Roman" w:hAnsi="Times New Roman" w:cs="Times New Roman"/>
      <w:sz w:val="24"/>
      <w:szCs w:val="24"/>
    </w:rPr>
  </w:style>
  <w:style w:type="paragraph" w:customStyle="1" w:styleId="naiskr">
    <w:name w:val="naiskr"/>
    <w:basedOn w:val="Normal"/>
    <w:rsid w:val="00DB596B"/>
    <w:pPr>
      <w:spacing w:before="100" w:beforeAutospacing="1" w:after="100" w:afterAutospacing="1"/>
    </w:pPr>
    <w:rPr>
      <w:rFonts w:ascii="Times New Roman" w:eastAsia="Times New Roman" w:hAnsi="Times New Roman" w:cs="Times New Roman"/>
      <w:color w:val="000000"/>
      <w:sz w:val="24"/>
      <w:szCs w:val="24"/>
    </w:rPr>
  </w:style>
  <w:style w:type="paragraph" w:styleId="BodyText">
    <w:name w:val="Body Text"/>
    <w:aliases w:val=" Char"/>
    <w:basedOn w:val="Normal"/>
    <w:link w:val="BodyTextChar"/>
    <w:rsid w:val="00DB596B"/>
    <w:rPr>
      <w:rFonts w:ascii="Times New Roman" w:eastAsia="Times New Roman" w:hAnsi="Times New Roman" w:cs="Times New Roman"/>
      <w:sz w:val="28"/>
      <w:szCs w:val="20"/>
      <w:lang w:eastAsia="en-US"/>
    </w:rPr>
  </w:style>
  <w:style w:type="character" w:customStyle="1" w:styleId="BodyTextChar">
    <w:name w:val="Body Text Char"/>
    <w:aliases w:val=" Char Char"/>
    <w:basedOn w:val="DefaultParagraphFont"/>
    <w:link w:val="BodyText"/>
    <w:rsid w:val="00DB596B"/>
    <w:rPr>
      <w:rFonts w:ascii="Times New Roman" w:eastAsia="Times New Roman" w:hAnsi="Times New Roman" w:cs="Times New Roman"/>
      <w:sz w:val="28"/>
      <w:szCs w:val="20"/>
      <w:lang w:eastAsia="en-US"/>
    </w:rPr>
  </w:style>
  <w:style w:type="paragraph" w:styleId="NormalWeb">
    <w:name w:val="Normal (Web)"/>
    <w:basedOn w:val="Normal"/>
    <w:uiPriority w:val="99"/>
    <w:unhideWhenUsed/>
    <w:rsid w:val="00DB596B"/>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DB596B"/>
    <w:pPr>
      <w:autoSpaceDE w:val="0"/>
      <w:autoSpaceDN w:val="0"/>
      <w:adjustRightInd w:val="0"/>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59"/>
    <w:rsid w:val="00DB596B"/>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abc">
    <w:name w:val="Point abc"/>
    <w:basedOn w:val="Normal"/>
    <w:rsid w:val="00DB596B"/>
    <w:pPr>
      <w:numPr>
        <w:ilvl w:val="1"/>
        <w:numId w:val="23"/>
      </w:numPr>
      <w:spacing w:before="120" w:after="120" w:line="360" w:lineRule="auto"/>
    </w:pPr>
    <w:rPr>
      <w:rFonts w:ascii="Times New Roman" w:eastAsia="Times New Roman" w:hAnsi="Times New Roman" w:cs="Times New Roman"/>
      <w:sz w:val="24"/>
      <w:szCs w:val="24"/>
      <w:lang w:val="en-GB" w:eastAsia="en-US"/>
    </w:rPr>
  </w:style>
  <w:style w:type="paragraph" w:customStyle="1" w:styleId="Pointabc1">
    <w:name w:val="Point abc (1)"/>
    <w:basedOn w:val="Normal"/>
    <w:rsid w:val="00DB596B"/>
    <w:pPr>
      <w:numPr>
        <w:ilvl w:val="3"/>
        <w:numId w:val="23"/>
      </w:numPr>
      <w:spacing w:before="120" w:after="120" w:line="360" w:lineRule="auto"/>
      <w:outlineLvl w:val="0"/>
    </w:pPr>
    <w:rPr>
      <w:rFonts w:ascii="Times New Roman" w:eastAsia="Times New Roman" w:hAnsi="Times New Roman" w:cs="Times New Roman"/>
      <w:sz w:val="24"/>
      <w:szCs w:val="24"/>
      <w:lang w:val="en-GB" w:eastAsia="en-US"/>
    </w:rPr>
  </w:style>
  <w:style w:type="paragraph" w:customStyle="1" w:styleId="Pointabc2">
    <w:name w:val="Point abc (2)"/>
    <w:basedOn w:val="Normal"/>
    <w:rsid w:val="00DB596B"/>
    <w:pPr>
      <w:numPr>
        <w:ilvl w:val="5"/>
        <w:numId w:val="23"/>
      </w:numPr>
      <w:spacing w:before="120" w:after="120" w:line="360" w:lineRule="auto"/>
      <w:outlineLvl w:val="1"/>
    </w:pPr>
    <w:rPr>
      <w:rFonts w:ascii="Times New Roman" w:eastAsia="Times New Roman" w:hAnsi="Times New Roman" w:cs="Times New Roman"/>
      <w:sz w:val="24"/>
      <w:szCs w:val="24"/>
      <w:lang w:val="en-GB" w:eastAsia="en-US"/>
    </w:rPr>
  </w:style>
  <w:style w:type="paragraph" w:customStyle="1" w:styleId="Pointabc3">
    <w:name w:val="Point abc (3)"/>
    <w:basedOn w:val="Normal"/>
    <w:rsid w:val="00DB596B"/>
    <w:pPr>
      <w:numPr>
        <w:ilvl w:val="7"/>
        <w:numId w:val="23"/>
      </w:numPr>
      <w:spacing w:before="120" w:after="120" w:line="360" w:lineRule="auto"/>
      <w:outlineLvl w:val="2"/>
    </w:pPr>
    <w:rPr>
      <w:rFonts w:ascii="Times New Roman" w:eastAsia="Times New Roman" w:hAnsi="Times New Roman" w:cs="Times New Roman"/>
      <w:sz w:val="24"/>
      <w:szCs w:val="24"/>
      <w:lang w:val="en-GB" w:eastAsia="en-US"/>
    </w:rPr>
  </w:style>
  <w:style w:type="paragraph" w:customStyle="1" w:styleId="Pointabc4">
    <w:name w:val="Point abc (4)"/>
    <w:basedOn w:val="Normal"/>
    <w:rsid w:val="00DB596B"/>
    <w:pPr>
      <w:numPr>
        <w:ilvl w:val="8"/>
        <w:numId w:val="23"/>
      </w:numPr>
      <w:spacing w:before="120" w:after="120" w:line="360" w:lineRule="auto"/>
      <w:outlineLvl w:val="3"/>
    </w:pPr>
    <w:rPr>
      <w:rFonts w:ascii="Times New Roman" w:eastAsia="Times New Roman" w:hAnsi="Times New Roman" w:cs="Times New Roman"/>
      <w:sz w:val="24"/>
      <w:szCs w:val="24"/>
      <w:lang w:val="en-GB" w:eastAsia="en-US"/>
    </w:rPr>
  </w:style>
  <w:style w:type="paragraph" w:customStyle="1" w:styleId="Point123">
    <w:name w:val="Point 123"/>
    <w:basedOn w:val="Normal"/>
    <w:rsid w:val="00DB596B"/>
    <w:pPr>
      <w:numPr>
        <w:numId w:val="23"/>
      </w:numPr>
      <w:spacing w:before="120" w:after="120" w:line="360" w:lineRule="auto"/>
    </w:pPr>
    <w:rPr>
      <w:rFonts w:ascii="Times New Roman" w:eastAsia="Times New Roman" w:hAnsi="Times New Roman" w:cs="Times New Roman"/>
      <w:sz w:val="24"/>
      <w:szCs w:val="24"/>
      <w:lang w:val="en-GB" w:eastAsia="en-US"/>
    </w:rPr>
  </w:style>
  <w:style w:type="paragraph" w:customStyle="1" w:styleId="Point1231">
    <w:name w:val="Point 123 (1)"/>
    <w:basedOn w:val="Normal"/>
    <w:rsid w:val="00DB596B"/>
    <w:pPr>
      <w:numPr>
        <w:ilvl w:val="2"/>
        <w:numId w:val="23"/>
      </w:numPr>
      <w:spacing w:before="120" w:after="120" w:line="360" w:lineRule="auto"/>
      <w:outlineLvl w:val="0"/>
    </w:pPr>
    <w:rPr>
      <w:rFonts w:ascii="Times New Roman" w:eastAsia="Times New Roman" w:hAnsi="Times New Roman" w:cs="Times New Roman"/>
      <w:sz w:val="24"/>
      <w:szCs w:val="24"/>
      <w:lang w:val="en-GB" w:eastAsia="en-US"/>
    </w:rPr>
  </w:style>
  <w:style w:type="paragraph" w:customStyle="1" w:styleId="Point1232">
    <w:name w:val="Point 123 (2)"/>
    <w:basedOn w:val="Normal"/>
    <w:rsid w:val="00DB596B"/>
    <w:pPr>
      <w:numPr>
        <w:ilvl w:val="4"/>
        <w:numId w:val="23"/>
      </w:numPr>
      <w:spacing w:before="120" w:after="120" w:line="360" w:lineRule="auto"/>
      <w:outlineLvl w:val="1"/>
    </w:pPr>
    <w:rPr>
      <w:rFonts w:ascii="Times New Roman" w:eastAsia="Times New Roman" w:hAnsi="Times New Roman" w:cs="Times New Roman"/>
      <w:sz w:val="24"/>
      <w:szCs w:val="24"/>
      <w:lang w:val="en-GB" w:eastAsia="en-US"/>
    </w:rPr>
  </w:style>
  <w:style w:type="paragraph" w:customStyle="1" w:styleId="Point1233">
    <w:name w:val="Point 123 (3)"/>
    <w:basedOn w:val="Normal"/>
    <w:rsid w:val="00DB596B"/>
    <w:pPr>
      <w:numPr>
        <w:ilvl w:val="6"/>
        <w:numId w:val="23"/>
      </w:numPr>
      <w:spacing w:before="120" w:after="120" w:line="360" w:lineRule="auto"/>
      <w:outlineLvl w:val="2"/>
    </w:pPr>
    <w:rPr>
      <w:rFonts w:ascii="Times New Roman" w:eastAsia="Times New Roman" w:hAnsi="Times New Roman" w:cs="Times New Roman"/>
      <w:sz w:val="24"/>
      <w:szCs w:val="24"/>
      <w:lang w:val="en-GB" w:eastAsia="en-US"/>
    </w:rPr>
  </w:style>
  <w:style w:type="paragraph" w:customStyle="1" w:styleId="cipari">
    <w:name w:val="cipari"/>
    <w:basedOn w:val="Normal"/>
    <w:qFormat/>
    <w:rsid w:val="00DB596B"/>
    <w:pPr>
      <w:spacing w:after="120"/>
      <w:ind w:left="720" w:hanging="720"/>
      <w:jc w:val="both"/>
    </w:pPr>
    <w:rPr>
      <w:rFonts w:ascii="Times New Roman" w:eastAsia="Times New Roman" w:hAnsi="Times New Roman" w:cs="Times New Roman"/>
      <w:bCs/>
      <w:sz w:val="24"/>
      <w:szCs w:val="20"/>
      <w:lang w:eastAsia="en-US"/>
    </w:rPr>
  </w:style>
  <w:style w:type="character" w:customStyle="1" w:styleId="apple-converted-space">
    <w:name w:val="apple-converted-space"/>
    <w:rsid w:val="00DB596B"/>
  </w:style>
  <w:style w:type="character" w:customStyle="1" w:styleId="ListParagraphChar">
    <w:name w:val="List Paragraph Char"/>
    <w:aliases w:val="2 Char,Numbered Para 1 Char,Dot pt Char,No Spacing1 Char,List Paragraph Char Char Char Char,Indicator Text Char,Bullet 1 Char,Bullet Points Char,MAIN CONTENT Char,IFCL - List Paragraph Char,List Paragraph12 Char,OBC Bullet Char"/>
    <w:link w:val="ListParagraph"/>
    <w:uiPriority w:val="34"/>
    <w:qFormat/>
    <w:locked/>
    <w:rsid w:val="00DB596B"/>
  </w:style>
  <w:style w:type="numbering" w:customStyle="1" w:styleId="NoList2">
    <w:name w:val="No List2"/>
    <w:next w:val="NoList"/>
    <w:uiPriority w:val="99"/>
    <w:semiHidden/>
    <w:unhideWhenUsed/>
    <w:rsid w:val="008643AC"/>
  </w:style>
  <w:style w:type="paragraph" w:customStyle="1" w:styleId="tabteksts">
    <w:name w:val="tab_teksts"/>
    <w:basedOn w:val="Normal"/>
    <w:qFormat/>
    <w:rsid w:val="008643AC"/>
    <w:rPr>
      <w:rFonts w:ascii="Times New Roman" w:eastAsia="Times New Roman" w:hAnsi="Times New Roman" w:cs="Times New Roman"/>
      <w:sz w:val="18"/>
      <w:szCs w:val="20"/>
      <w:lang w:eastAsia="en-US"/>
    </w:rPr>
  </w:style>
  <w:style w:type="paragraph" w:customStyle="1" w:styleId="BalloonText1">
    <w:name w:val="Balloon Text1"/>
    <w:basedOn w:val="Normal"/>
    <w:semiHidden/>
    <w:rsid w:val="008643AC"/>
    <w:pPr>
      <w:spacing w:after="120"/>
      <w:ind w:firstLine="709"/>
      <w:jc w:val="both"/>
    </w:pPr>
    <w:rPr>
      <w:rFonts w:ascii="Tahoma" w:eastAsia="Times New Roman" w:hAnsi="Tahoma" w:cs="Tahoma"/>
      <w:sz w:val="16"/>
      <w:szCs w:val="16"/>
      <w:lang w:eastAsia="en-US"/>
    </w:rPr>
  </w:style>
  <w:style w:type="table" w:customStyle="1" w:styleId="TableGrid2">
    <w:name w:val="Table Grid2"/>
    <w:basedOn w:val="TableNormal"/>
    <w:next w:val="TableGrid"/>
    <w:uiPriority w:val="39"/>
    <w:rsid w:val="008643A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kcijas">
    <w:name w:val="funkcijas"/>
    <w:basedOn w:val="Normal"/>
    <w:qFormat/>
    <w:rsid w:val="008643AC"/>
    <w:pPr>
      <w:spacing w:after="120"/>
      <w:jc w:val="both"/>
    </w:pPr>
    <w:rPr>
      <w:rFonts w:ascii="Times New Roman" w:eastAsia="Times New Roman" w:hAnsi="Times New Roman" w:cs="Times New Roman"/>
      <w:bCs/>
      <w:sz w:val="24"/>
      <w:szCs w:val="20"/>
      <w:u w:val="single"/>
      <w:lang w:eastAsia="en-US"/>
    </w:rPr>
  </w:style>
  <w:style w:type="paragraph" w:customStyle="1" w:styleId="Funkcijasbold">
    <w:name w:val="Funkcijas_bold"/>
    <w:basedOn w:val="Normal"/>
    <w:qFormat/>
    <w:rsid w:val="008643AC"/>
    <w:pPr>
      <w:spacing w:after="120"/>
      <w:jc w:val="both"/>
    </w:pPr>
    <w:rPr>
      <w:rFonts w:ascii="Times New Roman" w:eastAsia="Times New Roman" w:hAnsi="Times New Roman" w:cs="Times New Roman"/>
      <w:b/>
      <w:bCs/>
      <w:sz w:val="24"/>
      <w:szCs w:val="20"/>
      <w:lang w:eastAsia="en-US"/>
    </w:rPr>
  </w:style>
  <w:style w:type="paragraph" w:customStyle="1" w:styleId="izdevumi">
    <w:name w:val="izdevumi"/>
    <w:basedOn w:val="Normal"/>
    <w:qFormat/>
    <w:rsid w:val="008643AC"/>
    <w:pPr>
      <w:widowControl w:val="0"/>
      <w:spacing w:before="120" w:after="120"/>
      <w:ind w:left="567"/>
      <w:jc w:val="both"/>
    </w:pPr>
    <w:rPr>
      <w:rFonts w:ascii="Times New Roman" w:eastAsia="Times New Roman" w:hAnsi="Times New Roman" w:cs="Times New Roman"/>
      <w:i/>
      <w:sz w:val="24"/>
      <w:szCs w:val="20"/>
      <w:lang w:eastAsia="en-US"/>
    </w:rPr>
  </w:style>
  <w:style w:type="paragraph" w:customStyle="1" w:styleId="programmas">
    <w:name w:val="programmas"/>
    <w:basedOn w:val="Normal"/>
    <w:qFormat/>
    <w:rsid w:val="008643AC"/>
    <w:pPr>
      <w:widowControl w:val="0"/>
      <w:spacing w:before="240" w:after="120"/>
      <w:jc w:val="center"/>
    </w:pPr>
    <w:rPr>
      <w:rFonts w:ascii="Times New Roman" w:eastAsia="Times New Roman" w:hAnsi="Times New Roman" w:cs="Times New Roman"/>
      <w:b/>
      <w:sz w:val="24"/>
      <w:szCs w:val="20"/>
      <w:lang w:val="en-US" w:eastAsia="en-US"/>
    </w:rPr>
  </w:style>
  <w:style w:type="paragraph" w:customStyle="1" w:styleId="samazpaliel">
    <w:name w:val="samaz_paliel"/>
    <w:basedOn w:val="Normal"/>
    <w:qFormat/>
    <w:rsid w:val="008643AC"/>
    <w:pPr>
      <w:widowControl w:val="0"/>
      <w:spacing w:after="120"/>
      <w:jc w:val="both"/>
    </w:pPr>
    <w:rPr>
      <w:rFonts w:ascii="Times New Roman" w:eastAsia="Times New Roman" w:hAnsi="Times New Roman" w:cs="Times New Roman"/>
      <w:b/>
      <w:sz w:val="24"/>
      <w:szCs w:val="20"/>
      <w:u w:val="single"/>
      <w:lang w:eastAsia="en-US"/>
    </w:rPr>
  </w:style>
  <w:style w:type="paragraph" w:customStyle="1" w:styleId="Tabuluvirsraksti">
    <w:name w:val="Tabulu_virsraksti"/>
    <w:basedOn w:val="Normal"/>
    <w:qFormat/>
    <w:rsid w:val="008643AC"/>
    <w:pPr>
      <w:spacing w:after="120"/>
      <w:jc w:val="center"/>
    </w:pPr>
    <w:rPr>
      <w:rFonts w:ascii="Times New Roman" w:eastAsia="Times New Roman" w:hAnsi="Times New Roman" w:cs="Times New Roman"/>
      <w:sz w:val="24"/>
      <w:szCs w:val="20"/>
      <w:lang w:eastAsia="en-US"/>
    </w:rPr>
  </w:style>
  <w:style w:type="character" w:customStyle="1" w:styleId="FollowedHyperlink1">
    <w:name w:val="FollowedHyperlink1"/>
    <w:basedOn w:val="DefaultParagraphFont"/>
    <w:uiPriority w:val="99"/>
    <w:semiHidden/>
    <w:unhideWhenUsed/>
    <w:rsid w:val="008643AC"/>
    <w:rPr>
      <w:color w:val="800080"/>
      <w:u w:val="single"/>
    </w:rPr>
  </w:style>
  <w:style w:type="character" w:styleId="FollowedHyperlink">
    <w:name w:val="FollowedHyperlink"/>
    <w:basedOn w:val="DefaultParagraphFont"/>
    <w:uiPriority w:val="99"/>
    <w:semiHidden/>
    <w:unhideWhenUsed/>
    <w:rsid w:val="008643AC"/>
    <w:rPr>
      <w:color w:val="954F72" w:themeColor="followedHyperlink"/>
      <w:u w:val="single"/>
    </w:rPr>
  </w:style>
  <w:style w:type="table" w:customStyle="1" w:styleId="TableGrid3">
    <w:name w:val="Table Grid3"/>
    <w:basedOn w:val="TableNormal"/>
    <w:next w:val="TableGrid"/>
    <w:uiPriority w:val="39"/>
    <w:rsid w:val="005D361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5412">
      <w:bodyDiv w:val="1"/>
      <w:marLeft w:val="0"/>
      <w:marRight w:val="0"/>
      <w:marTop w:val="0"/>
      <w:marBottom w:val="0"/>
      <w:divBdr>
        <w:top w:val="none" w:sz="0" w:space="0" w:color="auto"/>
        <w:left w:val="none" w:sz="0" w:space="0" w:color="auto"/>
        <w:bottom w:val="none" w:sz="0" w:space="0" w:color="auto"/>
        <w:right w:val="none" w:sz="0" w:space="0" w:color="auto"/>
      </w:divBdr>
    </w:div>
    <w:div w:id="190607874">
      <w:bodyDiv w:val="1"/>
      <w:marLeft w:val="0"/>
      <w:marRight w:val="0"/>
      <w:marTop w:val="0"/>
      <w:marBottom w:val="0"/>
      <w:divBdr>
        <w:top w:val="none" w:sz="0" w:space="0" w:color="auto"/>
        <w:left w:val="none" w:sz="0" w:space="0" w:color="auto"/>
        <w:bottom w:val="none" w:sz="0" w:space="0" w:color="auto"/>
        <w:right w:val="none" w:sz="0" w:space="0" w:color="auto"/>
      </w:divBdr>
    </w:div>
    <w:div w:id="198706664">
      <w:bodyDiv w:val="1"/>
      <w:marLeft w:val="0"/>
      <w:marRight w:val="0"/>
      <w:marTop w:val="0"/>
      <w:marBottom w:val="0"/>
      <w:divBdr>
        <w:top w:val="none" w:sz="0" w:space="0" w:color="auto"/>
        <w:left w:val="none" w:sz="0" w:space="0" w:color="auto"/>
        <w:bottom w:val="none" w:sz="0" w:space="0" w:color="auto"/>
        <w:right w:val="none" w:sz="0" w:space="0" w:color="auto"/>
      </w:divBdr>
    </w:div>
    <w:div w:id="270012822">
      <w:bodyDiv w:val="1"/>
      <w:marLeft w:val="0"/>
      <w:marRight w:val="0"/>
      <w:marTop w:val="0"/>
      <w:marBottom w:val="0"/>
      <w:divBdr>
        <w:top w:val="none" w:sz="0" w:space="0" w:color="auto"/>
        <w:left w:val="none" w:sz="0" w:space="0" w:color="auto"/>
        <w:bottom w:val="none" w:sz="0" w:space="0" w:color="auto"/>
        <w:right w:val="none" w:sz="0" w:space="0" w:color="auto"/>
      </w:divBdr>
    </w:div>
    <w:div w:id="271017895">
      <w:bodyDiv w:val="1"/>
      <w:marLeft w:val="0"/>
      <w:marRight w:val="0"/>
      <w:marTop w:val="0"/>
      <w:marBottom w:val="0"/>
      <w:divBdr>
        <w:top w:val="none" w:sz="0" w:space="0" w:color="auto"/>
        <w:left w:val="none" w:sz="0" w:space="0" w:color="auto"/>
        <w:bottom w:val="none" w:sz="0" w:space="0" w:color="auto"/>
        <w:right w:val="none" w:sz="0" w:space="0" w:color="auto"/>
      </w:divBdr>
    </w:div>
    <w:div w:id="278032043">
      <w:bodyDiv w:val="1"/>
      <w:marLeft w:val="0"/>
      <w:marRight w:val="0"/>
      <w:marTop w:val="0"/>
      <w:marBottom w:val="0"/>
      <w:divBdr>
        <w:top w:val="none" w:sz="0" w:space="0" w:color="auto"/>
        <w:left w:val="none" w:sz="0" w:space="0" w:color="auto"/>
        <w:bottom w:val="none" w:sz="0" w:space="0" w:color="auto"/>
        <w:right w:val="none" w:sz="0" w:space="0" w:color="auto"/>
      </w:divBdr>
    </w:div>
    <w:div w:id="319385878">
      <w:bodyDiv w:val="1"/>
      <w:marLeft w:val="0"/>
      <w:marRight w:val="0"/>
      <w:marTop w:val="0"/>
      <w:marBottom w:val="0"/>
      <w:divBdr>
        <w:top w:val="none" w:sz="0" w:space="0" w:color="auto"/>
        <w:left w:val="none" w:sz="0" w:space="0" w:color="auto"/>
        <w:bottom w:val="none" w:sz="0" w:space="0" w:color="auto"/>
        <w:right w:val="none" w:sz="0" w:space="0" w:color="auto"/>
      </w:divBdr>
    </w:div>
    <w:div w:id="379717966">
      <w:bodyDiv w:val="1"/>
      <w:marLeft w:val="0"/>
      <w:marRight w:val="0"/>
      <w:marTop w:val="0"/>
      <w:marBottom w:val="0"/>
      <w:divBdr>
        <w:top w:val="none" w:sz="0" w:space="0" w:color="auto"/>
        <w:left w:val="none" w:sz="0" w:space="0" w:color="auto"/>
        <w:bottom w:val="none" w:sz="0" w:space="0" w:color="auto"/>
        <w:right w:val="none" w:sz="0" w:space="0" w:color="auto"/>
      </w:divBdr>
    </w:div>
    <w:div w:id="412510232">
      <w:bodyDiv w:val="1"/>
      <w:marLeft w:val="0"/>
      <w:marRight w:val="0"/>
      <w:marTop w:val="0"/>
      <w:marBottom w:val="0"/>
      <w:divBdr>
        <w:top w:val="none" w:sz="0" w:space="0" w:color="auto"/>
        <w:left w:val="none" w:sz="0" w:space="0" w:color="auto"/>
        <w:bottom w:val="none" w:sz="0" w:space="0" w:color="auto"/>
        <w:right w:val="none" w:sz="0" w:space="0" w:color="auto"/>
      </w:divBdr>
    </w:div>
    <w:div w:id="561447098">
      <w:bodyDiv w:val="1"/>
      <w:marLeft w:val="0"/>
      <w:marRight w:val="0"/>
      <w:marTop w:val="0"/>
      <w:marBottom w:val="0"/>
      <w:divBdr>
        <w:top w:val="none" w:sz="0" w:space="0" w:color="auto"/>
        <w:left w:val="none" w:sz="0" w:space="0" w:color="auto"/>
        <w:bottom w:val="none" w:sz="0" w:space="0" w:color="auto"/>
        <w:right w:val="none" w:sz="0" w:space="0" w:color="auto"/>
      </w:divBdr>
    </w:div>
    <w:div w:id="562182638">
      <w:bodyDiv w:val="1"/>
      <w:marLeft w:val="0"/>
      <w:marRight w:val="0"/>
      <w:marTop w:val="0"/>
      <w:marBottom w:val="0"/>
      <w:divBdr>
        <w:top w:val="none" w:sz="0" w:space="0" w:color="auto"/>
        <w:left w:val="none" w:sz="0" w:space="0" w:color="auto"/>
        <w:bottom w:val="none" w:sz="0" w:space="0" w:color="auto"/>
        <w:right w:val="none" w:sz="0" w:space="0" w:color="auto"/>
      </w:divBdr>
    </w:div>
    <w:div w:id="623193182">
      <w:bodyDiv w:val="1"/>
      <w:marLeft w:val="0"/>
      <w:marRight w:val="0"/>
      <w:marTop w:val="0"/>
      <w:marBottom w:val="0"/>
      <w:divBdr>
        <w:top w:val="none" w:sz="0" w:space="0" w:color="auto"/>
        <w:left w:val="none" w:sz="0" w:space="0" w:color="auto"/>
        <w:bottom w:val="none" w:sz="0" w:space="0" w:color="auto"/>
        <w:right w:val="none" w:sz="0" w:space="0" w:color="auto"/>
      </w:divBdr>
    </w:div>
    <w:div w:id="636373467">
      <w:bodyDiv w:val="1"/>
      <w:marLeft w:val="0"/>
      <w:marRight w:val="0"/>
      <w:marTop w:val="0"/>
      <w:marBottom w:val="0"/>
      <w:divBdr>
        <w:top w:val="none" w:sz="0" w:space="0" w:color="auto"/>
        <w:left w:val="none" w:sz="0" w:space="0" w:color="auto"/>
        <w:bottom w:val="none" w:sz="0" w:space="0" w:color="auto"/>
        <w:right w:val="none" w:sz="0" w:space="0" w:color="auto"/>
      </w:divBdr>
    </w:div>
    <w:div w:id="669256709">
      <w:bodyDiv w:val="1"/>
      <w:marLeft w:val="0"/>
      <w:marRight w:val="0"/>
      <w:marTop w:val="0"/>
      <w:marBottom w:val="0"/>
      <w:divBdr>
        <w:top w:val="none" w:sz="0" w:space="0" w:color="auto"/>
        <w:left w:val="none" w:sz="0" w:space="0" w:color="auto"/>
        <w:bottom w:val="none" w:sz="0" w:space="0" w:color="auto"/>
        <w:right w:val="none" w:sz="0" w:space="0" w:color="auto"/>
      </w:divBdr>
    </w:div>
    <w:div w:id="674500201">
      <w:bodyDiv w:val="1"/>
      <w:marLeft w:val="0"/>
      <w:marRight w:val="0"/>
      <w:marTop w:val="0"/>
      <w:marBottom w:val="0"/>
      <w:divBdr>
        <w:top w:val="none" w:sz="0" w:space="0" w:color="auto"/>
        <w:left w:val="none" w:sz="0" w:space="0" w:color="auto"/>
        <w:bottom w:val="none" w:sz="0" w:space="0" w:color="auto"/>
        <w:right w:val="none" w:sz="0" w:space="0" w:color="auto"/>
      </w:divBdr>
    </w:div>
    <w:div w:id="723941628">
      <w:bodyDiv w:val="1"/>
      <w:marLeft w:val="0"/>
      <w:marRight w:val="0"/>
      <w:marTop w:val="0"/>
      <w:marBottom w:val="0"/>
      <w:divBdr>
        <w:top w:val="none" w:sz="0" w:space="0" w:color="auto"/>
        <w:left w:val="none" w:sz="0" w:space="0" w:color="auto"/>
        <w:bottom w:val="none" w:sz="0" w:space="0" w:color="auto"/>
        <w:right w:val="none" w:sz="0" w:space="0" w:color="auto"/>
      </w:divBdr>
    </w:div>
    <w:div w:id="751970453">
      <w:bodyDiv w:val="1"/>
      <w:marLeft w:val="0"/>
      <w:marRight w:val="0"/>
      <w:marTop w:val="0"/>
      <w:marBottom w:val="0"/>
      <w:divBdr>
        <w:top w:val="none" w:sz="0" w:space="0" w:color="auto"/>
        <w:left w:val="none" w:sz="0" w:space="0" w:color="auto"/>
        <w:bottom w:val="none" w:sz="0" w:space="0" w:color="auto"/>
        <w:right w:val="none" w:sz="0" w:space="0" w:color="auto"/>
      </w:divBdr>
    </w:div>
    <w:div w:id="831334811">
      <w:bodyDiv w:val="1"/>
      <w:marLeft w:val="0"/>
      <w:marRight w:val="0"/>
      <w:marTop w:val="0"/>
      <w:marBottom w:val="0"/>
      <w:divBdr>
        <w:top w:val="none" w:sz="0" w:space="0" w:color="auto"/>
        <w:left w:val="none" w:sz="0" w:space="0" w:color="auto"/>
        <w:bottom w:val="none" w:sz="0" w:space="0" w:color="auto"/>
        <w:right w:val="none" w:sz="0" w:space="0" w:color="auto"/>
      </w:divBdr>
    </w:div>
    <w:div w:id="854149806">
      <w:bodyDiv w:val="1"/>
      <w:marLeft w:val="0"/>
      <w:marRight w:val="0"/>
      <w:marTop w:val="0"/>
      <w:marBottom w:val="0"/>
      <w:divBdr>
        <w:top w:val="none" w:sz="0" w:space="0" w:color="auto"/>
        <w:left w:val="none" w:sz="0" w:space="0" w:color="auto"/>
        <w:bottom w:val="none" w:sz="0" w:space="0" w:color="auto"/>
        <w:right w:val="none" w:sz="0" w:space="0" w:color="auto"/>
      </w:divBdr>
    </w:div>
    <w:div w:id="905068837">
      <w:bodyDiv w:val="1"/>
      <w:marLeft w:val="0"/>
      <w:marRight w:val="0"/>
      <w:marTop w:val="0"/>
      <w:marBottom w:val="0"/>
      <w:divBdr>
        <w:top w:val="none" w:sz="0" w:space="0" w:color="auto"/>
        <w:left w:val="none" w:sz="0" w:space="0" w:color="auto"/>
        <w:bottom w:val="none" w:sz="0" w:space="0" w:color="auto"/>
        <w:right w:val="none" w:sz="0" w:space="0" w:color="auto"/>
      </w:divBdr>
    </w:div>
    <w:div w:id="1056470907">
      <w:bodyDiv w:val="1"/>
      <w:marLeft w:val="0"/>
      <w:marRight w:val="0"/>
      <w:marTop w:val="0"/>
      <w:marBottom w:val="0"/>
      <w:divBdr>
        <w:top w:val="none" w:sz="0" w:space="0" w:color="auto"/>
        <w:left w:val="none" w:sz="0" w:space="0" w:color="auto"/>
        <w:bottom w:val="none" w:sz="0" w:space="0" w:color="auto"/>
        <w:right w:val="none" w:sz="0" w:space="0" w:color="auto"/>
      </w:divBdr>
    </w:div>
    <w:div w:id="1207067559">
      <w:bodyDiv w:val="1"/>
      <w:marLeft w:val="0"/>
      <w:marRight w:val="0"/>
      <w:marTop w:val="0"/>
      <w:marBottom w:val="0"/>
      <w:divBdr>
        <w:top w:val="none" w:sz="0" w:space="0" w:color="auto"/>
        <w:left w:val="none" w:sz="0" w:space="0" w:color="auto"/>
        <w:bottom w:val="none" w:sz="0" w:space="0" w:color="auto"/>
        <w:right w:val="none" w:sz="0" w:space="0" w:color="auto"/>
      </w:divBdr>
    </w:div>
    <w:div w:id="1254626063">
      <w:bodyDiv w:val="1"/>
      <w:marLeft w:val="0"/>
      <w:marRight w:val="0"/>
      <w:marTop w:val="0"/>
      <w:marBottom w:val="0"/>
      <w:divBdr>
        <w:top w:val="none" w:sz="0" w:space="0" w:color="auto"/>
        <w:left w:val="none" w:sz="0" w:space="0" w:color="auto"/>
        <w:bottom w:val="none" w:sz="0" w:space="0" w:color="auto"/>
        <w:right w:val="none" w:sz="0" w:space="0" w:color="auto"/>
      </w:divBdr>
    </w:div>
    <w:div w:id="1270506521">
      <w:bodyDiv w:val="1"/>
      <w:marLeft w:val="0"/>
      <w:marRight w:val="0"/>
      <w:marTop w:val="0"/>
      <w:marBottom w:val="0"/>
      <w:divBdr>
        <w:top w:val="none" w:sz="0" w:space="0" w:color="auto"/>
        <w:left w:val="none" w:sz="0" w:space="0" w:color="auto"/>
        <w:bottom w:val="none" w:sz="0" w:space="0" w:color="auto"/>
        <w:right w:val="none" w:sz="0" w:space="0" w:color="auto"/>
      </w:divBdr>
    </w:div>
    <w:div w:id="1402210682">
      <w:bodyDiv w:val="1"/>
      <w:marLeft w:val="0"/>
      <w:marRight w:val="0"/>
      <w:marTop w:val="0"/>
      <w:marBottom w:val="0"/>
      <w:divBdr>
        <w:top w:val="none" w:sz="0" w:space="0" w:color="auto"/>
        <w:left w:val="none" w:sz="0" w:space="0" w:color="auto"/>
        <w:bottom w:val="none" w:sz="0" w:space="0" w:color="auto"/>
        <w:right w:val="none" w:sz="0" w:space="0" w:color="auto"/>
      </w:divBdr>
    </w:div>
    <w:div w:id="1413041532">
      <w:bodyDiv w:val="1"/>
      <w:marLeft w:val="0"/>
      <w:marRight w:val="0"/>
      <w:marTop w:val="0"/>
      <w:marBottom w:val="0"/>
      <w:divBdr>
        <w:top w:val="none" w:sz="0" w:space="0" w:color="auto"/>
        <w:left w:val="none" w:sz="0" w:space="0" w:color="auto"/>
        <w:bottom w:val="none" w:sz="0" w:space="0" w:color="auto"/>
        <w:right w:val="none" w:sz="0" w:space="0" w:color="auto"/>
      </w:divBdr>
    </w:div>
    <w:div w:id="1473522522">
      <w:bodyDiv w:val="1"/>
      <w:marLeft w:val="0"/>
      <w:marRight w:val="0"/>
      <w:marTop w:val="0"/>
      <w:marBottom w:val="0"/>
      <w:divBdr>
        <w:top w:val="none" w:sz="0" w:space="0" w:color="auto"/>
        <w:left w:val="none" w:sz="0" w:space="0" w:color="auto"/>
        <w:bottom w:val="none" w:sz="0" w:space="0" w:color="auto"/>
        <w:right w:val="none" w:sz="0" w:space="0" w:color="auto"/>
      </w:divBdr>
    </w:div>
    <w:div w:id="1478648647">
      <w:bodyDiv w:val="1"/>
      <w:marLeft w:val="0"/>
      <w:marRight w:val="0"/>
      <w:marTop w:val="0"/>
      <w:marBottom w:val="0"/>
      <w:divBdr>
        <w:top w:val="none" w:sz="0" w:space="0" w:color="auto"/>
        <w:left w:val="none" w:sz="0" w:space="0" w:color="auto"/>
        <w:bottom w:val="none" w:sz="0" w:space="0" w:color="auto"/>
        <w:right w:val="none" w:sz="0" w:space="0" w:color="auto"/>
      </w:divBdr>
    </w:div>
    <w:div w:id="1560242460">
      <w:bodyDiv w:val="1"/>
      <w:marLeft w:val="0"/>
      <w:marRight w:val="0"/>
      <w:marTop w:val="0"/>
      <w:marBottom w:val="0"/>
      <w:divBdr>
        <w:top w:val="none" w:sz="0" w:space="0" w:color="auto"/>
        <w:left w:val="none" w:sz="0" w:space="0" w:color="auto"/>
        <w:bottom w:val="none" w:sz="0" w:space="0" w:color="auto"/>
        <w:right w:val="none" w:sz="0" w:space="0" w:color="auto"/>
      </w:divBdr>
    </w:div>
    <w:div w:id="1618373516">
      <w:bodyDiv w:val="1"/>
      <w:marLeft w:val="0"/>
      <w:marRight w:val="0"/>
      <w:marTop w:val="0"/>
      <w:marBottom w:val="0"/>
      <w:divBdr>
        <w:top w:val="none" w:sz="0" w:space="0" w:color="auto"/>
        <w:left w:val="none" w:sz="0" w:space="0" w:color="auto"/>
        <w:bottom w:val="none" w:sz="0" w:space="0" w:color="auto"/>
        <w:right w:val="none" w:sz="0" w:space="0" w:color="auto"/>
      </w:divBdr>
    </w:div>
    <w:div w:id="1633487707">
      <w:bodyDiv w:val="1"/>
      <w:marLeft w:val="0"/>
      <w:marRight w:val="0"/>
      <w:marTop w:val="0"/>
      <w:marBottom w:val="0"/>
      <w:divBdr>
        <w:top w:val="none" w:sz="0" w:space="0" w:color="auto"/>
        <w:left w:val="none" w:sz="0" w:space="0" w:color="auto"/>
        <w:bottom w:val="none" w:sz="0" w:space="0" w:color="auto"/>
        <w:right w:val="none" w:sz="0" w:space="0" w:color="auto"/>
      </w:divBdr>
    </w:div>
    <w:div w:id="1686397229">
      <w:bodyDiv w:val="1"/>
      <w:marLeft w:val="0"/>
      <w:marRight w:val="0"/>
      <w:marTop w:val="0"/>
      <w:marBottom w:val="0"/>
      <w:divBdr>
        <w:top w:val="none" w:sz="0" w:space="0" w:color="auto"/>
        <w:left w:val="none" w:sz="0" w:space="0" w:color="auto"/>
        <w:bottom w:val="none" w:sz="0" w:space="0" w:color="auto"/>
        <w:right w:val="none" w:sz="0" w:space="0" w:color="auto"/>
      </w:divBdr>
    </w:div>
    <w:div w:id="1703095822">
      <w:bodyDiv w:val="1"/>
      <w:marLeft w:val="0"/>
      <w:marRight w:val="0"/>
      <w:marTop w:val="0"/>
      <w:marBottom w:val="0"/>
      <w:divBdr>
        <w:top w:val="none" w:sz="0" w:space="0" w:color="auto"/>
        <w:left w:val="none" w:sz="0" w:space="0" w:color="auto"/>
        <w:bottom w:val="none" w:sz="0" w:space="0" w:color="auto"/>
        <w:right w:val="none" w:sz="0" w:space="0" w:color="auto"/>
      </w:divBdr>
    </w:div>
    <w:div w:id="1774468958">
      <w:bodyDiv w:val="1"/>
      <w:marLeft w:val="0"/>
      <w:marRight w:val="0"/>
      <w:marTop w:val="0"/>
      <w:marBottom w:val="0"/>
      <w:divBdr>
        <w:top w:val="none" w:sz="0" w:space="0" w:color="auto"/>
        <w:left w:val="none" w:sz="0" w:space="0" w:color="auto"/>
        <w:bottom w:val="none" w:sz="0" w:space="0" w:color="auto"/>
        <w:right w:val="none" w:sz="0" w:space="0" w:color="auto"/>
      </w:divBdr>
    </w:div>
    <w:div w:id="1790078946">
      <w:bodyDiv w:val="1"/>
      <w:marLeft w:val="0"/>
      <w:marRight w:val="0"/>
      <w:marTop w:val="0"/>
      <w:marBottom w:val="0"/>
      <w:divBdr>
        <w:top w:val="none" w:sz="0" w:space="0" w:color="auto"/>
        <w:left w:val="none" w:sz="0" w:space="0" w:color="auto"/>
        <w:bottom w:val="none" w:sz="0" w:space="0" w:color="auto"/>
        <w:right w:val="none" w:sz="0" w:space="0" w:color="auto"/>
      </w:divBdr>
      <w:divsChild>
        <w:div w:id="50345720">
          <w:marLeft w:val="0"/>
          <w:marRight w:val="0"/>
          <w:marTop w:val="0"/>
          <w:marBottom w:val="0"/>
          <w:divBdr>
            <w:top w:val="none" w:sz="0" w:space="0" w:color="auto"/>
            <w:left w:val="none" w:sz="0" w:space="0" w:color="auto"/>
            <w:bottom w:val="none" w:sz="0" w:space="0" w:color="auto"/>
            <w:right w:val="none" w:sz="0" w:space="0" w:color="auto"/>
          </w:divBdr>
          <w:divsChild>
            <w:div w:id="746460962">
              <w:marLeft w:val="0"/>
              <w:marRight w:val="0"/>
              <w:marTop w:val="0"/>
              <w:marBottom w:val="0"/>
              <w:divBdr>
                <w:top w:val="none" w:sz="0" w:space="0" w:color="auto"/>
                <w:left w:val="none" w:sz="0" w:space="0" w:color="auto"/>
                <w:bottom w:val="none" w:sz="0" w:space="0" w:color="auto"/>
                <w:right w:val="none" w:sz="0" w:space="0" w:color="auto"/>
              </w:divBdr>
              <w:divsChild>
                <w:div w:id="1699429011">
                  <w:marLeft w:val="-240"/>
                  <w:marRight w:val="-240"/>
                  <w:marTop w:val="0"/>
                  <w:marBottom w:val="0"/>
                  <w:divBdr>
                    <w:top w:val="none" w:sz="0" w:space="0" w:color="auto"/>
                    <w:left w:val="none" w:sz="0" w:space="0" w:color="auto"/>
                    <w:bottom w:val="none" w:sz="0" w:space="0" w:color="auto"/>
                    <w:right w:val="none" w:sz="0" w:space="0" w:color="auto"/>
                  </w:divBdr>
                  <w:divsChild>
                    <w:div w:id="1558857879">
                      <w:marLeft w:val="0"/>
                      <w:marRight w:val="0"/>
                      <w:marTop w:val="0"/>
                      <w:marBottom w:val="0"/>
                      <w:divBdr>
                        <w:top w:val="none" w:sz="0" w:space="0" w:color="auto"/>
                        <w:left w:val="none" w:sz="0" w:space="0" w:color="auto"/>
                        <w:bottom w:val="none" w:sz="0" w:space="0" w:color="auto"/>
                        <w:right w:val="none" w:sz="0" w:space="0" w:color="auto"/>
                      </w:divBdr>
                      <w:divsChild>
                        <w:div w:id="111291621">
                          <w:marLeft w:val="0"/>
                          <w:marRight w:val="0"/>
                          <w:marTop w:val="0"/>
                          <w:marBottom w:val="0"/>
                          <w:divBdr>
                            <w:top w:val="none" w:sz="0" w:space="0" w:color="auto"/>
                            <w:left w:val="none" w:sz="0" w:space="0" w:color="auto"/>
                            <w:bottom w:val="none" w:sz="0" w:space="0" w:color="auto"/>
                            <w:right w:val="none" w:sz="0" w:space="0" w:color="auto"/>
                          </w:divBdr>
                        </w:div>
                        <w:div w:id="83304659">
                          <w:marLeft w:val="0"/>
                          <w:marRight w:val="0"/>
                          <w:marTop w:val="0"/>
                          <w:marBottom w:val="0"/>
                          <w:divBdr>
                            <w:top w:val="none" w:sz="0" w:space="0" w:color="auto"/>
                            <w:left w:val="none" w:sz="0" w:space="0" w:color="auto"/>
                            <w:bottom w:val="none" w:sz="0" w:space="0" w:color="auto"/>
                            <w:right w:val="none" w:sz="0" w:space="0" w:color="auto"/>
                          </w:divBdr>
                          <w:divsChild>
                            <w:div w:id="1257903476">
                              <w:marLeft w:val="165"/>
                              <w:marRight w:val="165"/>
                              <w:marTop w:val="0"/>
                              <w:marBottom w:val="0"/>
                              <w:divBdr>
                                <w:top w:val="none" w:sz="0" w:space="0" w:color="auto"/>
                                <w:left w:val="none" w:sz="0" w:space="0" w:color="auto"/>
                                <w:bottom w:val="none" w:sz="0" w:space="0" w:color="auto"/>
                                <w:right w:val="none" w:sz="0" w:space="0" w:color="auto"/>
                              </w:divBdr>
                              <w:divsChild>
                                <w:div w:id="2054847829">
                                  <w:marLeft w:val="0"/>
                                  <w:marRight w:val="0"/>
                                  <w:marTop w:val="0"/>
                                  <w:marBottom w:val="0"/>
                                  <w:divBdr>
                                    <w:top w:val="none" w:sz="0" w:space="0" w:color="auto"/>
                                    <w:left w:val="none" w:sz="0" w:space="0" w:color="auto"/>
                                    <w:bottom w:val="none" w:sz="0" w:space="0" w:color="auto"/>
                                    <w:right w:val="none" w:sz="0" w:space="0" w:color="auto"/>
                                  </w:divBdr>
                                  <w:divsChild>
                                    <w:div w:id="158132983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369383">
      <w:bodyDiv w:val="1"/>
      <w:marLeft w:val="0"/>
      <w:marRight w:val="0"/>
      <w:marTop w:val="0"/>
      <w:marBottom w:val="0"/>
      <w:divBdr>
        <w:top w:val="none" w:sz="0" w:space="0" w:color="auto"/>
        <w:left w:val="none" w:sz="0" w:space="0" w:color="auto"/>
        <w:bottom w:val="none" w:sz="0" w:space="0" w:color="auto"/>
        <w:right w:val="none" w:sz="0" w:space="0" w:color="auto"/>
      </w:divBdr>
    </w:div>
    <w:div w:id="1979646637">
      <w:bodyDiv w:val="1"/>
      <w:marLeft w:val="0"/>
      <w:marRight w:val="0"/>
      <w:marTop w:val="0"/>
      <w:marBottom w:val="0"/>
      <w:divBdr>
        <w:top w:val="none" w:sz="0" w:space="0" w:color="auto"/>
        <w:left w:val="none" w:sz="0" w:space="0" w:color="auto"/>
        <w:bottom w:val="none" w:sz="0" w:space="0" w:color="auto"/>
        <w:right w:val="none" w:sz="0" w:space="0" w:color="auto"/>
      </w:divBdr>
    </w:div>
    <w:div w:id="1986735925">
      <w:bodyDiv w:val="1"/>
      <w:marLeft w:val="0"/>
      <w:marRight w:val="0"/>
      <w:marTop w:val="0"/>
      <w:marBottom w:val="0"/>
      <w:divBdr>
        <w:top w:val="none" w:sz="0" w:space="0" w:color="auto"/>
        <w:left w:val="none" w:sz="0" w:space="0" w:color="auto"/>
        <w:bottom w:val="none" w:sz="0" w:space="0" w:color="auto"/>
        <w:right w:val="none" w:sz="0" w:space="0" w:color="auto"/>
      </w:divBdr>
    </w:div>
    <w:div w:id="2007711456">
      <w:bodyDiv w:val="1"/>
      <w:marLeft w:val="0"/>
      <w:marRight w:val="0"/>
      <w:marTop w:val="0"/>
      <w:marBottom w:val="0"/>
      <w:divBdr>
        <w:top w:val="none" w:sz="0" w:space="0" w:color="auto"/>
        <w:left w:val="none" w:sz="0" w:space="0" w:color="auto"/>
        <w:bottom w:val="none" w:sz="0" w:space="0" w:color="auto"/>
        <w:right w:val="none" w:sz="0" w:space="0" w:color="auto"/>
      </w:divBdr>
    </w:div>
    <w:div w:id="2026205893">
      <w:bodyDiv w:val="1"/>
      <w:marLeft w:val="0"/>
      <w:marRight w:val="0"/>
      <w:marTop w:val="0"/>
      <w:marBottom w:val="0"/>
      <w:divBdr>
        <w:top w:val="none" w:sz="0" w:space="0" w:color="auto"/>
        <w:left w:val="none" w:sz="0" w:space="0" w:color="auto"/>
        <w:bottom w:val="none" w:sz="0" w:space="0" w:color="auto"/>
        <w:right w:val="none" w:sz="0" w:space="0" w:color="auto"/>
      </w:divBdr>
    </w:div>
    <w:div w:id="2039041136">
      <w:bodyDiv w:val="1"/>
      <w:marLeft w:val="0"/>
      <w:marRight w:val="0"/>
      <w:marTop w:val="0"/>
      <w:marBottom w:val="0"/>
      <w:divBdr>
        <w:top w:val="none" w:sz="0" w:space="0" w:color="auto"/>
        <w:left w:val="none" w:sz="0" w:space="0" w:color="auto"/>
        <w:bottom w:val="none" w:sz="0" w:space="0" w:color="auto"/>
        <w:right w:val="none" w:sz="0" w:space="0" w:color="auto"/>
      </w:divBdr>
    </w:div>
    <w:div w:id="2063670481">
      <w:bodyDiv w:val="1"/>
      <w:marLeft w:val="0"/>
      <w:marRight w:val="0"/>
      <w:marTop w:val="0"/>
      <w:marBottom w:val="0"/>
      <w:divBdr>
        <w:top w:val="none" w:sz="0" w:space="0" w:color="auto"/>
        <w:left w:val="none" w:sz="0" w:space="0" w:color="auto"/>
        <w:bottom w:val="none" w:sz="0" w:space="0" w:color="auto"/>
        <w:right w:val="none" w:sz="0" w:space="0" w:color="auto"/>
      </w:divBdr>
    </w:div>
    <w:div w:id="2121410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image" Target="media/image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image" Target="media/image2.emf"/><Relationship Id="rId8" Type="http://schemas.openxmlformats.org/officeDocument/2006/relationships/chart" Target="charts/chart1.xml"/><Relationship Id="rId51"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header" Target="header1.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image" Target="media/image3.png"/><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 TargetMode="External"/><Relationship Id="rId1" Type="http://schemas.openxmlformats.org/officeDocument/2006/relationships/hyperlink" Target="http://www.portnews.r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k\tand\TAND\Diana%20Ondza\R&#362;PNIEC&#298;BA\R&#362;PNIEC&#298;BA%20pa%20ceturk&#353;&#326;iem.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k\tand\TAND\Diana%20Ondza\R&#362;PNIEC&#298;BA\R&#362;PNIEC&#298;BA%20pa%20m&#275;ne&#353;iem.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k\tand\TAND\Diana%20Ondza\R&#362;PNIEC&#298;BA\R&#362;PNIEC&#298;BA%20pa%20m&#275;ne&#353;iem.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k\tand\TAND\_Budzeta%20paskaidrojumi\bu_2021\manuf_eu.xls"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k\tand\TAND\_Budzeta%20paskaidrojumi\bu_2021\lauks_tirdzn.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k\tand\TAND\_Prezentacija\Prezentacijas-DAT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bin"/></Relationships>
</file>

<file path=word/charts/_rels/chart18.xml.rels><?xml version="1.0" encoding="UTF-8" standalone="yes"?>
<Relationships xmlns="http://schemas.openxmlformats.org/package/2006/relationships"><Relationship Id="rId2" Type="http://schemas.openxmlformats.org/officeDocument/2006/relationships/oleObject" Target="file:///\\fk\tand\TAND\Ieva%20Veja\bud&#382;eta%20paskaidrojumi\2020\transports\pasa&#382;ieru%20indeksi.xlsx" TargetMode="External"/><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k\tand\TAND\Diana%20Ondza\B&#362;VNIEC&#298;BA\B&#363;vn.%20apjomi.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k\tand\TAND\Diana%20Ondza\IKP\ikp_.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k\tand\TAND\_Budzeta%20paskaidrojumi\bu_2020\M&#257;jok&#316;u%20cenu%20indeks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k\tand\TAND\Diana%20Ondza\B&#362;VNIEC&#298;BA\Ra&#382;ot&#257;ju%20cena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k\tand\TAND\Diana%20Ondza\B&#362;VNIEC&#298;BA\B&#363;vn.%20apjomi.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k\TAND\TAND\_Budzeta%20paskaidrojumi\bu_2021\Nozares\Finan&#353;u\03_Jauno_darijumu_un_parskatito_kreditu_apjoms_MFI_eiro_darijumos_ar_nefinansu_sabiedribam_un_majsaimniecibam_29.09.2020.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fk\tand\TAND\_Budzeta%20paskaidrojumi\bu_2021\lauks_tirdzn.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fk\tand\TAND\_Budzeta%20paskaidrojumi\bu_2021\Lauksaimnieciba.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fk\tand\TAND\_Budzeta%20paskaidrojumi\bu_2021\Lauksaimnieciba.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2" Type="http://schemas.openxmlformats.org/officeDocument/2006/relationships/oleObject" Target="file:///\\fk\tand\TAND\_Makro_modeli\Infl&#257;cija\Inflation_main.xlsx" TargetMode="External"/><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oleObject" Target="file:///\\fk\tand\TAND\_Prezentacija\Prezentacijas-DAT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3.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k\tand\TAND\Ieva%20Veja\bud&#382;eta%20paskaidrojumi\2020\darba%20tirgus\aiz&#326;emt&#257;s%20darba%20vietas%20p&#275;c%201.cet%202019.xlsx" TargetMode="Externa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5.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7.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3.bin"/></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fk\tand\TAND\Ieva%20Veja\bud&#382;eta%20paskaidrojumi\2020\iedz&#299;vot&#257;ju%20ien&#257;kumi\ien&#257;kumi%20p&#275;c%20PPS%20no%20ES%20vid&#275;j&#257;.xlsx" TargetMode="External"/><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Alex\Downloads\namq_10_gdp.xls"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td-jursa\Downloads\AT020c%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k\tand\TAND\_Prezentacija\Prezentacijas-DAT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k\tand\TAND\_Prezentacija\Prezentacijas-DATA.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fk\tand\TAND\_Prezentacija\Prezentacijas-DATA.xlsx" TargetMode="External"/><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k\tand\TAND\_Prezentacija\Prezentacijas-DATA.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D:\Users\td-jursa\Downloads\namq_10_an6%20(1).xls"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5" Type="http://schemas.openxmlformats.org/officeDocument/2006/relationships/chartUserShapes" Target="../drawings/drawing4.xml"/><Relationship Id="rId4" Type="http://schemas.openxmlformats.org/officeDocument/2006/relationships/oleObject" Target="file:///C:\Users\Alex\Desktop\Jaudu%20noslodze.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8.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embeddings/oleObject4.bin"/></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embeddings/oleObject5.bin"/><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1" Type="http://schemas.openxmlformats.org/officeDocument/2006/relationships/oleObject" Target="file:///\\fk\tand\TAND\Diana%20Ondza\IKP\eu%202020.xl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fk\tand\TAND\Diana%20Ondza\IKP\ikp_.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fk\tand\TAND\Diana%20Ondza\IKP\ikp_.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fk\tand\TAND\_Prezentacija\Prezentacijas-DAT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k\tand\TAND\_Prezentacija\Prezentacijas-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82437133956857E-2"/>
          <c:y val="2.5159670882789201E-2"/>
          <c:w val="0.86201133418399756"/>
          <c:h val="0.69380250460881454"/>
        </c:manualLayout>
      </c:layout>
      <c:lineChart>
        <c:grouping val="standard"/>
        <c:varyColors val="0"/>
        <c:ser>
          <c:idx val="0"/>
          <c:order val="0"/>
          <c:tx>
            <c:strRef>
              <c:f>'ESI LV'!$C$1</c:f>
              <c:strCache>
                <c:ptCount val="1"/>
                <c:pt idx="0">
                  <c:v>Rūpniecība</c:v>
                </c:pt>
              </c:strCache>
            </c:strRef>
          </c:tx>
          <c:spPr>
            <a:ln w="28575" cap="rnd">
              <a:solidFill>
                <a:schemeClr val="accent1"/>
              </a:solidFill>
              <a:round/>
            </a:ln>
            <a:effectLst/>
          </c:spPr>
          <c:marker>
            <c:symbol val="none"/>
          </c:marker>
          <c:cat>
            <c:multiLvlStrRef>
              <c:f>'ESI LV'!$A$26:$B$165</c:f>
              <c:multiLvlStrCache>
                <c:ptCount val="1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pt idx="132">
                    <c:v>I</c:v>
                  </c:pt>
                  <c:pt idx="133">
                    <c:v>II</c:v>
                  </c:pt>
                  <c:pt idx="134">
                    <c:v>III</c:v>
                  </c:pt>
                  <c:pt idx="135">
                    <c:v>IV</c:v>
                  </c:pt>
                  <c:pt idx="136">
                    <c:v>V</c:v>
                  </c:pt>
                  <c:pt idx="137">
                    <c:v>VI</c:v>
                  </c:pt>
                  <c:pt idx="138">
                    <c:v>VII</c:v>
                  </c:pt>
                  <c:pt idx="139">
                    <c:v>VIII</c:v>
                  </c:pt>
                </c:lvl>
                <c:lvl>
                  <c:pt idx="0">
                    <c:v>2009</c:v>
                  </c:pt>
                  <c:pt idx="12">
                    <c:v>2010</c:v>
                  </c:pt>
                  <c:pt idx="24">
                    <c:v>2011</c:v>
                  </c:pt>
                  <c:pt idx="36">
                    <c:v>2012</c:v>
                  </c:pt>
                  <c:pt idx="48">
                    <c:v>2013</c:v>
                  </c:pt>
                  <c:pt idx="60">
                    <c:v>2014</c:v>
                  </c:pt>
                  <c:pt idx="72">
                    <c:v>2015</c:v>
                  </c:pt>
                  <c:pt idx="84">
                    <c:v>2016</c:v>
                  </c:pt>
                  <c:pt idx="96">
                    <c:v>2017</c:v>
                  </c:pt>
                  <c:pt idx="108">
                    <c:v>2018</c:v>
                  </c:pt>
                  <c:pt idx="120">
                    <c:v>2019</c:v>
                  </c:pt>
                  <c:pt idx="132">
                    <c:v>2020</c:v>
                  </c:pt>
                </c:lvl>
              </c:multiLvlStrCache>
            </c:multiLvlStrRef>
          </c:cat>
          <c:val>
            <c:numRef>
              <c:f>'ESI LV'!$C$26:$C$165</c:f>
              <c:numCache>
                <c:formatCode>0.0</c:formatCode>
                <c:ptCount val="140"/>
                <c:pt idx="0">
                  <c:v>-31.4</c:v>
                </c:pt>
                <c:pt idx="1">
                  <c:v>-35</c:v>
                </c:pt>
                <c:pt idx="2">
                  <c:v>-36.799999999999997</c:v>
                </c:pt>
                <c:pt idx="3">
                  <c:v>-34.6</c:v>
                </c:pt>
                <c:pt idx="4">
                  <c:v>-32.700000000000003</c:v>
                </c:pt>
                <c:pt idx="5">
                  <c:v>-31</c:v>
                </c:pt>
                <c:pt idx="6">
                  <c:v>-28.6</c:v>
                </c:pt>
                <c:pt idx="7">
                  <c:v>-25.2</c:v>
                </c:pt>
                <c:pt idx="8">
                  <c:v>-23.6</c:v>
                </c:pt>
                <c:pt idx="9">
                  <c:v>-20.6</c:v>
                </c:pt>
                <c:pt idx="10">
                  <c:v>-18.3</c:v>
                </c:pt>
                <c:pt idx="11">
                  <c:v>-15.8</c:v>
                </c:pt>
                <c:pt idx="12">
                  <c:v>-13.3</c:v>
                </c:pt>
                <c:pt idx="13">
                  <c:v>-11.4</c:v>
                </c:pt>
                <c:pt idx="14">
                  <c:v>-8.8000000000000007</c:v>
                </c:pt>
                <c:pt idx="15">
                  <c:v>-6.8</c:v>
                </c:pt>
                <c:pt idx="16">
                  <c:v>-5.5</c:v>
                </c:pt>
                <c:pt idx="17">
                  <c:v>-4.3</c:v>
                </c:pt>
                <c:pt idx="18">
                  <c:v>-2.8</c:v>
                </c:pt>
                <c:pt idx="19">
                  <c:v>-1.8</c:v>
                </c:pt>
                <c:pt idx="20">
                  <c:v>-1</c:v>
                </c:pt>
                <c:pt idx="21">
                  <c:v>0.4</c:v>
                </c:pt>
                <c:pt idx="22">
                  <c:v>1.9</c:v>
                </c:pt>
                <c:pt idx="23">
                  <c:v>4.7</c:v>
                </c:pt>
                <c:pt idx="24">
                  <c:v>6</c:v>
                </c:pt>
                <c:pt idx="25">
                  <c:v>6.8</c:v>
                </c:pt>
                <c:pt idx="26">
                  <c:v>6.6</c:v>
                </c:pt>
                <c:pt idx="27">
                  <c:v>5.5</c:v>
                </c:pt>
                <c:pt idx="28">
                  <c:v>3.6</c:v>
                </c:pt>
                <c:pt idx="29">
                  <c:v>2.8</c:v>
                </c:pt>
                <c:pt idx="30">
                  <c:v>0.1</c:v>
                </c:pt>
                <c:pt idx="31">
                  <c:v>-2.5</c:v>
                </c:pt>
                <c:pt idx="32">
                  <c:v>-5</c:v>
                </c:pt>
                <c:pt idx="33">
                  <c:v>-5.3</c:v>
                </c:pt>
                <c:pt idx="34">
                  <c:v>-5.8</c:v>
                </c:pt>
                <c:pt idx="35">
                  <c:v>-5.6</c:v>
                </c:pt>
                <c:pt idx="36">
                  <c:v>-5.8</c:v>
                </c:pt>
                <c:pt idx="37">
                  <c:v>-4.7</c:v>
                </c:pt>
                <c:pt idx="38">
                  <c:v>-6.2</c:v>
                </c:pt>
                <c:pt idx="39">
                  <c:v>-7.4</c:v>
                </c:pt>
                <c:pt idx="40">
                  <c:v>-9.8000000000000007</c:v>
                </c:pt>
                <c:pt idx="41">
                  <c:v>-10.4</c:v>
                </c:pt>
                <c:pt idx="42">
                  <c:v>-12.3</c:v>
                </c:pt>
                <c:pt idx="43">
                  <c:v>-13.4</c:v>
                </c:pt>
                <c:pt idx="44">
                  <c:v>-13.7</c:v>
                </c:pt>
                <c:pt idx="45">
                  <c:v>-16.399999999999999</c:v>
                </c:pt>
                <c:pt idx="46">
                  <c:v>-13.5</c:v>
                </c:pt>
                <c:pt idx="47">
                  <c:v>-12.3</c:v>
                </c:pt>
                <c:pt idx="48">
                  <c:v>-12.4</c:v>
                </c:pt>
                <c:pt idx="49">
                  <c:v>-10.3</c:v>
                </c:pt>
                <c:pt idx="50">
                  <c:v>-11.2</c:v>
                </c:pt>
                <c:pt idx="51">
                  <c:v>-12.7</c:v>
                </c:pt>
                <c:pt idx="52">
                  <c:v>-11.9</c:v>
                </c:pt>
                <c:pt idx="53">
                  <c:v>-10.4</c:v>
                </c:pt>
                <c:pt idx="54">
                  <c:v>-9.9</c:v>
                </c:pt>
                <c:pt idx="55">
                  <c:v>-7.6</c:v>
                </c:pt>
                <c:pt idx="56">
                  <c:v>-6.2</c:v>
                </c:pt>
                <c:pt idx="57">
                  <c:v>-4.7</c:v>
                </c:pt>
                <c:pt idx="58" formatCode="General">
                  <c:v>-3.1</c:v>
                </c:pt>
                <c:pt idx="59" formatCode="General">
                  <c:v>-2.8</c:v>
                </c:pt>
                <c:pt idx="60" formatCode="General">
                  <c:v>-2.4</c:v>
                </c:pt>
                <c:pt idx="61">
                  <c:v>-2.4</c:v>
                </c:pt>
                <c:pt idx="62" formatCode="General">
                  <c:v>-2.1</c:v>
                </c:pt>
                <c:pt idx="63" formatCode="General">
                  <c:v>-2</c:v>
                </c:pt>
                <c:pt idx="64" formatCode="General">
                  <c:v>-2.5</c:v>
                </c:pt>
                <c:pt idx="65" formatCode="General">
                  <c:v>-3.5</c:v>
                </c:pt>
                <c:pt idx="66" formatCode="General">
                  <c:v>-2.8</c:v>
                </c:pt>
                <c:pt idx="67" formatCode="General">
                  <c:v>-3.5</c:v>
                </c:pt>
                <c:pt idx="68" formatCode="General">
                  <c:v>-4</c:v>
                </c:pt>
                <c:pt idx="69" formatCode="General">
                  <c:v>-3.5</c:v>
                </c:pt>
                <c:pt idx="70" formatCode="General">
                  <c:v>-2.8</c:v>
                </c:pt>
                <c:pt idx="71" formatCode="General">
                  <c:v>-3.8</c:v>
                </c:pt>
                <c:pt idx="72" formatCode="General">
                  <c:v>-3.5</c:v>
                </c:pt>
                <c:pt idx="73" formatCode="General">
                  <c:v>-3.5</c:v>
                </c:pt>
                <c:pt idx="74" formatCode="General">
                  <c:v>-2.1</c:v>
                </c:pt>
                <c:pt idx="75" formatCode="General">
                  <c:v>-2.2999999999999998</c:v>
                </c:pt>
                <c:pt idx="76" formatCode="General">
                  <c:v>-1.9</c:v>
                </c:pt>
                <c:pt idx="77" formatCode="General">
                  <c:v>-1.9</c:v>
                </c:pt>
                <c:pt idx="78" formatCode="General">
                  <c:v>-1.6</c:v>
                </c:pt>
                <c:pt idx="79" formatCode="General">
                  <c:v>-2.2000000000000002</c:v>
                </c:pt>
                <c:pt idx="80" formatCode="General">
                  <c:v>-1.4</c:v>
                </c:pt>
                <c:pt idx="81" formatCode="General">
                  <c:v>-1.1000000000000001</c:v>
                </c:pt>
                <c:pt idx="82" formatCode="General">
                  <c:v>-2.1</c:v>
                </c:pt>
                <c:pt idx="83" formatCode="General">
                  <c:v>-1.3</c:v>
                </c:pt>
                <c:pt idx="84" formatCode="General">
                  <c:v>-1.6</c:v>
                </c:pt>
                <c:pt idx="85" formatCode="General">
                  <c:v>-2.9</c:v>
                </c:pt>
                <c:pt idx="86" formatCode="General">
                  <c:v>-2.8</c:v>
                </c:pt>
                <c:pt idx="87" formatCode="General">
                  <c:v>-2.7</c:v>
                </c:pt>
                <c:pt idx="88" formatCode="General">
                  <c:v>-2.8</c:v>
                </c:pt>
                <c:pt idx="89" formatCode="General">
                  <c:v>-2</c:v>
                </c:pt>
                <c:pt idx="90" formatCode="General">
                  <c:v>-2.1</c:v>
                </c:pt>
                <c:pt idx="91" formatCode="General">
                  <c:v>-2.9</c:v>
                </c:pt>
                <c:pt idx="92" formatCode="General">
                  <c:v>-1.3</c:v>
                </c:pt>
                <c:pt idx="93" formatCode="General">
                  <c:v>-0.4</c:v>
                </c:pt>
                <c:pt idx="94" formatCode="General">
                  <c:v>-0.6</c:v>
                </c:pt>
                <c:pt idx="95" formatCode="General">
                  <c:v>1.2</c:v>
                </c:pt>
                <c:pt idx="96" formatCode="General">
                  <c:v>1.5</c:v>
                </c:pt>
                <c:pt idx="97" formatCode="General">
                  <c:v>2.1</c:v>
                </c:pt>
                <c:pt idx="98" formatCode="General">
                  <c:v>1.5</c:v>
                </c:pt>
                <c:pt idx="99" formatCode="General">
                  <c:v>3</c:v>
                </c:pt>
                <c:pt idx="100" formatCode="General">
                  <c:v>3.6</c:v>
                </c:pt>
                <c:pt idx="101" formatCode="General">
                  <c:v>5</c:v>
                </c:pt>
                <c:pt idx="102" formatCode="General">
                  <c:v>5.9</c:v>
                </c:pt>
                <c:pt idx="103" formatCode="General">
                  <c:v>5.7</c:v>
                </c:pt>
                <c:pt idx="104" formatCode="General">
                  <c:v>7.2</c:v>
                </c:pt>
                <c:pt idx="105" formatCode="General">
                  <c:v>8.3000000000000007</c:v>
                </c:pt>
                <c:pt idx="106" formatCode="General">
                  <c:v>8.8000000000000007</c:v>
                </c:pt>
                <c:pt idx="107" formatCode="General">
                  <c:v>9.1</c:v>
                </c:pt>
                <c:pt idx="108" formatCode="General">
                  <c:v>9.3000000000000007</c:v>
                </c:pt>
                <c:pt idx="109" formatCode="General">
                  <c:v>8.4</c:v>
                </c:pt>
                <c:pt idx="110" formatCode="General">
                  <c:v>6.9</c:v>
                </c:pt>
                <c:pt idx="111" formatCode="General">
                  <c:v>7.7</c:v>
                </c:pt>
                <c:pt idx="112" formatCode="General">
                  <c:v>7.3</c:v>
                </c:pt>
                <c:pt idx="113" formatCode="General">
                  <c:v>7.4</c:v>
                </c:pt>
                <c:pt idx="114" formatCode="General">
                  <c:v>6.2</c:v>
                </c:pt>
                <c:pt idx="115" formatCode="General">
                  <c:v>6.1</c:v>
                </c:pt>
                <c:pt idx="116" formatCode="General">
                  <c:v>5.2</c:v>
                </c:pt>
                <c:pt idx="117" formatCode="General">
                  <c:v>4.2</c:v>
                </c:pt>
                <c:pt idx="118" formatCode="General">
                  <c:v>4.5</c:v>
                </c:pt>
                <c:pt idx="119" formatCode="General">
                  <c:v>2.8</c:v>
                </c:pt>
                <c:pt idx="120" formatCode="General">
                  <c:v>0.8</c:v>
                </c:pt>
                <c:pt idx="121" formatCode="General">
                  <c:v>0.1</c:v>
                </c:pt>
                <c:pt idx="122" formatCode="General">
                  <c:v>-1.2</c:v>
                </c:pt>
                <c:pt idx="123" formatCode="General">
                  <c:v>-3.5</c:v>
                </c:pt>
                <c:pt idx="124" formatCode="General">
                  <c:v>-2.5</c:v>
                </c:pt>
                <c:pt idx="125" formatCode="General">
                  <c:v>-5.0999999999999996</c:v>
                </c:pt>
                <c:pt idx="126" formatCode="General">
                  <c:v>-6.7</c:v>
                </c:pt>
                <c:pt idx="127" formatCode="General">
                  <c:v>-5.5</c:v>
                </c:pt>
                <c:pt idx="128" formatCode="General">
                  <c:v>-8.1999999999999993</c:v>
                </c:pt>
                <c:pt idx="129" formatCode="General">
                  <c:v>-8.8000000000000007</c:v>
                </c:pt>
                <c:pt idx="130" formatCode="General">
                  <c:v>-8.3000000000000007</c:v>
                </c:pt>
                <c:pt idx="131" formatCode="General">
                  <c:v>-8.8000000000000007</c:v>
                </c:pt>
                <c:pt idx="132" formatCode="General">
                  <c:v>-6.9</c:v>
                </c:pt>
                <c:pt idx="133" formatCode="General">
                  <c:v>-6.2</c:v>
                </c:pt>
                <c:pt idx="134" formatCode="General">
                  <c:v>-10.7</c:v>
                </c:pt>
                <c:pt idx="135" formatCode="General">
                  <c:v>-32.299999999999997</c:v>
                </c:pt>
                <c:pt idx="136" formatCode="General">
                  <c:v>-27.3</c:v>
                </c:pt>
                <c:pt idx="137" formatCode="General">
                  <c:v>-21.4</c:v>
                </c:pt>
                <c:pt idx="138" formatCode="General">
                  <c:v>-15.7</c:v>
                </c:pt>
                <c:pt idx="139" formatCode="General">
                  <c:v>-12.6</c:v>
                </c:pt>
              </c:numCache>
            </c:numRef>
          </c:val>
          <c:smooth val="0"/>
          <c:extLst>
            <c:ext xmlns:c16="http://schemas.microsoft.com/office/drawing/2014/chart" uri="{C3380CC4-5D6E-409C-BE32-E72D297353CC}">
              <c16:uniqueId val="{00000000-6F7B-435C-AD4C-584336DFC170}"/>
            </c:ext>
          </c:extLst>
        </c:ser>
        <c:ser>
          <c:idx val="1"/>
          <c:order val="1"/>
          <c:tx>
            <c:strRef>
              <c:f>'ESI LV'!$D$1</c:f>
              <c:strCache>
                <c:ptCount val="1"/>
                <c:pt idx="0">
                  <c:v>Pakalpojumi</c:v>
                </c:pt>
              </c:strCache>
            </c:strRef>
          </c:tx>
          <c:spPr>
            <a:ln w="28575" cap="rnd">
              <a:solidFill>
                <a:schemeClr val="accent2"/>
              </a:solidFill>
              <a:round/>
            </a:ln>
            <a:effectLst/>
          </c:spPr>
          <c:marker>
            <c:symbol val="none"/>
          </c:marker>
          <c:cat>
            <c:multiLvlStrRef>
              <c:f>'ESI LV'!$A$26:$B$165</c:f>
              <c:multiLvlStrCache>
                <c:ptCount val="1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pt idx="132">
                    <c:v>I</c:v>
                  </c:pt>
                  <c:pt idx="133">
                    <c:v>II</c:v>
                  </c:pt>
                  <c:pt idx="134">
                    <c:v>III</c:v>
                  </c:pt>
                  <c:pt idx="135">
                    <c:v>IV</c:v>
                  </c:pt>
                  <c:pt idx="136">
                    <c:v>V</c:v>
                  </c:pt>
                  <c:pt idx="137">
                    <c:v>VI</c:v>
                  </c:pt>
                  <c:pt idx="138">
                    <c:v>VII</c:v>
                  </c:pt>
                  <c:pt idx="139">
                    <c:v>VIII</c:v>
                  </c:pt>
                </c:lvl>
                <c:lvl>
                  <c:pt idx="0">
                    <c:v>2009</c:v>
                  </c:pt>
                  <c:pt idx="12">
                    <c:v>2010</c:v>
                  </c:pt>
                  <c:pt idx="24">
                    <c:v>2011</c:v>
                  </c:pt>
                  <c:pt idx="36">
                    <c:v>2012</c:v>
                  </c:pt>
                  <c:pt idx="48">
                    <c:v>2013</c:v>
                  </c:pt>
                  <c:pt idx="60">
                    <c:v>2014</c:v>
                  </c:pt>
                  <c:pt idx="72">
                    <c:v>2015</c:v>
                  </c:pt>
                  <c:pt idx="84">
                    <c:v>2016</c:v>
                  </c:pt>
                  <c:pt idx="96">
                    <c:v>2017</c:v>
                  </c:pt>
                  <c:pt idx="108">
                    <c:v>2018</c:v>
                  </c:pt>
                  <c:pt idx="120">
                    <c:v>2019</c:v>
                  </c:pt>
                  <c:pt idx="132">
                    <c:v>2020</c:v>
                  </c:pt>
                </c:lvl>
              </c:multiLvlStrCache>
            </c:multiLvlStrRef>
          </c:cat>
          <c:val>
            <c:numRef>
              <c:f>'ESI LV'!$D$26:$D$165</c:f>
              <c:numCache>
                <c:formatCode>0.0</c:formatCode>
                <c:ptCount val="140"/>
                <c:pt idx="0">
                  <c:v>-18.5</c:v>
                </c:pt>
                <c:pt idx="1">
                  <c:v>-20.3</c:v>
                </c:pt>
                <c:pt idx="2">
                  <c:v>-24.2</c:v>
                </c:pt>
                <c:pt idx="3">
                  <c:v>-23.7</c:v>
                </c:pt>
                <c:pt idx="4">
                  <c:v>-21.5</c:v>
                </c:pt>
                <c:pt idx="5">
                  <c:v>-19.3</c:v>
                </c:pt>
                <c:pt idx="6">
                  <c:v>-16.7</c:v>
                </c:pt>
                <c:pt idx="7">
                  <c:v>-11.3</c:v>
                </c:pt>
                <c:pt idx="8">
                  <c:v>-8.6999999999999993</c:v>
                </c:pt>
                <c:pt idx="9">
                  <c:v>-7.5</c:v>
                </c:pt>
                <c:pt idx="10">
                  <c:v>-4.9000000000000004</c:v>
                </c:pt>
                <c:pt idx="11">
                  <c:v>-2.5</c:v>
                </c:pt>
                <c:pt idx="12">
                  <c:v>-0.9</c:v>
                </c:pt>
                <c:pt idx="13">
                  <c:v>1.3</c:v>
                </c:pt>
                <c:pt idx="14">
                  <c:v>2.7</c:v>
                </c:pt>
                <c:pt idx="15">
                  <c:v>6.9</c:v>
                </c:pt>
                <c:pt idx="16">
                  <c:v>4.7</c:v>
                </c:pt>
                <c:pt idx="17">
                  <c:v>4.8</c:v>
                </c:pt>
                <c:pt idx="18">
                  <c:v>7.3</c:v>
                </c:pt>
                <c:pt idx="19">
                  <c:v>6.7</c:v>
                </c:pt>
                <c:pt idx="20">
                  <c:v>8.1999999999999993</c:v>
                </c:pt>
                <c:pt idx="21">
                  <c:v>9.1999999999999993</c:v>
                </c:pt>
                <c:pt idx="22">
                  <c:v>10.7</c:v>
                </c:pt>
                <c:pt idx="23">
                  <c:v>10.8</c:v>
                </c:pt>
                <c:pt idx="24">
                  <c:v>10.7</c:v>
                </c:pt>
                <c:pt idx="25">
                  <c:v>13.3</c:v>
                </c:pt>
                <c:pt idx="26">
                  <c:v>12.5</c:v>
                </c:pt>
                <c:pt idx="27">
                  <c:v>11.6</c:v>
                </c:pt>
                <c:pt idx="28">
                  <c:v>10.7</c:v>
                </c:pt>
                <c:pt idx="29">
                  <c:v>10.9</c:v>
                </c:pt>
                <c:pt idx="30">
                  <c:v>9.6999999999999993</c:v>
                </c:pt>
                <c:pt idx="31">
                  <c:v>6.1</c:v>
                </c:pt>
                <c:pt idx="32">
                  <c:v>1.8</c:v>
                </c:pt>
                <c:pt idx="33">
                  <c:v>1.6</c:v>
                </c:pt>
                <c:pt idx="34">
                  <c:v>0.7</c:v>
                </c:pt>
                <c:pt idx="35">
                  <c:v>-1.3</c:v>
                </c:pt>
                <c:pt idx="36">
                  <c:v>-1.5</c:v>
                </c:pt>
                <c:pt idx="37">
                  <c:v>-0.2</c:v>
                </c:pt>
                <c:pt idx="38">
                  <c:v>2</c:v>
                </c:pt>
                <c:pt idx="39">
                  <c:v>0</c:v>
                </c:pt>
                <c:pt idx="40">
                  <c:v>-2.5</c:v>
                </c:pt>
                <c:pt idx="41">
                  <c:v>-4.4000000000000004</c:v>
                </c:pt>
                <c:pt idx="42">
                  <c:v>-5.8</c:v>
                </c:pt>
                <c:pt idx="43">
                  <c:v>-7.2</c:v>
                </c:pt>
                <c:pt idx="44">
                  <c:v>-9.1</c:v>
                </c:pt>
                <c:pt idx="45">
                  <c:v>-8.5</c:v>
                </c:pt>
                <c:pt idx="46">
                  <c:v>-8.5</c:v>
                </c:pt>
                <c:pt idx="47">
                  <c:v>-6.9</c:v>
                </c:pt>
                <c:pt idx="48">
                  <c:v>-5.4</c:v>
                </c:pt>
                <c:pt idx="49">
                  <c:v>-6</c:v>
                </c:pt>
                <c:pt idx="50">
                  <c:v>-4.4000000000000004</c:v>
                </c:pt>
                <c:pt idx="51">
                  <c:v>-8.6</c:v>
                </c:pt>
                <c:pt idx="52">
                  <c:v>-7.1</c:v>
                </c:pt>
                <c:pt idx="53">
                  <c:v>-5.6</c:v>
                </c:pt>
                <c:pt idx="54">
                  <c:v>-4.4000000000000004</c:v>
                </c:pt>
                <c:pt idx="55">
                  <c:v>-2.4</c:v>
                </c:pt>
                <c:pt idx="56">
                  <c:v>-0.1</c:v>
                </c:pt>
                <c:pt idx="57">
                  <c:v>0.3</c:v>
                </c:pt>
                <c:pt idx="58">
                  <c:v>2.7</c:v>
                </c:pt>
                <c:pt idx="59">
                  <c:v>3.9</c:v>
                </c:pt>
                <c:pt idx="60">
                  <c:v>5.5</c:v>
                </c:pt>
                <c:pt idx="61">
                  <c:v>4.9000000000000004</c:v>
                </c:pt>
                <c:pt idx="62" formatCode="General">
                  <c:v>7</c:v>
                </c:pt>
                <c:pt idx="63" formatCode="General">
                  <c:v>6.6</c:v>
                </c:pt>
                <c:pt idx="64" formatCode="General">
                  <c:v>6.3</c:v>
                </c:pt>
                <c:pt idx="65" formatCode="General">
                  <c:v>7</c:v>
                </c:pt>
                <c:pt idx="66" formatCode="General">
                  <c:v>6.8</c:v>
                </c:pt>
                <c:pt idx="67" formatCode="General">
                  <c:v>6.4</c:v>
                </c:pt>
                <c:pt idx="68" formatCode="General">
                  <c:v>6.3</c:v>
                </c:pt>
                <c:pt idx="69" formatCode="General">
                  <c:v>6.2</c:v>
                </c:pt>
                <c:pt idx="70" formatCode="General">
                  <c:v>6.2</c:v>
                </c:pt>
                <c:pt idx="71" formatCode="General">
                  <c:v>8</c:v>
                </c:pt>
                <c:pt idx="72" formatCode="General">
                  <c:v>7.4</c:v>
                </c:pt>
                <c:pt idx="73" formatCode="General">
                  <c:v>7.1</c:v>
                </c:pt>
                <c:pt idx="74" formatCode="General">
                  <c:v>7.3</c:v>
                </c:pt>
                <c:pt idx="75" formatCode="General">
                  <c:v>8.5</c:v>
                </c:pt>
                <c:pt idx="76" formatCode="General">
                  <c:v>8.9</c:v>
                </c:pt>
                <c:pt idx="77" formatCode="General">
                  <c:v>9.4</c:v>
                </c:pt>
                <c:pt idx="78" formatCode="General">
                  <c:v>10.1</c:v>
                </c:pt>
                <c:pt idx="79" formatCode="General">
                  <c:v>11.3</c:v>
                </c:pt>
                <c:pt idx="80" formatCode="General">
                  <c:v>12.7</c:v>
                </c:pt>
                <c:pt idx="81" formatCode="General">
                  <c:v>13.1</c:v>
                </c:pt>
                <c:pt idx="82" formatCode="General">
                  <c:v>13.6</c:v>
                </c:pt>
                <c:pt idx="83" formatCode="General">
                  <c:v>13.5</c:v>
                </c:pt>
                <c:pt idx="84" formatCode="General">
                  <c:v>12.9</c:v>
                </c:pt>
                <c:pt idx="85" formatCode="General">
                  <c:v>11.6</c:v>
                </c:pt>
                <c:pt idx="86" formatCode="General">
                  <c:v>10.3</c:v>
                </c:pt>
                <c:pt idx="87" formatCode="General">
                  <c:v>11.9</c:v>
                </c:pt>
                <c:pt idx="88" formatCode="General">
                  <c:v>12.2</c:v>
                </c:pt>
                <c:pt idx="89" formatCode="General">
                  <c:v>11.3</c:v>
                </c:pt>
                <c:pt idx="90" formatCode="General">
                  <c:v>11.6</c:v>
                </c:pt>
                <c:pt idx="91" formatCode="General">
                  <c:v>10.6</c:v>
                </c:pt>
                <c:pt idx="92" formatCode="General">
                  <c:v>10.5</c:v>
                </c:pt>
                <c:pt idx="93" formatCode="General">
                  <c:v>12.3</c:v>
                </c:pt>
                <c:pt idx="94" formatCode="General">
                  <c:v>12.3</c:v>
                </c:pt>
                <c:pt idx="95" formatCode="General">
                  <c:v>13.5</c:v>
                </c:pt>
                <c:pt idx="96" formatCode="General">
                  <c:v>13.5</c:v>
                </c:pt>
                <c:pt idx="97" formatCode="General">
                  <c:v>14.2</c:v>
                </c:pt>
                <c:pt idx="98" formatCode="General">
                  <c:v>13.2</c:v>
                </c:pt>
                <c:pt idx="99" formatCode="General">
                  <c:v>14.5</c:v>
                </c:pt>
                <c:pt idx="100" formatCode="General">
                  <c:v>13.6</c:v>
                </c:pt>
                <c:pt idx="101" formatCode="General">
                  <c:v>13.9</c:v>
                </c:pt>
                <c:pt idx="102" formatCode="General">
                  <c:v>14.8</c:v>
                </c:pt>
                <c:pt idx="103" formatCode="General">
                  <c:v>15.1</c:v>
                </c:pt>
                <c:pt idx="104" formatCode="General">
                  <c:v>15.5</c:v>
                </c:pt>
                <c:pt idx="105" formatCode="General">
                  <c:v>16.2</c:v>
                </c:pt>
                <c:pt idx="106" formatCode="General">
                  <c:v>16.399999999999999</c:v>
                </c:pt>
                <c:pt idx="107" formatCode="General">
                  <c:v>17.5</c:v>
                </c:pt>
                <c:pt idx="108" formatCode="General">
                  <c:v>16.5</c:v>
                </c:pt>
                <c:pt idx="109" formatCode="General">
                  <c:v>17.7</c:v>
                </c:pt>
                <c:pt idx="110" formatCode="General">
                  <c:v>16.7</c:v>
                </c:pt>
                <c:pt idx="111" formatCode="General">
                  <c:v>15.6</c:v>
                </c:pt>
                <c:pt idx="112" formatCode="General">
                  <c:v>15</c:v>
                </c:pt>
                <c:pt idx="113" formatCode="General">
                  <c:v>15.3</c:v>
                </c:pt>
                <c:pt idx="114" formatCode="General">
                  <c:v>15.8</c:v>
                </c:pt>
                <c:pt idx="115" formatCode="General">
                  <c:v>14.9</c:v>
                </c:pt>
                <c:pt idx="116" formatCode="General">
                  <c:v>15.4</c:v>
                </c:pt>
                <c:pt idx="117" formatCode="General">
                  <c:v>14.2</c:v>
                </c:pt>
                <c:pt idx="118" formatCode="General">
                  <c:v>14.1</c:v>
                </c:pt>
                <c:pt idx="119" formatCode="General">
                  <c:v>12.4</c:v>
                </c:pt>
                <c:pt idx="120" formatCode="General">
                  <c:v>11.1</c:v>
                </c:pt>
                <c:pt idx="121" formatCode="General">
                  <c:v>12</c:v>
                </c:pt>
                <c:pt idx="122" formatCode="General">
                  <c:v>11.7</c:v>
                </c:pt>
                <c:pt idx="123" formatCode="General">
                  <c:v>11.9</c:v>
                </c:pt>
                <c:pt idx="124" formatCode="General">
                  <c:v>12.1</c:v>
                </c:pt>
                <c:pt idx="125" formatCode="General">
                  <c:v>11</c:v>
                </c:pt>
                <c:pt idx="126" formatCode="General">
                  <c:v>10.5</c:v>
                </c:pt>
                <c:pt idx="127" formatCode="General">
                  <c:v>9.3000000000000007</c:v>
                </c:pt>
                <c:pt idx="128" formatCode="General">
                  <c:v>9.5</c:v>
                </c:pt>
                <c:pt idx="129" formatCode="General">
                  <c:v>8.9</c:v>
                </c:pt>
                <c:pt idx="130" formatCode="General">
                  <c:v>9.3000000000000007</c:v>
                </c:pt>
                <c:pt idx="131" formatCode="General">
                  <c:v>10.9</c:v>
                </c:pt>
                <c:pt idx="132" formatCode="General">
                  <c:v>10.7</c:v>
                </c:pt>
                <c:pt idx="133" formatCode="General">
                  <c:v>10.6</c:v>
                </c:pt>
                <c:pt idx="134" formatCode="General">
                  <c:v>-1.8</c:v>
                </c:pt>
                <c:pt idx="135" formatCode="General">
                  <c:v>-38.5</c:v>
                </c:pt>
                <c:pt idx="136" formatCode="General">
                  <c:v>-43.3</c:v>
                </c:pt>
                <c:pt idx="137" formatCode="General">
                  <c:v>-35.200000000000003</c:v>
                </c:pt>
                <c:pt idx="138" formatCode="General">
                  <c:v>-26.2</c:v>
                </c:pt>
                <c:pt idx="139" formatCode="General">
                  <c:v>-17.5</c:v>
                </c:pt>
              </c:numCache>
            </c:numRef>
          </c:val>
          <c:smooth val="0"/>
          <c:extLst>
            <c:ext xmlns:c16="http://schemas.microsoft.com/office/drawing/2014/chart" uri="{C3380CC4-5D6E-409C-BE32-E72D297353CC}">
              <c16:uniqueId val="{00000001-6F7B-435C-AD4C-584336DFC170}"/>
            </c:ext>
          </c:extLst>
        </c:ser>
        <c:ser>
          <c:idx val="2"/>
          <c:order val="2"/>
          <c:tx>
            <c:strRef>
              <c:f>'ESI LV'!$E$1</c:f>
              <c:strCache>
                <c:ptCount val="1"/>
                <c:pt idx="0">
                  <c:v>Patērētāji</c:v>
                </c:pt>
              </c:strCache>
            </c:strRef>
          </c:tx>
          <c:spPr>
            <a:ln w="28575" cap="rnd">
              <a:solidFill>
                <a:schemeClr val="accent3"/>
              </a:solidFill>
              <a:round/>
            </a:ln>
            <a:effectLst/>
          </c:spPr>
          <c:marker>
            <c:symbol val="none"/>
          </c:marker>
          <c:cat>
            <c:multiLvlStrRef>
              <c:f>'ESI LV'!$A$26:$B$165</c:f>
              <c:multiLvlStrCache>
                <c:ptCount val="1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pt idx="132">
                    <c:v>I</c:v>
                  </c:pt>
                  <c:pt idx="133">
                    <c:v>II</c:v>
                  </c:pt>
                  <c:pt idx="134">
                    <c:v>III</c:v>
                  </c:pt>
                  <c:pt idx="135">
                    <c:v>IV</c:v>
                  </c:pt>
                  <c:pt idx="136">
                    <c:v>V</c:v>
                  </c:pt>
                  <c:pt idx="137">
                    <c:v>VI</c:v>
                  </c:pt>
                  <c:pt idx="138">
                    <c:v>VII</c:v>
                  </c:pt>
                  <c:pt idx="139">
                    <c:v>VIII</c:v>
                  </c:pt>
                </c:lvl>
                <c:lvl>
                  <c:pt idx="0">
                    <c:v>2009</c:v>
                  </c:pt>
                  <c:pt idx="12">
                    <c:v>2010</c:v>
                  </c:pt>
                  <c:pt idx="24">
                    <c:v>2011</c:v>
                  </c:pt>
                  <c:pt idx="36">
                    <c:v>2012</c:v>
                  </c:pt>
                  <c:pt idx="48">
                    <c:v>2013</c:v>
                  </c:pt>
                  <c:pt idx="60">
                    <c:v>2014</c:v>
                  </c:pt>
                  <c:pt idx="72">
                    <c:v>2015</c:v>
                  </c:pt>
                  <c:pt idx="84">
                    <c:v>2016</c:v>
                  </c:pt>
                  <c:pt idx="96">
                    <c:v>2017</c:v>
                  </c:pt>
                  <c:pt idx="108">
                    <c:v>2018</c:v>
                  </c:pt>
                  <c:pt idx="120">
                    <c:v>2019</c:v>
                  </c:pt>
                  <c:pt idx="132">
                    <c:v>2020</c:v>
                  </c:pt>
                </c:lvl>
              </c:multiLvlStrCache>
            </c:multiLvlStrRef>
          </c:cat>
          <c:val>
            <c:numRef>
              <c:f>'ESI LV'!$E$26:$E$165</c:f>
              <c:numCache>
                <c:formatCode>0.0</c:formatCode>
                <c:ptCount val="140"/>
                <c:pt idx="0">
                  <c:v>-21.4</c:v>
                </c:pt>
                <c:pt idx="1">
                  <c:v>-22.4</c:v>
                </c:pt>
                <c:pt idx="2">
                  <c:v>-23</c:v>
                </c:pt>
                <c:pt idx="3">
                  <c:v>-21.2</c:v>
                </c:pt>
                <c:pt idx="4">
                  <c:v>-19.8</c:v>
                </c:pt>
                <c:pt idx="5">
                  <c:v>-17.7</c:v>
                </c:pt>
                <c:pt idx="6">
                  <c:v>-16.3</c:v>
                </c:pt>
                <c:pt idx="7">
                  <c:v>-15</c:v>
                </c:pt>
                <c:pt idx="8">
                  <c:v>-13.6</c:v>
                </c:pt>
                <c:pt idx="9">
                  <c:v>-12.1</c:v>
                </c:pt>
                <c:pt idx="10">
                  <c:v>-11.6</c:v>
                </c:pt>
                <c:pt idx="11">
                  <c:v>-11.4</c:v>
                </c:pt>
                <c:pt idx="12">
                  <c:v>-11</c:v>
                </c:pt>
                <c:pt idx="13">
                  <c:v>-12.2</c:v>
                </c:pt>
                <c:pt idx="14">
                  <c:v>-12.5</c:v>
                </c:pt>
                <c:pt idx="15">
                  <c:v>-12</c:v>
                </c:pt>
                <c:pt idx="16">
                  <c:v>-14.8</c:v>
                </c:pt>
                <c:pt idx="17">
                  <c:v>-14.8</c:v>
                </c:pt>
                <c:pt idx="18">
                  <c:v>-13.6</c:v>
                </c:pt>
                <c:pt idx="19">
                  <c:v>-12.2</c:v>
                </c:pt>
                <c:pt idx="20">
                  <c:v>-12.9</c:v>
                </c:pt>
                <c:pt idx="21">
                  <c:v>-13.1</c:v>
                </c:pt>
                <c:pt idx="22">
                  <c:v>-11.6</c:v>
                </c:pt>
                <c:pt idx="23">
                  <c:v>-12.7</c:v>
                </c:pt>
                <c:pt idx="24">
                  <c:v>-12.7</c:v>
                </c:pt>
                <c:pt idx="25">
                  <c:v>-12</c:v>
                </c:pt>
                <c:pt idx="26">
                  <c:v>-12.8</c:v>
                </c:pt>
                <c:pt idx="27">
                  <c:v>-14.7</c:v>
                </c:pt>
                <c:pt idx="28">
                  <c:v>-14.3</c:v>
                </c:pt>
                <c:pt idx="29">
                  <c:v>-13.4</c:v>
                </c:pt>
                <c:pt idx="30">
                  <c:v>-13.8</c:v>
                </c:pt>
                <c:pt idx="31">
                  <c:v>-16.899999999999999</c:v>
                </c:pt>
                <c:pt idx="32">
                  <c:v>-18.100000000000001</c:v>
                </c:pt>
                <c:pt idx="33">
                  <c:v>-18.8</c:v>
                </c:pt>
                <c:pt idx="34">
                  <c:v>-18.399999999999999</c:v>
                </c:pt>
                <c:pt idx="35">
                  <c:v>-18.899999999999999</c:v>
                </c:pt>
                <c:pt idx="36">
                  <c:v>-18.5</c:v>
                </c:pt>
                <c:pt idx="37">
                  <c:v>-17.7</c:v>
                </c:pt>
                <c:pt idx="38">
                  <c:v>-16.7</c:v>
                </c:pt>
                <c:pt idx="39">
                  <c:v>-17.899999999999999</c:v>
                </c:pt>
                <c:pt idx="40">
                  <c:v>-17.899999999999999</c:v>
                </c:pt>
                <c:pt idx="41">
                  <c:v>-17.7</c:v>
                </c:pt>
                <c:pt idx="42">
                  <c:v>-18.399999999999999</c:v>
                </c:pt>
                <c:pt idx="43">
                  <c:v>-19.399999999999999</c:v>
                </c:pt>
                <c:pt idx="44">
                  <c:v>-21</c:v>
                </c:pt>
                <c:pt idx="45">
                  <c:v>-20.8</c:v>
                </c:pt>
                <c:pt idx="46">
                  <c:v>-21.3</c:v>
                </c:pt>
                <c:pt idx="47">
                  <c:v>-21.3</c:v>
                </c:pt>
                <c:pt idx="48">
                  <c:v>-19.7</c:v>
                </c:pt>
                <c:pt idx="49">
                  <c:v>-19.5</c:v>
                </c:pt>
                <c:pt idx="50">
                  <c:v>-19.2</c:v>
                </c:pt>
                <c:pt idx="51">
                  <c:v>-18.600000000000001</c:v>
                </c:pt>
                <c:pt idx="52">
                  <c:v>-18.5</c:v>
                </c:pt>
                <c:pt idx="53">
                  <c:v>-17.600000000000001</c:v>
                </c:pt>
                <c:pt idx="54">
                  <c:v>-17</c:v>
                </c:pt>
                <c:pt idx="55">
                  <c:v>-16.100000000000001</c:v>
                </c:pt>
                <c:pt idx="56">
                  <c:v>-14.4</c:v>
                </c:pt>
                <c:pt idx="57">
                  <c:v>-14.2</c:v>
                </c:pt>
                <c:pt idx="58">
                  <c:v>-14.1</c:v>
                </c:pt>
                <c:pt idx="59">
                  <c:v>-13</c:v>
                </c:pt>
                <c:pt idx="60">
                  <c:v>-12.2</c:v>
                </c:pt>
                <c:pt idx="61" formatCode="General">
                  <c:v>-12</c:v>
                </c:pt>
                <c:pt idx="62" formatCode="General">
                  <c:v>-10.7</c:v>
                </c:pt>
                <c:pt idx="63" formatCode="General">
                  <c:v>-10.6</c:v>
                </c:pt>
                <c:pt idx="64" formatCode="General">
                  <c:v>-9.5</c:v>
                </c:pt>
                <c:pt idx="65" formatCode="General">
                  <c:v>-9.4</c:v>
                </c:pt>
                <c:pt idx="66" formatCode="General">
                  <c:v>-9.8000000000000007</c:v>
                </c:pt>
                <c:pt idx="67" formatCode="General">
                  <c:v>-10.7</c:v>
                </c:pt>
                <c:pt idx="68" formatCode="General">
                  <c:v>-11.1</c:v>
                </c:pt>
                <c:pt idx="69" formatCode="General">
                  <c:v>-10.5</c:v>
                </c:pt>
                <c:pt idx="70" formatCode="General">
                  <c:v>-10.9</c:v>
                </c:pt>
                <c:pt idx="71" formatCode="General">
                  <c:v>-10.1</c:v>
                </c:pt>
                <c:pt idx="72" formatCode="General">
                  <c:v>-9.3000000000000007</c:v>
                </c:pt>
                <c:pt idx="73" formatCode="General">
                  <c:v>-7.7</c:v>
                </c:pt>
                <c:pt idx="74" formatCode="General">
                  <c:v>-6.8</c:v>
                </c:pt>
                <c:pt idx="75" formatCode="General">
                  <c:v>-6.8</c:v>
                </c:pt>
                <c:pt idx="76" formatCode="General">
                  <c:v>-7.1</c:v>
                </c:pt>
                <c:pt idx="77" formatCode="General">
                  <c:v>-7.6</c:v>
                </c:pt>
                <c:pt idx="78" formatCode="General">
                  <c:v>-8.5</c:v>
                </c:pt>
                <c:pt idx="79" formatCode="General">
                  <c:v>-7.4</c:v>
                </c:pt>
                <c:pt idx="80" formatCode="General">
                  <c:v>-7.3</c:v>
                </c:pt>
                <c:pt idx="81" formatCode="General">
                  <c:v>-6.7</c:v>
                </c:pt>
                <c:pt idx="82" formatCode="General">
                  <c:v>-6.3</c:v>
                </c:pt>
                <c:pt idx="83" formatCode="General">
                  <c:v>-5.4</c:v>
                </c:pt>
                <c:pt idx="84" formatCode="General">
                  <c:v>-6.2</c:v>
                </c:pt>
                <c:pt idx="85" formatCode="General">
                  <c:v>-7.4</c:v>
                </c:pt>
                <c:pt idx="86" formatCode="General">
                  <c:v>-8.6999999999999993</c:v>
                </c:pt>
                <c:pt idx="87" formatCode="General">
                  <c:v>-8.1999999999999993</c:v>
                </c:pt>
                <c:pt idx="88" formatCode="General">
                  <c:v>-7.9</c:v>
                </c:pt>
                <c:pt idx="89" formatCode="General">
                  <c:v>-7.7</c:v>
                </c:pt>
                <c:pt idx="90" formatCode="General">
                  <c:v>-8</c:v>
                </c:pt>
                <c:pt idx="91" formatCode="General">
                  <c:v>-7.8</c:v>
                </c:pt>
                <c:pt idx="92" formatCode="General">
                  <c:v>-7.5</c:v>
                </c:pt>
                <c:pt idx="93" formatCode="General">
                  <c:v>-6.7</c:v>
                </c:pt>
                <c:pt idx="94" formatCode="General">
                  <c:v>-6.1</c:v>
                </c:pt>
                <c:pt idx="95" formatCode="General">
                  <c:v>-5.8</c:v>
                </c:pt>
                <c:pt idx="96" formatCode="General">
                  <c:v>-6.1</c:v>
                </c:pt>
                <c:pt idx="97" formatCode="General">
                  <c:v>-7.1</c:v>
                </c:pt>
                <c:pt idx="98" formatCode="General">
                  <c:v>-6.6</c:v>
                </c:pt>
                <c:pt idx="99" formatCode="General">
                  <c:v>-6.1</c:v>
                </c:pt>
                <c:pt idx="100" formatCode="General">
                  <c:v>-5.9</c:v>
                </c:pt>
                <c:pt idx="101" formatCode="General">
                  <c:v>-4.8</c:v>
                </c:pt>
                <c:pt idx="102" formatCode="General">
                  <c:v>-4.0999999999999996</c:v>
                </c:pt>
                <c:pt idx="103" formatCode="General">
                  <c:v>-4</c:v>
                </c:pt>
                <c:pt idx="104" formatCode="General">
                  <c:v>-3.4</c:v>
                </c:pt>
                <c:pt idx="105" formatCode="General">
                  <c:v>-3</c:v>
                </c:pt>
                <c:pt idx="106" formatCode="General">
                  <c:v>-2.8</c:v>
                </c:pt>
                <c:pt idx="107" formatCode="General">
                  <c:v>-2.4</c:v>
                </c:pt>
                <c:pt idx="108" formatCode="General">
                  <c:v>-2.6</c:v>
                </c:pt>
                <c:pt idx="109" formatCode="General">
                  <c:v>-3</c:v>
                </c:pt>
                <c:pt idx="110" formatCode="General">
                  <c:v>-3.6</c:v>
                </c:pt>
                <c:pt idx="111" formatCode="General">
                  <c:v>-3.7</c:v>
                </c:pt>
                <c:pt idx="112" formatCode="General">
                  <c:v>-4.0999999999999996</c:v>
                </c:pt>
                <c:pt idx="113" formatCode="General">
                  <c:v>-4.0999999999999996</c:v>
                </c:pt>
                <c:pt idx="114" formatCode="General">
                  <c:v>-3.9</c:v>
                </c:pt>
                <c:pt idx="115" formatCode="General">
                  <c:v>-4.3</c:v>
                </c:pt>
                <c:pt idx="116" formatCode="General">
                  <c:v>-4.7</c:v>
                </c:pt>
                <c:pt idx="117" formatCode="General">
                  <c:v>-4.7</c:v>
                </c:pt>
                <c:pt idx="118" formatCode="General">
                  <c:v>-5.4</c:v>
                </c:pt>
                <c:pt idx="119" formatCode="General">
                  <c:v>-6.9</c:v>
                </c:pt>
                <c:pt idx="120" formatCode="General">
                  <c:v>-6.7</c:v>
                </c:pt>
                <c:pt idx="121" formatCode="General">
                  <c:v>-6.1</c:v>
                </c:pt>
                <c:pt idx="122" formatCode="General">
                  <c:v>-5.8</c:v>
                </c:pt>
                <c:pt idx="123" formatCode="General">
                  <c:v>-6.5</c:v>
                </c:pt>
                <c:pt idx="124" formatCode="General">
                  <c:v>-5.8</c:v>
                </c:pt>
                <c:pt idx="125" formatCode="General">
                  <c:v>-6.2</c:v>
                </c:pt>
                <c:pt idx="126" formatCode="General">
                  <c:v>-5.7</c:v>
                </c:pt>
                <c:pt idx="127" formatCode="General">
                  <c:v>-6.2</c:v>
                </c:pt>
                <c:pt idx="128" formatCode="General">
                  <c:v>-5.7</c:v>
                </c:pt>
                <c:pt idx="129" formatCode="General">
                  <c:v>-6.7</c:v>
                </c:pt>
                <c:pt idx="130" formatCode="General">
                  <c:v>-6.3</c:v>
                </c:pt>
                <c:pt idx="131" formatCode="General">
                  <c:v>-7</c:v>
                </c:pt>
                <c:pt idx="132" formatCode="General">
                  <c:v>-7.1</c:v>
                </c:pt>
                <c:pt idx="133" formatCode="General">
                  <c:v>-5.9</c:v>
                </c:pt>
                <c:pt idx="134" formatCode="General">
                  <c:v>-10.4</c:v>
                </c:pt>
                <c:pt idx="135" formatCode="General">
                  <c:v>-22</c:v>
                </c:pt>
                <c:pt idx="136" formatCode="General">
                  <c:v>-19.5</c:v>
                </c:pt>
                <c:pt idx="137" formatCode="General">
                  <c:v>-15.6</c:v>
                </c:pt>
                <c:pt idx="138" formatCode="General">
                  <c:v>-15.6</c:v>
                </c:pt>
                <c:pt idx="139" formatCode="General">
                  <c:v>-15.5</c:v>
                </c:pt>
              </c:numCache>
            </c:numRef>
          </c:val>
          <c:smooth val="0"/>
          <c:extLst>
            <c:ext xmlns:c16="http://schemas.microsoft.com/office/drawing/2014/chart" uri="{C3380CC4-5D6E-409C-BE32-E72D297353CC}">
              <c16:uniqueId val="{00000002-6F7B-435C-AD4C-584336DFC170}"/>
            </c:ext>
          </c:extLst>
        </c:ser>
        <c:ser>
          <c:idx val="3"/>
          <c:order val="3"/>
          <c:tx>
            <c:strRef>
              <c:f>'ESI LV'!$F$1</c:f>
              <c:strCache>
                <c:ptCount val="1"/>
                <c:pt idx="0">
                  <c:v>Mazumtirdzniecība</c:v>
                </c:pt>
              </c:strCache>
            </c:strRef>
          </c:tx>
          <c:spPr>
            <a:ln w="28575" cap="rnd">
              <a:solidFill>
                <a:srgbClr val="9BBB59"/>
              </a:solidFill>
              <a:round/>
            </a:ln>
            <a:effectLst/>
          </c:spPr>
          <c:marker>
            <c:symbol val="none"/>
          </c:marker>
          <c:cat>
            <c:multiLvlStrRef>
              <c:f>'ESI LV'!$A$26:$B$165</c:f>
              <c:multiLvlStrCache>
                <c:ptCount val="1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pt idx="132">
                    <c:v>I</c:v>
                  </c:pt>
                  <c:pt idx="133">
                    <c:v>II</c:v>
                  </c:pt>
                  <c:pt idx="134">
                    <c:v>III</c:v>
                  </c:pt>
                  <c:pt idx="135">
                    <c:v>IV</c:v>
                  </c:pt>
                  <c:pt idx="136">
                    <c:v>V</c:v>
                  </c:pt>
                  <c:pt idx="137">
                    <c:v>VI</c:v>
                  </c:pt>
                  <c:pt idx="138">
                    <c:v>VII</c:v>
                  </c:pt>
                  <c:pt idx="139">
                    <c:v>VIII</c:v>
                  </c:pt>
                </c:lvl>
                <c:lvl>
                  <c:pt idx="0">
                    <c:v>2009</c:v>
                  </c:pt>
                  <c:pt idx="12">
                    <c:v>2010</c:v>
                  </c:pt>
                  <c:pt idx="24">
                    <c:v>2011</c:v>
                  </c:pt>
                  <c:pt idx="36">
                    <c:v>2012</c:v>
                  </c:pt>
                  <c:pt idx="48">
                    <c:v>2013</c:v>
                  </c:pt>
                  <c:pt idx="60">
                    <c:v>2014</c:v>
                  </c:pt>
                  <c:pt idx="72">
                    <c:v>2015</c:v>
                  </c:pt>
                  <c:pt idx="84">
                    <c:v>2016</c:v>
                  </c:pt>
                  <c:pt idx="96">
                    <c:v>2017</c:v>
                  </c:pt>
                  <c:pt idx="108">
                    <c:v>2018</c:v>
                  </c:pt>
                  <c:pt idx="120">
                    <c:v>2019</c:v>
                  </c:pt>
                  <c:pt idx="132">
                    <c:v>2020</c:v>
                  </c:pt>
                </c:lvl>
              </c:multiLvlStrCache>
            </c:multiLvlStrRef>
          </c:cat>
          <c:val>
            <c:numRef>
              <c:f>'ESI LV'!$F$26:$F$165</c:f>
              <c:numCache>
                <c:formatCode>0.0</c:formatCode>
                <c:ptCount val="140"/>
                <c:pt idx="0">
                  <c:v>-22</c:v>
                </c:pt>
                <c:pt idx="1">
                  <c:v>-22.2</c:v>
                </c:pt>
                <c:pt idx="2">
                  <c:v>-19.899999999999999</c:v>
                </c:pt>
                <c:pt idx="3">
                  <c:v>-22.6</c:v>
                </c:pt>
                <c:pt idx="4">
                  <c:v>-16.399999999999999</c:v>
                </c:pt>
                <c:pt idx="5">
                  <c:v>-17.399999999999999</c:v>
                </c:pt>
                <c:pt idx="6">
                  <c:v>-14.9</c:v>
                </c:pt>
                <c:pt idx="7">
                  <c:v>-12.7</c:v>
                </c:pt>
                <c:pt idx="8">
                  <c:v>-12.8</c:v>
                </c:pt>
                <c:pt idx="9">
                  <c:v>-12.1</c:v>
                </c:pt>
                <c:pt idx="10">
                  <c:v>-9.4</c:v>
                </c:pt>
                <c:pt idx="11">
                  <c:v>-7.9</c:v>
                </c:pt>
                <c:pt idx="12">
                  <c:v>-6.1</c:v>
                </c:pt>
                <c:pt idx="13">
                  <c:v>-7.5</c:v>
                </c:pt>
                <c:pt idx="14">
                  <c:v>-7.7</c:v>
                </c:pt>
                <c:pt idx="15">
                  <c:v>-2</c:v>
                </c:pt>
                <c:pt idx="16">
                  <c:v>-5.0999999999999996</c:v>
                </c:pt>
                <c:pt idx="17">
                  <c:v>-4.5</c:v>
                </c:pt>
                <c:pt idx="18">
                  <c:v>-3.3</c:v>
                </c:pt>
                <c:pt idx="19">
                  <c:v>-3.1</c:v>
                </c:pt>
                <c:pt idx="20">
                  <c:v>-1.5</c:v>
                </c:pt>
                <c:pt idx="21">
                  <c:v>0.3</c:v>
                </c:pt>
                <c:pt idx="22">
                  <c:v>-0.2</c:v>
                </c:pt>
                <c:pt idx="23">
                  <c:v>4.7</c:v>
                </c:pt>
                <c:pt idx="24">
                  <c:v>1.8</c:v>
                </c:pt>
                <c:pt idx="25">
                  <c:v>2</c:v>
                </c:pt>
                <c:pt idx="26">
                  <c:v>0.3</c:v>
                </c:pt>
                <c:pt idx="27">
                  <c:v>0.2</c:v>
                </c:pt>
                <c:pt idx="28">
                  <c:v>-1.6</c:v>
                </c:pt>
                <c:pt idx="29">
                  <c:v>-2.6</c:v>
                </c:pt>
                <c:pt idx="30">
                  <c:v>-3.1</c:v>
                </c:pt>
                <c:pt idx="31">
                  <c:v>-7.5</c:v>
                </c:pt>
                <c:pt idx="32">
                  <c:v>-9.4</c:v>
                </c:pt>
                <c:pt idx="33">
                  <c:v>-10.6</c:v>
                </c:pt>
                <c:pt idx="34">
                  <c:v>-11.8</c:v>
                </c:pt>
                <c:pt idx="35">
                  <c:v>-13</c:v>
                </c:pt>
                <c:pt idx="36">
                  <c:v>-14.8</c:v>
                </c:pt>
                <c:pt idx="37">
                  <c:v>-13</c:v>
                </c:pt>
                <c:pt idx="38">
                  <c:v>-11.5</c:v>
                </c:pt>
                <c:pt idx="39">
                  <c:v>-10.7</c:v>
                </c:pt>
                <c:pt idx="40">
                  <c:v>-16.3</c:v>
                </c:pt>
                <c:pt idx="41">
                  <c:v>-12.8</c:v>
                </c:pt>
                <c:pt idx="42">
                  <c:v>-14.1</c:v>
                </c:pt>
                <c:pt idx="43">
                  <c:v>-15.6</c:v>
                </c:pt>
                <c:pt idx="44">
                  <c:v>-17.3</c:v>
                </c:pt>
                <c:pt idx="45">
                  <c:v>-15.7</c:v>
                </c:pt>
                <c:pt idx="46">
                  <c:v>-13.8</c:v>
                </c:pt>
                <c:pt idx="47">
                  <c:v>-15.6</c:v>
                </c:pt>
                <c:pt idx="48">
                  <c:v>-15.8</c:v>
                </c:pt>
                <c:pt idx="49">
                  <c:v>-15.9</c:v>
                </c:pt>
                <c:pt idx="50">
                  <c:v>-17.3</c:v>
                </c:pt>
                <c:pt idx="51">
                  <c:v>-19.3</c:v>
                </c:pt>
                <c:pt idx="52">
                  <c:v>-16.600000000000001</c:v>
                </c:pt>
                <c:pt idx="53">
                  <c:v>-13.1</c:v>
                </c:pt>
                <c:pt idx="54">
                  <c:v>-12</c:v>
                </c:pt>
                <c:pt idx="55">
                  <c:v>-9.1999999999999993</c:v>
                </c:pt>
                <c:pt idx="56">
                  <c:v>-7.1</c:v>
                </c:pt>
                <c:pt idx="57">
                  <c:v>-6.8</c:v>
                </c:pt>
                <c:pt idx="58" formatCode="General">
                  <c:v>-6.7</c:v>
                </c:pt>
                <c:pt idx="59" formatCode="General">
                  <c:v>-3.5</c:v>
                </c:pt>
                <c:pt idx="60" formatCode="General">
                  <c:v>-3.1</c:v>
                </c:pt>
                <c:pt idx="61">
                  <c:v>-1.7</c:v>
                </c:pt>
                <c:pt idx="62" formatCode="General">
                  <c:v>-0.9</c:v>
                </c:pt>
                <c:pt idx="63" formatCode="General">
                  <c:v>-1.2</c:v>
                </c:pt>
                <c:pt idx="64" formatCode="General">
                  <c:v>-0.7</c:v>
                </c:pt>
                <c:pt idx="65" formatCode="General">
                  <c:v>-0.5</c:v>
                </c:pt>
                <c:pt idx="66" formatCode="General">
                  <c:v>-0.7</c:v>
                </c:pt>
                <c:pt idx="67" formatCode="General">
                  <c:v>-2.6</c:v>
                </c:pt>
                <c:pt idx="68" formatCode="General">
                  <c:v>-4.3</c:v>
                </c:pt>
                <c:pt idx="69" formatCode="General">
                  <c:v>-3.8</c:v>
                </c:pt>
                <c:pt idx="70" formatCode="General">
                  <c:v>-3.8</c:v>
                </c:pt>
                <c:pt idx="71" formatCode="General">
                  <c:v>-2.7</c:v>
                </c:pt>
                <c:pt idx="72" formatCode="General">
                  <c:v>-1.9</c:v>
                </c:pt>
                <c:pt idx="73" formatCode="General">
                  <c:v>-0.6</c:v>
                </c:pt>
                <c:pt idx="74" formatCode="General">
                  <c:v>0.4</c:v>
                </c:pt>
                <c:pt idx="75" formatCode="General">
                  <c:v>1.2</c:v>
                </c:pt>
                <c:pt idx="76" formatCode="General">
                  <c:v>2.4</c:v>
                </c:pt>
                <c:pt idx="77" formatCode="General">
                  <c:v>0.8</c:v>
                </c:pt>
                <c:pt idx="78" formatCode="General">
                  <c:v>2.7</c:v>
                </c:pt>
                <c:pt idx="79" formatCode="General">
                  <c:v>4.5999999999999996</c:v>
                </c:pt>
                <c:pt idx="80" formatCode="General">
                  <c:v>4.7</c:v>
                </c:pt>
                <c:pt idx="81" formatCode="General">
                  <c:v>6.9</c:v>
                </c:pt>
                <c:pt idx="82" formatCode="General">
                  <c:v>6.4</c:v>
                </c:pt>
                <c:pt idx="83" formatCode="General">
                  <c:v>3.6</c:v>
                </c:pt>
                <c:pt idx="84" formatCode="General">
                  <c:v>3.7</c:v>
                </c:pt>
                <c:pt idx="85" formatCode="General">
                  <c:v>2.1</c:v>
                </c:pt>
                <c:pt idx="86" formatCode="General">
                  <c:v>2.1</c:v>
                </c:pt>
                <c:pt idx="87" formatCode="General">
                  <c:v>1.7</c:v>
                </c:pt>
                <c:pt idx="88" formatCode="General">
                  <c:v>3.4</c:v>
                </c:pt>
                <c:pt idx="89" formatCode="General">
                  <c:v>1.6</c:v>
                </c:pt>
                <c:pt idx="90" formatCode="General">
                  <c:v>1.8</c:v>
                </c:pt>
                <c:pt idx="91" formatCode="General">
                  <c:v>-0.3</c:v>
                </c:pt>
                <c:pt idx="92" formatCode="General">
                  <c:v>0.4</c:v>
                </c:pt>
                <c:pt idx="93" formatCode="General">
                  <c:v>0.5</c:v>
                </c:pt>
                <c:pt idx="94" formatCode="General">
                  <c:v>1.6</c:v>
                </c:pt>
                <c:pt idx="95" formatCode="General">
                  <c:v>3.2</c:v>
                </c:pt>
                <c:pt idx="96" formatCode="General">
                  <c:v>2.2000000000000002</c:v>
                </c:pt>
                <c:pt idx="97" formatCode="General">
                  <c:v>1.7</c:v>
                </c:pt>
                <c:pt idx="98" formatCode="General">
                  <c:v>2.1</c:v>
                </c:pt>
                <c:pt idx="99" formatCode="General">
                  <c:v>3.6</c:v>
                </c:pt>
                <c:pt idx="100" formatCode="General">
                  <c:v>1.5</c:v>
                </c:pt>
                <c:pt idx="101" formatCode="General">
                  <c:v>4</c:v>
                </c:pt>
                <c:pt idx="102" formatCode="General">
                  <c:v>4.2</c:v>
                </c:pt>
                <c:pt idx="103" formatCode="General">
                  <c:v>1.8</c:v>
                </c:pt>
                <c:pt idx="104" formatCode="General">
                  <c:v>3.3</c:v>
                </c:pt>
                <c:pt idx="105" formatCode="General">
                  <c:v>5</c:v>
                </c:pt>
                <c:pt idx="106" formatCode="General">
                  <c:v>4.5</c:v>
                </c:pt>
                <c:pt idx="107" formatCode="General">
                  <c:v>6.2</c:v>
                </c:pt>
                <c:pt idx="108" formatCode="General">
                  <c:v>5.7</c:v>
                </c:pt>
                <c:pt idx="109" formatCode="General">
                  <c:v>5.0999999999999996</c:v>
                </c:pt>
                <c:pt idx="110" formatCode="General">
                  <c:v>2.7</c:v>
                </c:pt>
                <c:pt idx="111" formatCode="General">
                  <c:v>1.1000000000000001</c:v>
                </c:pt>
                <c:pt idx="112" formatCode="General">
                  <c:v>2.4</c:v>
                </c:pt>
                <c:pt idx="113" formatCode="General">
                  <c:v>2.6</c:v>
                </c:pt>
                <c:pt idx="114" formatCode="General">
                  <c:v>1.9</c:v>
                </c:pt>
                <c:pt idx="115" formatCode="General">
                  <c:v>3.2</c:v>
                </c:pt>
                <c:pt idx="116" formatCode="General">
                  <c:v>4.3</c:v>
                </c:pt>
                <c:pt idx="117" formatCode="General">
                  <c:v>1</c:v>
                </c:pt>
                <c:pt idx="118" formatCode="General">
                  <c:v>1.3</c:v>
                </c:pt>
                <c:pt idx="119" formatCode="General">
                  <c:v>1.7</c:v>
                </c:pt>
                <c:pt idx="120" formatCode="General">
                  <c:v>-0.4</c:v>
                </c:pt>
                <c:pt idx="121" formatCode="General">
                  <c:v>0.2</c:v>
                </c:pt>
                <c:pt idx="122" formatCode="General">
                  <c:v>1.7</c:v>
                </c:pt>
                <c:pt idx="123" formatCode="General">
                  <c:v>0.3</c:v>
                </c:pt>
                <c:pt idx="124" formatCode="General">
                  <c:v>0.6</c:v>
                </c:pt>
                <c:pt idx="125" formatCode="General">
                  <c:v>1.2</c:v>
                </c:pt>
                <c:pt idx="126" formatCode="General">
                  <c:v>0.6</c:v>
                </c:pt>
                <c:pt idx="127" formatCode="General">
                  <c:v>1.6</c:v>
                </c:pt>
                <c:pt idx="128" formatCode="General">
                  <c:v>1.2</c:v>
                </c:pt>
                <c:pt idx="129" formatCode="General">
                  <c:v>0</c:v>
                </c:pt>
                <c:pt idx="130" formatCode="General">
                  <c:v>0.9</c:v>
                </c:pt>
                <c:pt idx="131" formatCode="General">
                  <c:v>1.8</c:v>
                </c:pt>
                <c:pt idx="132" formatCode="General">
                  <c:v>1.2</c:v>
                </c:pt>
                <c:pt idx="133" formatCode="General">
                  <c:v>1.3</c:v>
                </c:pt>
                <c:pt idx="134" formatCode="General">
                  <c:v>-6.4</c:v>
                </c:pt>
                <c:pt idx="135" formatCode="General">
                  <c:v>-29.1</c:v>
                </c:pt>
                <c:pt idx="136" formatCode="General">
                  <c:v>-28.4</c:v>
                </c:pt>
                <c:pt idx="137" formatCode="General">
                  <c:v>-18.5</c:v>
                </c:pt>
                <c:pt idx="138" formatCode="General">
                  <c:v>-13.7</c:v>
                </c:pt>
                <c:pt idx="139" formatCode="General">
                  <c:v>-9.3000000000000007</c:v>
                </c:pt>
              </c:numCache>
            </c:numRef>
          </c:val>
          <c:smooth val="0"/>
          <c:extLst>
            <c:ext xmlns:c16="http://schemas.microsoft.com/office/drawing/2014/chart" uri="{C3380CC4-5D6E-409C-BE32-E72D297353CC}">
              <c16:uniqueId val="{00000003-6F7B-435C-AD4C-584336DFC170}"/>
            </c:ext>
          </c:extLst>
        </c:ser>
        <c:ser>
          <c:idx val="4"/>
          <c:order val="4"/>
          <c:tx>
            <c:strRef>
              <c:f>'ESI LV'!$G$1</c:f>
              <c:strCache>
                <c:ptCount val="1"/>
                <c:pt idx="0">
                  <c:v>Būvniecība</c:v>
                </c:pt>
              </c:strCache>
            </c:strRef>
          </c:tx>
          <c:spPr>
            <a:ln w="28575" cap="rnd">
              <a:solidFill>
                <a:schemeClr val="accent5"/>
              </a:solidFill>
              <a:round/>
            </a:ln>
            <a:effectLst/>
          </c:spPr>
          <c:marker>
            <c:symbol val="none"/>
          </c:marker>
          <c:cat>
            <c:multiLvlStrRef>
              <c:f>'ESI LV'!$A$26:$B$165</c:f>
              <c:multiLvlStrCache>
                <c:ptCount val="1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pt idx="132">
                    <c:v>I</c:v>
                  </c:pt>
                  <c:pt idx="133">
                    <c:v>II</c:v>
                  </c:pt>
                  <c:pt idx="134">
                    <c:v>III</c:v>
                  </c:pt>
                  <c:pt idx="135">
                    <c:v>IV</c:v>
                  </c:pt>
                  <c:pt idx="136">
                    <c:v>V</c:v>
                  </c:pt>
                  <c:pt idx="137">
                    <c:v>VI</c:v>
                  </c:pt>
                  <c:pt idx="138">
                    <c:v>VII</c:v>
                  </c:pt>
                  <c:pt idx="139">
                    <c:v>VIII</c:v>
                  </c:pt>
                </c:lvl>
                <c:lvl>
                  <c:pt idx="0">
                    <c:v>2009</c:v>
                  </c:pt>
                  <c:pt idx="12">
                    <c:v>2010</c:v>
                  </c:pt>
                  <c:pt idx="24">
                    <c:v>2011</c:v>
                  </c:pt>
                  <c:pt idx="36">
                    <c:v>2012</c:v>
                  </c:pt>
                  <c:pt idx="48">
                    <c:v>2013</c:v>
                  </c:pt>
                  <c:pt idx="60">
                    <c:v>2014</c:v>
                  </c:pt>
                  <c:pt idx="72">
                    <c:v>2015</c:v>
                  </c:pt>
                  <c:pt idx="84">
                    <c:v>2016</c:v>
                  </c:pt>
                  <c:pt idx="96">
                    <c:v>2017</c:v>
                  </c:pt>
                  <c:pt idx="108">
                    <c:v>2018</c:v>
                  </c:pt>
                  <c:pt idx="120">
                    <c:v>2019</c:v>
                  </c:pt>
                  <c:pt idx="132">
                    <c:v>2020</c:v>
                  </c:pt>
                </c:lvl>
              </c:multiLvlStrCache>
            </c:multiLvlStrRef>
          </c:cat>
          <c:val>
            <c:numRef>
              <c:f>'ESI LV'!$G$26:$G$165</c:f>
              <c:numCache>
                <c:formatCode>0.0</c:formatCode>
                <c:ptCount val="140"/>
                <c:pt idx="0">
                  <c:v>-30.9</c:v>
                </c:pt>
                <c:pt idx="1">
                  <c:v>-32.200000000000003</c:v>
                </c:pt>
                <c:pt idx="2">
                  <c:v>-34.200000000000003</c:v>
                </c:pt>
                <c:pt idx="3">
                  <c:v>-37.200000000000003</c:v>
                </c:pt>
                <c:pt idx="4">
                  <c:v>-36.799999999999997</c:v>
                </c:pt>
                <c:pt idx="5">
                  <c:v>-37.299999999999997</c:v>
                </c:pt>
                <c:pt idx="6">
                  <c:v>-37.4</c:v>
                </c:pt>
                <c:pt idx="7">
                  <c:v>-34.700000000000003</c:v>
                </c:pt>
                <c:pt idx="8">
                  <c:v>-34.200000000000003</c:v>
                </c:pt>
                <c:pt idx="9">
                  <c:v>-33.700000000000003</c:v>
                </c:pt>
                <c:pt idx="10">
                  <c:v>-32.299999999999997</c:v>
                </c:pt>
                <c:pt idx="11">
                  <c:v>-33</c:v>
                </c:pt>
                <c:pt idx="12">
                  <c:v>-31.8</c:v>
                </c:pt>
                <c:pt idx="13">
                  <c:v>-32.799999999999997</c:v>
                </c:pt>
                <c:pt idx="14">
                  <c:v>-28.9</c:v>
                </c:pt>
                <c:pt idx="15">
                  <c:v>-27.2</c:v>
                </c:pt>
                <c:pt idx="16">
                  <c:v>-28.9</c:v>
                </c:pt>
                <c:pt idx="17">
                  <c:v>-29.3</c:v>
                </c:pt>
                <c:pt idx="18">
                  <c:v>-28.5</c:v>
                </c:pt>
                <c:pt idx="19">
                  <c:v>-26.9</c:v>
                </c:pt>
                <c:pt idx="20">
                  <c:v>-25.1</c:v>
                </c:pt>
                <c:pt idx="21">
                  <c:v>-24.3</c:v>
                </c:pt>
                <c:pt idx="22">
                  <c:v>-23.5</c:v>
                </c:pt>
                <c:pt idx="23">
                  <c:v>-24.5</c:v>
                </c:pt>
                <c:pt idx="24">
                  <c:v>-22.4</c:v>
                </c:pt>
                <c:pt idx="25">
                  <c:v>-19.8</c:v>
                </c:pt>
                <c:pt idx="26">
                  <c:v>-21.2</c:v>
                </c:pt>
                <c:pt idx="27">
                  <c:v>-20.3</c:v>
                </c:pt>
                <c:pt idx="28">
                  <c:v>-19.2</c:v>
                </c:pt>
                <c:pt idx="29">
                  <c:v>-19.3</c:v>
                </c:pt>
                <c:pt idx="30">
                  <c:v>-19.899999999999999</c:v>
                </c:pt>
                <c:pt idx="31">
                  <c:v>-19.5</c:v>
                </c:pt>
                <c:pt idx="32">
                  <c:v>-22.5</c:v>
                </c:pt>
                <c:pt idx="33">
                  <c:v>-21.9</c:v>
                </c:pt>
                <c:pt idx="34">
                  <c:v>-21.2</c:v>
                </c:pt>
                <c:pt idx="35">
                  <c:v>-23.6</c:v>
                </c:pt>
                <c:pt idx="36">
                  <c:v>-22.4</c:v>
                </c:pt>
                <c:pt idx="37">
                  <c:v>-20.8</c:v>
                </c:pt>
                <c:pt idx="38">
                  <c:v>-21.9</c:v>
                </c:pt>
                <c:pt idx="39">
                  <c:v>-22.4</c:v>
                </c:pt>
                <c:pt idx="40">
                  <c:v>-24.8</c:v>
                </c:pt>
                <c:pt idx="41">
                  <c:v>-24.5</c:v>
                </c:pt>
                <c:pt idx="42">
                  <c:v>-25.1</c:v>
                </c:pt>
                <c:pt idx="43">
                  <c:v>-27.6</c:v>
                </c:pt>
                <c:pt idx="44">
                  <c:v>-27.5</c:v>
                </c:pt>
                <c:pt idx="45">
                  <c:v>-28.7</c:v>
                </c:pt>
                <c:pt idx="46">
                  <c:v>-30.2</c:v>
                </c:pt>
                <c:pt idx="47">
                  <c:v>-29.9</c:v>
                </c:pt>
                <c:pt idx="48">
                  <c:v>-27</c:v>
                </c:pt>
                <c:pt idx="49">
                  <c:v>-27</c:v>
                </c:pt>
                <c:pt idx="50">
                  <c:v>-28.2</c:v>
                </c:pt>
                <c:pt idx="51">
                  <c:v>-29.2</c:v>
                </c:pt>
                <c:pt idx="52">
                  <c:v>-29.4</c:v>
                </c:pt>
                <c:pt idx="53">
                  <c:v>-28.6</c:v>
                </c:pt>
                <c:pt idx="54">
                  <c:v>-28.8</c:v>
                </c:pt>
                <c:pt idx="55">
                  <c:v>-28.5</c:v>
                </c:pt>
                <c:pt idx="56">
                  <c:v>-25.6</c:v>
                </c:pt>
                <c:pt idx="57">
                  <c:v>-25.5</c:v>
                </c:pt>
                <c:pt idx="58" formatCode="General">
                  <c:v>-26.5</c:v>
                </c:pt>
                <c:pt idx="59" formatCode="General">
                  <c:v>-23.8</c:v>
                </c:pt>
                <c:pt idx="60" formatCode="General">
                  <c:v>-25.6</c:v>
                </c:pt>
                <c:pt idx="61" formatCode="General">
                  <c:v>-24.5</c:v>
                </c:pt>
                <c:pt idx="62" formatCode="General">
                  <c:v>-25.1</c:v>
                </c:pt>
                <c:pt idx="63" formatCode="General">
                  <c:v>-26.4</c:v>
                </c:pt>
                <c:pt idx="64" formatCode="General">
                  <c:v>-26</c:v>
                </c:pt>
                <c:pt idx="65" formatCode="General">
                  <c:v>-26.5</c:v>
                </c:pt>
                <c:pt idx="66" formatCode="General">
                  <c:v>-24.7</c:v>
                </c:pt>
                <c:pt idx="67" formatCode="General">
                  <c:v>-25.1</c:v>
                </c:pt>
                <c:pt idx="68" formatCode="General">
                  <c:v>-24.4</c:v>
                </c:pt>
                <c:pt idx="69" formatCode="General">
                  <c:v>-22.3</c:v>
                </c:pt>
                <c:pt idx="70" formatCode="General">
                  <c:v>-22.8</c:v>
                </c:pt>
                <c:pt idx="71" formatCode="General">
                  <c:v>-22.3</c:v>
                </c:pt>
                <c:pt idx="72" formatCode="General">
                  <c:v>-23.4</c:v>
                </c:pt>
                <c:pt idx="73" formatCode="General">
                  <c:v>-23.3</c:v>
                </c:pt>
                <c:pt idx="74" formatCode="General">
                  <c:v>-23</c:v>
                </c:pt>
                <c:pt idx="75" formatCode="General">
                  <c:v>-23.6</c:v>
                </c:pt>
                <c:pt idx="76" formatCode="General">
                  <c:v>-23.2</c:v>
                </c:pt>
                <c:pt idx="77" formatCode="General">
                  <c:v>-22.1</c:v>
                </c:pt>
                <c:pt idx="78" formatCode="General">
                  <c:v>-21.2</c:v>
                </c:pt>
                <c:pt idx="79" formatCode="General">
                  <c:v>-20.6</c:v>
                </c:pt>
                <c:pt idx="80" formatCode="General">
                  <c:v>-20.399999999999999</c:v>
                </c:pt>
                <c:pt idx="81" formatCode="General">
                  <c:v>-17.8</c:v>
                </c:pt>
                <c:pt idx="82" formatCode="General">
                  <c:v>-15.3</c:v>
                </c:pt>
                <c:pt idx="83" formatCode="General">
                  <c:v>-15.2</c:v>
                </c:pt>
                <c:pt idx="84" formatCode="General">
                  <c:v>-16.600000000000001</c:v>
                </c:pt>
                <c:pt idx="85" formatCode="General">
                  <c:v>-15.3</c:v>
                </c:pt>
                <c:pt idx="86" formatCode="General">
                  <c:v>-17.3</c:v>
                </c:pt>
                <c:pt idx="87" formatCode="General">
                  <c:v>-16.5</c:v>
                </c:pt>
                <c:pt idx="88" formatCode="General">
                  <c:v>-15.5</c:v>
                </c:pt>
                <c:pt idx="89" formatCode="General">
                  <c:v>-15.8</c:v>
                </c:pt>
                <c:pt idx="90" formatCode="General">
                  <c:v>-14.1</c:v>
                </c:pt>
                <c:pt idx="91" formatCode="General">
                  <c:v>-13.8</c:v>
                </c:pt>
                <c:pt idx="92" formatCode="General">
                  <c:v>-13.2</c:v>
                </c:pt>
                <c:pt idx="93" formatCode="General">
                  <c:v>-12</c:v>
                </c:pt>
                <c:pt idx="94" formatCode="General">
                  <c:v>-10.7</c:v>
                </c:pt>
                <c:pt idx="95" formatCode="General">
                  <c:v>-9.9</c:v>
                </c:pt>
                <c:pt idx="96" formatCode="General">
                  <c:v>-10</c:v>
                </c:pt>
                <c:pt idx="97" formatCode="General">
                  <c:v>-7.9</c:v>
                </c:pt>
                <c:pt idx="98" formatCode="General">
                  <c:v>-7.5</c:v>
                </c:pt>
                <c:pt idx="99" formatCode="General">
                  <c:v>-4.5999999999999996</c:v>
                </c:pt>
                <c:pt idx="100" formatCode="General">
                  <c:v>-3.9</c:v>
                </c:pt>
                <c:pt idx="101" formatCode="General">
                  <c:v>-2.2999999999999998</c:v>
                </c:pt>
                <c:pt idx="102" formatCode="General">
                  <c:v>-1.1000000000000001</c:v>
                </c:pt>
                <c:pt idx="103" formatCode="General">
                  <c:v>-1.6</c:v>
                </c:pt>
                <c:pt idx="104" formatCode="General">
                  <c:v>-0.3</c:v>
                </c:pt>
                <c:pt idx="105" formatCode="General">
                  <c:v>1.1000000000000001</c:v>
                </c:pt>
                <c:pt idx="106" formatCode="General">
                  <c:v>2.5</c:v>
                </c:pt>
                <c:pt idx="107" formatCode="General">
                  <c:v>3.8</c:v>
                </c:pt>
                <c:pt idx="108" formatCode="General">
                  <c:v>5.2</c:v>
                </c:pt>
                <c:pt idx="109" formatCode="General">
                  <c:v>4.8</c:v>
                </c:pt>
                <c:pt idx="110" formatCode="General">
                  <c:v>5.4</c:v>
                </c:pt>
                <c:pt idx="111" formatCode="General">
                  <c:v>5</c:v>
                </c:pt>
                <c:pt idx="112" formatCode="General">
                  <c:v>6.6</c:v>
                </c:pt>
                <c:pt idx="113" formatCode="General">
                  <c:v>5.6</c:v>
                </c:pt>
                <c:pt idx="114" formatCode="General">
                  <c:v>5.7</c:v>
                </c:pt>
                <c:pt idx="115" formatCode="General">
                  <c:v>6.6</c:v>
                </c:pt>
                <c:pt idx="116" formatCode="General">
                  <c:v>7.9</c:v>
                </c:pt>
                <c:pt idx="117" formatCode="General">
                  <c:v>7.6</c:v>
                </c:pt>
                <c:pt idx="118" formatCode="General">
                  <c:v>7.8</c:v>
                </c:pt>
                <c:pt idx="119" formatCode="General">
                  <c:v>7.3</c:v>
                </c:pt>
                <c:pt idx="120" formatCode="General">
                  <c:v>7.8</c:v>
                </c:pt>
                <c:pt idx="121" formatCode="General">
                  <c:v>7</c:v>
                </c:pt>
                <c:pt idx="122" formatCode="General">
                  <c:v>7.1</c:v>
                </c:pt>
                <c:pt idx="123" formatCode="General">
                  <c:v>6</c:v>
                </c:pt>
                <c:pt idx="124" formatCode="General">
                  <c:v>4.3</c:v>
                </c:pt>
                <c:pt idx="125" formatCode="General">
                  <c:v>6.8</c:v>
                </c:pt>
                <c:pt idx="126" formatCode="General">
                  <c:v>4.3</c:v>
                </c:pt>
                <c:pt idx="127" formatCode="General">
                  <c:v>3.7</c:v>
                </c:pt>
                <c:pt idx="128" formatCode="General">
                  <c:v>3</c:v>
                </c:pt>
                <c:pt idx="129" formatCode="General">
                  <c:v>4.3</c:v>
                </c:pt>
                <c:pt idx="130" formatCode="General">
                  <c:v>2.9</c:v>
                </c:pt>
                <c:pt idx="131" formatCode="General">
                  <c:v>3.9</c:v>
                </c:pt>
                <c:pt idx="132" formatCode="General">
                  <c:v>4.5999999999999996</c:v>
                </c:pt>
                <c:pt idx="133" formatCode="General">
                  <c:v>3.6</c:v>
                </c:pt>
                <c:pt idx="134" formatCode="General">
                  <c:v>-1.9</c:v>
                </c:pt>
                <c:pt idx="135" formatCode="General">
                  <c:v>-18.5</c:v>
                </c:pt>
                <c:pt idx="136" formatCode="General">
                  <c:v>-19.7</c:v>
                </c:pt>
                <c:pt idx="137" formatCode="General">
                  <c:v>-13.7</c:v>
                </c:pt>
                <c:pt idx="138" formatCode="General">
                  <c:v>-13.3</c:v>
                </c:pt>
                <c:pt idx="139" formatCode="General">
                  <c:v>-13.5</c:v>
                </c:pt>
              </c:numCache>
            </c:numRef>
          </c:val>
          <c:smooth val="0"/>
          <c:extLst>
            <c:ext xmlns:c16="http://schemas.microsoft.com/office/drawing/2014/chart" uri="{C3380CC4-5D6E-409C-BE32-E72D297353CC}">
              <c16:uniqueId val="{00000004-6F7B-435C-AD4C-584336DFC170}"/>
            </c:ext>
          </c:extLst>
        </c:ser>
        <c:dLbls>
          <c:showLegendKey val="0"/>
          <c:showVal val="0"/>
          <c:showCatName val="0"/>
          <c:showSerName val="0"/>
          <c:showPercent val="0"/>
          <c:showBubbleSize val="0"/>
        </c:dLbls>
        <c:marker val="1"/>
        <c:smooth val="0"/>
        <c:axId val="213670504"/>
        <c:axId val="213670896"/>
      </c:lineChart>
      <c:lineChart>
        <c:grouping val="standard"/>
        <c:varyColors val="0"/>
        <c:ser>
          <c:idx val="5"/>
          <c:order val="5"/>
          <c:tx>
            <c:strRef>
              <c:f>'ESI LV'!$H$1</c:f>
              <c:strCache>
                <c:ptCount val="1"/>
                <c:pt idx="0">
                  <c:v>ESI kopā (labā ass)</c:v>
                </c:pt>
              </c:strCache>
            </c:strRef>
          </c:tx>
          <c:spPr>
            <a:ln w="28575" cap="rnd">
              <a:solidFill>
                <a:srgbClr val="C00000"/>
              </a:solidFill>
              <a:round/>
            </a:ln>
            <a:effectLst/>
          </c:spPr>
          <c:marker>
            <c:symbol val="none"/>
          </c:marker>
          <c:cat>
            <c:multiLvlStrRef>
              <c:f>'ESI LV'!$A$26:$B$165</c:f>
              <c:multiLvlStrCache>
                <c:ptCount val="1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pt idx="132">
                    <c:v>I</c:v>
                  </c:pt>
                  <c:pt idx="133">
                    <c:v>II</c:v>
                  </c:pt>
                  <c:pt idx="134">
                    <c:v>III</c:v>
                  </c:pt>
                  <c:pt idx="135">
                    <c:v>IV</c:v>
                  </c:pt>
                  <c:pt idx="136">
                    <c:v>V</c:v>
                  </c:pt>
                  <c:pt idx="137">
                    <c:v>VI</c:v>
                  </c:pt>
                  <c:pt idx="138">
                    <c:v>VII</c:v>
                  </c:pt>
                  <c:pt idx="139">
                    <c:v>VIII</c:v>
                  </c:pt>
                </c:lvl>
                <c:lvl>
                  <c:pt idx="0">
                    <c:v>2009</c:v>
                  </c:pt>
                  <c:pt idx="12">
                    <c:v>2010</c:v>
                  </c:pt>
                  <c:pt idx="24">
                    <c:v>2011</c:v>
                  </c:pt>
                  <c:pt idx="36">
                    <c:v>2012</c:v>
                  </c:pt>
                  <c:pt idx="48">
                    <c:v>2013</c:v>
                  </c:pt>
                  <c:pt idx="60">
                    <c:v>2014</c:v>
                  </c:pt>
                  <c:pt idx="72">
                    <c:v>2015</c:v>
                  </c:pt>
                  <c:pt idx="84">
                    <c:v>2016</c:v>
                  </c:pt>
                  <c:pt idx="96">
                    <c:v>2017</c:v>
                  </c:pt>
                  <c:pt idx="108">
                    <c:v>2018</c:v>
                  </c:pt>
                  <c:pt idx="120">
                    <c:v>2019</c:v>
                  </c:pt>
                  <c:pt idx="132">
                    <c:v>2020</c:v>
                  </c:pt>
                </c:lvl>
              </c:multiLvlStrCache>
            </c:multiLvlStrRef>
          </c:cat>
          <c:val>
            <c:numRef>
              <c:f>'ESI LV'!$H$26:$H$165</c:f>
              <c:numCache>
                <c:formatCode>0.0</c:formatCode>
                <c:ptCount val="140"/>
                <c:pt idx="0">
                  <c:v>69.5</c:v>
                </c:pt>
                <c:pt idx="1">
                  <c:v>67</c:v>
                </c:pt>
                <c:pt idx="2">
                  <c:v>65.2</c:v>
                </c:pt>
                <c:pt idx="3">
                  <c:v>66.8</c:v>
                </c:pt>
                <c:pt idx="4">
                  <c:v>70.2</c:v>
                </c:pt>
                <c:pt idx="5">
                  <c:v>73</c:v>
                </c:pt>
                <c:pt idx="6">
                  <c:v>76</c:v>
                </c:pt>
                <c:pt idx="7">
                  <c:v>80.400000000000006</c:v>
                </c:pt>
                <c:pt idx="8">
                  <c:v>83.1</c:v>
                </c:pt>
                <c:pt idx="9">
                  <c:v>85.9</c:v>
                </c:pt>
                <c:pt idx="10">
                  <c:v>88.5</c:v>
                </c:pt>
                <c:pt idx="11">
                  <c:v>91.1</c:v>
                </c:pt>
                <c:pt idx="12">
                  <c:v>93.2</c:v>
                </c:pt>
                <c:pt idx="13">
                  <c:v>94.4</c:v>
                </c:pt>
                <c:pt idx="14">
                  <c:v>96.5</c:v>
                </c:pt>
                <c:pt idx="15">
                  <c:v>99.3</c:v>
                </c:pt>
                <c:pt idx="16">
                  <c:v>97.5</c:v>
                </c:pt>
                <c:pt idx="17">
                  <c:v>98.1</c:v>
                </c:pt>
                <c:pt idx="18">
                  <c:v>99.9</c:v>
                </c:pt>
                <c:pt idx="19">
                  <c:v>100.5</c:v>
                </c:pt>
                <c:pt idx="20">
                  <c:v>101.2</c:v>
                </c:pt>
                <c:pt idx="21">
                  <c:v>102</c:v>
                </c:pt>
                <c:pt idx="22">
                  <c:v>104</c:v>
                </c:pt>
                <c:pt idx="23">
                  <c:v>105.2</c:v>
                </c:pt>
                <c:pt idx="24">
                  <c:v>105.7</c:v>
                </c:pt>
                <c:pt idx="25">
                  <c:v>107.1</c:v>
                </c:pt>
                <c:pt idx="26">
                  <c:v>106.3</c:v>
                </c:pt>
                <c:pt idx="27">
                  <c:v>104.5</c:v>
                </c:pt>
                <c:pt idx="28">
                  <c:v>103.2</c:v>
                </c:pt>
                <c:pt idx="29">
                  <c:v>103</c:v>
                </c:pt>
                <c:pt idx="30">
                  <c:v>100.6</c:v>
                </c:pt>
                <c:pt idx="31">
                  <c:v>96.7</c:v>
                </c:pt>
                <c:pt idx="32">
                  <c:v>93.4</c:v>
                </c:pt>
                <c:pt idx="33">
                  <c:v>92.8</c:v>
                </c:pt>
                <c:pt idx="34">
                  <c:v>92.6</c:v>
                </c:pt>
                <c:pt idx="35">
                  <c:v>91.4</c:v>
                </c:pt>
                <c:pt idx="36">
                  <c:v>91.4</c:v>
                </c:pt>
                <c:pt idx="37">
                  <c:v>92.8</c:v>
                </c:pt>
                <c:pt idx="38">
                  <c:v>93.1</c:v>
                </c:pt>
                <c:pt idx="39">
                  <c:v>91.7</c:v>
                </c:pt>
                <c:pt idx="40">
                  <c:v>89</c:v>
                </c:pt>
                <c:pt idx="41">
                  <c:v>88.8</c:v>
                </c:pt>
                <c:pt idx="42">
                  <c:v>86.8</c:v>
                </c:pt>
                <c:pt idx="43">
                  <c:v>85.4</c:v>
                </c:pt>
                <c:pt idx="44">
                  <c:v>83.9</c:v>
                </c:pt>
                <c:pt idx="45">
                  <c:v>83.1</c:v>
                </c:pt>
                <c:pt idx="46">
                  <c:v>84.3</c:v>
                </c:pt>
                <c:pt idx="47">
                  <c:v>85.6</c:v>
                </c:pt>
                <c:pt idx="48">
                  <c:v>86.9</c:v>
                </c:pt>
                <c:pt idx="49">
                  <c:v>87.7</c:v>
                </c:pt>
                <c:pt idx="50">
                  <c:v>87.7</c:v>
                </c:pt>
                <c:pt idx="51">
                  <c:v>85.9</c:v>
                </c:pt>
                <c:pt idx="52">
                  <c:v>86.8</c:v>
                </c:pt>
                <c:pt idx="53">
                  <c:v>88.3</c:v>
                </c:pt>
                <c:pt idx="54">
                  <c:v>89.5</c:v>
                </c:pt>
                <c:pt idx="55">
                  <c:v>91.6</c:v>
                </c:pt>
                <c:pt idx="56">
                  <c:v>94.5</c:v>
                </c:pt>
                <c:pt idx="57">
                  <c:v>95.3</c:v>
                </c:pt>
                <c:pt idx="58" formatCode="General">
                  <c:v>96.7</c:v>
                </c:pt>
                <c:pt idx="59" formatCode="General">
                  <c:v>98.2</c:v>
                </c:pt>
                <c:pt idx="60" formatCode="General">
                  <c:v>99.1</c:v>
                </c:pt>
                <c:pt idx="61" formatCode="General">
                  <c:v>99.2</c:v>
                </c:pt>
                <c:pt idx="62" formatCode="General">
                  <c:v>100.4</c:v>
                </c:pt>
                <c:pt idx="63" formatCode="General">
                  <c:v>100.1</c:v>
                </c:pt>
                <c:pt idx="64" formatCode="General">
                  <c:v>100.3</c:v>
                </c:pt>
                <c:pt idx="65" formatCode="General">
                  <c:v>100.1</c:v>
                </c:pt>
                <c:pt idx="66" formatCode="General">
                  <c:v>100.2</c:v>
                </c:pt>
                <c:pt idx="67" formatCode="General">
                  <c:v>99.3</c:v>
                </c:pt>
                <c:pt idx="68" formatCode="General">
                  <c:v>98.5</c:v>
                </c:pt>
                <c:pt idx="69" formatCode="General">
                  <c:v>99.3</c:v>
                </c:pt>
                <c:pt idx="70" formatCode="General">
                  <c:v>99.2</c:v>
                </c:pt>
                <c:pt idx="71" formatCode="General">
                  <c:v>99.4</c:v>
                </c:pt>
                <c:pt idx="72" formatCode="General">
                  <c:v>99.8</c:v>
                </c:pt>
                <c:pt idx="73" formatCode="General">
                  <c:v>100.7</c:v>
                </c:pt>
                <c:pt idx="74" formatCode="General">
                  <c:v>101.7</c:v>
                </c:pt>
                <c:pt idx="75" formatCode="General">
                  <c:v>102</c:v>
                </c:pt>
                <c:pt idx="76" formatCode="General">
                  <c:v>102.3</c:v>
                </c:pt>
                <c:pt idx="77" formatCode="General">
                  <c:v>102.3</c:v>
                </c:pt>
                <c:pt idx="78" formatCode="General">
                  <c:v>102.8</c:v>
                </c:pt>
                <c:pt idx="79" formatCode="General">
                  <c:v>103.2</c:v>
                </c:pt>
                <c:pt idx="80" formatCode="General">
                  <c:v>104.4</c:v>
                </c:pt>
                <c:pt idx="81" formatCode="General">
                  <c:v>105.2</c:v>
                </c:pt>
                <c:pt idx="82" formatCode="General">
                  <c:v>105.2</c:v>
                </c:pt>
                <c:pt idx="83" formatCode="General">
                  <c:v>105.7</c:v>
                </c:pt>
                <c:pt idx="84" formatCode="General">
                  <c:v>104.9</c:v>
                </c:pt>
                <c:pt idx="85" formatCode="General">
                  <c:v>103.5</c:v>
                </c:pt>
                <c:pt idx="86" formatCode="General">
                  <c:v>102.3</c:v>
                </c:pt>
                <c:pt idx="87" formatCode="General">
                  <c:v>103.2</c:v>
                </c:pt>
                <c:pt idx="88" formatCode="General">
                  <c:v>103.5</c:v>
                </c:pt>
                <c:pt idx="89" formatCode="General">
                  <c:v>103.6</c:v>
                </c:pt>
                <c:pt idx="90" formatCode="General">
                  <c:v>103.7</c:v>
                </c:pt>
                <c:pt idx="91" formatCode="General">
                  <c:v>103</c:v>
                </c:pt>
                <c:pt idx="92" formatCode="General">
                  <c:v>103.8</c:v>
                </c:pt>
                <c:pt idx="93" formatCode="General">
                  <c:v>105.4</c:v>
                </c:pt>
                <c:pt idx="94" formatCode="General">
                  <c:v>105.7</c:v>
                </c:pt>
                <c:pt idx="95" formatCode="General">
                  <c:v>107.2</c:v>
                </c:pt>
                <c:pt idx="96" formatCode="General">
                  <c:v>107.2</c:v>
                </c:pt>
                <c:pt idx="97" formatCode="General">
                  <c:v>107.2</c:v>
                </c:pt>
                <c:pt idx="98" formatCode="General">
                  <c:v>106.9</c:v>
                </c:pt>
                <c:pt idx="99" formatCode="General">
                  <c:v>108.4</c:v>
                </c:pt>
                <c:pt idx="100" formatCode="General">
                  <c:v>108.5</c:v>
                </c:pt>
                <c:pt idx="101" formatCode="General">
                  <c:v>110.1</c:v>
                </c:pt>
                <c:pt idx="102" formatCode="General">
                  <c:v>111.3</c:v>
                </c:pt>
                <c:pt idx="103" formatCode="General">
                  <c:v>111.2</c:v>
                </c:pt>
                <c:pt idx="104" formatCode="General">
                  <c:v>112.3</c:v>
                </c:pt>
                <c:pt idx="105" formatCode="General">
                  <c:v>113.4</c:v>
                </c:pt>
                <c:pt idx="106" formatCode="General">
                  <c:v>113.8</c:v>
                </c:pt>
                <c:pt idx="107" formatCode="General">
                  <c:v>114.7</c:v>
                </c:pt>
                <c:pt idx="108" formatCode="General">
                  <c:v>114.2</c:v>
                </c:pt>
                <c:pt idx="109" formatCode="General">
                  <c:v>114.1</c:v>
                </c:pt>
                <c:pt idx="110" formatCode="General">
                  <c:v>112.4</c:v>
                </c:pt>
                <c:pt idx="111" formatCode="General">
                  <c:v>112.5</c:v>
                </c:pt>
                <c:pt idx="112" formatCode="General">
                  <c:v>111.9</c:v>
                </c:pt>
                <c:pt idx="113" formatCode="General">
                  <c:v>112.2</c:v>
                </c:pt>
                <c:pt idx="114" formatCode="General">
                  <c:v>111.6</c:v>
                </c:pt>
                <c:pt idx="115" formatCode="General">
                  <c:v>111.3</c:v>
                </c:pt>
                <c:pt idx="116" formatCode="General">
                  <c:v>110.7</c:v>
                </c:pt>
                <c:pt idx="117" formatCode="General">
                  <c:v>109.8</c:v>
                </c:pt>
                <c:pt idx="118" formatCode="General">
                  <c:v>109.5</c:v>
                </c:pt>
                <c:pt idx="119" formatCode="General">
                  <c:v>107.8</c:v>
                </c:pt>
                <c:pt idx="120" formatCode="General">
                  <c:v>106.2</c:v>
                </c:pt>
                <c:pt idx="121" formatCode="General">
                  <c:v>106.2</c:v>
                </c:pt>
                <c:pt idx="122" formatCode="General">
                  <c:v>105.7</c:v>
                </c:pt>
                <c:pt idx="123" formatCode="General">
                  <c:v>104</c:v>
                </c:pt>
                <c:pt idx="124" formatCode="General">
                  <c:v>105</c:v>
                </c:pt>
                <c:pt idx="125" formatCode="General">
                  <c:v>103.1</c:v>
                </c:pt>
                <c:pt idx="126" formatCode="General">
                  <c:v>102.4</c:v>
                </c:pt>
                <c:pt idx="127" formatCode="General">
                  <c:v>102.7</c:v>
                </c:pt>
                <c:pt idx="128" formatCode="General">
                  <c:v>101.3</c:v>
                </c:pt>
                <c:pt idx="129" formatCode="General">
                  <c:v>100.4</c:v>
                </c:pt>
                <c:pt idx="130" formatCode="General">
                  <c:v>100.9</c:v>
                </c:pt>
                <c:pt idx="131" formatCode="General">
                  <c:v>101</c:v>
                </c:pt>
                <c:pt idx="132" formatCode="General">
                  <c:v>102.5</c:v>
                </c:pt>
                <c:pt idx="133" formatCode="General">
                  <c:v>103</c:v>
                </c:pt>
                <c:pt idx="134" formatCode="General">
                  <c:v>94.5</c:v>
                </c:pt>
                <c:pt idx="135" formatCode="General">
                  <c:v>63.8</c:v>
                </c:pt>
                <c:pt idx="136" formatCode="General">
                  <c:v>66.7</c:v>
                </c:pt>
                <c:pt idx="137" formatCode="General">
                  <c:v>74.900000000000006</c:v>
                </c:pt>
                <c:pt idx="138" formatCode="General">
                  <c:v>81.900000000000006</c:v>
                </c:pt>
                <c:pt idx="139" formatCode="General">
                  <c:v>86.9</c:v>
                </c:pt>
              </c:numCache>
            </c:numRef>
          </c:val>
          <c:smooth val="0"/>
          <c:extLst>
            <c:ext xmlns:c16="http://schemas.microsoft.com/office/drawing/2014/chart" uri="{C3380CC4-5D6E-409C-BE32-E72D297353CC}">
              <c16:uniqueId val="{00000005-6F7B-435C-AD4C-584336DFC170}"/>
            </c:ext>
          </c:extLst>
        </c:ser>
        <c:dLbls>
          <c:showLegendKey val="0"/>
          <c:showVal val="0"/>
          <c:showCatName val="0"/>
          <c:showSerName val="0"/>
          <c:showPercent val="0"/>
          <c:showBubbleSize val="0"/>
        </c:dLbls>
        <c:marker val="1"/>
        <c:smooth val="0"/>
        <c:axId val="213671680"/>
        <c:axId val="213671288"/>
      </c:lineChart>
      <c:catAx>
        <c:axId val="213670504"/>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3670896"/>
        <c:crosses val="autoZero"/>
        <c:auto val="1"/>
        <c:lblAlgn val="ctr"/>
        <c:lblOffset val="100"/>
        <c:noMultiLvlLbl val="0"/>
      </c:catAx>
      <c:valAx>
        <c:axId val="213670896"/>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3670504"/>
        <c:crosses val="autoZero"/>
        <c:crossBetween val="between"/>
      </c:valAx>
      <c:valAx>
        <c:axId val="21367128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3671680"/>
        <c:crosses val="max"/>
        <c:crossBetween val="between"/>
      </c:valAx>
      <c:catAx>
        <c:axId val="213671680"/>
        <c:scaling>
          <c:orientation val="minMax"/>
        </c:scaling>
        <c:delete val="1"/>
        <c:axPos val="b"/>
        <c:numFmt formatCode="General" sourceLinked="1"/>
        <c:majorTickMark val="out"/>
        <c:minorTickMark val="none"/>
        <c:tickLblPos val="nextTo"/>
        <c:crossAx val="213671288"/>
        <c:crosses val="autoZero"/>
        <c:auto val="1"/>
        <c:lblAlgn val="ctr"/>
        <c:lblOffset val="100"/>
        <c:noMultiLvlLbl val="0"/>
      </c:catAx>
      <c:spPr>
        <a:noFill/>
        <a:ln>
          <a:noFill/>
        </a:ln>
        <a:effectLst/>
      </c:spPr>
    </c:plotArea>
    <c:legend>
      <c:legendPos val="b"/>
      <c:layout>
        <c:manualLayout>
          <c:xMode val="edge"/>
          <c:yMode val="edge"/>
          <c:x val="7.7076811943173618E-2"/>
          <c:y val="0.88212158439137622"/>
          <c:w val="0.81695160125210675"/>
          <c:h val="9.384476850267539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212121212121213"/>
          <c:y val="0.11361084864391952"/>
          <c:w val="0.32969696969696971"/>
          <c:h val="0.62962962962962965"/>
        </c:manualLayout>
      </c:layout>
      <c:pieChart>
        <c:varyColors val="1"/>
        <c:ser>
          <c:idx val="0"/>
          <c:order val="0"/>
          <c:dPt>
            <c:idx val="0"/>
            <c:bubble3D val="0"/>
            <c:spPr>
              <a:pattFill prst="pct25">
                <a:fgClr>
                  <a:srgbClr val="0070C0"/>
                </a:fgClr>
                <a:bgClr>
                  <a:schemeClr val="bg1"/>
                </a:bgClr>
              </a:pattFill>
              <a:ln w="19050">
                <a:solidFill>
                  <a:schemeClr val="lt1"/>
                </a:solidFill>
              </a:ln>
              <a:effectLst/>
            </c:spPr>
            <c:extLst>
              <c:ext xmlns:c16="http://schemas.microsoft.com/office/drawing/2014/chart" uri="{C3380CC4-5D6E-409C-BE32-E72D297353CC}">
                <c16:uniqueId val="{00000001-0170-4B8C-B430-64E34D22861C}"/>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0170-4B8C-B430-64E34D22861C}"/>
              </c:ext>
            </c:extLst>
          </c:dPt>
          <c:dPt>
            <c:idx val="2"/>
            <c:bubble3D val="0"/>
            <c:spPr>
              <a:pattFill prst="pct25">
                <a:fgClr>
                  <a:srgbClr val="00B050"/>
                </a:fgClr>
                <a:bgClr>
                  <a:schemeClr val="bg1"/>
                </a:bgClr>
              </a:pattFill>
              <a:ln w="19050">
                <a:solidFill>
                  <a:schemeClr val="lt1"/>
                </a:solidFill>
              </a:ln>
              <a:effectLst/>
            </c:spPr>
            <c:extLst>
              <c:ext xmlns:c16="http://schemas.microsoft.com/office/drawing/2014/chart" uri="{C3380CC4-5D6E-409C-BE32-E72D297353CC}">
                <c16:uniqueId val="{00000005-0170-4B8C-B430-64E34D22861C}"/>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0170-4B8C-B430-64E34D22861C}"/>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0170-4B8C-B430-64E34D22861C}"/>
              </c:ext>
            </c:extLst>
          </c:dPt>
          <c:dPt>
            <c:idx val="5"/>
            <c:bubble3D val="0"/>
            <c:spPr>
              <a:pattFill prst="pct25">
                <a:fgClr>
                  <a:srgbClr val="7030A0"/>
                </a:fgClr>
                <a:bgClr>
                  <a:schemeClr val="bg1"/>
                </a:bgClr>
              </a:pattFill>
              <a:ln w="19050">
                <a:solidFill>
                  <a:schemeClr val="lt1"/>
                </a:solidFill>
              </a:ln>
              <a:effectLst/>
            </c:spPr>
            <c:extLst>
              <c:ext xmlns:c16="http://schemas.microsoft.com/office/drawing/2014/chart" uri="{C3380CC4-5D6E-409C-BE32-E72D297353CC}">
                <c16:uniqueId val="{0000000B-0170-4B8C-B430-64E34D22861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170-4B8C-B430-64E34D22861C}"/>
              </c:ext>
            </c:extLst>
          </c:dPt>
          <c:dPt>
            <c:idx val="7"/>
            <c:bubble3D val="0"/>
            <c:spPr>
              <a:pattFill prst="pct25">
                <a:fgClr>
                  <a:srgbClr val="C313AE"/>
                </a:fgClr>
                <a:bgClr>
                  <a:schemeClr val="bg1"/>
                </a:bgClr>
              </a:pattFill>
              <a:ln w="19050">
                <a:solidFill>
                  <a:schemeClr val="lt1"/>
                </a:solidFill>
              </a:ln>
              <a:effectLst/>
            </c:spPr>
            <c:extLst>
              <c:ext xmlns:c16="http://schemas.microsoft.com/office/drawing/2014/chart" uri="{C3380CC4-5D6E-409C-BE32-E72D297353CC}">
                <c16:uniqueId val="{0000000F-0170-4B8C-B430-64E34D22861C}"/>
              </c:ext>
            </c:extLst>
          </c:dPt>
          <c:dPt>
            <c:idx val="8"/>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1-0170-4B8C-B430-64E34D22861C}"/>
              </c:ext>
            </c:extLst>
          </c:dPt>
          <c:dPt>
            <c:idx val="9"/>
            <c:bubble3D val="0"/>
            <c:spPr>
              <a:pattFill prst="pct25">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13-0170-4B8C-B430-64E34D22861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170-4B8C-B430-64E34D22861C}"/>
              </c:ext>
            </c:extLst>
          </c:dPt>
          <c:dLbls>
            <c:dLbl>
              <c:idx val="0"/>
              <c:layout>
                <c:manualLayout>
                  <c:x val="-2.800887616320687E-2"/>
                  <c:y val="8.884186351706037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170-4B8C-B430-64E34D22861C}"/>
                </c:ext>
              </c:extLst>
            </c:dLbl>
            <c:dLbl>
              <c:idx val="2"/>
              <c:layout>
                <c:manualLayout>
                  <c:x val="-1.3602767835838702E-2"/>
                  <c:y val="-3.417687372411781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170-4B8C-B430-64E34D22861C}"/>
                </c:ext>
              </c:extLst>
            </c:dLbl>
            <c:dLbl>
              <c:idx val="3"/>
              <c:layout>
                <c:manualLayout>
                  <c:x val="9.1467143879742308E-2"/>
                  <c:y val="-1.0666666666666666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170-4B8C-B430-64E34D22861C}"/>
                </c:ext>
              </c:extLst>
            </c:dLbl>
            <c:dLbl>
              <c:idx val="4"/>
              <c:layout>
                <c:manualLayout>
                  <c:x val="-1.0198711524695777E-2"/>
                  <c:y val="3.3424671916010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0170-4B8C-B430-64E34D22861C}"/>
                </c:ext>
              </c:extLst>
            </c:dLbl>
            <c:dLbl>
              <c:idx val="5"/>
              <c:layout>
                <c:manualLayout>
                  <c:x val="-6.3672631830112139E-2"/>
                  <c:y val="5.375643044619422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0170-4B8C-B430-64E34D22861C}"/>
                </c:ext>
              </c:extLst>
            </c:dLbl>
            <c:dLbl>
              <c:idx val="6"/>
              <c:layout>
                <c:manualLayout>
                  <c:x val="-8.3151515151515157E-2"/>
                  <c:y val="5.1697287839020126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0170-4B8C-B430-64E34D22861C}"/>
                </c:ext>
              </c:extLst>
            </c:dLbl>
            <c:dLbl>
              <c:idx val="8"/>
              <c:layout>
                <c:manualLayout>
                  <c:x val="-5.242777380100215E-2"/>
                  <c:y val="-2.511628754738990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0170-4B8C-B430-64E34D22861C}"/>
                </c:ext>
              </c:extLst>
            </c:dLbl>
            <c:dLbl>
              <c:idx val="9"/>
              <c:layout>
                <c:manualLayout>
                  <c:x val="-1.5598568360773085E-2"/>
                  <c:y val="-6.4118985126859146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0170-4B8C-B430-64E34D22861C}"/>
                </c:ext>
              </c:extLst>
            </c:dLbl>
            <c:dLbl>
              <c:idx val="10"/>
              <c:layout>
                <c:manualLayout>
                  <c:x val="8.5674063469339066E-3"/>
                  <c:y val="-3.9517060367454072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5-0170-4B8C-B430-64E34D2286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'izlaide &amp; apgr. fakt. cenas'!$AI$60:$AI$70</c:f>
              <c:strCache>
                <c:ptCount val="11"/>
                <c:pt idx="0">
                  <c:v>Pārtika un dzērieni</c:v>
                </c:pt>
                <c:pt idx="1">
                  <c:v>Vieglā rūpniecība</c:v>
                </c:pt>
                <c:pt idx="2">
                  <c:v>Kokapstrāde</c:v>
                </c:pt>
                <c:pt idx="3">
                  <c:v>Papīra izstrādājumi un poligrāfija</c:v>
                </c:pt>
                <c:pt idx="4">
                  <c:v>Ķīmiskās vielas un produkti</c:v>
                </c:pt>
                <c:pt idx="5">
                  <c:v>Nemetālisko minerālu ražošana</c:v>
                </c:pt>
                <c:pt idx="6">
                  <c:v>Datoru, elektron. un opt.iek. ražošana</c:v>
                </c:pt>
                <c:pt idx="7">
                  <c:v>Metālapstrāde</c:v>
                </c:pt>
                <c:pt idx="8">
                  <c:v>Mašīnbūve</c:v>
                </c:pt>
                <c:pt idx="9">
                  <c:v>Mēbeļu ražošana</c:v>
                </c:pt>
                <c:pt idx="10">
                  <c:v>Pārējās apakšnozares</c:v>
                </c:pt>
              </c:strCache>
            </c:strRef>
          </c:cat>
          <c:val>
            <c:numRef>
              <c:f>'izlaide &amp; apgr. fakt. cenas'!$AO$60:$AO$70</c:f>
              <c:numCache>
                <c:formatCode>0.0</c:formatCode>
                <c:ptCount val="11"/>
                <c:pt idx="0">
                  <c:v>21.849804547802584</c:v>
                </c:pt>
                <c:pt idx="1">
                  <c:v>3.4931315854469771</c:v>
                </c:pt>
                <c:pt idx="2">
                  <c:v>26.731915371487172</c:v>
                </c:pt>
                <c:pt idx="3">
                  <c:v>4.0248685945903784</c:v>
                </c:pt>
                <c:pt idx="4">
                  <c:v>3.3078887912735504</c:v>
                </c:pt>
                <c:pt idx="5">
                  <c:v>5.8140332639292316</c:v>
                </c:pt>
                <c:pt idx="6">
                  <c:v>4.9126310531568977</c:v>
                </c:pt>
                <c:pt idx="7">
                  <c:v>9.1526687798845288</c:v>
                </c:pt>
                <c:pt idx="8">
                  <c:v>9.6523619842223436</c:v>
                </c:pt>
                <c:pt idx="9">
                  <c:v>2.5705244191069463</c:v>
                </c:pt>
                <c:pt idx="10">
                  <c:v>8.4901716090993897</c:v>
                </c:pt>
              </c:numCache>
            </c:numRef>
          </c:val>
          <c:extLst>
            <c:ext xmlns:c16="http://schemas.microsoft.com/office/drawing/2014/chart" uri="{C3380CC4-5D6E-409C-BE32-E72D297353CC}">
              <c16:uniqueId val="{00000016-0170-4B8C-B430-64E34D22861C}"/>
            </c:ext>
          </c:extLst>
        </c:ser>
        <c:dLbls>
          <c:dLblPos val="bestFit"/>
          <c:showLegendKey val="0"/>
          <c:showVal val="1"/>
          <c:showCatName val="0"/>
          <c:showSerName val="0"/>
          <c:showPercent val="0"/>
          <c:showBubbleSize val="0"/>
          <c:showLeaderLines val="1"/>
        </c:dLbls>
        <c:firstSliceAng val="30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09264210641713"/>
          <c:y val="3.2850844139532057E-2"/>
          <c:w val="0.6520601472110974"/>
          <c:h val="0.80048578086155076"/>
        </c:manualLayout>
      </c:layout>
      <c:barChart>
        <c:barDir val="bar"/>
        <c:grouping val="clustered"/>
        <c:varyColors val="0"/>
        <c:ser>
          <c:idx val="1"/>
          <c:order val="0"/>
          <c:tx>
            <c:strRef>
              <c:f>'Subsect graf'!$T$4</c:f>
              <c:strCache>
                <c:ptCount val="1"/>
                <c:pt idx="0">
                  <c:v>2020 I-VII</c:v>
                </c:pt>
              </c:strCache>
            </c:strRef>
          </c:tx>
          <c:spPr>
            <a:solidFill>
              <a:srgbClr val="00B050"/>
            </a:solidFill>
            <a:ln>
              <a:solidFill>
                <a:srgbClr val="00B050"/>
              </a:solidFill>
            </a:ln>
            <a:effectLst/>
          </c:spPr>
          <c:invertIfNegative val="0"/>
          <c:dLbls>
            <c:dLbl>
              <c:idx val="0"/>
              <c:layout>
                <c:manualLayout>
                  <c:x val="-1.9410359662977558E-4"/>
                  <c:y val="-7.60807248144481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C35-4E85-B296-85A46DF36BA8}"/>
                </c:ext>
              </c:extLst>
            </c:dLbl>
            <c:dLbl>
              <c:idx val="1"/>
              <c:layout>
                <c:manualLayout>
                  <c:x val="1.1369374928010498E-16"/>
                  <c:y val="-1.20481965810317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C35-4E85-B296-85A46DF36BA8}"/>
                </c:ext>
              </c:extLst>
            </c:dLbl>
            <c:dLbl>
              <c:idx val="2"/>
              <c:layout>
                <c:manualLayout>
                  <c:x val="1.8959826024636397E-7"/>
                  <c:y val="5.5535632303387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C35-4E85-B296-85A46DF36BA8}"/>
                </c:ext>
              </c:extLst>
            </c:dLbl>
            <c:dLbl>
              <c:idx val="3"/>
              <c:layout>
                <c:manualLayout>
                  <c:x val="-3.3499350912689759E-3"/>
                  <c:y val="-8.032131054021141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C35-4E85-B296-85A46DF36BA8}"/>
                </c:ext>
              </c:extLst>
            </c:dLbl>
            <c:dLbl>
              <c:idx val="4"/>
              <c:layout>
                <c:manualLayout>
                  <c:x val="1.8959826024636397E-7"/>
                  <c:y val="5.1693043320080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C35-4E85-B296-85A46DF36BA8}"/>
                </c:ext>
              </c:extLst>
            </c:dLbl>
            <c:dLbl>
              <c:idx val="6"/>
              <c:layout>
                <c:manualLayout>
                  <c:x val="-2.4078979051287341E-3"/>
                  <c:y val="1.43544433183475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C35-4E85-B296-85A46DF36BA8}"/>
                </c:ext>
              </c:extLst>
            </c:dLbl>
            <c:dLbl>
              <c:idx val="7"/>
              <c:layout>
                <c:manualLayout>
                  <c:x val="1.1369374928010498E-16"/>
                  <c:y val="-8.032131054021141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C35-4E85-B296-85A46DF36BA8}"/>
                </c:ext>
              </c:extLst>
            </c:dLbl>
            <c:dLbl>
              <c:idx val="8"/>
              <c:layout>
                <c:manualLayout>
                  <c:x val="-8.3747766893055749E-3"/>
                  <c:y val="-1.183632540755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C35-4E85-B296-85A46DF36BA8}"/>
                </c:ext>
              </c:extLst>
            </c:dLbl>
            <c:dLbl>
              <c:idx val="9"/>
              <c:layout>
                <c:manualLayout>
                  <c:x val="1.1369374928010498E-16"/>
                  <c:y val="-8.032131054021141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C35-4E85-B296-85A46DF36BA8}"/>
                </c:ext>
              </c:extLst>
            </c:dLbl>
            <c:dLbl>
              <c:idx val="10"/>
              <c:layout>
                <c:manualLayout>
                  <c:x val="0"/>
                  <c:y val="-8.03213105402117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C35-4E85-B296-85A46DF36BA8}"/>
                </c:ext>
              </c:extLst>
            </c:dLbl>
            <c:dLbl>
              <c:idx val="12"/>
              <c:layout>
                <c:manualLayout>
                  <c:x val="1.8959826024636397E-7"/>
                  <c:y val="5.5535632303387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C35-4E85-B296-85A46DF36BA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'Subsect graf'!$T$5:$T$17</c:f>
              <c:numCache>
                <c:formatCode>0.0</c:formatCode>
                <c:ptCount val="13"/>
                <c:pt idx="0">
                  <c:v>-3.5276370782473663</c:v>
                </c:pt>
                <c:pt idx="1">
                  <c:v>-3.3701100501245946</c:v>
                </c:pt>
                <c:pt idx="2">
                  <c:v>-8.7073346220691459</c:v>
                </c:pt>
                <c:pt idx="3">
                  <c:v>-4.2065103323819955</c:v>
                </c:pt>
                <c:pt idx="4">
                  <c:v>-1.4361563234398176</c:v>
                </c:pt>
                <c:pt idx="5">
                  <c:v>10.079553615822363</c:v>
                </c:pt>
                <c:pt idx="6">
                  <c:v>3.0833315342893748</c:v>
                </c:pt>
                <c:pt idx="7">
                  <c:v>-0.15089013008190477</c:v>
                </c:pt>
                <c:pt idx="8">
                  <c:v>-13.552651528224743</c:v>
                </c:pt>
                <c:pt idx="9">
                  <c:v>-2.1436049083358162</c:v>
                </c:pt>
                <c:pt idx="10">
                  <c:v>-3.5400420844163847</c:v>
                </c:pt>
                <c:pt idx="11">
                  <c:v>4.8709988223958902</c:v>
                </c:pt>
                <c:pt idx="12">
                  <c:v>-3.1941849453558859</c:v>
                </c:pt>
              </c:numCache>
            </c:numRef>
          </c:val>
          <c:extLst>
            <c:ext xmlns:c16="http://schemas.microsoft.com/office/drawing/2014/chart" uri="{C3380CC4-5D6E-409C-BE32-E72D297353CC}">
              <c16:uniqueId val="{0000000B-DC35-4E85-B296-85A46DF36BA8}"/>
            </c:ext>
          </c:extLst>
        </c:ser>
        <c:ser>
          <c:idx val="0"/>
          <c:order val="1"/>
          <c:tx>
            <c:strRef>
              <c:f>'Subsect graf'!$S$4</c:f>
              <c:strCache>
                <c:ptCount val="1"/>
                <c:pt idx="0">
                  <c:v>2019</c:v>
                </c:pt>
              </c:strCache>
            </c:strRef>
          </c:tx>
          <c:spPr>
            <a:solidFill>
              <a:schemeClr val="tx1">
                <a:lumMod val="50000"/>
                <a:lumOff val="50000"/>
              </a:schemeClr>
            </a:solidFill>
            <a:ln>
              <a:solidFill>
                <a:schemeClr val="tx1">
                  <a:lumMod val="50000"/>
                  <a:lumOff val="50000"/>
                </a:schemeClr>
              </a:solidFill>
            </a:ln>
            <a:effectLst/>
          </c:spPr>
          <c:invertIfNegative val="0"/>
          <c:dPt>
            <c:idx val="0"/>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0D-DC35-4E85-B296-85A46DF36BA8}"/>
              </c:ext>
            </c:extLst>
          </c:dPt>
          <c:dPt>
            <c:idx val="1"/>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0F-DC35-4E85-B296-85A46DF36BA8}"/>
              </c:ext>
            </c:extLst>
          </c:dPt>
          <c:dPt>
            <c:idx val="4"/>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11-DC35-4E85-B296-85A46DF36BA8}"/>
              </c:ext>
            </c:extLst>
          </c:dPt>
          <c:dPt>
            <c:idx val="5"/>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13-DC35-4E85-B296-85A46DF36BA8}"/>
              </c:ext>
            </c:extLst>
          </c:dPt>
          <c:dPt>
            <c:idx val="6"/>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15-DC35-4E85-B296-85A46DF36BA8}"/>
              </c:ext>
            </c:extLst>
          </c:dPt>
          <c:dPt>
            <c:idx val="7"/>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17-DC35-4E85-B296-85A46DF36BA8}"/>
              </c:ext>
            </c:extLst>
          </c:dPt>
          <c:dPt>
            <c:idx val="9"/>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19-DC35-4E85-B296-85A46DF36BA8}"/>
              </c:ext>
            </c:extLst>
          </c:dPt>
          <c:dPt>
            <c:idx val="10"/>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1B-DC35-4E85-B296-85A46DF36BA8}"/>
              </c:ext>
            </c:extLst>
          </c:dPt>
          <c:dPt>
            <c:idx val="11"/>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1D-DC35-4E85-B296-85A46DF36BA8}"/>
              </c:ext>
            </c:extLst>
          </c:dPt>
          <c:dPt>
            <c:idx val="12"/>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1F-DC35-4E85-B296-85A46DF36BA8}"/>
              </c:ext>
            </c:extLst>
          </c:dPt>
          <c:dPt>
            <c:idx val="13"/>
            <c:invertIfNegative val="0"/>
            <c:bubble3D val="0"/>
            <c:spPr>
              <a:solidFill>
                <a:schemeClr val="tx1">
                  <a:lumMod val="50000"/>
                  <a:lumOff val="50000"/>
                </a:schemeClr>
              </a:solidFill>
              <a:ln>
                <a:solidFill>
                  <a:schemeClr val="tx1">
                    <a:lumMod val="50000"/>
                    <a:lumOff val="50000"/>
                  </a:schemeClr>
                </a:solidFill>
              </a:ln>
              <a:effectLst/>
            </c:spPr>
            <c:extLst>
              <c:ext xmlns:c16="http://schemas.microsoft.com/office/drawing/2014/chart" uri="{C3380CC4-5D6E-409C-BE32-E72D297353CC}">
                <c16:uniqueId val="{00000021-DC35-4E85-B296-85A46DF36BA8}"/>
              </c:ext>
            </c:extLst>
          </c:dPt>
          <c:cat>
            <c:strRef>
              <c:f>'Subsect graf'!$R$5:$R$17</c:f>
              <c:strCache>
                <c:ptCount val="13"/>
                <c:pt idx="0">
                  <c:v>ELEKTROENERĢIJA UN GĀZES APGĀDE</c:v>
                </c:pt>
                <c:pt idx="1">
                  <c:v>Mēbeļu ražošana</c:v>
                </c:pt>
                <c:pt idx="2">
                  <c:v>Mašīnbūve </c:v>
                </c:pt>
                <c:pt idx="3">
                  <c:v>Gatavo metālizstrādājumu ražošana</c:v>
                </c:pt>
                <c:pt idx="4">
                  <c:v>Nemetālisko minerālu ražošana</c:v>
                </c:pt>
                <c:pt idx="5">
                  <c:v>Ķīmiskās vielas un produkti</c:v>
                </c:pt>
                <c:pt idx="6">
                  <c:v>Poligrāfija un papīra izstr. ražošana</c:v>
                </c:pt>
                <c:pt idx="7">
                  <c:v>Kokapstrāde</c:v>
                </c:pt>
                <c:pt idx="8">
                  <c:v>Vieglā rūpniecība</c:v>
                </c:pt>
                <c:pt idx="9">
                  <c:v>Pārtika un dzērieni</c:v>
                </c:pt>
                <c:pt idx="10">
                  <c:v>APSTRĀDES RŪPNIECĪBA</c:v>
                </c:pt>
                <c:pt idx="11">
                  <c:v>IEGUVES RŪPNIECĪBA</c:v>
                </c:pt>
                <c:pt idx="12">
                  <c:v>RŪPNIECĪBA</c:v>
                </c:pt>
              </c:strCache>
            </c:strRef>
          </c:cat>
          <c:val>
            <c:numRef>
              <c:f>'Subsect graf'!$S$5:$S$17</c:f>
              <c:numCache>
                <c:formatCode>0.0</c:formatCode>
                <c:ptCount val="13"/>
                <c:pt idx="0">
                  <c:v>-4.4420855540075479</c:v>
                </c:pt>
                <c:pt idx="1">
                  <c:v>-2.8136825147053344</c:v>
                </c:pt>
                <c:pt idx="2">
                  <c:v>3.928703621146326</c:v>
                </c:pt>
                <c:pt idx="3">
                  <c:v>13.481235190705476</c:v>
                </c:pt>
                <c:pt idx="4">
                  <c:v>-2.2676518339352612</c:v>
                </c:pt>
                <c:pt idx="5">
                  <c:v>-1.1548082890283808</c:v>
                </c:pt>
                <c:pt idx="6">
                  <c:v>5.2965070997832697</c:v>
                </c:pt>
                <c:pt idx="7">
                  <c:v>-0.20923068043259718</c:v>
                </c:pt>
                <c:pt idx="8">
                  <c:v>-2.9064518763057894</c:v>
                </c:pt>
                <c:pt idx="9">
                  <c:v>-0.76382795849399898</c:v>
                </c:pt>
                <c:pt idx="10">
                  <c:v>1.9743799013519805</c:v>
                </c:pt>
                <c:pt idx="11">
                  <c:v>-4.9873374978895697</c:v>
                </c:pt>
                <c:pt idx="12">
                  <c:v>0.81992518721146723</c:v>
                </c:pt>
              </c:numCache>
            </c:numRef>
          </c:val>
          <c:extLst>
            <c:ext xmlns:c16="http://schemas.microsoft.com/office/drawing/2014/chart" uri="{C3380CC4-5D6E-409C-BE32-E72D297353CC}">
              <c16:uniqueId val="{00000022-DC35-4E85-B296-85A46DF36BA8}"/>
            </c:ext>
          </c:extLst>
        </c:ser>
        <c:dLbls>
          <c:showLegendKey val="0"/>
          <c:showVal val="0"/>
          <c:showCatName val="0"/>
          <c:showSerName val="0"/>
          <c:showPercent val="0"/>
          <c:showBubbleSize val="0"/>
        </c:dLbls>
        <c:gapWidth val="50"/>
        <c:overlap val="-10"/>
        <c:axId val="239680264"/>
        <c:axId val="239680656"/>
      </c:barChart>
      <c:catAx>
        <c:axId val="23968026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small"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239680656"/>
        <c:crosses val="autoZero"/>
        <c:auto val="1"/>
        <c:lblAlgn val="ctr"/>
        <c:lblOffset val="100"/>
        <c:noMultiLvlLbl val="0"/>
      </c:catAx>
      <c:valAx>
        <c:axId val="239680656"/>
        <c:scaling>
          <c:orientation val="minMax"/>
          <c:max val="20"/>
          <c:min val="-2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239680264"/>
        <c:crosses val="autoZero"/>
        <c:crossBetween val="between"/>
      </c:valAx>
      <c:spPr>
        <a:noFill/>
        <a:ln>
          <a:noFill/>
        </a:ln>
        <a:effectLst/>
      </c:spPr>
    </c:plotArea>
    <c:legend>
      <c:legendPos val="b"/>
      <c:layout>
        <c:manualLayout>
          <c:xMode val="edge"/>
          <c:yMode val="edge"/>
          <c:x val="0.45497443570177964"/>
          <c:y val="0.91298101879489457"/>
          <c:w val="0.30738269977838006"/>
          <c:h val="6.7592596399012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47297096964993E-2"/>
          <c:y val="3.9763677453204006E-2"/>
          <c:w val="0.9138012477016686"/>
          <c:h val="0.70188449674280728"/>
        </c:manualLayout>
      </c:layout>
      <c:areaChart>
        <c:grouping val="standard"/>
        <c:varyColors val="0"/>
        <c:ser>
          <c:idx val="0"/>
          <c:order val="0"/>
          <c:tx>
            <c:strRef>
              <c:f>'Apgr. indeksi'!$A$115</c:f>
              <c:strCache>
                <c:ptCount val="1"/>
                <c:pt idx="0">
                  <c:v>Visa apstrādes rūpniecības produkcija</c:v>
                </c:pt>
              </c:strCache>
            </c:strRef>
          </c:tx>
          <c:spPr>
            <a:pattFill prst="pct25">
              <a:fgClr>
                <a:schemeClr val="tx1">
                  <a:lumMod val="50000"/>
                  <a:lumOff val="50000"/>
                </a:schemeClr>
              </a:fgClr>
              <a:bgClr>
                <a:schemeClr val="bg1"/>
              </a:bgClr>
            </a:pattFill>
            <a:ln w="0">
              <a:solidFill>
                <a:schemeClr val="tx1">
                  <a:lumMod val="50000"/>
                  <a:lumOff val="50000"/>
                </a:schemeClr>
              </a:solidFill>
            </a:ln>
            <a:effectLst/>
          </c:spPr>
          <c:cat>
            <c:multiLvlStrRef>
              <c:f>'Apgr. indeksi'!$FZ$111:$IN$112</c:f>
              <c:multiLvlStrCache>
                <c:ptCount val="6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lvl>
                <c:lvl>
                  <c:pt idx="0">
                    <c:v>2015</c:v>
                  </c:pt>
                  <c:pt idx="12">
                    <c:v>2016</c:v>
                  </c:pt>
                  <c:pt idx="24">
                    <c:v>2017</c:v>
                  </c:pt>
                  <c:pt idx="36">
                    <c:v>2018</c:v>
                  </c:pt>
                  <c:pt idx="48">
                    <c:v>2019</c:v>
                  </c:pt>
                  <c:pt idx="60">
                    <c:v>2020</c:v>
                  </c:pt>
                </c:lvl>
              </c:multiLvlStrCache>
            </c:multiLvlStrRef>
          </c:cat>
          <c:val>
            <c:numRef>
              <c:f>'Apgr. indeksi'!$FZ$115:$IN$115</c:f>
              <c:numCache>
                <c:formatCode>0.0</c:formatCode>
                <c:ptCount val="67"/>
                <c:pt idx="0">
                  <c:v>0.55741360089186287</c:v>
                </c:pt>
                <c:pt idx="1">
                  <c:v>-4.4324324324324351</c:v>
                </c:pt>
                <c:pt idx="2">
                  <c:v>0.38986354775829568</c:v>
                </c:pt>
                <c:pt idx="3">
                  <c:v>4.3689320388349557</c:v>
                </c:pt>
                <c:pt idx="4">
                  <c:v>0.38387715930902289</c:v>
                </c:pt>
                <c:pt idx="5">
                  <c:v>1.6634050880626177</c:v>
                </c:pt>
                <c:pt idx="6">
                  <c:v>1.1964107676969178</c:v>
                </c:pt>
                <c:pt idx="7">
                  <c:v>0.59940059940061019</c:v>
                </c:pt>
                <c:pt idx="8">
                  <c:v>-2.3741690408357101</c:v>
                </c:pt>
                <c:pt idx="9">
                  <c:v>0.46904315196998425</c:v>
                </c:pt>
                <c:pt idx="10">
                  <c:v>2.0325203252032509</c:v>
                </c:pt>
                <c:pt idx="11">
                  <c:v>0.22271714922050023</c:v>
                </c:pt>
                <c:pt idx="12">
                  <c:v>0.44345898004434048</c:v>
                </c:pt>
                <c:pt idx="13">
                  <c:v>5.0904977375565608</c:v>
                </c:pt>
                <c:pt idx="14">
                  <c:v>-0.38834951456310307</c:v>
                </c:pt>
                <c:pt idx="15">
                  <c:v>-4.1860465116279073</c:v>
                </c:pt>
                <c:pt idx="16">
                  <c:v>1.6252390057361481</c:v>
                </c:pt>
                <c:pt idx="17">
                  <c:v>-1.4436958614052031</c:v>
                </c:pt>
                <c:pt idx="18">
                  <c:v>6.5024630541871886</c:v>
                </c:pt>
                <c:pt idx="19">
                  <c:v>-1.9860973187686284</c:v>
                </c:pt>
                <c:pt idx="20">
                  <c:v>4.4747081712062311</c:v>
                </c:pt>
                <c:pt idx="21">
                  <c:v>2.7077497665733006</c:v>
                </c:pt>
                <c:pt idx="22">
                  <c:v>4.6812749003984067</c:v>
                </c:pt>
                <c:pt idx="23">
                  <c:v>7.1111111111111143</c:v>
                </c:pt>
                <c:pt idx="24">
                  <c:v>7.7262693156732922</c:v>
                </c:pt>
                <c:pt idx="25">
                  <c:v>5.7050592034445629</c:v>
                </c:pt>
                <c:pt idx="26">
                  <c:v>11.111111111111114</c:v>
                </c:pt>
                <c:pt idx="27">
                  <c:v>7.2815533980582501</c:v>
                </c:pt>
                <c:pt idx="28">
                  <c:v>10.53621825023518</c:v>
                </c:pt>
                <c:pt idx="29">
                  <c:v>13.0859375</c:v>
                </c:pt>
                <c:pt idx="30">
                  <c:v>2.3126734505087967</c:v>
                </c:pt>
                <c:pt idx="31">
                  <c:v>17.021276595744681</c:v>
                </c:pt>
                <c:pt idx="32">
                  <c:v>9.2178770949720672</c:v>
                </c:pt>
                <c:pt idx="33">
                  <c:v>10.545454545454547</c:v>
                </c:pt>
                <c:pt idx="34">
                  <c:v>15.3187440532826</c:v>
                </c:pt>
                <c:pt idx="35">
                  <c:v>9.1286307053941869</c:v>
                </c:pt>
                <c:pt idx="36">
                  <c:v>10.860655737704931</c:v>
                </c:pt>
                <c:pt idx="37">
                  <c:v>10.386965376782072</c:v>
                </c:pt>
                <c:pt idx="38">
                  <c:v>8.0701754385964932</c:v>
                </c:pt>
                <c:pt idx="39">
                  <c:v>6.6063348416289642</c:v>
                </c:pt>
                <c:pt idx="40">
                  <c:v>9.9574468085106247</c:v>
                </c:pt>
                <c:pt idx="41">
                  <c:v>8.0310880829015616</c:v>
                </c:pt>
                <c:pt idx="42">
                  <c:v>8.8607594936708978</c:v>
                </c:pt>
                <c:pt idx="43">
                  <c:v>9.4372294372294334</c:v>
                </c:pt>
                <c:pt idx="44">
                  <c:v>8.6104006820119423</c:v>
                </c:pt>
                <c:pt idx="45">
                  <c:v>9.2927631578947398</c:v>
                </c:pt>
                <c:pt idx="46">
                  <c:v>7.2607260726072553</c:v>
                </c:pt>
                <c:pt idx="47">
                  <c:v>10.836501901140679</c:v>
                </c:pt>
                <c:pt idx="48">
                  <c:v>10.905730129390022</c:v>
                </c:pt>
                <c:pt idx="49">
                  <c:v>11.900369003690031</c:v>
                </c:pt>
                <c:pt idx="50">
                  <c:v>6.57467532467534</c:v>
                </c:pt>
                <c:pt idx="51">
                  <c:v>7.6400679117147803</c:v>
                </c:pt>
                <c:pt idx="52">
                  <c:v>2.2445820433436552</c:v>
                </c:pt>
                <c:pt idx="53">
                  <c:v>1.5987210231814544</c:v>
                </c:pt>
                <c:pt idx="54">
                  <c:v>0.58139534883720501</c:v>
                </c:pt>
                <c:pt idx="55">
                  <c:v>2.2151898734176996</c:v>
                </c:pt>
                <c:pt idx="56">
                  <c:v>2.040816326530603</c:v>
                </c:pt>
                <c:pt idx="57">
                  <c:v>1.3544018058690597</c:v>
                </c:pt>
                <c:pt idx="58">
                  <c:v>-1.0769230769230802</c:v>
                </c:pt>
                <c:pt idx="59">
                  <c:v>-3.1732418524871377</c:v>
                </c:pt>
                <c:pt idx="60">
                  <c:v>2</c:v>
                </c:pt>
                <c:pt idx="61">
                  <c:v>5.1112943116240785</c:v>
                </c:pt>
                <c:pt idx="62">
                  <c:v>-1.2947448591013</c:v>
                </c:pt>
                <c:pt idx="63">
                  <c:v>-5.7570977917981025</c:v>
                </c:pt>
                <c:pt idx="64">
                  <c:v>-7.6457229371688129</c:v>
                </c:pt>
                <c:pt idx="65">
                  <c:v>-7.8678206136899576E-2</c:v>
                </c:pt>
                <c:pt idx="66">
                  <c:v>5.5326176713460029</c:v>
                </c:pt>
              </c:numCache>
            </c:numRef>
          </c:val>
          <c:extLst>
            <c:ext xmlns:c16="http://schemas.microsoft.com/office/drawing/2014/chart" uri="{C3380CC4-5D6E-409C-BE32-E72D297353CC}">
              <c16:uniqueId val="{00000000-75E5-47AA-B397-CC19D665CC19}"/>
            </c:ext>
          </c:extLst>
        </c:ser>
        <c:dLbls>
          <c:showLegendKey val="0"/>
          <c:showVal val="0"/>
          <c:showCatName val="0"/>
          <c:showSerName val="0"/>
          <c:showPercent val="0"/>
          <c:showBubbleSize val="0"/>
        </c:dLbls>
        <c:axId val="116528976"/>
        <c:axId val="116529368"/>
      </c:areaChart>
      <c:lineChart>
        <c:grouping val="standard"/>
        <c:varyColors val="0"/>
        <c:ser>
          <c:idx val="1"/>
          <c:order val="1"/>
          <c:tx>
            <c:strRef>
              <c:f>'Apgr. indeksi'!$A$147</c:f>
              <c:strCache>
                <c:ptCount val="1"/>
                <c:pt idx="0">
                  <c:v>Vietējais tirgus</c:v>
                </c:pt>
              </c:strCache>
            </c:strRef>
          </c:tx>
          <c:spPr>
            <a:ln w="25400" cap="rnd">
              <a:solidFill>
                <a:srgbClr val="00B050"/>
              </a:solidFill>
              <a:round/>
            </a:ln>
            <a:effectLst/>
          </c:spPr>
          <c:marker>
            <c:symbol val="none"/>
          </c:marker>
          <c:cat>
            <c:multiLvlStrRef>
              <c:f>'Apgr. indeksi'!$FZ$110:$IN$112</c:f>
              <c:multiLvlStrCache>
                <c:ptCount val="6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lvl>
                <c:lvl>
                  <c:pt idx="0">
                    <c:v>2015</c:v>
                  </c:pt>
                  <c:pt idx="12">
                    <c:v>2016</c:v>
                  </c:pt>
                  <c:pt idx="24">
                    <c:v>2017</c:v>
                  </c:pt>
                  <c:pt idx="36">
                    <c:v>2018</c:v>
                  </c:pt>
                  <c:pt idx="48">
                    <c:v>2019</c:v>
                  </c:pt>
                  <c:pt idx="60">
                    <c:v>2020</c:v>
                  </c:pt>
                </c:lvl>
              </c:multiLvlStrCache>
            </c:multiLvlStrRef>
          </c:cat>
          <c:val>
            <c:numRef>
              <c:f>'Apgr. indeksi'!$FZ$150:$IN$150</c:f>
              <c:numCache>
                <c:formatCode>0.0</c:formatCode>
                <c:ptCount val="67"/>
                <c:pt idx="0">
                  <c:v>-4.9622437971952564</c:v>
                </c:pt>
                <c:pt idx="1">
                  <c:v>-13.030303030303031</c:v>
                </c:pt>
                <c:pt idx="2">
                  <c:v>-3.2289628180039216</c:v>
                </c:pt>
                <c:pt idx="3">
                  <c:v>-6.2616822429906591</c:v>
                </c:pt>
                <c:pt idx="4">
                  <c:v>-7.4468085106382915</c:v>
                </c:pt>
                <c:pt idx="5">
                  <c:v>-3.1731640979147784</c:v>
                </c:pt>
                <c:pt idx="6">
                  <c:v>-4.0322580645161281</c:v>
                </c:pt>
                <c:pt idx="7">
                  <c:v>-1.4598540145985339</c:v>
                </c:pt>
                <c:pt idx="8">
                  <c:v>-4.7706422018348604</c:v>
                </c:pt>
                <c:pt idx="9">
                  <c:v>-4.8847926267281139</c:v>
                </c:pt>
                <c:pt idx="10">
                  <c:v>-5.8880308880308831</c:v>
                </c:pt>
                <c:pt idx="11">
                  <c:v>-6.3538611925708608</c:v>
                </c:pt>
                <c:pt idx="12">
                  <c:v>-4.9943246311010085</c:v>
                </c:pt>
                <c:pt idx="13">
                  <c:v>0.34843205574912872</c:v>
                </c:pt>
                <c:pt idx="14">
                  <c:v>-0.20222446916076819</c:v>
                </c:pt>
                <c:pt idx="15">
                  <c:v>-1.8943170488534378</c:v>
                </c:pt>
                <c:pt idx="16">
                  <c:v>2.4904214559386872</c:v>
                </c:pt>
                <c:pt idx="17">
                  <c:v>-2.1535580524344482</c:v>
                </c:pt>
                <c:pt idx="18">
                  <c:v>-3.9215686274509807</c:v>
                </c:pt>
                <c:pt idx="19">
                  <c:v>-6.018518518518519</c:v>
                </c:pt>
                <c:pt idx="20">
                  <c:v>0.57803468208092568</c:v>
                </c:pt>
                <c:pt idx="21">
                  <c:v>3.9728682170542555</c:v>
                </c:pt>
                <c:pt idx="22">
                  <c:v>4.4102564102564088</c:v>
                </c:pt>
                <c:pt idx="23">
                  <c:v>1.6701461377870572</c:v>
                </c:pt>
                <c:pt idx="24">
                  <c:v>3.823178016726402</c:v>
                </c:pt>
                <c:pt idx="25">
                  <c:v>4.1666666666666572</c:v>
                </c:pt>
                <c:pt idx="26">
                  <c:v>1.8237082066869306</c:v>
                </c:pt>
                <c:pt idx="27">
                  <c:v>4.2682926829268268</c:v>
                </c:pt>
                <c:pt idx="28">
                  <c:v>6.3551401869158894</c:v>
                </c:pt>
                <c:pt idx="29">
                  <c:v>7.4641148325358841</c:v>
                </c:pt>
                <c:pt idx="30">
                  <c:v>10.009718172983469</c:v>
                </c:pt>
                <c:pt idx="31">
                  <c:v>14.581280788177338</c:v>
                </c:pt>
                <c:pt idx="32">
                  <c:v>7.0881226053639779</c:v>
                </c:pt>
                <c:pt idx="33">
                  <c:v>6.4305684995340187</c:v>
                </c:pt>
                <c:pt idx="34">
                  <c:v>10.019646365422403</c:v>
                </c:pt>
                <c:pt idx="35">
                  <c:v>12.73100616016427</c:v>
                </c:pt>
                <c:pt idx="36">
                  <c:v>13.924050632911388</c:v>
                </c:pt>
                <c:pt idx="37">
                  <c:v>9.6666666666666714</c:v>
                </c:pt>
                <c:pt idx="38">
                  <c:v>12.93532338308458</c:v>
                </c:pt>
                <c:pt idx="39">
                  <c:v>8.089668615984408</c:v>
                </c:pt>
                <c:pt idx="40">
                  <c:v>11.423550087873465</c:v>
                </c:pt>
                <c:pt idx="41">
                  <c:v>8.2813891362422112</c:v>
                </c:pt>
                <c:pt idx="42">
                  <c:v>9.8056537102473413</c:v>
                </c:pt>
                <c:pt idx="43">
                  <c:v>8.1685296646603689</c:v>
                </c:pt>
                <c:pt idx="44">
                  <c:v>8.4973166368515223</c:v>
                </c:pt>
                <c:pt idx="45">
                  <c:v>8.3187390542907167</c:v>
                </c:pt>
                <c:pt idx="46">
                  <c:v>7.9464285714285694</c:v>
                </c:pt>
                <c:pt idx="47">
                  <c:v>8.5610200364298805</c:v>
                </c:pt>
                <c:pt idx="48">
                  <c:v>9.8989898989898961</c:v>
                </c:pt>
                <c:pt idx="49">
                  <c:v>9.1185410334346528</c:v>
                </c:pt>
                <c:pt idx="50">
                  <c:v>4.2290748898678459</c:v>
                </c:pt>
                <c:pt idx="51">
                  <c:v>9.3778178539224513</c:v>
                </c:pt>
                <c:pt idx="52">
                  <c:v>1.5772870662460718</c:v>
                </c:pt>
                <c:pt idx="53">
                  <c:v>5.1809210526315894</c:v>
                </c:pt>
                <c:pt idx="54">
                  <c:v>0.96540627514079347</c:v>
                </c:pt>
                <c:pt idx="55">
                  <c:v>2.1462639109697932</c:v>
                </c:pt>
                <c:pt idx="56">
                  <c:v>0.41220115416322756</c:v>
                </c:pt>
                <c:pt idx="57">
                  <c:v>9.2966855295068598</c:v>
                </c:pt>
                <c:pt idx="58">
                  <c:v>2.894954507857733</c:v>
                </c:pt>
                <c:pt idx="59">
                  <c:v>1.5100671140939568</c:v>
                </c:pt>
                <c:pt idx="60">
                  <c:v>-1.8382352941176379</c:v>
                </c:pt>
                <c:pt idx="61">
                  <c:v>-0.8356545961002837</c:v>
                </c:pt>
                <c:pt idx="62">
                  <c:v>3.5502958579881749</c:v>
                </c:pt>
                <c:pt idx="63">
                  <c:v>-5.0288540807914188</c:v>
                </c:pt>
                <c:pt idx="64">
                  <c:v>-5.4347826086956559</c:v>
                </c:pt>
                <c:pt idx="65">
                  <c:v>-3.7529319781078954</c:v>
                </c:pt>
                <c:pt idx="66">
                  <c:v>-1.5139442231075719</c:v>
                </c:pt>
              </c:numCache>
            </c:numRef>
          </c:val>
          <c:smooth val="1"/>
          <c:extLst>
            <c:ext xmlns:c16="http://schemas.microsoft.com/office/drawing/2014/chart" uri="{C3380CC4-5D6E-409C-BE32-E72D297353CC}">
              <c16:uniqueId val="{00000001-75E5-47AA-B397-CC19D665CC19}"/>
            </c:ext>
          </c:extLst>
        </c:ser>
        <c:ser>
          <c:idx val="2"/>
          <c:order val="2"/>
          <c:tx>
            <c:strRef>
              <c:f>'Apgr. indeksi'!$A$182</c:f>
              <c:strCache>
                <c:ptCount val="1"/>
                <c:pt idx="0">
                  <c:v>Eksports</c:v>
                </c:pt>
              </c:strCache>
            </c:strRef>
          </c:tx>
          <c:spPr>
            <a:ln w="25400" cap="rnd">
              <a:solidFill>
                <a:srgbClr val="0070C0"/>
              </a:solidFill>
              <a:round/>
            </a:ln>
            <a:effectLst/>
          </c:spPr>
          <c:marker>
            <c:symbol val="none"/>
          </c:marker>
          <c:cat>
            <c:multiLvlStrRef>
              <c:f>'Apgr. indeksi'!$FZ$110:$IN$112</c:f>
              <c:multiLvlStrCache>
                <c:ptCount val="6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lvl>
                <c:lvl>
                  <c:pt idx="0">
                    <c:v>2015</c:v>
                  </c:pt>
                  <c:pt idx="12">
                    <c:v>2016</c:v>
                  </c:pt>
                  <c:pt idx="24">
                    <c:v>2017</c:v>
                  </c:pt>
                  <c:pt idx="36">
                    <c:v>2018</c:v>
                  </c:pt>
                  <c:pt idx="48">
                    <c:v>2019</c:v>
                  </c:pt>
                  <c:pt idx="60">
                    <c:v>2020</c:v>
                  </c:pt>
                </c:lvl>
              </c:multiLvlStrCache>
            </c:multiLvlStrRef>
          </c:cat>
          <c:val>
            <c:numRef>
              <c:f>'Apgr. indeksi'!$FZ$185:$IN$185</c:f>
              <c:numCache>
                <c:formatCode>0.0</c:formatCode>
                <c:ptCount val="67"/>
                <c:pt idx="0">
                  <c:v>3.8680318543799643</c:v>
                </c:pt>
                <c:pt idx="1">
                  <c:v>0.90090090090090769</c:v>
                </c:pt>
                <c:pt idx="2">
                  <c:v>2.3323615160349789</c:v>
                </c:pt>
                <c:pt idx="3">
                  <c:v>10.824230387288978</c:v>
                </c:pt>
                <c:pt idx="4">
                  <c:v>5.3319919517102505</c:v>
                </c:pt>
                <c:pt idx="5">
                  <c:v>4.7082906857727664</c:v>
                </c:pt>
                <c:pt idx="6">
                  <c:v>4.7974413646055467</c:v>
                </c:pt>
                <c:pt idx="7">
                  <c:v>1.7932489451476812</c:v>
                </c:pt>
                <c:pt idx="8">
                  <c:v>-0.87209302325581461</c:v>
                </c:pt>
                <c:pt idx="9">
                  <c:v>3.6018957345971501</c:v>
                </c:pt>
                <c:pt idx="10">
                  <c:v>6.8062827225130889</c:v>
                </c:pt>
                <c:pt idx="11">
                  <c:v>4.9576783555018125</c:v>
                </c:pt>
                <c:pt idx="12">
                  <c:v>3.5049288061336341</c:v>
                </c:pt>
                <c:pt idx="13">
                  <c:v>7.8125</c:v>
                </c:pt>
                <c:pt idx="14">
                  <c:v>-0.4748338081671335</c:v>
                </c:pt>
                <c:pt idx="15">
                  <c:v>-5.3763440860215042</c:v>
                </c:pt>
                <c:pt idx="16">
                  <c:v>1.2416427889207284</c:v>
                </c:pt>
                <c:pt idx="17">
                  <c:v>-1.0752688172043037</c:v>
                </c:pt>
                <c:pt idx="18">
                  <c:v>13.021363173957283</c:v>
                </c:pt>
                <c:pt idx="19">
                  <c:v>0.62176165803109029</c:v>
                </c:pt>
                <c:pt idx="20">
                  <c:v>6.5493646138807406</c:v>
                </c:pt>
                <c:pt idx="21">
                  <c:v>2.1043000914913108</c:v>
                </c:pt>
                <c:pt idx="22">
                  <c:v>4.8039215686274446</c:v>
                </c:pt>
                <c:pt idx="23">
                  <c:v>10.36866359447005</c:v>
                </c:pt>
                <c:pt idx="24">
                  <c:v>9.735449735449734</c:v>
                </c:pt>
                <c:pt idx="25">
                  <c:v>6.4182194616977313</c:v>
                </c:pt>
                <c:pt idx="26">
                  <c:v>16.030534351145036</c:v>
                </c:pt>
                <c:pt idx="27">
                  <c:v>8.9015151515151558</c:v>
                </c:pt>
                <c:pt idx="28">
                  <c:v>12.924528301886795</c:v>
                </c:pt>
                <c:pt idx="29">
                  <c:v>16.403162055335969</c:v>
                </c:pt>
                <c:pt idx="30">
                  <c:v>-1.7101710171017004</c:v>
                </c:pt>
                <c:pt idx="31">
                  <c:v>18.537590113285276</c:v>
                </c:pt>
                <c:pt idx="32">
                  <c:v>10.458715596330279</c:v>
                </c:pt>
                <c:pt idx="33">
                  <c:v>12.634408602150543</c:v>
                </c:pt>
                <c:pt idx="34">
                  <c:v>18.241347053320851</c:v>
                </c:pt>
                <c:pt idx="35">
                  <c:v>7.2025052192066852</c:v>
                </c:pt>
                <c:pt idx="36">
                  <c:v>9.4503375120540056</c:v>
                </c:pt>
                <c:pt idx="37">
                  <c:v>10.797665369649806</c:v>
                </c:pt>
                <c:pt idx="38">
                  <c:v>5.8388157894736707</c:v>
                </c:pt>
                <c:pt idx="39">
                  <c:v>5.8260869565217348</c:v>
                </c:pt>
                <c:pt idx="40">
                  <c:v>9.0225563909774422</c:v>
                </c:pt>
                <c:pt idx="41">
                  <c:v>7.9796264855687582</c:v>
                </c:pt>
                <c:pt idx="42">
                  <c:v>8.2417582417582338</c:v>
                </c:pt>
                <c:pt idx="43">
                  <c:v>10.078192875760209</c:v>
                </c:pt>
                <c:pt idx="44">
                  <c:v>8.7209302325581319</c:v>
                </c:pt>
                <c:pt idx="45">
                  <c:v>9.8647573587907686</c:v>
                </c:pt>
                <c:pt idx="46">
                  <c:v>6.8829113924050631</c:v>
                </c:pt>
                <c:pt idx="47">
                  <c:v>12.171372930866596</c:v>
                </c:pt>
                <c:pt idx="48">
                  <c:v>11.277533039647579</c:v>
                </c:pt>
                <c:pt idx="49">
                  <c:v>13.257243195785776</c:v>
                </c:pt>
                <c:pt idx="50">
                  <c:v>7.7700077700077657</c:v>
                </c:pt>
                <c:pt idx="51">
                  <c:v>6.8200493015612125</c:v>
                </c:pt>
                <c:pt idx="52">
                  <c:v>2.7586206896551744</c:v>
                </c:pt>
                <c:pt idx="53">
                  <c:v>-0.47169811320755173</c:v>
                </c:pt>
                <c:pt idx="54">
                  <c:v>0.33840947546531197</c:v>
                </c:pt>
                <c:pt idx="55">
                  <c:v>2.2888713496448219</c:v>
                </c:pt>
                <c:pt idx="56">
                  <c:v>2.9029793735675895</c:v>
                </c:pt>
                <c:pt idx="57">
                  <c:v>-2.6792179580014448</c:v>
                </c:pt>
                <c:pt idx="58">
                  <c:v>-3.1088082901554372</c:v>
                </c:pt>
                <c:pt idx="59">
                  <c:v>-5.9895833333333286</c:v>
                </c:pt>
                <c:pt idx="60">
                  <c:v>3.8796516231195426</c:v>
                </c:pt>
                <c:pt idx="61">
                  <c:v>7.9844961240310255</c:v>
                </c:pt>
                <c:pt idx="62">
                  <c:v>-3.7490987743330919</c:v>
                </c:pt>
                <c:pt idx="63">
                  <c:v>-6.2307692307692264</c:v>
                </c:pt>
                <c:pt idx="64">
                  <c:v>-8.873974645786717</c:v>
                </c:pt>
                <c:pt idx="65">
                  <c:v>2.0537124802527558</c:v>
                </c:pt>
                <c:pt idx="66">
                  <c:v>9.7807757166947624</c:v>
                </c:pt>
              </c:numCache>
            </c:numRef>
          </c:val>
          <c:smooth val="1"/>
          <c:extLst>
            <c:ext xmlns:c16="http://schemas.microsoft.com/office/drawing/2014/chart" uri="{C3380CC4-5D6E-409C-BE32-E72D297353CC}">
              <c16:uniqueId val="{00000002-75E5-47AA-B397-CC19D665CC19}"/>
            </c:ext>
          </c:extLst>
        </c:ser>
        <c:dLbls>
          <c:showLegendKey val="0"/>
          <c:showVal val="0"/>
          <c:showCatName val="0"/>
          <c:showSerName val="0"/>
          <c:showPercent val="0"/>
          <c:showBubbleSize val="0"/>
        </c:dLbls>
        <c:marker val="1"/>
        <c:smooth val="0"/>
        <c:axId val="116528976"/>
        <c:axId val="116529368"/>
      </c:lineChart>
      <c:catAx>
        <c:axId val="116528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lv-LV"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529368"/>
        <c:crosses val="autoZero"/>
        <c:auto val="1"/>
        <c:lblAlgn val="ctr"/>
        <c:lblOffset val="100"/>
        <c:noMultiLvlLbl val="0"/>
      </c:catAx>
      <c:valAx>
        <c:axId val="116529368"/>
        <c:scaling>
          <c:orientation val="minMax"/>
          <c:max val="20"/>
          <c:min val="-1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lv-LV"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528976"/>
        <c:crosses val="autoZero"/>
        <c:crossBetween val="between"/>
      </c:valAx>
      <c:spPr>
        <a:noFill/>
        <a:ln>
          <a:noFill/>
        </a:ln>
        <a:effectLst/>
      </c:spPr>
    </c:plotArea>
    <c:legend>
      <c:legendPos val="b"/>
      <c:layout>
        <c:manualLayout>
          <c:xMode val="edge"/>
          <c:yMode val="edge"/>
          <c:x val="4.9999905200869874E-2"/>
          <c:y val="0.91203436231088175"/>
          <c:w val="0.9"/>
          <c:h val="8.7965637689118262E-2"/>
        </c:manualLayout>
      </c:layout>
      <c:overlay val="0"/>
      <c:spPr>
        <a:noFill/>
        <a:ln>
          <a:noFill/>
        </a:ln>
        <a:effectLst/>
      </c:spPr>
      <c:txPr>
        <a:bodyPr rot="0" spcFirstLastPara="1" vertOverflow="ellipsis" vert="horz" wrap="square" anchor="ctr" anchorCtr="1"/>
        <a:lstStyle/>
        <a:p>
          <a:pPr>
            <a:defRPr lang="lv-LV"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lgn="ctr">
        <a:defRPr lang="lv-LV"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80385868711139E-2"/>
          <c:y val="4.5862060924516723E-2"/>
          <c:w val="0.91036442045080024"/>
          <c:h val="0.67380393467598376"/>
        </c:manualLayout>
      </c:layout>
      <c:barChart>
        <c:barDir val="col"/>
        <c:grouping val="clustered"/>
        <c:varyColors val="0"/>
        <c:ser>
          <c:idx val="0"/>
          <c:order val="0"/>
          <c:spPr>
            <a:solidFill>
              <a:schemeClr val="tx1">
                <a:lumMod val="65000"/>
                <a:lumOff val="35000"/>
              </a:schemeClr>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4379-4311-B14A-8D68A160525C}"/>
              </c:ext>
            </c:extLst>
          </c:dPt>
          <c:dPt>
            <c:idx val="5"/>
            <c:invertIfNegative val="0"/>
            <c:bubble3D val="0"/>
            <c:spPr>
              <a:solidFill>
                <a:srgbClr val="00B050"/>
              </a:solidFill>
              <a:ln>
                <a:noFill/>
              </a:ln>
              <a:effectLst/>
            </c:spPr>
            <c:extLst>
              <c:ext xmlns:c16="http://schemas.microsoft.com/office/drawing/2014/chart" uri="{C3380CC4-5D6E-409C-BE32-E72D297353CC}">
                <c16:uniqueId val="{00000003-4379-4311-B14A-8D68A160525C}"/>
              </c:ext>
            </c:extLst>
          </c:dPt>
          <c:dPt>
            <c:idx val="8"/>
            <c:invertIfNegative val="0"/>
            <c:bubble3D val="0"/>
            <c:spPr>
              <a:solidFill>
                <a:srgbClr val="0070C0"/>
              </a:solidFill>
              <a:ln>
                <a:noFill/>
              </a:ln>
              <a:effectLst/>
            </c:spPr>
            <c:extLst>
              <c:ext xmlns:c16="http://schemas.microsoft.com/office/drawing/2014/chart" uri="{C3380CC4-5D6E-409C-BE32-E72D297353CC}">
                <c16:uniqueId val="{00000005-4379-4311-B14A-8D68A160525C}"/>
              </c:ext>
            </c:extLst>
          </c:dPt>
          <c:dPt>
            <c:idx val="16"/>
            <c:invertIfNegative val="0"/>
            <c:bubble3D val="0"/>
            <c:spPr>
              <a:solidFill>
                <a:srgbClr val="002060"/>
              </a:solidFill>
              <a:ln>
                <a:noFill/>
              </a:ln>
              <a:effectLst/>
            </c:spPr>
            <c:extLst>
              <c:ext xmlns:c16="http://schemas.microsoft.com/office/drawing/2014/chart" uri="{C3380CC4-5D6E-409C-BE32-E72D297353CC}">
                <c16:uniqueId val="{00000007-4379-4311-B14A-8D68A160525C}"/>
              </c:ext>
            </c:extLst>
          </c:dPt>
          <c:dLbls>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379-4311-B14A-8D68A160525C}"/>
                </c:ext>
              </c:extLst>
            </c:dLbl>
            <c:dLbl>
              <c:idx val="5"/>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379-4311-B14A-8D68A160525C}"/>
                </c:ext>
              </c:extLst>
            </c:dLbl>
            <c:dLbl>
              <c:idx val="8"/>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379-4311-B14A-8D68A160525C}"/>
                </c:ext>
              </c:extLst>
            </c:dLbl>
            <c:dLbl>
              <c:idx val="16"/>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379-4311-B14A-8D68A160525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Sheet1!$A$14:$A$40</c:f>
              <c:strCache>
                <c:ptCount val="27"/>
                <c:pt idx="0">
                  <c:v>Somija</c:v>
                </c:pt>
                <c:pt idx="1">
                  <c:v>Latvija</c:v>
                </c:pt>
                <c:pt idx="2">
                  <c:v>Grieķija</c:v>
                </c:pt>
                <c:pt idx="3">
                  <c:v>Malta</c:v>
                </c:pt>
                <c:pt idx="4">
                  <c:v>Dānija</c:v>
                </c:pt>
                <c:pt idx="5">
                  <c:v>Lietuva</c:v>
                </c:pt>
                <c:pt idx="6">
                  <c:v>Horvātija</c:v>
                </c:pt>
                <c:pt idx="7">
                  <c:v>Nīderlande</c:v>
                </c:pt>
                <c:pt idx="8">
                  <c:v>Igaunija</c:v>
                </c:pt>
                <c:pt idx="9">
                  <c:v>Beļģija</c:v>
                </c:pt>
                <c:pt idx="10">
                  <c:v>Zviedrija</c:v>
                </c:pt>
                <c:pt idx="11">
                  <c:v>Bulgārija</c:v>
                </c:pt>
                <c:pt idx="12">
                  <c:v>Polija</c:v>
                </c:pt>
                <c:pt idx="13">
                  <c:v>Slovēnija</c:v>
                </c:pt>
                <c:pt idx="14">
                  <c:v>Austrija</c:v>
                </c:pt>
                <c:pt idx="15">
                  <c:v>Kipra</c:v>
                </c:pt>
                <c:pt idx="16">
                  <c:v>ES-27</c:v>
                </c:pt>
                <c:pt idx="17">
                  <c:v>Vācija</c:v>
                </c:pt>
                <c:pt idx="18">
                  <c:v>Čehija</c:v>
                </c:pt>
                <c:pt idx="19">
                  <c:v>Francija</c:v>
                </c:pt>
                <c:pt idx="20">
                  <c:v>Ungārija</c:v>
                </c:pt>
                <c:pt idx="21">
                  <c:v>Portugāle</c:v>
                </c:pt>
                <c:pt idx="22">
                  <c:v>Spānija</c:v>
                </c:pt>
                <c:pt idx="23">
                  <c:v>Luksemburga</c:v>
                </c:pt>
                <c:pt idx="24">
                  <c:v>Itālija</c:v>
                </c:pt>
                <c:pt idx="25">
                  <c:v>Rumānija</c:v>
                </c:pt>
                <c:pt idx="26">
                  <c:v>Slovākija</c:v>
                </c:pt>
              </c:strCache>
            </c:strRef>
          </c:cat>
          <c:val>
            <c:numRef>
              <c:f>Sheet1!$AC$14:$AC$40</c:f>
              <c:numCache>
                <c:formatCode>0.0</c:formatCode>
                <c:ptCount val="27"/>
                <c:pt idx="0">
                  <c:v>-6.0433295324971539</c:v>
                </c:pt>
                <c:pt idx="1">
                  <c:v>-6.066225165562912</c:v>
                </c:pt>
                <c:pt idx="2">
                  <c:v>-7.24805082298586</c:v>
                </c:pt>
                <c:pt idx="3">
                  <c:v>-7.6101468624833188</c:v>
                </c:pt>
                <c:pt idx="4">
                  <c:v>-7.6468934495361225</c:v>
                </c:pt>
                <c:pt idx="5">
                  <c:v>-7.7536431124553218</c:v>
                </c:pt>
                <c:pt idx="6">
                  <c:v>-9.4874923733984105</c:v>
                </c:pt>
                <c:pt idx="7">
                  <c:v>-10.855565777368909</c:v>
                </c:pt>
                <c:pt idx="8">
                  <c:v>-12.754674853474725</c:v>
                </c:pt>
                <c:pt idx="9">
                  <c:v>-12.762892538173446</c:v>
                </c:pt>
                <c:pt idx="10">
                  <c:v>-15.052245128494775</c:v>
                </c:pt>
                <c:pt idx="11">
                  <c:v>-15.060588574725926</c:v>
                </c:pt>
                <c:pt idx="12">
                  <c:v>-16.028900187316026</c:v>
                </c:pt>
                <c:pt idx="13">
                  <c:v>-17.725668179525982</c:v>
                </c:pt>
                <c:pt idx="14">
                  <c:v>-18.474726574046713</c:v>
                </c:pt>
                <c:pt idx="15">
                  <c:v>-20.28817104345805</c:v>
                </c:pt>
                <c:pt idx="16">
                  <c:v>-20.893682588597827</c:v>
                </c:pt>
                <c:pt idx="17">
                  <c:v>-22.617493472584854</c:v>
                </c:pt>
                <c:pt idx="18">
                  <c:v>-24.779492833517097</c:v>
                </c:pt>
                <c:pt idx="19">
                  <c:v>-24.805719614547741</c:v>
                </c:pt>
                <c:pt idx="20">
                  <c:v>-26.154702281580413</c:v>
                </c:pt>
                <c:pt idx="21">
                  <c:v>-26.227470478558104</c:v>
                </c:pt>
                <c:pt idx="22">
                  <c:v>-26.480117820324011</c:v>
                </c:pt>
                <c:pt idx="23">
                  <c:v>-26.786843769765966</c:v>
                </c:pt>
                <c:pt idx="24">
                  <c:v>-27.226233453670275</c:v>
                </c:pt>
                <c:pt idx="25">
                  <c:v>-29.214092140921395</c:v>
                </c:pt>
                <c:pt idx="26">
                  <c:v>-32.003325020781375</c:v>
                </c:pt>
              </c:numCache>
            </c:numRef>
          </c:val>
          <c:extLst>
            <c:ext xmlns:c16="http://schemas.microsoft.com/office/drawing/2014/chart" uri="{C3380CC4-5D6E-409C-BE32-E72D297353CC}">
              <c16:uniqueId val="{00000008-4379-4311-B14A-8D68A160525C}"/>
            </c:ext>
          </c:extLst>
        </c:ser>
        <c:dLbls>
          <c:showLegendKey val="0"/>
          <c:showVal val="0"/>
          <c:showCatName val="0"/>
          <c:showSerName val="0"/>
          <c:showPercent val="0"/>
          <c:showBubbleSize val="0"/>
        </c:dLbls>
        <c:gapWidth val="50"/>
        <c:overlap val="-27"/>
        <c:axId val="1330918832"/>
        <c:axId val="1330919664"/>
      </c:barChart>
      <c:catAx>
        <c:axId val="1330918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330919664"/>
        <c:crosses val="autoZero"/>
        <c:auto val="1"/>
        <c:lblAlgn val="ctr"/>
        <c:lblOffset val="100"/>
        <c:noMultiLvlLbl val="0"/>
      </c:catAx>
      <c:valAx>
        <c:axId val="1330919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crossAx val="133091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dkUpDiag">
                <a:fgClr>
                  <a:srgbClr val="0070C0"/>
                </a:fgClr>
                <a:bgClr>
                  <a:schemeClr val="bg1"/>
                </a:bgClr>
              </a:pattFill>
              <a:ln w="19050">
                <a:solidFill>
                  <a:schemeClr val="lt1"/>
                </a:solidFill>
              </a:ln>
              <a:effectLst/>
            </c:spPr>
            <c:extLst>
              <c:ext xmlns:c16="http://schemas.microsoft.com/office/drawing/2014/chart" uri="{C3380CC4-5D6E-409C-BE32-E72D297353CC}">
                <c16:uniqueId val="{00000001-67D0-4C11-918F-58A4A6E4D058}"/>
              </c:ext>
            </c:extLst>
          </c:dPt>
          <c:dPt>
            <c:idx val="1"/>
            <c:bubble3D val="0"/>
            <c:spPr>
              <a:pattFill prst="dkUpDiag">
                <a:fgClr>
                  <a:srgbClr val="00B050"/>
                </a:fgClr>
                <a:bgClr>
                  <a:schemeClr val="bg1"/>
                </a:bgClr>
              </a:pattFill>
              <a:ln w="19050">
                <a:solidFill>
                  <a:schemeClr val="lt1"/>
                </a:solidFill>
              </a:ln>
              <a:effectLst/>
            </c:spPr>
            <c:extLst>
              <c:ext xmlns:c16="http://schemas.microsoft.com/office/drawing/2014/chart" uri="{C3380CC4-5D6E-409C-BE32-E72D297353CC}">
                <c16:uniqueId val="{00000003-67D0-4C11-918F-58A4A6E4D058}"/>
              </c:ext>
            </c:extLst>
          </c:dPt>
          <c:dPt>
            <c:idx val="2"/>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5-67D0-4C11-918F-58A4A6E4D058}"/>
              </c:ext>
            </c:extLst>
          </c:dPt>
          <c:dLbls>
            <c:dLbl>
              <c:idx val="0"/>
              <c:layout>
                <c:manualLayout>
                  <c:x val="9.6927712160979881E-2"/>
                  <c:y val="1.4619883040935672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7D0-4C11-918F-58A4A6E4D058}"/>
                </c:ext>
              </c:extLst>
            </c:dLbl>
            <c:dLbl>
              <c:idx val="1"/>
              <c:layout>
                <c:manualLayout>
                  <c:x val="-2.5000000000000001E-2"/>
                  <c:y val="5.6458534788414609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24444444444444444"/>
                      <c:h val="0.20760233918128654"/>
                    </c:manualLayout>
                  </c15:layout>
                </c:ext>
                <c:ext xmlns:c16="http://schemas.microsoft.com/office/drawing/2014/chart" uri="{C3380CC4-5D6E-409C-BE32-E72D297353CC}">
                  <c16:uniqueId val="{00000003-67D0-4C11-918F-58A4A6E4D058}"/>
                </c:ext>
              </c:extLst>
            </c:dLbl>
            <c:dLbl>
              <c:idx val="2"/>
              <c:layout>
                <c:manualLayout>
                  <c:x val="3.3333333333333333E-2"/>
                  <c:y val="1.943730717870792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28402777777777777"/>
                      <c:h val="0.195906432748538"/>
                    </c:manualLayout>
                  </c15:layout>
                </c:ext>
                <c:ext xmlns:c16="http://schemas.microsoft.com/office/drawing/2014/chart" uri="{C3380CC4-5D6E-409C-BE32-E72D297353CC}">
                  <c16:uniqueId val="{00000005-67D0-4C11-918F-58A4A6E4D05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0"/>
            <c:extLst>
              <c:ext xmlns:c15="http://schemas.microsoft.com/office/drawing/2012/chart" uri="{CE6537A1-D6FC-4f65-9D91-7224C49458BB}"/>
            </c:extLst>
          </c:dLbls>
          <c:cat>
            <c:strRef>
              <c:f>'[lauks_tirdzn.xlsx]Tirdzniecība(G)'!$B$8:$B$10</c:f>
              <c:strCache>
                <c:ptCount val="3"/>
                <c:pt idx="0">
                  <c:v>Automobiļu un motociklu tirdzniecība un remonts</c:v>
                </c:pt>
                <c:pt idx="1">
                  <c:v>Vairumtirdzniecība</c:v>
                </c:pt>
                <c:pt idx="2">
                  <c:v>Mazumtirdzniecība</c:v>
                </c:pt>
              </c:strCache>
            </c:strRef>
          </c:cat>
          <c:val>
            <c:numRef>
              <c:f>'[lauks_tirdzn.xlsx]Tirdzniecība(G)'!$N$8:$N$10</c:f>
              <c:numCache>
                <c:formatCode>0%</c:formatCode>
                <c:ptCount val="3"/>
                <c:pt idx="0">
                  <c:v>9.7000000000000003E-2</c:v>
                </c:pt>
                <c:pt idx="1">
                  <c:v>0.47299999999999998</c:v>
                </c:pt>
                <c:pt idx="2">
                  <c:v>0.43099999999999999</c:v>
                </c:pt>
              </c:numCache>
            </c:numRef>
          </c:val>
          <c:extLst>
            <c:ext xmlns:c16="http://schemas.microsoft.com/office/drawing/2014/chart" uri="{C3380CC4-5D6E-409C-BE32-E72D297353CC}">
              <c16:uniqueId val="{00000006-67D0-4C11-918F-58A4A6E4D058}"/>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1"/>
          <c:tx>
            <c:strRef>
              <c:f>Mazumtirdzniecība!$L$2</c:f>
              <c:strCache>
                <c:ptCount val="1"/>
                <c:pt idx="0">
                  <c:v>Degviela</c:v>
                </c:pt>
              </c:strCache>
            </c:strRef>
          </c:tx>
          <c:spPr>
            <a:solidFill>
              <a:schemeClr val="tx1">
                <a:lumMod val="50000"/>
                <a:lumOff val="50000"/>
              </a:schemeClr>
            </a:solidFill>
            <a:ln>
              <a:solidFill>
                <a:schemeClr val="tx1">
                  <a:lumMod val="50000"/>
                  <a:lumOff val="50000"/>
                </a:schemeClr>
              </a:solidFill>
            </a:ln>
            <a:effectLst/>
          </c:spPr>
          <c:invertIfNegative val="0"/>
          <c:cat>
            <c:multiLvlStrRef>
              <c:f>Mazumtirdzniecība!$A$183:$B$250</c:f>
              <c:multiLvlStrCache>
                <c:ptCount val="6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lvl>
                <c:lvl>
                  <c:pt idx="0">
                    <c:v>2015</c:v>
                  </c:pt>
                  <c:pt idx="12">
                    <c:v>2016</c:v>
                  </c:pt>
                  <c:pt idx="24">
                    <c:v>2017</c:v>
                  </c:pt>
                  <c:pt idx="36">
                    <c:v>2018</c:v>
                  </c:pt>
                  <c:pt idx="48">
                    <c:v>2019</c:v>
                  </c:pt>
                  <c:pt idx="60">
                    <c:v>2020</c:v>
                  </c:pt>
                </c:lvl>
              </c:multiLvlStrCache>
            </c:multiLvlStrRef>
          </c:cat>
          <c:val>
            <c:numRef>
              <c:f>Mazumtirdzniecība!$L$183:$L$250</c:f>
              <c:numCache>
                <c:formatCode>0.0</c:formatCode>
                <c:ptCount val="68"/>
                <c:pt idx="0">
                  <c:v>1.7149243536465817</c:v>
                </c:pt>
                <c:pt idx="1">
                  <c:v>4.3743284765561272</c:v>
                </c:pt>
                <c:pt idx="2">
                  <c:v>4.0001141219226408</c:v>
                </c:pt>
                <c:pt idx="3">
                  <c:v>0.63121542987744994</c:v>
                </c:pt>
                <c:pt idx="4">
                  <c:v>2.6532121130539359</c:v>
                </c:pt>
                <c:pt idx="5">
                  <c:v>2.7125288245809789</c:v>
                </c:pt>
                <c:pt idx="6">
                  <c:v>1.6695303312728023</c:v>
                </c:pt>
                <c:pt idx="7">
                  <c:v>2.4089923633437405</c:v>
                </c:pt>
                <c:pt idx="8">
                  <c:v>8.1984016616855615E-2</c:v>
                </c:pt>
                <c:pt idx="9">
                  <c:v>2.6000896244693799</c:v>
                </c:pt>
                <c:pt idx="10">
                  <c:v>-1.3972550988530983</c:v>
                </c:pt>
                <c:pt idx="11">
                  <c:v>-0.23585785800510842</c:v>
                </c:pt>
                <c:pt idx="12">
                  <c:v>5.1361570755265068E-2</c:v>
                </c:pt>
                <c:pt idx="13">
                  <c:v>-1.423574337641375</c:v>
                </c:pt>
                <c:pt idx="14">
                  <c:v>-1.5049564132460806</c:v>
                </c:pt>
                <c:pt idx="15">
                  <c:v>6.3854049217918443E-2</c:v>
                </c:pt>
                <c:pt idx="16">
                  <c:v>1.6425577659198083</c:v>
                </c:pt>
                <c:pt idx="17">
                  <c:v>0.8258180535750711</c:v>
                </c:pt>
                <c:pt idx="18">
                  <c:v>1.9743163282875269</c:v>
                </c:pt>
                <c:pt idx="19">
                  <c:v>-9.990578934229237E-2</c:v>
                </c:pt>
                <c:pt idx="20">
                  <c:v>-0.27381320699775746</c:v>
                </c:pt>
                <c:pt idx="21">
                  <c:v>-0.76695202278754426</c:v>
                </c:pt>
                <c:pt idx="22">
                  <c:v>1.8648146578213218</c:v>
                </c:pt>
                <c:pt idx="23">
                  <c:v>1.5544752882548956</c:v>
                </c:pt>
                <c:pt idx="24">
                  <c:v>1.6075275253363388</c:v>
                </c:pt>
                <c:pt idx="25">
                  <c:v>2.1803258284716773</c:v>
                </c:pt>
                <c:pt idx="26">
                  <c:v>1.8402935736026236</c:v>
                </c:pt>
                <c:pt idx="27">
                  <c:v>1.2199028717582008</c:v>
                </c:pt>
                <c:pt idx="28">
                  <c:v>0.12295483468139119</c:v>
                </c:pt>
                <c:pt idx="29">
                  <c:v>-0.28479405816711062</c:v>
                </c:pt>
                <c:pt idx="30">
                  <c:v>-0.42094555042996074</c:v>
                </c:pt>
                <c:pt idx="31">
                  <c:v>-0.3560699912096168</c:v>
                </c:pt>
                <c:pt idx="32">
                  <c:v>-0.34488911133392708</c:v>
                </c:pt>
                <c:pt idx="33">
                  <c:v>-0.224724626864235</c:v>
                </c:pt>
                <c:pt idx="34">
                  <c:v>0.97130183748832888</c:v>
                </c:pt>
                <c:pt idx="35">
                  <c:v>1.1404367366115999</c:v>
                </c:pt>
                <c:pt idx="36">
                  <c:v>0.5878955283624101</c:v>
                </c:pt>
                <c:pt idx="37">
                  <c:v>1.7081194808282756</c:v>
                </c:pt>
                <c:pt idx="38">
                  <c:v>1.1651849400451557</c:v>
                </c:pt>
                <c:pt idx="39">
                  <c:v>0.64012259604385502</c:v>
                </c:pt>
                <c:pt idx="40">
                  <c:v>1.3303341145396146</c:v>
                </c:pt>
                <c:pt idx="41">
                  <c:v>0.842538790347646</c:v>
                </c:pt>
                <c:pt idx="42">
                  <c:v>1.2082951850648125</c:v>
                </c:pt>
                <c:pt idx="43">
                  <c:v>0.1585931724223571</c:v>
                </c:pt>
                <c:pt idx="44">
                  <c:v>-1.6450210912319536E-2</c:v>
                </c:pt>
                <c:pt idx="45">
                  <c:v>-0.21742440848603309</c:v>
                </c:pt>
                <c:pt idx="46">
                  <c:v>-0.20732526698280107</c:v>
                </c:pt>
                <c:pt idx="47">
                  <c:v>-0.43425416990017657</c:v>
                </c:pt>
                <c:pt idx="48">
                  <c:v>0.47075612258348709</c:v>
                </c:pt>
                <c:pt idx="49">
                  <c:v>-0.32329674480853882</c:v>
                </c:pt>
                <c:pt idx="50">
                  <c:v>0.46811941039766208</c:v>
                </c:pt>
                <c:pt idx="51">
                  <c:v>0.85059004725072918</c:v>
                </c:pt>
                <c:pt idx="52">
                  <c:v>-0.49484013870518484</c:v>
                </c:pt>
                <c:pt idx="53">
                  <c:v>0.17522640684125326</c:v>
                </c:pt>
                <c:pt idx="54">
                  <c:v>-0.33658602182339592</c:v>
                </c:pt>
                <c:pt idx="55">
                  <c:v>0.35101994716406781</c:v>
                </c:pt>
                <c:pt idx="56">
                  <c:v>-7.9944235800342323E-2</c:v>
                </c:pt>
                <c:pt idx="57">
                  <c:v>-0.51676551191014086</c:v>
                </c:pt>
                <c:pt idx="58">
                  <c:v>-0.11122570571451125</c:v>
                </c:pt>
                <c:pt idx="59">
                  <c:v>0.49466778428800195</c:v>
                </c:pt>
                <c:pt idx="60">
                  <c:v>-1.1993304818379762</c:v>
                </c:pt>
                <c:pt idx="61">
                  <c:v>1.3584314204661552</c:v>
                </c:pt>
                <c:pt idx="62">
                  <c:v>0.45918663389244985</c:v>
                </c:pt>
                <c:pt idx="63">
                  <c:v>-0.80506114718707378</c:v>
                </c:pt>
                <c:pt idx="64">
                  <c:v>0.41118378515495468</c:v>
                </c:pt>
                <c:pt idx="65">
                  <c:v>1.1142055025998194</c:v>
                </c:pt>
                <c:pt idx="66">
                  <c:v>1.1512511199399011</c:v>
                </c:pt>
                <c:pt idx="67">
                  <c:v>1.9727784295460022</c:v>
                </c:pt>
              </c:numCache>
            </c:numRef>
          </c:val>
          <c:extLst>
            <c:ext xmlns:c16="http://schemas.microsoft.com/office/drawing/2014/chart" uri="{C3380CC4-5D6E-409C-BE32-E72D297353CC}">
              <c16:uniqueId val="{00000000-7F79-42D4-89C9-3E81C0EBCEA9}"/>
            </c:ext>
          </c:extLst>
        </c:ser>
        <c:ser>
          <c:idx val="2"/>
          <c:order val="2"/>
          <c:tx>
            <c:strRef>
              <c:f>Mazumtirdzniecība!$M$2</c:f>
              <c:strCache>
                <c:ptCount val="1"/>
                <c:pt idx="0">
                  <c:v>Pārtika</c:v>
                </c:pt>
              </c:strCache>
            </c:strRef>
          </c:tx>
          <c:spPr>
            <a:pattFill prst="dkUpDiag">
              <a:fgClr>
                <a:srgbClr val="00B050"/>
              </a:fgClr>
              <a:bgClr>
                <a:schemeClr val="bg1"/>
              </a:bgClr>
            </a:pattFill>
            <a:ln>
              <a:solidFill>
                <a:srgbClr val="00B050"/>
              </a:solidFill>
            </a:ln>
            <a:effectLst/>
          </c:spPr>
          <c:invertIfNegative val="0"/>
          <c:cat>
            <c:multiLvlStrRef>
              <c:f>Mazumtirdzniecība!$A$183:$B$250</c:f>
              <c:multiLvlStrCache>
                <c:ptCount val="6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lvl>
                <c:lvl>
                  <c:pt idx="0">
                    <c:v>2015</c:v>
                  </c:pt>
                  <c:pt idx="12">
                    <c:v>2016</c:v>
                  </c:pt>
                  <c:pt idx="24">
                    <c:v>2017</c:v>
                  </c:pt>
                  <c:pt idx="36">
                    <c:v>2018</c:v>
                  </c:pt>
                  <c:pt idx="48">
                    <c:v>2019</c:v>
                  </c:pt>
                  <c:pt idx="60">
                    <c:v>2020</c:v>
                  </c:pt>
                </c:lvl>
              </c:multiLvlStrCache>
            </c:multiLvlStrRef>
          </c:cat>
          <c:val>
            <c:numRef>
              <c:f>Mazumtirdzniecība!$M$183:$M$250</c:f>
              <c:numCache>
                <c:formatCode>0.0</c:formatCode>
                <c:ptCount val="68"/>
                <c:pt idx="0">
                  <c:v>1.9992678055506861</c:v>
                </c:pt>
                <c:pt idx="1">
                  <c:v>2.5450550551815994</c:v>
                </c:pt>
                <c:pt idx="2">
                  <c:v>0.68860060267986023</c:v>
                </c:pt>
                <c:pt idx="3">
                  <c:v>0.4300872929103523</c:v>
                </c:pt>
                <c:pt idx="4">
                  <c:v>-8.2746380612293891E-2</c:v>
                </c:pt>
                <c:pt idx="5">
                  <c:v>1.2231462413262497</c:v>
                </c:pt>
                <c:pt idx="6">
                  <c:v>1.0786833270143297</c:v>
                </c:pt>
                <c:pt idx="7">
                  <c:v>1.0794656856594675</c:v>
                </c:pt>
                <c:pt idx="8">
                  <c:v>1.1578582222811546</c:v>
                </c:pt>
                <c:pt idx="9">
                  <c:v>1.3446321450564604</c:v>
                </c:pt>
                <c:pt idx="10">
                  <c:v>1.1607531801953823</c:v>
                </c:pt>
                <c:pt idx="11">
                  <c:v>1.5948830162285907</c:v>
                </c:pt>
                <c:pt idx="12">
                  <c:v>0.27934869509624988</c:v>
                </c:pt>
                <c:pt idx="13">
                  <c:v>9.8243551300253654E-2</c:v>
                </c:pt>
                <c:pt idx="14">
                  <c:v>0.30942087467122753</c:v>
                </c:pt>
                <c:pt idx="15">
                  <c:v>-4.1932257947859125E-2</c:v>
                </c:pt>
                <c:pt idx="16">
                  <c:v>0.73687190861691299</c:v>
                </c:pt>
                <c:pt idx="17">
                  <c:v>0.32255673523024986</c:v>
                </c:pt>
                <c:pt idx="18">
                  <c:v>-1.5303572676597794</c:v>
                </c:pt>
                <c:pt idx="19">
                  <c:v>-0.87996945931023907</c:v>
                </c:pt>
                <c:pt idx="20">
                  <c:v>-0.51769736684592205</c:v>
                </c:pt>
                <c:pt idx="21">
                  <c:v>-1.1585736240934448</c:v>
                </c:pt>
                <c:pt idx="22">
                  <c:v>-0.77511240240016865</c:v>
                </c:pt>
                <c:pt idx="23">
                  <c:v>-2.3376756574442719</c:v>
                </c:pt>
                <c:pt idx="24">
                  <c:v>-4.4133577946711883E-2</c:v>
                </c:pt>
                <c:pt idx="25">
                  <c:v>-0.14125240577669312</c:v>
                </c:pt>
                <c:pt idx="26">
                  <c:v>8.3911846709855575E-2</c:v>
                </c:pt>
                <c:pt idx="27">
                  <c:v>1.1713374397144813</c:v>
                </c:pt>
                <c:pt idx="28">
                  <c:v>1.5025092853307256</c:v>
                </c:pt>
                <c:pt idx="29">
                  <c:v>0.88158653377459451</c:v>
                </c:pt>
                <c:pt idx="30">
                  <c:v>2.4570186109186811</c:v>
                </c:pt>
                <c:pt idx="31">
                  <c:v>3.0957151258977333</c:v>
                </c:pt>
                <c:pt idx="32">
                  <c:v>2.1958415654420755</c:v>
                </c:pt>
                <c:pt idx="33">
                  <c:v>1.6902126710623016</c:v>
                </c:pt>
                <c:pt idx="34">
                  <c:v>2.2913082274426135</c:v>
                </c:pt>
                <c:pt idx="35">
                  <c:v>3.9358698349066774</c:v>
                </c:pt>
                <c:pt idx="36">
                  <c:v>2.5259284478988659</c:v>
                </c:pt>
                <c:pt idx="37">
                  <c:v>1.8965169287212487</c:v>
                </c:pt>
                <c:pt idx="38">
                  <c:v>2.682768323215504</c:v>
                </c:pt>
                <c:pt idx="39">
                  <c:v>0.68718976322311676</c:v>
                </c:pt>
                <c:pt idx="40">
                  <c:v>2.570208510096994</c:v>
                </c:pt>
                <c:pt idx="41">
                  <c:v>2.6786391435322452</c:v>
                </c:pt>
                <c:pt idx="42">
                  <c:v>2.0161909532883073</c:v>
                </c:pt>
                <c:pt idx="43">
                  <c:v>1.1112938789696307</c:v>
                </c:pt>
                <c:pt idx="44">
                  <c:v>0.78028193972068349</c:v>
                </c:pt>
                <c:pt idx="45">
                  <c:v>1.6354927969645496</c:v>
                </c:pt>
                <c:pt idx="46">
                  <c:v>1.6153147564567849</c:v>
                </c:pt>
                <c:pt idx="47">
                  <c:v>0.62101616690001615</c:v>
                </c:pt>
                <c:pt idx="48">
                  <c:v>-0.24744809883355448</c:v>
                </c:pt>
                <c:pt idx="49">
                  <c:v>1.4396918560460041</c:v>
                </c:pt>
                <c:pt idx="50">
                  <c:v>0.19619169760146152</c:v>
                </c:pt>
                <c:pt idx="51">
                  <c:v>2.6969329773591326</c:v>
                </c:pt>
                <c:pt idx="52">
                  <c:v>-0.1449420632036372</c:v>
                </c:pt>
                <c:pt idx="53">
                  <c:v>0.29771028157093599</c:v>
                </c:pt>
                <c:pt idx="54">
                  <c:v>0.56566091904660798</c:v>
                </c:pt>
                <c:pt idx="55">
                  <c:v>0.17514770306747099</c:v>
                </c:pt>
                <c:pt idx="56">
                  <c:v>0.30633921611379461</c:v>
                </c:pt>
                <c:pt idx="57">
                  <c:v>3.7229834410862528E-2</c:v>
                </c:pt>
                <c:pt idx="58">
                  <c:v>0.4629234963579904</c:v>
                </c:pt>
                <c:pt idx="59">
                  <c:v>0.26626113605090657</c:v>
                </c:pt>
                <c:pt idx="60">
                  <c:v>1.7875164086537401</c:v>
                </c:pt>
                <c:pt idx="61">
                  <c:v>1.1753560736000888</c:v>
                </c:pt>
                <c:pt idx="62">
                  <c:v>3.0615116792741146</c:v>
                </c:pt>
                <c:pt idx="63">
                  <c:v>-1.5521771372250965</c:v>
                </c:pt>
                <c:pt idx="64">
                  <c:v>0.71428735895869144</c:v>
                </c:pt>
                <c:pt idx="65">
                  <c:v>2.2323503395287396</c:v>
                </c:pt>
                <c:pt idx="66">
                  <c:v>0.74462422934345429</c:v>
                </c:pt>
                <c:pt idx="67">
                  <c:v>1.6909610982083045</c:v>
                </c:pt>
              </c:numCache>
            </c:numRef>
          </c:val>
          <c:extLst>
            <c:ext xmlns:c16="http://schemas.microsoft.com/office/drawing/2014/chart" uri="{C3380CC4-5D6E-409C-BE32-E72D297353CC}">
              <c16:uniqueId val="{00000001-7F79-42D4-89C9-3E81C0EBCEA9}"/>
            </c:ext>
          </c:extLst>
        </c:ser>
        <c:ser>
          <c:idx val="3"/>
          <c:order val="3"/>
          <c:tx>
            <c:strRef>
              <c:f>Mazumtirdzniecība!$N$2</c:f>
              <c:strCache>
                <c:ptCount val="1"/>
                <c:pt idx="0">
                  <c:v>Nepārtika (-degviela)</c:v>
                </c:pt>
              </c:strCache>
            </c:strRef>
          </c:tx>
          <c:spPr>
            <a:solidFill>
              <a:srgbClr val="0070C0"/>
            </a:solidFill>
            <a:ln>
              <a:solidFill>
                <a:srgbClr val="0070C0"/>
              </a:solidFill>
            </a:ln>
            <a:effectLst/>
          </c:spPr>
          <c:invertIfNegative val="0"/>
          <c:cat>
            <c:multiLvlStrRef>
              <c:f>Mazumtirdzniecība!$A$183:$B$250</c:f>
              <c:multiLvlStrCache>
                <c:ptCount val="6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lvl>
                <c:lvl>
                  <c:pt idx="0">
                    <c:v>2015</c:v>
                  </c:pt>
                  <c:pt idx="12">
                    <c:v>2016</c:v>
                  </c:pt>
                  <c:pt idx="24">
                    <c:v>2017</c:v>
                  </c:pt>
                  <c:pt idx="36">
                    <c:v>2018</c:v>
                  </c:pt>
                  <c:pt idx="48">
                    <c:v>2019</c:v>
                  </c:pt>
                  <c:pt idx="60">
                    <c:v>2020</c:v>
                  </c:pt>
                </c:lvl>
              </c:multiLvlStrCache>
            </c:multiLvlStrRef>
          </c:cat>
          <c:val>
            <c:numRef>
              <c:f>Mazumtirdzniecība!$N$183:$N$250</c:f>
              <c:numCache>
                <c:formatCode>0.0</c:formatCode>
                <c:ptCount val="68"/>
                <c:pt idx="0">
                  <c:v>2.8048080202332581</c:v>
                </c:pt>
                <c:pt idx="1">
                  <c:v>2.4216774171405522</c:v>
                </c:pt>
                <c:pt idx="2">
                  <c:v>2.7552927625958574</c:v>
                </c:pt>
                <c:pt idx="3">
                  <c:v>2.5791905177287173</c:v>
                </c:pt>
                <c:pt idx="4">
                  <c:v>2.9755091141347552</c:v>
                </c:pt>
                <c:pt idx="5">
                  <c:v>3.2194369788084081</c:v>
                </c:pt>
                <c:pt idx="6">
                  <c:v>2.2758235590673013</c:v>
                </c:pt>
                <c:pt idx="7">
                  <c:v>2.1471755584309511</c:v>
                </c:pt>
                <c:pt idx="8">
                  <c:v>3.3010668324314056</c:v>
                </c:pt>
                <c:pt idx="9">
                  <c:v>1.2502239410495923</c:v>
                </c:pt>
                <c:pt idx="10">
                  <c:v>0.3612193754363216</c:v>
                </c:pt>
                <c:pt idx="11">
                  <c:v>0.30190230069587731</c:v>
                </c:pt>
                <c:pt idx="12">
                  <c:v>2.6615916063192757</c:v>
                </c:pt>
                <c:pt idx="13">
                  <c:v>3.3853494504073467</c:v>
                </c:pt>
                <c:pt idx="14">
                  <c:v>2.8690723152020592</c:v>
                </c:pt>
                <c:pt idx="15">
                  <c:v>2.2293848693342624</c:v>
                </c:pt>
                <c:pt idx="16">
                  <c:v>0.90107783560468124</c:v>
                </c:pt>
                <c:pt idx="17">
                  <c:v>0.70359505521373567</c:v>
                </c:pt>
                <c:pt idx="18">
                  <c:v>1.3387485958684622</c:v>
                </c:pt>
                <c:pt idx="19">
                  <c:v>2.0576211934574884</c:v>
                </c:pt>
                <c:pt idx="20">
                  <c:v>1.8469017126265179</c:v>
                </c:pt>
                <c:pt idx="21">
                  <c:v>2.285586960035181</c:v>
                </c:pt>
                <c:pt idx="22">
                  <c:v>3.804033726963997</c:v>
                </c:pt>
                <c:pt idx="23">
                  <c:v>3.2751581127498759</c:v>
                </c:pt>
                <c:pt idx="24">
                  <c:v>1.8857867145702985</c:v>
                </c:pt>
                <c:pt idx="25">
                  <c:v>0.5553128425394378</c:v>
                </c:pt>
                <c:pt idx="26">
                  <c:v>0.3796600949037362</c:v>
                </c:pt>
                <c:pt idx="27">
                  <c:v>1.2008005771316894</c:v>
                </c:pt>
                <c:pt idx="28">
                  <c:v>2.7384780909972637</c:v>
                </c:pt>
                <c:pt idx="29">
                  <c:v>3.1497944426777815</c:v>
                </c:pt>
                <c:pt idx="30">
                  <c:v>2.6523599241390499</c:v>
                </c:pt>
                <c:pt idx="31">
                  <c:v>2.904249337372903</c:v>
                </c:pt>
                <c:pt idx="32">
                  <c:v>3.2627372666674712</c:v>
                </c:pt>
                <c:pt idx="33">
                  <c:v>3.0264094568946351</c:v>
                </c:pt>
                <c:pt idx="34">
                  <c:v>2.597603579450948</c:v>
                </c:pt>
                <c:pt idx="35">
                  <c:v>2.2686165804048812</c:v>
                </c:pt>
                <c:pt idx="36">
                  <c:v>3.2144639934931041</c:v>
                </c:pt>
                <c:pt idx="37">
                  <c:v>0.17508109735905786</c:v>
                </c:pt>
                <c:pt idx="38">
                  <c:v>2.3411957197251225</c:v>
                </c:pt>
                <c:pt idx="39">
                  <c:v>1.8003421393477237</c:v>
                </c:pt>
                <c:pt idx="40">
                  <c:v>2.8429400082881808</c:v>
                </c:pt>
                <c:pt idx="41">
                  <c:v>1.6679606171727186</c:v>
                </c:pt>
                <c:pt idx="42">
                  <c:v>1.1892405282966356</c:v>
                </c:pt>
                <c:pt idx="43">
                  <c:v>0.27160734307903089</c:v>
                </c:pt>
                <c:pt idx="44">
                  <c:v>2.3709227710808247</c:v>
                </c:pt>
                <c:pt idx="45">
                  <c:v>0.95552602716191137</c:v>
                </c:pt>
                <c:pt idx="46">
                  <c:v>2.2692866581536628</c:v>
                </c:pt>
                <c:pt idx="47">
                  <c:v>1.918450660764254</c:v>
                </c:pt>
                <c:pt idx="48">
                  <c:v>0.9190210963507498</c:v>
                </c:pt>
                <c:pt idx="49">
                  <c:v>4.5528230065880528</c:v>
                </c:pt>
                <c:pt idx="50">
                  <c:v>3.02299355561818</c:v>
                </c:pt>
                <c:pt idx="51">
                  <c:v>2.6911586099424909</c:v>
                </c:pt>
                <c:pt idx="52">
                  <c:v>1.8946363620690072</c:v>
                </c:pt>
                <c:pt idx="53">
                  <c:v>1.5194481317241297</c:v>
                </c:pt>
                <c:pt idx="54">
                  <c:v>1.1202530889281519</c:v>
                </c:pt>
                <c:pt idx="55">
                  <c:v>1.7706723127798054</c:v>
                </c:pt>
                <c:pt idx="56">
                  <c:v>-0.88742236263008811</c:v>
                </c:pt>
                <c:pt idx="57">
                  <c:v>0.58329500102180931</c:v>
                </c:pt>
                <c:pt idx="58">
                  <c:v>1.3043486326631499</c:v>
                </c:pt>
                <c:pt idx="59">
                  <c:v>1.6953894153419222</c:v>
                </c:pt>
                <c:pt idx="60">
                  <c:v>1.0096787213124876</c:v>
                </c:pt>
                <c:pt idx="61">
                  <c:v>3.1197570869269242</c:v>
                </c:pt>
                <c:pt idx="62">
                  <c:v>-3.0219911235905879</c:v>
                </c:pt>
                <c:pt idx="63">
                  <c:v>-5.8449428227923752</c:v>
                </c:pt>
                <c:pt idx="64">
                  <c:v>-1.5289385839526448</c:v>
                </c:pt>
                <c:pt idx="65">
                  <c:v>1.0132915459152299</c:v>
                </c:pt>
                <c:pt idx="66">
                  <c:v>1.1390032811794386</c:v>
                </c:pt>
                <c:pt idx="67">
                  <c:v>0.81314333224928437</c:v>
                </c:pt>
              </c:numCache>
            </c:numRef>
          </c:val>
          <c:extLst>
            <c:ext xmlns:c16="http://schemas.microsoft.com/office/drawing/2014/chart" uri="{C3380CC4-5D6E-409C-BE32-E72D297353CC}">
              <c16:uniqueId val="{00000002-7F79-42D4-89C9-3E81C0EBCEA9}"/>
            </c:ext>
          </c:extLst>
        </c:ser>
        <c:dLbls>
          <c:showLegendKey val="0"/>
          <c:showVal val="0"/>
          <c:showCatName val="0"/>
          <c:showSerName val="0"/>
          <c:showPercent val="0"/>
          <c:showBubbleSize val="0"/>
        </c:dLbls>
        <c:gapWidth val="50"/>
        <c:overlap val="100"/>
        <c:axId val="343843672"/>
        <c:axId val="343844064"/>
      </c:barChart>
      <c:lineChart>
        <c:grouping val="standard"/>
        <c:varyColors val="0"/>
        <c:ser>
          <c:idx val="0"/>
          <c:order val="0"/>
          <c:tx>
            <c:strRef>
              <c:f>Mazumtirdzniecība!$K$2</c:f>
              <c:strCache>
                <c:ptCount val="1"/>
                <c:pt idx="0">
                  <c:v>Mazumtirdzniecība</c:v>
                </c:pt>
              </c:strCache>
            </c:strRef>
          </c:tx>
          <c:spPr>
            <a:ln w="28575" cap="rnd">
              <a:solidFill>
                <a:schemeClr val="tx1"/>
              </a:solidFill>
              <a:prstDash val="sysDash"/>
              <a:round/>
            </a:ln>
            <a:effectLst/>
          </c:spPr>
          <c:marker>
            <c:symbol val="none"/>
          </c:marker>
          <c:cat>
            <c:multiLvlStrRef>
              <c:f>Mazumtirdzniecība!$A$183:$B$250</c:f>
              <c:multiLvlStrCache>
                <c:ptCount val="6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lvl>
                <c:lvl>
                  <c:pt idx="0">
                    <c:v>2015</c:v>
                  </c:pt>
                  <c:pt idx="12">
                    <c:v>2016</c:v>
                  </c:pt>
                  <c:pt idx="24">
                    <c:v>2017</c:v>
                  </c:pt>
                  <c:pt idx="36">
                    <c:v>2018</c:v>
                  </c:pt>
                  <c:pt idx="48">
                    <c:v>2019</c:v>
                  </c:pt>
                  <c:pt idx="60">
                    <c:v>2020</c:v>
                  </c:pt>
                </c:lvl>
              </c:multiLvlStrCache>
            </c:multiLvlStrRef>
          </c:cat>
          <c:val>
            <c:numRef>
              <c:f>Mazumtirdzniecība!$K$183:$K$250</c:f>
              <c:numCache>
                <c:formatCode>0.0</c:formatCode>
                <c:ptCount val="68"/>
                <c:pt idx="0">
                  <c:v>6.4593301435406758</c:v>
                </c:pt>
                <c:pt idx="1">
                  <c:v>9.0330788804071425</c:v>
                </c:pt>
                <c:pt idx="2">
                  <c:v>7.0469798657718075</c:v>
                </c:pt>
                <c:pt idx="3">
                  <c:v>3.7919826652220934</c:v>
                </c:pt>
                <c:pt idx="4">
                  <c:v>5.5201698513800412</c:v>
                </c:pt>
                <c:pt idx="5">
                  <c:v>7.052631578947377</c:v>
                </c:pt>
                <c:pt idx="6">
                  <c:v>4.98046875</c:v>
                </c:pt>
                <c:pt idx="7">
                  <c:v>5.5715658021133541</c:v>
                </c:pt>
                <c:pt idx="8">
                  <c:v>4.4852191641182593</c:v>
                </c:pt>
                <c:pt idx="9">
                  <c:v>5.1102204408817631</c:v>
                </c:pt>
                <c:pt idx="10">
                  <c:v>-0.31479538300104304</c:v>
                </c:pt>
                <c:pt idx="11">
                  <c:v>1.5287769784172678</c:v>
                </c:pt>
                <c:pt idx="12">
                  <c:v>3.0337078651685445</c:v>
                </c:pt>
                <c:pt idx="13">
                  <c:v>1.5169194865811031</c:v>
                </c:pt>
                <c:pt idx="14">
                  <c:v>1.1494252873563093</c:v>
                </c:pt>
                <c:pt idx="15">
                  <c:v>2.1920668058455162</c:v>
                </c:pt>
                <c:pt idx="16">
                  <c:v>3.3199195171026208</c:v>
                </c:pt>
                <c:pt idx="17">
                  <c:v>1.9665683382497523</c:v>
                </c:pt>
                <c:pt idx="18">
                  <c:v>1.9534883720930152</c:v>
                </c:pt>
                <c:pt idx="19">
                  <c:v>1.0919017288443911</c:v>
                </c:pt>
                <c:pt idx="20">
                  <c:v>1.073170731707318</c:v>
                </c:pt>
                <c:pt idx="21">
                  <c:v>0.28598665395613843</c:v>
                </c:pt>
                <c:pt idx="22">
                  <c:v>4.9473684210526336</c:v>
                </c:pt>
                <c:pt idx="23">
                  <c:v>2.4800708591673937</c:v>
                </c:pt>
                <c:pt idx="24">
                  <c:v>3.598691384950925</c:v>
                </c:pt>
                <c:pt idx="25">
                  <c:v>2.4137931034482696</c:v>
                </c:pt>
                <c:pt idx="26">
                  <c:v>2.2727272727272707</c:v>
                </c:pt>
                <c:pt idx="27">
                  <c:v>3.6772216547497294</c:v>
                </c:pt>
                <c:pt idx="28">
                  <c:v>4.3816942551119675</c:v>
                </c:pt>
                <c:pt idx="29">
                  <c:v>3.6644165863066513</c:v>
                </c:pt>
                <c:pt idx="30">
                  <c:v>4.3795620437956373</c:v>
                </c:pt>
                <c:pt idx="31">
                  <c:v>5.4005400540054094</c:v>
                </c:pt>
                <c:pt idx="32">
                  <c:v>4.9227799227799407</c:v>
                </c:pt>
                <c:pt idx="33">
                  <c:v>4.4676806083650211</c:v>
                </c:pt>
                <c:pt idx="34">
                  <c:v>5.8174523570712067</c:v>
                </c:pt>
                <c:pt idx="35">
                  <c:v>7.0872947277441645</c:v>
                </c:pt>
                <c:pt idx="36">
                  <c:v>6.315789473684208</c:v>
                </c:pt>
                <c:pt idx="37">
                  <c:v>3.4792368125701634</c:v>
                </c:pt>
                <c:pt idx="38">
                  <c:v>6.1616161616161458</c:v>
                </c:pt>
                <c:pt idx="39">
                  <c:v>3.1527093596059208</c:v>
                </c:pt>
                <c:pt idx="40">
                  <c:v>6.7164179104477695</c:v>
                </c:pt>
                <c:pt idx="41">
                  <c:v>5.1162790697674376</c:v>
                </c:pt>
                <c:pt idx="42">
                  <c:v>4.3706293706293753</c:v>
                </c:pt>
                <c:pt idx="43">
                  <c:v>1.4517506404782221</c:v>
                </c:pt>
                <c:pt idx="44">
                  <c:v>3.3118675252989727</c:v>
                </c:pt>
                <c:pt idx="45">
                  <c:v>2.3657870791628621</c:v>
                </c:pt>
                <c:pt idx="46">
                  <c:v>3.7914691943127909</c:v>
                </c:pt>
                <c:pt idx="47">
                  <c:v>2.1791767554479424</c:v>
                </c:pt>
                <c:pt idx="48">
                  <c:v>1.2871287128712883</c:v>
                </c:pt>
                <c:pt idx="49">
                  <c:v>5.7483731019522644</c:v>
                </c:pt>
                <c:pt idx="50">
                  <c:v>3.8058991436726863</c:v>
                </c:pt>
                <c:pt idx="51">
                  <c:v>6.2082139446036244</c:v>
                </c:pt>
                <c:pt idx="52">
                  <c:v>1.3986013986013957</c:v>
                </c:pt>
                <c:pt idx="53">
                  <c:v>2.1238938053097289</c:v>
                </c:pt>
                <c:pt idx="54">
                  <c:v>1.3400335008375119</c:v>
                </c:pt>
                <c:pt idx="55">
                  <c:v>2.4410774410774438</c:v>
                </c:pt>
                <c:pt idx="56">
                  <c:v>-0.80142475512020583</c:v>
                </c:pt>
                <c:pt idx="57">
                  <c:v>8.8888888888893902E-2</c:v>
                </c:pt>
                <c:pt idx="58">
                  <c:v>1.7351598173515947</c:v>
                </c:pt>
                <c:pt idx="59">
                  <c:v>2.6066350710900466</c:v>
                </c:pt>
                <c:pt idx="60">
                  <c:v>1.4662756598240456</c:v>
                </c:pt>
                <c:pt idx="61">
                  <c:v>5.9487179487179409</c:v>
                </c:pt>
                <c:pt idx="62">
                  <c:v>-0.45829514207149646</c:v>
                </c:pt>
                <c:pt idx="63">
                  <c:v>-8.9028776978417277</c:v>
                </c:pt>
                <c:pt idx="64">
                  <c:v>-0.60344827586207295</c:v>
                </c:pt>
                <c:pt idx="65">
                  <c:v>4.2461005199306623</c:v>
                </c:pt>
                <c:pt idx="66">
                  <c:v>3.140495867768589</c:v>
                </c:pt>
                <c:pt idx="67">
                  <c:v>4.3549712407559449</c:v>
                </c:pt>
              </c:numCache>
            </c:numRef>
          </c:val>
          <c:smooth val="0"/>
          <c:extLst>
            <c:ext xmlns:c16="http://schemas.microsoft.com/office/drawing/2014/chart" uri="{C3380CC4-5D6E-409C-BE32-E72D297353CC}">
              <c16:uniqueId val="{00000003-7F79-42D4-89C9-3E81C0EBCEA9}"/>
            </c:ext>
          </c:extLst>
        </c:ser>
        <c:dLbls>
          <c:showLegendKey val="0"/>
          <c:showVal val="0"/>
          <c:showCatName val="0"/>
          <c:showSerName val="0"/>
          <c:showPercent val="0"/>
          <c:showBubbleSize val="0"/>
        </c:dLbls>
        <c:marker val="1"/>
        <c:smooth val="0"/>
        <c:axId val="343843672"/>
        <c:axId val="343844064"/>
      </c:lineChart>
      <c:catAx>
        <c:axId val="343843672"/>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343844064"/>
        <c:crosses val="autoZero"/>
        <c:auto val="1"/>
        <c:lblAlgn val="ctr"/>
        <c:lblOffset val="100"/>
        <c:noMultiLvlLbl val="0"/>
      </c:catAx>
      <c:valAx>
        <c:axId val="34384406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34384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80425793643544"/>
          <c:y val="9.0061469589028637E-2"/>
          <c:w val="0.38043517182161973"/>
          <c:h val="0.70981627296587924"/>
        </c:manualLayout>
      </c:layout>
      <c:pieChart>
        <c:varyColors val="1"/>
        <c:ser>
          <c:idx val="0"/>
          <c:order val="0"/>
          <c:spPr>
            <a:solidFill>
              <a:srgbClr val="0070C0"/>
            </a:solidFill>
          </c:spPr>
          <c:dPt>
            <c:idx val="0"/>
            <c:bubble3D val="0"/>
            <c:spPr>
              <a:pattFill prst="dkUpDiag">
                <a:fgClr>
                  <a:srgbClr val="0070C0"/>
                </a:fgClr>
                <a:bgClr>
                  <a:schemeClr val="bg1"/>
                </a:bgClr>
              </a:pattFill>
              <a:ln w="12700">
                <a:solidFill>
                  <a:srgbClr val="0070C0"/>
                </a:solidFill>
              </a:ln>
              <a:effectLst/>
            </c:spPr>
            <c:extLst>
              <c:ext xmlns:c16="http://schemas.microsoft.com/office/drawing/2014/chart" uri="{C3380CC4-5D6E-409C-BE32-E72D297353CC}">
                <c16:uniqueId val="{00000001-03E7-43F8-A721-9EF565AD401B}"/>
              </c:ext>
            </c:extLst>
          </c:dPt>
          <c:dPt>
            <c:idx val="1"/>
            <c:bubble3D val="0"/>
            <c:spPr>
              <a:pattFill prst="dkUpDiag">
                <a:fgClr>
                  <a:srgbClr val="00B050"/>
                </a:fgClr>
                <a:bgClr>
                  <a:schemeClr val="bg1"/>
                </a:bgClr>
              </a:pattFill>
              <a:ln w="12700">
                <a:solidFill>
                  <a:srgbClr val="00B050"/>
                </a:solidFill>
              </a:ln>
              <a:effectLst/>
            </c:spPr>
            <c:extLst>
              <c:ext xmlns:c16="http://schemas.microsoft.com/office/drawing/2014/chart" uri="{C3380CC4-5D6E-409C-BE32-E72D297353CC}">
                <c16:uniqueId val="{00000003-03E7-43F8-A721-9EF565AD401B}"/>
              </c:ext>
            </c:extLst>
          </c:dPt>
          <c:dPt>
            <c:idx val="2"/>
            <c:bubble3D val="0"/>
            <c:spPr>
              <a:solidFill>
                <a:schemeClr val="tx1">
                  <a:lumMod val="65000"/>
                  <a:lumOff val="35000"/>
                </a:schemeClr>
              </a:solidFill>
              <a:ln w="19050">
                <a:solidFill>
                  <a:schemeClr val="tx1">
                    <a:lumMod val="65000"/>
                    <a:lumOff val="35000"/>
                  </a:schemeClr>
                </a:solidFill>
              </a:ln>
              <a:effectLst/>
            </c:spPr>
            <c:extLst>
              <c:ext xmlns:c16="http://schemas.microsoft.com/office/drawing/2014/chart" uri="{C3380CC4-5D6E-409C-BE32-E72D297353CC}">
                <c16:uniqueId val="{00000005-03E7-43F8-A721-9EF565AD401B}"/>
              </c:ext>
            </c:extLst>
          </c:dPt>
          <c:dPt>
            <c:idx val="3"/>
            <c:bubble3D val="0"/>
            <c:spPr>
              <a:pattFill prst="dkUpDiag">
                <a:fgClr>
                  <a:schemeClr val="tx2">
                    <a:lumMod val="75000"/>
                  </a:schemeClr>
                </a:fgClr>
                <a:bgClr>
                  <a:schemeClr val="bg1"/>
                </a:bgClr>
              </a:pattFill>
              <a:ln w="19050">
                <a:solidFill>
                  <a:schemeClr val="lt1"/>
                </a:solidFill>
              </a:ln>
              <a:effectLst/>
            </c:spPr>
            <c:extLst>
              <c:ext xmlns:c16="http://schemas.microsoft.com/office/drawing/2014/chart" uri="{C3380CC4-5D6E-409C-BE32-E72D297353CC}">
                <c16:uniqueId val="{00000007-03E7-43F8-A721-9EF565AD401B}"/>
              </c:ext>
            </c:extLst>
          </c:dPt>
          <c:dPt>
            <c:idx val="4"/>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9-03E7-43F8-A721-9EF565AD401B}"/>
              </c:ext>
            </c:extLst>
          </c:dPt>
          <c:dLbls>
            <c:dLbl>
              <c:idx val="0"/>
              <c:layout>
                <c:manualLayout>
                  <c:x val="6.8258521049138002E-3"/>
                  <c:y val="-0.13708103229177801"/>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4417560333960578"/>
                      <c:h val="0.36843566967922114"/>
                    </c:manualLayout>
                  </c15:layout>
                </c:ext>
                <c:ext xmlns:c16="http://schemas.microsoft.com/office/drawing/2014/chart" uri="{C3380CC4-5D6E-409C-BE32-E72D297353CC}">
                  <c16:uniqueId val="{00000001-03E7-43F8-A721-9EF565AD401B}"/>
                </c:ext>
              </c:extLst>
            </c:dLbl>
            <c:dLbl>
              <c:idx val="1"/>
              <c:layout>
                <c:manualLayout>
                  <c:x val="0.11732673207032404"/>
                  <c:y val="-4.179250320982604E-3"/>
                </c:manualLayout>
              </c:layout>
              <c:showLegendKey val="0"/>
              <c:showVal val="0"/>
              <c:showCatName val="1"/>
              <c:showSerName val="0"/>
              <c:showPercent val="1"/>
              <c:showBubbleSize val="0"/>
              <c:extLst>
                <c:ext xmlns:c15="http://schemas.microsoft.com/office/drawing/2012/chart" uri="{CE6537A1-D6FC-4f65-9D91-7224C49458BB}">
                  <c15:layout>
                    <c:manualLayout>
                      <c:w val="0.24160866202629541"/>
                      <c:h val="0.32183886105145942"/>
                    </c:manualLayout>
                  </c15:layout>
                </c:ext>
                <c:ext xmlns:c16="http://schemas.microsoft.com/office/drawing/2014/chart" uri="{C3380CC4-5D6E-409C-BE32-E72D297353CC}">
                  <c16:uniqueId val="{00000003-03E7-43F8-A721-9EF565AD401B}"/>
                </c:ext>
              </c:extLst>
            </c:dLbl>
            <c:dLbl>
              <c:idx val="2"/>
              <c:layout>
                <c:manualLayout>
                  <c:x val="-2.1655065738592449E-2"/>
                  <c:y val="-1.069639022394928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6040216550657383"/>
                      <c:h val="0.19376026272577998"/>
                    </c:manualLayout>
                  </c15:layout>
                </c:ext>
                <c:ext xmlns:c16="http://schemas.microsoft.com/office/drawing/2014/chart" uri="{C3380CC4-5D6E-409C-BE32-E72D297353CC}">
                  <c16:uniqueId val="{00000005-03E7-43F8-A721-9EF565AD401B}"/>
                </c:ext>
              </c:extLst>
            </c:dLbl>
            <c:dLbl>
              <c:idx val="3"/>
              <c:layout>
                <c:manualLayout>
                  <c:x val="-5.8546382398255901E-2"/>
                  <c:y val="3.92178250445966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3E7-43F8-A721-9EF565AD401B}"/>
                </c:ext>
              </c:extLst>
            </c:dLbl>
            <c:dLbl>
              <c:idx val="4"/>
              <c:layout>
                <c:manualLayout>
                  <c:x val="-0.20521377983204539"/>
                  <c:y val="1.9741808292063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3E7-43F8-A721-9EF565AD401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Sheet1!$B$7:$B$11</c:f>
              <c:strCache>
                <c:ptCount val="5"/>
                <c:pt idx="0">
                  <c:v>Sauszemes un cauruļvadu transports</c:v>
                </c:pt>
                <c:pt idx="1">
                  <c:v>Ūdens transports</c:v>
                </c:pt>
                <c:pt idx="2">
                  <c:v>Gaisa transports</c:v>
                </c:pt>
                <c:pt idx="3">
                  <c:v>Uzglabāšanas un transporta palīgdarbības</c:v>
                </c:pt>
                <c:pt idx="4">
                  <c:v>Pasta un kurjeru darbība</c:v>
                </c:pt>
              </c:strCache>
            </c:strRef>
          </c:cat>
          <c:val>
            <c:numRef>
              <c:f>Sheet1!$C$7:$C$11</c:f>
              <c:numCache>
                <c:formatCode>0.0%</c:formatCode>
                <c:ptCount val="5"/>
                <c:pt idx="0">
                  <c:v>0.46</c:v>
                </c:pt>
                <c:pt idx="1">
                  <c:v>3.8059999999999997E-2</c:v>
                </c:pt>
                <c:pt idx="2">
                  <c:v>4.3572E-2</c:v>
                </c:pt>
                <c:pt idx="3">
                  <c:v>0.42263400000000001</c:v>
                </c:pt>
                <c:pt idx="4">
                  <c:v>3.5278999999999998E-2</c:v>
                </c:pt>
              </c:numCache>
            </c:numRef>
          </c:val>
          <c:extLst>
            <c:ext xmlns:c16="http://schemas.microsoft.com/office/drawing/2014/chart" uri="{C3380CC4-5D6E-409C-BE32-E72D297353CC}">
              <c16:uniqueId val="{0000000A-03E7-43F8-A721-9EF565AD401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03149606299214E-2"/>
          <c:y val="3.2407407407407406E-2"/>
          <c:w val="0.89019685039370078"/>
          <c:h val="0.87904043598448012"/>
        </c:manualLayout>
      </c:layout>
      <c:barChart>
        <c:barDir val="col"/>
        <c:grouping val="clustered"/>
        <c:varyColors val="0"/>
        <c:ser>
          <c:idx val="0"/>
          <c:order val="0"/>
          <c:tx>
            <c:strRef>
              <c:f>'Baltijas A-krasta VISAS EE osta'!$X$25</c:f>
              <c:strCache>
                <c:ptCount val="1"/>
                <c:pt idx="0">
                  <c:v>2010 I-VI</c:v>
                </c:pt>
              </c:strCache>
            </c:strRef>
          </c:tx>
          <c:spPr>
            <a:pattFill prst="dkUpDiag">
              <a:fgClr>
                <a:srgbClr val="5B9BD5">
                  <a:lumMod val="50000"/>
                </a:srgbClr>
              </a:fgClr>
              <a:bgClr>
                <a:sysClr val="window" lastClr="FFFFFF"/>
              </a:bgClr>
            </a:pattFill>
            <a:ln>
              <a:solidFill>
                <a:srgbClr val="5B9BD5"/>
              </a:solidFill>
            </a:ln>
            <a:effectLst/>
          </c:spPr>
          <c:invertIfNegative val="0"/>
          <c:dPt>
            <c:idx val="0"/>
            <c:invertIfNegative val="0"/>
            <c:bubble3D val="0"/>
            <c:spPr>
              <a:pattFill prst="dkUpDiag">
                <a:fgClr>
                  <a:srgbClr val="5B9BD5">
                    <a:lumMod val="50000"/>
                  </a:srgbClr>
                </a:fgClr>
                <a:bgClr>
                  <a:sysClr val="window" lastClr="FFFFFF"/>
                </a:bgClr>
              </a:pattFill>
              <a:ln>
                <a:solidFill>
                  <a:srgbClr val="5B9BD5"/>
                </a:solidFill>
              </a:ln>
              <a:effectLst/>
            </c:spPr>
            <c:extLst>
              <c:ext xmlns:c16="http://schemas.microsoft.com/office/drawing/2014/chart" uri="{C3380CC4-5D6E-409C-BE32-E72D297353CC}">
                <c16:uniqueId val="{00000001-6CD2-48FA-98B6-BDE3470C48B1}"/>
              </c:ext>
            </c:extLst>
          </c:dPt>
          <c:dPt>
            <c:idx val="1"/>
            <c:invertIfNegative val="0"/>
            <c:bubble3D val="0"/>
            <c:spPr>
              <a:pattFill prst="dkUpDiag">
                <a:fgClr>
                  <a:srgbClr val="00B050"/>
                </a:fgClr>
                <a:bgClr>
                  <a:sysClr val="window" lastClr="FFFFFF"/>
                </a:bgClr>
              </a:pattFill>
              <a:ln>
                <a:solidFill>
                  <a:srgbClr val="00B050"/>
                </a:solidFill>
              </a:ln>
              <a:effectLst/>
            </c:spPr>
            <c:extLst>
              <c:ext xmlns:c16="http://schemas.microsoft.com/office/drawing/2014/chart" uri="{C3380CC4-5D6E-409C-BE32-E72D297353CC}">
                <c16:uniqueId val="{00000003-6CD2-48FA-98B6-BDE3470C48B1}"/>
              </c:ext>
            </c:extLst>
          </c:dPt>
          <c:dLbls>
            <c:dLbl>
              <c:idx val="0"/>
              <c:layout>
                <c:manualLayout>
                  <c:x val="-1.2843565373747753E-2"/>
                  <c:y val="0.6847511193047142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D2-48FA-98B6-BDE3470C48B1}"/>
                </c:ext>
              </c:extLst>
            </c:dLbl>
            <c:dLbl>
              <c:idx val="1"/>
              <c:layout>
                <c:manualLayout>
                  <c:x val="-5.1374261494991011E-3"/>
                  <c:y val="0.5741374769554912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D2-48FA-98B6-BDE3470C48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'Baltijas A-krasta VISAS EE osta'!$V$26:$V$27</c:f>
              <c:strCache>
                <c:ptCount val="2"/>
                <c:pt idx="0">
                  <c:v>Ostas</c:v>
                </c:pt>
                <c:pt idx="1">
                  <c:v>Dzelzceļš</c:v>
                </c:pt>
              </c:strCache>
            </c:strRef>
          </c:cat>
          <c:val>
            <c:numRef>
              <c:f>'Baltijas A-krasta VISAS EE osta'!$X$26:$X$27</c:f>
              <c:numCache>
                <c:formatCode>General</c:formatCode>
                <c:ptCount val="2"/>
                <c:pt idx="0">
                  <c:v>40776.409999999996</c:v>
                </c:pt>
                <c:pt idx="1">
                  <c:v>32917.5</c:v>
                </c:pt>
              </c:numCache>
            </c:numRef>
          </c:val>
          <c:extLst>
            <c:ext xmlns:c16="http://schemas.microsoft.com/office/drawing/2014/chart" uri="{C3380CC4-5D6E-409C-BE32-E72D297353CC}">
              <c16:uniqueId val="{00000004-6CD2-48FA-98B6-BDE3470C48B1}"/>
            </c:ext>
          </c:extLst>
        </c:ser>
        <c:ser>
          <c:idx val="1"/>
          <c:order val="1"/>
          <c:tx>
            <c:strRef>
              <c:f>'Baltijas A-krasta VISAS EE osta'!$Y$25</c:f>
              <c:strCache>
                <c:ptCount val="1"/>
                <c:pt idx="0">
                  <c:v>2011 I-VI</c:v>
                </c:pt>
              </c:strCache>
            </c:strRef>
          </c:tx>
          <c:spPr>
            <a:pattFill prst="dkUpDiag">
              <a:fgClr>
                <a:srgbClr val="5B9BD5">
                  <a:lumMod val="50000"/>
                </a:srgbClr>
              </a:fgClr>
              <a:bgClr>
                <a:sysClr val="window" lastClr="FFFFFF"/>
              </a:bgClr>
            </a:pattFill>
            <a:ln>
              <a:solidFill>
                <a:srgbClr val="5B9BD5"/>
              </a:solidFill>
            </a:ln>
            <a:effectLst/>
          </c:spPr>
          <c:invertIfNegative val="0"/>
          <c:dPt>
            <c:idx val="0"/>
            <c:invertIfNegative val="0"/>
            <c:bubble3D val="0"/>
            <c:spPr>
              <a:pattFill prst="dkUpDiag">
                <a:fgClr>
                  <a:srgbClr val="5B9BD5">
                    <a:lumMod val="50000"/>
                  </a:srgbClr>
                </a:fgClr>
                <a:bgClr>
                  <a:sysClr val="window" lastClr="FFFFFF"/>
                </a:bgClr>
              </a:pattFill>
              <a:ln>
                <a:solidFill>
                  <a:srgbClr val="264478"/>
                </a:solidFill>
              </a:ln>
              <a:effectLst/>
            </c:spPr>
            <c:extLst>
              <c:ext xmlns:c16="http://schemas.microsoft.com/office/drawing/2014/chart" uri="{C3380CC4-5D6E-409C-BE32-E72D297353CC}">
                <c16:uniqueId val="{00000006-6CD2-48FA-98B6-BDE3470C48B1}"/>
              </c:ext>
            </c:extLst>
          </c:dPt>
          <c:dPt>
            <c:idx val="1"/>
            <c:invertIfNegative val="0"/>
            <c:bubble3D val="0"/>
            <c:spPr>
              <a:pattFill prst="dkUpDiag">
                <a:fgClr>
                  <a:srgbClr val="00B050"/>
                </a:fgClr>
                <a:bgClr>
                  <a:sysClr val="window" lastClr="FFFFFF"/>
                </a:bgClr>
              </a:pattFill>
              <a:ln>
                <a:solidFill>
                  <a:srgbClr val="5B9BD5"/>
                </a:solidFill>
              </a:ln>
              <a:effectLst/>
            </c:spPr>
            <c:extLst>
              <c:ext xmlns:c16="http://schemas.microsoft.com/office/drawing/2014/chart" uri="{C3380CC4-5D6E-409C-BE32-E72D297353CC}">
                <c16:uniqueId val="{00000008-6CD2-48FA-98B6-BDE3470C48B1}"/>
              </c:ext>
            </c:extLst>
          </c:dPt>
          <c:cat>
            <c:strRef>
              <c:f>'Baltijas A-krasta VISAS EE osta'!$V$26:$V$27</c:f>
              <c:strCache>
                <c:ptCount val="2"/>
                <c:pt idx="0">
                  <c:v>Ostas</c:v>
                </c:pt>
                <c:pt idx="1">
                  <c:v>Dzelzceļš</c:v>
                </c:pt>
              </c:strCache>
            </c:strRef>
          </c:cat>
          <c:val>
            <c:numRef>
              <c:f>'Baltijas A-krasta VISAS EE osta'!$Y$26:$Y$27</c:f>
              <c:numCache>
                <c:formatCode>General</c:formatCode>
                <c:ptCount val="2"/>
                <c:pt idx="0">
                  <c:v>45674.09</c:v>
                </c:pt>
                <c:pt idx="1">
                  <c:v>38885.699999999997</c:v>
                </c:pt>
              </c:numCache>
            </c:numRef>
          </c:val>
          <c:extLst>
            <c:ext xmlns:c16="http://schemas.microsoft.com/office/drawing/2014/chart" uri="{C3380CC4-5D6E-409C-BE32-E72D297353CC}">
              <c16:uniqueId val="{00000009-6CD2-48FA-98B6-BDE3470C48B1}"/>
            </c:ext>
          </c:extLst>
        </c:ser>
        <c:ser>
          <c:idx val="2"/>
          <c:order val="2"/>
          <c:tx>
            <c:strRef>
              <c:f>'Baltijas A-krasta VISAS EE osta'!$Z$25</c:f>
              <c:strCache>
                <c:ptCount val="1"/>
                <c:pt idx="0">
                  <c:v>2012 I-VI</c:v>
                </c:pt>
              </c:strCache>
            </c:strRef>
          </c:tx>
          <c:spPr>
            <a:solidFill>
              <a:schemeClr val="accent3"/>
            </a:solidFill>
            <a:ln>
              <a:solidFill>
                <a:srgbClr val="5B9BD5"/>
              </a:solidFill>
            </a:ln>
            <a:effectLst/>
          </c:spPr>
          <c:invertIfNegative val="0"/>
          <c:dPt>
            <c:idx val="0"/>
            <c:invertIfNegative val="0"/>
            <c:bubble3D val="0"/>
            <c:spPr>
              <a:pattFill prst="dkUpDiag">
                <a:fgClr>
                  <a:srgbClr val="5B9BD5">
                    <a:lumMod val="50000"/>
                  </a:srgbClr>
                </a:fgClr>
                <a:bgClr>
                  <a:sysClr val="window" lastClr="FFFFFF"/>
                </a:bgClr>
              </a:pattFill>
              <a:ln>
                <a:solidFill>
                  <a:srgbClr val="264478"/>
                </a:solidFill>
              </a:ln>
              <a:effectLst/>
            </c:spPr>
            <c:extLst>
              <c:ext xmlns:c16="http://schemas.microsoft.com/office/drawing/2014/chart" uri="{C3380CC4-5D6E-409C-BE32-E72D297353CC}">
                <c16:uniqueId val="{0000000B-6CD2-48FA-98B6-BDE3470C48B1}"/>
              </c:ext>
            </c:extLst>
          </c:dPt>
          <c:dPt>
            <c:idx val="1"/>
            <c:invertIfNegative val="0"/>
            <c:bubble3D val="0"/>
            <c:spPr>
              <a:pattFill prst="dkUpDiag">
                <a:fgClr>
                  <a:srgbClr val="00B050"/>
                </a:fgClr>
                <a:bgClr>
                  <a:sysClr val="window" lastClr="FFFFFF"/>
                </a:bgClr>
              </a:pattFill>
              <a:ln>
                <a:solidFill>
                  <a:srgbClr val="00B050"/>
                </a:solidFill>
              </a:ln>
              <a:effectLst/>
            </c:spPr>
            <c:extLst>
              <c:ext xmlns:c16="http://schemas.microsoft.com/office/drawing/2014/chart" uri="{C3380CC4-5D6E-409C-BE32-E72D297353CC}">
                <c16:uniqueId val="{0000000D-6CD2-48FA-98B6-BDE3470C48B1}"/>
              </c:ext>
            </c:extLst>
          </c:dPt>
          <c:cat>
            <c:strRef>
              <c:f>'Baltijas A-krasta VISAS EE osta'!$V$26:$V$27</c:f>
              <c:strCache>
                <c:ptCount val="2"/>
                <c:pt idx="0">
                  <c:v>Ostas</c:v>
                </c:pt>
                <c:pt idx="1">
                  <c:v>Dzelzceļš</c:v>
                </c:pt>
              </c:strCache>
            </c:strRef>
          </c:cat>
          <c:val>
            <c:numRef>
              <c:f>'Baltijas A-krasta VISAS EE osta'!$Z$26:$Z$27</c:f>
              <c:numCache>
                <c:formatCode>General</c:formatCode>
                <c:ptCount val="2"/>
                <c:pt idx="0">
                  <c:v>52148.599999999991</c:v>
                </c:pt>
                <c:pt idx="1">
                  <c:v>43019.099999999991</c:v>
                </c:pt>
              </c:numCache>
            </c:numRef>
          </c:val>
          <c:extLst>
            <c:ext xmlns:c16="http://schemas.microsoft.com/office/drawing/2014/chart" uri="{C3380CC4-5D6E-409C-BE32-E72D297353CC}">
              <c16:uniqueId val="{0000000E-6CD2-48FA-98B6-BDE3470C48B1}"/>
            </c:ext>
          </c:extLst>
        </c:ser>
        <c:ser>
          <c:idx val="3"/>
          <c:order val="3"/>
          <c:tx>
            <c:strRef>
              <c:f>'Baltijas A-krasta VISAS EE osta'!$AA$25</c:f>
              <c:strCache>
                <c:ptCount val="1"/>
                <c:pt idx="0">
                  <c:v>2013 I-VI</c:v>
                </c:pt>
              </c:strCache>
            </c:strRef>
          </c:tx>
          <c:spPr>
            <a:pattFill prst="dkUpDiag">
              <a:fgClr>
                <a:srgbClr val="5B9BD5">
                  <a:lumMod val="50000"/>
                </a:srgbClr>
              </a:fgClr>
              <a:bgClr>
                <a:sysClr val="window" lastClr="FFFFFF"/>
              </a:bgClr>
            </a:pattFill>
            <a:ln>
              <a:noFill/>
            </a:ln>
            <a:effectLst/>
          </c:spPr>
          <c:invertIfNegative val="0"/>
          <c:dPt>
            <c:idx val="0"/>
            <c:invertIfNegative val="0"/>
            <c:bubble3D val="0"/>
            <c:spPr>
              <a:pattFill prst="dkUpDiag">
                <a:fgClr>
                  <a:srgbClr val="5B9BD5">
                    <a:lumMod val="50000"/>
                  </a:srgbClr>
                </a:fgClr>
                <a:bgClr>
                  <a:sysClr val="window" lastClr="FFFFFF"/>
                </a:bgClr>
              </a:pattFill>
              <a:ln>
                <a:solidFill>
                  <a:srgbClr val="264478"/>
                </a:solidFill>
              </a:ln>
              <a:effectLst/>
            </c:spPr>
            <c:extLst>
              <c:ext xmlns:c16="http://schemas.microsoft.com/office/drawing/2014/chart" uri="{C3380CC4-5D6E-409C-BE32-E72D297353CC}">
                <c16:uniqueId val="{00000010-6CD2-48FA-98B6-BDE3470C48B1}"/>
              </c:ext>
            </c:extLst>
          </c:dPt>
          <c:dPt>
            <c:idx val="1"/>
            <c:invertIfNegative val="0"/>
            <c:bubble3D val="0"/>
            <c:spPr>
              <a:pattFill prst="dkUpDiag">
                <a:fgClr>
                  <a:srgbClr val="00B050"/>
                </a:fgClr>
                <a:bgClr>
                  <a:sysClr val="window" lastClr="FFFFFF"/>
                </a:bgClr>
              </a:pattFill>
              <a:ln>
                <a:solidFill>
                  <a:srgbClr val="00B050"/>
                </a:solidFill>
              </a:ln>
              <a:effectLst/>
            </c:spPr>
            <c:extLst>
              <c:ext xmlns:c16="http://schemas.microsoft.com/office/drawing/2014/chart" uri="{C3380CC4-5D6E-409C-BE32-E72D297353CC}">
                <c16:uniqueId val="{00000012-6CD2-48FA-98B6-BDE3470C48B1}"/>
              </c:ext>
            </c:extLst>
          </c:dPt>
          <c:cat>
            <c:strRef>
              <c:f>'Baltijas A-krasta VISAS EE osta'!$V$26:$V$27</c:f>
              <c:strCache>
                <c:ptCount val="2"/>
                <c:pt idx="0">
                  <c:v>Ostas</c:v>
                </c:pt>
                <c:pt idx="1">
                  <c:v>Dzelzceļš</c:v>
                </c:pt>
              </c:strCache>
            </c:strRef>
          </c:cat>
          <c:val>
            <c:numRef>
              <c:f>'Baltijas A-krasta VISAS EE osta'!$AA$26:$AA$27</c:f>
              <c:numCache>
                <c:formatCode>General</c:formatCode>
                <c:ptCount val="2"/>
                <c:pt idx="0">
                  <c:v>48172.800000000003</c:v>
                </c:pt>
                <c:pt idx="1">
                  <c:v>37820.400000000001</c:v>
                </c:pt>
              </c:numCache>
            </c:numRef>
          </c:val>
          <c:extLst>
            <c:ext xmlns:c16="http://schemas.microsoft.com/office/drawing/2014/chart" uri="{C3380CC4-5D6E-409C-BE32-E72D297353CC}">
              <c16:uniqueId val="{00000013-6CD2-48FA-98B6-BDE3470C48B1}"/>
            </c:ext>
          </c:extLst>
        </c:ser>
        <c:ser>
          <c:idx val="4"/>
          <c:order val="4"/>
          <c:tx>
            <c:strRef>
              <c:f>'Baltijas A-krasta VISAS EE osta'!$AB$25</c:f>
              <c:strCache>
                <c:ptCount val="1"/>
                <c:pt idx="0">
                  <c:v>2014 I-VI</c:v>
                </c:pt>
              </c:strCache>
            </c:strRef>
          </c:tx>
          <c:spPr>
            <a:pattFill prst="dkUpDiag">
              <a:fgClr>
                <a:srgbClr val="5B9BD5">
                  <a:lumMod val="50000"/>
                </a:srgbClr>
              </a:fgClr>
              <a:bgClr>
                <a:sysClr val="window" lastClr="FFFFFF"/>
              </a:bgClr>
            </a:pattFill>
            <a:ln>
              <a:solidFill>
                <a:srgbClr val="5B9BD5"/>
              </a:solidFill>
            </a:ln>
            <a:effectLst/>
          </c:spPr>
          <c:invertIfNegative val="0"/>
          <c:dPt>
            <c:idx val="0"/>
            <c:invertIfNegative val="0"/>
            <c:bubble3D val="0"/>
            <c:spPr>
              <a:pattFill prst="dkUpDiag">
                <a:fgClr>
                  <a:srgbClr val="5B9BD5">
                    <a:lumMod val="50000"/>
                  </a:srgbClr>
                </a:fgClr>
                <a:bgClr>
                  <a:sysClr val="window" lastClr="FFFFFF"/>
                </a:bgClr>
              </a:pattFill>
              <a:ln>
                <a:solidFill>
                  <a:srgbClr val="264478"/>
                </a:solidFill>
              </a:ln>
              <a:effectLst/>
            </c:spPr>
            <c:extLst>
              <c:ext xmlns:c16="http://schemas.microsoft.com/office/drawing/2014/chart" uri="{C3380CC4-5D6E-409C-BE32-E72D297353CC}">
                <c16:uniqueId val="{00000015-6CD2-48FA-98B6-BDE3470C48B1}"/>
              </c:ext>
            </c:extLst>
          </c:dPt>
          <c:dPt>
            <c:idx val="1"/>
            <c:invertIfNegative val="0"/>
            <c:bubble3D val="0"/>
            <c:spPr>
              <a:pattFill prst="dkUpDiag">
                <a:fgClr>
                  <a:srgbClr val="00B050"/>
                </a:fgClr>
                <a:bgClr>
                  <a:sysClr val="window" lastClr="FFFFFF"/>
                </a:bgClr>
              </a:pattFill>
              <a:ln>
                <a:solidFill>
                  <a:srgbClr val="5B9BD5"/>
                </a:solidFill>
              </a:ln>
              <a:effectLst/>
            </c:spPr>
            <c:extLst>
              <c:ext xmlns:c16="http://schemas.microsoft.com/office/drawing/2014/chart" uri="{C3380CC4-5D6E-409C-BE32-E72D297353CC}">
                <c16:uniqueId val="{00000017-6CD2-48FA-98B6-BDE3470C48B1}"/>
              </c:ext>
            </c:extLst>
          </c:dPt>
          <c:cat>
            <c:strRef>
              <c:f>'Baltijas A-krasta VISAS EE osta'!$V$26:$V$27</c:f>
              <c:strCache>
                <c:ptCount val="2"/>
                <c:pt idx="0">
                  <c:v>Ostas</c:v>
                </c:pt>
                <c:pt idx="1">
                  <c:v>Dzelzceļš</c:v>
                </c:pt>
              </c:strCache>
            </c:strRef>
          </c:cat>
          <c:val>
            <c:numRef>
              <c:f>'Baltijas A-krasta VISAS EE osta'!$AB$26:$AB$27</c:f>
              <c:numCache>
                <c:formatCode>General</c:formatCode>
                <c:ptCount val="2"/>
                <c:pt idx="0">
                  <c:v>50030.2</c:v>
                </c:pt>
                <c:pt idx="1">
                  <c:v>38891.100000000006</c:v>
                </c:pt>
              </c:numCache>
            </c:numRef>
          </c:val>
          <c:extLst>
            <c:ext xmlns:c16="http://schemas.microsoft.com/office/drawing/2014/chart" uri="{C3380CC4-5D6E-409C-BE32-E72D297353CC}">
              <c16:uniqueId val="{00000018-6CD2-48FA-98B6-BDE3470C48B1}"/>
            </c:ext>
          </c:extLst>
        </c:ser>
        <c:ser>
          <c:idx val="5"/>
          <c:order val="5"/>
          <c:tx>
            <c:strRef>
              <c:f>'Baltijas A-krasta VISAS EE osta'!$AC$25</c:f>
              <c:strCache>
                <c:ptCount val="1"/>
                <c:pt idx="0">
                  <c:v>2015 I-VI</c:v>
                </c:pt>
              </c:strCache>
            </c:strRef>
          </c:tx>
          <c:spPr>
            <a:pattFill prst="dkUpDiag">
              <a:fgClr>
                <a:srgbClr val="5B9BD5">
                  <a:lumMod val="50000"/>
                </a:srgbClr>
              </a:fgClr>
              <a:bgClr>
                <a:sysClr val="window" lastClr="FFFFFF"/>
              </a:bgClr>
            </a:pattFill>
            <a:ln>
              <a:solidFill>
                <a:srgbClr val="5B9BD5"/>
              </a:solidFill>
            </a:ln>
            <a:effectLst/>
          </c:spPr>
          <c:invertIfNegative val="0"/>
          <c:dPt>
            <c:idx val="0"/>
            <c:invertIfNegative val="0"/>
            <c:bubble3D val="0"/>
            <c:spPr>
              <a:pattFill prst="dkUpDiag">
                <a:fgClr>
                  <a:srgbClr val="5B9BD5">
                    <a:lumMod val="50000"/>
                  </a:srgbClr>
                </a:fgClr>
                <a:bgClr>
                  <a:sysClr val="window" lastClr="FFFFFF"/>
                </a:bgClr>
              </a:pattFill>
              <a:ln>
                <a:solidFill>
                  <a:srgbClr val="264478"/>
                </a:solidFill>
              </a:ln>
              <a:effectLst/>
            </c:spPr>
            <c:extLst>
              <c:ext xmlns:c16="http://schemas.microsoft.com/office/drawing/2014/chart" uri="{C3380CC4-5D6E-409C-BE32-E72D297353CC}">
                <c16:uniqueId val="{0000001A-6CD2-48FA-98B6-BDE3470C48B1}"/>
              </c:ext>
            </c:extLst>
          </c:dPt>
          <c:dPt>
            <c:idx val="1"/>
            <c:invertIfNegative val="0"/>
            <c:bubble3D val="0"/>
            <c:spPr>
              <a:pattFill prst="dkUpDiag">
                <a:fgClr>
                  <a:srgbClr val="00B050"/>
                </a:fgClr>
                <a:bgClr>
                  <a:sysClr val="window" lastClr="FFFFFF"/>
                </a:bgClr>
              </a:pattFill>
              <a:ln>
                <a:solidFill>
                  <a:srgbClr val="00B050"/>
                </a:solidFill>
              </a:ln>
              <a:effectLst/>
            </c:spPr>
            <c:extLst>
              <c:ext xmlns:c16="http://schemas.microsoft.com/office/drawing/2014/chart" uri="{C3380CC4-5D6E-409C-BE32-E72D297353CC}">
                <c16:uniqueId val="{0000001C-6CD2-48FA-98B6-BDE3470C48B1}"/>
              </c:ext>
            </c:extLst>
          </c:dPt>
          <c:cat>
            <c:strRef>
              <c:f>'Baltijas A-krasta VISAS EE osta'!$V$26:$V$27</c:f>
              <c:strCache>
                <c:ptCount val="2"/>
                <c:pt idx="0">
                  <c:v>Ostas</c:v>
                </c:pt>
                <c:pt idx="1">
                  <c:v>Dzelzceļš</c:v>
                </c:pt>
              </c:strCache>
            </c:strRef>
          </c:cat>
          <c:val>
            <c:numRef>
              <c:f>'Baltijas A-krasta VISAS EE osta'!$AC$26:$AC$27</c:f>
              <c:numCache>
                <c:formatCode>General</c:formatCode>
                <c:ptCount val="2"/>
                <c:pt idx="0">
                  <c:v>47478.500000000007</c:v>
                </c:pt>
                <c:pt idx="1">
                  <c:v>38506.300000000003</c:v>
                </c:pt>
              </c:numCache>
            </c:numRef>
          </c:val>
          <c:extLst>
            <c:ext xmlns:c16="http://schemas.microsoft.com/office/drawing/2014/chart" uri="{C3380CC4-5D6E-409C-BE32-E72D297353CC}">
              <c16:uniqueId val="{0000001D-6CD2-48FA-98B6-BDE3470C48B1}"/>
            </c:ext>
          </c:extLst>
        </c:ser>
        <c:ser>
          <c:idx val="6"/>
          <c:order val="6"/>
          <c:tx>
            <c:strRef>
              <c:f>'Baltijas A-krasta VISAS EE osta'!$AD$25</c:f>
              <c:strCache>
                <c:ptCount val="1"/>
                <c:pt idx="0">
                  <c:v>2016 I-VI</c:v>
                </c:pt>
              </c:strCache>
            </c:strRef>
          </c:tx>
          <c:spPr>
            <a:solidFill>
              <a:schemeClr val="accent1">
                <a:lumMod val="60000"/>
              </a:schemeClr>
            </a:solidFill>
            <a:ln>
              <a:noFill/>
            </a:ln>
            <a:effectLst/>
          </c:spPr>
          <c:invertIfNegative val="0"/>
          <c:dPt>
            <c:idx val="0"/>
            <c:invertIfNegative val="0"/>
            <c:bubble3D val="0"/>
            <c:spPr>
              <a:pattFill prst="dkUpDiag">
                <a:fgClr>
                  <a:srgbClr val="5B9BD5">
                    <a:lumMod val="50000"/>
                  </a:srgbClr>
                </a:fgClr>
                <a:bgClr>
                  <a:sysClr val="window" lastClr="FFFFFF"/>
                </a:bgClr>
              </a:pattFill>
              <a:ln>
                <a:solidFill>
                  <a:srgbClr val="264478"/>
                </a:solidFill>
              </a:ln>
              <a:effectLst/>
            </c:spPr>
            <c:extLst>
              <c:ext xmlns:c16="http://schemas.microsoft.com/office/drawing/2014/chart" uri="{C3380CC4-5D6E-409C-BE32-E72D297353CC}">
                <c16:uniqueId val="{0000001F-6CD2-48FA-98B6-BDE3470C48B1}"/>
              </c:ext>
            </c:extLst>
          </c:dPt>
          <c:dPt>
            <c:idx val="1"/>
            <c:invertIfNegative val="0"/>
            <c:bubble3D val="0"/>
            <c:spPr>
              <a:pattFill prst="dkUpDiag">
                <a:fgClr>
                  <a:srgbClr val="00B050"/>
                </a:fgClr>
                <a:bgClr>
                  <a:sysClr val="window" lastClr="FFFFFF"/>
                </a:bgClr>
              </a:pattFill>
              <a:ln>
                <a:solidFill>
                  <a:srgbClr val="00B050"/>
                </a:solidFill>
              </a:ln>
              <a:effectLst/>
            </c:spPr>
            <c:extLst>
              <c:ext xmlns:c16="http://schemas.microsoft.com/office/drawing/2014/chart" uri="{C3380CC4-5D6E-409C-BE32-E72D297353CC}">
                <c16:uniqueId val="{00000021-6CD2-48FA-98B6-BDE3470C48B1}"/>
              </c:ext>
            </c:extLst>
          </c:dPt>
          <c:cat>
            <c:strRef>
              <c:f>'Baltijas A-krasta VISAS EE osta'!$V$26:$V$27</c:f>
              <c:strCache>
                <c:ptCount val="2"/>
                <c:pt idx="0">
                  <c:v>Ostas</c:v>
                </c:pt>
                <c:pt idx="1">
                  <c:v>Dzelzceļš</c:v>
                </c:pt>
              </c:strCache>
            </c:strRef>
          </c:cat>
          <c:val>
            <c:numRef>
              <c:f>'Baltijas A-krasta VISAS EE osta'!$AD$26:$AD$27</c:f>
              <c:numCache>
                <c:formatCode>General</c:formatCode>
                <c:ptCount val="2"/>
                <c:pt idx="0">
                  <c:v>41104.299999999996</c:v>
                </c:pt>
                <c:pt idx="1">
                  <c:v>30600.199999999997</c:v>
                </c:pt>
              </c:numCache>
            </c:numRef>
          </c:val>
          <c:extLst>
            <c:ext xmlns:c16="http://schemas.microsoft.com/office/drawing/2014/chart" uri="{C3380CC4-5D6E-409C-BE32-E72D297353CC}">
              <c16:uniqueId val="{00000022-6CD2-48FA-98B6-BDE3470C48B1}"/>
            </c:ext>
          </c:extLst>
        </c:ser>
        <c:ser>
          <c:idx val="7"/>
          <c:order val="7"/>
          <c:tx>
            <c:strRef>
              <c:f>'Baltijas A-krasta VISAS EE osta'!$AE$25</c:f>
              <c:strCache>
                <c:ptCount val="1"/>
                <c:pt idx="0">
                  <c:v>2017 I-VI</c:v>
                </c:pt>
              </c:strCache>
            </c:strRef>
          </c:tx>
          <c:spPr>
            <a:pattFill prst="dkUpDiag">
              <a:fgClr>
                <a:srgbClr val="5B9BD5">
                  <a:lumMod val="50000"/>
                </a:srgbClr>
              </a:fgClr>
              <a:bgClr>
                <a:sysClr val="window" lastClr="FFFFFF"/>
              </a:bgClr>
            </a:pattFill>
            <a:ln>
              <a:solidFill>
                <a:srgbClr val="5B9BD5"/>
              </a:solidFill>
            </a:ln>
            <a:effectLst/>
          </c:spPr>
          <c:invertIfNegative val="0"/>
          <c:dPt>
            <c:idx val="0"/>
            <c:invertIfNegative val="0"/>
            <c:bubble3D val="0"/>
            <c:spPr>
              <a:pattFill prst="dkUpDiag">
                <a:fgClr>
                  <a:srgbClr val="5B9BD5">
                    <a:lumMod val="50000"/>
                  </a:srgbClr>
                </a:fgClr>
                <a:bgClr>
                  <a:sysClr val="window" lastClr="FFFFFF"/>
                </a:bgClr>
              </a:pattFill>
              <a:ln>
                <a:solidFill>
                  <a:srgbClr val="264478"/>
                </a:solidFill>
              </a:ln>
              <a:effectLst/>
            </c:spPr>
            <c:extLst>
              <c:ext xmlns:c16="http://schemas.microsoft.com/office/drawing/2014/chart" uri="{C3380CC4-5D6E-409C-BE32-E72D297353CC}">
                <c16:uniqueId val="{00000024-6CD2-48FA-98B6-BDE3470C48B1}"/>
              </c:ext>
            </c:extLst>
          </c:dPt>
          <c:dPt>
            <c:idx val="1"/>
            <c:invertIfNegative val="0"/>
            <c:bubble3D val="0"/>
            <c:spPr>
              <a:pattFill prst="dkUpDiag">
                <a:fgClr>
                  <a:srgbClr val="00B050"/>
                </a:fgClr>
                <a:bgClr>
                  <a:sysClr val="window" lastClr="FFFFFF"/>
                </a:bgClr>
              </a:pattFill>
              <a:ln>
                <a:solidFill>
                  <a:srgbClr val="00B050"/>
                </a:solidFill>
              </a:ln>
              <a:effectLst/>
            </c:spPr>
            <c:extLst>
              <c:ext xmlns:c16="http://schemas.microsoft.com/office/drawing/2014/chart" uri="{C3380CC4-5D6E-409C-BE32-E72D297353CC}">
                <c16:uniqueId val="{00000026-6CD2-48FA-98B6-BDE3470C48B1}"/>
              </c:ext>
            </c:extLst>
          </c:dPt>
          <c:cat>
            <c:strRef>
              <c:f>'Baltijas A-krasta VISAS EE osta'!$V$26:$V$27</c:f>
              <c:strCache>
                <c:ptCount val="2"/>
                <c:pt idx="0">
                  <c:v>Ostas</c:v>
                </c:pt>
                <c:pt idx="1">
                  <c:v>Dzelzceļš</c:v>
                </c:pt>
              </c:strCache>
            </c:strRef>
          </c:cat>
          <c:val>
            <c:numRef>
              <c:f>'Baltijas A-krasta VISAS EE osta'!$AE$26:$AE$27</c:f>
              <c:numCache>
                <c:formatCode>0.0</c:formatCode>
                <c:ptCount val="2"/>
                <c:pt idx="0" formatCode="General">
                  <c:v>43058.499999999993</c:v>
                </c:pt>
                <c:pt idx="1">
                  <c:v>30368.699999999997</c:v>
                </c:pt>
              </c:numCache>
            </c:numRef>
          </c:val>
          <c:extLst>
            <c:ext xmlns:c16="http://schemas.microsoft.com/office/drawing/2014/chart" uri="{C3380CC4-5D6E-409C-BE32-E72D297353CC}">
              <c16:uniqueId val="{00000027-6CD2-48FA-98B6-BDE3470C48B1}"/>
            </c:ext>
          </c:extLst>
        </c:ser>
        <c:ser>
          <c:idx val="8"/>
          <c:order val="8"/>
          <c:tx>
            <c:strRef>
              <c:f>'Baltijas A-krasta VISAS EE osta'!$AF$25</c:f>
              <c:strCache>
                <c:ptCount val="1"/>
                <c:pt idx="0">
                  <c:v>2018 I-VI</c:v>
                </c:pt>
              </c:strCache>
            </c:strRef>
          </c:tx>
          <c:spPr>
            <a:pattFill prst="dkUpDiag">
              <a:fgClr>
                <a:srgbClr val="5B9BD5">
                  <a:lumMod val="50000"/>
                </a:srgbClr>
              </a:fgClr>
              <a:bgClr>
                <a:sysClr val="window" lastClr="FFFFFF"/>
              </a:bgClr>
            </a:pattFill>
            <a:ln>
              <a:solidFill>
                <a:srgbClr val="264478"/>
              </a:solidFill>
            </a:ln>
            <a:effectLst/>
          </c:spPr>
          <c:invertIfNegative val="0"/>
          <c:dPt>
            <c:idx val="1"/>
            <c:invertIfNegative val="0"/>
            <c:bubble3D val="0"/>
            <c:spPr>
              <a:pattFill prst="dkUpDiag">
                <a:fgClr>
                  <a:srgbClr val="00B050"/>
                </a:fgClr>
                <a:bgClr>
                  <a:sysClr val="window" lastClr="FFFFFF"/>
                </a:bgClr>
              </a:pattFill>
              <a:ln>
                <a:solidFill>
                  <a:srgbClr val="00B050"/>
                </a:solidFill>
              </a:ln>
              <a:effectLst/>
            </c:spPr>
            <c:extLst>
              <c:ext xmlns:c16="http://schemas.microsoft.com/office/drawing/2014/chart" uri="{C3380CC4-5D6E-409C-BE32-E72D297353CC}">
                <c16:uniqueId val="{00000029-6CD2-48FA-98B6-BDE3470C48B1}"/>
              </c:ext>
            </c:extLst>
          </c:dPt>
          <c:cat>
            <c:strRef>
              <c:f>'Baltijas A-krasta VISAS EE osta'!$V$26:$V$27</c:f>
              <c:strCache>
                <c:ptCount val="2"/>
                <c:pt idx="0">
                  <c:v>Ostas</c:v>
                </c:pt>
                <c:pt idx="1">
                  <c:v>Dzelzceļš</c:v>
                </c:pt>
              </c:strCache>
            </c:strRef>
          </c:cat>
          <c:val>
            <c:numRef>
              <c:f>'Baltijas A-krasta VISAS EE osta'!$AF$26:$AF$27</c:f>
              <c:numCache>
                <c:formatCode>0.0</c:formatCode>
                <c:ptCount val="2"/>
                <c:pt idx="0" formatCode="General">
                  <c:v>43468.44</c:v>
                </c:pt>
                <c:pt idx="1">
                  <c:v>32337.700000000004</c:v>
                </c:pt>
              </c:numCache>
            </c:numRef>
          </c:val>
          <c:extLst>
            <c:ext xmlns:c16="http://schemas.microsoft.com/office/drawing/2014/chart" uri="{C3380CC4-5D6E-409C-BE32-E72D297353CC}">
              <c16:uniqueId val="{0000002A-6CD2-48FA-98B6-BDE3470C48B1}"/>
            </c:ext>
          </c:extLst>
        </c:ser>
        <c:ser>
          <c:idx val="9"/>
          <c:order val="9"/>
          <c:tx>
            <c:strRef>
              <c:f>'Baltijas A-krasta VISAS EE osta'!$AG$25</c:f>
              <c:strCache>
                <c:ptCount val="1"/>
                <c:pt idx="0">
                  <c:v>2019 I-VI</c:v>
                </c:pt>
              </c:strCache>
            </c:strRef>
          </c:tx>
          <c:spPr>
            <a:pattFill prst="dkUpDiag">
              <a:fgClr>
                <a:srgbClr val="5B9BD5">
                  <a:lumMod val="50000"/>
                </a:srgbClr>
              </a:fgClr>
              <a:bgClr>
                <a:sysClr val="window" lastClr="FFFFFF"/>
              </a:bgClr>
            </a:pattFill>
            <a:ln>
              <a:noFill/>
            </a:ln>
            <a:effectLst/>
          </c:spPr>
          <c:invertIfNegative val="0"/>
          <c:dPt>
            <c:idx val="0"/>
            <c:invertIfNegative val="0"/>
            <c:bubble3D val="0"/>
            <c:spPr>
              <a:pattFill prst="dkUpDiag">
                <a:fgClr>
                  <a:srgbClr val="5B9BD5">
                    <a:lumMod val="50000"/>
                  </a:srgbClr>
                </a:fgClr>
                <a:bgClr>
                  <a:sysClr val="window" lastClr="FFFFFF"/>
                </a:bgClr>
              </a:pattFill>
              <a:ln>
                <a:solidFill>
                  <a:srgbClr val="264478"/>
                </a:solidFill>
              </a:ln>
              <a:effectLst/>
            </c:spPr>
            <c:extLst>
              <c:ext xmlns:c16="http://schemas.microsoft.com/office/drawing/2014/chart" uri="{C3380CC4-5D6E-409C-BE32-E72D297353CC}">
                <c16:uniqueId val="{0000002C-6CD2-48FA-98B6-BDE3470C48B1}"/>
              </c:ext>
            </c:extLst>
          </c:dPt>
          <c:dPt>
            <c:idx val="1"/>
            <c:invertIfNegative val="0"/>
            <c:bubble3D val="0"/>
            <c:spPr>
              <a:pattFill prst="dkUpDiag">
                <a:fgClr>
                  <a:srgbClr val="00B050"/>
                </a:fgClr>
                <a:bgClr>
                  <a:sysClr val="window" lastClr="FFFFFF"/>
                </a:bgClr>
              </a:pattFill>
              <a:ln>
                <a:solidFill>
                  <a:srgbClr val="00B050"/>
                </a:solidFill>
              </a:ln>
              <a:effectLst/>
            </c:spPr>
            <c:extLst>
              <c:ext xmlns:c16="http://schemas.microsoft.com/office/drawing/2014/chart" uri="{C3380CC4-5D6E-409C-BE32-E72D297353CC}">
                <c16:uniqueId val="{0000002E-6CD2-48FA-98B6-BDE3470C48B1}"/>
              </c:ext>
            </c:extLst>
          </c:dPt>
          <c:dLbls>
            <c:dLbl>
              <c:idx val="0"/>
              <c:layout>
                <c:manualLayout>
                  <c:x val="3.0824556896994513E-2"/>
                  <c:y val="0.7058203845140900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2020. </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CD2-48FA-98B6-BDE3470C48B1}"/>
                </c:ext>
              </c:extLst>
            </c:dLbl>
            <c:dLbl>
              <c:idx val="1"/>
              <c:layout>
                <c:manualLayout>
                  <c:x val="3.8530696121243067E-2"/>
                  <c:y val="0.503028706873847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2020.</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6.7428718212175706E-2"/>
                      <c:h val="7.5559859731781615E-2"/>
                    </c:manualLayout>
                  </c15:layout>
                </c:ext>
                <c:ext xmlns:c16="http://schemas.microsoft.com/office/drawing/2014/chart" uri="{C3380CC4-5D6E-409C-BE32-E72D297353CC}">
                  <c16:uniqueId val="{0000002E-6CD2-48FA-98B6-BDE3470C48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'Baltijas A-krasta VISAS EE osta'!$V$26:$V$27</c:f>
              <c:strCache>
                <c:ptCount val="2"/>
                <c:pt idx="0">
                  <c:v>Ostas</c:v>
                </c:pt>
                <c:pt idx="1">
                  <c:v>Dzelzceļš</c:v>
                </c:pt>
              </c:strCache>
            </c:strRef>
          </c:cat>
          <c:val>
            <c:numRef>
              <c:f>'Baltijas A-krasta VISAS EE osta'!$AG$26:$AG$27</c:f>
              <c:numCache>
                <c:formatCode>General</c:formatCode>
                <c:ptCount val="2"/>
                <c:pt idx="0">
                  <c:v>42321.4</c:v>
                </c:pt>
                <c:pt idx="1">
                  <c:v>28372.7</c:v>
                </c:pt>
              </c:numCache>
            </c:numRef>
          </c:val>
          <c:extLst>
            <c:ext xmlns:c16="http://schemas.microsoft.com/office/drawing/2014/chart" uri="{C3380CC4-5D6E-409C-BE32-E72D297353CC}">
              <c16:uniqueId val="{0000002F-6CD2-48FA-98B6-BDE3470C48B1}"/>
            </c:ext>
          </c:extLst>
        </c:ser>
        <c:ser>
          <c:idx val="10"/>
          <c:order val="10"/>
          <c:tx>
            <c:strRef>
              <c:f>'Baltijas A-krasta VISAS EE osta'!$AH$25</c:f>
              <c:strCache>
                <c:ptCount val="1"/>
              </c:strCache>
            </c:strRef>
          </c:tx>
          <c:spPr>
            <a:pattFill prst="dkUpDiag">
              <a:fgClr>
                <a:srgbClr val="264478"/>
              </a:fgClr>
              <a:bgClr>
                <a:sysClr val="window" lastClr="FFFFFF"/>
              </a:bgClr>
            </a:pattFill>
            <a:ln>
              <a:solidFill>
                <a:srgbClr val="5B9BD5"/>
              </a:solidFill>
            </a:ln>
            <a:effectLst/>
          </c:spPr>
          <c:invertIfNegative val="0"/>
          <c:dPt>
            <c:idx val="0"/>
            <c:invertIfNegative val="0"/>
            <c:bubble3D val="0"/>
            <c:spPr>
              <a:pattFill prst="dkUpDiag">
                <a:fgClr>
                  <a:srgbClr val="264478"/>
                </a:fgClr>
                <a:bgClr>
                  <a:sysClr val="window" lastClr="FFFFFF"/>
                </a:bgClr>
              </a:pattFill>
              <a:ln>
                <a:solidFill>
                  <a:srgbClr val="264478"/>
                </a:solidFill>
              </a:ln>
              <a:effectLst/>
            </c:spPr>
            <c:extLst>
              <c:ext xmlns:c16="http://schemas.microsoft.com/office/drawing/2014/chart" uri="{C3380CC4-5D6E-409C-BE32-E72D297353CC}">
                <c16:uniqueId val="{00000031-6CD2-48FA-98B6-BDE3470C48B1}"/>
              </c:ext>
            </c:extLst>
          </c:dPt>
          <c:dPt>
            <c:idx val="1"/>
            <c:invertIfNegative val="0"/>
            <c:bubble3D val="0"/>
            <c:spPr>
              <a:pattFill prst="dkUpDiag">
                <a:fgClr>
                  <a:srgbClr val="00B050"/>
                </a:fgClr>
                <a:bgClr>
                  <a:sysClr val="window" lastClr="FFFFFF"/>
                </a:bgClr>
              </a:pattFill>
              <a:ln>
                <a:solidFill>
                  <a:srgbClr val="00B050"/>
                </a:solidFill>
              </a:ln>
              <a:effectLst/>
            </c:spPr>
            <c:extLst>
              <c:ext xmlns:c16="http://schemas.microsoft.com/office/drawing/2014/chart" uri="{C3380CC4-5D6E-409C-BE32-E72D297353CC}">
                <c16:uniqueId val="{00000033-6CD2-48FA-98B6-BDE3470C48B1}"/>
              </c:ext>
            </c:extLst>
          </c:dPt>
          <c:cat>
            <c:strRef>
              <c:f>'Baltijas A-krasta VISAS EE osta'!$V$26:$V$27</c:f>
              <c:strCache>
                <c:ptCount val="2"/>
                <c:pt idx="0">
                  <c:v>Ostas</c:v>
                </c:pt>
                <c:pt idx="1">
                  <c:v>Dzelzceļš</c:v>
                </c:pt>
              </c:strCache>
            </c:strRef>
          </c:cat>
          <c:val>
            <c:numRef>
              <c:f>'Baltijas A-krasta VISAS EE osta'!$AH$26:$AH$27</c:f>
              <c:numCache>
                <c:formatCode>General</c:formatCode>
                <c:ptCount val="2"/>
                <c:pt idx="0">
                  <c:v>29744.100000000002</c:v>
                </c:pt>
                <c:pt idx="1">
                  <c:v>15384.6</c:v>
                </c:pt>
              </c:numCache>
            </c:numRef>
          </c:val>
          <c:extLst>
            <c:ext xmlns:c16="http://schemas.microsoft.com/office/drawing/2014/chart" uri="{C3380CC4-5D6E-409C-BE32-E72D297353CC}">
              <c16:uniqueId val="{00000034-6CD2-48FA-98B6-BDE3470C48B1}"/>
            </c:ext>
          </c:extLst>
        </c:ser>
        <c:dLbls>
          <c:showLegendKey val="0"/>
          <c:showVal val="0"/>
          <c:showCatName val="0"/>
          <c:showSerName val="0"/>
          <c:showPercent val="0"/>
          <c:showBubbleSize val="0"/>
        </c:dLbls>
        <c:gapWidth val="219"/>
        <c:overlap val="-27"/>
        <c:axId val="221658064"/>
        <c:axId val="221658456"/>
      </c:barChart>
      <c:catAx>
        <c:axId val="22165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21658456"/>
        <c:crosses val="autoZero"/>
        <c:auto val="1"/>
        <c:lblAlgn val="ctr"/>
        <c:lblOffset val="100"/>
        <c:noMultiLvlLbl val="0"/>
      </c:catAx>
      <c:valAx>
        <c:axId val="221658456"/>
        <c:scaling>
          <c:orientation val="minMax"/>
          <c:max val="6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21658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36252272263436E-2"/>
          <c:y val="5.1400554097404488E-2"/>
          <c:w val="0.89141528195051567"/>
          <c:h val="0.73344738382522323"/>
        </c:manualLayout>
      </c:layout>
      <c:lineChart>
        <c:grouping val="standard"/>
        <c:varyColors val="0"/>
        <c:ser>
          <c:idx val="0"/>
          <c:order val="0"/>
          <c:tx>
            <c:strRef>
              <c:f>ind!$M$15</c:f>
              <c:strCache>
                <c:ptCount val="1"/>
                <c:pt idx="0">
                  <c:v>Dzelzceļš</c:v>
                </c:pt>
              </c:strCache>
            </c:strRef>
          </c:tx>
          <c:spPr>
            <a:ln>
              <a:prstDash val="sysDash"/>
            </a:ln>
          </c:spPr>
          <c:marker>
            <c:symbol val="none"/>
          </c:marker>
          <c:cat>
            <c:numRef>
              <c:f>ind!$L$16:$L$26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formatCode="0">
                  <c:v>2020</c:v>
                </c:pt>
              </c:numCache>
            </c:numRef>
          </c:cat>
          <c:val>
            <c:numRef>
              <c:f>ind!$M$16:$M$26</c:f>
              <c:numCache>
                <c:formatCode>General</c:formatCode>
                <c:ptCount val="11"/>
                <c:pt idx="0">
                  <c:v>1</c:v>
                </c:pt>
                <c:pt idx="1">
                  <c:v>0.96769297914972141</c:v>
                </c:pt>
                <c:pt idx="2">
                  <c:v>0.94164500962167941</c:v>
                </c:pt>
                <c:pt idx="3">
                  <c:v>0.93892713313627085</c:v>
                </c:pt>
                <c:pt idx="4">
                  <c:v>0.93021802527426767</c:v>
                </c:pt>
                <c:pt idx="5">
                  <c:v>0.80947090681849754</c:v>
                </c:pt>
                <c:pt idx="6">
                  <c:v>0.80894518618445843</c:v>
                </c:pt>
                <c:pt idx="7">
                  <c:v>0.82776201718015363</c:v>
                </c:pt>
                <c:pt idx="8">
                  <c:v>0.86451286527664817</c:v>
                </c:pt>
                <c:pt idx="9">
                  <c:v>0.88737675322871823</c:v>
                </c:pt>
                <c:pt idx="10">
                  <c:v>0.60476719503243592</c:v>
                </c:pt>
              </c:numCache>
            </c:numRef>
          </c:val>
          <c:smooth val="1"/>
          <c:extLst>
            <c:ext xmlns:c16="http://schemas.microsoft.com/office/drawing/2014/chart" uri="{C3380CC4-5D6E-409C-BE32-E72D297353CC}">
              <c16:uniqueId val="{00000000-D8A2-4CBC-A8AE-877D0E9C9902}"/>
            </c:ext>
          </c:extLst>
        </c:ser>
        <c:ser>
          <c:idx val="1"/>
          <c:order val="1"/>
          <c:tx>
            <c:strRef>
              <c:f>ind!$N$15</c:f>
              <c:strCache>
                <c:ptCount val="1"/>
                <c:pt idx="0">
                  <c:v>Autobusi</c:v>
                </c:pt>
              </c:strCache>
            </c:strRef>
          </c:tx>
          <c:spPr>
            <a:ln>
              <a:solidFill>
                <a:schemeClr val="accent6">
                  <a:lumMod val="75000"/>
                </a:schemeClr>
              </a:solidFill>
              <a:prstDash val="sysDash"/>
            </a:ln>
          </c:spPr>
          <c:marker>
            <c:symbol val="none"/>
          </c:marker>
          <c:cat>
            <c:numRef>
              <c:f>ind!$L$16:$L$26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formatCode="0">
                  <c:v>2020</c:v>
                </c:pt>
              </c:numCache>
            </c:numRef>
          </c:cat>
          <c:val>
            <c:numRef>
              <c:f>ind!$N$16:$N$26</c:f>
              <c:numCache>
                <c:formatCode>General</c:formatCode>
                <c:ptCount val="11"/>
                <c:pt idx="0">
                  <c:v>1</c:v>
                </c:pt>
                <c:pt idx="1">
                  <c:v>1.0397558287934243</c:v>
                </c:pt>
                <c:pt idx="2">
                  <c:v>1.0188047811004852</c:v>
                </c:pt>
                <c:pt idx="3">
                  <c:v>1.0350584987659319</c:v>
                </c:pt>
                <c:pt idx="4">
                  <c:v>1.020508301146362</c:v>
                </c:pt>
                <c:pt idx="5">
                  <c:v>1.0166458646067005</c:v>
                </c:pt>
                <c:pt idx="6">
                  <c:v>1.0054450797506</c:v>
                </c:pt>
                <c:pt idx="7">
                  <c:v>0.99003468884053814</c:v>
                </c:pt>
                <c:pt idx="8">
                  <c:v>0.98492975088127654</c:v>
                </c:pt>
                <c:pt idx="9">
                  <c:v>0.98671479251350735</c:v>
                </c:pt>
                <c:pt idx="10">
                  <c:v>0.59167383494408732</c:v>
                </c:pt>
              </c:numCache>
            </c:numRef>
          </c:val>
          <c:smooth val="1"/>
          <c:extLst>
            <c:ext xmlns:c16="http://schemas.microsoft.com/office/drawing/2014/chart" uri="{C3380CC4-5D6E-409C-BE32-E72D297353CC}">
              <c16:uniqueId val="{00000001-D8A2-4CBC-A8AE-877D0E9C9902}"/>
            </c:ext>
          </c:extLst>
        </c:ser>
        <c:ser>
          <c:idx val="2"/>
          <c:order val="2"/>
          <c:tx>
            <c:strRef>
              <c:f>ind!$O$15</c:f>
              <c:strCache>
                <c:ptCount val="1"/>
                <c:pt idx="0">
                  <c:v>Tramvaji</c:v>
                </c:pt>
              </c:strCache>
            </c:strRef>
          </c:tx>
          <c:spPr>
            <a:ln>
              <a:solidFill>
                <a:schemeClr val="accent3"/>
              </a:solidFill>
              <a:prstDash val="sysDash"/>
            </a:ln>
          </c:spPr>
          <c:marker>
            <c:symbol val="none"/>
          </c:marker>
          <c:cat>
            <c:numRef>
              <c:f>ind!$L$16:$L$26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formatCode="0">
                  <c:v>2020</c:v>
                </c:pt>
              </c:numCache>
            </c:numRef>
          </c:cat>
          <c:val>
            <c:numRef>
              <c:f>ind!$O$16:$O$26</c:f>
              <c:numCache>
                <c:formatCode>General</c:formatCode>
                <c:ptCount val="11"/>
                <c:pt idx="0">
                  <c:v>1</c:v>
                </c:pt>
                <c:pt idx="1">
                  <c:v>1.0175773233213414</c:v>
                </c:pt>
                <c:pt idx="2">
                  <c:v>0.9691575922930199</c:v>
                </c:pt>
                <c:pt idx="3">
                  <c:v>1.0384866117777725</c:v>
                </c:pt>
                <c:pt idx="4">
                  <c:v>1.095101045464423</c:v>
                </c:pt>
                <c:pt idx="5">
                  <c:v>1.0643455585870536</c:v>
                </c:pt>
                <c:pt idx="6">
                  <c:v>1.0077504406403168</c:v>
                </c:pt>
                <c:pt idx="7">
                  <c:v>1.0074075862568512</c:v>
                </c:pt>
                <c:pt idx="8">
                  <c:v>1.0326291136489847</c:v>
                </c:pt>
                <c:pt idx="9">
                  <c:v>1.0093391602482074</c:v>
                </c:pt>
                <c:pt idx="10">
                  <c:v>0.55500398387135719</c:v>
                </c:pt>
              </c:numCache>
            </c:numRef>
          </c:val>
          <c:smooth val="1"/>
          <c:extLst>
            <c:ext xmlns:c16="http://schemas.microsoft.com/office/drawing/2014/chart" uri="{C3380CC4-5D6E-409C-BE32-E72D297353CC}">
              <c16:uniqueId val="{00000002-D8A2-4CBC-A8AE-877D0E9C9902}"/>
            </c:ext>
          </c:extLst>
        </c:ser>
        <c:ser>
          <c:idx val="3"/>
          <c:order val="3"/>
          <c:tx>
            <c:strRef>
              <c:f>ind!$P$15</c:f>
              <c:strCache>
                <c:ptCount val="1"/>
                <c:pt idx="0">
                  <c:v>Trolejbusi</c:v>
                </c:pt>
              </c:strCache>
            </c:strRef>
          </c:tx>
          <c:spPr>
            <a:ln>
              <a:prstDash val="sysDash"/>
            </a:ln>
          </c:spPr>
          <c:marker>
            <c:symbol val="none"/>
          </c:marker>
          <c:cat>
            <c:numRef>
              <c:f>ind!$L$16:$L$26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formatCode="0">
                  <c:v>2020</c:v>
                </c:pt>
              </c:numCache>
            </c:numRef>
          </c:cat>
          <c:val>
            <c:numRef>
              <c:f>ind!$P$16:$P$26</c:f>
              <c:numCache>
                <c:formatCode>General</c:formatCode>
                <c:ptCount val="11"/>
                <c:pt idx="0">
                  <c:v>1</c:v>
                </c:pt>
                <c:pt idx="1">
                  <c:v>1.0528972476485354</c:v>
                </c:pt>
                <c:pt idx="2">
                  <c:v>1.0382679159737338</c:v>
                </c:pt>
                <c:pt idx="3">
                  <c:v>1.0844363921526208</c:v>
                </c:pt>
                <c:pt idx="4">
                  <c:v>1.087190095681057</c:v>
                </c:pt>
                <c:pt idx="5">
                  <c:v>1.0209795252452869</c:v>
                </c:pt>
                <c:pt idx="6">
                  <c:v>0.98708328263093581</c:v>
                </c:pt>
                <c:pt idx="7">
                  <c:v>0.98010212589517898</c:v>
                </c:pt>
                <c:pt idx="8">
                  <c:v>0.95087050382408733</c:v>
                </c:pt>
                <c:pt idx="9">
                  <c:v>0.90947481330250624</c:v>
                </c:pt>
                <c:pt idx="10">
                  <c:v>0.62299500187035506</c:v>
                </c:pt>
              </c:numCache>
            </c:numRef>
          </c:val>
          <c:smooth val="1"/>
          <c:extLst>
            <c:ext xmlns:c16="http://schemas.microsoft.com/office/drawing/2014/chart" uri="{C3380CC4-5D6E-409C-BE32-E72D297353CC}">
              <c16:uniqueId val="{00000003-D8A2-4CBC-A8AE-877D0E9C9902}"/>
            </c:ext>
          </c:extLst>
        </c:ser>
        <c:ser>
          <c:idx val="4"/>
          <c:order val="4"/>
          <c:tx>
            <c:strRef>
              <c:f>ind!$Q$15</c:f>
              <c:strCache>
                <c:ptCount val="1"/>
                <c:pt idx="0">
                  <c:v>Lidosta</c:v>
                </c:pt>
              </c:strCache>
            </c:strRef>
          </c:tx>
          <c:spPr>
            <a:ln>
              <a:solidFill>
                <a:schemeClr val="tx2">
                  <a:lumMod val="50000"/>
                </a:schemeClr>
              </a:solidFill>
              <a:prstDash val="sysDash"/>
            </a:ln>
            <a:effectLst>
              <a:outerShdw blurRad="50800" dist="38100" dir="2700000" algn="tl" rotWithShape="0">
                <a:prstClr val="black">
                  <a:alpha val="40000"/>
                </a:prstClr>
              </a:outerShdw>
            </a:effectLst>
          </c:spPr>
          <c:marker>
            <c:symbol val="none"/>
          </c:marker>
          <c:cat>
            <c:numRef>
              <c:f>ind!$L$16:$L$26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formatCode="0">
                  <c:v>2020</c:v>
                </c:pt>
              </c:numCache>
            </c:numRef>
          </c:cat>
          <c:val>
            <c:numRef>
              <c:f>ind!$Q$16:$Q$26</c:f>
              <c:numCache>
                <c:formatCode>General</c:formatCode>
                <c:ptCount val="11"/>
                <c:pt idx="0">
                  <c:v>1</c:v>
                </c:pt>
                <c:pt idx="1">
                  <c:v>1.1385841011311322</c:v>
                </c:pt>
                <c:pt idx="2">
                  <c:v>1.0699752270929384</c:v>
                </c:pt>
                <c:pt idx="3">
                  <c:v>1.0838999019873228</c:v>
                </c:pt>
                <c:pt idx="4">
                  <c:v>1.064519840525306</c:v>
                </c:pt>
                <c:pt idx="5">
                  <c:v>1.1347447540779336</c:v>
                </c:pt>
                <c:pt idx="6">
                  <c:v>1.2058734084875256</c:v>
                </c:pt>
                <c:pt idx="7">
                  <c:v>1.3110386718017097</c:v>
                </c:pt>
                <c:pt idx="8">
                  <c:v>1.5500139165588909</c:v>
                </c:pt>
                <c:pt idx="9">
                  <c:v>1.6978220943394695</c:v>
                </c:pt>
                <c:pt idx="10">
                  <c:v>0.62996180226837528</c:v>
                </c:pt>
              </c:numCache>
            </c:numRef>
          </c:val>
          <c:smooth val="1"/>
          <c:extLst>
            <c:ext xmlns:c16="http://schemas.microsoft.com/office/drawing/2014/chart" uri="{C3380CC4-5D6E-409C-BE32-E72D297353CC}">
              <c16:uniqueId val="{00000004-D8A2-4CBC-A8AE-877D0E9C9902}"/>
            </c:ext>
          </c:extLst>
        </c:ser>
        <c:ser>
          <c:idx val="5"/>
          <c:order val="5"/>
          <c:tx>
            <c:strRef>
              <c:f>ind!$R$15</c:f>
              <c:strCache>
                <c:ptCount val="1"/>
                <c:pt idx="0">
                  <c:v>Jūras ostas</c:v>
                </c:pt>
              </c:strCache>
            </c:strRef>
          </c:tx>
          <c:spPr>
            <a:ln>
              <a:solidFill>
                <a:srgbClr val="C00000"/>
              </a:solidFill>
              <a:prstDash val="sysDash"/>
            </a:ln>
            <a:effectLst>
              <a:outerShdw blurRad="50800" dist="38100" dir="2700000" algn="tl" rotWithShape="0">
                <a:prstClr val="black">
                  <a:alpha val="40000"/>
                </a:prstClr>
              </a:outerShdw>
            </a:effectLst>
          </c:spPr>
          <c:marker>
            <c:symbol val="none"/>
          </c:marker>
          <c:cat>
            <c:numRef>
              <c:f>ind!$L$16:$L$26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formatCode="0">
                  <c:v>2020</c:v>
                </c:pt>
              </c:numCache>
            </c:numRef>
          </c:cat>
          <c:val>
            <c:numRef>
              <c:f>ind!$R$16:$R$26</c:f>
              <c:numCache>
                <c:formatCode>General</c:formatCode>
                <c:ptCount val="11"/>
                <c:pt idx="0">
                  <c:v>1</c:v>
                </c:pt>
                <c:pt idx="1">
                  <c:v>1.2099453776874864</c:v>
                </c:pt>
                <c:pt idx="2">
                  <c:v>1.3150612599228546</c:v>
                </c:pt>
                <c:pt idx="3">
                  <c:v>1.3860076190817128</c:v>
                </c:pt>
                <c:pt idx="4">
                  <c:v>1.4243774816458887</c:v>
                </c:pt>
                <c:pt idx="5">
                  <c:v>0.97899233617035242</c:v>
                </c:pt>
                <c:pt idx="6">
                  <c:v>1.0212582522649913</c:v>
                </c:pt>
                <c:pt idx="7">
                  <c:v>1.4078177625435919</c:v>
                </c:pt>
                <c:pt idx="8">
                  <c:v>1.5353762257205164</c:v>
                </c:pt>
                <c:pt idx="9">
                  <c:v>1.5297111371643533</c:v>
                </c:pt>
                <c:pt idx="10">
                  <c:v>0.61730074490395603</c:v>
                </c:pt>
              </c:numCache>
            </c:numRef>
          </c:val>
          <c:smooth val="1"/>
          <c:extLst>
            <c:ext xmlns:c16="http://schemas.microsoft.com/office/drawing/2014/chart" uri="{C3380CC4-5D6E-409C-BE32-E72D297353CC}">
              <c16:uniqueId val="{00000005-D8A2-4CBC-A8AE-877D0E9C9902}"/>
            </c:ext>
          </c:extLst>
        </c:ser>
        <c:dLbls>
          <c:showLegendKey val="0"/>
          <c:showVal val="0"/>
          <c:showCatName val="0"/>
          <c:showSerName val="0"/>
          <c:showPercent val="0"/>
          <c:showBubbleSize val="0"/>
        </c:dLbls>
        <c:smooth val="0"/>
        <c:axId val="282258760"/>
        <c:axId val="282259152"/>
      </c:lineChart>
      <c:catAx>
        <c:axId val="282258760"/>
        <c:scaling>
          <c:orientation val="minMax"/>
        </c:scaling>
        <c:delete val="0"/>
        <c:axPos val="b"/>
        <c:numFmt formatCode="General" sourceLinked="0"/>
        <c:majorTickMark val="out"/>
        <c:minorTickMark val="none"/>
        <c:tickLblPos val="nextTo"/>
        <c:txPr>
          <a:bodyPr/>
          <a:lstStyle/>
          <a:p>
            <a:pPr algn="ct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2259152"/>
        <c:crosses val="autoZero"/>
        <c:auto val="1"/>
        <c:lblAlgn val="ctr"/>
        <c:lblOffset val="100"/>
        <c:noMultiLvlLbl val="0"/>
      </c:catAx>
      <c:valAx>
        <c:axId val="282259152"/>
        <c:scaling>
          <c:orientation val="minMax"/>
          <c:min val="0"/>
        </c:scaling>
        <c:delete val="0"/>
        <c:axPos val="l"/>
        <c:majorGridlines>
          <c:spPr>
            <a:ln>
              <a:solidFill>
                <a:schemeClr val="bg1">
                  <a:lumMod val="75000"/>
                </a:schemeClr>
              </a:solidFill>
            </a:ln>
          </c:spPr>
        </c:majorGridlines>
        <c:numFmt formatCode="#,##0.0" sourceLinked="0"/>
        <c:majorTickMark val="out"/>
        <c:minorTickMark val="none"/>
        <c:tickLblPos val="nextTo"/>
        <c:txPr>
          <a:bodyPr/>
          <a:lstStyle/>
          <a:p>
            <a:pPr algn="ct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2258760"/>
        <c:crosses val="autoZero"/>
        <c:crossBetween val="between"/>
      </c:valAx>
    </c:plotArea>
    <c:legend>
      <c:legendPos val="r"/>
      <c:layout>
        <c:manualLayout>
          <c:xMode val="edge"/>
          <c:yMode val="edge"/>
          <c:x val="6.9799850822628725E-4"/>
          <c:y val="0.87672547049000316"/>
          <c:w val="0.99930200149177373"/>
          <c:h val="0.12327462436769927"/>
        </c:manualLayout>
      </c:layout>
      <c:overlay val="0"/>
      <c:txPr>
        <a:bodyPr/>
        <a:lstStyle/>
        <a:p>
          <a:pPr algn="ctr">
            <a:defRPr lang="en-GB"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'Būvn apj_2019'!$A$6</c:f>
              <c:strCache>
                <c:ptCount val="1"/>
                <c:pt idx="0">
                  <c:v>Ēku būvniecība</c:v>
                </c:pt>
              </c:strCache>
            </c:strRef>
          </c:tx>
          <c:spPr>
            <a:solidFill>
              <a:srgbClr val="0070C0"/>
            </a:solidFill>
            <a:ln>
              <a:solidFill>
                <a:srgbClr val="0070C0"/>
              </a:solidFill>
            </a:ln>
            <a:effectLst/>
          </c:spPr>
          <c:invertIfNegative val="0"/>
          <c:cat>
            <c:multiLvlStrRef>
              <c:f>'Būvn apj_2019'!$B$3:$W$4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'Būvn apj_2019'!$B$6:$W$6</c:f>
              <c:numCache>
                <c:formatCode>0.0</c:formatCode>
                <c:ptCount val="22"/>
                <c:pt idx="0">
                  <c:v>99939.9</c:v>
                </c:pt>
                <c:pt idx="1">
                  <c:v>116689.9</c:v>
                </c:pt>
                <c:pt idx="2">
                  <c:v>160866</c:v>
                </c:pt>
                <c:pt idx="3">
                  <c:v>132873.29999999999</c:v>
                </c:pt>
                <c:pt idx="4">
                  <c:v>85076</c:v>
                </c:pt>
                <c:pt idx="5">
                  <c:v>101606.1</c:v>
                </c:pt>
                <c:pt idx="6">
                  <c:v>129975.9</c:v>
                </c:pt>
                <c:pt idx="7">
                  <c:v>140724.29999999999</c:v>
                </c:pt>
                <c:pt idx="8">
                  <c:v>89924.2</c:v>
                </c:pt>
                <c:pt idx="9">
                  <c:v>124532.5</c:v>
                </c:pt>
                <c:pt idx="10">
                  <c:v>175236.9</c:v>
                </c:pt>
                <c:pt idx="11">
                  <c:v>188067</c:v>
                </c:pt>
                <c:pt idx="12">
                  <c:v>137616.20000000001</c:v>
                </c:pt>
                <c:pt idx="13">
                  <c:v>193656.2</c:v>
                </c:pt>
                <c:pt idx="14">
                  <c:v>202311.5</c:v>
                </c:pt>
                <c:pt idx="15">
                  <c:v>229381.6</c:v>
                </c:pt>
                <c:pt idx="16">
                  <c:v>151617.5</c:v>
                </c:pt>
                <c:pt idx="17">
                  <c:v>211010.3</c:v>
                </c:pt>
                <c:pt idx="18">
                  <c:v>234182.5</c:v>
                </c:pt>
                <c:pt idx="19">
                  <c:v>259133.2</c:v>
                </c:pt>
                <c:pt idx="20">
                  <c:v>182468.8</c:v>
                </c:pt>
                <c:pt idx="21">
                  <c:v>205826.3</c:v>
                </c:pt>
              </c:numCache>
            </c:numRef>
          </c:val>
          <c:extLst>
            <c:ext xmlns:c16="http://schemas.microsoft.com/office/drawing/2014/chart" uri="{C3380CC4-5D6E-409C-BE32-E72D297353CC}">
              <c16:uniqueId val="{00000000-5385-4B7F-8017-9DFB032628EE}"/>
            </c:ext>
          </c:extLst>
        </c:ser>
        <c:ser>
          <c:idx val="1"/>
          <c:order val="1"/>
          <c:tx>
            <c:strRef>
              <c:f>'Būvn apj_2019'!$A$7</c:f>
              <c:strCache>
                <c:ptCount val="1"/>
                <c:pt idx="0">
                  <c:v>Inženierbūvniecība</c:v>
                </c:pt>
              </c:strCache>
            </c:strRef>
          </c:tx>
          <c:spPr>
            <a:pattFill prst="dkUpDiag">
              <a:fgClr>
                <a:srgbClr val="00B050"/>
              </a:fgClr>
              <a:bgClr>
                <a:schemeClr val="bg1"/>
              </a:bgClr>
            </a:pattFill>
            <a:ln>
              <a:solidFill>
                <a:srgbClr val="00B050"/>
              </a:solidFill>
            </a:ln>
            <a:effectLst/>
          </c:spPr>
          <c:invertIfNegative val="0"/>
          <c:cat>
            <c:multiLvlStrRef>
              <c:f>'Būvn apj_2019'!$B$3:$W$4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'Būvn apj_2019'!$B$7:$W$7</c:f>
              <c:numCache>
                <c:formatCode>0.0</c:formatCode>
                <c:ptCount val="22"/>
                <c:pt idx="0">
                  <c:v>64677.2</c:v>
                </c:pt>
                <c:pt idx="1">
                  <c:v>162983</c:v>
                </c:pt>
                <c:pt idx="2">
                  <c:v>257271</c:v>
                </c:pt>
                <c:pt idx="3">
                  <c:v>199231.2</c:v>
                </c:pt>
                <c:pt idx="4">
                  <c:v>40783.599999999999</c:v>
                </c:pt>
                <c:pt idx="5">
                  <c:v>113014.7</c:v>
                </c:pt>
                <c:pt idx="6">
                  <c:v>183266.4</c:v>
                </c:pt>
                <c:pt idx="7">
                  <c:v>161617.1</c:v>
                </c:pt>
                <c:pt idx="8">
                  <c:v>51035.3</c:v>
                </c:pt>
                <c:pt idx="9">
                  <c:v>148570</c:v>
                </c:pt>
                <c:pt idx="10">
                  <c:v>252171.2</c:v>
                </c:pt>
                <c:pt idx="11">
                  <c:v>206273.2</c:v>
                </c:pt>
                <c:pt idx="12">
                  <c:v>76159.399999999994</c:v>
                </c:pt>
                <c:pt idx="13">
                  <c:v>195353.1</c:v>
                </c:pt>
                <c:pt idx="14">
                  <c:v>274682.2</c:v>
                </c:pt>
                <c:pt idx="15">
                  <c:v>210765.1</c:v>
                </c:pt>
                <c:pt idx="16">
                  <c:v>77993.3</c:v>
                </c:pt>
                <c:pt idx="17">
                  <c:v>195290.9</c:v>
                </c:pt>
                <c:pt idx="18">
                  <c:v>291660.2</c:v>
                </c:pt>
                <c:pt idx="19">
                  <c:v>227641.60000000001</c:v>
                </c:pt>
                <c:pt idx="20">
                  <c:v>91587.199999999997</c:v>
                </c:pt>
                <c:pt idx="21">
                  <c:v>179916.5</c:v>
                </c:pt>
              </c:numCache>
            </c:numRef>
          </c:val>
          <c:extLst>
            <c:ext xmlns:c16="http://schemas.microsoft.com/office/drawing/2014/chart" uri="{C3380CC4-5D6E-409C-BE32-E72D297353CC}">
              <c16:uniqueId val="{00000001-5385-4B7F-8017-9DFB032628EE}"/>
            </c:ext>
          </c:extLst>
        </c:ser>
        <c:ser>
          <c:idx val="2"/>
          <c:order val="2"/>
          <c:tx>
            <c:strRef>
              <c:f>'Būvn apj_2019'!$A$17</c:f>
              <c:strCache>
                <c:ptCount val="1"/>
                <c:pt idx="0">
                  <c:v>Specializētie būvdarbi</c:v>
                </c:pt>
              </c:strCache>
            </c:strRef>
          </c:tx>
          <c:spPr>
            <a:solidFill>
              <a:schemeClr val="tx1">
                <a:lumMod val="65000"/>
                <a:lumOff val="35000"/>
              </a:schemeClr>
            </a:solidFill>
            <a:ln>
              <a:solidFill>
                <a:schemeClr val="tx1">
                  <a:lumMod val="65000"/>
                  <a:lumOff val="35000"/>
                </a:schemeClr>
              </a:solidFill>
            </a:ln>
            <a:effectLst/>
          </c:spPr>
          <c:invertIfNegative val="0"/>
          <c:cat>
            <c:multiLvlStrRef>
              <c:f>'Būvn apj_2019'!$B$3:$W$4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'Būvn apj_2019'!$B$17:$W$17</c:f>
              <c:numCache>
                <c:formatCode>0.0</c:formatCode>
                <c:ptCount val="22"/>
                <c:pt idx="0">
                  <c:v>87922.1</c:v>
                </c:pt>
                <c:pt idx="1">
                  <c:v>125420.3</c:v>
                </c:pt>
                <c:pt idx="2">
                  <c:v>167516.29999999999</c:v>
                </c:pt>
                <c:pt idx="3">
                  <c:v>168336.3</c:v>
                </c:pt>
                <c:pt idx="4">
                  <c:v>77627.899999999994</c:v>
                </c:pt>
                <c:pt idx="5">
                  <c:v>110786</c:v>
                </c:pt>
                <c:pt idx="6">
                  <c:v>142781</c:v>
                </c:pt>
                <c:pt idx="7">
                  <c:v>138693.5</c:v>
                </c:pt>
                <c:pt idx="8">
                  <c:v>81010.7</c:v>
                </c:pt>
                <c:pt idx="9">
                  <c:v>111330</c:v>
                </c:pt>
                <c:pt idx="10">
                  <c:v>153423.1</c:v>
                </c:pt>
                <c:pt idx="11">
                  <c:v>154378.1</c:v>
                </c:pt>
                <c:pt idx="12">
                  <c:v>98944.1</c:v>
                </c:pt>
                <c:pt idx="13">
                  <c:v>140767.29999999999</c:v>
                </c:pt>
                <c:pt idx="14">
                  <c:v>191961.3</c:v>
                </c:pt>
                <c:pt idx="15">
                  <c:v>235462.2</c:v>
                </c:pt>
                <c:pt idx="16">
                  <c:v>125189.8</c:v>
                </c:pt>
                <c:pt idx="17">
                  <c:v>146863.70000000001</c:v>
                </c:pt>
                <c:pt idx="18">
                  <c:v>204089.1</c:v>
                </c:pt>
                <c:pt idx="19">
                  <c:v>217704.5</c:v>
                </c:pt>
                <c:pt idx="20">
                  <c:v>140716.9</c:v>
                </c:pt>
                <c:pt idx="21">
                  <c:v>167221.79999999999</c:v>
                </c:pt>
              </c:numCache>
            </c:numRef>
          </c:val>
          <c:extLst>
            <c:ext xmlns:c16="http://schemas.microsoft.com/office/drawing/2014/chart" uri="{C3380CC4-5D6E-409C-BE32-E72D297353CC}">
              <c16:uniqueId val="{00000002-5385-4B7F-8017-9DFB032628EE}"/>
            </c:ext>
          </c:extLst>
        </c:ser>
        <c:dLbls>
          <c:showLegendKey val="0"/>
          <c:showVal val="0"/>
          <c:showCatName val="0"/>
          <c:showSerName val="0"/>
          <c:showPercent val="0"/>
          <c:showBubbleSize val="0"/>
        </c:dLbls>
        <c:gapWidth val="50"/>
        <c:overlap val="100"/>
        <c:axId val="440031896"/>
        <c:axId val="440031568"/>
      </c:barChart>
      <c:catAx>
        <c:axId val="44003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440031568"/>
        <c:crosses val="autoZero"/>
        <c:auto val="1"/>
        <c:lblAlgn val="ctr"/>
        <c:lblOffset val="100"/>
        <c:noMultiLvlLbl val="0"/>
      </c:catAx>
      <c:valAx>
        <c:axId val="440031568"/>
        <c:scaling>
          <c:orientation val="minMax"/>
          <c:max val="73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440031896"/>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'IKP cet'!$F$3</c:f>
              <c:strCache>
                <c:ptCount val="1"/>
                <c:pt idx="0">
                  <c:v>pret iepriekšējā gada atbilstošo periodu (sezonāli neizlīdzināts)</c:v>
                </c:pt>
              </c:strCache>
            </c:strRef>
          </c:tx>
          <c:spPr>
            <a:pattFill prst="dkUpDiag">
              <a:fgClr>
                <a:schemeClr val="tx1">
                  <a:lumMod val="65000"/>
                  <a:lumOff val="35000"/>
                </a:schemeClr>
              </a:fgClr>
              <a:bgClr>
                <a:schemeClr val="bg1"/>
              </a:bgClr>
            </a:pattFill>
            <a:ln>
              <a:solidFill>
                <a:schemeClr val="tx1">
                  <a:lumMod val="65000"/>
                  <a:lumOff val="35000"/>
                </a:schemeClr>
              </a:solidFill>
            </a:ln>
            <a:effectLst/>
          </c:spPr>
          <c:invertIfNegative val="0"/>
          <c:cat>
            <c:multiLvlStrRef>
              <c:f>'IKP cet'!$B$44:$C$85</c:f>
              <c:multiLvlStrCache>
                <c:ptCount val="4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I</c:v>
                  </c:pt>
                  <c:pt idx="37">
                    <c:v>II</c:v>
                  </c:pt>
                  <c:pt idx="38">
                    <c:v>III</c:v>
                  </c:pt>
                  <c:pt idx="39">
                    <c:v>IV</c:v>
                  </c:pt>
                  <c:pt idx="40">
                    <c:v>I</c:v>
                  </c:pt>
                  <c:pt idx="41">
                    <c:v>II</c:v>
                  </c:pt>
                </c:lvl>
                <c:lvl>
                  <c:pt idx="0">
                    <c:v>2010</c:v>
                  </c:pt>
                  <c:pt idx="4">
                    <c:v>2011</c:v>
                  </c:pt>
                  <c:pt idx="8">
                    <c:v>2012</c:v>
                  </c:pt>
                  <c:pt idx="12">
                    <c:v>2013</c:v>
                  </c:pt>
                  <c:pt idx="16">
                    <c:v>2014</c:v>
                  </c:pt>
                  <c:pt idx="20">
                    <c:v>2015</c:v>
                  </c:pt>
                  <c:pt idx="24">
                    <c:v>2016</c:v>
                  </c:pt>
                  <c:pt idx="28">
                    <c:v>2017</c:v>
                  </c:pt>
                  <c:pt idx="32">
                    <c:v>2018</c:v>
                  </c:pt>
                  <c:pt idx="36">
                    <c:v>2019</c:v>
                  </c:pt>
                  <c:pt idx="40">
                    <c:v>2020</c:v>
                  </c:pt>
                </c:lvl>
              </c:multiLvlStrCache>
            </c:multiLvlStrRef>
          </c:cat>
          <c:val>
            <c:numRef>
              <c:f>'IKP cet'!$F$44:$F$85</c:f>
              <c:numCache>
                <c:formatCode>0.0</c:formatCode>
                <c:ptCount val="42"/>
                <c:pt idx="0">
                  <c:v>-10.662417860956737</c:v>
                </c:pt>
                <c:pt idx="1">
                  <c:v>-5.6361637198409369</c:v>
                </c:pt>
                <c:pt idx="2">
                  <c:v>-1.0266293399669451</c:v>
                </c:pt>
                <c:pt idx="3">
                  <c:v>-0.64939096470600077</c:v>
                </c:pt>
                <c:pt idx="4">
                  <c:v>2.4458137292426585</c:v>
                </c:pt>
                <c:pt idx="5">
                  <c:v>6.3411961675672046</c:v>
                </c:pt>
                <c:pt idx="6">
                  <c:v>9.2207724907931805</c:v>
                </c:pt>
                <c:pt idx="7">
                  <c:v>7.3296216867215378</c:v>
                </c:pt>
                <c:pt idx="8">
                  <c:v>8.2035974942459404</c:v>
                </c:pt>
                <c:pt idx="9">
                  <c:v>4.2204659032448006</c:v>
                </c:pt>
                <c:pt idx="10">
                  <c:v>3.1233126905280955</c:v>
                </c:pt>
                <c:pt idx="11">
                  <c:v>2.2427201392034277</c:v>
                </c:pt>
                <c:pt idx="12">
                  <c:v>1.0055038559092964</c:v>
                </c:pt>
                <c:pt idx="13">
                  <c:v>2.0952042627529863</c:v>
                </c:pt>
                <c:pt idx="14">
                  <c:v>3.0357960202045717</c:v>
                </c:pt>
                <c:pt idx="15">
                  <c:v>2.9006438079175894</c:v>
                </c:pt>
                <c:pt idx="16">
                  <c:v>1.7213837347007939</c:v>
                </c:pt>
                <c:pt idx="17">
                  <c:v>1.284518419260138</c:v>
                </c:pt>
                <c:pt idx="18">
                  <c:v>1.0703307730395579</c:v>
                </c:pt>
                <c:pt idx="19">
                  <c:v>0.35187018448051788</c:v>
                </c:pt>
                <c:pt idx="20">
                  <c:v>3.2735902633979919</c:v>
                </c:pt>
                <c:pt idx="21">
                  <c:v>4.2536374288382603</c:v>
                </c:pt>
                <c:pt idx="22">
                  <c:v>4.5729136149899432</c:v>
                </c:pt>
                <c:pt idx="23">
                  <c:v>3.8362371578826071</c:v>
                </c:pt>
                <c:pt idx="24">
                  <c:v>3.1545118651152819</c:v>
                </c:pt>
                <c:pt idx="25">
                  <c:v>2.6989391784486543</c:v>
                </c:pt>
                <c:pt idx="26">
                  <c:v>1.1301407983447262</c:v>
                </c:pt>
                <c:pt idx="27">
                  <c:v>2.6359596601508741</c:v>
                </c:pt>
                <c:pt idx="28">
                  <c:v>3.062301685304945</c:v>
                </c:pt>
                <c:pt idx="29">
                  <c:v>3.0544179844454931</c:v>
                </c:pt>
                <c:pt idx="30">
                  <c:v>3.8757412230222315</c:v>
                </c:pt>
                <c:pt idx="31">
                  <c:v>2.9897167834163696</c:v>
                </c:pt>
                <c:pt idx="32">
                  <c:v>1.9156539641803931</c:v>
                </c:pt>
                <c:pt idx="33">
                  <c:v>4.5700355167959401</c:v>
                </c:pt>
                <c:pt idx="34">
                  <c:v>4.3556786325395223</c:v>
                </c:pt>
                <c:pt idx="35">
                  <c:v>4.9406388539453445</c:v>
                </c:pt>
                <c:pt idx="36">
                  <c:v>3.3582165151797625</c:v>
                </c:pt>
                <c:pt idx="37">
                  <c:v>1.743596474575952</c:v>
                </c:pt>
                <c:pt idx="38">
                  <c:v>2.6072018237073422</c:v>
                </c:pt>
                <c:pt idx="39">
                  <c:v>0.75979767080802674</c:v>
                </c:pt>
                <c:pt idx="40">
                  <c:v>-0.96865462366044142</c:v>
                </c:pt>
                <c:pt idx="41">
                  <c:v>-8.8923630105704632</c:v>
                </c:pt>
              </c:numCache>
            </c:numRef>
          </c:val>
          <c:extLst>
            <c:ext xmlns:c16="http://schemas.microsoft.com/office/drawing/2014/chart" uri="{C3380CC4-5D6E-409C-BE32-E72D297353CC}">
              <c16:uniqueId val="{00000000-7950-4B32-9091-EBF44BD6BA44}"/>
            </c:ext>
          </c:extLst>
        </c:ser>
        <c:dLbls>
          <c:showLegendKey val="0"/>
          <c:showVal val="0"/>
          <c:showCatName val="0"/>
          <c:showSerName val="0"/>
          <c:showPercent val="0"/>
          <c:showBubbleSize val="0"/>
        </c:dLbls>
        <c:gapWidth val="50"/>
        <c:overlap val="-27"/>
        <c:axId val="291496352"/>
        <c:axId val="291495176"/>
      </c:barChart>
      <c:lineChart>
        <c:grouping val="standard"/>
        <c:varyColors val="0"/>
        <c:ser>
          <c:idx val="1"/>
          <c:order val="1"/>
          <c:tx>
            <c:strRef>
              <c:f>'IKP cet'!$G$3</c:f>
              <c:strCache>
                <c:ptCount val="1"/>
                <c:pt idx="0">
                  <c:v>pret iepriekšējo periodu (sezonāli izlīdzināts)</c:v>
                </c:pt>
              </c:strCache>
            </c:strRef>
          </c:tx>
          <c:spPr>
            <a:ln w="31750" cap="rnd">
              <a:solidFill>
                <a:srgbClr val="0070C0"/>
              </a:solidFill>
              <a:round/>
            </a:ln>
            <a:effectLst/>
          </c:spPr>
          <c:marker>
            <c:symbol val="none"/>
          </c:marker>
          <c:cat>
            <c:multiLvlStrRef>
              <c:f>'IKP cet'!$B$44:$C$85</c:f>
              <c:multiLvlStrCache>
                <c:ptCount val="4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I</c:v>
                  </c:pt>
                  <c:pt idx="37">
                    <c:v>II</c:v>
                  </c:pt>
                  <c:pt idx="38">
                    <c:v>III</c:v>
                  </c:pt>
                  <c:pt idx="39">
                    <c:v>IV</c:v>
                  </c:pt>
                  <c:pt idx="40">
                    <c:v>I</c:v>
                  </c:pt>
                  <c:pt idx="41">
                    <c:v>II</c:v>
                  </c:pt>
                </c:lvl>
                <c:lvl>
                  <c:pt idx="0">
                    <c:v>2010</c:v>
                  </c:pt>
                  <c:pt idx="4">
                    <c:v>2011</c:v>
                  </c:pt>
                  <c:pt idx="8">
                    <c:v>2012</c:v>
                  </c:pt>
                  <c:pt idx="12">
                    <c:v>2013</c:v>
                  </c:pt>
                  <c:pt idx="16">
                    <c:v>2014</c:v>
                  </c:pt>
                  <c:pt idx="20">
                    <c:v>2015</c:v>
                  </c:pt>
                  <c:pt idx="24">
                    <c:v>2016</c:v>
                  </c:pt>
                  <c:pt idx="28">
                    <c:v>2017</c:v>
                  </c:pt>
                  <c:pt idx="32">
                    <c:v>2018</c:v>
                  </c:pt>
                  <c:pt idx="36">
                    <c:v>2019</c:v>
                  </c:pt>
                  <c:pt idx="40">
                    <c:v>2020</c:v>
                  </c:pt>
                </c:lvl>
              </c:multiLvlStrCache>
            </c:multiLvlStrRef>
          </c:cat>
          <c:val>
            <c:numRef>
              <c:f>'IKP cet'!$G$44:$G$85</c:f>
              <c:numCache>
                <c:formatCode>0.0</c:formatCode>
                <c:ptCount val="42"/>
                <c:pt idx="0">
                  <c:v>-0.73437461805455939</c:v>
                </c:pt>
                <c:pt idx="1">
                  <c:v>-0.59587531196150678</c:v>
                </c:pt>
                <c:pt idx="2">
                  <c:v>-0.30667762138948262</c:v>
                </c:pt>
                <c:pt idx="3">
                  <c:v>1.222598894818347</c:v>
                </c:pt>
                <c:pt idx="4">
                  <c:v>1.7830526205710555</c:v>
                </c:pt>
                <c:pt idx="5">
                  <c:v>3.5035576449389509</c:v>
                </c:pt>
                <c:pt idx="6">
                  <c:v>1.9257826175348356</c:v>
                </c:pt>
                <c:pt idx="7">
                  <c:v>0.30115211521152219</c:v>
                </c:pt>
                <c:pt idx="8">
                  <c:v>2.1003713568983642</c:v>
                </c:pt>
                <c:pt idx="9">
                  <c:v>-0.30983926890166913</c:v>
                </c:pt>
                <c:pt idx="10">
                  <c:v>1.0340090951891483</c:v>
                </c:pt>
                <c:pt idx="11">
                  <c:v>0.26442597172312787</c:v>
                </c:pt>
                <c:pt idx="12">
                  <c:v>0.75699909537485155</c:v>
                </c:pt>
                <c:pt idx="13">
                  <c:v>0.10287799240205686</c:v>
                </c:pt>
                <c:pt idx="14">
                  <c:v>1.3365916713910906</c:v>
                </c:pt>
                <c:pt idx="15">
                  <c:v>0.84086479607998399</c:v>
                </c:pt>
                <c:pt idx="16">
                  <c:v>-0.88264411893158012</c:v>
                </c:pt>
                <c:pt idx="17">
                  <c:v>0.55156627544781145</c:v>
                </c:pt>
                <c:pt idx="18">
                  <c:v>0.46328822119352253</c:v>
                </c:pt>
                <c:pt idx="19">
                  <c:v>0.55916759239987357</c:v>
                </c:pt>
                <c:pt idx="20">
                  <c:v>1.6118159242575842</c:v>
                </c:pt>
                <c:pt idx="21">
                  <c:v>1.3894799466083612</c:v>
                </c:pt>
                <c:pt idx="22">
                  <c:v>0.81868418220558681</c:v>
                </c:pt>
                <c:pt idx="23">
                  <c:v>-0.13810622325827637</c:v>
                </c:pt>
                <c:pt idx="24">
                  <c:v>1.6243131429417872</c:v>
                </c:pt>
                <c:pt idx="25">
                  <c:v>-0.66946976931291147</c:v>
                </c:pt>
                <c:pt idx="26">
                  <c:v>0.23062544415743957</c:v>
                </c:pt>
                <c:pt idx="27">
                  <c:v>1.1932930470329381</c:v>
                </c:pt>
                <c:pt idx="28">
                  <c:v>1.2942073799151501</c:v>
                </c:pt>
                <c:pt idx="29">
                  <c:v>0.84933301107879799</c:v>
                </c:pt>
                <c:pt idx="30">
                  <c:v>0.56567958007421737</c:v>
                </c:pt>
                <c:pt idx="31">
                  <c:v>0.53849778720073971</c:v>
                </c:pt>
                <c:pt idx="32">
                  <c:v>0.98958134214578308</c:v>
                </c:pt>
                <c:pt idx="33">
                  <c:v>1.7498187824512712</c:v>
                </c:pt>
                <c:pt idx="34">
                  <c:v>1.4189006381131435</c:v>
                </c:pt>
                <c:pt idx="35">
                  <c:v>0.89801067992635808</c:v>
                </c:pt>
                <c:pt idx="36">
                  <c:v>-0.52624774234119798</c:v>
                </c:pt>
                <c:pt idx="37">
                  <c:v>0.64213358940118326</c:v>
                </c:pt>
                <c:pt idx="38">
                  <c:v>0.52166144303089368</c:v>
                </c:pt>
                <c:pt idx="39">
                  <c:v>0.11474510761689771</c:v>
                </c:pt>
                <c:pt idx="40">
                  <c:v>-2.266938525107804</c:v>
                </c:pt>
                <c:pt idx="41">
                  <c:v>-7.0768087815224163</c:v>
                </c:pt>
              </c:numCache>
            </c:numRef>
          </c:val>
          <c:smooth val="0"/>
          <c:extLst>
            <c:ext xmlns:c16="http://schemas.microsoft.com/office/drawing/2014/chart" uri="{C3380CC4-5D6E-409C-BE32-E72D297353CC}">
              <c16:uniqueId val="{00000001-7950-4B32-9091-EBF44BD6BA44}"/>
            </c:ext>
          </c:extLst>
        </c:ser>
        <c:dLbls>
          <c:showLegendKey val="0"/>
          <c:showVal val="0"/>
          <c:showCatName val="0"/>
          <c:showSerName val="0"/>
          <c:showPercent val="0"/>
          <c:showBubbleSize val="0"/>
        </c:dLbls>
        <c:marker val="1"/>
        <c:smooth val="0"/>
        <c:axId val="291496352"/>
        <c:axId val="291495176"/>
      </c:lineChart>
      <c:catAx>
        <c:axId val="2914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1495176"/>
        <c:crosses val="autoZero"/>
        <c:auto val="0"/>
        <c:lblAlgn val="ctr"/>
        <c:lblOffset val="100"/>
        <c:tickLblSkip val="1"/>
        <c:tickMarkSkip val="1"/>
        <c:noMultiLvlLbl val="0"/>
      </c:catAx>
      <c:valAx>
        <c:axId val="291495176"/>
        <c:scaling>
          <c:orientation val="minMax"/>
          <c:max val="10"/>
          <c:min val="-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1496352"/>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PC070c!$A$11</c:f>
              <c:strCache>
                <c:ptCount val="1"/>
                <c:pt idx="0">
                  <c:v>Mājokļi kopā </c:v>
                </c:pt>
              </c:strCache>
            </c:strRef>
          </c:tx>
          <c:spPr>
            <a:pattFill prst="dkUpDiag">
              <a:fgClr>
                <a:srgbClr val="0070C0"/>
              </a:fgClr>
              <a:bgClr>
                <a:schemeClr val="bg1"/>
              </a:bgClr>
            </a:pattFill>
            <a:ln>
              <a:solidFill>
                <a:srgbClr val="0070C0"/>
              </a:solidFill>
            </a:ln>
            <a:effectLst/>
          </c:spPr>
          <c:cat>
            <c:multiLvlStrRef>
              <c:f>PC070c!$AL$3:$BG$4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PC070c!$AL$11:$BG$11</c:f>
              <c:numCache>
                <c:formatCode>0.0</c:formatCode>
                <c:ptCount val="22"/>
                <c:pt idx="0">
                  <c:v>-6.5383499371312581</c:v>
                </c:pt>
                <c:pt idx="1">
                  <c:v>-4.6139180171592074</c:v>
                </c:pt>
                <c:pt idx="2">
                  <c:v>-7.9236977256052938</c:v>
                </c:pt>
                <c:pt idx="3">
                  <c:v>6.565185875530716</c:v>
                </c:pt>
                <c:pt idx="4">
                  <c:v>7.0992445410328173</c:v>
                </c:pt>
                <c:pt idx="5">
                  <c:v>9.454327403557869</c:v>
                </c:pt>
                <c:pt idx="6">
                  <c:v>9.6015936254979977</c:v>
                </c:pt>
                <c:pt idx="7">
                  <c:v>7.7640656884656494</c:v>
                </c:pt>
                <c:pt idx="8">
                  <c:v>9.2955841144071911</c:v>
                </c:pt>
                <c:pt idx="9">
                  <c:v>9.139883126369611</c:v>
                </c:pt>
                <c:pt idx="10">
                  <c:v>8.7968011632133738</c:v>
                </c:pt>
                <c:pt idx="11">
                  <c:v>7.9260595130748328</c:v>
                </c:pt>
                <c:pt idx="12">
                  <c:v>11.413668110688704</c:v>
                </c:pt>
                <c:pt idx="13">
                  <c:v>8.684012381828822</c:v>
                </c:pt>
                <c:pt idx="14">
                  <c:v>7.2001336451720732</c:v>
                </c:pt>
                <c:pt idx="15">
                  <c:v>11.061909933996162</c:v>
                </c:pt>
                <c:pt idx="16">
                  <c:v>6.3640691953658148</c:v>
                </c:pt>
                <c:pt idx="17">
                  <c:v>7.913170656608429</c:v>
                </c:pt>
                <c:pt idx="18">
                  <c:v>12.653888109708603</c:v>
                </c:pt>
                <c:pt idx="19">
                  <c:v>8.8467614533965246</c:v>
                </c:pt>
                <c:pt idx="20">
                  <c:v>8.7511190689346705</c:v>
                </c:pt>
                <c:pt idx="21">
                  <c:v>1.5978315143733539</c:v>
                </c:pt>
              </c:numCache>
            </c:numRef>
          </c:val>
          <c:extLst>
            <c:ext xmlns:c16="http://schemas.microsoft.com/office/drawing/2014/chart" uri="{C3380CC4-5D6E-409C-BE32-E72D297353CC}">
              <c16:uniqueId val="{00000000-80BF-4FC3-8289-DA61530CE6B5}"/>
            </c:ext>
          </c:extLst>
        </c:ser>
        <c:dLbls>
          <c:showLegendKey val="0"/>
          <c:showVal val="0"/>
          <c:showCatName val="0"/>
          <c:showSerName val="0"/>
          <c:showPercent val="0"/>
          <c:showBubbleSize val="0"/>
        </c:dLbls>
        <c:axId val="1736990752"/>
        <c:axId val="1736992000"/>
      </c:areaChart>
      <c:lineChart>
        <c:grouping val="standard"/>
        <c:varyColors val="0"/>
        <c:ser>
          <c:idx val="1"/>
          <c:order val="1"/>
          <c:tx>
            <c:strRef>
              <c:f>PC070c!$A$12</c:f>
              <c:strCache>
                <c:ptCount val="1"/>
                <c:pt idx="0">
                  <c:v>Jaunie mājokļi  </c:v>
                </c:pt>
              </c:strCache>
            </c:strRef>
          </c:tx>
          <c:spPr>
            <a:ln w="28575" cap="rnd">
              <a:solidFill>
                <a:schemeClr val="tx1">
                  <a:lumMod val="65000"/>
                  <a:lumOff val="35000"/>
                </a:schemeClr>
              </a:solidFill>
              <a:round/>
            </a:ln>
            <a:effectLst/>
          </c:spPr>
          <c:marker>
            <c:symbol val="none"/>
          </c:marker>
          <c:cat>
            <c:multiLvlStrRef>
              <c:f>PC070c!$AL$3:$BG$4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PC070c!$AL$12:$BG$12</c:f>
              <c:numCache>
                <c:formatCode>0.0</c:formatCode>
                <c:ptCount val="22"/>
                <c:pt idx="0">
                  <c:v>-11.334002006018054</c:v>
                </c:pt>
                <c:pt idx="1">
                  <c:v>-12.536650377609945</c:v>
                </c:pt>
                <c:pt idx="2">
                  <c:v>-16.989392153561212</c:v>
                </c:pt>
                <c:pt idx="3">
                  <c:v>14.614050303555942</c:v>
                </c:pt>
                <c:pt idx="4">
                  <c:v>6.1394487865076144</c:v>
                </c:pt>
                <c:pt idx="5">
                  <c:v>14.750101584721662</c:v>
                </c:pt>
                <c:pt idx="6">
                  <c:v>8.2758620689655231</c:v>
                </c:pt>
                <c:pt idx="7">
                  <c:v>1.2674990541051869</c:v>
                </c:pt>
                <c:pt idx="8">
                  <c:v>8.342214901656817</c:v>
                </c:pt>
                <c:pt idx="9">
                  <c:v>2.1689093484419288</c:v>
                </c:pt>
                <c:pt idx="10">
                  <c:v>13.366429374297482</c:v>
                </c:pt>
                <c:pt idx="11">
                  <c:v>10.031757892770401</c:v>
                </c:pt>
                <c:pt idx="12">
                  <c:v>14.630656412090872</c:v>
                </c:pt>
                <c:pt idx="13">
                  <c:v>8.2748462005025658</c:v>
                </c:pt>
                <c:pt idx="14">
                  <c:v>-2.2804263405767244</c:v>
                </c:pt>
                <c:pt idx="15">
                  <c:v>4.6264855687606143</c:v>
                </c:pt>
                <c:pt idx="16">
                  <c:v>-2.473084724606025</c:v>
                </c:pt>
                <c:pt idx="17">
                  <c:v>6.2259923175416247</c:v>
                </c:pt>
                <c:pt idx="18">
                  <c:v>19.506214593726227</c:v>
                </c:pt>
                <c:pt idx="19">
                  <c:v>12.746450304259639</c:v>
                </c:pt>
                <c:pt idx="20">
                  <c:v>15.630749540036803</c:v>
                </c:pt>
                <c:pt idx="21">
                  <c:v>9.213500075335233</c:v>
                </c:pt>
              </c:numCache>
            </c:numRef>
          </c:val>
          <c:smooth val="1"/>
          <c:extLst>
            <c:ext xmlns:c16="http://schemas.microsoft.com/office/drawing/2014/chart" uri="{C3380CC4-5D6E-409C-BE32-E72D297353CC}">
              <c16:uniqueId val="{00000001-80BF-4FC3-8289-DA61530CE6B5}"/>
            </c:ext>
          </c:extLst>
        </c:ser>
        <c:ser>
          <c:idx val="2"/>
          <c:order val="2"/>
          <c:tx>
            <c:strRef>
              <c:f>PC070c!$A$13</c:f>
              <c:strCache>
                <c:ptCount val="1"/>
                <c:pt idx="0">
                  <c:v>Lietotie mājokļi  </c:v>
                </c:pt>
              </c:strCache>
            </c:strRef>
          </c:tx>
          <c:spPr>
            <a:ln w="28575" cap="rnd">
              <a:solidFill>
                <a:srgbClr val="00B050"/>
              </a:solidFill>
              <a:round/>
            </a:ln>
            <a:effectLst/>
          </c:spPr>
          <c:marker>
            <c:symbol val="none"/>
          </c:marker>
          <c:cat>
            <c:multiLvlStrRef>
              <c:f>PC070c!$AL$3:$BG$4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PC070c!$AL$13:$BG$13</c:f>
              <c:numCache>
                <c:formatCode>0.0</c:formatCode>
                <c:ptCount val="22"/>
                <c:pt idx="0">
                  <c:v>-5.1612268973653102</c:v>
                </c:pt>
                <c:pt idx="1">
                  <c:v>-2.303878681831435</c:v>
                </c:pt>
                <c:pt idx="2">
                  <c:v>-5.223109441052145</c:v>
                </c:pt>
                <c:pt idx="3">
                  <c:v>4.511970534069988</c:v>
                </c:pt>
                <c:pt idx="4">
                  <c:v>7.1524826370892498</c:v>
                </c:pt>
                <c:pt idx="5">
                  <c:v>8.0796019900497527</c:v>
                </c:pt>
                <c:pt idx="6">
                  <c:v>9.5549608484488004</c:v>
                </c:pt>
                <c:pt idx="7">
                  <c:v>9.1532060695056288</c:v>
                </c:pt>
                <c:pt idx="8">
                  <c:v>9.5385508367998426</c:v>
                </c:pt>
                <c:pt idx="9">
                  <c:v>10.633400846989502</c:v>
                </c:pt>
                <c:pt idx="10">
                  <c:v>7.9887813263367349</c:v>
                </c:pt>
                <c:pt idx="11">
                  <c:v>7.5426008968609892</c:v>
                </c:pt>
                <c:pt idx="12">
                  <c:v>10.801024463481411</c:v>
                </c:pt>
                <c:pt idx="13">
                  <c:v>8.7709078805026195</c:v>
                </c:pt>
                <c:pt idx="14">
                  <c:v>9.0315013404825635</c:v>
                </c:pt>
                <c:pt idx="15">
                  <c:v>12.284213159869893</c:v>
                </c:pt>
                <c:pt idx="16">
                  <c:v>8.0902279611031673</c:v>
                </c:pt>
                <c:pt idx="17">
                  <c:v>8.1707596970392302</c:v>
                </c:pt>
                <c:pt idx="18">
                  <c:v>11.280159827877682</c:v>
                </c:pt>
                <c:pt idx="19">
                  <c:v>8.0585264408793904</c:v>
                </c:pt>
                <c:pt idx="20">
                  <c:v>7.2782243197404028</c:v>
                </c:pt>
                <c:pt idx="21">
                  <c:v>-0.10608953957138567</c:v>
                </c:pt>
              </c:numCache>
            </c:numRef>
          </c:val>
          <c:smooth val="1"/>
          <c:extLst>
            <c:ext xmlns:c16="http://schemas.microsoft.com/office/drawing/2014/chart" uri="{C3380CC4-5D6E-409C-BE32-E72D297353CC}">
              <c16:uniqueId val="{00000002-80BF-4FC3-8289-DA61530CE6B5}"/>
            </c:ext>
          </c:extLst>
        </c:ser>
        <c:dLbls>
          <c:showLegendKey val="0"/>
          <c:showVal val="0"/>
          <c:showCatName val="0"/>
          <c:showSerName val="0"/>
          <c:showPercent val="0"/>
          <c:showBubbleSize val="0"/>
        </c:dLbls>
        <c:marker val="1"/>
        <c:smooth val="0"/>
        <c:axId val="1736990752"/>
        <c:axId val="1736992000"/>
      </c:lineChart>
      <c:catAx>
        <c:axId val="1736990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736992000"/>
        <c:crosses val="autoZero"/>
        <c:auto val="1"/>
        <c:lblAlgn val="ctr"/>
        <c:lblOffset val="100"/>
        <c:noMultiLvlLbl val="0"/>
      </c:catAx>
      <c:valAx>
        <c:axId val="173699200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73699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52405949256341E-2"/>
          <c:y val="5.5555555555555552E-2"/>
          <c:w val="0.93640616797900267"/>
          <c:h val="0.4692690686391473"/>
        </c:manualLayout>
      </c:layout>
      <c:areaChart>
        <c:grouping val="standard"/>
        <c:varyColors val="0"/>
        <c:ser>
          <c:idx val="0"/>
          <c:order val="0"/>
          <c:tx>
            <c:strRef>
              <c:f>Sheet1!$A$12</c:f>
              <c:strCache>
                <c:ptCount val="1"/>
                <c:pt idx="0">
                  <c:v>Pavisam</c:v>
                </c:pt>
              </c:strCache>
            </c:strRef>
          </c:tx>
          <c:spPr>
            <a:pattFill prst="dkUpDiag">
              <a:fgClr>
                <a:srgbClr val="0070C0"/>
              </a:fgClr>
              <a:bgClr>
                <a:schemeClr val="bg1"/>
              </a:bgClr>
            </a:pattFill>
            <a:ln>
              <a:noFill/>
            </a:ln>
            <a:effectLst/>
          </c:spPr>
          <c:cat>
            <c:multiLvlStrRef>
              <c:f>Sheet1!$V$10:$AQ$11</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Sheet1!$V$12:$AQ$12</c:f>
              <c:numCache>
                <c:formatCode>0.0</c:formatCode>
                <c:ptCount val="22"/>
                <c:pt idx="0">
                  <c:v>1.2048192771084416</c:v>
                </c:pt>
                <c:pt idx="1">
                  <c:v>0</c:v>
                </c:pt>
                <c:pt idx="2">
                  <c:v>0</c:v>
                </c:pt>
                <c:pt idx="3">
                  <c:v>-0.59940059940059598</c:v>
                </c:pt>
                <c:pt idx="4">
                  <c:v>-1.0912698412698347</c:v>
                </c:pt>
                <c:pt idx="5">
                  <c:v>-0.7992007992007899</c:v>
                </c:pt>
                <c:pt idx="6">
                  <c:v>-0.10030090270812764</c:v>
                </c:pt>
                <c:pt idx="7">
                  <c:v>0</c:v>
                </c:pt>
                <c:pt idx="8">
                  <c:v>0.3009027081243687</c:v>
                </c:pt>
                <c:pt idx="9">
                  <c:v>2.0140986908358514</c:v>
                </c:pt>
                <c:pt idx="10">
                  <c:v>2.1084337349397657</c:v>
                </c:pt>
                <c:pt idx="11">
                  <c:v>3.0150753768844254</c:v>
                </c:pt>
                <c:pt idx="12">
                  <c:v>3.5999999999999943</c:v>
                </c:pt>
                <c:pt idx="13">
                  <c:v>4.0473840078973353</c:v>
                </c:pt>
                <c:pt idx="14">
                  <c:v>4.7197640117994126</c:v>
                </c:pt>
                <c:pt idx="15">
                  <c:v>5.0731707317073216</c:v>
                </c:pt>
                <c:pt idx="16">
                  <c:v>5.0193050193050226</c:v>
                </c:pt>
                <c:pt idx="17">
                  <c:v>4.2694497153700155</c:v>
                </c:pt>
                <c:pt idx="18">
                  <c:v>3.7558685446009434</c:v>
                </c:pt>
                <c:pt idx="19">
                  <c:v>3.2497678737233002</c:v>
                </c:pt>
                <c:pt idx="20">
                  <c:v>2.481617647058826</c:v>
                </c:pt>
                <c:pt idx="21">
                  <c:v>1.4558689717925404</c:v>
                </c:pt>
              </c:numCache>
            </c:numRef>
          </c:val>
          <c:extLst>
            <c:ext xmlns:c16="http://schemas.microsoft.com/office/drawing/2014/chart" uri="{C3380CC4-5D6E-409C-BE32-E72D297353CC}">
              <c16:uniqueId val="{00000000-ADC5-49EE-ABF4-CA88DB166648}"/>
            </c:ext>
          </c:extLst>
        </c:ser>
        <c:dLbls>
          <c:showLegendKey val="0"/>
          <c:showVal val="0"/>
          <c:showCatName val="0"/>
          <c:showSerName val="0"/>
          <c:showPercent val="0"/>
          <c:showBubbleSize val="0"/>
        </c:dLbls>
        <c:axId val="428555632"/>
        <c:axId val="428555960"/>
      </c:areaChart>
      <c:lineChart>
        <c:grouping val="standard"/>
        <c:varyColors val="0"/>
        <c:ser>
          <c:idx val="1"/>
          <c:order val="1"/>
          <c:tx>
            <c:strRef>
              <c:f>Sheet1!$A$13</c:f>
              <c:strCache>
                <c:ptCount val="1"/>
                <c:pt idx="0">
                  <c:v>Būvmateriāli</c:v>
                </c:pt>
              </c:strCache>
            </c:strRef>
          </c:tx>
          <c:spPr>
            <a:ln w="28575" cap="rnd">
              <a:solidFill>
                <a:srgbClr val="00B050"/>
              </a:solidFill>
              <a:round/>
            </a:ln>
            <a:effectLst/>
          </c:spPr>
          <c:marker>
            <c:symbol val="none"/>
          </c:marker>
          <c:cat>
            <c:multiLvlStrRef>
              <c:f>Sheet1!$V$10:$AQ$11</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Sheet1!$V$13:$AQ$13</c:f>
              <c:numCache>
                <c:formatCode>0.0</c:formatCode>
                <c:ptCount val="22"/>
                <c:pt idx="0">
                  <c:v>-0.38834951456310307</c:v>
                </c:pt>
                <c:pt idx="1">
                  <c:v>-1.9588638589617915</c:v>
                </c:pt>
                <c:pt idx="2">
                  <c:v>-2.0771513353115694</c:v>
                </c:pt>
                <c:pt idx="3">
                  <c:v>-3.0571992110453721</c:v>
                </c:pt>
                <c:pt idx="4">
                  <c:v>-4.4834307992202724</c:v>
                </c:pt>
                <c:pt idx="5">
                  <c:v>-3.696303696303687</c:v>
                </c:pt>
                <c:pt idx="6">
                  <c:v>-2.6262626262626299</c:v>
                </c:pt>
                <c:pt idx="7">
                  <c:v>-1.932858596134281</c:v>
                </c:pt>
                <c:pt idx="8">
                  <c:v>-0.61224489795918657</c:v>
                </c:pt>
                <c:pt idx="9">
                  <c:v>1.7634854771784205</c:v>
                </c:pt>
                <c:pt idx="10">
                  <c:v>1.8672199170124486</c:v>
                </c:pt>
                <c:pt idx="11">
                  <c:v>2.3858921161825606</c:v>
                </c:pt>
                <c:pt idx="12">
                  <c:v>2.669404517453799</c:v>
                </c:pt>
                <c:pt idx="13">
                  <c:v>3.6697247706422047</c:v>
                </c:pt>
                <c:pt idx="14">
                  <c:v>3.767820773930751</c:v>
                </c:pt>
                <c:pt idx="15">
                  <c:v>4.7619047619047592</c:v>
                </c:pt>
                <c:pt idx="16">
                  <c:v>4.5</c:v>
                </c:pt>
                <c:pt idx="17">
                  <c:v>3.343166175024578</c:v>
                </c:pt>
                <c:pt idx="18">
                  <c:v>3.6310107948969517</c:v>
                </c:pt>
                <c:pt idx="19">
                  <c:v>2.2243713733075339</c:v>
                </c:pt>
                <c:pt idx="20">
                  <c:v>1.1483253588516789</c:v>
                </c:pt>
                <c:pt idx="21">
                  <c:v>-0.57088487155090206</c:v>
                </c:pt>
              </c:numCache>
            </c:numRef>
          </c:val>
          <c:smooth val="1"/>
          <c:extLst>
            <c:ext xmlns:c16="http://schemas.microsoft.com/office/drawing/2014/chart" uri="{C3380CC4-5D6E-409C-BE32-E72D297353CC}">
              <c16:uniqueId val="{00000001-ADC5-49EE-ABF4-CA88DB166648}"/>
            </c:ext>
          </c:extLst>
        </c:ser>
        <c:ser>
          <c:idx val="2"/>
          <c:order val="2"/>
          <c:tx>
            <c:strRef>
              <c:f>Sheet1!$A$14</c:f>
              <c:strCache>
                <c:ptCount val="1"/>
                <c:pt idx="0">
                  <c:v>Strādnieku darba samaksa</c:v>
                </c:pt>
              </c:strCache>
            </c:strRef>
          </c:tx>
          <c:spPr>
            <a:ln w="28575" cap="rnd">
              <a:solidFill>
                <a:srgbClr val="0070C0"/>
              </a:solidFill>
              <a:round/>
            </a:ln>
            <a:effectLst/>
          </c:spPr>
          <c:marker>
            <c:symbol val="none"/>
          </c:marker>
          <c:cat>
            <c:multiLvlStrRef>
              <c:f>Sheet1!$V$10:$AQ$11</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Sheet1!$V$14:$AQ$14</c:f>
              <c:numCache>
                <c:formatCode>0.0</c:formatCode>
                <c:ptCount val="22"/>
                <c:pt idx="0">
                  <c:v>7.206208425720618</c:v>
                </c:pt>
                <c:pt idx="1">
                  <c:v>6.4962726304579235</c:v>
                </c:pt>
                <c:pt idx="2">
                  <c:v>6.526315789473685</c:v>
                </c:pt>
                <c:pt idx="3">
                  <c:v>6.4718162839248521</c:v>
                </c:pt>
                <c:pt idx="4">
                  <c:v>5.9979317476732064</c:v>
                </c:pt>
                <c:pt idx="5">
                  <c:v>4.7000000000000028</c:v>
                </c:pt>
                <c:pt idx="6">
                  <c:v>4.6442687747035478</c:v>
                </c:pt>
                <c:pt idx="7">
                  <c:v>3.8235294117647101</c:v>
                </c:pt>
                <c:pt idx="8">
                  <c:v>3.0243902439024453</c:v>
                </c:pt>
                <c:pt idx="9">
                  <c:v>4.4890162368672435</c:v>
                </c:pt>
                <c:pt idx="10">
                  <c:v>4.3437204910292735</c:v>
                </c:pt>
                <c:pt idx="11">
                  <c:v>6.0434372049102905</c:v>
                </c:pt>
                <c:pt idx="12">
                  <c:v>7.9545454545454533</c:v>
                </c:pt>
                <c:pt idx="13">
                  <c:v>7.2212065813528312</c:v>
                </c:pt>
                <c:pt idx="14">
                  <c:v>9.1402714932126656</c:v>
                </c:pt>
                <c:pt idx="15">
                  <c:v>8.8156723063223552</c:v>
                </c:pt>
                <c:pt idx="16">
                  <c:v>8.1578947368421098</c:v>
                </c:pt>
                <c:pt idx="17">
                  <c:v>8.3546462063086153</c:v>
                </c:pt>
                <c:pt idx="18">
                  <c:v>6.3847429519071568</c:v>
                </c:pt>
                <c:pt idx="19">
                  <c:v>7.6104746317512308</c:v>
                </c:pt>
                <c:pt idx="20">
                  <c:v>7.9480940794809385</c:v>
                </c:pt>
                <c:pt idx="21">
                  <c:v>7.238394964594832</c:v>
                </c:pt>
              </c:numCache>
            </c:numRef>
          </c:val>
          <c:smooth val="1"/>
          <c:extLst>
            <c:ext xmlns:c16="http://schemas.microsoft.com/office/drawing/2014/chart" uri="{C3380CC4-5D6E-409C-BE32-E72D297353CC}">
              <c16:uniqueId val="{00000002-ADC5-49EE-ABF4-CA88DB166648}"/>
            </c:ext>
          </c:extLst>
        </c:ser>
        <c:ser>
          <c:idx val="3"/>
          <c:order val="3"/>
          <c:tx>
            <c:strRef>
              <c:f>Sheet1!$A$15</c:f>
              <c:strCache>
                <c:ptCount val="1"/>
                <c:pt idx="0">
                  <c:v>Izmaksas mašīnu un mehānismu uzturēšanai un ekspluatācijai</c:v>
                </c:pt>
              </c:strCache>
            </c:strRef>
          </c:tx>
          <c:spPr>
            <a:ln w="28575" cap="rnd">
              <a:solidFill>
                <a:schemeClr val="tx1">
                  <a:lumMod val="50000"/>
                  <a:lumOff val="50000"/>
                </a:schemeClr>
              </a:solidFill>
              <a:round/>
            </a:ln>
            <a:effectLst/>
          </c:spPr>
          <c:marker>
            <c:symbol val="none"/>
          </c:marker>
          <c:cat>
            <c:multiLvlStrRef>
              <c:f>Sheet1!$V$10:$AQ$11</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Sheet1!$V$15:$AQ$15</c:f>
              <c:numCache>
                <c:formatCode>0.0</c:formatCode>
                <c:ptCount val="22"/>
                <c:pt idx="0">
                  <c:v>1.2121212121212182</c:v>
                </c:pt>
                <c:pt idx="1">
                  <c:v>-9.9800399201598111E-2</c:v>
                </c:pt>
                <c:pt idx="2">
                  <c:v>-0.19980019980019392</c:v>
                </c:pt>
                <c:pt idx="3">
                  <c:v>-0.79522862823061757</c:v>
                </c:pt>
                <c:pt idx="4">
                  <c:v>0.49900199600797635</c:v>
                </c:pt>
                <c:pt idx="5">
                  <c:v>0.99900099900099804</c:v>
                </c:pt>
                <c:pt idx="6">
                  <c:v>1.601601601601601</c:v>
                </c:pt>
                <c:pt idx="7">
                  <c:v>1.4028056112224476</c:v>
                </c:pt>
                <c:pt idx="8">
                  <c:v>0.29791459781529284</c:v>
                </c:pt>
                <c:pt idx="9">
                  <c:v>0.79129574678536585</c:v>
                </c:pt>
                <c:pt idx="10">
                  <c:v>0.88669950738916725</c:v>
                </c:pt>
                <c:pt idx="11">
                  <c:v>1.9762845849802346</c:v>
                </c:pt>
                <c:pt idx="12">
                  <c:v>2.4752475247524757</c:v>
                </c:pt>
                <c:pt idx="13">
                  <c:v>2.5515210991167692</c:v>
                </c:pt>
                <c:pt idx="14">
                  <c:v>3.22265625</c:v>
                </c:pt>
                <c:pt idx="15">
                  <c:v>3.1007751937984409</c:v>
                </c:pt>
                <c:pt idx="16">
                  <c:v>3.6714975845410578</c:v>
                </c:pt>
                <c:pt idx="17">
                  <c:v>3.0622009569378008</c:v>
                </c:pt>
                <c:pt idx="18">
                  <c:v>2.2705771050141834</c:v>
                </c:pt>
                <c:pt idx="19">
                  <c:v>1.691729323308266</c:v>
                </c:pt>
                <c:pt idx="20">
                  <c:v>1.0251630941286152</c:v>
                </c:pt>
                <c:pt idx="21">
                  <c:v>0.46425255338904492</c:v>
                </c:pt>
              </c:numCache>
            </c:numRef>
          </c:val>
          <c:smooth val="1"/>
          <c:extLst>
            <c:ext xmlns:c16="http://schemas.microsoft.com/office/drawing/2014/chart" uri="{C3380CC4-5D6E-409C-BE32-E72D297353CC}">
              <c16:uniqueId val="{00000003-ADC5-49EE-ABF4-CA88DB166648}"/>
            </c:ext>
          </c:extLst>
        </c:ser>
        <c:dLbls>
          <c:showLegendKey val="0"/>
          <c:showVal val="0"/>
          <c:showCatName val="0"/>
          <c:showSerName val="0"/>
          <c:showPercent val="0"/>
          <c:showBubbleSize val="0"/>
        </c:dLbls>
        <c:marker val="1"/>
        <c:smooth val="0"/>
        <c:axId val="428555632"/>
        <c:axId val="428555960"/>
      </c:lineChart>
      <c:catAx>
        <c:axId val="428555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8555960"/>
        <c:crosses val="autoZero"/>
        <c:auto val="1"/>
        <c:lblAlgn val="ctr"/>
        <c:lblOffset val="100"/>
        <c:noMultiLvlLbl val="0"/>
      </c:catAx>
      <c:valAx>
        <c:axId val="428555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8555632"/>
        <c:crosses val="autoZero"/>
        <c:crossBetween val="between"/>
      </c:valAx>
      <c:spPr>
        <a:noFill/>
        <a:ln>
          <a:noFill/>
        </a:ln>
        <a:effectLst/>
      </c:spPr>
    </c:plotArea>
    <c:legend>
      <c:legendPos val="b"/>
      <c:layout>
        <c:manualLayout>
          <c:xMode val="edge"/>
          <c:yMode val="edge"/>
          <c:x val="0"/>
          <c:y val="0.70221506402608758"/>
          <c:w val="1"/>
          <c:h val="0.267481905670882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888271017091007E-2"/>
          <c:y val="3.0909999166440789E-2"/>
          <c:w val="0.91866697429462363"/>
          <c:h val="0.64793151588385689"/>
        </c:manualLayout>
      </c:layout>
      <c:barChart>
        <c:barDir val="col"/>
        <c:grouping val="stacked"/>
        <c:varyColors val="0"/>
        <c:ser>
          <c:idx val="6"/>
          <c:order val="0"/>
          <c:tx>
            <c:strRef>
              <c:f>Atļaujas!$B$62</c:f>
              <c:strCache>
                <c:ptCount val="1"/>
                <c:pt idx="0">
                  <c:v>Pārējās</c:v>
                </c:pt>
              </c:strCache>
            </c:strRef>
          </c:tx>
          <c:spPr>
            <a:solidFill>
              <a:srgbClr val="0070C0"/>
            </a:solidFill>
            <a:ln>
              <a:solidFill>
                <a:schemeClr val="accent1"/>
              </a:solidFill>
            </a:ln>
            <a:effectLst/>
          </c:spPr>
          <c:invertIfNegative val="0"/>
          <c:cat>
            <c:multiLvlStrRef>
              <c:f>Atļaujas!$AY$47:$BT$48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Atļaujas!$AY$62:$BT$62</c:f>
              <c:numCache>
                <c:formatCode>0</c:formatCode>
                <c:ptCount val="22"/>
                <c:pt idx="0">
                  <c:v>105.19999999999999</c:v>
                </c:pt>
                <c:pt idx="1">
                  <c:v>126.70000000000005</c:v>
                </c:pt>
                <c:pt idx="2">
                  <c:v>105.20000000000005</c:v>
                </c:pt>
                <c:pt idx="3">
                  <c:v>129.99999999999997</c:v>
                </c:pt>
                <c:pt idx="4">
                  <c:v>106.20000000000002</c:v>
                </c:pt>
                <c:pt idx="5">
                  <c:v>107.89999999999992</c:v>
                </c:pt>
                <c:pt idx="6">
                  <c:v>94.699999999999932</c:v>
                </c:pt>
                <c:pt idx="7">
                  <c:v>70.699999999999989</c:v>
                </c:pt>
                <c:pt idx="8">
                  <c:v>30.899999999999977</c:v>
                </c:pt>
                <c:pt idx="9">
                  <c:v>55.899999999999977</c:v>
                </c:pt>
                <c:pt idx="10">
                  <c:v>79.899999999999977</c:v>
                </c:pt>
                <c:pt idx="11">
                  <c:v>57.399999999999977</c:v>
                </c:pt>
                <c:pt idx="12">
                  <c:v>44.5</c:v>
                </c:pt>
                <c:pt idx="13">
                  <c:v>86.099999999999852</c:v>
                </c:pt>
                <c:pt idx="14">
                  <c:v>81.699999999999989</c:v>
                </c:pt>
                <c:pt idx="15">
                  <c:v>73.299999999999955</c:v>
                </c:pt>
                <c:pt idx="16">
                  <c:v>105</c:v>
                </c:pt>
                <c:pt idx="17">
                  <c:v>141.10000000000002</c:v>
                </c:pt>
                <c:pt idx="18">
                  <c:v>145.5</c:v>
                </c:pt>
                <c:pt idx="19">
                  <c:v>155.69999999999993</c:v>
                </c:pt>
                <c:pt idx="20">
                  <c:v>101.39999999999998</c:v>
                </c:pt>
                <c:pt idx="21">
                  <c:v>118.49999999999989</c:v>
                </c:pt>
              </c:numCache>
            </c:numRef>
          </c:val>
          <c:extLst>
            <c:ext xmlns:c16="http://schemas.microsoft.com/office/drawing/2014/chart" uri="{C3380CC4-5D6E-409C-BE32-E72D297353CC}">
              <c16:uniqueId val="{00000000-3040-439D-A649-3C074A026E1B}"/>
            </c:ext>
          </c:extLst>
        </c:ser>
        <c:ser>
          <c:idx val="2"/>
          <c:order val="1"/>
          <c:tx>
            <c:strRef>
              <c:f>Atļaujas!$B$54</c:f>
              <c:strCache>
                <c:ptCount val="1"/>
                <c:pt idx="0">
                  <c:v>Biroju ēkas</c:v>
                </c:pt>
              </c:strCache>
            </c:strRef>
          </c:tx>
          <c:spPr>
            <a:pattFill prst="dkUpDiag">
              <a:fgClr>
                <a:schemeClr val="accent2">
                  <a:lumMod val="75000"/>
                </a:schemeClr>
              </a:fgClr>
              <a:bgClr>
                <a:schemeClr val="bg1"/>
              </a:bgClr>
            </a:pattFill>
            <a:ln>
              <a:solidFill>
                <a:schemeClr val="accent2">
                  <a:lumMod val="75000"/>
                </a:schemeClr>
              </a:solidFill>
            </a:ln>
            <a:effectLst/>
          </c:spPr>
          <c:invertIfNegative val="0"/>
          <c:cat>
            <c:multiLvlStrRef>
              <c:f>Atļaujas!$AY$47:$BT$48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Atļaujas!$AY$54:$BT$54</c:f>
              <c:numCache>
                <c:formatCode>0.0</c:formatCode>
                <c:ptCount val="22"/>
                <c:pt idx="0">
                  <c:v>13.8</c:v>
                </c:pt>
                <c:pt idx="1">
                  <c:v>13</c:v>
                </c:pt>
                <c:pt idx="2">
                  <c:v>30.2</c:v>
                </c:pt>
                <c:pt idx="3">
                  <c:v>7.7</c:v>
                </c:pt>
                <c:pt idx="4">
                  <c:v>26.7</c:v>
                </c:pt>
                <c:pt idx="5">
                  <c:v>10.199999999999999</c:v>
                </c:pt>
                <c:pt idx="6">
                  <c:v>7.9</c:v>
                </c:pt>
                <c:pt idx="7">
                  <c:v>32.6</c:v>
                </c:pt>
                <c:pt idx="8">
                  <c:v>7.8</c:v>
                </c:pt>
                <c:pt idx="9">
                  <c:v>10.199999999999999</c:v>
                </c:pt>
                <c:pt idx="10">
                  <c:v>27.1</c:v>
                </c:pt>
                <c:pt idx="11">
                  <c:v>24.2</c:v>
                </c:pt>
                <c:pt idx="12">
                  <c:v>16.3</c:v>
                </c:pt>
                <c:pt idx="13">
                  <c:v>78.900000000000006</c:v>
                </c:pt>
                <c:pt idx="14">
                  <c:v>33.200000000000003</c:v>
                </c:pt>
                <c:pt idx="15">
                  <c:v>20.8</c:v>
                </c:pt>
                <c:pt idx="16">
                  <c:v>9.6</c:v>
                </c:pt>
                <c:pt idx="17">
                  <c:v>11.9</c:v>
                </c:pt>
                <c:pt idx="18">
                  <c:v>19</c:v>
                </c:pt>
                <c:pt idx="19">
                  <c:v>42.3</c:v>
                </c:pt>
                <c:pt idx="20">
                  <c:v>12.7</c:v>
                </c:pt>
                <c:pt idx="21">
                  <c:v>33.299999999999997</c:v>
                </c:pt>
              </c:numCache>
            </c:numRef>
          </c:val>
          <c:extLst>
            <c:ext xmlns:c16="http://schemas.microsoft.com/office/drawing/2014/chart" uri="{C3380CC4-5D6E-409C-BE32-E72D297353CC}">
              <c16:uniqueId val="{00000001-3040-439D-A649-3C074A026E1B}"/>
            </c:ext>
          </c:extLst>
        </c:ser>
        <c:ser>
          <c:idx val="3"/>
          <c:order val="2"/>
          <c:tx>
            <c:strRef>
              <c:f>Atļaujas!$B$55</c:f>
              <c:strCache>
                <c:ptCount val="1"/>
                <c:pt idx="0">
                  <c:v>Tirdzniecības ēkas</c:v>
                </c:pt>
              </c:strCache>
            </c:strRef>
          </c:tx>
          <c:spPr>
            <a:solidFill>
              <a:schemeClr val="accent4">
                <a:lumMod val="60000"/>
                <a:lumOff val="40000"/>
              </a:schemeClr>
            </a:solidFill>
            <a:ln>
              <a:solidFill>
                <a:schemeClr val="accent4">
                  <a:lumMod val="60000"/>
                  <a:lumOff val="40000"/>
                </a:schemeClr>
              </a:solidFill>
            </a:ln>
            <a:effectLst/>
          </c:spPr>
          <c:invertIfNegative val="0"/>
          <c:cat>
            <c:multiLvlStrRef>
              <c:f>Atļaujas!$AY$47:$BT$48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Atļaujas!$AY$55:$BT$55</c:f>
              <c:numCache>
                <c:formatCode>0.0</c:formatCode>
                <c:ptCount val="22"/>
                <c:pt idx="0">
                  <c:v>18.7</c:v>
                </c:pt>
                <c:pt idx="1">
                  <c:v>26.9</c:v>
                </c:pt>
                <c:pt idx="2">
                  <c:v>22.8</c:v>
                </c:pt>
                <c:pt idx="3">
                  <c:v>16.600000000000001</c:v>
                </c:pt>
                <c:pt idx="4">
                  <c:v>24.3</c:v>
                </c:pt>
                <c:pt idx="5">
                  <c:v>12.1</c:v>
                </c:pt>
                <c:pt idx="6">
                  <c:v>9.4</c:v>
                </c:pt>
                <c:pt idx="7">
                  <c:v>69.2</c:v>
                </c:pt>
                <c:pt idx="8">
                  <c:v>10.199999999999999</c:v>
                </c:pt>
                <c:pt idx="9">
                  <c:v>12.5</c:v>
                </c:pt>
                <c:pt idx="10">
                  <c:v>41</c:v>
                </c:pt>
                <c:pt idx="11">
                  <c:v>71.400000000000006</c:v>
                </c:pt>
                <c:pt idx="12">
                  <c:v>23</c:v>
                </c:pt>
                <c:pt idx="13">
                  <c:v>25.9</c:v>
                </c:pt>
                <c:pt idx="14">
                  <c:v>28.3</c:v>
                </c:pt>
                <c:pt idx="15">
                  <c:v>64.5</c:v>
                </c:pt>
                <c:pt idx="16">
                  <c:v>13.7</c:v>
                </c:pt>
                <c:pt idx="17">
                  <c:v>44.5</c:v>
                </c:pt>
                <c:pt idx="18">
                  <c:v>99.4</c:v>
                </c:pt>
                <c:pt idx="19">
                  <c:v>35.700000000000003</c:v>
                </c:pt>
                <c:pt idx="20">
                  <c:v>22.5</c:v>
                </c:pt>
                <c:pt idx="21">
                  <c:v>8.8000000000000007</c:v>
                </c:pt>
              </c:numCache>
            </c:numRef>
          </c:val>
          <c:extLst>
            <c:ext xmlns:c16="http://schemas.microsoft.com/office/drawing/2014/chart" uri="{C3380CC4-5D6E-409C-BE32-E72D297353CC}">
              <c16:uniqueId val="{00000002-3040-439D-A649-3C074A026E1B}"/>
            </c:ext>
          </c:extLst>
        </c:ser>
        <c:ser>
          <c:idx val="5"/>
          <c:order val="3"/>
          <c:tx>
            <c:strRef>
              <c:f>Atļaujas!$B$58</c:f>
              <c:strCache>
                <c:ptCount val="1"/>
                <c:pt idx="0">
                  <c:v>Plašizklaides pasākumu, izglītības, veselības apr. iestāžu ēkas</c:v>
                </c:pt>
              </c:strCache>
            </c:strRef>
          </c:tx>
          <c:spPr>
            <a:pattFill prst="dkUpDiag">
              <a:fgClr>
                <a:schemeClr val="tx1">
                  <a:lumMod val="65000"/>
                  <a:lumOff val="35000"/>
                </a:schemeClr>
              </a:fgClr>
              <a:bgClr>
                <a:schemeClr val="bg1"/>
              </a:bgClr>
            </a:pattFill>
            <a:ln>
              <a:solidFill>
                <a:schemeClr val="tx1">
                  <a:lumMod val="65000"/>
                  <a:lumOff val="35000"/>
                </a:schemeClr>
              </a:solidFill>
            </a:ln>
            <a:effectLst/>
          </c:spPr>
          <c:invertIfNegative val="0"/>
          <c:cat>
            <c:multiLvlStrRef>
              <c:f>Atļaujas!$AY$47:$BT$48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Atļaujas!$AY$58:$BT$58</c:f>
              <c:numCache>
                <c:formatCode>0.0</c:formatCode>
                <c:ptCount val="22"/>
                <c:pt idx="0">
                  <c:v>34.200000000000003</c:v>
                </c:pt>
                <c:pt idx="1">
                  <c:v>25.1</c:v>
                </c:pt>
                <c:pt idx="2">
                  <c:v>49.1</c:v>
                </c:pt>
                <c:pt idx="3">
                  <c:v>25.1</c:v>
                </c:pt>
                <c:pt idx="4">
                  <c:v>32.6</c:v>
                </c:pt>
                <c:pt idx="5">
                  <c:v>47.3</c:v>
                </c:pt>
                <c:pt idx="6">
                  <c:v>11.5</c:v>
                </c:pt>
                <c:pt idx="7">
                  <c:v>13.6</c:v>
                </c:pt>
                <c:pt idx="8">
                  <c:v>26.6</c:v>
                </c:pt>
                <c:pt idx="9">
                  <c:v>30.4</c:v>
                </c:pt>
                <c:pt idx="10">
                  <c:v>58.1</c:v>
                </c:pt>
                <c:pt idx="11">
                  <c:v>21.5</c:v>
                </c:pt>
                <c:pt idx="12">
                  <c:v>22.2</c:v>
                </c:pt>
                <c:pt idx="13">
                  <c:v>57.1</c:v>
                </c:pt>
                <c:pt idx="14">
                  <c:v>36.799999999999997</c:v>
                </c:pt>
                <c:pt idx="15">
                  <c:v>26.1</c:v>
                </c:pt>
                <c:pt idx="16">
                  <c:v>26.6</c:v>
                </c:pt>
                <c:pt idx="17">
                  <c:v>93.5</c:v>
                </c:pt>
                <c:pt idx="18">
                  <c:v>68.5</c:v>
                </c:pt>
                <c:pt idx="19">
                  <c:v>83.3</c:v>
                </c:pt>
                <c:pt idx="20">
                  <c:v>27.9</c:v>
                </c:pt>
                <c:pt idx="21">
                  <c:v>79.400000000000006</c:v>
                </c:pt>
              </c:numCache>
            </c:numRef>
          </c:val>
          <c:extLst>
            <c:ext xmlns:c16="http://schemas.microsoft.com/office/drawing/2014/chart" uri="{C3380CC4-5D6E-409C-BE32-E72D297353CC}">
              <c16:uniqueId val="{00000003-3040-439D-A649-3C074A026E1B}"/>
            </c:ext>
          </c:extLst>
        </c:ser>
        <c:ser>
          <c:idx val="4"/>
          <c:order val="4"/>
          <c:tx>
            <c:strRef>
              <c:f>Atļaujas!$B$57</c:f>
              <c:strCache>
                <c:ptCount val="1"/>
                <c:pt idx="0">
                  <c:v>Rūpnieciskās ražošanas ēkas un noliktavas</c:v>
                </c:pt>
              </c:strCache>
            </c:strRef>
          </c:tx>
          <c:spPr>
            <a:solidFill>
              <a:srgbClr val="00B050"/>
            </a:solidFill>
            <a:ln>
              <a:solidFill>
                <a:srgbClr val="00B050"/>
              </a:solidFill>
            </a:ln>
            <a:effectLst/>
          </c:spPr>
          <c:invertIfNegative val="0"/>
          <c:cat>
            <c:multiLvlStrRef>
              <c:f>Atļaujas!$AY$47:$BT$48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Atļaujas!$AY$57:$BT$57</c:f>
              <c:numCache>
                <c:formatCode>0.0</c:formatCode>
                <c:ptCount val="22"/>
                <c:pt idx="0">
                  <c:v>85.4</c:v>
                </c:pt>
                <c:pt idx="1">
                  <c:v>75.3</c:v>
                </c:pt>
                <c:pt idx="2">
                  <c:v>223.4</c:v>
                </c:pt>
                <c:pt idx="3">
                  <c:v>83.9</c:v>
                </c:pt>
                <c:pt idx="4">
                  <c:v>61.1</c:v>
                </c:pt>
                <c:pt idx="5">
                  <c:v>61.2</c:v>
                </c:pt>
                <c:pt idx="6">
                  <c:v>131.80000000000001</c:v>
                </c:pt>
                <c:pt idx="7">
                  <c:v>39.6</c:v>
                </c:pt>
                <c:pt idx="8">
                  <c:v>53.4</c:v>
                </c:pt>
                <c:pt idx="9">
                  <c:v>39.5</c:v>
                </c:pt>
                <c:pt idx="10">
                  <c:v>169</c:v>
                </c:pt>
                <c:pt idx="11">
                  <c:v>74</c:v>
                </c:pt>
                <c:pt idx="12">
                  <c:v>55.1</c:v>
                </c:pt>
                <c:pt idx="13">
                  <c:v>115.2</c:v>
                </c:pt>
                <c:pt idx="14">
                  <c:v>93.8</c:v>
                </c:pt>
                <c:pt idx="15">
                  <c:v>114.3</c:v>
                </c:pt>
                <c:pt idx="16">
                  <c:v>203.9</c:v>
                </c:pt>
                <c:pt idx="17">
                  <c:v>134</c:v>
                </c:pt>
                <c:pt idx="18">
                  <c:v>110.4</c:v>
                </c:pt>
                <c:pt idx="19">
                  <c:v>283.10000000000002</c:v>
                </c:pt>
                <c:pt idx="20">
                  <c:v>138.1</c:v>
                </c:pt>
                <c:pt idx="21">
                  <c:v>82</c:v>
                </c:pt>
              </c:numCache>
            </c:numRef>
          </c:val>
          <c:extLst>
            <c:ext xmlns:c16="http://schemas.microsoft.com/office/drawing/2014/chart" uri="{C3380CC4-5D6E-409C-BE32-E72D297353CC}">
              <c16:uniqueId val="{00000004-3040-439D-A649-3C074A026E1B}"/>
            </c:ext>
          </c:extLst>
        </c:ser>
        <c:ser>
          <c:idx val="1"/>
          <c:order val="5"/>
          <c:tx>
            <c:strRef>
              <c:f>Atļaujas!$B$51</c:f>
              <c:strCache>
                <c:ptCount val="1"/>
                <c:pt idx="0">
                  <c:v>Divu vai vairāku dzīvokļu mājas</c:v>
                </c:pt>
              </c:strCache>
            </c:strRef>
          </c:tx>
          <c:spPr>
            <a:solidFill>
              <a:schemeClr val="tx1">
                <a:lumMod val="50000"/>
                <a:lumOff val="50000"/>
              </a:schemeClr>
            </a:solidFill>
            <a:ln>
              <a:solidFill>
                <a:schemeClr val="tx1">
                  <a:lumMod val="50000"/>
                  <a:lumOff val="50000"/>
                </a:schemeClr>
              </a:solidFill>
            </a:ln>
            <a:effectLst/>
          </c:spPr>
          <c:invertIfNegative val="0"/>
          <c:cat>
            <c:multiLvlStrRef>
              <c:f>Atļaujas!$AY$47:$BT$48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Atļaujas!$AY$51:$BT$51</c:f>
              <c:numCache>
                <c:formatCode>0.0</c:formatCode>
                <c:ptCount val="22"/>
                <c:pt idx="0">
                  <c:v>9.4</c:v>
                </c:pt>
                <c:pt idx="1">
                  <c:v>36.799999999999997</c:v>
                </c:pt>
                <c:pt idx="2">
                  <c:v>41.2</c:v>
                </c:pt>
                <c:pt idx="3">
                  <c:v>17.2</c:v>
                </c:pt>
                <c:pt idx="4">
                  <c:v>18.5</c:v>
                </c:pt>
                <c:pt idx="5">
                  <c:v>17.2</c:v>
                </c:pt>
                <c:pt idx="6">
                  <c:v>67.5</c:v>
                </c:pt>
                <c:pt idx="7">
                  <c:v>52.2</c:v>
                </c:pt>
                <c:pt idx="8">
                  <c:v>33.6</c:v>
                </c:pt>
                <c:pt idx="9">
                  <c:v>46</c:v>
                </c:pt>
                <c:pt idx="10">
                  <c:v>44.8</c:v>
                </c:pt>
                <c:pt idx="11">
                  <c:v>58.1</c:v>
                </c:pt>
                <c:pt idx="12">
                  <c:v>69.5</c:v>
                </c:pt>
                <c:pt idx="13">
                  <c:v>53.1</c:v>
                </c:pt>
                <c:pt idx="14">
                  <c:v>71.7</c:v>
                </c:pt>
                <c:pt idx="15">
                  <c:v>76.8</c:v>
                </c:pt>
                <c:pt idx="16">
                  <c:v>60.4</c:v>
                </c:pt>
                <c:pt idx="17">
                  <c:v>39.799999999999997</c:v>
                </c:pt>
                <c:pt idx="18">
                  <c:v>39</c:v>
                </c:pt>
                <c:pt idx="19">
                  <c:v>92.8</c:v>
                </c:pt>
                <c:pt idx="20">
                  <c:v>59.8</c:v>
                </c:pt>
                <c:pt idx="21">
                  <c:v>63.3</c:v>
                </c:pt>
              </c:numCache>
            </c:numRef>
          </c:val>
          <c:extLst>
            <c:ext xmlns:c16="http://schemas.microsoft.com/office/drawing/2014/chart" uri="{C3380CC4-5D6E-409C-BE32-E72D297353CC}">
              <c16:uniqueId val="{00000005-3040-439D-A649-3C074A026E1B}"/>
            </c:ext>
          </c:extLst>
        </c:ser>
        <c:ser>
          <c:idx val="0"/>
          <c:order val="6"/>
          <c:tx>
            <c:strRef>
              <c:f>Atļaujas!$B$49</c:f>
              <c:strCache>
                <c:ptCount val="1"/>
                <c:pt idx="0">
                  <c:v>Viena dzīvokļa mājas</c:v>
                </c:pt>
              </c:strCache>
            </c:strRef>
          </c:tx>
          <c:spPr>
            <a:pattFill prst="dkUpDiag">
              <a:fgClr>
                <a:schemeClr val="accent6"/>
              </a:fgClr>
              <a:bgClr>
                <a:schemeClr val="bg1"/>
              </a:bgClr>
            </a:pattFill>
            <a:ln>
              <a:solidFill>
                <a:schemeClr val="accent6"/>
              </a:solidFill>
            </a:ln>
            <a:effectLst/>
          </c:spPr>
          <c:invertIfNegative val="0"/>
          <c:cat>
            <c:multiLvlStrRef>
              <c:f>Atļaujas!$AY$47:$BT$48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Atļaujas!$AY$49:$BT$49</c:f>
              <c:numCache>
                <c:formatCode>0.0</c:formatCode>
                <c:ptCount val="22"/>
                <c:pt idx="0">
                  <c:v>74.5</c:v>
                </c:pt>
                <c:pt idx="1">
                  <c:v>120.2</c:v>
                </c:pt>
                <c:pt idx="2">
                  <c:v>120.4</c:v>
                </c:pt>
                <c:pt idx="3">
                  <c:v>87.4</c:v>
                </c:pt>
                <c:pt idx="4">
                  <c:v>70.7</c:v>
                </c:pt>
                <c:pt idx="5">
                  <c:v>93.4</c:v>
                </c:pt>
                <c:pt idx="6">
                  <c:v>114.3</c:v>
                </c:pt>
                <c:pt idx="7">
                  <c:v>80.8</c:v>
                </c:pt>
                <c:pt idx="8">
                  <c:v>108.7</c:v>
                </c:pt>
                <c:pt idx="9">
                  <c:v>119.3</c:v>
                </c:pt>
                <c:pt idx="10">
                  <c:v>179.7</c:v>
                </c:pt>
                <c:pt idx="11">
                  <c:v>123.2</c:v>
                </c:pt>
                <c:pt idx="12">
                  <c:v>98.4</c:v>
                </c:pt>
                <c:pt idx="13">
                  <c:v>157.6</c:v>
                </c:pt>
                <c:pt idx="14">
                  <c:v>163.80000000000001</c:v>
                </c:pt>
                <c:pt idx="15">
                  <c:v>119</c:v>
                </c:pt>
                <c:pt idx="16">
                  <c:v>102.9</c:v>
                </c:pt>
                <c:pt idx="17">
                  <c:v>164.8</c:v>
                </c:pt>
                <c:pt idx="18">
                  <c:v>159.80000000000001</c:v>
                </c:pt>
                <c:pt idx="19">
                  <c:v>127.6</c:v>
                </c:pt>
                <c:pt idx="20">
                  <c:v>129.69999999999999</c:v>
                </c:pt>
                <c:pt idx="21">
                  <c:v>112.5</c:v>
                </c:pt>
              </c:numCache>
            </c:numRef>
          </c:val>
          <c:extLst>
            <c:ext xmlns:c16="http://schemas.microsoft.com/office/drawing/2014/chart" uri="{C3380CC4-5D6E-409C-BE32-E72D297353CC}">
              <c16:uniqueId val="{00000006-3040-439D-A649-3C074A026E1B}"/>
            </c:ext>
          </c:extLst>
        </c:ser>
        <c:dLbls>
          <c:showLegendKey val="0"/>
          <c:showVal val="0"/>
          <c:showCatName val="0"/>
          <c:showSerName val="0"/>
          <c:showPercent val="0"/>
          <c:showBubbleSize val="0"/>
        </c:dLbls>
        <c:gapWidth val="50"/>
        <c:overlap val="100"/>
        <c:axId val="281642072"/>
        <c:axId val="281639120"/>
      </c:barChart>
      <c:catAx>
        <c:axId val="28164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281639120"/>
        <c:crosses val="autoZero"/>
        <c:auto val="1"/>
        <c:lblAlgn val="ctr"/>
        <c:lblOffset val="100"/>
        <c:noMultiLvlLbl val="0"/>
      </c:catAx>
      <c:valAx>
        <c:axId val="281639120"/>
        <c:scaling>
          <c:orientation val="minMax"/>
          <c:max val="8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281642072"/>
        <c:crosses val="autoZero"/>
        <c:crossBetween val="between"/>
      </c:valAx>
      <c:spPr>
        <a:noFill/>
        <a:ln>
          <a:noFill/>
        </a:ln>
        <a:effectLst/>
      </c:spPr>
    </c:plotArea>
    <c:legend>
      <c:legendPos val="b"/>
      <c:layout>
        <c:manualLayout>
          <c:xMode val="edge"/>
          <c:yMode val="edge"/>
          <c:x val="1.1489209199935224E-3"/>
          <c:y val="0.80761393972357121"/>
          <c:w val="0.99885110388787146"/>
          <c:h val="0.174716188927680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'nerezidentu noguldījumi'!$A$7</c:f>
              <c:strCache>
                <c:ptCount val="1"/>
                <c:pt idx="0">
                  <c:v>Nerezidenti</c:v>
                </c:pt>
              </c:strCache>
            </c:strRef>
          </c:tx>
          <c:spPr>
            <a:ln w="28575" cap="rnd">
              <a:solidFill>
                <a:schemeClr val="accent1"/>
              </a:solidFill>
              <a:round/>
            </a:ln>
            <a:effectLst/>
          </c:spPr>
          <c:marker>
            <c:symbol val="none"/>
          </c:marker>
          <c:cat>
            <c:numRef>
              <c:f>'nerezidentu noguldījumi'!$B$6:$BR$6</c:f>
              <c:numCache>
                <c:formatCode>mmm\-yy</c:formatCode>
                <c:ptCount val="6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numCache>
            </c:numRef>
          </c:cat>
          <c:val>
            <c:numRef>
              <c:f>'nerezidentu noguldījumi'!$B$7:$BR$7</c:f>
              <c:numCache>
                <c:formatCode>0.00</c:formatCode>
                <c:ptCount val="68"/>
                <c:pt idx="0">
                  <c:v>11719.700000000003</c:v>
                </c:pt>
                <c:pt idx="1">
                  <c:v>11862.800000000005</c:v>
                </c:pt>
                <c:pt idx="2">
                  <c:v>11987.199999999999</c:v>
                </c:pt>
                <c:pt idx="3">
                  <c:v>11903.599999999999</c:v>
                </c:pt>
                <c:pt idx="4">
                  <c:v>12074.2</c:v>
                </c:pt>
                <c:pt idx="5">
                  <c:v>11740.9</c:v>
                </c:pt>
                <c:pt idx="6">
                  <c:v>11908.699999999999</c:v>
                </c:pt>
                <c:pt idx="7">
                  <c:v>11749.199999999999</c:v>
                </c:pt>
                <c:pt idx="8">
                  <c:v>11676.800000000005</c:v>
                </c:pt>
                <c:pt idx="9">
                  <c:v>11835.300000000001</c:v>
                </c:pt>
                <c:pt idx="10">
                  <c:v>12403.699999999997</c:v>
                </c:pt>
                <c:pt idx="11">
                  <c:v>12078.099999999999</c:v>
                </c:pt>
                <c:pt idx="12">
                  <c:v>11899.100000000004</c:v>
                </c:pt>
                <c:pt idx="13">
                  <c:v>11712.3</c:v>
                </c:pt>
                <c:pt idx="14">
                  <c:v>10977.100000000002</c:v>
                </c:pt>
                <c:pt idx="15">
                  <c:v>10595.599999999997</c:v>
                </c:pt>
                <c:pt idx="16">
                  <c:v>10315.6</c:v>
                </c:pt>
                <c:pt idx="17">
                  <c:v>10348.500000000002</c:v>
                </c:pt>
                <c:pt idx="18">
                  <c:v>10010.099999999999</c:v>
                </c:pt>
                <c:pt idx="19">
                  <c:v>9767.5</c:v>
                </c:pt>
                <c:pt idx="20">
                  <c:v>9461.7000000000007</c:v>
                </c:pt>
                <c:pt idx="21">
                  <c:v>9537.4</c:v>
                </c:pt>
                <c:pt idx="22">
                  <c:v>9505.2999999999975</c:v>
                </c:pt>
                <c:pt idx="23">
                  <c:v>8877.9000000000015</c:v>
                </c:pt>
                <c:pt idx="24">
                  <c:v>8803.6</c:v>
                </c:pt>
                <c:pt idx="25">
                  <c:v>8781.6999999999989</c:v>
                </c:pt>
                <c:pt idx="26">
                  <c:v>8704.4000000000015</c:v>
                </c:pt>
                <c:pt idx="27">
                  <c:v>8588.7000000000007</c:v>
                </c:pt>
                <c:pt idx="28">
                  <c:v>8368.6</c:v>
                </c:pt>
                <c:pt idx="29">
                  <c:v>8091.9</c:v>
                </c:pt>
                <c:pt idx="30">
                  <c:v>7861</c:v>
                </c:pt>
                <c:pt idx="31">
                  <c:v>7988.4</c:v>
                </c:pt>
                <c:pt idx="32">
                  <c:v>7659.4999999999973</c:v>
                </c:pt>
                <c:pt idx="33">
                  <c:v>7756.2999999999956</c:v>
                </c:pt>
                <c:pt idx="34">
                  <c:v>7752.5000000000009</c:v>
                </c:pt>
                <c:pt idx="35">
                  <c:v>7866.8999999999978</c:v>
                </c:pt>
                <c:pt idx="36">
                  <c:v>7899</c:v>
                </c:pt>
                <c:pt idx="37">
                  <c:v>6724.3000000000011</c:v>
                </c:pt>
                <c:pt idx="38">
                  <c:v>5659.2000000000007</c:v>
                </c:pt>
                <c:pt idx="39">
                  <c:v>5266.3999999999978</c:v>
                </c:pt>
                <c:pt idx="40">
                  <c:v>4990.5</c:v>
                </c:pt>
                <c:pt idx="41">
                  <c:v>4879.5</c:v>
                </c:pt>
                <c:pt idx="42">
                  <c:v>3134.0999999999995</c:v>
                </c:pt>
                <c:pt idx="43">
                  <c:v>3074</c:v>
                </c:pt>
                <c:pt idx="44">
                  <c:v>3015.0999999999985</c:v>
                </c:pt>
                <c:pt idx="45">
                  <c:v>3092.9999999999991</c:v>
                </c:pt>
                <c:pt idx="46">
                  <c:v>2986.3999999999996</c:v>
                </c:pt>
                <c:pt idx="47">
                  <c:v>3160.2</c:v>
                </c:pt>
                <c:pt idx="48">
                  <c:v>3041.2999999999997</c:v>
                </c:pt>
                <c:pt idx="49">
                  <c:v>2992.9</c:v>
                </c:pt>
                <c:pt idx="50">
                  <c:v>2975.7000000000007</c:v>
                </c:pt>
                <c:pt idx="51">
                  <c:v>2926.8000000000006</c:v>
                </c:pt>
                <c:pt idx="52">
                  <c:v>2987.1</c:v>
                </c:pt>
                <c:pt idx="53">
                  <c:v>2985.4</c:v>
                </c:pt>
                <c:pt idx="54">
                  <c:v>2852.400000000001</c:v>
                </c:pt>
                <c:pt idx="55">
                  <c:v>2834.0000000000005</c:v>
                </c:pt>
                <c:pt idx="56">
                  <c:v>2684.9999999999995</c:v>
                </c:pt>
                <c:pt idx="57">
                  <c:v>2727.7</c:v>
                </c:pt>
                <c:pt idx="58">
                  <c:v>2652.0000000000005</c:v>
                </c:pt>
                <c:pt idx="59">
                  <c:v>2693.2000000000003</c:v>
                </c:pt>
                <c:pt idx="60">
                  <c:v>2752.5000000000005</c:v>
                </c:pt>
                <c:pt idx="61">
                  <c:v>2777.1000000000004</c:v>
                </c:pt>
                <c:pt idx="62">
                  <c:v>2667.6000000000008</c:v>
                </c:pt>
                <c:pt idx="63">
                  <c:v>2778.8</c:v>
                </c:pt>
                <c:pt idx="64">
                  <c:v>2875.8</c:v>
                </c:pt>
                <c:pt idx="65">
                  <c:v>2866.6</c:v>
                </c:pt>
                <c:pt idx="66">
                  <c:v>2789</c:v>
                </c:pt>
                <c:pt idx="67" formatCode="General">
                  <c:v>2744.1</c:v>
                </c:pt>
              </c:numCache>
            </c:numRef>
          </c:val>
          <c:smooth val="0"/>
          <c:extLst>
            <c:ext xmlns:c16="http://schemas.microsoft.com/office/drawing/2014/chart" uri="{C3380CC4-5D6E-409C-BE32-E72D297353CC}">
              <c16:uniqueId val="{00000000-88E6-489A-824A-3E873DEFBF8E}"/>
            </c:ext>
          </c:extLst>
        </c:ser>
        <c:ser>
          <c:idx val="1"/>
          <c:order val="1"/>
          <c:tx>
            <c:strRef>
              <c:f>'nerezidentu noguldījumi'!$A$8</c:f>
              <c:strCache>
                <c:ptCount val="1"/>
                <c:pt idx="0">
                  <c:v>Rezidenti </c:v>
                </c:pt>
              </c:strCache>
            </c:strRef>
          </c:tx>
          <c:spPr>
            <a:ln w="28575" cap="rnd">
              <a:solidFill>
                <a:schemeClr val="accent2"/>
              </a:solidFill>
              <a:round/>
            </a:ln>
            <a:effectLst/>
          </c:spPr>
          <c:marker>
            <c:symbol val="none"/>
          </c:marker>
          <c:cat>
            <c:numRef>
              <c:f>'nerezidentu noguldījumi'!$B$6:$BR$6</c:f>
              <c:numCache>
                <c:formatCode>mmm\-yy</c:formatCode>
                <c:ptCount val="6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numCache>
            </c:numRef>
          </c:cat>
          <c:val>
            <c:numRef>
              <c:f>'nerezidentu noguldījumi'!$B$8:$BR$8</c:f>
              <c:numCache>
                <c:formatCode>General</c:formatCode>
                <c:ptCount val="68"/>
                <c:pt idx="0">
                  <c:v>9474.3000000000011</c:v>
                </c:pt>
                <c:pt idx="1">
                  <c:v>9606.0999999999985</c:v>
                </c:pt>
                <c:pt idx="2">
                  <c:v>9677.9999999999982</c:v>
                </c:pt>
                <c:pt idx="3">
                  <c:v>9729.4</c:v>
                </c:pt>
                <c:pt idx="4">
                  <c:v>9714.9000000000015</c:v>
                </c:pt>
                <c:pt idx="5">
                  <c:v>9769.0999999999985</c:v>
                </c:pt>
                <c:pt idx="6">
                  <c:v>9897.1999999999989</c:v>
                </c:pt>
                <c:pt idx="7">
                  <c:v>9953.2000000000007</c:v>
                </c:pt>
                <c:pt idx="8">
                  <c:v>10012.6</c:v>
                </c:pt>
                <c:pt idx="9">
                  <c:v>10047</c:v>
                </c:pt>
                <c:pt idx="10">
                  <c:v>10248.299999999997</c:v>
                </c:pt>
                <c:pt idx="11">
                  <c:v>10546.4</c:v>
                </c:pt>
                <c:pt idx="12">
                  <c:v>10465.199999999999</c:v>
                </c:pt>
                <c:pt idx="13">
                  <c:v>10767.699999999999</c:v>
                </c:pt>
                <c:pt idx="14">
                  <c:v>10755.1</c:v>
                </c:pt>
                <c:pt idx="15">
                  <c:v>10896.399999999998</c:v>
                </c:pt>
                <c:pt idx="16">
                  <c:v>10940.3</c:v>
                </c:pt>
                <c:pt idx="17">
                  <c:v>10997.300000000001</c:v>
                </c:pt>
                <c:pt idx="18">
                  <c:v>10876.999999999998</c:v>
                </c:pt>
                <c:pt idx="19">
                  <c:v>10999.3</c:v>
                </c:pt>
                <c:pt idx="20">
                  <c:v>10999.3</c:v>
                </c:pt>
                <c:pt idx="21">
                  <c:v>11033.2</c:v>
                </c:pt>
                <c:pt idx="22">
                  <c:v>11113.399999999998</c:v>
                </c:pt>
                <c:pt idx="23">
                  <c:v>11389.6</c:v>
                </c:pt>
                <c:pt idx="24">
                  <c:v>11119.299999999997</c:v>
                </c:pt>
                <c:pt idx="25">
                  <c:v>11292.899999999998</c:v>
                </c:pt>
                <c:pt idx="26">
                  <c:v>11280.200000000003</c:v>
                </c:pt>
                <c:pt idx="27">
                  <c:v>11348.3</c:v>
                </c:pt>
                <c:pt idx="28">
                  <c:v>11194.6</c:v>
                </c:pt>
                <c:pt idx="29">
                  <c:v>11249.1</c:v>
                </c:pt>
                <c:pt idx="30">
                  <c:v>11180.9</c:v>
                </c:pt>
                <c:pt idx="31">
                  <c:v>11325.3</c:v>
                </c:pt>
                <c:pt idx="32">
                  <c:v>11115.4</c:v>
                </c:pt>
                <c:pt idx="33">
                  <c:v>11343.599999999999</c:v>
                </c:pt>
                <c:pt idx="34">
                  <c:v>11550.499999999998</c:v>
                </c:pt>
                <c:pt idx="35">
                  <c:v>11702.499999999998</c:v>
                </c:pt>
                <c:pt idx="36">
                  <c:v>11772.599999999999</c:v>
                </c:pt>
                <c:pt idx="37">
                  <c:v>11655.000000000002</c:v>
                </c:pt>
                <c:pt idx="38">
                  <c:v>11709.8</c:v>
                </c:pt>
                <c:pt idx="39">
                  <c:v>11919</c:v>
                </c:pt>
                <c:pt idx="40">
                  <c:v>11670.599999999999</c:v>
                </c:pt>
                <c:pt idx="41">
                  <c:v>11696.599999999999</c:v>
                </c:pt>
                <c:pt idx="42">
                  <c:v>11652.599999999999</c:v>
                </c:pt>
                <c:pt idx="43">
                  <c:v>11745.300000000001</c:v>
                </c:pt>
                <c:pt idx="44">
                  <c:v>11628.399999999998</c:v>
                </c:pt>
                <c:pt idx="45">
                  <c:v>11753.899999999998</c:v>
                </c:pt>
                <c:pt idx="46">
                  <c:v>11895.2</c:v>
                </c:pt>
                <c:pt idx="47">
                  <c:v>12376.699999999999</c:v>
                </c:pt>
                <c:pt idx="48">
                  <c:v>12445.9</c:v>
                </c:pt>
                <c:pt idx="49">
                  <c:v>12495.999999999998</c:v>
                </c:pt>
                <c:pt idx="50">
                  <c:v>12589.1</c:v>
                </c:pt>
                <c:pt idx="51">
                  <c:v>12588.6</c:v>
                </c:pt>
                <c:pt idx="52">
                  <c:v>12472.2</c:v>
                </c:pt>
                <c:pt idx="53">
                  <c:v>12536.100000000002</c:v>
                </c:pt>
                <c:pt idx="54">
                  <c:v>12908.699999999999</c:v>
                </c:pt>
                <c:pt idx="55">
                  <c:v>13142.7</c:v>
                </c:pt>
                <c:pt idx="56">
                  <c:v>12773.7</c:v>
                </c:pt>
                <c:pt idx="57">
                  <c:v>12967.900000000001</c:v>
                </c:pt>
                <c:pt idx="58">
                  <c:v>12961.4</c:v>
                </c:pt>
                <c:pt idx="59">
                  <c:v>13430.300000000003</c:v>
                </c:pt>
                <c:pt idx="60">
                  <c:v>13365.499999999998</c:v>
                </c:pt>
                <c:pt idx="61">
                  <c:v>13456.000000000004</c:v>
                </c:pt>
                <c:pt idx="62">
                  <c:v>13811.6</c:v>
                </c:pt>
                <c:pt idx="63">
                  <c:v>13958.9</c:v>
                </c:pt>
                <c:pt idx="64">
                  <c:v>13883.000000000002</c:v>
                </c:pt>
                <c:pt idx="65">
                  <c:v>13867.599999999999</c:v>
                </c:pt>
                <c:pt idx="66">
                  <c:v>13933.400000000001</c:v>
                </c:pt>
                <c:pt idx="67">
                  <c:v>14088.2</c:v>
                </c:pt>
              </c:numCache>
            </c:numRef>
          </c:val>
          <c:smooth val="0"/>
          <c:extLst>
            <c:ext xmlns:c16="http://schemas.microsoft.com/office/drawing/2014/chart" uri="{C3380CC4-5D6E-409C-BE32-E72D297353CC}">
              <c16:uniqueId val="{00000001-88E6-489A-824A-3E873DEFBF8E}"/>
            </c:ext>
          </c:extLst>
        </c:ser>
        <c:dLbls>
          <c:showLegendKey val="0"/>
          <c:showVal val="0"/>
          <c:showCatName val="0"/>
          <c:showSerName val="0"/>
          <c:showPercent val="0"/>
          <c:showBubbleSize val="0"/>
        </c:dLbls>
        <c:smooth val="0"/>
        <c:axId val="1689077728"/>
        <c:axId val="1689081888"/>
      </c:lineChart>
      <c:catAx>
        <c:axId val="1689077728"/>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89081888"/>
        <c:crosses val="autoZero"/>
        <c:auto val="0"/>
        <c:lblAlgn val="ctr"/>
        <c:lblOffset val="100"/>
        <c:tickLblSkip val="3"/>
        <c:tickMarkSkip val="12"/>
        <c:noMultiLvlLbl val="0"/>
      </c:catAx>
      <c:valAx>
        <c:axId val="168908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8907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Sheet!$B$14</c:f>
              <c:strCache>
                <c:ptCount val="1"/>
                <c:pt idx="0">
                  <c:v>mājsaimniecībām mājokļa iegādei</c:v>
                </c:pt>
              </c:strCache>
            </c:strRef>
          </c:tx>
          <c:spPr>
            <a:solidFill>
              <a:schemeClr val="accent1"/>
            </a:solidFill>
            <a:ln>
              <a:noFill/>
            </a:ln>
            <a:effectLst/>
          </c:spPr>
          <c:invertIfNegative val="0"/>
          <c:cat>
            <c:numRef>
              <c:f>Sheet!$C$13:$BQ$13</c:f>
              <c:numCache>
                <c:formatCode>mmm\-yy</c:formatCode>
                <c:ptCount val="6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numCache>
            </c:numRef>
          </c:cat>
          <c:val>
            <c:numRef>
              <c:f>Sheet!$C$14:$BQ$14</c:f>
              <c:numCache>
                <c:formatCode>#\ ##0.0</c:formatCode>
                <c:ptCount val="67"/>
                <c:pt idx="0">
                  <c:v>13.200000000000001</c:v>
                </c:pt>
                <c:pt idx="1">
                  <c:v>22.4</c:v>
                </c:pt>
                <c:pt idx="2">
                  <c:v>24.799999999999997</c:v>
                </c:pt>
                <c:pt idx="3">
                  <c:v>28.099999999999998</c:v>
                </c:pt>
                <c:pt idx="4">
                  <c:v>25.599999999999998</c:v>
                </c:pt>
                <c:pt idx="5">
                  <c:v>28</c:v>
                </c:pt>
                <c:pt idx="6">
                  <c:v>35.700000000000003</c:v>
                </c:pt>
                <c:pt idx="7">
                  <c:v>33.700000000000003</c:v>
                </c:pt>
                <c:pt idx="8">
                  <c:v>35.099999999999994</c:v>
                </c:pt>
                <c:pt idx="9">
                  <c:v>39.1</c:v>
                </c:pt>
                <c:pt idx="10">
                  <c:v>34.1</c:v>
                </c:pt>
                <c:pt idx="11">
                  <c:v>36.299999999999997</c:v>
                </c:pt>
                <c:pt idx="12">
                  <c:v>31.400000000000002</c:v>
                </c:pt>
                <c:pt idx="13">
                  <c:v>29.799999999999997</c:v>
                </c:pt>
                <c:pt idx="14">
                  <c:v>44.3</c:v>
                </c:pt>
                <c:pt idx="15">
                  <c:v>39.200000000000003</c:v>
                </c:pt>
                <c:pt idx="16">
                  <c:v>40</c:v>
                </c:pt>
                <c:pt idx="17">
                  <c:v>43.2</c:v>
                </c:pt>
                <c:pt idx="18">
                  <c:v>41.199999999999996</c:v>
                </c:pt>
                <c:pt idx="19">
                  <c:v>45.300000000000004</c:v>
                </c:pt>
                <c:pt idx="20">
                  <c:v>44.699999999999996</c:v>
                </c:pt>
                <c:pt idx="21">
                  <c:v>54.4</c:v>
                </c:pt>
                <c:pt idx="22">
                  <c:v>43.4</c:v>
                </c:pt>
                <c:pt idx="23">
                  <c:v>42.399999999999991</c:v>
                </c:pt>
                <c:pt idx="24">
                  <c:v>35.799999999999997</c:v>
                </c:pt>
                <c:pt idx="25">
                  <c:v>36.9</c:v>
                </c:pt>
                <c:pt idx="26">
                  <c:v>46.8</c:v>
                </c:pt>
                <c:pt idx="27">
                  <c:v>41.7</c:v>
                </c:pt>
                <c:pt idx="28">
                  <c:v>52.400000000000006</c:v>
                </c:pt>
                <c:pt idx="29">
                  <c:v>52.5</c:v>
                </c:pt>
                <c:pt idx="30">
                  <c:v>42.800000000000004</c:v>
                </c:pt>
                <c:pt idx="31">
                  <c:v>47.199999999999996</c:v>
                </c:pt>
                <c:pt idx="32">
                  <c:v>50.5</c:v>
                </c:pt>
                <c:pt idx="33">
                  <c:v>48.900000000000006</c:v>
                </c:pt>
                <c:pt idx="34">
                  <c:v>49.899999999999991</c:v>
                </c:pt>
                <c:pt idx="35">
                  <c:v>49.1</c:v>
                </c:pt>
                <c:pt idx="36">
                  <c:v>56.300000000000004</c:v>
                </c:pt>
                <c:pt idx="37">
                  <c:v>40.099999999999994</c:v>
                </c:pt>
                <c:pt idx="38">
                  <c:v>46.6</c:v>
                </c:pt>
                <c:pt idx="39">
                  <c:v>52.900000000000006</c:v>
                </c:pt>
                <c:pt idx="40">
                  <c:v>52.900000000000006</c:v>
                </c:pt>
                <c:pt idx="41">
                  <c:v>54</c:v>
                </c:pt>
                <c:pt idx="42">
                  <c:v>47.6</c:v>
                </c:pt>
                <c:pt idx="43">
                  <c:v>54.300000000000004</c:v>
                </c:pt>
                <c:pt idx="44">
                  <c:v>43.7</c:v>
                </c:pt>
                <c:pt idx="45">
                  <c:v>52.400000000000006</c:v>
                </c:pt>
                <c:pt idx="46">
                  <c:v>49.3</c:v>
                </c:pt>
                <c:pt idx="47">
                  <c:v>42.3</c:v>
                </c:pt>
                <c:pt idx="48">
                  <c:v>46.400000000000006</c:v>
                </c:pt>
                <c:pt idx="49">
                  <c:v>45.7</c:v>
                </c:pt>
                <c:pt idx="50">
                  <c:v>47.599999999999994</c:v>
                </c:pt>
                <c:pt idx="51">
                  <c:v>49.000000000000007</c:v>
                </c:pt>
                <c:pt idx="52">
                  <c:v>52.4</c:v>
                </c:pt>
                <c:pt idx="53">
                  <c:v>46.6</c:v>
                </c:pt>
                <c:pt idx="54">
                  <c:v>50.9</c:v>
                </c:pt>
                <c:pt idx="55">
                  <c:v>47.2</c:v>
                </c:pt>
                <c:pt idx="56">
                  <c:v>47.599999999999994</c:v>
                </c:pt>
                <c:pt idx="57">
                  <c:v>49.300000000000004</c:v>
                </c:pt>
                <c:pt idx="58">
                  <c:v>45.099999999999994</c:v>
                </c:pt>
                <c:pt idx="59">
                  <c:v>42.7</c:v>
                </c:pt>
                <c:pt idx="60">
                  <c:v>41.1</c:v>
                </c:pt>
                <c:pt idx="61">
                  <c:v>43.399999999999991</c:v>
                </c:pt>
                <c:pt idx="62">
                  <c:v>40.999999999999986</c:v>
                </c:pt>
                <c:pt idx="63">
                  <c:v>26.799999999999997</c:v>
                </c:pt>
                <c:pt idx="64">
                  <c:v>27.6</c:v>
                </c:pt>
                <c:pt idx="65">
                  <c:v>39.4</c:v>
                </c:pt>
                <c:pt idx="66">
                  <c:v>53.800000000000004</c:v>
                </c:pt>
              </c:numCache>
            </c:numRef>
          </c:val>
          <c:extLst>
            <c:ext xmlns:c16="http://schemas.microsoft.com/office/drawing/2014/chart" uri="{C3380CC4-5D6E-409C-BE32-E72D297353CC}">
              <c16:uniqueId val="{00000000-2645-4679-9637-0F57F9C762F5}"/>
            </c:ext>
          </c:extLst>
        </c:ser>
        <c:ser>
          <c:idx val="1"/>
          <c:order val="1"/>
          <c:tx>
            <c:strRef>
              <c:f>Sheet!$B$15</c:f>
              <c:strCache>
                <c:ptCount val="1"/>
                <c:pt idx="0">
                  <c:v> patēriņa kredīti mājsaimniecībām</c:v>
                </c:pt>
              </c:strCache>
            </c:strRef>
          </c:tx>
          <c:spPr>
            <a:solidFill>
              <a:schemeClr val="accent2"/>
            </a:solidFill>
            <a:ln>
              <a:noFill/>
            </a:ln>
            <a:effectLst/>
          </c:spPr>
          <c:invertIfNegative val="0"/>
          <c:cat>
            <c:numRef>
              <c:f>Sheet!$C$13:$BQ$13</c:f>
              <c:numCache>
                <c:formatCode>mmm\-yy</c:formatCode>
                <c:ptCount val="6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numCache>
            </c:numRef>
          </c:cat>
          <c:val>
            <c:numRef>
              <c:f>Sheet!$C$15:$BQ$15</c:f>
              <c:numCache>
                <c:formatCode>#\ ##0.0</c:formatCode>
                <c:ptCount val="67"/>
                <c:pt idx="0">
                  <c:v>8.9</c:v>
                </c:pt>
                <c:pt idx="1">
                  <c:v>11.299999999999999</c:v>
                </c:pt>
                <c:pt idx="2">
                  <c:v>11.4</c:v>
                </c:pt>
                <c:pt idx="3">
                  <c:v>14.4</c:v>
                </c:pt>
                <c:pt idx="4">
                  <c:v>14.3</c:v>
                </c:pt>
                <c:pt idx="5">
                  <c:v>14.3</c:v>
                </c:pt>
                <c:pt idx="6">
                  <c:v>17.600000000000001</c:v>
                </c:pt>
                <c:pt idx="7">
                  <c:v>14.900000000000002</c:v>
                </c:pt>
                <c:pt idx="8">
                  <c:v>15.2</c:v>
                </c:pt>
                <c:pt idx="9">
                  <c:v>17.400000000000002</c:v>
                </c:pt>
                <c:pt idx="10">
                  <c:v>14</c:v>
                </c:pt>
                <c:pt idx="11">
                  <c:v>15.8</c:v>
                </c:pt>
                <c:pt idx="12">
                  <c:v>14.6</c:v>
                </c:pt>
                <c:pt idx="13">
                  <c:v>16.600000000000001</c:v>
                </c:pt>
                <c:pt idx="14">
                  <c:v>18.7</c:v>
                </c:pt>
                <c:pt idx="15">
                  <c:v>20.100000000000001</c:v>
                </c:pt>
                <c:pt idx="16">
                  <c:v>21.3</c:v>
                </c:pt>
                <c:pt idx="17">
                  <c:v>20.2</c:v>
                </c:pt>
                <c:pt idx="18">
                  <c:v>18.7</c:v>
                </c:pt>
                <c:pt idx="19">
                  <c:v>19.2</c:v>
                </c:pt>
                <c:pt idx="20">
                  <c:v>17.600000000000001</c:v>
                </c:pt>
                <c:pt idx="21">
                  <c:v>19</c:v>
                </c:pt>
                <c:pt idx="22">
                  <c:v>18.600000000000001</c:v>
                </c:pt>
                <c:pt idx="23">
                  <c:v>19.400000000000002</c:v>
                </c:pt>
                <c:pt idx="24">
                  <c:v>20.099999999999998</c:v>
                </c:pt>
                <c:pt idx="25">
                  <c:v>18.8</c:v>
                </c:pt>
                <c:pt idx="26">
                  <c:v>22.7</c:v>
                </c:pt>
                <c:pt idx="27">
                  <c:v>21.1</c:v>
                </c:pt>
                <c:pt idx="28">
                  <c:v>22.5</c:v>
                </c:pt>
                <c:pt idx="29">
                  <c:v>21.3</c:v>
                </c:pt>
                <c:pt idx="30">
                  <c:v>21.8</c:v>
                </c:pt>
                <c:pt idx="31">
                  <c:v>23.3</c:v>
                </c:pt>
                <c:pt idx="32">
                  <c:v>18.8</c:v>
                </c:pt>
                <c:pt idx="33">
                  <c:v>18.7</c:v>
                </c:pt>
                <c:pt idx="34">
                  <c:v>17</c:v>
                </c:pt>
                <c:pt idx="35">
                  <c:v>16.200000000000003</c:v>
                </c:pt>
                <c:pt idx="36">
                  <c:v>20</c:v>
                </c:pt>
                <c:pt idx="37">
                  <c:v>16.7</c:v>
                </c:pt>
                <c:pt idx="38">
                  <c:v>18.299999999999997</c:v>
                </c:pt>
                <c:pt idx="39">
                  <c:v>19.7</c:v>
                </c:pt>
                <c:pt idx="40">
                  <c:v>21.2</c:v>
                </c:pt>
                <c:pt idx="41">
                  <c:v>20.399999999999999</c:v>
                </c:pt>
                <c:pt idx="42">
                  <c:v>22.400000000000002</c:v>
                </c:pt>
                <c:pt idx="43">
                  <c:v>23.9</c:v>
                </c:pt>
                <c:pt idx="44">
                  <c:v>20.599999999999998</c:v>
                </c:pt>
                <c:pt idx="45">
                  <c:v>24</c:v>
                </c:pt>
                <c:pt idx="46">
                  <c:v>20.2</c:v>
                </c:pt>
                <c:pt idx="47">
                  <c:v>18.600000000000001</c:v>
                </c:pt>
                <c:pt idx="48">
                  <c:v>17.900000000000002</c:v>
                </c:pt>
                <c:pt idx="49">
                  <c:v>17</c:v>
                </c:pt>
                <c:pt idx="50">
                  <c:v>19.399999999999999</c:v>
                </c:pt>
                <c:pt idx="51">
                  <c:v>21</c:v>
                </c:pt>
                <c:pt idx="52">
                  <c:v>23.599999999999998</c:v>
                </c:pt>
                <c:pt idx="53">
                  <c:v>20.599999999999998</c:v>
                </c:pt>
                <c:pt idx="54">
                  <c:v>19.100000000000001</c:v>
                </c:pt>
                <c:pt idx="55">
                  <c:v>18.3</c:v>
                </c:pt>
                <c:pt idx="56">
                  <c:v>17.700000000000003</c:v>
                </c:pt>
                <c:pt idx="57">
                  <c:v>20.5</c:v>
                </c:pt>
                <c:pt idx="58">
                  <c:v>18.400000000000002</c:v>
                </c:pt>
                <c:pt idx="59">
                  <c:v>15.399999999999999</c:v>
                </c:pt>
                <c:pt idx="60">
                  <c:v>15.2</c:v>
                </c:pt>
                <c:pt idx="61">
                  <c:v>15.2</c:v>
                </c:pt>
                <c:pt idx="62">
                  <c:v>13.8</c:v>
                </c:pt>
                <c:pt idx="63">
                  <c:v>8</c:v>
                </c:pt>
                <c:pt idx="64">
                  <c:v>12.2</c:v>
                </c:pt>
                <c:pt idx="65">
                  <c:v>13.7</c:v>
                </c:pt>
                <c:pt idx="66">
                  <c:v>16.3</c:v>
                </c:pt>
              </c:numCache>
            </c:numRef>
          </c:val>
          <c:extLst>
            <c:ext xmlns:c16="http://schemas.microsoft.com/office/drawing/2014/chart" uri="{C3380CC4-5D6E-409C-BE32-E72D297353CC}">
              <c16:uniqueId val="{00000001-2645-4679-9637-0F57F9C762F5}"/>
            </c:ext>
          </c:extLst>
        </c:ser>
        <c:ser>
          <c:idx val="2"/>
          <c:order val="2"/>
          <c:tx>
            <c:strRef>
              <c:f>Sheet!$B$16</c:f>
              <c:strCache>
                <c:ptCount val="1"/>
                <c:pt idx="0">
                  <c:v> pārējie kredīti mājsaimniecībām</c:v>
                </c:pt>
              </c:strCache>
            </c:strRef>
          </c:tx>
          <c:spPr>
            <a:solidFill>
              <a:schemeClr val="accent3"/>
            </a:solidFill>
            <a:ln>
              <a:noFill/>
            </a:ln>
            <a:effectLst/>
          </c:spPr>
          <c:invertIfNegative val="0"/>
          <c:cat>
            <c:numRef>
              <c:f>Sheet!$C$13:$BQ$13</c:f>
              <c:numCache>
                <c:formatCode>mmm\-yy</c:formatCode>
                <c:ptCount val="6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numCache>
            </c:numRef>
          </c:cat>
          <c:val>
            <c:numRef>
              <c:f>Sheet!$C$16:$BQ$16</c:f>
              <c:numCache>
                <c:formatCode>#\ ##0.0</c:formatCode>
                <c:ptCount val="67"/>
                <c:pt idx="0">
                  <c:v>2.3999999999999986</c:v>
                </c:pt>
                <c:pt idx="1">
                  <c:v>3.1999999999999993</c:v>
                </c:pt>
                <c:pt idx="2">
                  <c:v>11.9</c:v>
                </c:pt>
                <c:pt idx="3">
                  <c:v>4.6000000000000005</c:v>
                </c:pt>
                <c:pt idx="4">
                  <c:v>2.2999999999999998</c:v>
                </c:pt>
                <c:pt idx="5">
                  <c:v>4.2999999999999989</c:v>
                </c:pt>
                <c:pt idx="6">
                  <c:v>4.1000000000000014</c:v>
                </c:pt>
                <c:pt idx="7">
                  <c:v>3.0000000000000009</c:v>
                </c:pt>
                <c:pt idx="8">
                  <c:v>4.6999999999999993</c:v>
                </c:pt>
                <c:pt idx="9">
                  <c:v>3.2</c:v>
                </c:pt>
                <c:pt idx="10">
                  <c:v>4.5</c:v>
                </c:pt>
                <c:pt idx="11">
                  <c:v>5.4999999999999982</c:v>
                </c:pt>
                <c:pt idx="12">
                  <c:v>3.7000000000000011</c:v>
                </c:pt>
                <c:pt idx="13">
                  <c:v>5.0999999999999996</c:v>
                </c:pt>
                <c:pt idx="14">
                  <c:v>4.9999999999999991</c:v>
                </c:pt>
                <c:pt idx="15">
                  <c:v>6.5000000000000009</c:v>
                </c:pt>
                <c:pt idx="16">
                  <c:v>2.9000000000000004</c:v>
                </c:pt>
                <c:pt idx="17">
                  <c:v>3.8999999999999995</c:v>
                </c:pt>
                <c:pt idx="18">
                  <c:v>5</c:v>
                </c:pt>
                <c:pt idx="19">
                  <c:v>5.1999999999999993</c:v>
                </c:pt>
                <c:pt idx="20">
                  <c:v>3.7</c:v>
                </c:pt>
                <c:pt idx="21">
                  <c:v>13</c:v>
                </c:pt>
                <c:pt idx="22">
                  <c:v>5.8999999999999995</c:v>
                </c:pt>
                <c:pt idx="23">
                  <c:v>21.9</c:v>
                </c:pt>
                <c:pt idx="24">
                  <c:v>2.5999999999999996</c:v>
                </c:pt>
                <c:pt idx="25">
                  <c:v>1.5999999999999996</c:v>
                </c:pt>
                <c:pt idx="26">
                  <c:v>3.8000000000000007</c:v>
                </c:pt>
                <c:pt idx="27">
                  <c:v>3.9999999999999996</c:v>
                </c:pt>
                <c:pt idx="28">
                  <c:v>4.2000000000000011</c:v>
                </c:pt>
                <c:pt idx="29">
                  <c:v>6.3</c:v>
                </c:pt>
                <c:pt idx="30">
                  <c:v>2.9</c:v>
                </c:pt>
                <c:pt idx="31">
                  <c:v>5.2</c:v>
                </c:pt>
                <c:pt idx="32">
                  <c:v>5.4</c:v>
                </c:pt>
                <c:pt idx="33">
                  <c:v>4.3000000000000007</c:v>
                </c:pt>
                <c:pt idx="34">
                  <c:v>4.5999999999999979</c:v>
                </c:pt>
                <c:pt idx="35">
                  <c:v>7.1999999999999993</c:v>
                </c:pt>
                <c:pt idx="36">
                  <c:v>3.8000000000000003</c:v>
                </c:pt>
                <c:pt idx="37">
                  <c:v>3.1000000000000005</c:v>
                </c:pt>
                <c:pt idx="38">
                  <c:v>3.3999999999999986</c:v>
                </c:pt>
                <c:pt idx="39">
                  <c:v>6.2</c:v>
                </c:pt>
                <c:pt idx="40">
                  <c:v>8.1999999999999993</c:v>
                </c:pt>
                <c:pt idx="41">
                  <c:v>7.5</c:v>
                </c:pt>
                <c:pt idx="42">
                  <c:v>4.4000000000000004</c:v>
                </c:pt>
                <c:pt idx="43">
                  <c:v>6</c:v>
                </c:pt>
                <c:pt idx="44">
                  <c:v>3.2999999999999989</c:v>
                </c:pt>
                <c:pt idx="45">
                  <c:v>8.5</c:v>
                </c:pt>
                <c:pt idx="46">
                  <c:v>5.3000000000000007</c:v>
                </c:pt>
                <c:pt idx="47">
                  <c:v>6.6999999999999993</c:v>
                </c:pt>
                <c:pt idx="48">
                  <c:v>4.7</c:v>
                </c:pt>
                <c:pt idx="49">
                  <c:v>4.0999999999999996</c:v>
                </c:pt>
                <c:pt idx="50">
                  <c:v>5.6000000000000005</c:v>
                </c:pt>
                <c:pt idx="51">
                  <c:v>5.0999999999999979</c:v>
                </c:pt>
                <c:pt idx="52">
                  <c:v>5.2</c:v>
                </c:pt>
                <c:pt idx="53">
                  <c:v>5.5</c:v>
                </c:pt>
                <c:pt idx="54">
                  <c:v>5.3999999999999986</c:v>
                </c:pt>
                <c:pt idx="55">
                  <c:v>4.6000000000000014</c:v>
                </c:pt>
                <c:pt idx="56">
                  <c:v>6.8999999999999986</c:v>
                </c:pt>
                <c:pt idx="57">
                  <c:v>5.9</c:v>
                </c:pt>
                <c:pt idx="58">
                  <c:v>7.3999999999999995</c:v>
                </c:pt>
                <c:pt idx="59">
                  <c:v>6.1</c:v>
                </c:pt>
                <c:pt idx="60">
                  <c:v>3.5999999999999996</c:v>
                </c:pt>
                <c:pt idx="61">
                  <c:v>5</c:v>
                </c:pt>
                <c:pt idx="62">
                  <c:v>4.5</c:v>
                </c:pt>
                <c:pt idx="63">
                  <c:v>8.6999999999999993</c:v>
                </c:pt>
                <c:pt idx="64">
                  <c:v>6.7999999999999989</c:v>
                </c:pt>
                <c:pt idx="65">
                  <c:v>4.3999999999999995</c:v>
                </c:pt>
                <c:pt idx="66">
                  <c:v>6</c:v>
                </c:pt>
              </c:numCache>
            </c:numRef>
          </c:val>
          <c:extLst>
            <c:ext xmlns:c16="http://schemas.microsoft.com/office/drawing/2014/chart" uri="{C3380CC4-5D6E-409C-BE32-E72D297353CC}">
              <c16:uniqueId val="{00000002-2645-4679-9637-0F57F9C762F5}"/>
            </c:ext>
          </c:extLst>
        </c:ser>
        <c:ser>
          <c:idx val="3"/>
          <c:order val="3"/>
          <c:tx>
            <c:strRef>
              <c:f>Sheet!$B$17</c:f>
              <c:strCache>
                <c:ptCount val="1"/>
                <c:pt idx="0">
                  <c:v> kredīti nefinanšu sabiedrībām</c:v>
                </c:pt>
              </c:strCache>
            </c:strRef>
          </c:tx>
          <c:spPr>
            <a:solidFill>
              <a:schemeClr val="accent4"/>
            </a:solidFill>
            <a:ln>
              <a:noFill/>
            </a:ln>
            <a:effectLst/>
          </c:spPr>
          <c:invertIfNegative val="0"/>
          <c:cat>
            <c:numRef>
              <c:f>Sheet!$C$13:$BQ$13</c:f>
              <c:numCache>
                <c:formatCode>mmm\-yy</c:formatCode>
                <c:ptCount val="6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numCache>
            </c:numRef>
          </c:cat>
          <c:val>
            <c:numRef>
              <c:f>Sheet!$C$17:$BQ$17</c:f>
              <c:numCache>
                <c:formatCode>#\ ##0.0</c:formatCode>
                <c:ptCount val="67"/>
                <c:pt idx="0">
                  <c:v>25.799999999999997</c:v>
                </c:pt>
                <c:pt idx="1">
                  <c:v>128.19999999999999</c:v>
                </c:pt>
                <c:pt idx="2">
                  <c:v>95.100000000000023</c:v>
                </c:pt>
                <c:pt idx="3">
                  <c:v>50.600000000000023</c:v>
                </c:pt>
                <c:pt idx="4">
                  <c:v>175.7</c:v>
                </c:pt>
                <c:pt idx="5">
                  <c:v>83.399999999999977</c:v>
                </c:pt>
                <c:pt idx="6">
                  <c:v>108.5</c:v>
                </c:pt>
                <c:pt idx="7">
                  <c:v>81.600000000000023</c:v>
                </c:pt>
                <c:pt idx="8">
                  <c:v>104.49999999999997</c:v>
                </c:pt>
                <c:pt idx="9">
                  <c:v>66.7</c:v>
                </c:pt>
                <c:pt idx="10">
                  <c:v>96.9</c:v>
                </c:pt>
                <c:pt idx="11">
                  <c:v>101.5</c:v>
                </c:pt>
                <c:pt idx="12">
                  <c:v>97.199999999999989</c:v>
                </c:pt>
                <c:pt idx="13">
                  <c:v>113.50000000000003</c:v>
                </c:pt>
                <c:pt idx="14">
                  <c:v>116.80000000000001</c:v>
                </c:pt>
                <c:pt idx="15">
                  <c:v>156.39999999999998</c:v>
                </c:pt>
                <c:pt idx="16">
                  <c:v>195.80000000000007</c:v>
                </c:pt>
                <c:pt idx="17">
                  <c:v>108.00000000000003</c:v>
                </c:pt>
                <c:pt idx="18">
                  <c:v>141.79999999999998</c:v>
                </c:pt>
                <c:pt idx="19">
                  <c:v>121.60000000000002</c:v>
                </c:pt>
                <c:pt idx="20">
                  <c:v>149.69999999999999</c:v>
                </c:pt>
                <c:pt idx="21">
                  <c:v>183.90000000000003</c:v>
                </c:pt>
                <c:pt idx="22">
                  <c:v>101.80000000000001</c:v>
                </c:pt>
                <c:pt idx="23">
                  <c:v>134.30000000000001</c:v>
                </c:pt>
                <c:pt idx="24">
                  <c:v>72.599999999999994</c:v>
                </c:pt>
                <c:pt idx="25">
                  <c:v>145.30000000000001</c:v>
                </c:pt>
                <c:pt idx="26">
                  <c:v>123.5</c:v>
                </c:pt>
                <c:pt idx="27">
                  <c:v>114.70000000000002</c:v>
                </c:pt>
                <c:pt idx="28">
                  <c:v>118.09999999999997</c:v>
                </c:pt>
                <c:pt idx="29">
                  <c:v>93.599999999999966</c:v>
                </c:pt>
                <c:pt idx="30">
                  <c:v>142.60000000000002</c:v>
                </c:pt>
                <c:pt idx="31">
                  <c:v>171.6</c:v>
                </c:pt>
                <c:pt idx="32">
                  <c:v>114.40000000000003</c:v>
                </c:pt>
                <c:pt idx="33">
                  <c:v>121.79999999999995</c:v>
                </c:pt>
                <c:pt idx="34">
                  <c:v>111.89999999999998</c:v>
                </c:pt>
                <c:pt idx="35">
                  <c:v>233.29999999999995</c:v>
                </c:pt>
                <c:pt idx="36">
                  <c:v>94.699999999999989</c:v>
                </c:pt>
                <c:pt idx="37">
                  <c:v>56.199999999999989</c:v>
                </c:pt>
                <c:pt idx="38">
                  <c:v>95.599999999999966</c:v>
                </c:pt>
                <c:pt idx="39">
                  <c:v>66.399999999999977</c:v>
                </c:pt>
                <c:pt idx="40">
                  <c:v>69.699999999999989</c:v>
                </c:pt>
                <c:pt idx="41">
                  <c:v>177.39999999999998</c:v>
                </c:pt>
                <c:pt idx="42">
                  <c:v>61.399999999999977</c:v>
                </c:pt>
                <c:pt idx="43">
                  <c:v>90.6</c:v>
                </c:pt>
                <c:pt idx="44">
                  <c:v>47.199999999999989</c:v>
                </c:pt>
                <c:pt idx="45">
                  <c:v>102.70000000000002</c:v>
                </c:pt>
                <c:pt idx="46">
                  <c:v>143.5</c:v>
                </c:pt>
                <c:pt idx="47">
                  <c:v>302.40000000000003</c:v>
                </c:pt>
                <c:pt idx="48">
                  <c:v>53</c:v>
                </c:pt>
                <c:pt idx="49">
                  <c:v>87.600000000000023</c:v>
                </c:pt>
                <c:pt idx="50">
                  <c:v>118.60000000000002</c:v>
                </c:pt>
                <c:pt idx="51">
                  <c:v>78.800000000000011</c:v>
                </c:pt>
                <c:pt idx="52">
                  <c:v>132.39999999999998</c:v>
                </c:pt>
                <c:pt idx="53">
                  <c:v>76.699999999999989</c:v>
                </c:pt>
                <c:pt idx="54">
                  <c:v>94</c:v>
                </c:pt>
                <c:pt idx="55">
                  <c:v>49.300000000000011</c:v>
                </c:pt>
                <c:pt idx="56">
                  <c:v>112.10000000000002</c:v>
                </c:pt>
                <c:pt idx="57">
                  <c:v>94.9</c:v>
                </c:pt>
                <c:pt idx="58">
                  <c:v>18.099999999999994</c:v>
                </c:pt>
                <c:pt idx="59">
                  <c:v>82.800000000000011</c:v>
                </c:pt>
                <c:pt idx="60">
                  <c:v>72.599999999999994</c:v>
                </c:pt>
                <c:pt idx="61">
                  <c:v>128.70000000000002</c:v>
                </c:pt>
                <c:pt idx="62">
                  <c:v>139</c:v>
                </c:pt>
                <c:pt idx="63">
                  <c:v>33.299999999999955</c:v>
                </c:pt>
                <c:pt idx="64">
                  <c:v>16.800000000000011</c:v>
                </c:pt>
                <c:pt idx="65">
                  <c:v>165</c:v>
                </c:pt>
                <c:pt idx="66">
                  <c:v>48.399999999999977</c:v>
                </c:pt>
              </c:numCache>
            </c:numRef>
          </c:val>
          <c:extLst>
            <c:ext xmlns:c16="http://schemas.microsoft.com/office/drawing/2014/chart" uri="{C3380CC4-5D6E-409C-BE32-E72D297353CC}">
              <c16:uniqueId val="{00000003-2645-4679-9637-0F57F9C762F5}"/>
            </c:ext>
          </c:extLst>
        </c:ser>
        <c:dLbls>
          <c:showLegendKey val="0"/>
          <c:showVal val="0"/>
          <c:showCatName val="0"/>
          <c:showSerName val="0"/>
          <c:showPercent val="0"/>
          <c:showBubbleSize val="0"/>
        </c:dLbls>
        <c:gapWidth val="50"/>
        <c:overlap val="100"/>
        <c:axId val="473983024"/>
        <c:axId val="473982696"/>
      </c:barChart>
      <c:catAx>
        <c:axId val="473983024"/>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73982696"/>
        <c:crosses val="autoZero"/>
        <c:auto val="0"/>
        <c:lblAlgn val="ctr"/>
        <c:lblOffset val="100"/>
        <c:tickMarkSkip val="12"/>
        <c:noMultiLvlLbl val="0"/>
      </c:catAx>
      <c:valAx>
        <c:axId val="473982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7398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98792650918636"/>
          <c:y val="0.15572739974667349"/>
          <c:w val="0.48502624671916017"/>
          <c:h val="0.83896431864935817"/>
        </c:manualLayout>
      </c:layout>
      <c:pieChart>
        <c:varyColors val="1"/>
        <c:ser>
          <c:idx val="0"/>
          <c:order val="0"/>
          <c:dPt>
            <c:idx val="0"/>
            <c:bubble3D val="0"/>
            <c:spPr>
              <a:pattFill prst="dkUpDiag">
                <a:fgClr>
                  <a:srgbClr val="00B050"/>
                </a:fgClr>
                <a:bgClr>
                  <a:schemeClr val="bg1"/>
                </a:bgClr>
              </a:pattFill>
              <a:ln w="19050">
                <a:solidFill>
                  <a:schemeClr val="lt1"/>
                </a:solidFill>
              </a:ln>
              <a:effectLst/>
            </c:spPr>
            <c:extLst>
              <c:ext xmlns:c16="http://schemas.microsoft.com/office/drawing/2014/chart" uri="{C3380CC4-5D6E-409C-BE32-E72D297353CC}">
                <c16:uniqueId val="{00000001-EF0B-4ACB-BE52-62666B899B33}"/>
              </c:ext>
            </c:extLst>
          </c:dPt>
          <c:dPt>
            <c:idx val="1"/>
            <c:bubble3D val="0"/>
            <c:spPr>
              <a:pattFill prst="dkUpDiag">
                <a:fgClr>
                  <a:srgbClr val="0070C0"/>
                </a:fgClr>
                <a:bgClr>
                  <a:schemeClr val="bg1"/>
                </a:bgClr>
              </a:pattFill>
              <a:ln w="19050">
                <a:solidFill>
                  <a:schemeClr val="lt1"/>
                </a:solidFill>
              </a:ln>
              <a:effectLst/>
            </c:spPr>
            <c:extLst>
              <c:ext xmlns:c16="http://schemas.microsoft.com/office/drawing/2014/chart" uri="{C3380CC4-5D6E-409C-BE32-E72D297353CC}">
                <c16:uniqueId val="{00000003-EF0B-4ACB-BE52-62666B899B33}"/>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EF0B-4ACB-BE52-62666B899B33}"/>
              </c:ext>
            </c:extLst>
          </c:dPt>
          <c:dLbls>
            <c:dLbl>
              <c:idx val="0"/>
              <c:layout>
                <c:manualLayout>
                  <c:x val="-2.6118503937007875E-2"/>
                  <c:y val="0.1644441832830597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25993333333333329"/>
                      <c:h val="0.37834188636868155"/>
                    </c:manualLayout>
                  </c15:layout>
                </c:ext>
                <c:ext xmlns:c16="http://schemas.microsoft.com/office/drawing/2014/chart" uri="{C3380CC4-5D6E-409C-BE32-E72D297353CC}">
                  <c16:uniqueId val="{00000001-EF0B-4ACB-BE52-62666B899B33}"/>
                </c:ext>
              </c:extLst>
            </c:dLbl>
            <c:dLbl>
              <c:idx val="1"/>
              <c:layout>
                <c:manualLayout>
                  <c:x val="1.4398950131233589E-2"/>
                  <c:y val="3.143129496872592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82501312335958"/>
                      <c:h val="0.29439469320066336"/>
                    </c:manualLayout>
                  </c15:layout>
                </c:ext>
                <c:ext xmlns:c16="http://schemas.microsoft.com/office/drawing/2014/chart" uri="{C3380CC4-5D6E-409C-BE32-E72D297353CC}">
                  <c16:uniqueId val="{00000003-EF0B-4ACB-BE52-62666B899B33}"/>
                </c:ext>
              </c:extLst>
            </c:dLbl>
            <c:dLbl>
              <c:idx val="2"/>
              <c:layout>
                <c:manualLayout>
                  <c:x val="5.0000131233595799E-2"/>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499999999999997"/>
                      <c:h val="0.15920398009950248"/>
                    </c:manualLayout>
                  </c15:layout>
                </c:ext>
                <c:ext xmlns:c16="http://schemas.microsoft.com/office/drawing/2014/chart" uri="{C3380CC4-5D6E-409C-BE32-E72D297353CC}">
                  <c16:uniqueId val="{00000005-EF0B-4ACB-BE52-62666B899B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'Lauksaimniecība(A)'!$B$8:$B$10</c:f>
              <c:strCache>
                <c:ptCount val="3"/>
                <c:pt idx="0">
                  <c:v>Lauksaimniecība (lopkopība un augkopība)</c:v>
                </c:pt>
                <c:pt idx="1">
                  <c:v>Mežsaimniecība un mežizstrāde</c:v>
                </c:pt>
                <c:pt idx="2">
                  <c:v>Zivsaimniecība</c:v>
                </c:pt>
              </c:strCache>
            </c:strRef>
          </c:cat>
          <c:val>
            <c:numRef>
              <c:f>'Lauksaimniecība(A)'!$N$8:$N$10</c:f>
              <c:numCache>
                <c:formatCode>0%</c:formatCode>
                <c:ptCount val="3"/>
                <c:pt idx="0">
                  <c:v>0.502</c:v>
                </c:pt>
                <c:pt idx="1">
                  <c:v>0.47</c:v>
                </c:pt>
                <c:pt idx="2">
                  <c:v>2.8000000000000001E-2</c:v>
                </c:pt>
              </c:numCache>
            </c:numRef>
          </c:val>
          <c:extLst>
            <c:ext xmlns:c16="http://schemas.microsoft.com/office/drawing/2014/chart" uri="{C3380CC4-5D6E-409C-BE32-E72D297353CC}">
              <c16:uniqueId val="{00000006-EF0B-4ACB-BE52-62666B899B3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Kopā!$B$3</c:f>
              <c:strCache>
                <c:ptCount val="1"/>
                <c:pt idx="0">
                  <c:v>Lauksaimniecības produkcija kopā</c:v>
                </c:pt>
              </c:strCache>
            </c:strRef>
          </c:tx>
          <c:spPr>
            <a:pattFill prst="dkUpDiag">
              <a:fgClr>
                <a:schemeClr val="tx1">
                  <a:lumMod val="50000"/>
                  <a:lumOff val="50000"/>
                </a:schemeClr>
              </a:fgClr>
              <a:bgClr>
                <a:schemeClr val="bg1"/>
              </a:bgClr>
            </a:pattFill>
            <a:ln>
              <a:solidFill>
                <a:schemeClr val="tx1">
                  <a:lumMod val="50000"/>
                  <a:lumOff val="50000"/>
                </a:schemeClr>
              </a:solidFill>
            </a:ln>
            <a:effectLst/>
          </c:spPr>
          <c:cat>
            <c:strRef>
              <c:f>Kopā!$A$5:$A$14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Kopā!$B$5:$B$14</c:f>
              <c:numCache>
                <c:formatCode>0.0</c:formatCode>
                <c:ptCount val="10"/>
                <c:pt idx="0">
                  <c:v>100</c:v>
                </c:pt>
                <c:pt idx="1">
                  <c:v>102.3</c:v>
                </c:pt>
                <c:pt idx="2">
                  <c:v>118.6</c:v>
                </c:pt>
                <c:pt idx="3">
                  <c:v>119.5</c:v>
                </c:pt>
                <c:pt idx="4">
                  <c:v>123.4</c:v>
                </c:pt>
                <c:pt idx="5">
                  <c:v>142.69999999999999</c:v>
                </c:pt>
                <c:pt idx="6">
                  <c:v>134.5</c:v>
                </c:pt>
                <c:pt idx="7">
                  <c:v>136.19999999999999</c:v>
                </c:pt>
                <c:pt idx="8">
                  <c:v>122.6</c:v>
                </c:pt>
                <c:pt idx="9" formatCode="General">
                  <c:v>147.4</c:v>
                </c:pt>
              </c:numCache>
            </c:numRef>
          </c:val>
          <c:extLst>
            <c:ext xmlns:c16="http://schemas.microsoft.com/office/drawing/2014/chart" uri="{C3380CC4-5D6E-409C-BE32-E72D297353CC}">
              <c16:uniqueId val="{00000000-5D2A-4FC4-8B6C-E02A3D77E942}"/>
            </c:ext>
          </c:extLst>
        </c:ser>
        <c:dLbls>
          <c:showLegendKey val="0"/>
          <c:showVal val="0"/>
          <c:showCatName val="0"/>
          <c:showSerName val="0"/>
          <c:showPercent val="0"/>
          <c:showBubbleSize val="0"/>
        </c:dLbls>
        <c:axId val="962158304"/>
        <c:axId val="962144160"/>
      </c:areaChart>
      <c:lineChart>
        <c:grouping val="standard"/>
        <c:varyColors val="0"/>
        <c:ser>
          <c:idx val="1"/>
          <c:order val="1"/>
          <c:tx>
            <c:strRef>
              <c:f>Kopā!$C$3</c:f>
              <c:strCache>
                <c:ptCount val="1"/>
                <c:pt idx="0">
                  <c:v>Augkopība</c:v>
                </c:pt>
              </c:strCache>
            </c:strRef>
          </c:tx>
          <c:spPr>
            <a:ln w="28575" cap="rnd">
              <a:solidFill>
                <a:srgbClr val="0070C0"/>
              </a:solidFill>
              <a:round/>
            </a:ln>
            <a:effectLst/>
          </c:spPr>
          <c:marker>
            <c:symbol val="diamond"/>
            <c:size val="8"/>
            <c:spPr>
              <a:solidFill>
                <a:srgbClr val="0070C0"/>
              </a:solidFill>
              <a:ln w="9525">
                <a:solidFill>
                  <a:srgbClr val="0070C0"/>
                </a:solidFill>
              </a:ln>
              <a:effectLst/>
            </c:spPr>
          </c:marker>
          <c:cat>
            <c:strRef>
              <c:f>Kopā!$A$5:$A$14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Kopā!$C$5:$C$14</c:f>
              <c:numCache>
                <c:formatCode>0.0</c:formatCode>
                <c:ptCount val="10"/>
                <c:pt idx="0">
                  <c:v>100</c:v>
                </c:pt>
                <c:pt idx="1">
                  <c:v>103.2</c:v>
                </c:pt>
                <c:pt idx="2">
                  <c:v>130.9</c:v>
                </c:pt>
                <c:pt idx="3">
                  <c:v>129.69999999999999</c:v>
                </c:pt>
                <c:pt idx="4">
                  <c:v>131.30000000000001</c:v>
                </c:pt>
                <c:pt idx="5">
                  <c:v>165.6</c:v>
                </c:pt>
                <c:pt idx="6">
                  <c:v>149.19999999999999</c:v>
                </c:pt>
                <c:pt idx="7">
                  <c:v>150.6</c:v>
                </c:pt>
                <c:pt idx="8">
                  <c:v>119</c:v>
                </c:pt>
                <c:pt idx="9" formatCode="General">
                  <c:v>169.8</c:v>
                </c:pt>
              </c:numCache>
            </c:numRef>
          </c:val>
          <c:smooth val="1"/>
          <c:extLst>
            <c:ext xmlns:c16="http://schemas.microsoft.com/office/drawing/2014/chart" uri="{C3380CC4-5D6E-409C-BE32-E72D297353CC}">
              <c16:uniqueId val="{00000001-5D2A-4FC4-8B6C-E02A3D77E942}"/>
            </c:ext>
          </c:extLst>
        </c:ser>
        <c:ser>
          <c:idx val="2"/>
          <c:order val="2"/>
          <c:tx>
            <c:strRef>
              <c:f>Kopā!$D$3</c:f>
              <c:strCache>
                <c:ptCount val="1"/>
                <c:pt idx="0">
                  <c:v>Lopkopība</c:v>
                </c:pt>
              </c:strCache>
            </c:strRef>
          </c:tx>
          <c:spPr>
            <a:ln w="28575" cap="rnd">
              <a:solidFill>
                <a:srgbClr val="00B050"/>
              </a:solidFill>
              <a:round/>
            </a:ln>
            <a:effectLst/>
          </c:spPr>
          <c:marker>
            <c:symbol val="diamond"/>
            <c:size val="9"/>
            <c:spPr>
              <a:solidFill>
                <a:srgbClr val="00B050"/>
              </a:solidFill>
              <a:ln w="9525">
                <a:noFill/>
              </a:ln>
              <a:effectLst/>
            </c:spPr>
          </c:marker>
          <c:cat>
            <c:strRef>
              <c:f>Kopā!$A$5:$A$14</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Kopā!$D$5:$D$14</c:f>
              <c:numCache>
                <c:formatCode>0.0</c:formatCode>
                <c:ptCount val="10"/>
                <c:pt idx="0">
                  <c:v>100</c:v>
                </c:pt>
                <c:pt idx="1">
                  <c:v>99.7</c:v>
                </c:pt>
                <c:pt idx="2">
                  <c:v>102.5</c:v>
                </c:pt>
                <c:pt idx="3">
                  <c:v>106.6</c:v>
                </c:pt>
                <c:pt idx="4">
                  <c:v>112.7</c:v>
                </c:pt>
                <c:pt idx="5">
                  <c:v>116.6</c:v>
                </c:pt>
                <c:pt idx="6">
                  <c:v>114.9</c:v>
                </c:pt>
                <c:pt idx="7">
                  <c:v>120.6</c:v>
                </c:pt>
                <c:pt idx="8">
                  <c:v>121.1</c:v>
                </c:pt>
                <c:pt idx="9" formatCode="General">
                  <c:v>119.4</c:v>
                </c:pt>
              </c:numCache>
            </c:numRef>
          </c:val>
          <c:smooth val="1"/>
          <c:extLst>
            <c:ext xmlns:c16="http://schemas.microsoft.com/office/drawing/2014/chart" uri="{C3380CC4-5D6E-409C-BE32-E72D297353CC}">
              <c16:uniqueId val="{00000002-5D2A-4FC4-8B6C-E02A3D77E942}"/>
            </c:ext>
          </c:extLst>
        </c:ser>
        <c:dLbls>
          <c:showLegendKey val="0"/>
          <c:showVal val="0"/>
          <c:showCatName val="0"/>
          <c:showSerName val="0"/>
          <c:showPercent val="0"/>
          <c:showBubbleSize val="0"/>
        </c:dLbls>
        <c:marker val="1"/>
        <c:smooth val="0"/>
        <c:axId val="962158304"/>
        <c:axId val="962144160"/>
      </c:lineChart>
      <c:catAx>
        <c:axId val="96215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62144160"/>
        <c:crosses val="autoZero"/>
        <c:auto val="1"/>
        <c:lblAlgn val="ctr"/>
        <c:lblOffset val="100"/>
        <c:noMultiLvlLbl val="0"/>
      </c:catAx>
      <c:valAx>
        <c:axId val="962144160"/>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6215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'Cenas eur'!$A$4</c:f>
              <c:strCache>
                <c:ptCount val="1"/>
                <c:pt idx="0">
                  <c:v>Graudi</c:v>
                </c:pt>
              </c:strCache>
            </c:strRef>
          </c:tx>
          <c:spPr>
            <a:ln w="28575" cap="rnd">
              <a:solidFill>
                <a:srgbClr val="0070C0"/>
              </a:solidFill>
              <a:round/>
            </a:ln>
            <a:effectLst/>
          </c:spPr>
          <c:marker>
            <c:symbol val="none"/>
          </c:marker>
          <c:cat>
            <c:strRef>
              <c:f>'Cenas eur'!$B$3:$P$3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'Cenas eur'!$B$4:$P$4</c:f>
              <c:numCache>
                <c:formatCode>0.00</c:formatCode>
                <c:ptCount val="15"/>
                <c:pt idx="0">
                  <c:v>85.09</c:v>
                </c:pt>
                <c:pt idx="1">
                  <c:v>104.34</c:v>
                </c:pt>
                <c:pt idx="2">
                  <c:v>176.19</c:v>
                </c:pt>
                <c:pt idx="3">
                  <c:v>142.37</c:v>
                </c:pt>
                <c:pt idx="4">
                  <c:v>104.23</c:v>
                </c:pt>
                <c:pt idx="5">
                  <c:v>150.91</c:v>
                </c:pt>
                <c:pt idx="6">
                  <c:v>191.66</c:v>
                </c:pt>
                <c:pt idx="7">
                  <c:v>207.2</c:v>
                </c:pt>
                <c:pt idx="8">
                  <c:v>177.3</c:v>
                </c:pt>
                <c:pt idx="9">
                  <c:v>148.13</c:v>
                </c:pt>
                <c:pt idx="10">
                  <c:v>144.34</c:v>
                </c:pt>
                <c:pt idx="11">
                  <c:v>132.31</c:v>
                </c:pt>
                <c:pt idx="12">
                  <c:v>145.16999999999999</c:v>
                </c:pt>
                <c:pt idx="13">
                  <c:v>168.34</c:v>
                </c:pt>
                <c:pt idx="14">
                  <c:v>158.24</c:v>
                </c:pt>
              </c:numCache>
            </c:numRef>
          </c:val>
          <c:smooth val="1"/>
          <c:extLst>
            <c:ext xmlns:c16="http://schemas.microsoft.com/office/drawing/2014/chart" uri="{C3380CC4-5D6E-409C-BE32-E72D297353CC}">
              <c16:uniqueId val="{00000000-9827-44F2-843A-1759F296183C}"/>
            </c:ext>
          </c:extLst>
        </c:ser>
        <c:ser>
          <c:idx val="2"/>
          <c:order val="2"/>
          <c:tx>
            <c:strRef>
              <c:f>'Cenas eur'!$A$44</c:f>
              <c:strCache>
                <c:ptCount val="1"/>
                <c:pt idx="0">
                  <c:v>Piens</c:v>
                </c:pt>
              </c:strCache>
            </c:strRef>
          </c:tx>
          <c:spPr>
            <a:ln w="28575" cap="rnd">
              <a:solidFill>
                <a:srgbClr val="00B050"/>
              </a:solidFill>
              <a:round/>
            </a:ln>
            <a:effectLst/>
          </c:spPr>
          <c:marker>
            <c:symbol val="none"/>
          </c:marker>
          <c:cat>
            <c:strRef>
              <c:f>'Cenas eur'!$B$3:$P$3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'Cenas eur'!$B$44:$P$44</c:f>
              <c:numCache>
                <c:formatCode>0.00</c:formatCode>
                <c:ptCount val="15"/>
                <c:pt idx="0">
                  <c:v>220.83</c:v>
                </c:pt>
                <c:pt idx="1">
                  <c:v>231.6</c:v>
                </c:pt>
                <c:pt idx="2">
                  <c:v>260.83</c:v>
                </c:pt>
                <c:pt idx="3">
                  <c:v>272.79000000000002</c:v>
                </c:pt>
                <c:pt idx="4">
                  <c:v>183.88</c:v>
                </c:pt>
                <c:pt idx="5">
                  <c:v>253.02</c:v>
                </c:pt>
                <c:pt idx="6">
                  <c:v>294.72000000000003</c:v>
                </c:pt>
                <c:pt idx="7">
                  <c:v>271.43</c:v>
                </c:pt>
                <c:pt idx="8">
                  <c:v>305.3</c:v>
                </c:pt>
                <c:pt idx="9">
                  <c:v>290.61</c:v>
                </c:pt>
                <c:pt idx="10">
                  <c:v>216.06</c:v>
                </c:pt>
                <c:pt idx="11">
                  <c:v>214.52</c:v>
                </c:pt>
                <c:pt idx="12">
                  <c:v>305.88</c:v>
                </c:pt>
                <c:pt idx="13">
                  <c:v>283.37</c:v>
                </c:pt>
                <c:pt idx="14">
                  <c:v>293.5</c:v>
                </c:pt>
              </c:numCache>
            </c:numRef>
          </c:val>
          <c:smooth val="1"/>
          <c:extLst>
            <c:ext xmlns:c16="http://schemas.microsoft.com/office/drawing/2014/chart" uri="{C3380CC4-5D6E-409C-BE32-E72D297353CC}">
              <c16:uniqueId val="{00000001-9827-44F2-843A-1759F296183C}"/>
            </c:ext>
          </c:extLst>
        </c:ser>
        <c:dLbls>
          <c:showLegendKey val="0"/>
          <c:showVal val="0"/>
          <c:showCatName val="0"/>
          <c:showSerName val="0"/>
          <c:showPercent val="0"/>
          <c:showBubbleSize val="0"/>
        </c:dLbls>
        <c:marker val="1"/>
        <c:smooth val="0"/>
        <c:axId val="956682448"/>
        <c:axId val="956676208"/>
      </c:lineChart>
      <c:lineChart>
        <c:grouping val="standard"/>
        <c:varyColors val="0"/>
        <c:ser>
          <c:idx val="1"/>
          <c:order val="1"/>
          <c:tx>
            <c:strRef>
              <c:f>'Cenas eur'!$A$39</c:f>
              <c:strCache>
                <c:ptCount val="1"/>
                <c:pt idx="0">
                  <c:v>Lauksaimniecības dzīvnieki (kautsvarā)</c:v>
                </c:pt>
              </c:strCache>
            </c:strRef>
          </c:tx>
          <c:spPr>
            <a:ln w="28575" cap="rnd">
              <a:solidFill>
                <a:schemeClr val="tx1">
                  <a:lumMod val="50000"/>
                  <a:lumOff val="50000"/>
                </a:schemeClr>
              </a:solidFill>
              <a:round/>
            </a:ln>
            <a:effectLst/>
          </c:spPr>
          <c:marker>
            <c:symbol val="none"/>
          </c:marker>
          <c:val>
            <c:numRef>
              <c:f>'Cenas eur'!$B$39:$P$39</c:f>
              <c:numCache>
                <c:formatCode>0.00</c:formatCode>
                <c:ptCount val="15"/>
                <c:pt idx="0">
                  <c:v>1320.03</c:v>
                </c:pt>
                <c:pt idx="1">
                  <c:v>1366.75</c:v>
                </c:pt>
                <c:pt idx="2">
                  <c:v>1338.24</c:v>
                </c:pt>
                <c:pt idx="3">
                  <c:v>1634.94</c:v>
                </c:pt>
                <c:pt idx="4">
                  <c:v>1501.1</c:v>
                </c:pt>
                <c:pt idx="5">
                  <c:v>1469.61</c:v>
                </c:pt>
                <c:pt idx="6">
                  <c:v>1654.96</c:v>
                </c:pt>
                <c:pt idx="7">
                  <c:v>1836.19</c:v>
                </c:pt>
                <c:pt idx="8">
                  <c:v>1772.47</c:v>
                </c:pt>
                <c:pt idx="9">
                  <c:v>1549.82</c:v>
                </c:pt>
                <c:pt idx="10">
                  <c:v>1455.68</c:v>
                </c:pt>
                <c:pt idx="11">
                  <c:v>1492.19</c:v>
                </c:pt>
                <c:pt idx="12">
                  <c:v>1529.48</c:v>
                </c:pt>
                <c:pt idx="13">
                  <c:v>1458.78</c:v>
                </c:pt>
                <c:pt idx="14">
                  <c:v>1577.46</c:v>
                </c:pt>
              </c:numCache>
            </c:numRef>
          </c:val>
          <c:smooth val="1"/>
          <c:extLst>
            <c:ext xmlns:c16="http://schemas.microsoft.com/office/drawing/2014/chart" uri="{C3380CC4-5D6E-409C-BE32-E72D297353CC}">
              <c16:uniqueId val="{00000002-9827-44F2-843A-1759F296183C}"/>
            </c:ext>
          </c:extLst>
        </c:ser>
        <c:dLbls>
          <c:showLegendKey val="0"/>
          <c:showVal val="0"/>
          <c:showCatName val="0"/>
          <c:showSerName val="0"/>
          <c:showPercent val="0"/>
          <c:showBubbleSize val="0"/>
        </c:dLbls>
        <c:marker val="1"/>
        <c:smooth val="0"/>
        <c:axId val="964553984"/>
        <c:axId val="964553152"/>
      </c:lineChart>
      <c:catAx>
        <c:axId val="95668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56676208"/>
        <c:crosses val="autoZero"/>
        <c:auto val="1"/>
        <c:lblAlgn val="ctr"/>
        <c:lblOffset val="100"/>
        <c:noMultiLvlLbl val="0"/>
      </c:catAx>
      <c:valAx>
        <c:axId val="95667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56682448"/>
        <c:crosses val="autoZero"/>
        <c:crossBetween val="between"/>
      </c:valAx>
      <c:valAx>
        <c:axId val="9645531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64553984"/>
        <c:crosses val="max"/>
        <c:crossBetween val="between"/>
      </c:valAx>
      <c:catAx>
        <c:axId val="964553984"/>
        <c:scaling>
          <c:orientation val="minMax"/>
        </c:scaling>
        <c:delete val="1"/>
        <c:axPos val="b"/>
        <c:majorTickMark val="out"/>
        <c:minorTickMark val="none"/>
        <c:tickLblPos val="nextTo"/>
        <c:crossAx val="964553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BySource!$L$1</c:f>
              <c:strCache>
                <c:ptCount val="1"/>
                <c:pt idx="0">
                  <c:v>Pamatinflācija</c:v>
                </c:pt>
              </c:strCache>
            </c:strRef>
          </c:tx>
          <c:spPr>
            <a:solidFill>
              <a:schemeClr val="accent1"/>
            </a:solidFill>
            <a:ln>
              <a:noFill/>
            </a:ln>
          </c:spPr>
          <c:invertIfNegative val="0"/>
          <c:cat>
            <c:multiLvlStrRef>
              <c:f>BySource!$A$134:$B$201</c:f>
              <c:multiLvlStrCache>
                <c:ptCount val="6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lvl>
                <c:lvl>
                  <c:pt idx="0">
                    <c:v>2015</c:v>
                  </c:pt>
                  <c:pt idx="12">
                    <c:v>2016</c:v>
                  </c:pt>
                  <c:pt idx="24">
                    <c:v>2017</c:v>
                  </c:pt>
                  <c:pt idx="36">
                    <c:v>2018</c:v>
                  </c:pt>
                  <c:pt idx="48">
                    <c:v>2019</c:v>
                  </c:pt>
                  <c:pt idx="60">
                    <c:v>2020</c:v>
                  </c:pt>
                </c:lvl>
              </c:multiLvlStrCache>
            </c:multiLvlStrRef>
          </c:cat>
          <c:val>
            <c:numRef>
              <c:f>BySource!$L$134:$L$201</c:f>
              <c:numCache>
                <c:formatCode>#\ ##0.0</c:formatCode>
                <c:ptCount val="68"/>
                <c:pt idx="0">
                  <c:v>0.65922703245154191</c:v>
                </c:pt>
                <c:pt idx="1">
                  <c:v>0.5114154077850942</c:v>
                </c:pt>
                <c:pt idx="2">
                  <c:v>0.67592314182225322</c:v>
                </c:pt>
                <c:pt idx="3">
                  <c:v>0.59126012490950208</c:v>
                </c:pt>
                <c:pt idx="4">
                  <c:v>0.78091483209483503</c:v>
                </c:pt>
                <c:pt idx="5">
                  <c:v>0.60989589013833978</c:v>
                </c:pt>
                <c:pt idx="6">
                  <c:v>0.36710090251858851</c:v>
                </c:pt>
                <c:pt idx="7">
                  <c:v>0.46217294810447795</c:v>
                </c:pt>
                <c:pt idx="8">
                  <c:v>0.30149994733582774</c:v>
                </c:pt>
                <c:pt idx="9">
                  <c:v>0.60453720383739551</c:v>
                </c:pt>
                <c:pt idx="10">
                  <c:v>0.49217522668943037</c:v>
                </c:pt>
                <c:pt idx="11">
                  <c:v>0.50113098641132869</c:v>
                </c:pt>
                <c:pt idx="12">
                  <c:v>0.22974621020138983</c:v>
                </c:pt>
                <c:pt idx="13">
                  <c:v>0.49760142564668969</c:v>
                </c:pt>
                <c:pt idx="14">
                  <c:v>0.64051454803596775</c:v>
                </c:pt>
                <c:pt idx="15">
                  <c:v>0.41964154916742591</c:v>
                </c:pt>
                <c:pt idx="16">
                  <c:v>0.70845128486779085</c:v>
                </c:pt>
                <c:pt idx="17" formatCode="0.0">
                  <c:v>0.61495181553140155</c:v>
                </c:pt>
                <c:pt idx="18">
                  <c:v>0.84749419313534113</c:v>
                </c:pt>
                <c:pt idx="19" formatCode="0.0">
                  <c:v>0.56602398032710011</c:v>
                </c:pt>
                <c:pt idx="20">
                  <c:v>0.70819976194658585</c:v>
                </c:pt>
                <c:pt idx="21">
                  <c:v>0.82366837655649527</c:v>
                </c:pt>
                <c:pt idx="22">
                  <c:v>0.88293763769473521</c:v>
                </c:pt>
                <c:pt idx="23">
                  <c:v>1.278105464679129</c:v>
                </c:pt>
                <c:pt idx="24">
                  <c:v>1.5407412072308968</c:v>
                </c:pt>
                <c:pt idx="25">
                  <c:v>1.4361403792811016</c:v>
                </c:pt>
                <c:pt idx="26" formatCode="0.000">
                  <c:v>1.6245594079338732</c:v>
                </c:pt>
                <c:pt idx="27" formatCode="0.000">
                  <c:v>1.9776098861213867</c:v>
                </c:pt>
                <c:pt idx="28" formatCode="0.000">
                  <c:v>1.485859007214319</c:v>
                </c:pt>
                <c:pt idx="29" formatCode="0.000">
                  <c:v>1.6924932865781954</c:v>
                </c:pt>
                <c:pt idx="30" formatCode="0.000">
                  <c:v>1.4319484971323546</c:v>
                </c:pt>
                <c:pt idx="31" formatCode="0.000">
                  <c:v>1.8718385852814594</c:v>
                </c:pt>
                <c:pt idx="32" formatCode="0.000">
                  <c:v>1.5973688667930093</c:v>
                </c:pt>
                <c:pt idx="33" formatCode="0.000">
                  <c:v>1.6755369345884346</c:v>
                </c:pt>
                <c:pt idx="34" formatCode="0.000">
                  <c:v>1.5503366667797651</c:v>
                </c:pt>
                <c:pt idx="35" formatCode="0.000">
                  <c:v>1.1611873855773489</c:v>
                </c:pt>
                <c:pt idx="36" formatCode="0.000">
                  <c:v>1.2238262620642182</c:v>
                </c:pt>
                <c:pt idx="37" formatCode="0.000">
                  <c:v>1.2907718295672268</c:v>
                </c:pt>
                <c:pt idx="38" formatCode="0.000">
                  <c:v>1.2670477776129232</c:v>
                </c:pt>
                <c:pt idx="39" formatCode="0.000">
                  <c:v>0.98527089573845839</c:v>
                </c:pt>
                <c:pt idx="40" formatCode="0.000">
                  <c:v>0.98585971991311006</c:v>
                </c:pt>
                <c:pt idx="41" formatCode="0.000">
                  <c:v>1.2062116608889122</c:v>
                </c:pt>
                <c:pt idx="42" formatCode="0.000">
                  <c:v>1.0126232734032783</c:v>
                </c:pt>
                <c:pt idx="43" formatCode="0.000">
                  <c:v>1.0503295896981033</c:v>
                </c:pt>
                <c:pt idx="44" formatCode="0.000">
                  <c:v>1.2072967825954954</c:v>
                </c:pt>
                <c:pt idx="45" formatCode="0.000">
                  <c:v>1.0957378705291934</c:v>
                </c:pt>
                <c:pt idx="46" formatCode="0.000">
                  <c:v>1.2784197433078166</c:v>
                </c:pt>
                <c:pt idx="47" formatCode="0.000">
                  <c:v>1.3327464203503485</c:v>
                </c:pt>
                <c:pt idx="48" formatCode="0.000">
                  <c:v>1.6455762541620371</c:v>
                </c:pt>
                <c:pt idx="49" formatCode="0.000">
                  <c:v>1.4890595181960273</c:v>
                </c:pt>
                <c:pt idx="50" formatCode="0.000">
                  <c:v>1.327383077069922</c:v>
                </c:pt>
                <c:pt idx="51" formatCode="0.000">
                  <c:v>1.7672288924447788</c:v>
                </c:pt>
                <c:pt idx="52" formatCode="0.000">
                  <c:v>1.6033368621956283</c:v>
                </c:pt>
                <c:pt idx="53" formatCode="0.000">
                  <c:v>1.6368725521326195</c:v>
                </c:pt>
                <c:pt idx="54" formatCode="0.000">
                  <c:v>1.893577807511664</c:v>
                </c:pt>
                <c:pt idx="55" formatCode="0.000">
                  <c:v>1.9571298157800154</c:v>
                </c:pt>
                <c:pt idx="56" formatCode="0.000">
                  <c:v>1.9836049273069449</c:v>
                </c:pt>
                <c:pt idx="57" formatCode="0.000">
                  <c:v>1.7411892825096993</c:v>
                </c:pt>
                <c:pt idx="58" formatCode="0.000">
                  <c:v>1.5779329186807882</c:v>
                </c:pt>
                <c:pt idx="59" formatCode="0.000">
                  <c:v>1.3033704068031084</c:v>
                </c:pt>
                <c:pt idx="60" formatCode="0.000">
                  <c:v>1.0107503088287251</c:v>
                </c:pt>
                <c:pt idx="61" formatCode="0.000">
                  <c:v>1.1137979076711841</c:v>
                </c:pt>
                <c:pt idx="62" formatCode="0.000">
                  <c:v>1.0563844377712499</c:v>
                </c:pt>
                <c:pt idx="63" formatCode="0.000">
                  <c:v>0.78071680565529267</c:v>
                </c:pt>
                <c:pt idx="64" formatCode="0.000">
                  <c:v>0.62973515690089332</c:v>
                </c:pt>
                <c:pt idx="65" formatCode="0.000">
                  <c:v>0.20707063678107751</c:v>
                </c:pt>
                <c:pt idx="66" formatCode="0.000">
                  <c:v>0.87722116997585464</c:v>
                </c:pt>
                <c:pt idx="67" formatCode="0.000">
                  <c:v>0.51443482582976485</c:v>
                </c:pt>
              </c:numCache>
            </c:numRef>
          </c:val>
          <c:extLst>
            <c:ext xmlns:c16="http://schemas.microsoft.com/office/drawing/2014/chart" uri="{C3380CC4-5D6E-409C-BE32-E72D297353CC}">
              <c16:uniqueId val="{00000000-C8EB-4C37-8F92-E085DEFD76BC}"/>
            </c:ext>
          </c:extLst>
        </c:ser>
        <c:ser>
          <c:idx val="2"/>
          <c:order val="1"/>
          <c:tx>
            <c:strRef>
              <c:f>BySource!$D$1</c:f>
              <c:strCache>
                <c:ptCount val="1"/>
                <c:pt idx="0">
                  <c:v>Nodokļi</c:v>
                </c:pt>
              </c:strCache>
            </c:strRef>
          </c:tx>
          <c:spPr>
            <a:solidFill>
              <a:schemeClr val="accent6"/>
            </a:solidFill>
            <a:ln>
              <a:noFill/>
            </a:ln>
          </c:spPr>
          <c:invertIfNegative val="0"/>
          <c:cat>
            <c:multiLvlStrRef>
              <c:f>BySource!$A$134:$B$201</c:f>
              <c:multiLvlStrCache>
                <c:ptCount val="6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lvl>
                <c:lvl>
                  <c:pt idx="0">
                    <c:v>2015</c:v>
                  </c:pt>
                  <c:pt idx="12">
                    <c:v>2016</c:v>
                  </c:pt>
                  <c:pt idx="24">
                    <c:v>2017</c:v>
                  </c:pt>
                  <c:pt idx="36">
                    <c:v>2018</c:v>
                  </c:pt>
                  <c:pt idx="48">
                    <c:v>2019</c:v>
                  </c:pt>
                  <c:pt idx="60">
                    <c:v>2020</c:v>
                  </c:pt>
                </c:lvl>
              </c:multiLvlStrCache>
            </c:multiLvlStrRef>
          </c:cat>
          <c:val>
            <c:numRef>
              <c:f>BySource!$D$134:$D$201</c:f>
              <c:numCache>
                <c:formatCode>0.0</c:formatCode>
                <c:ptCount val="68"/>
                <c:pt idx="0">
                  <c:v>3.975110435042728E-2</c:v>
                </c:pt>
                <c:pt idx="1">
                  <c:v>5.033931078827214E-2</c:v>
                </c:pt>
                <c:pt idx="2">
                  <c:v>7.0846318374551132E-2</c:v>
                </c:pt>
                <c:pt idx="3">
                  <c:v>7.0542368500414732E-2</c:v>
                </c:pt>
                <c:pt idx="4">
                  <c:v>6.1167376763404668E-2</c:v>
                </c:pt>
                <c:pt idx="5">
                  <c:v>8.0236226804220045E-2</c:v>
                </c:pt>
                <c:pt idx="6">
                  <c:v>0.10923488517972091</c:v>
                </c:pt>
                <c:pt idx="7">
                  <c:v>0.18064227301821667</c:v>
                </c:pt>
                <c:pt idx="8">
                  <c:v>0.18937283258491089</c:v>
                </c:pt>
                <c:pt idx="9">
                  <c:v>0.19008779667691877</c:v>
                </c:pt>
                <c:pt idx="10">
                  <c:v>0.18065237371484022</c:v>
                </c:pt>
                <c:pt idx="11">
                  <c:v>0.19234719652208021</c:v>
                </c:pt>
                <c:pt idx="12">
                  <c:v>0.30259155774963187</c:v>
                </c:pt>
                <c:pt idx="13">
                  <c:v>0.30131232542679465</c:v>
                </c:pt>
                <c:pt idx="14">
                  <c:v>0.3392153772210027</c:v>
                </c:pt>
                <c:pt idx="15">
                  <c:v>0.3472019756389777</c:v>
                </c:pt>
                <c:pt idx="16">
                  <c:v>0.34428781865147862</c:v>
                </c:pt>
                <c:pt idx="17">
                  <c:v>0.33499434167341136</c:v>
                </c:pt>
                <c:pt idx="18">
                  <c:v>0.66819587114790302</c:v>
                </c:pt>
                <c:pt idx="19">
                  <c:v>0.59149972755125901</c:v>
                </c:pt>
                <c:pt idx="20">
                  <c:v>0.57226503211953439</c:v>
                </c:pt>
                <c:pt idx="21">
                  <c:v>0.5716057465338098</c:v>
                </c:pt>
                <c:pt idx="22" formatCode="0.00">
                  <c:v>0.59203918491890217</c:v>
                </c:pt>
                <c:pt idx="23" formatCode="0.00">
                  <c:v>0.57268704576687313</c:v>
                </c:pt>
                <c:pt idx="24" formatCode="0.000">
                  <c:v>0.4208896258503847</c:v>
                </c:pt>
                <c:pt idx="25" formatCode="0.000">
                  <c:v>0.41957212712528946</c:v>
                </c:pt>
                <c:pt idx="26" formatCode="0.000">
                  <c:v>0.43402548124944484</c:v>
                </c:pt>
                <c:pt idx="27" formatCode="0.000">
                  <c:v>0.43183529366772611</c:v>
                </c:pt>
                <c:pt idx="28" formatCode="0.000">
                  <c:v>0.44051944544596378</c:v>
                </c:pt>
                <c:pt idx="29" formatCode="0.000">
                  <c:v>0.44915811935617445</c:v>
                </c:pt>
                <c:pt idx="30" formatCode="0.000">
                  <c:v>0.11301168717383625</c:v>
                </c:pt>
                <c:pt idx="31" formatCode="0.000">
                  <c:v>0.11988776552356306</c:v>
                </c:pt>
                <c:pt idx="32" formatCode="0.000">
                  <c:v>0.13109693782886733</c:v>
                </c:pt>
                <c:pt idx="33" formatCode="0.000">
                  <c:v>0.13204300441380656</c:v>
                </c:pt>
                <c:pt idx="34" formatCode="0.000">
                  <c:v>0.121573528374741</c:v>
                </c:pt>
                <c:pt idx="35" formatCode="0.000">
                  <c:v>0.13477238884960219</c:v>
                </c:pt>
                <c:pt idx="36" formatCode="0.000">
                  <c:v>0.13640064937607832</c:v>
                </c:pt>
                <c:pt idx="37" formatCode="0.000">
                  <c:v>0.11705618380664085</c:v>
                </c:pt>
                <c:pt idx="38" formatCode="0.000">
                  <c:v>0.41517073877550548</c:v>
                </c:pt>
                <c:pt idx="39" formatCode="0.000">
                  <c:v>0.39483662952688459</c:v>
                </c:pt>
                <c:pt idx="40" formatCode="0.000">
                  <c:v>0.38240236593225507</c:v>
                </c:pt>
                <c:pt idx="41" formatCode="0.000">
                  <c:v>0.37837334310564241</c:v>
                </c:pt>
                <c:pt idx="42" formatCode="0.000">
                  <c:v>0.49769156232781775</c:v>
                </c:pt>
                <c:pt idx="43" formatCode="0.000">
                  <c:v>0.52632916648460704</c:v>
                </c:pt>
                <c:pt idx="44" formatCode="0.000">
                  <c:v>0.50216708101762375</c:v>
                </c:pt>
                <c:pt idx="45" formatCode="0.000">
                  <c:v>0.4911630385366017</c:v>
                </c:pt>
                <c:pt idx="46" formatCode="0.000">
                  <c:v>0.49284154331015184</c:v>
                </c:pt>
                <c:pt idx="47" formatCode="0.000">
                  <c:v>0.48594111962383391</c:v>
                </c:pt>
                <c:pt idx="48" formatCode="0.000">
                  <c:v>0.5328868667311415</c:v>
                </c:pt>
                <c:pt idx="49" formatCode="0.000">
                  <c:v>0.54254461311924462</c:v>
                </c:pt>
                <c:pt idx="50" formatCode="0.000">
                  <c:v>0.36474076746926265</c:v>
                </c:pt>
                <c:pt idx="51" formatCode="0.000">
                  <c:v>0.37561348004606643</c:v>
                </c:pt>
                <c:pt idx="52" formatCode="0.000">
                  <c:v>0.39147306960274353</c:v>
                </c:pt>
                <c:pt idx="53" formatCode="0.000">
                  <c:v>0.38368775508643704</c:v>
                </c:pt>
                <c:pt idx="54" formatCode="0.000">
                  <c:v>0.29736520498462315</c:v>
                </c:pt>
                <c:pt idx="55" formatCode="0.000">
                  <c:v>6.4419453762365464E-2</c:v>
                </c:pt>
                <c:pt idx="56" formatCode="0.000">
                  <c:v>9.3893321481153258E-2</c:v>
                </c:pt>
                <c:pt idx="57" formatCode="0.000">
                  <c:v>9.5819446626044247E-2</c:v>
                </c:pt>
                <c:pt idx="58" formatCode="0.000">
                  <c:v>8.8823606723376081E-2</c:v>
                </c:pt>
                <c:pt idx="59" formatCode="0.000">
                  <c:v>0.1063827609780521</c:v>
                </c:pt>
                <c:pt idx="60" formatCode="0.000">
                  <c:v>0.30498869670396722</c:v>
                </c:pt>
                <c:pt idx="61" formatCode="0.000">
                  <c:v>0.31324070333822451</c:v>
                </c:pt>
                <c:pt idx="62" formatCode="0.000">
                  <c:v>0.23311568197434962</c:v>
                </c:pt>
                <c:pt idx="63" formatCode="0.000">
                  <c:v>0.21550151325480105</c:v>
                </c:pt>
                <c:pt idx="64" formatCode="0.000">
                  <c:v>0.20851117028598543</c:v>
                </c:pt>
                <c:pt idx="65" formatCode="0.000">
                  <c:v>0.20973803244189737</c:v>
                </c:pt>
                <c:pt idx="66" formatCode="0.000">
                  <c:v>0.11981826191622691</c:v>
                </c:pt>
                <c:pt idx="67" formatCode="0.000">
                  <c:v>0.31362677779549486</c:v>
                </c:pt>
              </c:numCache>
            </c:numRef>
          </c:val>
          <c:extLst>
            <c:ext xmlns:c16="http://schemas.microsoft.com/office/drawing/2014/chart" uri="{C3380CC4-5D6E-409C-BE32-E72D297353CC}">
              <c16:uniqueId val="{00000001-C8EB-4C37-8F92-E085DEFD76BC}"/>
            </c:ext>
          </c:extLst>
        </c:ser>
        <c:ser>
          <c:idx val="1"/>
          <c:order val="2"/>
          <c:tx>
            <c:strRef>
              <c:f>BySource!$N$1</c:f>
              <c:strCache>
                <c:ptCount val="1"/>
                <c:pt idx="0">
                  <c:v>Importētā inflācija</c:v>
                </c:pt>
              </c:strCache>
            </c:strRef>
          </c:tx>
          <c:spPr>
            <a:solidFill>
              <a:srgbClr val="C00000"/>
            </a:solidFill>
            <a:ln>
              <a:noFill/>
            </a:ln>
          </c:spPr>
          <c:invertIfNegative val="0"/>
          <c:cat>
            <c:multiLvlStrRef>
              <c:f>BySource!$A$134:$B$201</c:f>
              <c:multiLvlStrCache>
                <c:ptCount val="6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lvl>
                <c:lvl>
                  <c:pt idx="0">
                    <c:v>2015</c:v>
                  </c:pt>
                  <c:pt idx="12">
                    <c:v>2016</c:v>
                  </c:pt>
                  <c:pt idx="24">
                    <c:v>2017</c:v>
                  </c:pt>
                  <c:pt idx="36">
                    <c:v>2018</c:v>
                  </c:pt>
                  <c:pt idx="48">
                    <c:v>2019</c:v>
                  </c:pt>
                  <c:pt idx="60">
                    <c:v>2020</c:v>
                  </c:pt>
                </c:lvl>
              </c:multiLvlStrCache>
            </c:multiLvlStrRef>
          </c:cat>
          <c:val>
            <c:numRef>
              <c:f>BySource!$N$134:$N$201</c:f>
              <c:numCache>
                <c:formatCode>#\ ##0.0</c:formatCode>
                <c:ptCount val="68"/>
                <c:pt idx="0">
                  <c:v>-1.0989781368019691</c:v>
                </c:pt>
                <c:pt idx="1">
                  <c:v>-0.66175471857336632</c:v>
                </c:pt>
                <c:pt idx="2">
                  <c:v>-0.34676946019680432</c:v>
                </c:pt>
                <c:pt idx="3">
                  <c:v>-0.16180249340991684</c:v>
                </c:pt>
                <c:pt idx="4">
                  <c:v>0.35791779114176031</c:v>
                </c:pt>
                <c:pt idx="5">
                  <c:v>-9.0132116942559903E-2</c:v>
                </c:pt>
                <c:pt idx="6">
                  <c:v>-0.47633578769830942</c:v>
                </c:pt>
                <c:pt idx="7">
                  <c:v>-0.54281522112269465</c:v>
                </c:pt>
                <c:pt idx="8">
                  <c:v>-0.99087277992073863</c:v>
                </c:pt>
                <c:pt idx="9">
                  <c:v>-0.99462500051431446</c:v>
                </c:pt>
                <c:pt idx="10">
                  <c:v>-0.67282760040427059</c:v>
                </c:pt>
                <c:pt idx="11">
                  <c:v>-0.39347818293340886</c:v>
                </c:pt>
                <c:pt idx="12">
                  <c:v>-0.83233776795102166</c:v>
                </c:pt>
                <c:pt idx="13">
                  <c:v>-1.2989137510734843</c:v>
                </c:pt>
                <c:pt idx="14">
                  <c:v>-1.5797299252569703</c:v>
                </c:pt>
                <c:pt idx="15">
                  <c:v>-1.5668435248064037</c:v>
                </c:pt>
                <c:pt idx="16">
                  <c:v>-1.8527391035192695</c:v>
                </c:pt>
                <c:pt idx="17">
                  <c:v>-1.4499461572048129</c:v>
                </c:pt>
                <c:pt idx="18">
                  <c:v>-1.4156900642832442</c:v>
                </c:pt>
                <c:pt idx="19">
                  <c:v>-1.1575237078783591</c:v>
                </c:pt>
                <c:pt idx="20">
                  <c:v>-0.68046479406612026</c:v>
                </c:pt>
                <c:pt idx="21">
                  <c:v>-0.39527412309030507</c:v>
                </c:pt>
                <c:pt idx="22">
                  <c:v>-0.17497682261363734</c:v>
                </c:pt>
                <c:pt idx="23">
                  <c:v>0.34920748955399811</c:v>
                </c:pt>
                <c:pt idx="24">
                  <c:v>0.93836916691871841</c:v>
                </c:pt>
                <c:pt idx="25">
                  <c:v>1.4442874935936088</c:v>
                </c:pt>
                <c:pt idx="26" formatCode="0.000">
                  <c:v>1.3414151108166819</c:v>
                </c:pt>
                <c:pt idx="27" formatCode="0.000">
                  <c:v>0.99055482021088714</c:v>
                </c:pt>
                <c:pt idx="28" formatCode="0.000">
                  <c:v>0.87362154733971709</c:v>
                </c:pt>
                <c:pt idx="29" formatCode="0.000">
                  <c:v>0.85834859406563013</c:v>
                </c:pt>
                <c:pt idx="30" formatCode="0.000">
                  <c:v>1.0550398156938092</c:v>
                </c:pt>
                <c:pt idx="31" formatCode="0.000">
                  <c:v>1.1082736491949776</c:v>
                </c:pt>
                <c:pt idx="32" formatCode="0.000">
                  <c:v>1.1715341953781233</c:v>
                </c:pt>
                <c:pt idx="33" formatCode="0.000">
                  <c:v>0.99242006099775881</c:v>
                </c:pt>
                <c:pt idx="34" formatCode="0.000">
                  <c:v>1.0280898048454941</c:v>
                </c:pt>
                <c:pt idx="35" formatCode="0.000">
                  <c:v>0.90404022557304919</c:v>
                </c:pt>
                <c:pt idx="36" formatCode="0.000">
                  <c:v>0.6397730885597035</c:v>
                </c:pt>
                <c:pt idx="37" formatCode="0.000">
                  <c:v>0.3921719866261324</c:v>
                </c:pt>
                <c:pt idx="38" formatCode="0.000">
                  <c:v>0.5177814836115715</c:v>
                </c:pt>
                <c:pt idx="39" formatCode="0.000">
                  <c:v>0.61989247473465703</c:v>
                </c:pt>
                <c:pt idx="40" formatCode="0.000">
                  <c:v>0.93173791415463469</c:v>
                </c:pt>
                <c:pt idx="41" formatCode="0.000">
                  <c:v>1.2154149960054452</c:v>
                </c:pt>
                <c:pt idx="42" formatCode="0.000">
                  <c:v>1.089685164268904</c:v>
                </c:pt>
                <c:pt idx="43" formatCode="0.000">
                  <c:v>1.2233412438172895</c:v>
                </c:pt>
                <c:pt idx="44" formatCode="0.000">
                  <c:v>1.490536136386881</c:v>
                </c:pt>
                <c:pt idx="45" formatCode="0.000">
                  <c:v>1.6130990909342051</c:v>
                </c:pt>
                <c:pt idx="46" formatCode="0.000">
                  <c:v>1.2287387133820316</c:v>
                </c:pt>
                <c:pt idx="47" formatCode="0.000">
                  <c:v>0.78131246002581767</c:v>
                </c:pt>
                <c:pt idx="48" formatCode="0.000">
                  <c:v>0.82153687910682138</c:v>
                </c:pt>
                <c:pt idx="49" formatCode="0.000">
                  <c:v>0.86839586868472796</c:v>
                </c:pt>
                <c:pt idx="50" formatCode="0.000">
                  <c:v>1.1078761554608152</c:v>
                </c:pt>
                <c:pt idx="51" formatCode="0.000">
                  <c:v>1.2571576275091547</c:v>
                </c:pt>
                <c:pt idx="52" formatCode="0.000">
                  <c:v>1.305190068201628</c:v>
                </c:pt>
                <c:pt idx="53" formatCode="0.000">
                  <c:v>0.97943969278094345</c:v>
                </c:pt>
                <c:pt idx="54" formatCode="0.000">
                  <c:v>0.70905698750371271</c:v>
                </c:pt>
                <c:pt idx="55" formatCode="0.000">
                  <c:v>1.1784507304576193</c:v>
                </c:pt>
                <c:pt idx="56" formatCode="0.000">
                  <c:v>0.52250175121190179</c:v>
                </c:pt>
                <c:pt idx="57" formatCode="0.000">
                  <c:v>0.46299127086425634</c:v>
                </c:pt>
                <c:pt idx="58" formatCode="0.000">
                  <c:v>0.43324347459583573</c:v>
                </c:pt>
                <c:pt idx="59" formatCode="0.000">
                  <c:v>0.89024683221883927</c:v>
                </c:pt>
                <c:pt idx="60" formatCode="0.000">
                  <c:v>0.88426099446730777</c:v>
                </c:pt>
                <c:pt idx="61" formatCode="0.000">
                  <c:v>0.87296138899059128</c:v>
                </c:pt>
                <c:pt idx="62" formatCode="0.000">
                  <c:v>0.11049988025440044</c:v>
                </c:pt>
                <c:pt idx="63" formatCode="0.000">
                  <c:v>-0.99621831891009371</c:v>
                </c:pt>
                <c:pt idx="64" formatCode="0.000">
                  <c:v>-1.4382463271868786</c:v>
                </c:pt>
                <c:pt idx="65" formatCode="0.000">
                  <c:v>-1.1168086692229751</c:v>
                </c:pt>
                <c:pt idx="66" formatCode="0.000">
                  <c:v>-0.49703943189208161</c:v>
                </c:pt>
                <c:pt idx="67" formatCode="0.000">
                  <c:v>-1.0280616036252597</c:v>
                </c:pt>
              </c:numCache>
            </c:numRef>
          </c:val>
          <c:extLst>
            <c:ext xmlns:c16="http://schemas.microsoft.com/office/drawing/2014/chart" uri="{C3380CC4-5D6E-409C-BE32-E72D297353CC}">
              <c16:uniqueId val="{00000002-C8EB-4C37-8F92-E085DEFD76BC}"/>
            </c:ext>
          </c:extLst>
        </c:ser>
        <c:dLbls>
          <c:showLegendKey val="0"/>
          <c:showVal val="0"/>
          <c:showCatName val="0"/>
          <c:showSerName val="0"/>
          <c:showPercent val="0"/>
          <c:showBubbleSize val="0"/>
        </c:dLbls>
        <c:gapWidth val="22"/>
        <c:overlap val="100"/>
        <c:axId val="348883032"/>
        <c:axId val="348885384"/>
      </c:barChart>
      <c:lineChart>
        <c:grouping val="standard"/>
        <c:varyColors val="0"/>
        <c:ser>
          <c:idx val="3"/>
          <c:order val="3"/>
          <c:tx>
            <c:strRef>
              <c:f>BySource!$C$1</c:f>
              <c:strCache>
                <c:ptCount val="1"/>
                <c:pt idx="0">
                  <c:v>PCI</c:v>
                </c:pt>
              </c:strCache>
            </c:strRef>
          </c:tx>
          <c:spPr>
            <a:ln w="19050">
              <a:solidFill>
                <a:schemeClr val="tx1"/>
              </a:solidFill>
              <a:prstDash val="dash"/>
            </a:ln>
            <a:effectLst/>
          </c:spPr>
          <c:marker>
            <c:symbol val="none"/>
          </c:marker>
          <c:val>
            <c:numRef>
              <c:f>BySource!$C$134:$C$201</c:f>
              <c:numCache>
                <c:formatCode>0.0</c:formatCode>
                <c:ptCount val="68"/>
                <c:pt idx="0">
                  <c:v>-0.4</c:v>
                </c:pt>
                <c:pt idx="1">
                  <c:v>-0.1</c:v>
                </c:pt>
                <c:pt idx="2">
                  <c:v>0.4</c:v>
                </c:pt>
                <c:pt idx="3">
                  <c:v>0.5</c:v>
                </c:pt>
                <c:pt idx="4">
                  <c:v>1.2</c:v>
                </c:pt>
                <c:pt idx="5">
                  <c:v>0.6</c:v>
                </c:pt>
                <c:pt idx="6">
                  <c:v>0</c:v>
                </c:pt>
                <c:pt idx="7">
                  <c:v>0.1</c:v>
                </c:pt>
                <c:pt idx="8">
                  <c:v>-0.5</c:v>
                </c:pt>
                <c:pt idx="9">
                  <c:v>-0.2</c:v>
                </c:pt>
                <c:pt idx="10">
                  <c:v>0</c:v>
                </c:pt>
                <c:pt idx="11">
                  <c:v>0.3</c:v>
                </c:pt>
                <c:pt idx="12">
                  <c:v>-0.3</c:v>
                </c:pt>
                <c:pt idx="13">
                  <c:v>-0.5</c:v>
                </c:pt>
                <c:pt idx="14">
                  <c:v>-0.6</c:v>
                </c:pt>
                <c:pt idx="15">
                  <c:v>-0.8</c:v>
                </c:pt>
                <c:pt idx="16">
                  <c:v>-0.8</c:v>
                </c:pt>
                <c:pt idx="17">
                  <c:v>-0.5</c:v>
                </c:pt>
                <c:pt idx="18">
                  <c:v>0.1</c:v>
                </c:pt>
                <c:pt idx="19">
                  <c:v>0</c:v>
                </c:pt>
                <c:pt idx="20">
                  <c:v>0.6</c:v>
                </c:pt>
                <c:pt idx="21">
                  <c:v>1</c:v>
                </c:pt>
                <c:pt idx="22">
                  <c:v>1.3</c:v>
                </c:pt>
                <c:pt idx="23">
                  <c:v>2.2000000000000002</c:v>
                </c:pt>
                <c:pt idx="24" formatCode="0.000">
                  <c:v>2.9</c:v>
                </c:pt>
                <c:pt idx="25" formatCode="0.000">
                  <c:v>3.3</c:v>
                </c:pt>
                <c:pt idx="26" formatCode="0.000">
                  <c:v>3.4</c:v>
                </c:pt>
                <c:pt idx="27" formatCode="0.000">
                  <c:v>3.4</c:v>
                </c:pt>
                <c:pt idx="28" formatCode="0.000">
                  <c:v>2.8</c:v>
                </c:pt>
                <c:pt idx="29" formatCode="0.000">
                  <c:v>3</c:v>
                </c:pt>
                <c:pt idx="30" formatCode="0.000">
                  <c:v>2.6</c:v>
                </c:pt>
                <c:pt idx="31" formatCode="0.000">
                  <c:v>3.1</c:v>
                </c:pt>
                <c:pt idx="32" formatCode="0.000">
                  <c:v>2.9</c:v>
                </c:pt>
                <c:pt idx="33" formatCode="0.000">
                  <c:v>2.8</c:v>
                </c:pt>
                <c:pt idx="34" formatCode="0.000">
                  <c:v>2.7</c:v>
                </c:pt>
                <c:pt idx="35" formatCode="0.000">
                  <c:v>2.2000000000000002</c:v>
                </c:pt>
                <c:pt idx="36" formatCode="0.000">
                  <c:v>2</c:v>
                </c:pt>
                <c:pt idx="37" formatCode="0.000">
                  <c:v>1.8</c:v>
                </c:pt>
                <c:pt idx="38" formatCode="0.000">
                  <c:v>2.2000000000000002</c:v>
                </c:pt>
                <c:pt idx="39" formatCode="0.000">
                  <c:v>2</c:v>
                </c:pt>
                <c:pt idx="40" formatCode="0.000">
                  <c:v>2.2999999999999998</c:v>
                </c:pt>
                <c:pt idx="41" formatCode="0.000">
                  <c:v>2.8</c:v>
                </c:pt>
                <c:pt idx="42" formatCode="0.000">
                  <c:v>2.6</c:v>
                </c:pt>
                <c:pt idx="43" formatCode="0.000">
                  <c:v>2.8</c:v>
                </c:pt>
                <c:pt idx="44" formatCode="0.000">
                  <c:v>3.2</c:v>
                </c:pt>
                <c:pt idx="45" formatCode="0.000">
                  <c:v>3.2</c:v>
                </c:pt>
                <c:pt idx="46" formatCode="0.000">
                  <c:v>3</c:v>
                </c:pt>
                <c:pt idx="47" formatCode="0.000">
                  <c:v>2.6</c:v>
                </c:pt>
                <c:pt idx="48" formatCode="0.000">
                  <c:v>3</c:v>
                </c:pt>
                <c:pt idx="49" formatCode="0.000">
                  <c:v>2.9</c:v>
                </c:pt>
                <c:pt idx="50" formatCode="0.000">
                  <c:v>2.8</c:v>
                </c:pt>
                <c:pt idx="51" formatCode="0.000">
                  <c:v>3.4</c:v>
                </c:pt>
                <c:pt idx="52" formatCode="0.000">
                  <c:v>3.3</c:v>
                </c:pt>
                <c:pt idx="53" formatCode="0.000">
                  <c:v>3</c:v>
                </c:pt>
                <c:pt idx="54" formatCode="0.000">
                  <c:v>2.9</c:v>
                </c:pt>
                <c:pt idx="55" formatCode="0.000">
                  <c:v>3.2</c:v>
                </c:pt>
                <c:pt idx="56" formatCode="0.000">
                  <c:v>2.6</c:v>
                </c:pt>
                <c:pt idx="57" formatCode="0.000">
                  <c:v>2.2999999999999998</c:v>
                </c:pt>
                <c:pt idx="58" formatCode="0.000">
                  <c:v>2.1</c:v>
                </c:pt>
                <c:pt idx="59" formatCode="0.000">
                  <c:v>2.2999999999999998</c:v>
                </c:pt>
                <c:pt idx="60" formatCode="0.000">
                  <c:v>2.2000000000000002</c:v>
                </c:pt>
                <c:pt idx="61" formatCode="0.000">
                  <c:v>2.2999999999999998</c:v>
                </c:pt>
                <c:pt idx="62" formatCode="0.000">
                  <c:v>1.4</c:v>
                </c:pt>
                <c:pt idx="63" formatCode="0.000">
                  <c:v>0</c:v>
                </c:pt>
                <c:pt idx="64" formatCode="0.000">
                  <c:v>-0.6</c:v>
                </c:pt>
                <c:pt idx="65" formatCode="0.000">
                  <c:v>-0.7</c:v>
                </c:pt>
                <c:pt idx="66" formatCode="0.000">
                  <c:v>0.5</c:v>
                </c:pt>
                <c:pt idx="67" formatCode="0.000">
                  <c:v>-0.2</c:v>
                </c:pt>
              </c:numCache>
            </c:numRef>
          </c:val>
          <c:smooth val="0"/>
          <c:extLst>
            <c:ext xmlns:c16="http://schemas.microsoft.com/office/drawing/2014/chart" uri="{C3380CC4-5D6E-409C-BE32-E72D297353CC}">
              <c16:uniqueId val="{00000003-C8EB-4C37-8F92-E085DEFD76BC}"/>
            </c:ext>
          </c:extLst>
        </c:ser>
        <c:dLbls>
          <c:showLegendKey val="0"/>
          <c:showVal val="0"/>
          <c:showCatName val="0"/>
          <c:showSerName val="0"/>
          <c:showPercent val="0"/>
          <c:showBubbleSize val="0"/>
        </c:dLbls>
        <c:marker val="1"/>
        <c:smooth val="0"/>
        <c:axId val="348883032"/>
        <c:axId val="348885384"/>
      </c:lineChart>
      <c:catAx>
        <c:axId val="348883032"/>
        <c:scaling>
          <c:orientation val="minMax"/>
        </c:scaling>
        <c:delete val="0"/>
        <c:axPos val="b"/>
        <c:numFmt formatCode="General" sourceLinked="0"/>
        <c:majorTickMark val="none"/>
        <c:minorTickMark val="none"/>
        <c:tickLblPos val="low"/>
        <c:spPr>
          <a:ln>
            <a:solidFill>
              <a:schemeClr val="tx1"/>
            </a:solidFill>
          </a:ln>
        </c:spPr>
        <c:txPr>
          <a:bodyPr/>
          <a:lstStyle/>
          <a:p>
            <a:pPr>
              <a:defRPr sz="900" b="0">
                <a:latin typeface="Times New Roman" panose="02020603050405020304" pitchFamily="18" charset="0"/>
                <a:cs typeface="Times New Roman" panose="02020603050405020304" pitchFamily="18" charset="0"/>
              </a:defRPr>
            </a:pPr>
            <a:endParaRPr lang="lv-LV"/>
          </a:p>
        </c:txPr>
        <c:crossAx val="348885384"/>
        <c:crosses val="autoZero"/>
        <c:auto val="1"/>
        <c:lblAlgn val="ctr"/>
        <c:lblOffset val="100"/>
        <c:noMultiLvlLbl val="0"/>
      </c:catAx>
      <c:valAx>
        <c:axId val="348885384"/>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solidFill>
              <a:schemeClr val="tx1"/>
            </a:solidFill>
          </a:ln>
        </c:spPr>
        <c:txPr>
          <a:bodyPr/>
          <a:lstStyle/>
          <a:p>
            <a:pPr>
              <a:defRPr b="0">
                <a:latin typeface="Times New Roman" panose="02020603050405020304" pitchFamily="18" charset="0"/>
                <a:cs typeface="Times New Roman" panose="02020603050405020304" pitchFamily="18" charset="0"/>
              </a:defRPr>
            </a:pPr>
            <a:endParaRPr lang="lv-LV"/>
          </a:p>
        </c:txPr>
        <c:crossAx val="348883032"/>
        <c:crosses val="autoZero"/>
        <c:crossBetween val="between"/>
      </c:valAx>
      <c:spPr>
        <a:noFill/>
      </c:spPr>
    </c:plotArea>
    <c:legend>
      <c:legendPos val="b"/>
      <c:overlay val="0"/>
      <c:txPr>
        <a:bodyPr/>
        <a:lstStyle/>
        <a:p>
          <a:pPr>
            <a:defRPr b="0">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lumMod val="50000"/>
                <a:lumOff val="50000"/>
              </a:sysClr>
            </a:solidFill>
            <a:ln>
              <a:noFill/>
            </a:ln>
            <a:effectLst/>
          </c:spPr>
          <c:invertIfNegative val="0"/>
          <c:dPt>
            <c:idx val="10"/>
            <c:invertIfNegative val="0"/>
            <c:bubble3D val="0"/>
            <c:spPr>
              <a:solidFill>
                <a:srgbClr val="002060"/>
              </a:solidFill>
              <a:ln>
                <a:noFill/>
              </a:ln>
              <a:effectLst/>
            </c:spPr>
            <c:extLst>
              <c:ext xmlns:c16="http://schemas.microsoft.com/office/drawing/2014/chart" uri="{C3380CC4-5D6E-409C-BE32-E72D297353CC}">
                <c16:uniqueId val="{00000001-F9A6-4C62-9200-5FDA9F39539C}"/>
              </c:ext>
            </c:extLst>
          </c:dPt>
          <c:dPt>
            <c:idx val="14"/>
            <c:invertIfNegative val="0"/>
            <c:bubble3D val="0"/>
            <c:spPr>
              <a:solidFill>
                <a:srgbClr val="002060"/>
              </a:solidFill>
              <a:ln>
                <a:noFill/>
              </a:ln>
              <a:effectLst/>
            </c:spPr>
            <c:extLst>
              <c:ext xmlns:c16="http://schemas.microsoft.com/office/drawing/2014/chart" uri="{C3380CC4-5D6E-409C-BE32-E72D297353CC}">
                <c16:uniqueId val="{00000003-F9A6-4C62-9200-5FDA9F39539C}"/>
              </c:ext>
            </c:extLst>
          </c:dPt>
          <c:dPt>
            <c:idx val="17"/>
            <c:invertIfNegative val="0"/>
            <c:bubble3D val="0"/>
            <c:spPr>
              <a:solidFill>
                <a:srgbClr val="C00000"/>
              </a:solidFill>
              <a:ln>
                <a:noFill/>
              </a:ln>
              <a:effectLst/>
            </c:spPr>
            <c:extLst>
              <c:ext xmlns:c16="http://schemas.microsoft.com/office/drawing/2014/chart" uri="{C3380CC4-5D6E-409C-BE32-E72D297353CC}">
                <c16:uniqueId val="{00000005-F9A6-4C62-9200-5FDA9F39539C}"/>
              </c:ext>
            </c:extLst>
          </c:dPt>
          <c:cat>
            <c:strRef>
              <c:f>Data!$AA$11:$AA$39</c:f>
              <c:strCache>
                <c:ptCount val="29"/>
                <c:pt idx="0">
                  <c:v>PL</c:v>
                </c:pt>
                <c:pt idx="1">
                  <c:v>HU</c:v>
                </c:pt>
                <c:pt idx="2">
                  <c:v>CZ</c:v>
                </c:pt>
                <c:pt idx="3">
                  <c:v>RO</c:v>
                </c:pt>
                <c:pt idx="4">
                  <c:v>SK</c:v>
                </c:pt>
                <c:pt idx="5">
                  <c:v>BG</c:v>
                </c:pt>
                <c:pt idx="6">
                  <c:v>AT</c:v>
                </c:pt>
                <c:pt idx="7">
                  <c:v>LT</c:v>
                </c:pt>
                <c:pt idx="8">
                  <c:v>NL</c:v>
                </c:pt>
                <c:pt idx="9">
                  <c:v>MT</c:v>
                </c:pt>
                <c:pt idx="10">
                  <c:v>ES vidēji</c:v>
                </c:pt>
                <c:pt idx="11">
                  <c:v>DE</c:v>
                </c:pt>
                <c:pt idx="12">
                  <c:v>SE</c:v>
                </c:pt>
                <c:pt idx="13">
                  <c:v>FR</c:v>
                </c:pt>
                <c:pt idx="14">
                  <c:v>Eizozonā vidēji</c:v>
                </c:pt>
                <c:pt idx="15">
                  <c:v>FI</c:v>
                </c:pt>
                <c:pt idx="16">
                  <c:v>BE</c:v>
                </c:pt>
                <c:pt idx="17">
                  <c:v>LV</c:v>
                </c:pt>
                <c:pt idx="18">
                  <c:v>DK</c:v>
                </c:pt>
                <c:pt idx="19">
                  <c:v>LU</c:v>
                </c:pt>
                <c:pt idx="20">
                  <c:v>HR</c:v>
                </c:pt>
                <c:pt idx="21">
                  <c:v>PT</c:v>
                </c:pt>
                <c:pt idx="22">
                  <c:v>IT</c:v>
                </c:pt>
                <c:pt idx="23">
                  <c:v>SI</c:v>
                </c:pt>
                <c:pt idx="24">
                  <c:v>IE</c:v>
                </c:pt>
                <c:pt idx="25">
                  <c:v>ES</c:v>
                </c:pt>
                <c:pt idx="26">
                  <c:v>EE</c:v>
                </c:pt>
                <c:pt idx="27">
                  <c:v>EL</c:v>
                </c:pt>
                <c:pt idx="28">
                  <c:v>CY</c:v>
                </c:pt>
              </c:strCache>
            </c:strRef>
          </c:cat>
          <c:val>
            <c:numRef>
              <c:f>Data!$AB$11:$AB$39</c:f>
              <c:numCache>
                <c:formatCode>0.00</c:formatCode>
                <c:ptCount val="29"/>
                <c:pt idx="0">
                  <c:v>3.6518199233716331</c:v>
                </c:pt>
                <c:pt idx="1">
                  <c:v>3.560936424145051</c:v>
                </c:pt>
                <c:pt idx="2">
                  <c:v>3.4879665155214643</c:v>
                </c:pt>
                <c:pt idx="3">
                  <c:v>2.5712364656511366</c:v>
                </c:pt>
                <c:pt idx="4">
                  <c:v>2.2472969945645196</c:v>
                </c:pt>
                <c:pt idx="5">
                  <c:v>1.6402836473031892</c:v>
                </c:pt>
                <c:pt idx="6">
                  <c:v>1.53629481837918</c:v>
                </c:pt>
                <c:pt idx="7">
                  <c:v>1.4265253509023386</c:v>
                </c:pt>
                <c:pt idx="8">
                  <c:v>1.2047764588812371</c:v>
                </c:pt>
                <c:pt idx="9">
                  <c:v>0.99528424844190344</c:v>
                </c:pt>
                <c:pt idx="10">
                  <c:v>0.98561407680418067</c:v>
                </c:pt>
                <c:pt idx="11">
                  <c:v>0.83184789067142006</c:v>
                </c:pt>
                <c:pt idx="12">
                  <c:v>0.76142429753037166</c:v>
                </c:pt>
                <c:pt idx="13">
                  <c:v>0.75313607772459157</c:v>
                </c:pt>
                <c:pt idx="14">
                  <c:v>0.52251476672166886</c:v>
                </c:pt>
                <c:pt idx="15">
                  <c:v>0.46667956282040424</c:v>
                </c:pt>
                <c:pt idx="16">
                  <c:v>0.45640358619406274</c:v>
                </c:pt>
                <c:pt idx="17">
                  <c:v>0.40243072771929123</c:v>
                </c:pt>
                <c:pt idx="18">
                  <c:v>0.30484087306426044</c:v>
                </c:pt>
                <c:pt idx="19">
                  <c:v>0.22844021494686267</c:v>
                </c:pt>
                <c:pt idx="20">
                  <c:v>0.13373372399789782</c:v>
                </c:pt>
                <c:pt idx="21">
                  <c:v>7.7271355267114095E-2</c:v>
                </c:pt>
                <c:pt idx="22">
                  <c:v>4.8596768314904303E-2</c:v>
                </c:pt>
                <c:pt idx="23">
                  <c:v>3.5779882164915976E-2</c:v>
                </c:pt>
                <c:pt idx="24">
                  <c:v>-0.11075559931085126</c:v>
                </c:pt>
                <c:pt idx="25">
                  <c:v>-0.14182180930976809</c:v>
                </c:pt>
                <c:pt idx="26">
                  <c:v>-0.3063795020765902</c:v>
                </c:pt>
                <c:pt idx="27">
                  <c:v>-0.77912864796105641</c:v>
                </c:pt>
                <c:pt idx="28">
                  <c:v>-1.0164947685892014</c:v>
                </c:pt>
              </c:numCache>
            </c:numRef>
          </c:val>
          <c:extLst>
            <c:ext xmlns:c16="http://schemas.microsoft.com/office/drawing/2014/chart" uri="{C3380CC4-5D6E-409C-BE32-E72D297353CC}">
              <c16:uniqueId val="{00000006-F9A6-4C62-9200-5FDA9F39539C}"/>
            </c:ext>
          </c:extLst>
        </c:ser>
        <c:dLbls>
          <c:showLegendKey val="0"/>
          <c:showVal val="0"/>
          <c:showCatName val="0"/>
          <c:showSerName val="0"/>
          <c:showPercent val="0"/>
          <c:showBubbleSize val="0"/>
        </c:dLbls>
        <c:gapWidth val="50"/>
        <c:overlap val="-18"/>
        <c:axId val="575320975"/>
        <c:axId val="575321391"/>
      </c:barChart>
      <c:catAx>
        <c:axId val="575320975"/>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75321391"/>
        <c:crosses val="autoZero"/>
        <c:auto val="0"/>
        <c:lblAlgn val="ctr"/>
        <c:lblOffset val="100"/>
        <c:noMultiLvlLbl val="0"/>
      </c:catAx>
      <c:valAx>
        <c:axId val="5753213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75320975"/>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'IKP nozares &amp; izlietojums (2)'!$BE$22</c:f>
              <c:strCache>
                <c:ptCount val="1"/>
                <c:pt idx="0">
                  <c:v>2020 1.pusg.</c:v>
                </c:pt>
              </c:strCache>
            </c:strRef>
          </c:tx>
          <c:spPr>
            <a:pattFill prst="dkUpDiag">
              <a:fgClr>
                <a:srgbClr val="00B050"/>
              </a:fgClr>
              <a:bgClr>
                <a:schemeClr val="bg1"/>
              </a:bgClr>
            </a:pattFill>
            <a:ln>
              <a:solidFill>
                <a:srgbClr val="00B050"/>
              </a:solidFill>
            </a:ln>
            <a:effectLst/>
          </c:spPr>
          <c:invertIfNegative val="0"/>
          <c:dPt>
            <c:idx val="3"/>
            <c:invertIfNegative val="0"/>
            <c:bubble3D val="0"/>
            <c:spPr>
              <a:solidFill>
                <a:srgbClr val="00B050"/>
              </a:solidFill>
              <a:ln>
                <a:solidFill>
                  <a:srgbClr val="00B050"/>
                </a:solidFill>
              </a:ln>
              <a:effectLst/>
            </c:spPr>
            <c:extLst>
              <c:ext xmlns:c16="http://schemas.microsoft.com/office/drawing/2014/chart" uri="{C3380CC4-5D6E-409C-BE32-E72D297353CC}">
                <c16:uniqueId val="{00000001-DD27-4A4B-AD85-0F38E6535861}"/>
              </c:ext>
            </c:extLst>
          </c:dPt>
          <c:dLbls>
            <c:dLbl>
              <c:idx val="4"/>
              <c:layout>
                <c:manualLayout>
                  <c:x val="-1.626016260162591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D27-4A4B-AD85-0F38E653586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'IKP nozares &amp; izlietojums (2)'!$AM$47:$AM$52</c:f>
              <c:numCache>
                <c:formatCode>0.0</c:formatCode>
                <c:ptCount val="6"/>
                <c:pt idx="0">
                  <c:v>-5.3443990637944472</c:v>
                </c:pt>
                <c:pt idx="1">
                  <c:v>-6.3450126565201543</c:v>
                </c:pt>
                <c:pt idx="2">
                  <c:v>-0.64573711104720655</c:v>
                </c:pt>
                <c:pt idx="3">
                  <c:v>2.3839962151267047</c:v>
                </c:pt>
                <c:pt idx="4">
                  <c:v>-12.212610596810725</c:v>
                </c:pt>
                <c:pt idx="5">
                  <c:v>-5.1923683549223725</c:v>
                </c:pt>
              </c:numCache>
            </c:numRef>
          </c:val>
          <c:extLst>
            <c:ext xmlns:c16="http://schemas.microsoft.com/office/drawing/2014/chart" uri="{C3380CC4-5D6E-409C-BE32-E72D297353CC}">
              <c16:uniqueId val="{00000003-DD27-4A4B-AD85-0F38E6535861}"/>
            </c:ext>
          </c:extLst>
        </c:ser>
        <c:ser>
          <c:idx val="0"/>
          <c:order val="1"/>
          <c:tx>
            <c:strRef>
              <c:f>'IKP nozares &amp; izlietojums (2)'!$BE$23</c:f>
              <c:strCache>
                <c:ptCount val="1"/>
                <c:pt idx="0">
                  <c:v>2019</c:v>
                </c:pt>
              </c:strCache>
            </c:strRef>
          </c:tx>
          <c:spPr>
            <a:solidFill>
              <a:schemeClr val="bg1">
                <a:lumMod val="65000"/>
              </a:schemeClr>
            </a:solidFill>
            <a:ln>
              <a:noFill/>
            </a:ln>
            <a:effectLst/>
          </c:spPr>
          <c:invertIfNegative val="0"/>
          <c:dPt>
            <c:idx val="0"/>
            <c:invertIfNegative val="0"/>
            <c:bubble3D val="0"/>
            <c:extLst>
              <c:ext xmlns:c16="http://schemas.microsoft.com/office/drawing/2014/chart" uri="{C3380CC4-5D6E-409C-BE32-E72D297353CC}">
                <c16:uniqueId val="{00000004-DD27-4A4B-AD85-0F38E6535861}"/>
              </c:ext>
            </c:extLst>
          </c:dPt>
          <c:dPt>
            <c:idx val="1"/>
            <c:invertIfNegative val="0"/>
            <c:bubble3D val="0"/>
            <c:extLst>
              <c:ext xmlns:c16="http://schemas.microsoft.com/office/drawing/2014/chart" uri="{C3380CC4-5D6E-409C-BE32-E72D297353CC}">
                <c16:uniqueId val="{00000005-DD27-4A4B-AD85-0F38E6535861}"/>
              </c:ext>
            </c:extLst>
          </c:dPt>
          <c:dPt>
            <c:idx val="2"/>
            <c:invertIfNegative val="0"/>
            <c:bubble3D val="0"/>
            <c:extLst>
              <c:ext xmlns:c16="http://schemas.microsoft.com/office/drawing/2014/chart" uri="{C3380CC4-5D6E-409C-BE32-E72D297353CC}">
                <c16:uniqueId val="{00000006-DD27-4A4B-AD85-0F38E6535861}"/>
              </c:ext>
            </c:extLst>
          </c:dPt>
          <c:dLbls>
            <c:dLbl>
              <c:idx val="1"/>
              <c:layout>
                <c:manualLayout>
                  <c:x val="-7.3011080494811515E-3"/>
                  <c:y val="-4.066924281235254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D27-4A4B-AD85-0F38E6535861}"/>
                </c:ext>
              </c:extLst>
            </c:dLbl>
            <c:dLbl>
              <c:idx val="2"/>
              <c:layout>
                <c:manualLayout>
                  <c:x val="5.5949232442791712E-4"/>
                  <c:y val="-8.13385116717561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D27-4A4B-AD85-0F38E6535861}"/>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'IKP nozares &amp; izlietojums (2)'!$A$47:$A$52</c:f>
              <c:strCache>
                <c:ptCount val="6"/>
                <c:pt idx="0">
                  <c:v>Eksports</c:v>
                </c:pt>
                <c:pt idx="1">
                  <c:v>Imports</c:v>
                </c:pt>
                <c:pt idx="2">
                  <c:v>Investīcijas</c:v>
                </c:pt>
                <c:pt idx="3">
                  <c:v>Sabiedriskais patēriņš</c:v>
                </c:pt>
                <c:pt idx="4">
                  <c:v>Privātais patēriņš</c:v>
                </c:pt>
                <c:pt idx="5">
                  <c:v>IKP</c:v>
                </c:pt>
              </c:strCache>
            </c:strRef>
          </c:cat>
          <c:val>
            <c:numRef>
              <c:f>'IKP nozares &amp; izlietojums (2)'!$AJ$47:$AJ$52</c:f>
              <c:numCache>
                <c:formatCode>0.0</c:formatCode>
                <c:ptCount val="6"/>
                <c:pt idx="0">
                  <c:v>2.112147933622821</c:v>
                </c:pt>
                <c:pt idx="1">
                  <c:v>2.956779007807353</c:v>
                </c:pt>
                <c:pt idx="2">
                  <c:v>2.0833920474695899</c:v>
                </c:pt>
                <c:pt idx="3">
                  <c:v>2.6328526159003385</c:v>
                </c:pt>
                <c:pt idx="4">
                  <c:v>2.1808227858821416</c:v>
                </c:pt>
                <c:pt idx="5">
                  <c:v>2.0540815076232066</c:v>
                </c:pt>
              </c:numCache>
            </c:numRef>
          </c:val>
          <c:extLst>
            <c:ext xmlns:c16="http://schemas.microsoft.com/office/drawing/2014/chart" uri="{C3380CC4-5D6E-409C-BE32-E72D297353CC}">
              <c16:uniqueId val="{00000007-DD27-4A4B-AD85-0F38E6535861}"/>
            </c:ext>
          </c:extLst>
        </c:ser>
        <c:dLbls>
          <c:showLegendKey val="0"/>
          <c:showVal val="0"/>
          <c:showCatName val="0"/>
          <c:showSerName val="0"/>
          <c:showPercent val="0"/>
          <c:showBubbleSize val="0"/>
        </c:dLbls>
        <c:gapWidth val="50"/>
        <c:overlap val="-10"/>
        <c:axId val="212682872"/>
        <c:axId val="212683264"/>
      </c:barChart>
      <c:catAx>
        <c:axId val="212682872"/>
        <c:scaling>
          <c:orientation val="minMax"/>
        </c:scaling>
        <c:delete val="0"/>
        <c:axPos val="l"/>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2683264"/>
        <c:crosses val="autoZero"/>
        <c:auto val="1"/>
        <c:lblAlgn val="ctr"/>
        <c:lblOffset val="100"/>
        <c:noMultiLvlLbl val="0"/>
      </c:catAx>
      <c:valAx>
        <c:axId val="212683264"/>
        <c:scaling>
          <c:orientation val="minMax"/>
          <c:min val="-1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2682872"/>
        <c:crosses val="autoZero"/>
        <c:crossBetween val="between"/>
        <c:majorUnit val="5"/>
      </c:valAx>
      <c:spPr>
        <a:noFill/>
        <a:ln>
          <a:noFill/>
        </a:ln>
        <a:effectLst/>
      </c:spPr>
    </c:plotArea>
    <c:legend>
      <c:legendPos val="b"/>
      <c:layout>
        <c:manualLayout>
          <c:xMode val="edge"/>
          <c:yMode val="edge"/>
          <c:x val="0.392788215787439"/>
          <c:y val="0.90752711893076532"/>
          <c:w val="0.45495786226905899"/>
          <c:h val="7.29079979085602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b="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40211123244631E-2"/>
          <c:y val="2.8368794326241134E-2"/>
          <c:w val="0.91689579860911552"/>
          <c:h val="0.7104410884809611"/>
        </c:manualLayout>
      </c:layout>
      <c:barChart>
        <c:barDir val="col"/>
        <c:grouping val="clustered"/>
        <c:varyColors val="0"/>
        <c:ser>
          <c:idx val="5"/>
          <c:order val="5"/>
          <c:tx>
            <c:strRef>
              <c:f>Sheet2!$A$10</c:f>
              <c:strCache>
                <c:ptCount val="1"/>
                <c:pt idx="0">
                  <c:v>Latvija kopā</c:v>
                </c:pt>
              </c:strCache>
            </c:strRef>
          </c:tx>
          <c:spPr>
            <a:solidFill>
              <a:srgbClr val="FF9F9F"/>
            </a:solidFill>
            <a:ln>
              <a:noFill/>
            </a:ln>
            <a:effectLst/>
          </c:spPr>
          <c:invertIfNegative val="0"/>
          <c:cat>
            <c:strRef>
              <c:f>Sheet2!$B$4:$FI$4</c:f>
              <c:strCache>
                <c:ptCount val="164"/>
                <c:pt idx="0">
                  <c:v>2007`I</c:v>
                </c:pt>
                <c:pt idx="1">
                  <c:v>II</c:v>
                </c:pt>
                <c:pt idx="2">
                  <c:v>III</c:v>
                </c:pt>
                <c:pt idx="3">
                  <c:v>IV</c:v>
                </c:pt>
                <c:pt idx="4">
                  <c:v>V</c:v>
                </c:pt>
                <c:pt idx="5">
                  <c:v>VI</c:v>
                </c:pt>
                <c:pt idx="6">
                  <c:v>VII</c:v>
                </c:pt>
                <c:pt idx="7">
                  <c:v>VIII</c:v>
                </c:pt>
                <c:pt idx="8">
                  <c:v>IX</c:v>
                </c:pt>
                <c:pt idx="9">
                  <c:v>X</c:v>
                </c:pt>
                <c:pt idx="10">
                  <c:v>XI</c:v>
                </c:pt>
                <c:pt idx="11">
                  <c:v>XII</c:v>
                </c:pt>
                <c:pt idx="12">
                  <c:v>2008`I</c:v>
                </c:pt>
                <c:pt idx="13">
                  <c:v>II</c:v>
                </c:pt>
                <c:pt idx="14">
                  <c:v>III</c:v>
                </c:pt>
                <c:pt idx="15">
                  <c:v>IV</c:v>
                </c:pt>
                <c:pt idx="16">
                  <c:v>V</c:v>
                </c:pt>
                <c:pt idx="17">
                  <c:v>VI</c:v>
                </c:pt>
                <c:pt idx="18">
                  <c:v>VII</c:v>
                </c:pt>
                <c:pt idx="19">
                  <c:v>VIII</c:v>
                </c:pt>
                <c:pt idx="20">
                  <c:v>IX</c:v>
                </c:pt>
                <c:pt idx="21">
                  <c:v>X</c:v>
                </c:pt>
                <c:pt idx="22">
                  <c:v>XI</c:v>
                </c:pt>
                <c:pt idx="23">
                  <c:v>XII</c:v>
                </c:pt>
                <c:pt idx="24">
                  <c:v>2009`I</c:v>
                </c:pt>
                <c:pt idx="25">
                  <c:v>II</c:v>
                </c:pt>
                <c:pt idx="26">
                  <c:v>III</c:v>
                </c:pt>
                <c:pt idx="27">
                  <c:v>IV</c:v>
                </c:pt>
                <c:pt idx="28">
                  <c:v>V</c:v>
                </c:pt>
                <c:pt idx="29">
                  <c:v>VI</c:v>
                </c:pt>
                <c:pt idx="30">
                  <c:v>VII</c:v>
                </c:pt>
                <c:pt idx="31">
                  <c:v>VIII</c:v>
                </c:pt>
                <c:pt idx="32">
                  <c:v>IX</c:v>
                </c:pt>
                <c:pt idx="33">
                  <c:v>X</c:v>
                </c:pt>
                <c:pt idx="34">
                  <c:v>XI</c:v>
                </c:pt>
                <c:pt idx="35">
                  <c:v>XII</c:v>
                </c:pt>
                <c:pt idx="36">
                  <c:v>2010`I</c:v>
                </c:pt>
                <c:pt idx="37">
                  <c:v>II</c:v>
                </c:pt>
                <c:pt idx="38">
                  <c:v>III</c:v>
                </c:pt>
                <c:pt idx="39">
                  <c:v>IV</c:v>
                </c:pt>
                <c:pt idx="40">
                  <c:v>V</c:v>
                </c:pt>
                <c:pt idx="41">
                  <c:v>VI</c:v>
                </c:pt>
                <c:pt idx="42">
                  <c:v>VII</c:v>
                </c:pt>
                <c:pt idx="43">
                  <c:v>VIII</c:v>
                </c:pt>
                <c:pt idx="44">
                  <c:v>IX</c:v>
                </c:pt>
                <c:pt idx="45">
                  <c:v>X</c:v>
                </c:pt>
                <c:pt idx="46">
                  <c:v>XI</c:v>
                </c:pt>
                <c:pt idx="47">
                  <c:v>XII</c:v>
                </c:pt>
                <c:pt idx="48">
                  <c:v>2011`I</c:v>
                </c:pt>
                <c:pt idx="49">
                  <c:v>II</c:v>
                </c:pt>
                <c:pt idx="50">
                  <c:v>III</c:v>
                </c:pt>
                <c:pt idx="51">
                  <c:v>IV</c:v>
                </c:pt>
                <c:pt idx="52">
                  <c:v>V</c:v>
                </c:pt>
                <c:pt idx="53">
                  <c:v>VI</c:v>
                </c:pt>
                <c:pt idx="54">
                  <c:v>VII</c:v>
                </c:pt>
                <c:pt idx="55">
                  <c:v>VIII</c:v>
                </c:pt>
                <c:pt idx="56">
                  <c:v>IX</c:v>
                </c:pt>
                <c:pt idx="57">
                  <c:v>X</c:v>
                </c:pt>
                <c:pt idx="58">
                  <c:v>XI</c:v>
                </c:pt>
                <c:pt idx="59">
                  <c:v>XII</c:v>
                </c:pt>
                <c:pt idx="60">
                  <c:v>2012`I</c:v>
                </c:pt>
                <c:pt idx="61">
                  <c:v>II</c:v>
                </c:pt>
                <c:pt idx="62">
                  <c:v>III</c:v>
                </c:pt>
                <c:pt idx="63">
                  <c:v>IV</c:v>
                </c:pt>
                <c:pt idx="64">
                  <c:v>V</c:v>
                </c:pt>
                <c:pt idx="65">
                  <c:v>VI</c:v>
                </c:pt>
                <c:pt idx="66">
                  <c:v>VII</c:v>
                </c:pt>
                <c:pt idx="67">
                  <c:v>VIII</c:v>
                </c:pt>
                <c:pt idx="68">
                  <c:v>IX</c:v>
                </c:pt>
                <c:pt idx="69">
                  <c:v>X</c:v>
                </c:pt>
                <c:pt idx="70">
                  <c:v>XI</c:v>
                </c:pt>
                <c:pt idx="71">
                  <c:v>XII</c:v>
                </c:pt>
                <c:pt idx="72">
                  <c:v>2013`I</c:v>
                </c:pt>
                <c:pt idx="73">
                  <c:v>II</c:v>
                </c:pt>
                <c:pt idx="74">
                  <c:v>III</c:v>
                </c:pt>
                <c:pt idx="75">
                  <c:v>IV</c:v>
                </c:pt>
                <c:pt idx="76">
                  <c:v>V</c:v>
                </c:pt>
                <c:pt idx="77">
                  <c:v>VI</c:v>
                </c:pt>
                <c:pt idx="78">
                  <c:v>VII</c:v>
                </c:pt>
                <c:pt idx="79">
                  <c:v>VIII</c:v>
                </c:pt>
                <c:pt idx="80">
                  <c:v>IX</c:v>
                </c:pt>
                <c:pt idx="81">
                  <c:v>X</c:v>
                </c:pt>
                <c:pt idx="82">
                  <c:v>XI</c:v>
                </c:pt>
                <c:pt idx="83">
                  <c:v>XII</c:v>
                </c:pt>
                <c:pt idx="84">
                  <c:v>2014`I</c:v>
                </c:pt>
                <c:pt idx="85">
                  <c:v>II</c:v>
                </c:pt>
                <c:pt idx="86">
                  <c:v>III</c:v>
                </c:pt>
                <c:pt idx="87">
                  <c:v>IV</c:v>
                </c:pt>
                <c:pt idx="88">
                  <c:v>V</c:v>
                </c:pt>
                <c:pt idx="89">
                  <c:v>VI</c:v>
                </c:pt>
                <c:pt idx="90">
                  <c:v>VII</c:v>
                </c:pt>
                <c:pt idx="91">
                  <c:v>VIII</c:v>
                </c:pt>
                <c:pt idx="92">
                  <c:v>IX</c:v>
                </c:pt>
                <c:pt idx="93">
                  <c:v>X</c:v>
                </c:pt>
                <c:pt idx="94">
                  <c:v>XI</c:v>
                </c:pt>
                <c:pt idx="95">
                  <c:v>XII</c:v>
                </c:pt>
                <c:pt idx="96">
                  <c:v>2015`I</c:v>
                </c:pt>
                <c:pt idx="97">
                  <c:v>II</c:v>
                </c:pt>
                <c:pt idx="98">
                  <c:v>III</c:v>
                </c:pt>
                <c:pt idx="99">
                  <c:v>IV</c:v>
                </c:pt>
                <c:pt idx="100">
                  <c:v>V</c:v>
                </c:pt>
                <c:pt idx="101">
                  <c:v>VI</c:v>
                </c:pt>
                <c:pt idx="102">
                  <c:v>VII</c:v>
                </c:pt>
                <c:pt idx="103">
                  <c:v>VIII</c:v>
                </c:pt>
                <c:pt idx="104">
                  <c:v>IX</c:v>
                </c:pt>
                <c:pt idx="105">
                  <c:v>X</c:v>
                </c:pt>
                <c:pt idx="106">
                  <c:v>XI</c:v>
                </c:pt>
                <c:pt idx="107">
                  <c:v>XII</c:v>
                </c:pt>
                <c:pt idx="108">
                  <c:v>2016`I</c:v>
                </c:pt>
                <c:pt idx="109">
                  <c:v>II</c:v>
                </c:pt>
                <c:pt idx="110">
                  <c:v>III</c:v>
                </c:pt>
                <c:pt idx="111">
                  <c:v>IV</c:v>
                </c:pt>
                <c:pt idx="112">
                  <c:v>V</c:v>
                </c:pt>
                <c:pt idx="113">
                  <c:v>VI</c:v>
                </c:pt>
                <c:pt idx="114">
                  <c:v>VII</c:v>
                </c:pt>
                <c:pt idx="115">
                  <c:v>VIII</c:v>
                </c:pt>
                <c:pt idx="116">
                  <c:v>IX</c:v>
                </c:pt>
                <c:pt idx="117">
                  <c:v>X</c:v>
                </c:pt>
                <c:pt idx="118">
                  <c:v>XI</c:v>
                </c:pt>
                <c:pt idx="119">
                  <c:v>XII</c:v>
                </c:pt>
                <c:pt idx="120">
                  <c:v>2017`I</c:v>
                </c:pt>
                <c:pt idx="121">
                  <c:v>II</c:v>
                </c:pt>
                <c:pt idx="122">
                  <c:v>III</c:v>
                </c:pt>
                <c:pt idx="123">
                  <c:v>IV</c:v>
                </c:pt>
                <c:pt idx="124">
                  <c:v>V</c:v>
                </c:pt>
                <c:pt idx="125">
                  <c:v>VI</c:v>
                </c:pt>
                <c:pt idx="126">
                  <c:v>VII</c:v>
                </c:pt>
                <c:pt idx="127">
                  <c:v>VIII</c:v>
                </c:pt>
                <c:pt idx="128">
                  <c:v>IX</c:v>
                </c:pt>
                <c:pt idx="129">
                  <c:v>X</c:v>
                </c:pt>
                <c:pt idx="130">
                  <c:v>XI</c:v>
                </c:pt>
                <c:pt idx="131">
                  <c:v>XII</c:v>
                </c:pt>
                <c:pt idx="132">
                  <c:v>2018`I</c:v>
                </c:pt>
                <c:pt idx="133">
                  <c:v>II</c:v>
                </c:pt>
                <c:pt idx="134">
                  <c:v>III</c:v>
                </c:pt>
                <c:pt idx="135">
                  <c:v>IV</c:v>
                </c:pt>
                <c:pt idx="136">
                  <c:v>V</c:v>
                </c:pt>
                <c:pt idx="137">
                  <c:v>VI</c:v>
                </c:pt>
                <c:pt idx="138">
                  <c:v>VII</c:v>
                </c:pt>
                <c:pt idx="139">
                  <c:v>VIII</c:v>
                </c:pt>
                <c:pt idx="140">
                  <c:v>IX</c:v>
                </c:pt>
                <c:pt idx="141">
                  <c:v>X</c:v>
                </c:pt>
                <c:pt idx="142">
                  <c:v>XI</c:v>
                </c:pt>
                <c:pt idx="143">
                  <c:v>XII</c:v>
                </c:pt>
                <c:pt idx="144">
                  <c:v>2019`I</c:v>
                </c:pt>
                <c:pt idx="145">
                  <c:v>II</c:v>
                </c:pt>
                <c:pt idx="146">
                  <c:v>III</c:v>
                </c:pt>
                <c:pt idx="147">
                  <c:v>IV</c:v>
                </c:pt>
                <c:pt idx="148">
                  <c:v>V</c:v>
                </c:pt>
                <c:pt idx="149">
                  <c:v>VI</c:v>
                </c:pt>
                <c:pt idx="150">
                  <c:v>VII</c:v>
                </c:pt>
                <c:pt idx="151">
                  <c:v>VIII</c:v>
                </c:pt>
                <c:pt idx="152">
                  <c:v>IX</c:v>
                </c:pt>
                <c:pt idx="153">
                  <c:v>X</c:v>
                </c:pt>
                <c:pt idx="154">
                  <c:v>XI</c:v>
                </c:pt>
                <c:pt idx="155">
                  <c:v>XII</c:v>
                </c:pt>
                <c:pt idx="156">
                  <c:v>2020`I</c:v>
                </c:pt>
                <c:pt idx="157">
                  <c:v>II</c:v>
                </c:pt>
                <c:pt idx="158">
                  <c:v>III</c:v>
                </c:pt>
                <c:pt idx="159">
                  <c:v>IV</c:v>
                </c:pt>
                <c:pt idx="160">
                  <c:v>V</c:v>
                </c:pt>
                <c:pt idx="161">
                  <c:v>VI</c:v>
                </c:pt>
                <c:pt idx="162">
                  <c:v>VII</c:v>
                </c:pt>
                <c:pt idx="163">
                  <c:v>VIII</c:v>
                </c:pt>
              </c:strCache>
            </c:strRef>
          </c:cat>
          <c:val>
            <c:numRef>
              <c:f>Sheet2!$B$10:$FI$10</c:f>
              <c:numCache>
                <c:formatCode>General</c:formatCode>
                <c:ptCount val="164"/>
                <c:pt idx="0">
                  <c:v>6.5</c:v>
                </c:pt>
                <c:pt idx="1">
                  <c:v>6.5</c:v>
                </c:pt>
                <c:pt idx="2">
                  <c:v>6.3</c:v>
                </c:pt>
                <c:pt idx="3">
                  <c:v>6.1</c:v>
                </c:pt>
                <c:pt idx="4">
                  <c:v>5.9</c:v>
                </c:pt>
                <c:pt idx="5">
                  <c:v>5.8</c:v>
                </c:pt>
                <c:pt idx="6">
                  <c:v>5.7</c:v>
                </c:pt>
                <c:pt idx="7">
                  <c:v>5.4</c:v>
                </c:pt>
                <c:pt idx="8">
                  <c:v>5.0999999999999996</c:v>
                </c:pt>
                <c:pt idx="9">
                  <c:v>4.9000000000000004</c:v>
                </c:pt>
                <c:pt idx="10">
                  <c:v>4.8</c:v>
                </c:pt>
                <c:pt idx="11">
                  <c:v>4.9000000000000004</c:v>
                </c:pt>
                <c:pt idx="12">
                  <c:v>5</c:v>
                </c:pt>
                <c:pt idx="13">
                  <c:v>5</c:v>
                </c:pt>
                <c:pt idx="14">
                  <c:v>4.9000000000000004</c:v>
                </c:pt>
                <c:pt idx="15">
                  <c:v>4.8</c:v>
                </c:pt>
                <c:pt idx="16">
                  <c:v>4.8</c:v>
                </c:pt>
                <c:pt idx="17">
                  <c:v>4.9000000000000004</c:v>
                </c:pt>
                <c:pt idx="18">
                  <c:v>5.0999999999999996</c:v>
                </c:pt>
                <c:pt idx="19">
                  <c:v>5.2</c:v>
                </c:pt>
                <c:pt idx="20">
                  <c:v>5.3</c:v>
                </c:pt>
                <c:pt idx="21">
                  <c:v>5.6</c:v>
                </c:pt>
                <c:pt idx="22">
                  <c:v>6.1</c:v>
                </c:pt>
                <c:pt idx="23">
                  <c:v>7</c:v>
                </c:pt>
                <c:pt idx="24">
                  <c:v>8.3000000000000007</c:v>
                </c:pt>
                <c:pt idx="25">
                  <c:v>9.5</c:v>
                </c:pt>
                <c:pt idx="26">
                  <c:v>10.7</c:v>
                </c:pt>
                <c:pt idx="27">
                  <c:v>11</c:v>
                </c:pt>
                <c:pt idx="28">
                  <c:v>11.3</c:v>
                </c:pt>
                <c:pt idx="29">
                  <c:v>11.5</c:v>
                </c:pt>
                <c:pt idx="30">
                  <c:v>11.8</c:v>
                </c:pt>
                <c:pt idx="31">
                  <c:v>12.3</c:v>
                </c:pt>
                <c:pt idx="32">
                  <c:v>13.2</c:v>
                </c:pt>
                <c:pt idx="33">
                  <c:v>14.1</c:v>
                </c:pt>
                <c:pt idx="34">
                  <c:v>15.1</c:v>
                </c:pt>
                <c:pt idx="35">
                  <c:v>16</c:v>
                </c:pt>
                <c:pt idx="36">
                  <c:v>16.600000000000001</c:v>
                </c:pt>
                <c:pt idx="37">
                  <c:v>17.100000000000001</c:v>
                </c:pt>
                <c:pt idx="38">
                  <c:v>17.3</c:v>
                </c:pt>
                <c:pt idx="39">
                  <c:v>16.7</c:v>
                </c:pt>
                <c:pt idx="40">
                  <c:v>16.2</c:v>
                </c:pt>
                <c:pt idx="41">
                  <c:v>15.6</c:v>
                </c:pt>
                <c:pt idx="42">
                  <c:v>15.3</c:v>
                </c:pt>
                <c:pt idx="43">
                  <c:v>15</c:v>
                </c:pt>
                <c:pt idx="44">
                  <c:v>14.6</c:v>
                </c:pt>
                <c:pt idx="45">
                  <c:v>14.3</c:v>
                </c:pt>
                <c:pt idx="46">
                  <c:v>14.3</c:v>
                </c:pt>
                <c:pt idx="47">
                  <c:v>14.3</c:v>
                </c:pt>
                <c:pt idx="48">
                  <c:v>14.5</c:v>
                </c:pt>
                <c:pt idx="49">
                  <c:v>14.5</c:v>
                </c:pt>
                <c:pt idx="50">
                  <c:v>14.4</c:v>
                </c:pt>
                <c:pt idx="51">
                  <c:v>13.9</c:v>
                </c:pt>
                <c:pt idx="52">
                  <c:v>13.2</c:v>
                </c:pt>
                <c:pt idx="53">
                  <c:v>12.6</c:v>
                </c:pt>
                <c:pt idx="54">
                  <c:v>12.1</c:v>
                </c:pt>
                <c:pt idx="55">
                  <c:v>11.8</c:v>
                </c:pt>
                <c:pt idx="56">
                  <c:v>11.6</c:v>
                </c:pt>
                <c:pt idx="57">
                  <c:v>11.5</c:v>
                </c:pt>
                <c:pt idx="58">
                  <c:v>11.5</c:v>
                </c:pt>
                <c:pt idx="59">
                  <c:v>11.5</c:v>
                </c:pt>
                <c:pt idx="60">
                  <c:v>11.7</c:v>
                </c:pt>
                <c:pt idx="61">
                  <c:v>11.8</c:v>
                </c:pt>
                <c:pt idx="62">
                  <c:v>11.7</c:v>
                </c:pt>
                <c:pt idx="63">
                  <c:v>12.9</c:v>
                </c:pt>
                <c:pt idx="64">
                  <c:v>12.3</c:v>
                </c:pt>
                <c:pt idx="65">
                  <c:v>11.9</c:v>
                </c:pt>
                <c:pt idx="66">
                  <c:v>11.6</c:v>
                </c:pt>
                <c:pt idx="67">
                  <c:v>11.3</c:v>
                </c:pt>
                <c:pt idx="68">
                  <c:v>11</c:v>
                </c:pt>
                <c:pt idx="69">
                  <c:v>10.7</c:v>
                </c:pt>
                <c:pt idx="70">
                  <c:v>10.6</c:v>
                </c:pt>
                <c:pt idx="71">
                  <c:v>10.5</c:v>
                </c:pt>
                <c:pt idx="72">
                  <c:v>10.9</c:v>
                </c:pt>
                <c:pt idx="73">
                  <c:v>10.9</c:v>
                </c:pt>
                <c:pt idx="74">
                  <c:v>10.8</c:v>
                </c:pt>
                <c:pt idx="75">
                  <c:v>10.4</c:v>
                </c:pt>
                <c:pt idx="76">
                  <c:v>9.9</c:v>
                </c:pt>
                <c:pt idx="77">
                  <c:v>9.6</c:v>
                </c:pt>
                <c:pt idx="78" formatCode="#\ ##0.0">
                  <c:v>9.5</c:v>
                </c:pt>
                <c:pt idx="79">
                  <c:v>9.3000000000000007</c:v>
                </c:pt>
                <c:pt idx="80">
                  <c:v>9.1</c:v>
                </c:pt>
                <c:pt idx="81">
                  <c:v>9.1</c:v>
                </c:pt>
                <c:pt idx="82" formatCode="#\ ##0.0">
                  <c:v>9.3000000000000007</c:v>
                </c:pt>
                <c:pt idx="83">
                  <c:v>9.5</c:v>
                </c:pt>
                <c:pt idx="84" formatCode="#\ ##0.0">
                  <c:v>9.8000000000000007</c:v>
                </c:pt>
                <c:pt idx="85" formatCode="#\ ##0.0">
                  <c:v>9.9</c:v>
                </c:pt>
                <c:pt idx="86" formatCode="#\ ##0.0">
                  <c:v>9.8000000000000007</c:v>
                </c:pt>
                <c:pt idx="87" formatCode="#\ ##0.0">
                  <c:v>9.6</c:v>
                </c:pt>
                <c:pt idx="88" formatCode="#\ ##0.0">
                  <c:v>9.1</c:v>
                </c:pt>
                <c:pt idx="89" formatCode="#\ ##0.0">
                  <c:v>8.9</c:v>
                </c:pt>
                <c:pt idx="90" formatCode="#\ ##0.0">
                  <c:v>8.6</c:v>
                </c:pt>
                <c:pt idx="91" formatCode="#\ ##0.0">
                  <c:v>8.4</c:v>
                </c:pt>
                <c:pt idx="92" formatCode="#\ ##0.0">
                  <c:v>8.1999999999999993</c:v>
                </c:pt>
                <c:pt idx="93" formatCode="#\ ##0.0">
                  <c:v>8.1999999999999993</c:v>
                </c:pt>
                <c:pt idx="94" formatCode="#\ ##0.0">
                  <c:v>8.3000000000000007</c:v>
                </c:pt>
                <c:pt idx="95" formatCode="#\ ##0.0">
                  <c:v>8.5</c:v>
                </c:pt>
                <c:pt idx="96" formatCode="#\ ##0.0">
                  <c:v>9</c:v>
                </c:pt>
                <c:pt idx="97" formatCode="#\ ##0.0">
                  <c:v>9.1</c:v>
                </c:pt>
                <c:pt idx="98" formatCode="#\ ##0.0">
                  <c:v>9.1999999999999993</c:v>
                </c:pt>
                <c:pt idx="99" formatCode="#\ ##0.0">
                  <c:v>8.8000000000000007</c:v>
                </c:pt>
                <c:pt idx="100" formatCode="#\ ##0.0">
                  <c:v>8.6</c:v>
                </c:pt>
                <c:pt idx="101" formatCode="#\ ##0.0">
                  <c:v>8.6</c:v>
                </c:pt>
                <c:pt idx="102" formatCode="#\ ##0.0">
                  <c:v>8.6</c:v>
                </c:pt>
                <c:pt idx="103" formatCode="#\ ##0.0">
                  <c:v>8.5</c:v>
                </c:pt>
                <c:pt idx="104" formatCode="#\ ##0.0">
                  <c:v>8.3000000000000007</c:v>
                </c:pt>
                <c:pt idx="105" formatCode="#\ ##0.0">
                  <c:v>8.3000000000000007</c:v>
                </c:pt>
                <c:pt idx="106" formatCode="#\ ##0.0">
                  <c:v>8.4</c:v>
                </c:pt>
                <c:pt idx="107" formatCode="#\ ##0.0">
                  <c:v>8.6999999999999993</c:v>
                </c:pt>
                <c:pt idx="108" formatCode="#\ ##0.0">
                  <c:v>9.1</c:v>
                </c:pt>
                <c:pt idx="109" formatCode="#\ ##0.0">
                  <c:v>9.1999999999999993</c:v>
                </c:pt>
                <c:pt idx="110" formatCode="#\ ##0.0">
                  <c:v>9.1</c:v>
                </c:pt>
                <c:pt idx="111" formatCode="#\ ##0.0">
                  <c:v>8.8000000000000007</c:v>
                </c:pt>
                <c:pt idx="112" formatCode="#\ ##0.0">
                  <c:v>8.4</c:v>
                </c:pt>
                <c:pt idx="113" formatCode="#\ ##0.0">
                  <c:v>8.3000000000000007</c:v>
                </c:pt>
                <c:pt idx="114" formatCode="#\ ##0.0">
                  <c:v>8.3000000000000007</c:v>
                </c:pt>
                <c:pt idx="115" formatCode="#\ ##0.0">
                  <c:v>8.1</c:v>
                </c:pt>
                <c:pt idx="116" formatCode="#\ ##0.0">
                  <c:v>7.9</c:v>
                </c:pt>
                <c:pt idx="117" formatCode="#\ ##0.0">
                  <c:v>7.9</c:v>
                </c:pt>
                <c:pt idx="118" formatCode="#\ ##0.0">
                  <c:v>8</c:v>
                </c:pt>
                <c:pt idx="119" formatCode="0.0">
                  <c:v>8.4</c:v>
                </c:pt>
                <c:pt idx="120" formatCode="#\ ##0.0">
                  <c:v>8.5</c:v>
                </c:pt>
                <c:pt idx="121" formatCode="#\ ##0.0">
                  <c:v>8.4</c:v>
                </c:pt>
                <c:pt idx="122" formatCode="#\ ##0.0">
                  <c:v>8.3000000000000007</c:v>
                </c:pt>
                <c:pt idx="123" formatCode="#\ ##0.0">
                  <c:v>7.8</c:v>
                </c:pt>
                <c:pt idx="124" formatCode="#\ ##0.0">
                  <c:v>7.4</c:v>
                </c:pt>
                <c:pt idx="125" formatCode="#\ ##0.0">
                  <c:v>7.2</c:v>
                </c:pt>
                <c:pt idx="126" formatCode="#\ ##0.0">
                  <c:v>7.1</c:v>
                </c:pt>
                <c:pt idx="127" formatCode="#\ ##0.0">
                  <c:v>6.9</c:v>
                </c:pt>
                <c:pt idx="128" formatCode="#\ ##0.0">
                  <c:v>6.6</c:v>
                </c:pt>
                <c:pt idx="129" formatCode="#\ ##0.0">
                  <c:v>6.6</c:v>
                </c:pt>
                <c:pt idx="130" formatCode="#\ ##0.0">
                  <c:v>6.7</c:v>
                </c:pt>
                <c:pt idx="131" formatCode="#\ ##0.0">
                  <c:v>6.8</c:v>
                </c:pt>
                <c:pt idx="132" formatCode="#\ ##0.0">
                  <c:v>7</c:v>
                </c:pt>
                <c:pt idx="133" formatCode="#\ ##0.0">
                  <c:v>7.1</c:v>
                </c:pt>
                <c:pt idx="134" formatCode="#\ ##0.0">
                  <c:v>7</c:v>
                </c:pt>
                <c:pt idx="135" formatCode="#\ ##0.0">
                  <c:v>6.7</c:v>
                </c:pt>
                <c:pt idx="136" formatCode="#\ ##0.0">
                  <c:v>6.4</c:v>
                </c:pt>
                <c:pt idx="137" formatCode="#\ ##0.0">
                  <c:v>6.4</c:v>
                </c:pt>
                <c:pt idx="138" formatCode="#\ ##0.0">
                  <c:v>6.4</c:v>
                </c:pt>
                <c:pt idx="139" formatCode="#\ ##0.0">
                  <c:v>6.3</c:v>
                </c:pt>
                <c:pt idx="140" formatCode="#\ ##0.0">
                  <c:v>6.1</c:v>
                </c:pt>
                <c:pt idx="141" formatCode="#\ ##0.0">
                  <c:v>6.1</c:v>
                </c:pt>
                <c:pt idx="142" formatCode="#\ ##0.0">
                  <c:v>6.2</c:v>
                </c:pt>
                <c:pt idx="143" formatCode="#\ ##0.0">
                  <c:v>6.4</c:v>
                </c:pt>
                <c:pt idx="144" formatCode="#\ ##0.0">
                  <c:v>6.7</c:v>
                </c:pt>
                <c:pt idx="145" formatCode="#\ ##0.0">
                  <c:v>6.7</c:v>
                </c:pt>
                <c:pt idx="146" formatCode="#\ ##0.0">
                  <c:v>6.6</c:v>
                </c:pt>
                <c:pt idx="147" formatCode="#\ ##0.0">
                  <c:v>6.3</c:v>
                </c:pt>
                <c:pt idx="148" formatCode="#\ ##0.0">
                  <c:v>6.1</c:v>
                </c:pt>
                <c:pt idx="149" formatCode="#\ ##0.0">
                  <c:v>6</c:v>
                </c:pt>
                <c:pt idx="150" formatCode="#\ ##0.0">
                  <c:v>6</c:v>
                </c:pt>
                <c:pt idx="151" formatCode="#\ ##0.0">
                  <c:v>5.9</c:v>
                </c:pt>
                <c:pt idx="152" formatCode="#\ ##0.0">
                  <c:v>5.7</c:v>
                </c:pt>
                <c:pt idx="153" formatCode="#\ ##0.0">
                  <c:v>5.7</c:v>
                </c:pt>
                <c:pt idx="154" formatCode="#\ ##0.0">
                  <c:v>5.8</c:v>
                </c:pt>
                <c:pt idx="155" formatCode="#\ ##0.0">
                  <c:v>6.2</c:v>
                </c:pt>
                <c:pt idx="156">
                  <c:v>6.4</c:v>
                </c:pt>
                <c:pt idx="157">
                  <c:v>6.3</c:v>
                </c:pt>
                <c:pt idx="158">
                  <c:v>6.8</c:v>
                </c:pt>
                <c:pt idx="159">
                  <c:v>8</c:v>
                </c:pt>
                <c:pt idx="160">
                  <c:v>8.4</c:v>
                </c:pt>
                <c:pt idx="161">
                  <c:v>8.6</c:v>
                </c:pt>
                <c:pt idx="162">
                  <c:v>8.6</c:v>
                </c:pt>
                <c:pt idx="163">
                  <c:v>8.1999999999999993</c:v>
                </c:pt>
              </c:numCache>
            </c:numRef>
          </c:val>
          <c:extLst>
            <c:ext xmlns:c16="http://schemas.microsoft.com/office/drawing/2014/chart" uri="{C3380CC4-5D6E-409C-BE32-E72D297353CC}">
              <c16:uniqueId val="{00000000-63E0-4B13-A98E-D4C5846C2B93}"/>
            </c:ext>
          </c:extLst>
        </c:ser>
        <c:dLbls>
          <c:showLegendKey val="0"/>
          <c:showVal val="0"/>
          <c:showCatName val="0"/>
          <c:showSerName val="0"/>
          <c:showPercent val="0"/>
          <c:showBubbleSize val="0"/>
        </c:dLbls>
        <c:gapWidth val="0"/>
        <c:axId val="336009504"/>
        <c:axId val="336013816"/>
      </c:barChart>
      <c:lineChart>
        <c:grouping val="standard"/>
        <c:varyColors val="0"/>
        <c:ser>
          <c:idx val="0"/>
          <c:order val="0"/>
          <c:tx>
            <c:strRef>
              <c:f>Sheet2!$A$5</c:f>
              <c:strCache>
                <c:ptCount val="1"/>
                <c:pt idx="0">
                  <c:v>Rīgas reģions</c:v>
                </c:pt>
              </c:strCache>
            </c:strRef>
          </c:tx>
          <c:spPr>
            <a:ln w="28575" cap="rnd">
              <a:solidFill>
                <a:srgbClr val="ED7D31"/>
              </a:solidFill>
              <a:round/>
            </a:ln>
            <a:effectLst/>
          </c:spPr>
          <c:marker>
            <c:symbol val="none"/>
          </c:marker>
          <c:cat>
            <c:strRef>
              <c:f>Sheet2!$B$4:$FI$4</c:f>
              <c:strCache>
                <c:ptCount val="164"/>
                <c:pt idx="0">
                  <c:v>2007`I</c:v>
                </c:pt>
                <c:pt idx="1">
                  <c:v>II</c:v>
                </c:pt>
                <c:pt idx="2">
                  <c:v>III</c:v>
                </c:pt>
                <c:pt idx="3">
                  <c:v>IV</c:v>
                </c:pt>
                <c:pt idx="4">
                  <c:v>V</c:v>
                </c:pt>
                <c:pt idx="5">
                  <c:v>VI</c:v>
                </c:pt>
                <c:pt idx="6">
                  <c:v>VII</c:v>
                </c:pt>
                <c:pt idx="7">
                  <c:v>VIII</c:v>
                </c:pt>
                <c:pt idx="8">
                  <c:v>IX</c:v>
                </c:pt>
                <c:pt idx="9">
                  <c:v>X</c:v>
                </c:pt>
                <c:pt idx="10">
                  <c:v>XI</c:v>
                </c:pt>
                <c:pt idx="11">
                  <c:v>XII</c:v>
                </c:pt>
                <c:pt idx="12">
                  <c:v>2008`I</c:v>
                </c:pt>
                <c:pt idx="13">
                  <c:v>II</c:v>
                </c:pt>
                <c:pt idx="14">
                  <c:v>III</c:v>
                </c:pt>
                <c:pt idx="15">
                  <c:v>IV</c:v>
                </c:pt>
                <c:pt idx="16">
                  <c:v>V</c:v>
                </c:pt>
                <c:pt idx="17">
                  <c:v>VI</c:v>
                </c:pt>
                <c:pt idx="18">
                  <c:v>VII</c:v>
                </c:pt>
                <c:pt idx="19">
                  <c:v>VIII</c:v>
                </c:pt>
                <c:pt idx="20">
                  <c:v>IX</c:v>
                </c:pt>
                <c:pt idx="21">
                  <c:v>X</c:v>
                </c:pt>
                <c:pt idx="22">
                  <c:v>XI</c:v>
                </c:pt>
                <c:pt idx="23">
                  <c:v>XII</c:v>
                </c:pt>
                <c:pt idx="24">
                  <c:v>2009`I</c:v>
                </c:pt>
                <c:pt idx="25">
                  <c:v>II</c:v>
                </c:pt>
                <c:pt idx="26">
                  <c:v>III</c:v>
                </c:pt>
                <c:pt idx="27">
                  <c:v>IV</c:v>
                </c:pt>
                <c:pt idx="28">
                  <c:v>V</c:v>
                </c:pt>
                <c:pt idx="29">
                  <c:v>VI</c:v>
                </c:pt>
                <c:pt idx="30">
                  <c:v>VII</c:v>
                </c:pt>
                <c:pt idx="31">
                  <c:v>VIII</c:v>
                </c:pt>
                <c:pt idx="32">
                  <c:v>IX</c:v>
                </c:pt>
                <c:pt idx="33">
                  <c:v>X</c:v>
                </c:pt>
                <c:pt idx="34">
                  <c:v>XI</c:v>
                </c:pt>
                <c:pt idx="35">
                  <c:v>XII</c:v>
                </c:pt>
                <c:pt idx="36">
                  <c:v>2010`I</c:v>
                </c:pt>
                <c:pt idx="37">
                  <c:v>II</c:v>
                </c:pt>
                <c:pt idx="38">
                  <c:v>III</c:v>
                </c:pt>
                <c:pt idx="39">
                  <c:v>IV</c:v>
                </c:pt>
                <c:pt idx="40">
                  <c:v>V</c:v>
                </c:pt>
                <c:pt idx="41">
                  <c:v>VI</c:v>
                </c:pt>
                <c:pt idx="42">
                  <c:v>VII</c:v>
                </c:pt>
                <c:pt idx="43">
                  <c:v>VIII</c:v>
                </c:pt>
                <c:pt idx="44">
                  <c:v>IX</c:v>
                </c:pt>
                <c:pt idx="45">
                  <c:v>X</c:v>
                </c:pt>
                <c:pt idx="46">
                  <c:v>XI</c:v>
                </c:pt>
                <c:pt idx="47">
                  <c:v>XII</c:v>
                </c:pt>
                <c:pt idx="48">
                  <c:v>2011`I</c:v>
                </c:pt>
                <c:pt idx="49">
                  <c:v>II</c:v>
                </c:pt>
                <c:pt idx="50">
                  <c:v>III</c:v>
                </c:pt>
                <c:pt idx="51">
                  <c:v>IV</c:v>
                </c:pt>
                <c:pt idx="52">
                  <c:v>V</c:v>
                </c:pt>
                <c:pt idx="53">
                  <c:v>VI</c:v>
                </c:pt>
                <c:pt idx="54">
                  <c:v>VII</c:v>
                </c:pt>
                <c:pt idx="55">
                  <c:v>VIII</c:v>
                </c:pt>
                <c:pt idx="56">
                  <c:v>IX</c:v>
                </c:pt>
                <c:pt idx="57">
                  <c:v>X</c:v>
                </c:pt>
                <c:pt idx="58">
                  <c:v>XI</c:v>
                </c:pt>
                <c:pt idx="59">
                  <c:v>XII</c:v>
                </c:pt>
                <c:pt idx="60">
                  <c:v>2012`I</c:v>
                </c:pt>
                <c:pt idx="61">
                  <c:v>II</c:v>
                </c:pt>
                <c:pt idx="62">
                  <c:v>III</c:v>
                </c:pt>
                <c:pt idx="63">
                  <c:v>IV</c:v>
                </c:pt>
                <c:pt idx="64">
                  <c:v>V</c:v>
                </c:pt>
                <c:pt idx="65">
                  <c:v>VI</c:v>
                </c:pt>
                <c:pt idx="66">
                  <c:v>VII</c:v>
                </c:pt>
                <c:pt idx="67">
                  <c:v>VIII</c:v>
                </c:pt>
                <c:pt idx="68">
                  <c:v>IX</c:v>
                </c:pt>
                <c:pt idx="69">
                  <c:v>X</c:v>
                </c:pt>
                <c:pt idx="70">
                  <c:v>XI</c:v>
                </c:pt>
                <c:pt idx="71">
                  <c:v>XII</c:v>
                </c:pt>
                <c:pt idx="72">
                  <c:v>2013`I</c:v>
                </c:pt>
                <c:pt idx="73">
                  <c:v>II</c:v>
                </c:pt>
                <c:pt idx="74">
                  <c:v>III</c:v>
                </c:pt>
                <c:pt idx="75">
                  <c:v>IV</c:v>
                </c:pt>
                <c:pt idx="76">
                  <c:v>V</c:v>
                </c:pt>
                <c:pt idx="77">
                  <c:v>VI</c:v>
                </c:pt>
                <c:pt idx="78">
                  <c:v>VII</c:v>
                </c:pt>
                <c:pt idx="79">
                  <c:v>VIII</c:v>
                </c:pt>
                <c:pt idx="80">
                  <c:v>IX</c:v>
                </c:pt>
                <c:pt idx="81">
                  <c:v>X</c:v>
                </c:pt>
                <c:pt idx="82">
                  <c:v>XI</c:v>
                </c:pt>
                <c:pt idx="83">
                  <c:v>XII</c:v>
                </c:pt>
                <c:pt idx="84">
                  <c:v>2014`I</c:v>
                </c:pt>
                <c:pt idx="85">
                  <c:v>II</c:v>
                </c:pt>
                <c:pt idx="86">
                  <c:v>III</c:v>
                </c:pt>
                <c:pt idx="87">
                  <c:v>IV</c:v>
                </c:pt>
                <c:pt idx="88">
                  <c:v>V</c:v>
                </c:pt>
                <c:pt idx="89">
                  <c:v>VI</c:v>
                </c:pt>
                <c:pt idx="90">
                  <c:v>VII</c:v>
                </c:pt>
                <c:pt idx="91">
                  <c:v>VIII</c:v>
                </c:pt>
                <c:pt idx="92">
                  <c:v>IX</c:v>
                </c:pt>
                <c:pt idx="93">
                  <c:v>X</c:v>
                </c:pt>
                <c:pt idx="94">
                  <c:v>XI</c:v>
                </c:pt>
                <c:pt idx="95">
                  <c:v>XII</c:v>
                </c:pt>
                <c:pt idx="96">
                  <c:v>2015`I</c:v>
                </c:pt>
                <c:pt idx="97">
                  <c:v>II</c:v>
                </c:pt>
                <c:pt idx="98">
                  <c:v>III</c:v>
                </c:pt>
                <c:pt idx="99">
                  <c:v>IV</c:v>
                </c:pt>
                <c:pt idx="100">
                  <c:v>V</c:v>
                </c:pt>
                <c:pt idx="101">
                  <c:v>VI</c:v>
                </c:pt>
                <c:pt idx="102">
                  <c:v>VII</c:v>
                </c:pt>
                <c:pt idx="103">
                  <c:v>VIII</c:v>
                </c:pt>
                <c:pt idx="104">
                  <c:v>IX</c:v>
                </c:pt>
                <c:pt idx="105">
                  <c:v>X</c:v>
                </c:pt>
                <c:pt idx="106">
                  <c:v>XI</c:v>
                </c:pt>
                <c:pt idx="107">
                  <c:v>XII</c:v>
                </c:pt>
                <c:pt idx="108">
                  <c:v>2016`I</c:v>
                </c:pt>
                <c:pt idx="109">
                  <c:v>II</c:v>
                </c:pt>
                <c:pt idx="110">
                  <c:v>III</c:v>
                </c:pt>
                <c:pt idx="111">
                  <c:v>IV</c:v>
                </c:pt>
                <c:pt idx="112">
                  <c:v>V</c:v>
                </c:pt>
                <c:pt idx="113">
                  <c:v>VI</c:v>
                </c:pt>
                <c:pt idx="114">
                  <c:v>VII</c:v>
                </c:pt>
                <c:pt idx="115">
                  <c:v>VIII</c:v>
                </c:pt>
                <c:pt idx="116">
                  <c:v>IX</c:v>
                </c:pt>
                <c:pt idx="117">
                  <c:v>X</c:v>
                </c:pt>
                <c:pt idx="118">
                  <c:v>XI</c:v>
                </c:pt>
                <c:pt idx="119">
                  <c:v>XII</c:v>
                </c:pt>
                <c:pt idx="120">
                  <c:v>2017`I</c:v>
                </c:pt>
                <c:pt idx="121">
                  <c:v>II</c:v>
                </c:pt>
                <c:pt idx="122">
                  <c:v>III</c:v>
                </c:pt>
                <c:pt idx="123">
                  <c:v>IV</c:v>
                </c:pt>
                <c:pt idx="124">
                  <c:v>V</c:v>
                </c:pt>
                <c:pt idx="125">
                  <c:v>VI</c:v>
                </c:pt>
                <c:pt idx="126">
                  <c:v>VII</c:v>
                </c:pt>
                <c:pt idx="127">
                  <c:v>VIII</c:v>
                </c:pt>
                <c:pt idx="128">
                  <c:v>IX</c:v>
                </c:pt>
                <c:pt idx="129">
                  <c:v>X</c:v>
                </c:pt>
                <c:pt idx="130">
                  <c:v>XI</c:v>
                </c:pt>
                <c:pt idx="131">
                  <c:v>XII</c:v>
                </c:pt>
                <c:pt idx="132">
                  <c:v>2018`I</c:v>
                </c:pt>
                <c:pt idx="133">
                  <c:v>II</c:v>
                </c:pt>
                <c:pt idx="134">
                  <c:v>III</c:v>
                </c:pt>
                <c:pt idx="135">
                  <c:v>IV</c:v>
                </c:pt>
                <c:pt idx="136">
                  <c:v>V</c:v>
                </c:pt>
                <c:pt idx="137">
                  <c:v>VI</c:v>
                </c:pt>
                <c:pt idx="138">
                  <c:v>VII</c:v>
                </c:pt>
                <c:pt idx="139">
                  <c:v>VIII</c:v>
                </c:pt>
                <c:pt idx="140">
                  <c:v>IX</c:v>
                </c:pt>
                <c:pt idx="141">
                  <c:v>X</c:v>
                </c:pt>
                <c:pt idx="142">
                  <c:v>XI</c:v>
                </c:pt>
                <c:pt idx="143">
                  <c:v>XII</c:v>
                </c:pt>
                <c:pt idx="144">
                  <c:v>2019`I</c:v>
                </c:pt>
                <c:pt idx="145">
                  <c:v>II</c:v>
                </c:pt>
                <c:pt idx="146">
                  <c:v>III</c:v>
                </c:pt>
                <c:pt idx="147">
                  <c:v>IV</c:v>
                </c:pt>
                <c:pt idx="148">
                  <c:v>V</c:v>
                </c:pt>
                <c:pt idx="149">
                  <c:v>VI</c:v>
                </c:pt>
                <c:pt idx="150">
                  <c:v>VII</c:v>
                </c:pt>
                <c:pt idx="151">
                  <c:v>VIII</c:v>
                </c:pt>
                <c:pt idx="152">
                  <c:v>IX</c:v>
                </c:pt>
                <c:pt idx="153">
                  <c:v>X</c:v>
                </c:pt>
                <c:pt idx="154">
                  <c:v>XI</c:v>
                </c:pt>
                <c:pt idx="155">
                  <c:v>XII</c:v>
                </c:pt>
                <c:pt idx="156">
                  <c:v>2020`I</c:v>
                </c:pt>
                <c:pt idx="157">
                  <c:v>II</c:v>
                </c:pt>
                <c:pt idx="158">
                  <c:v>III</c:v>
                </c:pt>
                <c:pt idx="159">
                  <c:v>IV</c:v>
                </c:pt>
                <c:pt idx="160">
                  <c:v>V</c:v>
                </c:pt>
                <c:pt idx="161">
                  <c:v>VI</c:v>
                </c:pt>
                <c:pt idx="162">
                  <c:v>VII</c:v>
                </c:pt>
                <c:pt idx="163">
                  <c:v>VIII</c:v>
                </c:pt>
              </c:strCache>
            </c:strRef>
          </c:cat>
          <c:val>
            <c:numRef>
              <c:f>Sheet2!$B$5:$FI$5</c:f>
              <c:numCache>
                <c:formatCode>General</c:formatCode>
                <c:ptCount val="164"/>
                <c:pt idx="1">
                  <c:v>4.2</c:v>
                </c:pt>
                <c:pt idx="2">
                  <c:v>4.0999999999999996</c:v>
                </c:pt>
                <c:pt idx="3">
                  <c:v>4</c:v>
                </c:pt>
                <c:pt idx="4">
                  <c:v>3.9</c:v>
                </c:pt>
                <c:pt idx="5">
                  <c:v>3.9</c:v>
                </c:pt>
                <c:pt idx="6">
                  <c:v>3.9</c:v>
                </c:pt>
                <c:pt idx="7">
                  <c:v>3.7</c:v>
                </c:pt>
                <c:pt idx="8">
                  <c:v>3.6</c:v>
                </c:pt>
                <c:pt idx="9">
                  <c:v>3.5</c:v>
                </c:pt>
                <c:pt idx="10">
                  <c:v>3.4</c:v>
                </c:pt>
                <c:pt idx="11">
                  <c:v>3.4</c:v>
                </c:pt>
                <c:pt idx="12">
                  <c:v>3.5</c:v>
                </c:pt>
                <c:pt idx="13">
                  <c:v>3.5</c:v>
                </c:pt>
                <c:pt idx="14">
                  <c:v>3.5</c:v>
                </c:pt>
                <c:pt idx="15">
                  <c:v>3.4</c:v>
                </c:pt>
                <c:pt idx="16">
                  <c:v>3.4</c:v>
                </c:pt>
                <c:pt idx="17">
                  <c:v>3.6</c:v>
                </c:pt>
                <c:pt idx="18">
                  <c:v>3.8</c:v>
                </c:pt>
                <c:pt idx="19">
                  <c:v>3.9</c:v>
                </c:pt>
                <c:pt idx="20">
                  <c:v>4</c:v>
                </c:pt>
                <c:pt idx="21">
                  <c:v>4.3</c:v>
                </c:pt>
                <c:pt idx="22">
                  <c:v>4.8</c:v>
                </c:pt>
                <c:pt idx="23">
                  <c:v>5.5</c:v>
                </c:pt>
                <c:pt idx="24">
                  <c:v>6.6</c:v>
                </c:pt>
                <c:pt idx="25">
                  <c:v>7.6</c:v>
                </c:pt>
                <c:pt idx="26">
                  <c:v>8.6999999999999993</c:v>
                </c:pt>
                <c:pt idx="27">
                  <c:v>9.1</c:v>
                </c:pt>
                <c:pt idx="28">
                  <c:v>9.5</c:v>
                </c:pt>
                <c:pt idx="29">
                  <c:v>9.8000000000000007</c:v>
                </c:pt>
                <c:pt idx="30">
                  <c:v>10.1</c:v>
                </c:pt>
                <c:pt idx="31">
                  <c:v>10.5</c:v>
                </c:pt>
                <c:pt idx="32">
                  <c:v>11.1</c:v>
                </c:pt>
                <c:pt idx="33">
                  <c:v>11.7</c:v>
                </c:pt>
                <c:pt idx="34">
                  <c:v>12.5</c:v>
                </c:pt>
                <c:pt idx="35">
                  <c:v>13.2</c:v>
                </c:pt>
                <c:pt idx="36">
                  <c:v>13.7</c:v>
                </c:pt>
                <c:pt idx="37">
                  <c:v>14.1</c:v>
                </c:pt>
                <c:pt idx="38">
                  <c:v>14.2</c:v>
                </c:pt>
                <c:pt idx="39">
                  <c:v>13.7</c:v>
                </c:pt>
                <c:pt idx="40">
                  <c:v>13.2</c:v>
                </c:pt>
                <c:pt idx="41">
                  <c:v>12.6</c:v>
                </c:pt>
                <c:pt idx="42">
                  <c:v>12.3</c:v>
                </c:pt>
                <c:pt idx="43">
                  <c:v>11.9</c:v>
                </c:pt>
                <c:pt idx="44">
                  <c:v>11.6</c:v>
                </c:pt>
                <c:pt idx="45">
                  <c:v>11.2</c:v>
                </c:pt>
                <c:pt idx="46">
                  <c:v>11</c:v>
                </c:pt>
                <c:pt idx="47">
                  <c:v>10.9</c:v>
                </c:pt>
                <c:pt idx="48">
                  <c:v>11</c:v>
                </c:pt>
                <c:pt idx="49">
                  <c:v>10.9</c:v>
                </c:pt>
                <c:pt idx="50">
                  <c:v>10.8</c:v>
                </c:pt>
                <c:pt idx="51">
                  <c:v>10.5</c:v>
                </c:pt>
                <c:pt idx="52">
                  <c:v>9.9</c:v>
                </c:pt>
                <c:pt idx="53">
                  <c:v>9.4</c:v>
                </c:pt>
                <c:pt idx="54">
                  <c:v>9</c:v>
                </c:pt>
                <c:pt idx="55">
                  <c:v>8.8000000000000007</c:v>
                </c:pt>
                <c:pt idx="56">
                  <c:v>8.6</c:v>
                </c:pt>
                <c:pt idx="57">
                  <c:v>8.5</c:v>
                </c:pt>
                <c:pt idx="58">
                  <c:v>8.5</c:v>
                </c:pt>
                <c:pt idx="59">
                  <c:v>8.3000000000000007</c:v>
                </c:pt>
                <c:pt idx="60">
                  <c:v>8.4</c:v>
                </c:pt>
                <c:pt idx="61">
                  <c:v>8.4</c:v>
                </c:pt>
                <c:pt idx="62">
                  <c:v>8.3000000000000007</c:v>
                </c:pt>
                <c:pt idx="63" formatCode="0.0">
                  <c:v>9</c:v>
                </c:pt>
                <c:pt idx="64" formatCode="0.0">
                  <c:v>8.5</c:v>
                </c:pt>
                <c:pt idx="65">
                  <c:v>8.1</c:v>
                </c:pt>
                <c:pt idx="66">
                  <c:v>7.8</c:v>
                </c:pt>
                <c:pt idx="67">
                  <c:v>7.6</c:v>
                </c:pt>
                <c:pt idx="68">
                  <c:v>7.3</c:v>
                </c:pt>
                <c:pt idx="69">
                  <c:v>7</c:v>
                </c:pt>
                <c:pt idx="70">
                  <c:v>6.8</c:v>
                </c:pt>
                <c:pt idx="71">
                  <c:v>6.8</c:v>
                </c:pt>
                <c:pt idx="72">
                  <c:v>7</c:v>
                </c:pt>
                <c:pt idx="73">
                  <c:v>7</c:v>
                </c:pt>
                <c:pt idx="74">
                  <c:v>7</c:v>
                </c:pt>
                <c:pt idx="75">
                  <c:v>6.8</c:v>
                </c:pt>
                <c:pt idx="76">
                  <c:v>6.5</c:v>
                </c:pt>
                <c:pt idx="77">
                  <c:v>6.2</c:v>
                </c:pt>
                <c:pt idx="78">
                  <c:v>6.2</c:v>
                </c:pt>
                <c:pt idx="79">
                  <c:v>6.1</c:v>
                </c:pt>
                <c:pt idx="80">
                  <c:v>6</c:v>
                </c:pt>
                <c:pt idx="81">
                  <c:v>6</c:v>
                </c:pt>
                <c:pt idx="82">
                  <c:v>6</c:v>
                </c:pt>
                <c:pt idx="83">
                  <c:v>6</c:v>
                </c:pt>
                <c:pt idx="84">
                  <c:v>6.2</c:v>
                </c:pt>
                <c:pt idx="85">
                  <c:v>6.2</c:v>
                </c:pt>
                <c:pt idx="86">
                  <c:v>6.2</c:v>
                </c:pt>
                <c:pt idx="87">
                  <c:v>6</c:v>
                </c:pt>
                <c:pt idx="88">
                  <c:v>5.8</c:v>
                </c:pt>
                <c:pt idx="89">
                  <c:v>5.5</c:v>
                </c:pt>
                <c:pt idx="90">
                  <c:v>5.4</c:v>
                </c:pt>
                <c:pt idx="91">
                  <c:v>5.3</c:v>
                </c:pt>
                <c:pt idx="92">
                  <c:v>5.2</c:v>
                </c:pt>
                <c:pt idx="93">
                  <c:v>5.2</c:v>
                </c:pt>
                <c:pt idx="94">
                  <c:v>5.2</c:v>
                </c:pt>
                <c:pt idx="95">
                  <c:v>5.2</c:v>
                </c:pt>
                <c:pt idx="96">
                  <c:v>5.5</c:v>
                </c:pt>
                <c:pt idx="97">
                  <c:v>5.6</c:v>
                </c:pt>
                <c:pt idx="98">
                  <c:v>5.6</c:v>
                </c:pt>
                <c:pt idx="99">
                  <c:v>5.4</c:v>
                </c:pt>
                <c:pt idx="100">
                  <c:v>5.3</c:v>
                </c:pt>
                <c:pt idx="101">
                  <c:v>5.3</c:v>
                </c:pt>
                <c:pt idx="102">
                  <c:v>5.4</c:v>
                </c:pt>
                <c:pt idx="103">
                  <c:v>5.3</c:v>
                </c:pt>
                <c:pt idx="104">
                  <c:v>5.2</c:v>
                </c:pt>
                <c:pt idx="105">
                  <c:v>5.2</c:v>
                </c:pt>
                <c:pt idx="106">
                  <c:v>5.2</c:v>
                </c:pt>
                <c:pt idx="107">
                  <c:v>5.4</c:v>
                </c:pt>
                <c:pt idx="108">
                  <c:v>5.6</c:v>
                </c:pt>
                <c:pt idx="109">
                  <c:v>5.7</c:v>
                </c:pt>
                <c:pt idx="110">
                  <c:v>5.7</c:v>
                </c:pt>
                <c:pt idx="111">
                  <c:v>5.3</c:v>
                </c:pt>
                <c:pt idx="112">
                  <c:v>5.3</c:v>
                </c:pt>
                <c:pt idx="113">
                  <c:v>5.3</c:v>
                </c:pt>
                <c:pt idx="114">
                  <c:v>5.3</c:v>
                </c:pt>
                <c:pt idx="115">
                  <c:v>5.2</c:v>
                </c:pt>
                <c:pt idx="116">
                  <c:v>5.0999999999999996</c:v>
                </c:pt>
                <c:pt idx="117">
                  <c:v>5.0999999999999996</c:v>
                </c:pt>
                <c:pt idx="118" formatCode="0.0">
                  <c:v>5.0999999999999996</c:v>
                </c:pt>
                <c:pt idx="119">
                  <c:v>5.3</c:v>
                </c:pt>
                <c:pt idx="120">
                  <c:v>5.4</c:v>
                </c:pt>
                <c:pt idx="121">
                  <c:v>5.3</c:v>
                </c:pt>
                <c:pt idx="122">
                  <c:v>5.0999999999999996</c:v>
                </c:pt>
                <c:pt idx="123">
                  <c:v>4.9000000000000004</c:v>
                </c:pt>
                <c:pt idx="124">
                  <c:v>4.7</c:v>
                </c:pt>
                <c:pt idx="125">
                  <c:v>4.5999999999999996</c:v>
                </c:pt>
                <c:pt idx="126">
                  <c:v>4.5999999999999996</c:v>
                </c:pt>
                <c:pt idx="127">
                  <c:v>4.5999999999999996</c:v>
                </c:pt>
                <c:pt idx="128">
                  <c:v>4.2</c:v>
                </c:pt>
                <c:pt idx="129">
                  <c:v>4.2</c:v>
                </c:pt>
                <c:pt idx="130">
                  <c:v>4.2</c:v>
                </c:pt>
                <c:pt idx="131">
                  <c:v>4.3</c:v>
                </c:pt>
                <c:pt idx="132">
                  <c:v>4.4000000000000004</c:v>
                </c:pt>
                <c:pt idx="133">
                  <c:v>4.4000000000000004</c:v>
                </c:pt>
                <c:pt idx="134">
                  <c:v>4.3</c:v>
                </c:pt>
                <c:pt idx="135">
                  <c:v>4.2</c:v>
                </c:pt>
                <c:pt idx="136">
                  <c:v>4.0999999999999996</c:v>
                </c:pt>
                <c:pt idx="137">
                  <c:v>4.2</c:v>
                </c:pt>
                <c:pt idx="138">
                  <c:v>4.2</c:v>
                </c:pt>
                <c:pt idx="139">
                  <c:v>4.2</c:v>
                </c:pt>
                <c:pt idx="140">
                  <c:v>4.0999999999999996</c:v>
                </c:pt>
                <c:pt idx="141">
                  <c:v>4.0999999999999996</c:v>
                </c:pt>
                <c:pt idx="142">
                  <c:v>4.0999999999999996</c:v>
                </c:pt>
                <c:pt idx="143">
                  <c:v>4.2</c:v>
                </c:pt>
                <c:pt idx="144">
                  <c:v>4.4000000000000004</c:v>
                </c:pt>
                <c:pt idx="145">
                  <c:v>4.4000000000000004</c:v>
                </c:pt>
                <c:pt idx="146">
                  <c:v>4.2</c:v>
                </c:pt>
                <c:pt idx="147">
                  <c:v>4.0999999999999996</c:v>
                </c:pt>
                <c:pt idx="148">
                  <c:v>4</c:v>
                </c:pt>
                <c:pt idx="149">
                  <c:v>4.0999999999999996</c:v>
                </c:pt>
                <c:pt idx="150">
                  <c:v>4.0999999999999996</c:v>
                </c:pt>
                <c:pt idx="151">
                  <c:v>4.0999999999999996</c:v>
                </c:pt>
                <c:pt idx="152">
                  <c:v>3.9</c:v>
                </c:pt>
                <c:pt idx="153">
                  <c:v>3.9</c:v>
                </c:pt>
                <c:pt idx="154">
                  <c:v>3.9</c:v>
                </c:pt>
                <c:pt idx="155">
                  <c:v>4.3</c:v>
                </c:pt>
                <c:pt idx="156">
                  <c:v>4.3</c:v>
                </c:pt>
                <c:pt idx="157">
                  <c:v>4.3</c:v>
                </c:pt>
                <c:pt idx="158">
                  <c:v>4.7</c:v>
                </c:pt>
                <c:pt idx="159">
                  <c:v>6.3</c:v>
                </c:pt>
                <c:pt idx="160">
                  <c:v>6.8</c:v>
                </c:pt>
                <c:pt idx="161">
                  <c:v>6.9</c:v>
                </c:pt>
                <c:pt idx="162">
                  <c:v>6.9</c:v>
                </c:pt>
                <c:pt idx="163">
                  <c:v>6.6</c:v>
                </c:pt>
              </c:numCache>
            </c:numRef>
          </c:val>
          <c:smooth val="1"/>
          <c:extLst>
            <c:ext xmlns:c16="http://schemas.microsoft.com/office/drawing/2014/chart" uri="{C3380CC4-5D6E-409C-BE32-E72D297353CC}">
              <c16:uniqueId val="{00000001-63E0-4B13-A98E-D4C5846C2B93}"/>
            </c:ext>
          </c:extLst>
        </c:ser>
        <c:ser>
          <c:idx val="1"/>
          <c:order val="1"/>
          <c:tx>
            <c:strRef>
              <c:f>Sheet2!$A$6</c:f>
              <c:strCache>
                <c:ptCount val="1"/>
                <c:pt idx="0">
                  <c:v>Kurzeme</c:v>
                </c:pt>
              </c:strCache>
            </c:strRef>
          </c:tx>
          <c:spPr>
            <a:ln w="28575" cap="rnd">
              <a:solidFill>
                <a:srgbClr val="FFC000"/>
              </a:solidFill>
              <a:round/>
            </a:ln>
            <a:effectLst/>
          </c:spPr>
          <c:marker>
            <c:symbol val="none"/>
          </c:marker>
          <c:cat>
            <c:strRef>
              <c:f>Sheet2!$B$4:$FI$4</c:f>
              <c:strCache>
                <c:ptCount val="164"/>
                <c:pt idx="0">
                  <c:v>2007`I</c:v>
                </c:pt>
                <c:pt idx="1">
                  <c:v>II</c:v>
                </c:pt>
                <c:pt idx="2">
                  <c:v>III</c:v>
                </c:pt>
                <c:pt idx="3">
                  <c:v>IV</c:v>
                </c:pt>
                <c:pt idx="4">
                  <c:v>V</c:v>
                </c:pt>
                <c:pt idx="5">
                  <c:v>VI</c:v>
                </c:pt>
                <c:pt idx="6">
                  <c:v>VII</c:v>
                </c:pt>
                <c:pt idx="7">
                  <c:v>VIII</c:v>
                </c:pt>
                <c:pt idx="8">
                  <c:v>IX</c:v>
                </c:pt>
                <c:pt idx="9">
                  <c:v>X</c:v>
                </c:pt>
                <c:pt idx="10">
                  <c:v>XI</c:v>
                </c:pt>
                <c:pt idx="11">
                  <c:v>XII</c:v>
                </c:pt>
                <c:pt idx="12">
                  <c:v>2008`I</c:v>
                </c:pt>
                <c:pt idx="13">
                  <c:v>II</c:v>
                </c:pt>
                <c:pt idx="14">
                  <c:v>III</c:v>
                </c:pt>
                <c:pt idx="15">
                  <c:v>IV</c:v>
                </c:pt>
                <c:pt idx="16">
                  <c:v>V</c:v>
                </c:pt>
                <c:pt idx="17">
                  <c:v>VI</c:v>
                </c:pt>
                <c:pt idx="18">
                  <c:v>VII</c:v>
                </c:pt>
                <c:pt idx="19">
                  <c:v>VIII</c:v>
                </c:pt>
                <c:pt idx="20">
                  <c:v>IX</c:v>
                </c:pt>
                <c:pt idx="21">
                  <c:v>X</c:v>
                </c:pt>
                <c:pt idx="22">
                  <c:v>XI</c:v>
                </c:pt>
                <c:pt idx="23">
                  <c:v>XII</c:v>
                </c:pt>
                <c:pt idx="24">
                  <c:v>2009`I</c:v>
                </c:pt>
                <c:pt idx="25">
                  <c:v>II</c:v>
                </c:pt>
                <c:pt idx="26">
                  <c:v>III</c:v>
                </c:pt>
                <c:pt idx="27">
                  <c:v>IV</c:v>
                </c:pt>
                <c:pt idx="28">
                  <c:v>V</c:v>
                </c:pt>
                <c:pt idx="29">
                  <c:v>VI</c:v>
                </c:pt>
                <c:pt idx="30">
                  <c:v>VII</c:v>
                </c:pt>
                <c:pt idx="31">
                  <c:v>VIII</c:v>
                </c:pt>
                <c:pt idx="32">
                  <c:v>IX</c:v>
                </c:pt>
                <c:pt idx="33">
                  <c:v>X</c:v>
                </c:pt>
                <c:pt idx="34">
                  <c:v>XI</c:v>
                </c:pt>
                <c:pt idx="35">
                  <c:v>XII</c:v>
                </c:pt>
                <c:pt idx="36">
                  <c:v>2010`I</c:v>
                </c:pt>
                <c:pt idx="37">
                  <c:v>II</c:v>
                </c:pt>
                <c:pt idx="38">
                  <c:v>III</c:v>
                </c:pt>
                <c:pt idx="39">
                  <c:v>IV</c:v>
                </c:pt>
                <c:pt idx="40">
                  <c:v>V</c:v>
                </c:pt>
                <c:pt idx="41">
                  <c:v>VI</c:v>
                </c:pt>
                <c:pt idx="42">
                  <c:v>VII</c:v>
                </c:pt>
                <c:pt idx="43">
                  <c:v>VIII</c:v>
                </c:pt>
                <c:pt idx="44">
                  <c:v>IX</c:v>
                </c:pt>
                <c:pt idx="45">
                  <c:v>X</c:v>
                </c:pt>
                <c:pt idx="46">
                  <c:v>XI</c:v>
                </c:pt>
                <c:pt idx="47">
                  <c:v>XII</c:v>
                </c:pt>
                <c:pt idx="48">
                  <c:v>2011`I</c:v>
                </c:pt>
                <c:pt idx="49">
                  <c:v>II</c:v>
                </c:pt>
                <c:pt idx="50">
                  <c:v>III</c:v>
                </c:pt>
                <c:pt idx="51">
                  <c:v>IV</c:v>
                </c:pt>
                <c:pt idx="52">
                  <c:v>V</c:v>
                </c:pt>
                <c:pt idx="53">
                  <c:v>VI</c:v>
                </c:pt>
                <c:pt idx="54">
                  <c:v>VII</c:v>
                </c:pt>
                <c:pt idx="55">
                  <c:v>VIII</c:v>
                </c:pt>
                <c:pt idx="56">
                  <c:v>IX</c:v>
                </c:pt>
                <c:pt idx="57">
                  <c:v>X</c:v>
                </c:pt>
                <c:pt idx="58">
                  <c:v>XI</c:v>
                </c:pt>
                <c:pt idx="59">
                  <c:v>XII</c:v>
                </c:pt>
                <c:pt idx="60">
                  <c:v>2012`I</c:v>
                </c:pt>
                <c:pt idx="61">
                  <c:v>II</c:v>
                </c:pt>
                <c:pt idx="62">
                  <c:v>III</c:v>
                </c:pt>
                <c:pt idx="63">
                  <c:v>IV</c:v>
                </c:pt>
                <c:pt idx="64">
                  <c:v>V</c:v>
                </c:pt>
                <c:pt idx="65">
                  <c:v>VI</c:v>
                </c:pt>
                <c:pt idx="66">
                  <c:v>VII</c:v>
                </c:pt>
                <c:pt idx="67">
                  <c:v>VIII</c:v>
                </c:pt>
                <c:pt idx="68">
                  <c:v>IX</c:v>
                </c:pt>
                <c:pt idx="69">
                  <c:v>X</c:v>
                </c:pt>
                <c:pt idx="70">
                  <c:v>XI</c:v>
                </c:pt>
                <c:pt idx="71">
                  <c:v>XII</c:v>
                </c:pt>
                <c:pt idx="72">
                  <c:v>2013`I</c:v>
                </c:pt>
                <c:pt idx="73">
                  <c:v>II</c:v>
                </c:pt>
                <c:pt idx="74">
                  <c:v>III</c:v>
                </c:pt>
                <c:pt idx="75">
                  <c:v>IV</c:v>
                </c:pt>
                <c:pt idx="76">
                  <c:v>V</c:v>
                </c:pt>
                <c:pt idx="77">
                  <c:v>VI</c:v>
                </c:pt>
                <c:pt idx="78">
                  <c:v>VII</c:v>
                </c:pt>
                <c:pt idx="79">
                  <c:v>VIII</c:v>
                </c:pt>
                <c:pt idx="80">
                  <c:v>IX</c:v>
                </c:pt>
                <c:pt idx="81">
                  <c:v>X</c:v>
                </c:pt>
                <c:pt idx="82">
                  <c:v>XI</c:v>
                </c:pt>
                <c:pt idx="83">
                  <c:v>XII</c:v>
                </c:pt>
                <c:pt idx="84">
                  <c:v>2014`I</c:v>
                </c:pt>
                <c:pt idx="85">
                  <c:v>II</c:v>
                </c:pt>
                <c:pt idx="86">
                  <c:v>III</c:v>
                </c:pt>
                <c:pt idx="87">
                  <c:v>IV</c:v>
                </c:pt>
                <c:pt idx="88">
                  <c:v>V</c:v>
                </c:pt>
                <c:pt idx="89">
                  <c:v>VI</c:v>
                </c:pt>
                <c:pt idx="90">
                  <c:v>VII</c:v>
                </c:pt>
                <c:pt idx="91">
                  <c:v>VIII</c:v>
                </c:pt>
                <c:pt idx="92">
                  <c:v>IX</c:v>
                </c:pt>
                <c:pt idx="93">
                  <c:v>X</c:v>
                </c:pt>
                <c:pt idx="94">
                  <c:v>XI</c:v>
                </c:pt>
                <c:pt idx="95">
                  <c:v>XII</c:v>
                </c:pt>
                <c:pt idx="96">
                  <c:v>2015`I</c:v>
                </c:pt>
                <c:pt idx="97">
                  <c:v>II</c:v>
                </c:pt>
                <c:pt idx="98">
                  <c:v>III</c:v>
                </c:pt>
                <c:pt idx="99">
                  <c:v>IV</c:v>
                </c:pt>
                <c:pt idx="100">
                  <c:v>V</c:v>
                </c:pt>
                <c:pt idx="101">
                  <c:v>VI</c:v>
                </c:pt>
                <c:pt idx="102">
                  <c:v>VII</c:v>
                </c:pt>
                <c:pt idx="103">
                  <c:v>VIII</c:v>
                </c:pt>
                <c:pt idx="104">
                  <c:v>IX</c:v>
                </c:pt>
                <c:pt idx="105">
                  <c:v>X</c:v>
                </c:pt>
                <c:pt idx="106">
                  <c:v>XI</c:v>
                </c:pt>
                <c:pt idx="107">
                  <c:v>XII</c:v>
                </c:pt>
                <c:pt idx="108">
                  <c:v>2016`I</c:v>
                </c:pt>
                <c:pt idx="109">
                  <c:v>II</c:v>
                </c:pt>
                <c:pt idx="110">
                  <c:v>III</c:v>
                </c:pt>
                <c:pt idx="111">
                  <c:v>IV</c:v>
                </c:pt>
                <c:pt idx="112">
                  <c:v>V</c:v>
                </c:pt>
                <c:pt idx="113">
                  <c:v>VI</c:v>
                </c:pt>
                <c:pt idx="114">
                  <c:v>VII</c:v>
                </c:pt>
                <c:pt idx="115">
                  <c:v>VIII</c:v>
                </c:pt>
                <c:pt idx="116">
                  <c:v>IX</c:v>
                </c:pt>
                <c:pt idx="117">
                  <c:v>X</c:v>
                </c:pt>
                <c:pt idx="118">
                  <c:v>XI</c:v>
                </c:pt>
                <c:pt idx="119">
                  <c:v>XII</c:v>
                </c:pt>
                <c:pt idx="120">
                  <c:v>2017`I</c:v>
                </c:pt>
                <c:pt idx="121">
                  <c:v>II</c:v>
                </c:pt>
                <c:pt idx="122">
                  <c:v>III</c:v>
                </c:pt>
                <c:pt idx="123">
                  <c:v>IV</c:v>
                </c:pt>
                <c:pt idx="124">
                  <c:v>V</c:v>
                </c:pt>
                <c:pt idx="125">
                  <c:v>VI</c:v>
                </c:pt>
                <c:pt idx="126">
                  <c:v>VII</c:v>
                </c:pt>
                <c:pt idx="127">
                  <c:v>VIII</c:v>
                </c:pt>
                <c:pt idx="128">
                  <c:v>IX</c:v>
                </c:pt>
                <c:pt idx="129">
                  <c:v>X</c:v>
                </c:pt>
                <c:pt idx="130">
                  <c:v>XI</c:v>
                </c:pt>
                <c:pt idx="131">
                  <c:v>XII</c:v>
                </c:pt>
                <c:pt idx="132">
                  <c:v>2018`I</c:v>
                </c:pt>
                <c:pt idx="133">
                  <c:v>II</c:v>
                </c:pt>
                <c:pt idx="134">
                  <c:v>III</c:v>
                </c:pt>
                <c:pt idx="135">
                  <c:v>IV</c:v>
                </c:pt>
                <c:pt idx="136">
                  <c:v>V</c:v>
                </c:pt>
                <c:pt idx="137">
                  <c:v>VI</c:v>
                </c:pt>
                <c:pt idx="138">
                  <c:v>VII</c:v>
                </c:pt>
                <c:pt idx="139">
                  <c:v>VIII</c:v>
                </c:pt>
                <c:pt idx="140">
                  <c:v>IX</c:v>
                </c:pt>
                <c:pt idx="141">
                  <c:v>X</c:v>
                </c:pt>
                <c:pt idx="142">
                  <c:v>XI</c:v>
                </c:pt>
                <c:pt idx="143">
                  <c:v>XII</c:v>
                </c:pt>
                <c:pt idx="144">
                  <c:v>2019`I</c:v>
                </c:pt>
                <c:pt idx="145">
                  <c:v>II</c:v>
                </c:pt>
                <c:pt idx="146">
                  <c:v>III</c:v>
                </c:pt>
                <c:pt idx="147">
                  <c:v>IV</c:v>
                </c:pt>
                <c:pt idx="148">
                  <c:v>V</c:v>
                </c:pt>
                <c:pt idx="149">
                  <c:v>VI</c:v>
                </c:pt>
                <c:pt idx="150">
                  <c:v>VII</c:v>
                </c:pt>
                <c:pt idx="151">
                  <c:v>VIII</c:v>
                </c:pt>
                <c:pt idx="152">
                  <c:v>IX</c:v>
                </c:pt>
                <c:pt idx="153">
                  <c:v>X</c:v>
                </c:pt>
                <c:pt idx="154">
                  <c:v>XI</c:v>
                </c:pt>
                <c:pt idx="155">
                  <c:v>XII</c:v>
                </c:pt>
                <c:pt idx="156">
                  <c:v>2020`I</c:v>
                </c:pt>
                <c:pt idx="157">
                  <c:v>II</c:v>
                </c:pt>
                <c:pt idx="158">
                  <c:v>III</c:v>
                </c:pt>
                <c:pt idx="159">
                  <c:v>IV</c:v>
                </c:pt>
                <c:pt idx="160">
                  <c:v>V</c:v>
                </c:pt>
                <c:pt idx="161">
                  <c:v>VI</c:v>
                </c:pt>
                <c:pt idx="162">
                  <c:v>VII</c:v>
                </c:pt>
                <c:pt idx="163">
                  <c:v>VIII</c:v>
                </c:pt>
              </c:strCache>
            </c:strRef>
          </c:cat>
          <c:val>
            <c:numRef>
              <c:f>Sheet2!$B$6:$FI$6</c:f>
              <c:numCache>
                <c:formatCode>General</c:formatCode>
                <c:ptCount val="164"/>
                <c:pt idx="1">
                  <c:v>6.6</c:v>
                </c:pt>
                <c:pt idx="2">
                  <c:v>6.4</c:v>
                </c:pt>
                <c:pt idx="3">
                  <c:v>6.1</c:v>
                </c:pt>
                <c:pt idx="4">
                  <c:v>5.7</c:v>
                </c:pt>
                <c:pt idx="5">
                  <c:v>5.7</c:v>
                </c:pt>
                <c:pt idx="6">
                  <c:v>5.6</c:v>
                </c:pt>
                <c:pt idx="7">
                  <c:v>5.4</c:v>
                </c:pt>
                <c:pt idx="8">
                  <c:v>4.9000000000000004</c:v>
                </c:pt>
                <c:pt idx="9">
                  <c:v>4.8</c:v>
                </c:pt>
                <c:pt idx="10">
                  <c:v>4.8</c:v>
                </c:pt>
                <c:pt idx="11">
                  <c:v>5.0999999999999996</c:v>
                </c:pt>
                <c:pt idx="12">
                  <c:v>5.3</c:v>
                </c:pt>
                <c:pt idx="13">
                  <c:v>5.3</c:v>
                </c:pt>
                <c:pt idx="14">
                  <c:v>5.2</c:v>
                </c:pt>
                <c:pt idx="15">
                  <c:v>5.2</c:v>
                </c:pt>
                <c:pt idx="16">
                  <c:v>5.0999999999999996</c:v>
                </c:pt>
                <c:pt idx="17">
                  <c:v>5.4</c:v>
                </c:pt>
                <c:pt idx="18">
                  <c:v>5.5</c:v>
                </c:pt>
                <c:pt idx="19">
                  <c:v>5.5</c:v>
                </c:pt>
                <c:pt idx="20">
                  <c:v>5.5</c:v>
                </c:pt>
                <c:pt idx="21">
                  <c:v>5.7</c:v>
                </c:pt>
                <c:pt idx="22">
                  <c:v>6.3</c:v>
                </c:pt>
                <c:pt idx="23">
                  <c:v>7.5</c:v>
                </c:pt>
                <c:pt idx="24">
                  <c:v>9.1</c:v>
                </c:pt>
                <c:pt idx="25">
                  <c:v>10.6</c:v>
                </c:pt>
                <c:pt idx="26">
                  <c:v>11.9</c:v>
                </c:pt>
                <c:pt idx="27">
                  <c:v>12</c:v>
                </c:pt>
                <c:pt idx="28">
                  <c:v>12.4</c:v>
                </c:pt>
                <c:pt idx="29">
                  <c:v>12.7</c:v>
                </c:pt>
                <c:pt idx="30">
                  <c:v>13.1</c:v>
                </c:pt>
                <c:pt idx="31">
                  <c:v>13.6</c:v>
                </c:pt>
                <c:pt idx="32">
                  <c:v>14.6</c:v>
                </c:pt>
                <c:pt idx="33">
                  <c:v>15.7</c:v>
                </c:pt>
                <c:pt idx="34">
                  <c:v>16.7</c:v>
                </c:pt>
                <c:pt idx="35">
                  <c:v>17.7</c:v>
                </c:pt>
                <c:pt idx="36">
                  <c:v>18.399999999999999</c:v>
                </c:pt>
                <c:pt idx="37">
                  <c:v>18.899999999999999</c:v>
                </c:pt>
                <c:pt idx="38">
                  <c:v>19</c:v>
                </c:pt>
                <c:pt idx="39">
                  <c:v>17.899999999999999</c:v>
                </c:pt>
                <c:pt idx="40">
                  <c:v>17.100000000000001</c:v>
                </c:pt>
                <c:pt idx="41">
                  <c:v>16.7</c:v>
                </c:pt>
                <c:pt idx="42">
                  <c:v>16.399999999999999</c:v>
                </c:pt>
                <c:pt idx="43">
                  <c:v>16.100000000000001</c:v>
                </c:pt>
                <c:pt idx="44">
                  <c:v>15.5</c:v>
                </c:pt>
                <c:pt idx="45">
                  <c:v>15.4</c:v>
                </c:pt>
                <c:pt idx="46">
                  <c:v>15.5</c:v>
                </c:pt>
                <c:pt idx="47">
                  <c:v>15.7</c:v>
                </c:pt>
                <c:pt idx="48">
                  <c:v>16</c:v>
                </c:pt>
                <c:pt idx="49">
                  <c:v>16</c:v>
                </c:pt>
                <c:pt idx="50">
                  <c:v>15.7</c:v>
                </c:pt>
                <c:pt idx="51">
                  <c:v>14.8</c:v>
                </c:pt>
                <c:pt idx="52">
                  <c:v>13.9</c:v>
                </c:pt>
                <c:pt idx="53">
                  <c:v>13.2</c:v>
                </c:pt>
                <c:pt idx="54">
                  <c:v>12.8</c:v>
                </c:pt>
                <c:pt idx="55">
                  <c:v>12.5</c:v>
                </c:pt>
                <c:pt idx="56">
                  <c:v>12.1</c:v>
                </c:pt>
                <c:pt idx="57">
                  <c:v>12</c:v>
                </c:pt>
                <c:pt idx="58">
                  <c:v>12</c:v>
                </c:pt>
                <c:pt idx="59">
                  <c:v>12.1</c:v>
                </c:pt>
                <c:pt idx="60">
                  <c:v>12.4</c:v>
                </c:pt>
                <c:pt idx="61">
                  <c:v>12.6</c:v>
                </c:pt>
                <c:pt idx="62">
                  <c:v>12.3</c:v>
                </c:pt>
                <c:pt idx="63" formatCode="0.0">
                  <c:v>13.9</c:v>
                </c:pt>
                <c:pt idx="64" formatCode="0.0">
                  <c:v>13.2</c:v>
                </c:pt>
                <c:pt idx="65">
                  <c:v>12.7</c:v>
                </c:pt>
                <c:pt idx="66">
                  <c:v>12.4</c:v>
                </c:pt>
                <c:pt idx="67">
                  <c:v>12</c:v>
                </c:pt>
                <c:pt idx="68">
                  <c:v>11.6</c:v>
                </c:pt>
                <c:pt idx="69">
                  <c:v>11.3</c:v>
                </c:pt>
                <c:pt idx="70">
                  <c:v>11.2</c:v>
                </c:pt>
                <c:pt idx="71">
                  <c:v>11.4</c:v>
                </c:pt>
                <c:pt idx="72">
                  <c:v>12.2</c:v>
                </c:pt>
                <c:pt idx="73">
                  <c:v>12.2</c:v>
                </c:pt>
                <c:pt idx="74">
                  <c:v>12</c:v>
                </c:pt>
                <c:pt idx="75">
                  <c:v>11.1</c:v>
                </c:pt>
                <c:pt idx="76">
                  <c:v>10.5</c:v>
                </c:pt>
                <c:pt idx="77">
                  <c:v>10.5</c:v>
                </c:pt>
                <c:pt idx="78">
                  <c:v>10.3</c:v>
                </c:pt>
                <c:pt idx="79">
                  <c:v>10</c:v>
                </c:pt>
                <c:pt idx="80">
                  <c:v>9.6999999999999993</c:v>
                </c:pt>
                <c:pt idx="81">
                  <c:v>9.8000000000000007</c:v>
                </c:pt>
                <c:pt idx="82">
                  <c:v>11</c:v>
                </c:pt>
                <c:pt idx="83">
                  <c:v>11.5</c:v>
                </c:pt>
                <c:pt idx="84">
                  <c:v>12.1</c:v>
                </c:pt>
                <c:pt idx="85">
                  <c:v>12.4</c:v>
                </c:pt>
                <c:pt idx="86">
                  <c:v>12.2</c:v>
                </c:pt>
                <c:pt idx="87">
                  <c:v>11.6</c:v>
                </c:pt>
                <c:pt idx="88">
                  <c:v>11</c:v>
                </c:pt>
                <c:pt idx="89">
                  <c:v>11.1</c:v>
                </c:pt>
                <c:pt idx="90">
                  <c:v>10.9</c:v>
                </c:pt>
                <c:pt idx="91">
                  <c:v>10.4</c:v>
                </c:pt>
                <c:pt idx="92">
                  <c:v>9.6999999999999993</c:v>
                </c:pt>
                <c:pt idx="93">
                  <c:v>9.8000000000000007</c:v>
                </c:pt>
                <c:pt idx="94">
                  <c:v>10</c:v>
                </c:pt>
                <c:pt idx="95">
                  <c:v>10.7</c:v>
                </c:pt>
                <c:pt idx="96">
                  <c:v>11.4</c:v>
                </c:pt>
                <c:pt idx="97">
                  <c:v>11.5</c:v>
                </c:pt>
                <c:pt idx="98">
                  <c:v>11.3</c:v>
                </c:pt>
                <c:pt idx="99">
                  <c:v>10.5</c:v>
                </c:pt>
                <c:pt idx="100">
                  <c:v>10.3</c:v>
                </c:pt>
                <c:pt idx="101">
                  <c:v>10.9</c:v>
                </c:pt>
                <c:pt idx="102">
                  <c:v>10.9</c:v>
                </c:pt>
                <c:pt idx="103">
                  <c:v>10.7</c:v>
                </c:pt>
                <c:pt idx="104">
                  <c:v>10.3</c:v>
                </c:pt>
                <c:pt idx="105">
                  <c:v>10.199999999999999</c:v>
                </c:pt>
                <c:pt idx="106">
                  <c:v>10.5</c:v>
                </c:pt>
                <c:pt idx="107">
                  <c:v>11</c:v>
                </c:pt>
                <c:pt idx="108">
                  <c:v>11.4</c:v>
                </c:pt>
                <c:pt idx="109">
                  <c:v>11.5</c:v>
                </c:pt>
                <c:pt idx="110">
                  <c:v>11.6</c:v>
                </c:pt>
                <c:pt idx="111">
                  <c:v>10.8</c:v>
                </c:pt>
                <c:pt idx="112">
                  <c:v>10.4</c:v>
                </c:pt>
                <c:pt idx="113">
                  <c:v>10.4</c:v>
                </c:pt>
                <c:pt idx="114">
                  <c:v>10.3</c:v>
                </c:pt>
                <c:pt idx="115">
                  <c:v>9.9</c:v>
                </c:pt>
                <c:pt idx="116">
                  <c:v>9.6</c:v>
                </c:pt>
                <c:pt idx="117">
                  <c:v>9.5</c:v>
                </c:pt>
                <c:pt idx="118" formatCode="0.0">
                  <c:v>9.8000000000000007</c:v>
                </c:pt>
                <c:pt idx="119">
                  <c:v>10.4</c:v>
                </c:pt>
                <c:pt idx="120">
                  <c:v>10.6</c:v>
                </c:pt>
                <c:pt idx="121">
                  <c:v>10.5</c:v>
                </c:pt>
                <c:pt idx="122">
                  <c:v>9.9</c:v>
                </c:pt>
                <c:pt idx="123">
                  <c:v>9</c:v>
                </c:pt>
                <c:pt idx="124">
                  <c:v>8.4</c:v>
                </c:pt>
                <c:pt idx="125">
                  <c:v>8</c:v>
                </c:pt>
                <c:pt idx="126">
                  <c:v>7.7</c:v>
                </c:pt>
                <c:pt idx="127">
                  <c:v>7.5</c:v>
                </c:pt>
                <c:pt idx="128">
                  <c:v>7.2</c:v>
                </c:pt>
                <c:pt idx="129">
                  <c:v>7.2</c:v>
                </c:pt>
                <c:pt idx="130">
                  <c:v>7.3</c:v>
                </c:pt>
                <c:pt idx="131">
                  <c:v>7.7</c:v>
                </c:pt>
                <c:pt idx="132">
                  <c:v>8.1</c:v>
                </c:pt>
                <c:pt idx="133">
                  <c:v>8.1</c:v>
                </c:pt>
                <c:pt idx="134">
                  <c:v>8.1</c:v>
                </c:pt>
                <c:pt idx="135">
                  <c:v>7.4</c:v>
                </c:pt>
                <c:pt idx="136">
                  <c:v>7.1</c:v>
                </c:pt>
                <c:pt idx="137">
                  <c:v>7.1</c:v>
                </c:pt>
                <c:pt idx="138">
                  <c:v>7.1</c:v>
                </c:pt>
                <c:pt idx="139">
                  <c:v>7</c:v>
                </c:pt>
                <c:pt idx="140">
                  <c:v>6.9</c:v>
                </c:pt>
                <c:pt idx="141">
                  <c:v>6.9</c:v>
                </c:pt>
                <c:pt idx="142">
                  <c:v>7</c:v>
                </c:pt>
                <c:pt idx="143">
                  <c:v>7.5</c:v>
                </c:pt>
                <c:pt idx="144">
                  <c:v>7.9</c:v>
                </c:pt>
                <c:pt idx="145">
                  <c:v>8.1</c:v>
                </c:pt>
                <c:pt idx="146">
                  <c:v>7.8</c:v>
                </c:pt>
                <c:pt idx="147">
                  <c:v>7.1</c:v>
                </c:pt>
                <c:pt idx="148">
                  <c:v>6.7</c:v>
                </c:pt>
                <c:pt idx="149">
                  <c:v>6.6</c:v>
                </c:pt>
                <c:pt idx="150">
                  <c:v>6.5</c:v>
                </c:pt>
                <c:pt idx="151">
                  <c:v>6.3</c:v>
                </c:pt>
                <c:pt idx="152">
                  <c:v>6.1</c:v>
                </c:pt>
                <c:pt idx="153">
                  <c:v>6.2</c:v>
                </c:pt>
                <c:pt idx="154">
                  <c:v>6.2</c:v>
                </c:pt>
                <c:pt idx="155">
                  <c:v>7.2</c:v>
                </c:pt>
                <c:pt idx="156">
                  <c:v>7.4</c:v>
                </c:pt>
                <c:pt idx="157">
                  <c:v>7.3</c:v>
                </c:pt>
                <c:pt idx="158">
                  <c:v>7.7</c:v>
                </c:pt>
                <c:pt idx="159">
                  <c:v>8.6</c:v>
                </c:pt>
                <c:pt idx="160">
                  <c:v>8.9</c:v>
                </c:pt>
                <c:pt idx="161">
                  <c:v>9.1999999999999993</c:v>
                </c:pt>
                <c:pt idx="162">
                  <c:v>9.1</c:v>
                </c:pt>
                <c:pt idx="163">
                  <c:v>8.6</c:v>
                </c:pt>
              </c:numCache>
            </c:numRef>
          </c:val>
          <c:smooth val="0"/>
          <c:extLst>
            <c:ext xmlns:c16="http://schemas.microsoft.com/office/drawing/2014/chart" uri="{C3380CC4-5D6E-409C-BE32-E72D297353CC}">
              <c16:uniqueId val="{00000002-63E0-4B13-A98E-D4C5846C2B93}"/>
            </c:ext>
          </c:extLst>
        </c:ser>
        <c:ser>
          <c:idx val="2"/>
          <c:order val="2"/>
          <c:tx>
            <c:strRef>
              <c:f>Sheet2!$A$7</c:f>
              <c:strCache>
                <c:ptCount val="1"/>
                <c:pt idx="0">
                  <c:v>Latgale</c:v>
                </c:pt>
              </c:strCache>
            </c:strRef>
          </c:tx>
          <c:spPr>
            <a:ln w="28575" cap="rnd">
              <a:solidFill>
                <a:srgbClr val="70AD47"/>
              </a:solidFill>
              <a:round/>
            </a:ln>
            <a:effectLst/>
          </c:spPr>
          <c:marker>
            <c:symbol val="none"/>
          </c:marker>
          <c:cat>
            <c:strRef>
              <c:f>Sheet2!$B$4:$FI$4</c:f>
              <c:strCache>
                <c:ptCount val="164"/>
                <c:pt idx="0">
                  <c:v>2007`I</c:v>
                </c:pt>
                <c:pt idx="1">
                  <c:v>II</c:v>
                </c:pt>
                <c:pt idx="2">
                  <c:v>III</c:v>
                </c:pt>
                <c:pt idx="3">
                  <c:v>IV</c:v>
                </c:pt>
                <c:pt idx="4">
                  <c:v>V</c:v>
                </c:pt>
                <c:pt idx="5">
                  <c:v>VI</c:v>
                </c:pt>
                <c:pt idx="6">
                  <c:v>VII</c:v>
                </c:pt>
                <c:pt idx="7">
                  <c:v>VIII</c:v>
                </c:pt>
                <c:pt idx="8">
                  <c:v>IX</c:v>
                </c:pt>
                <c:pt idx="9">
                  <c:v>X</c:v>
                </c:pt>
                <c:pt idx="10">
                  <c:v>XI</c:v>
                </c:pt>
                <c:pt idx="11">
                  <c:v>XII</c:v>
                </c:pt>
                <c:pt idx="12">
                  <c:v>2008`I</c:v>
                </c:pt>
                <c:pt idx="13">
                  <c:v>II</c:v>
                </c:pt>
                <c:pt idx="14">
                  <c:v>III</c:v>
                </c:pt>
                <c:pt idx="15">
                  <c:v>IV</c:v>
                </c:pt>
                <c:pt idx="16">
                  <c:v>V</c:v>
                </c:pt>
                <c:pt idx="17">
                  <c:v>VI</c:v>
                </c:pt>
                <c:pt idx="18">
                  <c:v>VII</c:v>
                </c:pt>
                <c:pt idx="19">
                  <c:v>VIII</c:v>
                </c:pt>
                <c:pt idx="20">
                  <c:v>IX</c:v>
                </c:pt>
                <c:pt idx="21">
                  <c:v>X</c:v>
                </c:pt>
                <c:pt idx="22">
                  <c:v>XI</c:v>
                </c:pt>
                <c:pt idx="23">
                  <c:v>XII</c:v>
                </c:pt>
                <c:pt idx="24">
                  <c:v>2009`I</c:v>
                </c:pt>
                <c:pt idx="25">
                  <c:v>II</c:v>
                </c:pt>
                <c:pt idx="26">
                  <c:v>III</c:v>
                </c:pt>
                <c:pt idx="27">
                  <c:v>IV</c:v>
                </c:pt>
                <c:pt idx="28">
                  <c:v>V</c:v>
                </c:pt>
                <c:pt idx="29">
                  <c:v>VI</c:v>
                </c:pt>
                <c:pt idx="30">
                  <c:v>VII</c:v>
                </c:pt>
                <c:pt idx="31">
                  <c:v>VIII</c:v>
                </c:pt>
                <c:pt idx="32">
                  <c:v>IX</c:v>
                </c:pt>
                <c:pt idx="33">
                  <c:v>X</c:v>
                </c:pt>
                <c:pt idx="34">
                  <c:v>XI</c:v>
                </c:pt>
                <c:pt idx="35">
                  <c:v>XII</c:v>
                </c:pt>
                <c:pt idx="36">
                  <c:v>2010`I</c:v>
                </c:pt>
                <c:pt idx="37">
                  <c:v>II</c:v>
                </c:pt>
                <c:pt idx="38">
                  <c:v>III</c:v>
                </c:pt>
                <c:pt idx="39">
                  <c:v>IV</c:v>
                </c:pt>
                <c:pt idx="40">
                  <c:v>V</c:v>
                </c:pt>
                <c:pt idx="41">
                  <c:v>VI</c:v>
                </c:pt>
                <c:pt idx="42">
                  <c:v>VII</c:v>
                </c:pt>
                <c:pt idx="43">
                  <c:v>VIII</c:v>
                </c:pt>
                <c:pt idx="44">
                  <c:v>IX</c:v>
                </c:pt>
                <c:pt idx="45">
                  <c:v>X</c:v>
                </c:pt>
                <c:pt idx="46">
                  <c:v>XI</c:v>
                </c:pt>
                <c:pt idx="47">
                  <c:v>XII</c:v>
                </c:pt>
                <c:pt idx="48">
                  <c:v>2011`I</c:v>
                </c:pt>
                <c:pt idx="49">
                  <c:v>II</c:v>
                </c:pt>
                <c:pt idx="50">
                  <c:v>III</c:v>
                </c:pt>
                <c:pt idx="51">
                  <c:v>IV</c:v>
                </c:pt>
                <c:pt idx="52">
                  <c:v>V</c:v>
                </c:pt>
                <c:pt idx="53">
                  <c:v>VI</c:v>
                </c:pt>
                <c:pt idx="54">
                  <c:v>VII</c:v>
                </c:pt>
                <c:pt idx="55">
                  <c:v>VIII</c:v>
                </c:pt>
                <c:pt idx="56">
                  <c:v>IX</c:v>
                </c:pt>
                <c:pt idx="57">
                  <c:v>X</c:v>
                </c:pt>
                <c:pt idx="58">
                  <c:v>XI</c:v>
                </c:pt>
                <c:pt idx="59">
                  <c:v>XII</c:v>
                </c:pt>
                <c:pt idx="60">
                  <c:v>2012`I</c:v>
                </c:pt>
                <c:pt idx="61">
                  <c:v>II</c:v>
                </c:pt>
                <c:pt idx="62">
                  <c:v>III</c:v>
                </c:pt>
                <c:pt idx="63">
                  <c:v>IV</c:v>
                </c:pt>
                <c:pt idx="64">
                  <c:v>V</c:v>
                </c:pt>
                <c:pt idx="65">
                  <c:v>VI</c:v>
                </c:pt>
                <c:pt idx="66">
                  <c:v>VII</c:v>
                </c:pt>
                <c:pt idx="67">
                  <c:v>VIII</c:v>
                </c:pt>
                <c:pt idx="68">
                  <c:v>IX</c:v>
                </c:pt>
                <c:pt idx="69">
                  <c:v>X</c:v>
                </c:pt>
                <c:pt idx="70">
                  <c:v>XI</c:v>
                </c:pt>
                <c:pt idx="71">
                  <c:v>XII</c:v>
                </c:pt>
                <c:pt idx="72">
                  <c:v>2013`I</c:v>
                </c:pt>
                <c:pt idx="73">
                  <c:v>II</c:v>
                </c:pt>
                <c:pt idx="74">
                  <c:v>III</c:v>
                </c:pt>
                <c:pt idx="75">
                  <c:v>IV</c:v>
                </c:pt>
                <c:pt idx="76">
                  <c:v>V</c:v>
                </c:pt>
                <c:pt idx="77">
                  <c:v>VI</c:v>
                </c:pt>
                <c:pt idx="78">
                  <c:v>VII</c:v>
                </c:pt>
                <c:pt idx="79">
                  <c:v>VIII</c:v>
                </c:pt>
                <c:pt idx="80">
                  <c:v>IX</c:v>
                </c:pt>
                <c:pt idx="81">
                  <c:v>X</c:v>
                </c:pt>
                <c:pt idx="82">
                  <c:v>XI</c:v>
                </c:pt>
                <c:pt idx="83">
                  <c:v>XII</c:v>
                </c:pt>
                <c:pt idx="84">
                  <c:v>2014`I</c:v>
                </c:pt>
                <c:pt idx="85">
                  <c:v>II</c:v>
                </c:pt>
                <c:pt idx="86">
                  <c:v>III</c:v>
                </c:pt>
                <c:pt idx="87">
                  <c:v>IV</c:v>
                </c:pt>
                <c:pt idx="88">
                  <c:v>V</c:v>
                </c:pt>
                <c:pt idx="89">
                  <c:v>VI</c:v>
                </c:pt>
                <c:pt idx="90">
                  <c:v>VII</c:v>
                </c:pt>
                <c:pt idx="91">
                  <c:v>VIII</c:v>
                </c:pt>
                <c:pt idx="92">
                  <c:v>IX</c:v>
                </c:pt>
                <c:pt idx="93">
                  <c:v>X</c:v>
                </c:pt>
                <c:pt idx="94">
                  <c:v>XI</c:v>
                </c:pt>
                <c:pt idx="95">
                  <c:v>XII</c:v>
                </c:pt>
                <c:pt idx="96">
                  <c:v>2015`I</c:v>
                </c:pt>
                <c:pt idx="97">
                  <c:v>II</c:v>
                </c:pt>
                <c:pt idx="98">
                  <c:v>III</c:v>
                </c:pt>
                <c:pt idx="99">
                  <c:v>IV</c:v>
                </c:pt>
                <c:pt idx="100">
                  <c:v>V</c:v>
                </c:pt>
                <c:pt idx="101">
                  <c:v>VI</c:v>
                </c:pt>
                <c:pt idx="102">
                  <c:v>VII</c:v>
                </c:pt>
                <c:pt idx="103">
                  <c:v>VIII</c:v>
                </c:pt>
                <c:pt idx="104">
                  <c:v>IX</c:v>
                </c:pt>
                <c:pt idx="105">
                  <c:v>X</c:v>
                </c:pt>
                <c:pt idx="106">
                  <c:v>XI</c:v>
                </c:pt>
                <c:pt idx="107">
                  <c:v>XII</c:v>
                </c:pt>
                <c:pt idx="108">
                  <c:v>2016`I</c:v>
                </c:pt>
                <c:pt idx="109">
                  <c:v>II</c:v>
                </c:pt>
                <c:pt idx="110">
                  <c:v>III</c:v>
                </c:pt>
                <c:pt idx="111">
                  <c:v>IV</c:v>
                </c:pt>
                <c:pt idx="112">
                  <c:v>V</c:v>
                </c:pt>
                <c:pt idx="113">
                  <c:v>VI</c:v>
                </c:pt>
                <c:pt idx="114">
                  <c:v>VII</c:v>
                </c:pt>
                <c:pt idx="115">
                  <c:v>VIII</c:v>
                </c:pt>
                <c:pt idx="116">
                  <c:v>IX</c:v>
                </c:pt>
                <c:pt idx="117">
                  <c:v>X</c:v>
                </c:pt>
                <c:pt idx="118">
                  <c:v>XI</c:v>
                </c:pt>
                <c:pt idx="119">
                  <c:v>XII</c:v>
                </c:pt>
                <c:pt idx="120">
                  <c:v>2017`I</c:v>
                </c:pt>
                <c:pt idx="121">
                  <c:v>II</c:v>
                </c:pt>
                <c:pt idx="122">
                  <c:v>III</c:v>
                </c:pt>
                <c:pt idx="123">
                  <c:v>IV</c:v>
                </c:pt>
                <c:pt idx="124">
                  <c:v>V</c:v>
                </c:pt>
                <c:pt idx="125">
                  <c:v>VI</c:v>
                </c:pt>
                <c:pt idx="126">
                  <c:v>VII</c:v>
                </c:pt>
                <c:pt idx="127">
                  <c:v>VIII</c:v>
                </c:pt>
                <c:pt idx="128">
                  <c:v>IX</c:v>
                </c:pt>
                <c:pt idx="129">
                  <c:v>X</c:v>
                </c:pt>
                <c:pt idx="130">
                  <c:v>XI</c:v>
                </c:pt>
                <c:pt idx="131">
                  <c:v>XII</c:v>
                </c:pt>
                <c:pt idx="132">
                  <c:v>2018`I</c:v>
                </c:pt>
                <c:pt idx="133">
                  <c:v>II</c:v>
                </c:pt>
                <c:pt idx="134">
                  <c:v>III</c:v>
                </c:pt>
                <c:pt idx="135">
                  <c:v>IV</c:v>
                </c:pt>
                <c:pt idx="136">
                  <c:v>V</c:v>
                </c:pt>
                <c:pt idx="137">
                  <c:v>VI</c:v>
                </c:pt>
                <c:pt idx="138">
                  <c:v>VII</c:v>
                </c:pt>
                <c:pt idx="139">
                  <c:v>VIII</c:v>
                </c:pt>
                <c:pt idx="140">
                  <c:v>IX</c:v>
                </c:pt>
                <c:pt idx="141">
                  <c:v>X</c:v>
                </c:pt>
                <c:pt idx="142">
                  <c:v>XI</c:v>
                </c:pt>
                <c:pt idx="143">
                  <c:v>XII</c:v>
                </c:pt>
                <c:pt idx="144">
                  <c:v>2019`I</c:v>
                </c:pt>
                <c:pt idx="145">
                  <c:v>II</c:v>
                </c:pt>
                <c:pt idx="146">
                  <c:v>III</c:v>
                </c:pt>
                <c:pt idx="147">
                  <c:v>IV</c:v>
                </c:pt>
                <c:pt idx="148">
                  <c:v>V</c:v>
                </c:pt>
                <c:pt idx="149">
                  <c:v>VI</c:v>
                </c:pt>
                <c:pt idx="150">
                  <c:v>VII</c:v>
                </c:pt>
                <c:pt idx="151">
                  <c:v>VIII</c:v>
                </c:pt>
                <c:pt idx="152">
                  <c:v>IX</c:v>
                </c:pt>
                <c:pt idx="153">
                  <c:v>X</c:v>
                </c:pt>
                <c:pt idx="154">
                  <c:v>XI</c:v>
                </c:pt>
                <c:pt idx="155">
                  <c:v>XII</c:v>
                </c:pt>
                <c:pt idx="156">
                  <c:v>2020`I</c:v>
                </c:pt>
                <c:pt idx="157">
                  <c:v>II</c:v>
                </c:pt>
                <c:pt idx="158">
                  <c:v>III</c:v>
                </c:pt>
                <c:pt idx="159">
                  <c:v>IV</c:v>
                </c:pt>
                <c:pt idx="160">
                  <c:v>V</c:v>
                </c:pt>
                <c:pt idx="161">
                  <c:v>VI</c:v>
                </c:pt>
                <c:pt idx="162">
                  <c:v>VII</c:v>
                </c:pt>
                <c:pt idx="163">
                  <c:v>VIII</c:v>
                </c:pt>
              </c:strCache>
            </c:strRef>
          </c:cat>
          <c:val>
            <c:numRef>
              <c:f>Sheet2!$B$7:$FI$7</c:f>
              <c:numCache>
                <c:formatCode>General</c:formatCode>
                <c:ptCount val="164"/>
                <c:pt idx="1">
                  <c:v>13.9</c:v>
                </c:pt>
                <c:pt idx="2">
                  <c:v>13.7</c:v>
                </c:pt>
                <c:pt idx="3">
                  <c:v>12.8</c:v>
                </c:pt>
                <c:pt idx="4">
                  <c:v>12.4</c:v>
                </c:pt>
                <c:pt idx="5">
                  <c:v>12.1</c:v>
                </c:pt>
                <c:pt idx="6">
                  <c:v>11.7</c:v>
                </c:pt>
                <c:pt idx="7">
                  <c:v>11.1</c:v>
                </c:pt>
                <c:pt idx="8">
                  <c:v>10.3</c:v>
                </c:pt>
                <c:pt idx="9">
                  <c:v>9.6999999999999993</c:v>
                </c:pt>
                <c:pt idx="10">
                  <c:v>9.4</c:v>
                </c:pt>
                <c:pt idx="11">
                  <c:v>9.4</c:v>
                </c:pt>
                <c:pt idx="12">
                  <c:v>9.6</c:v>
                </c:pt>
                <c:pt idx="13">
                  <c:v>9.6</c:v>
                </c:pt>
                <c:pt idx="14">
                  <c:v>9.5</c:v>
                </c:pt>
                <c:pt idx="15">
                  <c:v>9.3000000000000007</c:v>
                </c:pt>
                <c:pt idx="16">
                  <c:v>9.1</c:v>
                </c:pt>
                <c:pt idx="17">
                  <c:v>9.3000000000000007</c:v>
                </c:pt>
                <c:pt idx="18">
                  <c:v>9.3000000000000007</c:v>
                </c:pt>
                <c:pt idx="19">
                  <c:v>9.1999999999999993</c:v>
                </c:pt>
                <c:pt idx="20">
                  <c:v>9.3000000000000007</c:v>
                </c:pt>
                <c:pt idx="21">
                  <c:v>9.5</c:v>
                </c:pt>
                <c:pt idx="22">
                  <c:v>10</c:v>
                </c:pt>
                <c:pt idx="23">
                  <c:v>10.8</c:v>
                </c:pt>
                <c:pt idx="24">
                  <c:v>12.2</c:v>
                </c:pt>
                <c:pt idx="25">
                  <c:v>13.4</c:v>
                </c:pt>
                <c:pt idx="26">
                  <c:v>14.8</c:v>
                </c:pt>
                <c:pt idx="27">
                  <c:v>14.9</c:v>
                </c:pt>
                <c:pt idx="28">
                  <c:v>15.2</c:v>
                </c:pt>
                <c:pt idx="29">
                  <c:v>15.5</c:v>
                </c:pt>
                <c:pt idx="30">
                  <c:v>15.7</c:v>
                </c:pt>
                <c:pt idx="31">
                  <c:v>16.3</c:v>
                </c:pt>
                <c:pt idx="32">
                  <c:v>17.600000000000001</c:v>
                </c:pt>
                <c:pt idx="33">
                  <c:v>18.899999999999999</c:v>
                </c:pt>
                <c:pt idx="34">
                  <c:v>20.2</c:v>
                </c:pt>
                <c:pt idx="35">
                  <c:v>21.1</c:v>
                </c:pt>
                <c:pt idx="36">
                  <c:v>21.8</c:v>
                </c:pt>
                <c:pt idx="37">
                  <c:v>22.6</c:v>
                </c:pt>
                <c:pt idx="38">
                  <c:v>22.9</c:v>
                </c:pt>
                <c:pt idx="39">
                  <c:v>23.1</c:v>
                </c:pt>
                <c:pt idx="40">
                  <c:v>22.8</c:v>
                </c:pt>
                <c:pt idx="41">
                  <c:v>22.4</c:v>
                </c:pt>
                <c:pt idx="42">
                  <c:v>22.4</c:v>
                </c:pt>
                <c:pt idx="43">
                  <c:v>22.3</c:v>
                </c:pt>
                <c:pt idx="44">
                  <c:v>22</c:v>
                </c:pt>
                <c:pt idx="45">
                  <c:v>21.9</c:v>
                </c:pt>
                <c:pt idx="46">
                  <c:v>22.1</c:v>
                </c:pt>
                <c:pt idx="47">
                  <c:v>22.3</c:v>
                </c:pt>
                <c:pt idx="48">
                  <c:v>22.6</c:v>
                </c:pt>
                <c:pt idx="49">
                  <c:v>22.8</c:v>
                </c:pt>
                <c:pt idx="50">
                  <c:v>22.7</c:v>
                </c:pt>
                <c:pt idx="51">
                  <c:v>22.5</c:v>
                </c:pt>
                <c:pt idx="52">
                  <c:v>21.7</c:v>
                </c:pt>
                <c:pt idx="53">
                  <c:v>20.9</c:v>
                </c:pt>
                <c:pt idx="54">
                  <c:v>20.399999999999999</c:v>
                </c:pt>
                <c:pt idx="55">
                  <c:v>20</c:v>
                </c:pt>
                <c:pt idx="56">
                  <c:v>19.7</c:v>
                </c:pt>
                <c:pt idx="57">
                  <c:v>19.600000000000001</c:v>
                </c:pt>
                <c:pt idx="58">
                  <c:v>19.7</c:v>
                </c:pt>
                <c:pt idx="59">
                  <c:v>19.8</c:v>
                </c:pt>
                <c:pt idx="60">
                  <c:v>20.2</c:v>
                </c:pt>
                <c:pt idx="61">
                  <c:v>20.399999999999999</c:v>
                </c:pt>
                <c:pt idx="62">
                  <c:v>20.3</c:v>
                </c:pt>
                <c:pt idx="63" formatCode="0.0">
                  <c:v>24.1</c:v>
                </c:pt>
                <c:pt idx="64" formatCode="0.0">
                  <c:v>23.4</c:v>
                </c:pt>
                <c:pt idx="65">
                  <c:v>22.9</c:v>
                </c:pt>
                <c:pt idx="66">
                  <c:v>22.5</c:v>
                </c:pt>
                <c:pt idx="67">
                  <c:v>22</c:v>
                </c:pt>
                <c:pt idx="68">
                  <c:v>21.6</c:v>
                </c:pt>
                <c:pt idx="69">
                  <c:v>21.3</c:v>
                </c:pt>
                <c:pt idx="70">
                  <c:v>21.2</c:v>
                </c:pt>
                <c:pt idx="71">
                  <c:v>21.1</c:v>
                </c:pt>
                <c:pt idx="72">
                  <c:v>21.5</c:v>
                </c:pt>
                <c:pt idx="73">
                  <c:v>21.5</c:v>
                </c:pt>
                <c:pt idx="74">
                  <c:v>21.4</c:v>
                </c:pt>
                <c:pt idx="75">
                  <c:v>21</c:v>
                </c:pt>
                <c:pt idx="76">
                  <c:v>20.2</c:v>
                </c:pt>
                <c:pt idx="77">
                  <c:v>19.8</c:v>
                </c:pt>
                <c:pt idx="78">
                  <c:v>19.100000000000001</c:v>
                </c:pt>
                <c:pt idx="79">
                  <c:v>18.899999999999999</c:v>
                </c:pt>
                <c:pt idx="80">
                  <c:v>18.600000000000001</c:v>
                </c:pt>
                <c:pt idx="81">
                  <c:v>18.600000000000001</c:v>
                </c:pt>
                <c:pt idx="82">
                  <c:v>18.7</c:v>
                </c:pt>
                <c:pt idx="83">
                  <c:v>18.8</c:v>
                </c:pt>
                <c:pt idx="84">
                  <c:v>19.3</c:v>
                </c:pt>
                <c:pt idx="85">
                  <c:v>19.5</c:v>
                </c:pt>
                <c:pt idx="86">
                  <c:v>19.399999999999999</c:v>
                </c:pt>
                <c:pt idx="87">
                  <c:v>19.7</c:v>
                </c:pt>
                <c:pt idx="88">
                  <c:v>19</c:v>
                </c:pt>
                <c:pt idx="89">
                  <c:v>18.5</c:v>
                </c:pt>
                <c:pt idx="90">
                  <c:v>18.100000000000001</c:v>
                </c:pt>
                <c:pt idx="91">
                  <c:v>17.8</c:v>
                </c:pt>
                <c:pt idx="92">
                  <c:v>17.600000000000001</c:v>
                </c:pt>
                <c:pt idx="93">
                  <c:v>17.600000000000001</c:v>
                </c:pt>
                <c:pt idx="94">
                  <c:v>17.600000000000001</c:v>
                </c:pt>
                <c:pt idx="95">
                  <c:v>17.8</c:v>
                </c:pt>
                <c:pt idx="96">
                  <c:v>18.5</c:v>
                </c:pt>
                <c:pt idx="97">
                  <c:v>18.8</c:v>
                </c:pt>
                <c:pt idx="98">
                  <c:v>19.8</c:v>
                </c:pt>
                <c:pt idx="99">
                  <c:v>19.3</c:v>
                </c:pt>
                <c:pt idx="100">
                  <c:v>18.899999999999999</c:v>
                </c:pt>
                <c:pt idx="101">
                  <c:v>18.7</c:v>
                </c:pt>
                <c:pt idx="102">
                  <c:v>18.5</c:v>
                </c:pt>
                <c:pt idx="103">
                  <c:v>18.399999999999999</c:v>
                </c:pt>
                <c:pt idx="104">
                  <c:v>18.3</c:v>
                </c:pt>
                <c:pt idx="105">
                  <c:v>18.100000000000001</c:v>
                </c:pt>
                <c:pt idx="106">
                  <c:v>18.3</c:v>
                </c:pt>
                <c:pt idx="107">
                  <c:v>18.5</c:v>
                </c:pt>
                <c:pt idx="108">
                  <c:v>19.100000000000001</c:v>
                </c:pt>
                <c:pt idx="109">
                  <c:v>19.3</c:v>
                </c:pt>
                <c:pt idx="110">
                  <c:v>19.100000000000001</c:v>
                </c:pt>
                <c:pt idx="111">
                  <c:v>18.8</c:v>
                </c:pt>
                <c:pt idx="112">
                  <c:v>18.3</c:v>
                </c:pt>
                <c:pt idx="113">
                  <c:v>18</c:v>
                </c:pt>
                <c:pt idx="114">
                  <c:v>17.8</c:v>
                </c:pt>
                <c:pt idx="115">
                  <c:v>17.5</c:v>
                </c:pt>
                <c:pt idx="116">
                  <c:v>17.399999999999999</c:v>
                </c:pt>
                <c:pt idx="117">
                  <c:v>17.3</c:v>
                </c:pt>
                <c:pt idx="118" formatCode="0.0">
                  <c:v>17.600000000000001</c:v>
                </c:pt>
                <c:pt idx="119">
                  <c:v>17.899999999999999</c:v>
                </c:pt>
                <c:pt idx="120">
                  <c:v>18.2</c:v>
                </c:pt>
                <c:pt idx="121">
                  <c:v>18.2</c:v>
                </c:pt>
                <c:pt idx="122">
                  <c:v>18.399999999999999</c:v>
                </c:pt>
                <c:pt idx="123">
                  <c:v>17.7</c:v>
                </c:pt>
                <c:pt idx="124">
                  <c:v>17.100000000000001</c:v>
                </c:pt>
                <c:pt idx="125">
                  <c:v>16.600000000000001</c:v>
                </c:pt>
                <c:pt idx="126">
                  <c:v>16.399999999999999</c:v>
                </c:pt>
                <c:pt idx="127">
                  <c:v>16</c:v>
                </c:pt>
                <c:pt idx="128">
                  <c:v>15.7</c:v>
                </c:pt>
                <c:pt idx="129">
                  <c:v>15.6</c:v>
                </c:pt>
                <c:pt idx="130">
                  <c:v>15.7</c:v>
                </c:pt>
                <c:pt idx="131">
                  <c:v>15.8</c:v>
                </c:pt>
                <c:pt idx="132">
                  <c:v>16</c:v>
                </c:pt>
                <c:pt idx="133">
                  <c:v>16</c:v>
                </c:pt>
                <c:pt idx="134">
                  <c:v>16.399999999999999</c:v>
                </c:pt>
                <c:pt idx="135">
                  <c:v>15.9</c:v>
                </c:pt>
                <c:pt idx="136">
                  <c:v>15.4</c:v>
                </c:pt>
                <c:pt idx="137">
                  <c:v>14.9</c:v>
                </c:pt>
                <c:pt idx="138">
                  <c:v>14.7</c:v>
                </c:pt>
                <c:pt idx="139">
                  <c:v>14.4</c:v>
                </c:pt>
                <c:pt idx="140">
                  <c:v>14.3</c:v>
                </c:pt>
                <c:pt idx="141">
                  <c:v>14.2</c:v>
                </c:pt>
                <c:pt idx="142">
                  <c:v>14.4</c:v>
                </c:pt>
                <c:pt idx="143">
                  <c:v>14.7</c:v>
                </c:pt>
                <c:pt idx="144">
                  <c:v>15</c:v>
                </c:pt>
                <c:pt idx="145">
                  <c:v>15.2</c:v>
                </c:pt>
                <c:pt idx="146">
                  <c:v>15.4</c:v>
                </c:pt>
                <c:pt idx="147">
                  <c:v>14.9</c:v>
                </c:pt>
                <c:pt idx="148">
                  <c:v>14.4</c:v>
                </c:pt>
                <c:pt idx="149">
                  <c:v>14.1</c:v>
                </c:pt>
                <c:pt idx="150">
                  <c:v>13.8</c:v>
                </c:pt>
                <c:pt idx="151">
                  <c:v>13.6</c:v>
                </c:pt>
                <c:pt idx="152">
                  <c:v>13.3</c:v>
                </c:pt>
                <c:pt idx="153">
                  <c:v>13.2</c:v>
                </c:pt>
                <c:pt idx="154">
                  <c:v>13.3</c:v>
                </c:pt>
                <c:pt idx="155">
                  <c:v>13.8</c:v>
                </c:pt>
                <c:pt idx="156">
                  <c:v>13.9</c:v>
                </c:pt>
                <c:pt idx="157">
                  <c:v>13.9</c:v>
                </c:pt>
                <c:pt idx="158">
                  <c:v>14.5</c:v>
                </c:pt>
                <c:pt idx="159">
                  <c:v>15.3</c:v>
                </c:pt>
                <c:pt idx="160">
                  <c:v>15.7</c:v>
                </c:pt>
                <c:pt idx="161">
                  <c:v>16</c:v>
                </c:pt>
                <c:pt idx="162">
                  <c:v>16.100000000000001</c:v>
                </c:pt>
                <c:pt idx="163">
                  <c:v>15.8</c:v>
                </c:pt>
              </c:numCache>
            </c:numRef>
          </c:val>
          <c:smooth val="1"/>
          <c:extLst>
            <c:ext xmlns:c16="http://schemas.microsoft.com/office/drawing/2014/chart" uri="{C3380CC4-5D6E-409C-BE32-E72D297353CC}">
              <c16:uniqueId val="{00000003-63E0-4B13-A98E-D4C5846C2B93}"/>
            </c:ext>
          </c:extLst>
        </c:ser>
        <c:ser>
          <c:idx val="3"/>
          <c:order val="3"/>
          <c:tx>
            <c:strRef>
              <c:f>Sheet2!$A$8</c:f>
              <c:strCache>
                <c:ptCount val="1"/>
                <c:pt idx="0">
                  <c:v>Vidzeme</c:v>
                </c:pt>
              </c:strCache>
            </c:strRef>
          </c:tx>
          <c:spPr>
            <a:ln w="28575" cap="rnd">
              <a:solidFill>
                <a:srgbClr val="A5A5A5"/>
              </a:solidFill>
              <a:round/>
            </a:ln>
            <a:effectLst/>
          </c:spPr>
          <c:marker>
            <c:symbol val="none"/>
          </c:marker>
          <c:cat>
            <c:strRef>
              <c:f>Sheet2!$B$4:$FI$4</c:f>
              <c:strCache>
                <c:ptCount val="164"/>
                <c:pt idx="0">
                  <c:v>2007`I</c:v>
                </c:pt>
                <c:pt idx="1">
                  <c:v>II</c:v>
                </c:pt>
                <c:pt idx="2">
                  <c:v>III</c:v>
                </c:pt>
                <c:pt idx="3">
                  <c:v>IV</c:v>
                </c:pt>
                <c:pt idx="4">
                  <c:v>V</c:v>
                </c:pt>
                <c:pt idx="5">
                  <c:v>VI</c:v>
                </c:pt>
                <c:pt idx="6">
                  <c:v>VII</c:v>
                </c:pt>
                <c:pt idx="7">
                  <c:v>VIII</c:v>
                </c:pt>
                <c:pt idx="8">
                  <c:v>IX</c:v>
                </c:pt>
                <c:pt idx="9">
                  <c:v>X</c:v>
                </c:pt>
                <c:pt idx="10">
                  <c:v>XI</c:v>
                </c:pt>
                <c:pt idx="11">
                  <c:v>XII</c:v>
                </c:pt>
                <c:pt idx="12">
                  <c:v>2008`I</c:v>
                </c:pt>
                <c:pt idx="13">
                  <c:v>II</c:v>
                </c:pt>
                <c:pt idx="14">
                  <c:v>III</c:v>
                </c:pt>
                <c:pt idx="15">
                  <c:v>IV</c:v>
                </c:pt>
                <c:pt idx="16">
                  <c:v>V</c:v>
                </c:pt>
                <c:pt idx="17">
                  <c:v>VI</c:v>
                </c:pt>
                <c:pt idx="18">
                  <c:v>VII</c:v>
                </c:pt>
                <c:pt idx="19">
                  <c:v>VIII</c:v>
                </c:pt>
                <c:pt idx="20">
                  <c:v>IX</c:v>
                </c:pt>
                <c:pt idx="21">
                  <c:v>X</c:v>
                </c:pt>
                <c:pt idx="22">
                  <c:v>XI</c:v>
                </c:pt>
                <c:pt idx="23">
                  <c:v>XII</c:v>
                </c:pt>
                <c:pt idx="24">
                  <c:v>2009`I</c:v>
                </c:pt>
                <c:pt idx="25">
                  <c:v>II</c:v>
                </c:pt>
                <c:pt idx="26">
                  <c:v>III</c:v>
                </c:pt>
                <c:pt idx="27">
                  <c:v>IV</c:v>
                </c:pt>
                <c:pt idx="28">
                  <c:v>V</c:v>
                </c:pt>
                <c:pt idx="29">
                  <c:v>VI</c:v>
                </c:pt>
                <c:pt idx="30">
                  <c:v>VII</c:v>
                </c:pt>
                <c:pt idx="31">
                  <c:v>VIII</c:v>
                </c:pt>
                <c:pt idx="32">
                  <c:v>IX</c:v>
                </c:pt>
                <c:pt idx="33">
                  <c:v>X</c:v>
                </c:pt>
                <c:pt idx="34">
                  <c:v>XI</c:v>
                </c:pt>
                <c:pt idx="35">
                  <c:v>XII</c:v>
                </c:pt>
                <c:pt idx="36">
                  <c:v>2010`I</c:v>
                </c:pt>
                <c:pt idx="37">
                  <c:v>II</c:v>
                </c:pt>
                <c:pt idx="38">
                  <c:v>III</c:v>
                </c:pt>
                <c:pt idx="39">
                  <c:v>IV</c:v>
                </c:pt>
                <c:pt idx="40">
                  <c:v>V</c:v>
                </c:pt>
                <c:pt idx="41">
                  <c:v>VI</c:v>
                </c:pt>
                <c:pt idx="42">
                  <c:v>VII</c:v>
                </c:pt>
                <c:pt idx="43">
                  <c:v>VIII</c:v>
                </c:pt>
                <c:pt idx="44">
                  <c:v>IX</c:v>
                </c:pt>
                <c:pt idx="45">
                  <c:v>X</c:v>
                </c:pt>
                <c:pt idx="46">
                  <c:v>XI</c:v>
                </c:pt>
                <c:pt idx="47">
                  <c:v>XII</c:v>
                </c:pt>
                <c:pt idx="48">
                  <c:v>2011`I</c:v>
                </c:pt>
                <c:pt idx="49">
                  <c:v>II</c:v>
                </c:pt>
                <c:pt idx="50">
                  <c:v>III</c:v>
                </c:pt>
                <c:pt idx="51">
                  <c:v>IV</c:v>
                </c:pt>
                <c:pt idx="52">
                  <c:v>V</c:v>
                </c:pt>
                <c:pt idx="53">
                  <c:v>VI</c:v>
                </c:pt>
                <c:pt idx="54">
                  <c:v>VII</c:v>
                </c:pt>
                <c:pt idx="55">
                  <c:v>VIII</c:v>
                </c:pt>
                <c:pt idx="56">
                  <c:v>IX</c:v>
                </c:pt>
                <c:pt idx="57">
                  <c:v>X</c:v>
                </c:pt>
                <c:pt idx="58">
                  <c:v>XI</c:v>
                </c:pt>
                <c:pt idx="59">
                  <c:v>XII</c:v>
                </c:pt>
                <c:pt idx="60">
                  <c:v>2012`I</c:v>
                </c:pt>
                <c:pt idx="61">
                  <c:v>II</c:v>
                </c:pt>
                <c:pt idx="62">
                  <c:v>III</c:v>
                </c:pt>
                <c:pt idx="63">
                  <c:v>IV</c:v>
                </c:pt>
                <c:pt idx="64">
                  <c:v>V</c:v>
                </c:pt>
                <c:pt idx="65">
                  <c:v>VI</c:v>
                </c:pt>
                <c:pt idx="66">
                  <c:v>VII</c:v>
                </c:pt>
                <c:pt idx="67">
                  <c:v>VIII</c:v>
                </c:pt>
                <c:pt idx="68">
                  <c:v>IX</c:v>
                </c:pt>
                <c:pt idx="69">
                  <c:v>X</c:v>
                </c:pt>
                <c:pt idx="70">
                  <c:v>XI</c:v>
                </c:pt>
                <c:pt idx="71">
                  <c:v>XII</c:v>
                </c:pt>
                <c:pt idx="72">
                  <c:v>2013`I</c:v>
                </c:pt>
                <c:pt idx="73">
                  <c:v>II</c:v>
                </c:pt>
                <c:pt idx="74">
                  <c:v>III</c:v>
                </c:pt>
                <c:pt idx="75">
                  <c:v>IV</c:v>
                </c:pt>
                <c:pt idx="76">
                  <c:v>V</c:v>
                </c:pt>
                <c:pt idx="77">
                  <c:v>VI</c:v>
                </c:pt>
                <c:pt idx="78">
                  <c:v>VII</c:v>
                </c:pt>
                <c:pt idx="79">
                  <c:v>VIII</c:v>
                </c:pt>
                <c:pt idx="80">
                  <c:v>IX</c:v>
                </c:pt>
                <c:pt idx="81">
                  <c:v>X</c:v>
                </c:pt>
                <c:pt idx="82">
                  <c:v>XI</c:v>
                </c:pt>
                <c:pt idx="83">
                  <c:v>XII</c:v>
                </c:pt>
                <c:pt idx="84">
                  <c:v>2014`I</c:v>
                </c:pt>
                <c:pt idx="85">
                  <c:v>II</c:v>
                </c:pt>
                <c:pt idx="86">
                  <c:v>III</c:v>
                </c:pt>
                <c:pt idx="87">
                  <c:v>IV</c:v>
                </c:pt>
                <c:pt idx="88">
                  <c:v>V</c:v>
                </c:pt>
                <c:pt idx="89">
                  <c:v>VI</c:v>
                </c:pt>
                <c:pt idx="90">
                  <c:v>VII</c:v>
                </c:pt>
                <c:pt idx="91">
                  <c:v>VIII</c:v>
                </c:pt>
                <c:pt idx="92">
                  <c:v>IX</c:v>
                </c:pt>
                <c:pt idx="93">
                  <c:v>X</c:v>
                </c:pt>
                <c:pt idx="94">
                  <c:v>XI</c:v>
                </c:pt>
                <c:pt idx="95">
                  <c:v>XII</c:v>
                </c:pt>
                <c:pt idx="96">
                  <c:v>2015`I</c:v>
                </c:pt>
                <c:pt idx="97">
                  <c:v>II</c:v>
                </c:pt>
                <c:pt idx="98">
                  <c:v>III</c:v>
                </c:pt>
                <c:pt idx="99">
                  <c:v>IV</c:v>
                </c:pt>
                <c:pt idx="100">
                  <c:v>V</c:v>
                </c:pt>
                <c:pt idx="101">
                  <c:v>VI</c:v>
                </c:pt>
                <c:pt idx="102">
                  <c:v>VII</c:v>
                </c:pt>
                <c:pt idx="103">
                  <c:v>VIII</c:v>
                </c:pt>
                <c:pt idx="104">
                  <c:v>IX</c:v>
                </c:pt>
                <c:pt idx="105">
                  <c:v>X</c:v>
                </c:pt>
                <c:pt idx="106">
                  <c:v>XI</c:v>
                </c:pt>
                <c:pt idx="107">
                  <c:v>XII</c:v>
                </c:pt>
                <c:pt idx="108">
                  <c:v>2016`I</c:v>
                </c:pt>
                <c:pt idx="109">
                  <c:v>II</c:v>
                </c:pt>
                <c:pt idx="110">
                  <c:v>III</c:v>
                </c:pt>
                <c:pt idx="111">
                  <c:v>IV</c:v>
                </c:pt>
                <c:pt idx="112">
                  <c:v>V</c:v>
                </c:pt>
                <c:pt idx="113">
                  <c:v>VI</c:v>
                </c:pt>
                <c:pt idx="114">
                  <c:v>VII</c:v>
                </c:pt>
                <c:pt idx="115">
                  <c:v>VIII</c:v>
                </c:pt>
                <c:pt idx="116">
                  <c:v>IX</c:v>
                </c:pt>
                <c:pt idx="117">
                  <c:v>X</c:v>
                </c:pt>
                <c:pt idx="118">
                  <c:v>XI</c:v>
                </c:pt>
                <c:pt idx="119">
                  <c:v>XII</c:v>
                </c:pt>
                <c:pt idx="120">
                  <c:v>2017`I</c:v>
                </c:pt>
                <c:pt idx="121">
                  <c:v>II</c:v>
                </c:pt>
                <c:pt idx="122">
                  <c:v>III</c:v>
                </c:pt>
                <c:pt idx="123">
                  <c:v>IV</c:v>
                </c:pt>
                <c:pt idx="124">
                  <c:v>V</c:v>
                </c:pt>
                <c:pt idx="125">
                  <c:v>VI</c:v>
                </c:pt>
                <c:pt idx="126">
                  <c:v>VII</c:v>
                </c:pt>
                <c:pt idx="127">
                  <c:v>VIII</c:v>
                </c:pt>
                <c:pt idx="128">
                  <c:v>IX</c:v>
                </c:pt>
                <c:pt idx="129">
                  <c:v>X</c:v>
                </c:pt>
                <c:pt idx="130">
                  <c:v>XI</c:v>
                </c:pt>
                <c:pt idx="131">
                  <c:v>XII</c:v>
                </c:pt>
                <c:pt idx="132">
                  <c:v>2018`I</c:v>
                </c:pt>
                <c:pt idx="133">
                  <c:v>II</c:v>
                </c:pt>
                <c:pt idx="134">
                  <c:v>III</c:v>
                </c:pt>
                <c:pt idx="135">
                  <c:v>IV</c:v>
                </c:pt>
                <c:pt idx="136">
                  <c:v>V</c:v>
                </c:pt>
                <c:pt idx="137">
                  <c:v>VI</c:v>
                </c:pt>
                <c:pt idx="138">
                  <c:v>VII</c:v>
                </c:pt>
                <c:pt idx="139">
                  <c:v>VIII</c:v>
                </c:pt>
                <c:pt idx="140">
                  <c:v>IX</c:v>
                </c:pt>
                <c:pt idx="141">
                  <c:v>X</c:v>
                </c:pt>
                <c:pt idx="142">
                  <c:v>XI</c:v>
                </c:pt>
                <c:pt idx="143">
                  <c:v>XII</c:v>
                </c:pt>
                <c:pt idx="144">
                  <c:v>2019`I</c:v>
                </c:pt>
                <c:pt idx="145">
                  <c:v>II</c:v>
                </c:pt>
                <c:pt idx="146">
                  <c:v>III</c:v>
                </c:pt>
                <c:pt idx="147">
                  <c:v>IV</c:v>
                </c:pt>
                <c:pt idx="148">
                  <c:v>V</c:v>
                </c:pt>
                <c:pt idx="149">
                  <c:v>VI</c:v>
                </c:pt>
                <c:pt idx="150">
                  <c:v>VII</c:v>
                </c:pt>
                <c:pt idx="151">
                  <c:v>VIII</c:v>
                </c:pt>
                <c:pt idx="152">
                  <c:v>IX</c:v>
                </c:pt>
                <c:pt idx="153">
                  <c:v>X</c:v>
                </c:pt>
                <c:pt idx="154">
                  <c:v>XI</c:v>
                </c:pt>
                <c:pt idx="155">
                  <c:v>XII</c:v>
                </c:pt>
                <c:pt idx="156">
                  <c:v>2020`I</c:v>
                </c:pt>
                <c:pt idx="157">
                  <c:v>II</c:v>
                </c:pt>
                <c:pt idx="158">
                  <c:v>III</c:v>
                </c:pt>
                <c:pt idx="159">
                  <c:v>IV</c:v>
                </c:pt>
                <c:pt idx="160">
                  <c:v>V</c:v>
                </c:pt>
                <c:pt idx="161">
                  <c:v>VI</c:v>
                </c:pt>
                <c:pt idx="162">
                  <c:v>VII</c:v>
                </c:pt>
                <c:pt idx="163">
                  <c:v>VIII</c:v>
                </c:pt>
              </c:strCache>
            </c:strRef>
          </c:cat>
          <c:val>
            <c:numRef>
              <c:f>Sheet2!$B$8:$FI$8</c:f>
              <c:numCache>
                <c:formatCode>General</c:formatCode>
                <c:ptCount val="164"/>
                <c:pt idx="1">
                  <c:v>6.8</c:v>
                </c:pt>
                <c:pt idx="2">
                  <c:v>6.6</c:v>
                </c:pt>
                <c:pt idx="3">
                  <c:v>6.4</c:v>
                </c:pt>
                <c:pt idx="4">
                  <c:v>6.1</c:v>
                </c:pt>
                <c:pt idx="5">
                  <c:v>6</c:v>
                </c:pt>
                <c:pt idx="6">
                  <c:v>5.7</c:v>
                </c:pt>
                <c:pt idx="7">
                  <c:v>5.5</c:v>
                </c:pt>
                <c:pt idx="8">
                  <c:v>5.2</c:v>
                </c:pt>
                <c:pt idx="9">
                  <c:v>4.9000000000000004</c:v>
                </c:pt>
                <c:pt idx="10">
                  <c:v>5</c:v>
                </c:pt>
                <c:pt idx="11">
                  <c:v>5</c:v>
                </c:pt>
                <c:pt idx="12">
                  <c:v>5.2</c:v>
                </c:pt>
                <c:pt idx="13">
                  <c:v>5.0999999999999996</c:v>
                </c:pt>
                <c:pt idx="14">
                  <c:v>4.9000000000000004</c:v>
                </c:pt>
                <c:pt idx="15">
                  <c:v>4.8</c:v>
                </c:pt>
                <c:pt idx="16">
                  <c:v>4.8</c:v>
                </c:pt>
                <c:pt idx="17">
                  <c:v>4.9000000000000004</c:v>
                </c:pt>
                <c:pt idx="18">
                  <c:v>5.0999999999999996</c:v>
                </c:pt>
                <c:pt idx="19">
                  <c:v>5.2</c:v>
                </c:pt>
                <c:pt idx="20">
                  <c:v>5.3</c:v>
                </c:pt>
                <c:pt idx="21">
                  <c:v>5.7</c:v>
                </c:pt>
                <c:pt idx="22">
                  <c:v>6.4</c:v>
                </c:pt>
                <c:pt idx="23">
                  <c:v>7.4</c:v>
                </c:pt>
                <c:pt idx="24">
                  <c:v>8.8000000000000007</c:v>
                </c:pt>
                <c:pt idx="25">
                  <c:v>10.199999999999999</c:v>
                </c:pt>
                <c:pt idx="26">
                  <c:v>11.5</c:v>
                </c:pt>
                <c:pt idx="27">
                  <c:v>11.9</c:v>
                </c:pt>
                <c:pt idx="28">
                  <c:v>12</c:v>
                </c:pt>
                <c:pt idx="29">
                  <c:v>12</c:v>
                </c:pt>
                <c:pt idx="30">
                  <c:v>12.2</c:v>
                </c:pt>
                <c:pt idx="31">
                  <c:v>12.7</c:v>
                </c:pt>
                <c:pt idx="32">
                  <c:v>14</c:v>
                </c:pt>
                <c:pt idx="33">
                  <c:v>15.3</c:v>
                </c:pt>
                <c:pt idx="34">
                  <c:v>16.8</c:v>
                </c:pt>
                <c:pt idx="35">
                  <c:v>17.899999999999999</c:v>
                </c:pt>
                <c:pt idx="36">
                  <c:v>18.600000000000001</c:v>
                </c:pt>
                <c:pt idx="37">
                  <c:v>19.2</c:v>
                </c:pt>
                <c:pt idx="38">
                  <c:v>19.5</c:v>
                </c:pt>
                <c:pt idx="39">
                  <c:v>18.7</c:v>
                </c:pt>
                <c:pt idx="40">
                  <c:v>17.899999999999999</c:v>
                </c:pt>
                <c:pt idx="41">
                  <c:v>17.399999999999999</c:v>
                </c:pt>
                <c:pt idx="42">
                  <c:v>17.100000000000001</c:v>
                </c:pt>
                <c:pt idx="43">
                  <c:v>16.7</c:v>
                </c:pt>
                <c:pt idx="44">
                  <c:v>16.3</c:v>
                </c:pt>
                <c:pt idx="45">
                  <c:v>16</c:v>
                </c:pt>
                <c:pt idx="46">
                  <c:v>16</c:v>
                </c:pt>
                <c:pt idx="47">
                  <c:v>16.2</c:v>
                </c:pt>
                <c:pt idx="48">
                  <c:v>16.399999999999999</c:v>
                </c:pt>
                <c:pt idx="49">
                  <c:v>16.399999999999999</c:v>
                </c:pt>
                <c:pt idx="50">
                  <c:v>16.399999999999999</c:v>
                </c:pt>
                <c:pt idx="51">
                  <c:v>15.7</c:v>
                </c:pt>
                <c:pt idx="52">
                  <c:v>14.8</c:v>
                </c:pt>
                <c:pt idx="53">
                  <c:v>14.2</c:v>
                </c:pt>
                <c:pt idx="54">
                  <c:v>13.7</c:v>
                </c:pt>
                <c:pt idx="55">
                  <c:v>13.3</c:v>
                </c:pt>
                <c:pt idx="56">
                  <c:v>13</c:v>
                </c:pt>
                <c:pt idx="57">
                  <c:v>12.9</c:v>
                </c:pt>
                <c:pt idx="58">
                  <c:v>12.9</c:v>
                </c:pt>
                <c:pt idx="59">
                  <c:v>13</c:v>
                </c:pt>
                <c:pt idx="60">
                  <c:v>13.4</c:v>
                </c:pt>
                <c:pt idx="61">
                  <c:v>13.5</c:v>
                </c:pt>
                <c:pt idx="62">
                  <c:v>13.4</c:v>
                </c:pt>
                <c:pt idx="63" formatCode="0.0">
                  <c:v>15.1</c:v>
                </c:pt>
                <c:pt idx="64" formatCode="0.0">
                  <c:v>14.4</c:v>
                </c:pt>
                <c:pt idx="65">
                  <c:v>13.9</c:v>
                </c:pt>
                <c:pt idx="66">
                  <c:v>13.7</c:v>
                </c:pt>
                <c:pt idx="67">
                  <c:v>13.4</c:v>
                </c:pt>
                <c:pt idx="68">
                  <c:v>13</c:v>
                </c:pt>
                <c:pt idx="69">
                  <c:v>12.8</c:v>
                </c:pt>
                <c:pt idx="70">
                  <c:v>12.8</c:v>
                </c:pt>
                <c:pt idx="71">
                  <c:v>12.8</c:v>
                </c:pt>
                <c:pt idx="72">
                  <c:v>13.3</c:v>
                </c:pt>
                <c:pt idx="73">
                  <c:v>13.3</c:v>
                </c:pt>
                <c:pt idx="74">
                  <c:v>13.1</c:v>
                </c:pt>
                <c:pt idx="75">
                  <c:v>12.5</c:v>
                </c:pt>
                <c:pt idx="76">
                  <c:v>11.7</c:v>
                </c:pt>
                <c:pt idx="77">
                  <c:v>11.2</c:v>
                </c:pt>
                <c:pt idx="78">
                  <c:v>11</c:v>
                </c:pt>
                <c:pt idx="79">
                  <c:v>10.8</c:v>
                </c:pt>
                <c:pt idx="80">
                  <c:v>10.7</c:v>
                </c:pt>
                <c:pt idx="81">
                  <c:v>10.7</c:v>
                </c:pt>
                <c:pt idx="82">
                  <c:v>11</c:v>
                </c:pt>
                <c:pt idx="83">
                  <c:v>11.2</c:v>
                </c:pt>
                <c:pt idx="84">
                  <c:v>11.5</c:v>
                </c:pt>
                <c:pt idx="85">
                  <c:v>11.6</c:v>
                </c:pt>
                <c:pt idx="86">
                  <c:v>11.4</c:v>
                </c:pt>
                <c:pt idx="87">
                  <c:v>11</c:v>
                </c:pt>
                <c:pt idx="88">
                  <c:v>10.4</c:v>
                </c:pt>
                <c:pt idx="89">
                  <c:v>10.1</c:v>
                </c:pt>
                <c:pt idx="90">
                  <c:v>9.8000000000000007</c:v>
                </c:pt>
                <c:pt idx="91">
                  <c:v>9.6</c:v>
                </c:pt>
                <c:pt idx="92">
                  <c:v>9.4</c:v>
                </c:pt>
                <c:pt idx="93">
                  <c:v>9.4</c:v>
                </c:pt>
                <c:pt idx="94">
                  <c:v>9.6</c:v>
                </c:pt>
                <c:pt idx="95">
                  <c:v>9.9</c:v>
                </c:pt>
                <c:pt idx="96">
                  <c:v>10.4</c:v>
                </c:pt>
                <c:pt idx="97">
                  <c:v>10.6</c:v>
                </c:pt>
                <c:pt idx="98">
                  <c:v>10.199999999999999</c:v>
                </c:pt>
                <c:pt idx="99">
                  <c:v>9.6999999999999993</c:v>
                </c:pt>
                <c:pt idx="100">
                  <c:v>9.4</c:v>
                </c:pt>
                <c:pt idx="101">
                  <c:v>9.4</c:v>
                </c:pt>
                <c:pt idx="102">
                  <c:v>9.4</c:v>
                </c:pt>
                <c:pt idx="103">
                  <c:v>9.1999999999999993</c:v>
                </c:pt>
                <c:pt idx="104">
                  <c:v>9</c:v>
                </c:pt>
                <c:pt idx="105">
                  <c:v>9</c:v>
                </c:pt>
                <c:pt idx="106">
                  <c:v>9.1999999999999993</c:v>
                </c:pt>
                <c:pt idx="107">
                  <c:v>9.5</c:v>
                </c:pt>
                <c:pt idx="108">
                  <c:v>10</c:v>
                </c:pt>
                <c:pt idx="109">
                  <c:v>10</c:v>
                </c:pt>
                <c:pt idx="110">
                  <c:v>10.1</c:v>
                </c:pt>
                <c:pt idx="111">
                  <c:v>9.5</c:v>
                </c:pt>
                <c:pt idx="112">
                  <c:v>9.1</c:v>
                </c:pt>
                <c:pt idx="113">
                  <c:v>8.9</c:v>
                </c:pt>
                <c:pt idx="114">
                  <c:v>8.6999999999999993</c:v>
                </c:pt>
                <c:pt idx="115">
                  <c:v>8.6</c:v>
                </c:pt>
                <c:pt idx="116">
                  <c:v>8.6</c:v>
                </c:pt>
                <c:pt idx="117">
                  <c:v>8.6</c:v>
                </c:pt>
                <c:pt idx="118" formatCode="0.0">
                  <c:v>8.8000000000000007</c:v>
                </c:pt>
                <c:pt idx="119">
                  <c:v>9.1999999999999993</c:v>
                </c:pt>
                <c:pt idx="120">
                  <c:v>9.4</c:v>
                </c:pt>
                <c:pt idx="121">
                  <c:v>9.1999999999999993</c:v>
                </c:pt>
                <c:pt idx="122">
                  <c:v>9.3000000000000007</c:v>
                </c:pt>
                <c:pt idx="123">
                  <c:v>8.4</c:v>
                </c:pt>
                <c:pt idx="124">
                  <c:v>8</c:v>
                </c:pt>
                <c:pt idx="125">
                  <c:v>7.8</c:v>
                </c:pt>
                <c:pt idx="126">
                  <c:v>7.6</c:v>
                </c:pt>
                <c:pt idx="127">
                  <c:v>7.4</c:v>
                </c:pt>
                <c:pt idx="128">
                  <c:v>7.1</c:v>
                </c:pt>
                <c:pt idx="129">
                  <c:v>7</c:v>
                </c:pt>
                <c:pt idx="130">
                  <c:v>7.2</c:v>
                </c:pt>
                <c:pt idx="131">
                  <c:v>7.5</c:v>
                </c:pt>
                <c:pt idx="132">
                  <c:v>7.8</c:v>
                </c:pt>
                <c:pt idx="133">
                  <c:v>7.8</c:v>
                </c:pt>
                <c:pt idx="134">
                  <c:v>7.5</c:v>
                </c:pt>
                <c:pt idx="135">
                  <c:v>7.1</c:v>
                </c:pt>
                <c:pt idx="136">
                  <c:v>6.6</c:v>
                </c:pt>
                <c:pt idx="137">
                  <c:v>6.5</c:v>
                </c:pt>
                <c:pt idx="138">
                  <c:v>6.4</c:v>
                </c:pt>
                <c:pt idx="139">
                  <c:v>6.3</c:v>
                </c:pt>
                <c:pt idx="140">
                  <c:v>6.1</c:v>
                </c:pt>
                <c:pt idx="141">
                  <c:v>6.1</c:v>
                </c:pt>
                <c:pt idx="142">
                  <c:v>6.2</c:v>
                </c:pt>
                <c:pt idx="143">
                  <c:v>6.4</c:v>
                </c:pt>
                <c:pt idx="144">
                  <c:v>6.7</c:v>
                </c:pt>
                <c:pt idx="145">
                  <c:v>6.8</c:v>
                </c:pt>
                <c:pt idx="146">
                  <c:v>6.6</c:v>
                </c:pt>
                <c:pt idx="147">
                  <c:v>6.2</c:v>
                </c:pt>
                <c:pt idx="148">
                  <c:v>5.8</c:v>
                </c:pt>
                <c:pt idx="149">
                  <c:v>5.8</c:v>
                </c:pt>
                <c:pt idx="150">
                  <c:v>5.7</c:v>
                </c:pt>
                <c:pt idx="151">
                  <c:v>5.6</c:v>
                </c:pt>
                <c:pt idx="152">
                  <c:v>5.4</c:v>
                </c:pt>
                <c:pt idx="153">
                  <c:v>5.4</c:v>
                </c:pt>
                <c:pt idx="154">
                  <c:v>5.6</c:v>
                </c:pt>
                <c:pt idx="155">
                  <c:v>5.9</c:v>
                </c:pt>
                <c:pt idx="156">
                  <c:v>6</c:v>
                </c:pt>
                <c:pt idx="157">
                  <c:v>6</c:v>
                </c:pt>
                <c:pt idx="158">
                  <c:v>6.7</c:v>
                </c:pt>
                <c:pt idx="159">
                  <c:v>7.7</c:v>
                </c:pt>
                <c:pt idx="160">
                  <c:v>8</c:v>
                </c:pt>
                <c:pt idx="161">
                  <c:v>8.1999999999999993</c:v>
                </c:pt>
                <c:pt idx="162">
                  <c:v>8.1999999999999993</c:v>
                </c:pt>
                <c:pt idx="163">
                  <c:v>7.8</c:v>
                </c:pt>
              </c:numCache>
            </c:numRef>
          </c:val>
          <c:smooth val="1"/>
          <c:extLst>
            <c:ext xmlns:c16="http://schemas.microsoft.com/office/drawing/2014/chart" uri="{C3380CC4-5D6E-409C-BE32-E72D297353CC}">
              <c16:uniqueId val="{00000004-63E0-4B13-A98E-D4C5846C2B93}"/>
            </c:ext>
          </c:extLst>
        </c:ser>
        <c:ser>
          <c:idx val="4"/>
          <c:order val="4"/>
          <c:tx>
            <c:strRef>
              <c:f>Sheet2!$A$9</c:f>
              <c:strCache>
                <c:ptCount val="1"/>
                <c:pt idx="0">
                  <c:v>Zemgale</c:v>
                </c:pt>
              </c:strCache>
            </c:strRef>
          </c:tx>
          <c:spPr>
            <a:ln w="28575" cap="rnd">
              <a:solidFill>
                <a:schemeClr val="accent5"/>
              </a:solidFill>
              <a:round/>
            </a:ln>
            <a:effectLst/>
          </c:spPr>
          <c:marker>
            <c:symbol val="none"/>
          </c:marker>
          <c:cat>
            <c:strRef>
              <c:f>Sheet2!$B$4:$FI$4</c:f>
              <c:strCache>
                <c:ptCount val="164"/>
                <c:pt idx="0">
                  <c:v>2007`I</c:v>
                </c:pt>
                <c:pt idx="1">
                  <c:v>II</c:v>
                </c:pt>
                <c:pt idx="2">
                  <c:v>III</c:v>
                </c:pt>
                <c:pt idx="3">
                  <c:v>IV</c:v>
                </c:pt>
                <c:pt idx="4">
                  <c:v>V</c:v>
                </c:pt>
                <c:pt idx="5">
                  <c:v>VI</c:v>
                </c:pt>
                <c:pt idx="6">
                  <c:v>VII</c:v>
                </c:pt>
                <c:pt idx="7">
                  <c:v>VIII</c:v>
                </c:pt>
                <c:pt idx="8">
                  <c:v>IX</c:v>
                </c:pt>
                <c:pt idx="9">
                  <c:v>X</c:v>
                </c:pt>
                <c:pt idx="10">
                  <c:v>XI</c:v>
                </c:pt>
                <c:pt idx="11">
                  <c:v>XII</c:v>
                </c:pt>
                <c:pt idx="12">
                  <c:v>2008`I</c:v>
                </c:pt>
                <c:pt idx="13">
                  <c:v>II</c:v>
                </c:pt>
                <c:pt idx="14">
                  <c:v>III</c:v>
                </c:pt>
                <c:pt idx="15">
                  <c:v>IV</c:v>
                </c:pt>
                <c:pt idx="16">
                  <c:v>V</c:v>
                </c:pt>
                <c:pt idx="17">
                  <c:v>VI</c:v>
                </c:pt>
                <c:pt idx="18">
                  <c:v>VII</c:v>
                </c:pt>
                <c:pt idx="19">
                  <c:v>VIII</c:v>
                </c:pt>
                <c:pt idx="20">
                  <c:v>IX</c:v>
                </c:pt>
                <c:pt idx="21">
                  <c:v>X</c:v>
                </c:pt>
                <c:pt idx="22">
                  <c:v>XI</c:v>
                </c:pt>
                <c:pt idx="23">
                  <c:v>XII</c:v>
                </c:pt>
                <c:pt idx="24">
                  <c:v>2009`I</c:v>
                </c:pt>
                <c:pt idx="25">
                  <c:v>II</c:v>
                </c:pt>
                <c:pt idx="26">
                  <c:v>III</c:v>
                </c:pt>
                <c:pt idx="27">
                  <c:v>IV</c:v>
                </c:pt>
                <c:pt idx="28">
                  <c:v>V</c:v>
                </c:pt>
                <c:pt idx="29">
                  <c:v>VI</c:v>
                </c:pt>
                <c:pt idx="30">
                  <c:v>VII</c:v>
                </c:pt>
                <c:pt idx="31">
                  <c:v>VIII</c:v>
                </c:pt>
                <c:pt idx="32">
                  <c:v>IX</c:v>
                </c:pt>
                <c:pt idx="33">
                  <c:v>X</c:v>
                </c:pt>
                <c:pt idx="34">
                  <c:v>XI</c:v>
                </c:pt>
                <c:pt idx="35">
                  <c:v>XII</c:v>
                </c:pt>
                <c:pt idx="36">
                  <c:v>2010`I</c:v>
                </c:pt>
                <c:pt idx="37">
                  <c:v>II</c:v>
                </c:pt>
                <c:pt idx="38">
                  <c:v>III</c:v>
                </c:pt>
                <c:pt idx="39">
                  <c:v>IV</c:v>
                </c:pt>
                <c:pt idx="40">
                  <c:v>V</c:v>
                </c:pt>
                <c:pt idx="41">
                  <c:v>VI</c:v>
                </c:pt>
                <c:pt idx="42">
                  <c:v>VII</c:v>
                </c:pt>
                <c:pt idx="43">
                  <c:v>VIII</c:v>
                </c:pt>
                <c:pt idx="44">
                  <c:v>IX</c:v>
                </c:pt>
                <c:pt idx="45">
                  <c:v>X</c:v>
                </c:pt>
                <c:pt idx="46">
                  <c:v>XI</c:v>
                </c:pt>
                <c:pt idx="47">
                  <c:v>XII</c:v>
                </c:pt>
                <c:pt idx="48">
                  <c:v>2011`I</c:v>
                </c:pt>
                <c:pt idx="49">
                  <c:v>II</c:v>
                </c:pt>
                <c:pt idx="50">
                  <c:v>III</c:v>
                </c:pt>
                <c:pt idx="51">
                  <c:v>IV</c:v>
                </c:pt>
                <c:pt idx="52">
                  <c:v>V</c:v>
                </c:pt>
                <c:pt idx="53">
                  <c:v>VI</c:v>
                </c:pt>
                <c:pt idx="54">
                  <c:v>VII</c:v>
                </c:pt>
                <c:pt idx="55">
                  <c:v>VIII</c:v>
                </c:pt>
                <c:pt idx="56">
                  <c:v>IX</c:v>
                </c:pt>
                <c:pt idx="57">
                  <c:v>X</c:v>
                </c:pt>
                <c:pt idx="58">
                  <c:v>XI</c:v>
                </c:pt>
                <c:pt idx="59">
                  <c:v>XII</c:v>
                </c:pt>
                <c:pt idx="60">
                  <c:v>2012`I</c:v>
                </c:pt>
                <c:pt idx="61">
                  <c:v>II</c:v>
                </c:pt>
                <c:pt idx="62">
                  <c:v>III</c:v>
                </c:pt>
                <c:pt idx="63">
                  <c:v>IV</c:v>
                </c:pt>
                <c:pt idx="64">
                  <c:v>V</c:v>
                </c:pt>
                <c:pt idx="65">
                  <c:v>VI</c:v>
                </c:pt>
                <c:pt idx="66">
                  <c:v>VII</c:v>
                </c:pt>
                <c:pt idx="67">
                  <c:v>VIII</c:v>
                </c:pt>
                <c:pt idx="68">
                  <c:v>IX</c:v>
                </c:pt>
                <c:pt idx="69">
                  <c:v>X</c:v>
                </c:pt>
                <c:pt idx="70">
                  <c:v>XI</c:v>
                </c:pt>
                <c:pt idx="71">
                  <c:v>XII</c:v>
                </c:pt>
                <c:pt idx="72">
                  <c:v>2013`I</c:v>
                </c:pt>
                <c:pt idx="73">
                  <c:v>II</c:v>
                </c:pt>
                <c:pt idx="74">
                  <c:v>III</c:v>
                </c:pt>
                <c:pt idx="75">
                  <c:v>IV</c:v>
                </c:pt>
                <c:pt idx="76">
                  <c:v>V</c:v>
                </c:pt>
                <c:pt idx="77">
                  <c:v>VI</c:v>
                </c:pt>
                <c:pt idx="78">
                  <c:v>VII</c:v>
                </c:pt>
                <c:pt idx="79">
                  <c:v>VIII</c:v>
                </c:pt>
                <c:pt idx="80">
                  <c:v>IX</c:v>
                </c:pt>
                <c:pt idx="81">
                  <c:v>X</c:v>
                </c:pt>
                <c:pt idx="82">
                  <c:v>XI</c:v>
                </c:pt>
                <c:pt idx="83">
                  <c:v>XII</c:v>
                </c:pt>
                <c:pt idx="84">
                  <c:v>2014`I</c:v>
                </c:pt>
                <c:pt idx="85">
                  <c:v>II</c:v>
                </c:pt>
                <c:pt idx="86">
                  <c:v>III</c:v>
                </c:pt>
                <c:pt idx="87">
                  <c:v>IV</c:v>
                </c:pt>
                <c:pt idx="88">
                  <c:v>V</c:v>
                </c:pt>
                <c:pt idx="89">
                  <c:v>VI</c:v>
                </c:pt>
                <c:pt idx="90">
                  <c:v>VII</c:v>
                </c:pt>
                <c:pt idx="91">
                  <c:v>VIII</c:v>
                </c:pt>
                <c:pt idx="92">
                  <c:v>IX</c:v>
                </c:pt>
                <c:pt idx="93">
                  <c:v>X</c:v>
                </c:pt>
                <c:pt idx="94">
                  <c:v>XI</c:v>
                </c:pt>
                <c:pt idx="95">
                  <c:v>XII</c:v>
                </c:pt>
                <c:pt idx="96">
                  <c:v>2015`I</c:v>
                </c:pt>
                <c:pt idx="97">
                  <c:v>II</c:v>
                </c:pt>
                <c:pt idx="98">
                  <c:v>III</c:v>
                </c:pt>
                <c:pt idx="99">
                  <c:v>IV</c:v>
                </c:pt>
                <c:pt idx="100">
                  <c:v>V</c:v>
                </c:pt>
                <c:pt idx="101">
                  <c:v>VI</c:v>
                </c:pt>
                <c:pt idx="102">
                  <c:v>VII</c:v>
                </c:pt>
                <c:pt idx="103">
                  <c:v>VIII</c:v>
                </c:pt>
                <c:pt idx="104">
                  <c:v>IX</c:v>
                </c:pt>
                <c:pt idx="105">
                  <c:v>X</c:v>
                </c:pt>
                <c:pt idx="106">
                  <c:v>XI</c:v>
                </c:pt>
                <c:pt idx="107">
                  <c:v>XII</c:v>
                </c:pt>
                <c:pt idx="108">
                  <c:v>2016`I</c:v>
                </c:pt>
                <c:pt idx="109">
                  <c:v>II</c:v>
                </c:pt>
                <c:pt idx="110">
                  <c:v>III</c:v>
                </c:pt>
                <c:pt idx="111">
                  <c:v>IV</c:v>
                </c:pt>
                <c:pt idx="112">
                  <c:v>V</c:v>
                </c:pt>
                <c:pt idx="113">
                  <c:v>VI</c:v>
                </c:pt>
                <c:pt idx="114">
                  <c:v>VII</c:v>
                </c:pt>
                <c:pt idx="115">
                  <c:v>VIII</c:v>
                </c:pt>
                <c:pt idx="116">
                  <c:v>IX</c:v>
                </c:pt>
                <c:pt idx="117">
                  <c:v>X</c:v>
                </c:pt>
                <c:pt idx="118">
                  <c:v>XI</c:v>
                </c:pt>
                <c:pt idx="119">
                  <c:v>XII</c:v>
                </c:pt>
                <c:pt idx="120">
                  <c:v>2017`I</c:v>
                </c:pt>
                <c:pt idx="121">
                  <c:v>II</c:v>
                </c:pt>
                <c:pt idx="122">
                  <c:v>III</c:v>
                </c:pt>
                <c:pt idx="123">
                  <c:v>IV</c:v>
                </c:pt>
                <c:pt idx="124">
                  <c:v>V</c:v>
                </c:pt>
                <c:pt idx="125">
                  <c:v>VI</c:v>
                </c:pt>
                <c:pt idx="126">
                  <c:v>VII</c:v>
                </c:pt>
                <c:pt idx="127">
                  <c:v>VIII</c:v>
                </c:pt>
                <c:pt idx="128">
                  <c:v>IX</c:v>
                </c:pt>
                <c:pt idx="129">
                  <c:v>X</c:v>
                </c:pt>
                <c:pt idx="130">
                  <c:v>XI</c:v>
                </c:pt>
                <c:pt idx="131">
                  <c:v>XII</c:v>
                </c:pt>
                <c:pt idx="132">
                  <c:v>2018`I</c:v>
                </c:pt>
                <c:pt idx="133">
                  <c:v>II</c:v>
                </c:pt>
                <c:pt idx="134">
                  <c:v>III</c:v>
                </c:pt>
                <c:pt idx="135">
                  <c:v>IV</c:v>
                </c:pt>
                <c:pt idx="136">
                  <c:v>V</c:v>
                </c:pt>
                <c:pt idx="137">
                  <c:v>VI</c:v>
                </c:pt>
                <c:pt idx="138">
                  <c:v>VII</c:v>
                </c:pt>
                <c:pt idx="139">
                  <c:v>VIII</c:v>
                </c:pt>
                <c:pt idx="140">
                  <c:v>IX</c:v>
                </c:pt>
                <c:pt idx="141">
                  <c:v>X</c:v>
                </c:pt>
                <c:pt idx="142">
                  <c:v>XI</c:v>
                </c:pt>
                <c:pt idx="143">
                  <c:v>XII</c:v>
                </c:pt>
                <c:pt idx="144">
                  <c:v>2019`I</c:v>
                </c:pt>
                <c:pt idx="145">
                  <c:v>II</c:v>
                </c:pt>
                <c:pt idx="146">
                  <c:v>III</c:v>
                </c:pt>
                <c:pt idx="147">
                  <c:v>IV</c:v>
                </c:pt>
                <c:pt idx="148">
                  <c:v>V</c:v>
                </c:pt>
                <c:pt idx="149">
                  <c:v>VI</c:v>
                </c:pt>
                <c:pt idx="150">
                  <c:v>VII</c:v>
                </c:pt>
                <c:pt idx="151">
                  <c:v>VIII</c:v>
                </c:pt>
                <c:pt idx="152">
                  <c:v>IX</c:v>
                </c:pt>
                <c:pt idx="153">
                  <c:v>X</c:v>
                </c:pt>
                <c:pt idx="154">
                  <c:v>XI</c:v>
                </c:pt>
                <c:pt idx="155">
                  <c:v>XII</c:v>
                </c:pt>
                <c:pt idx="156">
                  <c:v>2020`I</c:v>
                </c:pt>
                <c:pt idx="157">
                  <c:v>II</c:v>
                </c:pt>
                <c:pt idx="158">
                  <c:v>III</c:v>
                </c:pt>
                <c:pt idx="159">
                  <c:v>IV</c:v>
                </c:pt>
                <c:pt idx="160">
                  <c:v>V</c:v>
                </c:pt>
                <c:pt idx="161">
                  <c:v>VI</c:v>
                </c:pt>
                <c:pt idx="162">
                  <c:v>VII</c:v>
                </c:pt>
                <c:pt idx="163">
                  <c:v>VIII</c:v>
                </c:pt>
              </c:strCache>
            </c:strRef>
          </c:cat>
          <c:val>
            <c:numRef>
              <c:f>Sheet2!$B$9:$FI$9</c:f>
              <c:numCache>
                <c:formatCode>General</c:formatCode>
                <c:ptCount val="164"/>
                <c:pt idx="1">
                  <c:v>7</c:v>
                </c:pt>
                <c:pt idx="2">
                  <c:v>6.8</c:v>
                </c:pt>
                <c:pt idx="3">
                  <c:v>6.5</c:v>
                </c:pt>
                <c:pt idx="4">
                  <c:v>6.1</c:v>
                </c:pt>
                <c:pt idx="5">
                  <c:v>5.9</c:v>
                </c:pt>
                <c:pt idx="6">
                  <c:v>5.7</c:v>
                </c:pt>
                <c:pt idx="7">
                  <c:v>5.4</c:v>
                </c:pt>
                <c:pt idx="8">
                  <c:v>5.0999999999999996</c:v>
                </c:pt>
                <c:pt idx="9">
                  <c:v>4.8</c:v>
                </c:pt>
                <c:pt idx="10">
                  <c:v>4.8</c:v>
                </c:pt>
                <c:pt idx="11">
                  <c:v>4.9000000000000004</c:v>
                </c:pt>
                <c:pt idx="12">
                  <c:v>5</c:v>
                </c:pt>
                <c:pt idx="13">
                  <c:v>5.0999999999999996</c:v>
                </c:pt>
                <c:pt idx="14">
                  <c:v>5</c:v>
                </c:pt>
                <c:pt idx="15">
                  <c:v>4.9000000000000004</c:v>
                </c:pt>
                <c:pt idx="16">
                  <c:v>4.9000000000000004</c:v>
                </c:pt>
                <c:pt idx="17">
                  <c:v>4.9000000000000004</c:v>
                </c:pt>
                <c:pt idx="18">
                  <c:v>4.9000000000000004</c:v>
                </c:pt>
                <c:pt idx="19">
                  <c:v>5.0999999999999996</c:v>
                </c:pt>
                <c:pt idx="20">
                  <c:v>5.3</c:v>
                </c:pt>
                <c:pt idx="21">
                  <c:v>5.7</c:v>
                </c:pt>
                <c:pt idx="22">
                  <c:v>6.5</c:v>
                </c:pt>
                <c:pt idx="23">
                  <c:v>7.6</c:v>
                </c:pt>
                <c:pt idx="24">
                  <c:v>9.1999999999999993</c:v>
                </c:pt>
                <c:pt idx="25">
                  <c:v>10.7</c:v>
                </c:pt>
                <c:pt idx="26">
                  <c:v>12.2</c:v>
                </c:pt>
                <c:pt idx="27">
                  <c:v>12.2</c:v>
                </c:pt>
                <c:pt idx="28">
                  <c:v>12.3</c:v>
                </c:pt>
                <c:pt idx="29">
                  <c:v>12.3</c:v>
                </c:pt>
                <c:pt idx="30">
                  <c:v>12.5</c:v>
                </c:pt>
                <c:pt idx="31">
                  <c:v>13.1</c:v>
                </c:pt>
                <c:pt idx="32">
                  <c:v>14.2</c:v>
                </c:pt>
                <c:pt idx="33">
                  <c:v>15.1</c:v>
                </c:pt>
                <c:pt idx="34">
                  <c:v>16.5</c:v>
                </c:pt>
                <c:pt idx="35">
                  <c:v>17.8</c:v>
                </c:pt>
                <c:pt idx="36">
                  <c:v>18.899999999999999</c:v>
                </c:pt>
                <c:pt idx="37">
                  <c:v>19.5</c:v>
                </c:pt>
                <c:pt idx="38">
                  <c:v>19.8</c:v>
                </c:pt>
                <c:pt idx="39">
                  <c:v>18.7</c:v>
                </c:pt>
                <c:pt idx="40">
                  <c:v>17.8</c:v>
                </c:pt>
                <c:pt idx="41">
                  <c:v>17</c:v>
                </c:pt>
                <c:pt idx="42">
                  <c:v>16.399999999999999</c:v>
                </c:pt>
                <c:pt idx="43">
                  <c:v>16.100000000000001</c:v>
                </c:pt>
                <c:pt idx="44">
                  <c:v>15.6</c:v>
                </c:pt>
                <c:pt idx="45">
                  <c:v>15.4</c:v>
                </c:pt>
                <c:pt idx="46">
                  <c:v>15.5</c:v>
                </c:pt>
                <c:pt idx="47">
                  <c:v>15.8</c:v>
                </c:pt>
                <c:pt idx="48">
                  <c:v>16.100000000000001</c:v>
                </c:pt>
                <c:pt idx="49">
                  <c:v>16.3</c:v>
                </c:pt>
                <c:pt idx="50">
                  <c:v>16.100000000000001</c:v>
                </c:pt>
                <c:pt idx="51">
                  <c:v>15.4</c:v>
                </c:pt>
                <c:pt idx="52">
                  <c:v>14.5</c:v>
                </c:pt>
                <c:pt idx="53">
                  <c:v>13.9</c:v>
                </c:pt>
                <c:pt idx="54">
                  <c:v>13.2</c:v>
                </c:pt>
                <c:pt idx="55">
                  <c:v>12.9</c:v>
                </c:pt>
                <c:pt idx="56">
                  <c:v>12.6</c:v>
                </c:pt>
                <c:pt idx="57">
                  <c:v>12.5</c:v>
                </c:pt>
                <c:pt idx="58">
                  <c:v>12.5</c:v>
                </c:pt>
                <c:pt idx="59">
                  <c:v>12.7</c:v>
                </c:pt>
                <c:pt idx="60">
                  <c:v>13.1</c:v>
                </c:pt>
                <c:pt idx="61">
                  <c:v>13.3</c:v>
                </c:pt>
                <c:pt idx="62">
                  <c:v>13.1</c:v>
                </c:pt>
                <c:pt idx="63" formatCode="0.0">
                  <c:v>14.4</c:v>
                </c:pt>
                <c:pt idx="64" formatCode="0.0">
                  <c:v>13.6</c:v>
                </c:pt>
                <c:pt idx="65">
                  <c:v>13</c:v>
                </c:pt>
                <c:pt idx="66">
                  <c:v>12.7</c:v>
                </c:pt>
                <c:pt idx="67">
                  <c:v>12.4</c:v>
                </c:pt>
                <c:pt idx="68">
                  <c:v>12.1</c:v>
                </c:pt>
                <c:pt idx="69">
                  <c:v>11.8</c:v>
                </c:pt>
                <c:pt idx="70">
                  <c:v>11.7</c:v>
                </c:pt>
                <c:pt idx="71">
                  <c:v>11.7</c:v>
                </c:pt>
                <c:pt idx="72">
                  <c:v>12.1</c:v>
                </c:pt>
                <c:pt idx="73">
                  <c:v>12</c:v>
                </c:pt>
                <c:pt idx="74">
                  <c:v>11.8</c:v>
                </c:pt>
                <c:pt idx="75">
                  <c:v>11.2</c:v>
                </c:pt>
                <c:pt idx="76">
                  <c:v>10.5</c:v>
                </c:pt>
                <c:pt idx="77">
                  <c:v>10.1</c:v>
                </c:pt>
                <c:pt idx="78">
                  <c:v>9.6999999999999993</c:v>
                </c:pt>
                <c:pt idx="79">
                  <c:v>9.4</c:v>
                </c:pt>
                <c:pt idx="80">
                  <c:v>9.1999999999999993</c:v>
                </c:pt>
                <c:pt idx="81">
                  <c:v>9.1999999999999993</c:v>
                </c:pt>
                <c:pt idx="82">
                  <c:v>9.4</c:v>
                </c:pt>
                <c:pt idx="83">
                  <c:v>9.8000000000000007</c:v>
                </c:pt>
                <c:pt idx="84">
                  <c:v>10.4</c:v>
                </c:pt>
                <c:pt idx="85">
                  <c:v>10.5</c:v>
                </c:pt>
                <c:pt idx="86">
                  <c:v>10.199999999999999</c:v>
                </c:pt>
                <c:pt idx="87">
                  <c:v>9.6</c:v>
                </c:pt>
                <c:pt idx="88">
                  <c:v>8.9</c:v>
                </c:pt>
                <c:pt idx="89">
                  <c:v>8.6</c:v>
                </c:pt>
                <c:pt idx="90">
                  <c:v>8.1999999999999993</c:v>
                </c:pt>
                <c:pt idx="91">
                  <c:v>7.9</c:v>
                </c:pt>
                <c:pt idx="92">
                  <c:v>7.8</c:v>
                </c:pt>
                <c:pt idx="93">
                  <c:v>7.7</c:v>
                </c:pt>
                <c:pt idx="94">
                  <c:v>8</c:v>
                </c:pt>
                <c:pt idx="95">
                  <c:v>8.3000000000000007</c:v>
                </c:pt>
                <c:pt idx="96">
                  <c:v>9</c:v>
                </c:pt>
                <c:pt idx="97">
                  <c:v>9.3000000000000007</c:v>
                </c:pt>
                <c:pt idx="98">
                  <c:v>9.6</c:v>
                </c:pt>
                <c:pt idx="99">
                  <c:v>9</c:v>
                </c:pt>
                <c:pt idx="100">
                  <c:v>8.5</c:v>
                </c:pt>
                <c:pt idx="101">
                  <c:v>8.3000000000000007</c:v>
                </c:pt>
                <c:pt idx="102">
                  <c:v>8.1</c:v>
                </c:pt>
                <c:pt idx="103">
                  <c:v>8</c:v>
                </c:pt>
                <c:pt idx="104">
                  <c:v>8</c:v>
                </c:pt>
                <c:pt idx="105">
                  <c:v>7.9</c:v>
                </c:pt>
                <c:pt idx="106">
                  <c:v>8.3000000000000007</c:v>
                </c:pt>
                <c:pt idx="107">
                  <c:v>8.6999999999999993</c:v>
                </c:pt>
                <c:pt idx="108">
                  <c:v>9.5</c:v>
                </c:pt>
                <c:pt idx="109">
                  <c:v>9.6999999999999993</c:v>
                </c:pt>
                <c:pt idx="110">
                  <c:v>9.4</c:v>
                </c:pt>
                <c:pt idx="111">
                  <c:v>8.8000000000000007</c:v>
                </c:pt>
                <c:pt idx="112">
                  <c:v>8.1999999999999993</c:v>
                </c:pt>
                <c:pt idx="113">
                  <c:v>8</c:v>
                </c:pt>
                <c:pt idx="114">
                  <c:v>7.7</c:v>
                </c:pt>
                <c:pt idx="115">
                  <c:v>7.4</c:v>
                </c:pt>
                <c:pt idx="116">
                  <c:v>7.3</c:v>
                </c:pt>
                <c:pt idx="117">
                  <c:v>7.4</c:v>
                </c:pt>
                <c:pt idx="118" formatCode="0.0">
                  <c:v>7.7</c:v>
                </c:pt>
                <c:pt idx="119">
                  <c:v>8.1999999999999993</c:v>
                </c:pt>
                <c:pt idx="120">
                  <c:v>8.5</c:v>
                </c:pt>
                <c:pt idx="121">
                  <c:v>8.5</c:v>
                </c:pt>
                <c:pt idx="122">
                  <c:v>8.1999999999999993</c:v>
                </c:pt>
                <c:pt idx="123">
                  <c:v>7.4</c:v>
                </c:pt>
                <c:pt idx="124">
                  <c:v>7</c:v>
                </c:pt>
                <c:pt idx="125">
                  <c:v>6.7</c:v>
                </c:pt>
                <c:pt idx="126">
                  <c:v>6.5</c:v>
                </c:pt>
                <c:pt idx="127">
                  <c:v>6.3</c:v>
                </c:pt>
                <c:pt idx="128">
                  <c:v>6</c:v>
                </c:pt>
                <c:pt idx="129">
                  <c:v>6</c:v>
                </c:pt>
                <c:pt idx="130">
                  <c:v>6.2</c:v>
                </c:pt>
                <c:pt idx="131">
                  <c:v>6.5</c:v>
                </c:pt>
                <c:pt idx="132">
                  <c:v>6.9</c:v>
                </c:pt>
                <c:pt idx="133">
                  <c:v>6.9</c:v>
                </c:pt>
                <c:pt idx="134">
                  <c:v>6.8</c:v>
                </c:pt>
                <c:pt idx="135">
                  <c:v>6.4</c:v>
                </c:pt>
                <c:pt idx="136">
                  <c:v>6</c:v>
                </c:pt>
                <c:pt idx="137">
                  <c:v>5.9</c:v>
                </c:pt>
                <c:pt idx="138">
                  <c:v>5.8</c:v>
                </c:pt>
                <c:pt idx="139">
                  <c:v>5.6</c:v>
                </c:pt>
                <c:pt idx="140">
                  <c:v>5.6</c:v>
                </c:pt>
                <c:pt idx="141">
                  <c:v>5.6</c:v>
                </c:pt>
                <c:pt idx="142">
                  <c:v>5.8</c:v>
                </c:pt>
                <c:pt idx="143">
                  <c:v>6.2</c:v>
                </c:pt>
                <c:pt idx="144">
                  <c:v>6.6</c:v>
                </c:pt>
                <c:pt idx="145">
                  <c:v>6.6</c:v>
                </c:pt>
                <c:pt idx="146">
                  <c:v>6.7</c:v>
                </c:pt>
                <c:pt idx="147">
                  <c:v>6.2</c:v>
                </c:pt>
                <c:pt idx="148">
                  <c:v>5.8</c:v>
                </c:pt>
                <c:pt idx="149">
                  <c:v>5.8</c:v>
                </c:pt>
                <c:pt idx="150">
                  <c:v>5.7</c:v>
                </c:pt>
                <c:pt idx="151">
                  <c:v>5.5</c:v>
                </c:pt>
                <c:pt idx="152">
                  <c:v>5.3</c:v>
                </c:pt>
                <c:pt idx="153">
                  <c:v>5.4</c:v>
                </c:pt>
                <c:pt idx="154">
                  <c:v>5.7</c:v>
                </c:pt>
                <c:pt idx="155">
                  <c:v>6.3</c:v>
                </c:pt>
                <c:pt idx="156">
                  <c:v>6.5</c:v>
                </c:pt>
                <c:pt idx="157">
                  <c:v>6.5</c:v>
                </c:pt>
                <c:pt idx="158">
                  <c:v>6.8</c:v>
                </c:pt>
                <c:pt idx="159">
                  <c:v>7.7</c:v>
                </c:pt>
                <c:pt idx="160">
                  <c:v>8</c:v>
                </c:pt>
                <c:pt idx="161">
                  <c:v>8.1999999999999993</c:v>
                </c:pt>
                <c:pt idx="162">
                  <c:v>8</c:v>
                </c:pt>
                <c:pt idx="163">
                  <c:v>7.6</c:v>
                </c:pt>
              </c:numCache>
            </c:numRef>
          </c:val>
          <c:smooth val="1"/>
          <c:extLst>
            <c:ext xmlns:c16="http://schemas.microsoft.com/office/drawing/2014/chart" uri="{C3380CC4-5D6E-409C-BE32-E72D297353CC}">
              <c16:uniqueId val="{00000005-63E0-4B13-A98E-D4C5846C2B93}"/>
            </c:ext>
          </c:extLst>
        </c:ser>
        <c:dLbls>
          <c:showLegendKey val="0"/>
          <c:showVal val="0"/>
          <c:showCatName val="0"/>
          <c:showSerName val="0"/>
          <c:showPercent val="0"/>
          <c:showBubbleSize val="0"/>
        </c:dLbls>
        <c:marker val="1"/>
        <c:smooth val="0"/>
        <c:axId val="336009504"/>
        <c:axId val="336013816"/>
      </c:lineChart>
      <c:catAx>
        <c:axId val="336009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36013816"/>
        <c:crosses val="autoZero"/>
        <c:auto val="1"/>
        <c:lblAlgn val="ctr"/>
        <c:lblOffset val="100"/>
        <c:tickMarkSkip val="12"/>
        <c:noMultiLvlLbl val="0"/>
      </c:catAx>
      <c:valAx>
        <c:axId val="336013816"/>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36009504"/>
        <c:crosses val="autoZero"/>
        <c:crossBetween val="between"/>
      </c:valAx>
      <c:spPr>
        <a:noFill/>
        <a:ln>
          <a:noFill/>
        </a:ln>
        <a:effectLst/>
      </c:spPr>
    </c:plotArea>
    <c:legend>
      <c:legendPos val="b"/>
      <c:layout>
        <c:manualLayout>
          <c:xMode val="edge"/>
          <c:yMode val="edge"/>
          <c:x val="7.6483705960112655E-2"/>
          <c:y val="0.87860517435320584"/>
          <c:w val="0.81584360434477865"/>
          <c:h val="0.10675218789140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309109627610056E-2"/>
          <c:y val="2.4909386326709162E-2"/>
          <c:w val="0.88720401341597288"/>
          <c:h val="0.59425893191922441"/>
        </c:manualLayout>
      </c:layout>
      <c:barChart>
        <c:barDir val="col"/>
        <c:grouping val="stacked"/>
        <c:varyColors val="0"/>
        <c:ser>
          <c:idx val="0"/>
          <c:order val="0"/>
          <c:tx>
            <c:strRef>
              <c:f>grafiks!$R$2</c:f>
              <c:strCache>
                <c:ptCount val="1"/>
                <c:pt idx="0">
                  <c:v>Sabiedriskajā sektorā</c:v>
                </c:pt>
              </c:strCache>
            </c:strRef>
          </c:tx>
          <c:spPr>
            <a:solidFill>
              <a:schemeClr val="accent1"/>
            </a:solidFill>
            <a:ln>
              <a:noFill/>
            </a:ln>
            <a:effectLst/>
          </c:spPr>
          <c:invertIfNegative val="0"/>
          <c:cat>
            <c:strRef>
              <c:f>grafiks!$Q$3:$Q$21</c:f>
              <c:strCache>
                <c:ptCount val="19"/>
                <c:pt idx="0">
                  <c:v>Veselība</c:v>
                </c:pt>
                <c:pt idx="1">
                  <c:v>IKT</c:v>
                </c:pt>
                <c:pt idx="2">
                  <c:v>Izglītība</c:v>
                </c:pt>
                <c:pt idx="3">
                  <c:v>Ieguves rūpniecība</c:v>
                </c:pt>
                <c:pt idx="4">
                  <c:v>Elektroenerģija</c:v>
                </c:pt>
                <c:pt idx="5">
                  <c:v>NĪ operācijas</c:v>
                </c:pt>
                <c:pt idx="6">
                  <c:v>Ūdens apgāde</c:v>
                </c:pt>
                <c:pt idx="7">
                  <c:v>Lauksaimniecība</c:v>
                </c:pt>
                <c:pt idx="8">
                  <c:v>Finanšu pakalpojumi</c:v>
                </c:pt>
                <c:pt idx="9">
                  <c:v>Valsts pārvalde</c:v>
                </c:pt>
                <c:pt idx="10">
                  <c:v>Citi pakalpojumi</c:v>
                </c:pt>
                <c:pt idx="11">
                  <c:v>Profesionālie pak</c:v>
                </c:pt>
                <c:pt idx="12">
                  <c:v>Būvniecība</c:v>
                </c:pt>
                <c:pt idx="13">
                  <c:v>Administratīvie pak</c:v>
                </c:pt>
                <c:pt idx="14">
                  <c:v>Māksla, izklaide</c:v>
                </c:pt>
                <c:pt idx="15">
                  <c:v>Apstrādes rūpniecība</c:v>
                </c:pt>
                <c:pt idx="16">
                  <c:v>Transports</c:v>
                </c:pt>
                <c:pt idx="17">
                  <c:v>Tirdzniecība</c:v>
                </c:pt>
                <c:pt idx="18">
                  <c:v>Izmitināšana, ēdināšana</c:v>
                </c:pt>
              </c:strCache>
            </c:strRef>
          </c:cat>
          <c:val>
            <c:numRef>
              <c:f>grafiks!$R$3:$R$21</c:f>
              <c:numCache>
                <c:formatCode>General</c:formatCode>
                <c:ptCount val="19"/>
                <c:pt idx="0">
                  <c:v>792</c:v>
                </c:pt>
                <c:pt idx="1">
                  <c:v>41</c:v>
                </c:pt>
                <c:pt idx="2">
                  <c:v>80</c:v>
                </c:pt>
                <c:pt idx="4">
                  <c:v>-63</c:v>
                </c:pt>
                <c:pt idx="5">
                  <c:v>-214</c:v>
                </c:pt>
                <c:pt idx="6">
                  <c:v>-11</c:v>
                </c:pt>
                <c:pt idx="7">
                  <c:v>-49</c:v>
                </c:pt>
                <c:pt idx="8">
                  <c:v>-57</c:v>
                </c:pt>
                <c:pt idx="9">
                  <c:v>-1283</c:v>
                </c:pt>
                <c:pt idx="10">
                  <c:v>-534</c:v>
                </c:pt>
                <c:pt idx="11">
                  <c:v>111</c:v>
                </c:pt>
                <c:pt idx="12">
                  <c:v>-186</c:v>
                </c:pt>
                <c:pt idx="13">
                  <c:v>193</c:v>
                </c:pt>
                <c:pt idx="14">
                  <c:v>-1227</c:v>
                </c:pt>
                <c:pt idx="15">
                  <c:v>-187</c:v>
                </c:pt>
                <c:pt idx="16">
                  <c:v>-3267</c:v>
                </c:pt>
                <c:pt idx="17">
                  <c:v>3</c:v>
                </c:pt>
                <c:pt idx="18">
                  <c:v>-19</c:v>
                </c:pt>
              </c:numCache>
            </c:numRef>
          </c:val>
          <c:extLst>
            <c:ext xmlns:c16="http://schemas.microsoft.com/office/drawing/2014/chart" uri="{C3380CC4-5D6E-409C-BE32-E72D297353CC}">
              <c16:uniqueId val="{00000000-CF5F-4580-A589-2C6A98E7BFCA}"/>
            </c:ext>
          </c:extLst>
        </c:ser>
        <c:ser>
          <c:idx val="1"/>
          <c:order val="1"/>
          <c:tx>
            <c:strRef>
              <c:f>grafiks!$S$2</c:f>
              <c:strCache>
                <c:ptCount val="1"/>
                <c:pt idx="0">
                  <c:v>Privātajā sektorā</c:v>
                </c:pt>
              </c:strCache>
            </c:strRef>
          </c:tx>
          <c:spPr>
            <a:solidFill>
              <a:schemeClr val="accent2"/>
            </a:solidFill>
            <a:ln>
              <a:noFill/>
            </a:ln>
            <a:effectLst/>
          </c:spPr>
          <c:invertIfNegative val="0"/>
          <c:cat>
            <c:strRef>
              <c:f>grafiks!$Q$3:$Q$21</c:f>
              <c:strCache>
                <c:ptCount val="19"/>
                <c:pt idx="0">
                  <c:v>Veselība</c:v>
                </c:pt>
                <c:pt idx="1">
                  <c:v>IKT</c:v>
                </c:pt>
                <c:pt idx="2">
                  <c:v>Izglītība</c:v>
                </c:pt>
                <c:pt idx="3">
                  <c:v>Ieguves rūpniecība</c:v>
                </c:pt>
                <c:pt idx="4">
                  <c:v>Elektroenerģija</c:v>
                </c:pt>
                <c:pt idx="5">
                  <c:v>NĪ operācijas</c:v>
                </c:pt>
                <c:pt idx="6">
                  <c:v>Ūdens apgāde</c:v>
                </c:pt>
                <c:pt idx="7">
                  <c:v>Lauksaimniecība</c:v>
                </c:pt>
                <c:pt idx="8">
                  <c:v>Finanšu pakalpojumi</c:v>
                </c:pt>
                <c:pt idx="9">
                  <c:v>Valsts pārvalde</c:v>
                </c:pt>
                <c:pt idx="10">
                  <c:v>Citi pakalpojumi</c:v>
                </c:pt>
                <c:pt idx="11">
                  <c:v>Profesionālie pak</c:v>
                </c:pt>
                <c:pt idx="12">
                  <c:v>Būvniecība</c:v>
                </c:pt>
                <c:pt idx="13">
                  <c:v>Administratīvie pak</c:v>
                </c:pt>
                <c:pt idx="14">
                  <c:v>Māksla, izklaide</c:v>
                </c:pt>
                <c:pt idx="15">
                  <c:v>Apstrādes rūpniecība</c:v>
                </c:pt>
                <c:pt idx="16">
                  <c:v>Transports</c:v>
                </c:pt>
                <c:pt idx="17">
                  <c:v>Tirdzniecība</c:v>
                </c:pt>
                <c:pt idx="18">
                  <c:v>Izmitināšana, ēdināšana</c:v>
                </c:pt>
              </c:strCache>
            </c:strRef>
          </c:cat>
          <c:val>
            <c:numRef>
              <c:f>grafiks!$S$3:$S$21</c:f>
              <c:numCache>
                <c:formatCode>General</c:formatCode>
                <c:ptCount val="19"/>
                <c:pt idx="0">
                  <c:v>650</c:v>
                </c:pt>
                <c:pt idx="1">
                  <c:v>615</c:v>
                </c:pt>
                <c:pt idx="2">
                  <c:v>136</c:v>
                </c:pt>
                <c:pt idx="3">
                  <c:v>73</c:v>
                </c:pt>
                <c:pt idx="4">
                  <c:v>-77</c:v>
                </c:pt>
                <c:pt idx="5">
                  <c:v>10</c:v>
                </c:pt>
                <c:pt idx="6">
                  <c:v>-378</c:v>
                </c:pt>
                <c:pt idx="7">
                  <c:v>-515</c:v>
                </c:pt>
                <c:pt idx="8">
                  <c:v>-567</c:v>
                </c:pt>
                <c:pt idx="9">
                  <c:v>-3</c:v>
                </c:pt>
                <c:pt idx="10">
                  <c:v>-1162</c:v>
                </c:pt>
                <c:pt idx="11">
                  <c:v>-2028</c:v>
                </c:pt>
                <c:pt idx="12">
                  <c:v>-2085</c:v>
                </c:pt>
                <c:pt idx="13">
                  <c:v>-3002</c:v>
                </c:pt>
                <c:pt idx="14">
                  <c:v>-1632</c:v>
                </c:pt>
                <c:pt idx="15">
                  <c:v>-4118</c:v>
                </c:pt>
                <c:pt idx="16">
                  <c:v>-3369</c:v>
                </c:pt>
                <c:pt idx="17">
                  <c:v>-8154</c:v>
                </c:pt>
                <c:pt idx="18">
                  <c:v>-10116</c:v>
                </c:pt>
              </c:numCache>
            </c:numRef>
          </c:val>
          <c:extLst>
            <c:ext xmlns:c16="http://schemas.microsoft.com/office/drawing/2014/chart" uri="{C3380CC4-5D6E-409C-BE32-E72D297353CC}">
              <c16:uniqueId val="{00000001-CF5F-4580-A589-2C6A98E7BFCA}"/>
            </c:ext>
          </c:extLst>
        </c:ser>
        <c:dLbls>
          <c:showLegendKey val="0"/>
          <c:showVal val="0"/>
          <c:showCatName val="0"/>
          <c:showSerName val="0"/>
          <c:showPercent val="0"/>
          <c:showBubbleSize val="0"/>
        </c:dLbls>
        <c:gapWidth val="50"/>
        <c:overlap val="100"/>
        <c:axId val="460450312"/>
        <c:axId val="403186216"/>
      </c:barChart>
      <c:lineChart>
        <c:grouping val="stacked"/>
        <c:varyColors val="0"/>
        <c:ser>
          <c:idx val="2"/>
          <c:order val="2"/>
          <c:tx>
            <c:strRef>
              <c:f>grafiks!$T$2</c:f>
              <c:strCache>
                <c:ptCount val="1"/>
                <c:pt idx="0">
                  <c:v>Pavisam</c:v>
                </c:pt>
              </c:strCache>
            </c:strRef>
          </c:tx>
          <c:spPr>
            <a:ln w="28575" cap="rnd">
              <a:noFill/>
              <a:round/>
            </a:ln>
            <a:effectLst/>
          </c:spPr>
          <c:marker>
            <c:symbol val="diamond"/>
            <c:size val="7"/>
            <c:spPr>
              <a:solidFill>
                <a:schemeClr val="tx1">
                  <a:lumMod val="85000"/>
                  <a:lumOff val="15000"/>
                </a:schemeClr>
              </a:solidFill>
              <a:ln w="9525">
                <a:solidFill>
                  <a:schemeClr val="tx1">
                    <a:lumMod val="85000"/>
                    <a:lumOff val="15000"/>
                  </a:schemeClr>
                </a:solidFill>
              </a:ln>
              <a:effectLst/>
            </c:spPr>
          </c:marker>
          <c:cat>
            <c:strRef>
              <c:f>grafiks!$Q$3:$Q$21</c:f>
              <c:strCache>
                <c:ptCount val="19"/>
                <c:pt idx="0">
                  <c:v>Veselība</c:v>
                </c:pt>
                <c:pt idx="1">
                  <c:v>IKT</c:v>
                </c:pt>
                <c:pt idx="2">
                  <c:v>Izglītība</c:v>
                </c:pt>
                <c:pt idx="3">
                  <c:v>Ieguves rūpniecība</c:v>
                </c:pt>
                <c:pt idx="4">
                  <c:v>Elektroenerģija</c:v>
                </c:pt>
                <c:pt idx="5">
                  <c:v>NĪ operācijas</c:v>
                </c:pt>
                <c:pt idx="6">
                  <c:v>Ūdens apgāde</c:v>
                </c:pt>
                <c:pt idx="7">
                  <c:v>Lauksaimniecība</c:v>
                </c:pt>
                <c:pt idx="8">
                  <c:v>Finanšu pakalpojumi</c:v>
                </c:pt>
                <c:pt idx="9">
                  <c:v>Valsts pārvalde</c:v>
                </c:pt>
                <c:pt idx="10">
                  <c:v>Citi pakalpojumi</c:v>
                </c:pt>
                <c:pt idx="11">
                  <c:v>Profesionālie pak</c:v>
                </c:pt>
                <c:pt idx="12">
                  <c:v>Būvniecība</c:v>
                </c:pt>
                <c:pt idx="13">
                  <c:v>Administratīvie pak</c:v>
                </c:pt>
                <c:pt idx="14">
                  <c:v>Māksla, izklaide</c:v>
                </c:pt>
                <c:pt idx="15">
                  <c:v>Apstrādes rūpniecība</c:v>
                </c:pt>
                <c:pt idx="16">
                  <c:v>Transports</c:v>
                </c:pt>
                <c:pt idx="17">
                  <c:v>Tirdzniecība</c:v>
                </c:pt>
                <c:pt idx="18">
                  <c:v>Izmitināšana, ēdināšana</c:v>
                </c:pt>
              </c:strCache>
            </c:strRef>
          </c:cat>
          <c:val>
            <c:numRef>
              <c:f>grafiks!$T$3:$T$21</c:f>
              <c:numCache>
                <c:formatCode>General</c:formatCode>
                <c:ptCount val="19"/>
                <c:pt idx="0">
                  <c:v>1441</c:v>
                </c:pt>
                <c:pt idx="1">
                  <c:v>656</c:v>
                </c:pt>
                <c:pt idx="2">
                  <c:v>216</c:v>
                </c:pt>
                <c:pt idx="3">
                  <c:v>73</c:v>
                </c:pt>
                <c:pt idx="4">
                  <c:v>-140</c:v>
                </c:pt>
                <c:pt idx="5">
                  <c:v>-205</c:v>
                </c:pt>
                <c:pt idx="6">
                  <c:v>-389</c:v>
                </c:pt>
                <c:pt idx="7">
                  <c:v>-564</c:v>
                </c:pt>
                <c:pt idx="8">
                  <c:v>-624</c:v>
                </c:pt>
                <c:pt idx="9">
                  <c:v>-1286</c:v>
                </c:pt>
                <c:pt idx="10">
                  <c:v>-1696</c:v>
                </c:pt>
                <c:pt idx="11">
                  <c:v>-1918</c:v>
                </c:pt>
                <c:pt idx="12">
                  <c:v>-2271</c:v>
                </c:pt>
                <c:pt idx="13">
                  <c:v>-2809</c:v>
                </c:pt>
                <c:pt idx="14">
                  <c:v>-2859</c:v>
                </c:pt>
                <c:pt idx="15">
                  <c:v>-4305</c:v>
                </c:pt>
                <c:pt idx="16">
                  <c:v>-6635</c:v>
                </c:pt>
                <c:pt idx="17">
                  <c:v>-8151</c:v>
                </c:pt>
                <c:pt idx="18">
                  <c:v>-10135</c:v>
                </c:pt>
              </c:numCache>
            </c:numRef>
          </c:val>
          <c:smooth val="0"/>
          <c:extLst>
            <c:ext xmlns:c16="http://schemas.microsoft.com/office/drawing/2014/chart" uri="{C3380CC4-5D6E-409C-BE32-E72D297353CC}">
              <c16:uniqueId val="{00000002-CF5F-4580-A589-2C6A98E7BFCA}"/>
            </c:ext>
          </c:extLst>
        </c:ser>
        <c:dLbls>
          <c:showLegendKey val="0"/>
          <c:showVal val="0"/>
          <c:showCatName val="0"/>
          <c:showSerName val="0"/>
          <c:showPercent val="0"/>
          <c:showBubbleSize val="0"/>
        </c:dLbls>
        <c:marker val="1"/>
        <c:smooth val="0"/>
        <c:axId val="460450312"/>
        <c:axId val="403186216"/>
      </c:lineChart>
      <c:catAx>
        <c:axId val="460450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3186216"/>
        <c:crosses val="autoZero"/>
        <c:auto val="1"/>
        <c:lblAlgn val="ctr"/>
        <c:lblOffset val="100"/>
        <c:noMultiLvlLbl val="0"/>
      </c:catAx>
      <c:valAx>
        <c:axId val="403186216"/>
        <c:scaling>
          <c:orientation val="minMax"/>
          <c:max val="3000"/>
          <c:min val="-1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0450312"/>
        <c:crosses val="autoZero"/>
        <c:crossBetween val="between"/>
      </c:valAx>
      <c:spPr>
        <a:noFill/>
        <a:ln>
          <a:solidFill>
            <a:sysClr val="window" lastClr="FFFFFF">
              <a:lumMod val="85000"/>
            </a:sysClr>
          </a:solidFill>
        </a:ln>
        <a:effectLst/>
      </c:spPr>
    </c:plotArea>
    <c:legend>
      <c:legendPos val="b"/>
      <c:layout>
        <c:manualLayout>
          <c:xMode val="edge"/>
          <c:yMode val="edge"/>
          <c:x val="0.13135045152825675"/>
          <c:y val="0.52955807642688735"/>
          <c:w val="0.57356184979646629"/>
          <c:h val="7.653114789222775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77653286535763E-2"/>
          <c:y val="2.9754427143007051E-2"/>
          <c:w val="0.88905920475951528"/>
          <c:h val="0.62891530988905275"/>
        </c:manualLayout>
      </c:layout>
      <c:lineChart>
        <c:grouping val="standard"/>
        <c:varyColors val="0"/>
        <c:ser>
          <c:idx val="0"/>
          <c:order val="0"/>
          <c:tx>
            <c:strRef>
              <c:f>'graf2 (2)'!$A$13</c:f>
              <c:strCache>
                <c:ptCount val="1"/>
                <c:pt idx="0">
                  <c:v>ES27</c:v>
                </c:pt>
              </c:strCache>
            </c:strRef>
          </c:tx>
          <c:spPr>
            <a:ln w="28575" cap="rnd">
              <a:solidFill>
                <a:sysClr val="windowText" lastClr="000000"/>
              </a:solidFill>
              <a:prstDash val="sysDash"/>
              <a:round/>
            </a:ln>
            <a:effectLst/>
          </c:spPr>
          <c:marker>
            <c:symbol val="none"/>
          </c:marker>
          <c:cat>
            <c:strRef>
              <c:f>'graf2 (2)'!$B$12:$AQ$12</c:f>
              <c:strCache>
                <c:ptCount val="42"/>
                <c:pt idx="0">
                  <c:v>2010Q1</c:v>
                </c:pt>
                <c:pt idx="1">
                  <c:v>2010Q2</c:v>
                </c:pt>
                <c:pt idx="2">
                  <c:v>2010Q3</c:v>
                </c:pt>
                <c:pt idx="3">
                  <c:v>2010Q4</c:v>
                </c:pt>
                <c:pt idx="4">
                  <c:v>2011Q1</c:v>
                </c:pt>
                <c:pt idx="5">
                  <c:v>2011Q2</c:v>
                </c:pt>
                <c:pt idx="6">
                  <c:v>2011Q3</c:v>
                </c:pt>
                <c:pt idx="7">
                  <c:v>2011Q4</c:v>
                </c:pt>
                <c:pt idx="8">
                  <c:v>2012Q1</c:v>
                </c:pt>
                <c:pt idx="9">
                  <c:v>2012Q2</c:v>
                </c:pt>
                <c:pt idx="10">
                  <c:v>2012Q3</c:v>
                </c:pt>
                <c:pt idx="11">
                  <c:v>2012Q4</c:v>
                </c:pt>
                <c:pt idx="12">
                  <c:v>2013Q1</c:v>
                </c:pt>
                <c:pt idx="13">
                  <c:v>2013Q2</c:v>
                </c:pt>
                <c:pt idx="14">
                  <c:v>2013Q3</c:v>
                </c:pt>
                <c:pt idx="15">
                  <c:v>2013Q4</c:v>
                </c:pt>
                <c:pt idx="16">
                  <c:v>2014Q1</c:v>
                </c:pt>
                <c:pt idx="17">
                  <c:v>2014Q2</c:v>
                </c:pt>
                <c:pt idx="18">
                  <c:v>2014Q3</c:v>
                </c:pt>
                <c:pt idx="19">
                  <c:v>2014Q4</c:v>
                </c:pt>
                <c:pt idx="20">
                  <c:v>2015Q1</c:v>
                </c:pt>
                <c:pt idx="21">
                  <c:v>2015Q2</c:v>
                </c:pt>
                <c:pt idx="22">
                  <c:v>2015Q3</c:v>
                </c:pt>
                <c:pt idx="23">
                  <c:v>2015Q4</c:v>
                </c:pt>
                <c:pt idx="24">
                  <c:v>2016Q1</c:v>
                </c:pt>
                <c:pt idx="25">
                  <c:v>2016Q2</c:v>
                </c:pt>
                <c:pt idx="26">
                  <c:v>2016Q3</c:v>
                </c:pt>
                <c:pt idx="27">
                  <c:v>2016Q4</c:v>
                </c:pt>
                <c:pt idx="28">
                  <c:v>2017Q1</c:v>
                </c:pt>
                <c:pt idx="29">
                  <c:v>2017Q2</c:v>
                </c:pt>
                <c:pt idx="30">
                  <c:v>2017Q3</c:v>
                </c:pt>
                <c:pt idx="31">
                  <c:v>2017Q4</c:v>
                </c:pt>
                <c:pt idx="32">
                  <c:v>2018Q1</c:v>
                </c:pt>
                <c:pt idx="33">
                  <c:v>2018Q2</c:v>
                </c:pt>
                <c:pt idx="34">
                  <c:v>2018Q3</c:v>
                </c:pt>
                <c:pt idx="35">
                  <c:v>2018Q4</c:v>
                </c:pt>
                <c:pt idx="36">
                  <c:v>2019Q1</c:v>
                </c:pt>
                <c:pt idx="37">
                  <c:v>2019Q2</c:v>
                </c:pt>
                <c:pt idx="38">
                  <c:v>2019Q3</c:v>
                </c:pt>
                <c:pt idx="39">
                  <c:v>2019Q4</c:v>
                </c:pt>
                <c:pt idx="40">
                  <c:v>2020Q1</c:v>
                </c:pt>
                <c:pt idx="41">
                  <c:v>2020Q2</c:v>
                </c:pt>
              </c:strCache>
            </c:strRef>
          </c:cat>
          <c:val>
            <c:numRef>
              <c:f>'graf2 (2)'!$B$13:$AQ$13</c:f>
              <c:numCache>
                <c:formatCode>#\ ##0.0</c:formatCode>
                <c:ptCount val="42"/>
                <c:pt idx="0">
                  <c:v>10.4</c:v>
                </c:pt>
                <c:pt idx="1">
                  <c:v>9.8000000000000007</c:v>
                </c:pt>
                <c:pt idx="2">
                  <c:v>9.4</c:v>
                </c:pt>
                <c:pt idx="3">
                  <c:v>9.8000000000000007</c:v>
                </c:pt>
                <c:pt idx="4">
                  <c:v>10.199999999999999</c:v>
                </c:pt>
                <c:pt idx="5">
                  <c:v>9.6</c:v>
                </c:pt>
                <c:pt idx="6">
                  <c:v>9.5</c:v>
                </c:pt>
                <c:pt idx="7">
                  <c:v>10.199999999999999</c:v>
                </c:pt>
                <c:pt idx="8">
                  <c:v>11</c:v>
                </c:pt>
                <c:pt idx="9">
                  <c:v>10.6</c:v>
                </c:pt>
                <c:pt idx="10">
                  <c:v>10.6</c:v>
                </c:pt>
                <c:pt idx="11">
                  <c:v>11.2</c:v>
                </c:pt>
                <c:pt idx="12">
                  <c:v>12</c:v>
                </c:pt>
                <c:pt idx="13">
                  <c:v>11.3</c:v>
                </c:pt>
                <c:pt idx="14">
                  <c:v>10.9</c:v>
                </c:pt>
                <c:pt idx="15">
                  <c:v>11.2</c:v>
                </c:pt>
                <c:pt idx="16">
                  <c:v>11.6</c:v>
                </c:pt>
                <c:pt idx="17">
                  <c:v>10.7</c:v>
                </c:pt>
                <c:pt idx="18">
                  <c:v>10.3</c:v>
                </c:pt>
                <c:pt idx="19">
                  <c:v>10.6</c:v>
                </c:pt>
                <c:pt idx="20">
                  <c:v>10.8</c:v>
                </c:pt>
                <c:pt idx="21">
                  <c:v>10.1</c:v>
                </c:pt>
                <c:pt idx="22">
                  <c:v>9.5</c:v>
                </c:pt>
                <c:pt idx="23">
                  <c:v>9.6999999999999993</c:v>
                </c:pt>
                <c:pt idx="24">
                  <c:v>9.8000000000000007</c:v>
                </c:pt>
                <c:pt idx="25">
                  <c:v>9.1</c:v>
                </c:pt>
                <c:pt idx="26">
                  <c:v>8.6999999999999993</c:v>
                </c:pt>
                <c:pt idx="27">
                  <c:v>8.8000000000000007</c:v>
                </c:pt>
                <c:pt idx="28">
                  <c:v>8.9</c:v>
                </c:pt>
                <c:pt idx="29">
                  <c:v>8.1</c:v>
                </c:pt>
                <c:pt idx="30">
                  <c:v>7.8</c:v>
                </c:pt>
                <c:pt idx="31">
                  <c:v>7.8</c:v>
                </c:pt>
                <c:pt idx="32">
                  <c:v>7.9</c:v>
                </c:pt>
                <c:pt idx="33">
                  <c:v>7.2</c:v>
                </c:pt>
                <c:pt idx="34">
                  <c:v>6.9</c:v>
                </c:pt>
                <c:pt idx="35">
                  <c:v>7</c:v>
                </c:pt>
                <c:pt idx="36">
                  <c:v>7.2</c:v>
                </c:pt>
                <c:pt idx="37">
                  <c:v>6.6</c:v>
                </c:pt>
                <c:pt idx="38">
                  <c:v>6.4</c:v>
                </c:pt>
                <c:pt idx="39">
                  <c:v>6.5</c:v>
                </c:pt>
                <c:pt idx="40">
                  <c:v>6.8</c:v>
                </c:pt>
              </c:numCache>
            </c:numRef>
          </c:val>
          <c:smooth val="0"/>
          <c:extLst>
            <c:ext xmlns:c16="http://schemas.microsoft.com/office/drawing/2014/chart" uri="{C3380CC4-5D6E-409C-BE32-E72D297353CC}">
              <c16:uniqueId val="{00000000-A5FC-4125-B009-78BF4A8FBF72}"/>
            </c:ext>
          </c:extLst>
        </c:ser>
        <c:ser>
          <c:idx val="1"/>
          <c:order val="1"/>
          <c:tx>
            <c:strRef>
              <c:f>'graf2 (2)'!$A$14</c:f>
              <c:strCache>
                <c:ptCount val="1"/>
                <c:pt idx="0">
                  <c:v>Igaunija</c:v>
                </c:pt>
              </c:strCache>
            </c:strRef>
          </c:tx>
          <c:spPr>
            <a:ln w="28575" cap="rnd">
              <a:solidFill>
                <a:srgbClr val="094E7D"/>
              </a:solidFill>
              <a:round/>
            </a:ln>
            <a:effectLst/>
          </c:spPr>
          <c:marker>
            <c:symbol val="none"/>
          </c:marker>
          <c:cat>
            <c:strRef>
              <c:f>'graf2 (2)'!$B$12:$AQ$12</c:f>
              <c:strCache>
                <c:ptCount val="42"/>
                <c:pt idx="0">
                  <c:v>2010Q1</c:v>
                </c:pt>
                <c:pt idx="1">
                  <c:v>2010Q2</c:v>
                </c:pt>
                <c:pt idx="2">
                  <c:v>2010Q3</c:v>
                </c:pt>
                <c:pt idx="3">
                  <c:v>2010Q4</c:v>
                </c:pt>
                <c:pt idx="4">
                  <c:v>2011Q1</c:v>
                </c:pt>
                <c:pt idx="5">
                  <c:v>2011Q2</c:v>
                </c:pt>
                <c:pt idx="6">
                  <c:v>2011Q3</c:v>
                </c:pt>
                <c:pt idx="7">
                  <c:v>2011Q4</c:v>
                </c:pt>
                <c:pt idx="8">
                  <c:v>2012Q1</c:v>
                </c:pt>
                <c:pt idx="9">
                  <c:v>2012Q2</c:v>
                </c:pt>
                <c:pt idx="10">
                  <c:v>2012Q3</c:v>
                </c:pt>
                <c:pt idx="11">
                  <c:v>2012Q4</c:v>
                </c:pt>
                <c:pt idx="12">
                  <c:v>2013Q1</c:v>
                </c:pt>
                <c:pt idx="13">
                  <c:v>2013Q2</c:v>
                </c:pt>
                <c:pt idx="14">
                  <c:v>2013Q3</c:v>
                </c:pt>
                <c:pt idx="15">
                  <c:v>2013Q4</c:v>
                </c:pt>
                <c:pt idx="16">
                  <c:v>2014Q1</c:v>
                </c:pt>
                <c:pt idx="17">
                  <c:v>2014Q2</c:v>
                </c:pt>
                <c:pt idx="18">
                  <c:v>2014Q3</c:v>
                </c:pt>
                <c:pt idx="19">
                  <c:v>2014Q4</c:v>
                </c:pt>
                <c:pt idx="20">
                  <c:v>2015Q1</c:v>
                </c:pt>
                <c:pt idx="21">
                  <c:v>2015Q2</c:v>
                </c:pt>
                <c:pt idx="22">
                  <c:v>2015Q3</c:v>
                </c:pt>
                <c:pt idx="23">
                  <c:v>2015Q4</c:v>
                </c:pt>
                <c:pt idx="24">
                  <c:v>2016Q1</c:v>
                </c:pt>
                <c:pt idx="25">
                  <c:v>2016Q2</c:v>
                </c:pt>
                <c:pt idx="26">
                  <c:v>2016Q3</c:v>
                </c:pt>
                <c:pt idx="27">
                  <c:v>2016Q4</c:v>
                </c:pt>
                <c:pt idx="28">
                  <c:v>2017Q1</c:v>
                </c:pt>
                <c:pt idx="29">
                  <c:v>2017Q2</c:v>
                </c:pt>
                <c:pt idx="30">
                  <c:v>2017Q3</c:v>
                </c:pt>
                <c:pt idx="31">
                  <c:v>2017Q4</c:v>
                </c:pt>
                <c:pt idx="32">
                  <c:v>2018Q1</c:v>
                </c:pt>
                <c:pt idx="33">
                  <c:v>2018Q2</c:v>
                </c:pt>
                <c:pt idx="34">
                  <c:v>2018Q3</c:v>
                </c:pt>
                <c:pt idx="35">
                  <c:v>2018Q4</c:v>
                </c:pt>
                <c:pt idx="36">
                  <c:v>2019Q1</c:v>
                </c:pt>
                <c:pt idx="37">
                  <c:v>2019Q2</c:v>
                </c:pt>
                <c:pt idx="38">
                  <c:v>2019Q3</c:v>
                </c:pt>
                <c:pt idx="39">
                  <c:v>2019Q4</c:v>
                </c:pt>
                <c:pt idx="40">
                  <c:v>2020Q1</c:v>
                </c:pt>
                <c:pt idx="41">
                  <c:v>2020Q2</c:v>
                </c:pt>
              </c:strCache>
            </c:strRef>
          </c:cat>
          <c:val>
            <c:numRef>
              <c:f>'graf2 (2)'!$B$14:$AQ$14</c:f>
              <c:numCache>
                <c:formatCode>#\ ##0.0</c:formatCode>
                <c:ptCount val="42"/>
                <c:pt idx="0">
                  <c:v>19.5</c:v>
                </c:pt>
                <c:pt idx="1">
                  <c:v>18.3</c:v>
                </c:pt>
                <c:pt idx="2">
                  <c:v>15.4</c:v>
                </c:pt>
                <c:pt idx="3">
                  <c:v>13.6</c:v>
                </c:pt>
                <c:pt idx="4">
                  <c:v>14.3</c:v>
                </c:pt>
                <c:pt idx="5">
                  <c:v>13</c:v>
                </c:pt>
                <c:pt idx="6">
                  <c:v>10.7</c:v>
                </c:pt>
                <c:pt idx="7">
                  <c:v>11.3</c:v>
                </c:pt>
                <c:pt idx="8">
                  <c:v>11.3</c:v>
                </c:pt>
                <c:pt idx="9">
                  <c:v>10.1</c:v>
                </c:pt>
                <c:pt idx="10">
                  <c:v>9.5</c:v>
                </c:pt>
                <c:pt idx="11">
                  <c:v>9.1</c:v>
                </c:pt>
                <c:pt idx="12">
                  <c:v>10</c:v>
                </c:pt>
                <c:pt idx="13">
                  <c:v>8</c:v>
                </c:pt>
                <c:pt idx="14">
                  <c:v>7.8</c:v>
                </c:pt>
                <c:pt idx="15">
                  <c:v>8.6999999999999993</c:v>
                </c:pt>
                <c:pt idx="16">
                  <c:v>8.5</c:v>
                </c:pt>
                <c:pt idx="17">
                  <c:v>7</c:v>
                </c:pt>
                <c:pt idx="18">
                  <c:v>7.5</c:v>
                </c:pt>
                <c:pt idx="19">
                  <c:v>6.3</c:v>
                </c:pt>
                <c:pt idx="20">
                  <c:v>6.6</c:v>
                </c:pt>
                <c:pt idx="21">
                  <c:v>6.5</c:v>
                </c:pt>
                <c:pt idx="22">
                  <c:v>5.2</c:v>
                </c:pt>
                <c:pt idx="23">
                  <c:v>6.4</c:v>
                </c:pt>
                <c:pt idx="24">
                  <c:v>6.5</c:v>
                </c:pt>
                <c:pt idx="25">
                  <c:v>6.5</c:v>
                </c:pt>
                <c:pt idx="26">
                  <c:v>7.5</c:v>
                </c:pt>
                <c:pt idx="27">
                  <c:v>6.6</c:v>
                </c:pt>
                <c:pt idx="28">
                  <c:v>5.6</c:v>
                </c:pt>
                <c:pt idx="29">
                  <c:v>7</c:v>
                </c:pt>
                <c:pt idx="30">
                  <c:v>5.2</c:v>
                </c:pt>
                <c:pt idx="31">
                  <c:v>5.3</c:v>
                </c:pt>
                <c:pt idx="32">
                  <c:v>6.8</c:v>
                </c:pt>
                <c:pt idx="33">
                  <c:v>5.0999999999999996</c:v>
                </c:pt>
                <c:pt idx="34">
                  <c:v>5.2</c:v>
                </c:pt>
                <c:pt idx="35">
                  <c:v>4.4000000000000004</c:v>
                </c:pt>
                <c:pt idx="36">
                  <c:v>4.7</c:v>
                </c:pt>
                <c:pt idx="37">
                  <c:v>5.0999999999999996</c:v>
                </c:pt>
                <c:pt idx="38">
                  <c:v>3.9</c:v>
                </c:pt>
                <c:pt idx="39">
                  <c:v>4.0999999999999996</c:v>
                </c:pt>
                <c:pt idx="40">
                  <c:v>5</c:v>
                </c:pt>
                <c:pt idx="41" formatCode="General">
                  <c:v>7.1</c:v>
                </c:pt>
              </c:numCache>
            </c:numRef>
          </c:val>
          <c:smooth val="0"/>
          <c:extLst>
            <c:ext xmlns:c16="http://schemas.microsoft.com/office/drawing/2014/chart" uri="{C3380CC4-5D6E-409C-BE32-E72D297353CC}">
              <c16:uniqueId val="{00000001-A5FC-4125-B009-78BF4A8FBF72}"/>
            </c:ext>
          </c:extLst>
        </c:ser>
        <c:ser>
          <c:idx val="2"/>
          <c:order val="2"/>
          <c:tx>
            <c:strRef>
              <c:f>'graf2 (2)'!$A$15</c:f>
              <c:strCache>
                <c:ptCount val="1"/>
                <c:pt idx="0">
                  <c:v>Latvija</c:v>
                </c:pt>
              </c:strCache>
            </c:strRef>
          </c:tx>
          <c:spPr>
            <a:ln w="28575" cap="rnd">
              <a:solidFill>
                <a:srgbClr val="FF1919"/>
              </a:solidFill>
              <a:round/>
            </a:ln>
            <a:effectLst/>
          </c:spPr>
          <c:marker>
            <c:symbol val="none"/>
          </c:marker>
          <c:cat>
            <c:strRef>
              <c:f>'graf2 (2)'!$B$12:$AQ$12</c:f>
              <c:strCache>
                <c:ptCount val="42"/>
                <c:pt idx="0">
                  <c:v>2010Q1</c:v>
                </c:pt>
                <c:pt idx="1">
                  <c:v>2010Q2</c:v>
                </c:pt>
                <c:pt idx="2">
                  <c:v>2010Q3</c:v>
                </c:pt>
                <c:pt idx="3">
                  <c:v>2010Q4</c:v>
                </c:pt>
                <c:pt idx="4">
                  <c:v>2011Q1</c:v>
                </c:pt>
                <c:pt idx="5">
                  <c:v>2011Q2</c:v>
                </c:pt>
                <c:pt idx="6">
                  <c:v>2011Q3</c:v>
                </c:pt>
                <c:pt idx="7">
                  <c:v>2011Q4</c:v>
                </c:pt>
                <c:pt idx="8">
                  <c:v>2012Q1</c:v>
                </c:pt>
                <c:pt idx="9">
                  <c:v>2012Q2</c:v>
                </c:pt>
                <c:pt idx="10">
                  <c:v>2012Q3</c:v>
                </c:pt>
                <c:pt idx="11">
                  <c:v>2012Q4</c:v>
                </c:pt>
                <c:pt idx="12">
                  <c:v>2013Q1</c:v>
                </c:pt>
                <c:pt idx="13">
                  <c:v>2013Q2</c:v>
                </c:pt>
                <c:pt idx="14">
                  <c:v>2013Q3</c:v>
                </c:pt>
                <c:pt idx="15">
                  <c:v>2013Q4</c:v>
                </c:pt>
                <c:pt idx="16">
                  <c:v>2014Q1</c:v>
                </c:pt>
                <c:pt idx="17">
                  <c:v>2014Q2</c:v>
                </c:pt>
                <c:pt idx="18">
                  <c:v>2014Q3</c:v>
                </c:pt>
                <c:pt idx="19">
                  <c:v>2014Q4</c:v>
                </c:pt>
                <c:pt idx="20">
                  <c:v>2015Q1</c:v>
                </c:pt>
                <c:pt idx="21">
                  <c:v>2015Q2</c:v>
                </c:pt>
                <c:pt idx="22">
                  <c:v>2015Q3</c:v>
                </c:pt>
                <c:pt idx="23">
                  <c:v>2015Q4</c:v>
                </c:pt>
                <c:pt idx="24">
                  <c:v>2016Q1</c:v>
                </c:pt>
                <c:pt idx="25">
                  <c:v>2016Q2</c:v>
                </c:pt>
                <c:pt idx="26">
                  <c:v>2016Q3</c:v>
                </c:pt>
                <c:pt idx="27">
                  <c:v>2016Q4</c:v>
                </c:pt>
                <c:pt idx="28">
                  <c:v>2017Q1</c:v>
                </c:pt>
                <c:pt idx="29">
                  <c:v>2017Q2</c:v>
                </c:pt>
                <c:pt idx="30">
                  <c:v>2017Q3</c:v>
                </c:pt>
                <c:pt idx="31">
                  <c:v>2017Q4</c:v>
                </c:pt>
                <c:pt idx="32">
                  <c:v>2018Q1</c:v>
                </c:pt>
                <c:pt idx="33">
                  <c:v>2018Q2</c:v>
                </c:pt>
                <c:pt idx="34">
                  <c:v>2018Q3</c:v>
                </c:pt>
                <c:pt idx="35">
                  <c:v>2018Q4</c:v>
                </c:pt>
                <c:pt idx="36">
                  <c:v>2019Q1</c:v>
                </c:pt>
                <c:pt idx="37">
                  <c:v>2019Q2</c:v>
                </c:pt>
                <c:pt idx="38">
                  <c:v>2019Q3</c:v>
                </c:pt>
                <c:pt idx="39">
                  <c:v>2019Q4</c:v>
                </c:pt>
                <c:pt idx="40">
                  <c:v>2020Q1</c:v>
                </c:pt>
                <c:pt idx="41">
                  <c:v>2020Q2</c:v>
                </c:pt>
              </c:strCache>
            </c:strRef>
          </c:cat>
          <c:val>
            <c:numRef>
              <c:f>'graf2 (2)'!$B$15:$AQ$15</c:f>
              <c:numCache>
                <c:formatCode>#\ ##0.0</c:formatCode>
                <c:ptCount val="42"/>
                <c:pt idx="0">
                  <c:v>21.3</c:v>
                </c:pt>
                <c:pt idx="1">
                  <c:v>20.399999999999999</c:v>
                </c:pt>
                <c:pt idx="2">
                  <c:v>18.5</c:v>
                </c:pt>
                <c:pt idx="3">
                  <c:v>17.8</c:v>
                </c:pt>
                <c:pt idx="4">
                  <c:v>17.600000000000001</c:v>
                </c:pt>
                <c:pt idx="5">
                  <c:v>17.100000000000001</c:v>
                </c:pt>
                <c:pt idx="6">
                  <c:v>15.1</c:v>
                </c:pt>
                <c:pt idx="7">
                  <c:v>15</c:v>
                </c:pt>
                <c:pt idx="8">
                  <c:v>16.3</c:v>
                </c:pt>
                <c:pt idx="9">
                  <c:v>16.3</c:v>
                </c:pt>
                <c:pt idx="10">
                  <c:v>13.7</c:v>
                </c:pt>
                <c:pt idx="11">
                  <c:v>13.9</c:v>
                </c:pt>
                <c:pt idx="12">
                  <c:v>13</c:v>
                </c:pt>
                <c:pt idx="13">
                  <c:v>11.4</c:v>
                </c:pt>
                <c:pt idx="14">
                  <c:v>11.8</c:v>
                </c:pt>
                <c:pt idx="15">
                  <c:v>11.3</c:v>
                </c:pt>
                <c:pt idx="16">
                  <c:v>11.9</c:v>
                </c:pt>
                <c:pt idx="17">
                  <c:v>10.7</c:v>
                </c:pt>
                <c:pt idx="18">
                  <c:v>10.6</c:v>
                </c:pt>
                <c:pt idx="19">
                  <c:v>10.199999999999999</c:v>
                </c:pt>
                <c:pt idx="20">
                  <c:v>10.199999999999999</c:v>
                </c:pt>
                <c:pt idx="21">
                  <c:v>9.8000000000000007</c:v>
                </c:pt>
                <c:pt idx="22">
                  <c:v>9.6999999999999993</c:v>
                </c:pt>
                <c:pt idx="23">
                  <c:v>9.8000000000000007</c:v>
                </c:pt>
                <c:pt idx="24">
                  <c:v>10.3</c:v>
                </c:pt>
                <c:pt idx="25">
                  <c:v>9.5</c:v>
                </c:pt>
                <c:pt idx="26">
                  <c:v>9.5</c:v>
                </c:pt>
                <c:pt idx="27">
                  <c:v>9.3000000000000007</c:v>
                </c:pt>
                <c:pt idx="28">
                  <c:v>9.4</c:v>
                </c:pt>
                <c:pt idx="29">
                  <c:v>8.9</c:v>
                </c:pt>
                <c:pt idx="30">
                  <c:v>8.5</c:v>
                </c:pt>
                <c:pt idx="31">
                  <c:v>8.1</c:v>
                </c:pt>
                <c:pt idx="32">
                  <c:v>8.1999999999999993</c:v>
                </c:pt>
                <c:pt idx="33">
                  <c:v>7.7</c:v>
                </c:pt>
                <c:pt idx="34">
                  <c:v>7</c:v>
                </c:pt>
                <c:pt idx="35">
                  <c:v>6.9</c:v>
                </c:pt>
                <c:pt idx="36">
                  <c:v>6.9</c:v>
                </c:pt>
                <c:pt idx="37">
                  <c:v>6.4</c:v>
                </c:pt>
                <c:pt idx="38">
                  <c:v>6</c:v>
                </c:pt>
                <c:pt idx="39">
                  <c:v>6</c:v>
                </c:pt>
                <c:pt idx="40">
                  <c:v>7.4</c:v>
                </c:pt>
                <c:pt idx="41">
                  <c:v>8.6</c:v>
                </c:pt>
              </c:numCache>
            </c:numRef>
          </c:val>
          <c:smooth val="0"/>
          <c:extLst>
            <c:ext xmlns:c16="http://schemas.microsoft.com/office/drawing/2014/chart" uri="{C3380CC4-5D6E-409C-BE32-E72D297353CC}">
              <c16:uniqueId val="{00000002-A5FC-4125-B009-78BF4A8FBF72}"/>
            </c:ext>
          </c:extLst>
        </c:ser>
        <c:ser>
          <c:idx val="3"/>
          <c:order val="3"/>
          <c:tx>
            <c:strRef>
              <c:f>'graf2 (2)'!$A$16</c:f>
              <c:strCache>
                <c:ptCount val="1"/>
                <c:pt idx="0">
                  <c:v>Lietuva</c:v>
                </c:pt>
              </c:strCache>
            </c:strRef>
          </c:tx>
          <c:spPr>
            <a:ln w="28575" cap="rnd">
              <a:solidFill>
                <a:srgbClr val="4C9E54"/>
              </a:solidFill>
              <a:round/>
            </a:ln>
            <a:effectLst/>
          </c:spPr>
          <c:marker>
            <c:symbol val="none"/>
          </c:marker>
          <c:cat>
            <c:strRef>
              <c:f>'graf2 (2)'!$B$12:$AQ$12</c:f>
              <c:strCache>
                <c:ptCount val="42"/>
                <c:pt idx="0">
                  <c:v>2010Q1</c:v>
                </c:pt>
                <c:pt idx="1">
                  <c:v>2010Q2</c:v>
                </c:pt>
                <c:pt idx="2">
                  <c:v>2010Q3</c:v>
                </c:pt>
                <c:pt idx="3">
                  <c:v>2010Q4</c:v>
                </c:pt>
                <c:pt idx="4">
                  <c:v>2011Q1</c:v>
                </c:pt>
                <c:pt idx="5">
                  <c:v>2011Q2</c:v>
                </c:pt>
                <c:pt idx="6">
                  <c:v>2011Q3</c:v>
                </c:pt>
                <c:pt idx="7">
                  <c:v>2011Q4</c:v>
                </c:pt>
                <c:pt idx="8">
                  <c:v>2012Q1</c:v>
                </c:pt>
                <c:pt idx="9">
                  <c:v>2012Q2</c:v>
                </c:pt>
                <c:pt idx="10">
                  <c:v>2012Q3</c:v>
                </c:pt>
                <c:pt idx="11">
                  <c:v>2012Q4</c:v>
                </c:pt>
                <c:pt idx="12">
                  <c:v>2013Q1</c:v>
                </c:pt>
                <c:pt idx="13">
                  <c:v>2013Q2</c:v>
                </c:pt>
                <c:pt idx="14">
                  <c:v>2013Q3</c:v>
                </c:pt>
                <c:pt idx="15">
                  <c:v>2013Q4</c:v>
                </c:pt>
                <c:pt idx="16">
                  <c:v>2014Q1</c:v>
                </c:pt>
                <c:pt idx="17">
                  <c:v>2014Q2</c:v>
                </c:pt>
                <c:pt idx="18">
                  <c:v>2014Q3</c:v>
                </c:pt>
                <c:pt idx="19">
                  <c:v>2014Q4</c:v>
                </c:pt>
                <c:pt idx="20">
                  <c:v>2015Q1</c:v>
                </c:pt>
                <c:pt idx="21">
                  <c:v>2015Q2</c:v>
                </c:pt>
                <c:pt idx="22">
                  <c:v>2015Q3</c:v>
                </c:pt>
                <c:pt idx="23">
                  <c:v>2015Q4</c:v>
                </c:pt>
                <c:pt idx="24">
                  <c:v>2016Q1</c:v>
                </c:pt>
                <c:pt idx="25">
                  <c:v>2016Q2</c:v>
                </c:pt>
                <c:pt idx="26">
                  <c:v>2016Q3</c:v>
                </c:pt>
                <c:pt idx="27">
                  <c:v>2016Q4</c:v>
                </c:pt>
                <c:pt idx="28">
                  <c:v>2017Q1</c:v>
                </c:pt>
                <c:pt idx="29">
                  <c:v>2017Q2</c:v>
                </c:pt>
                <c:pt idx="30">
                  <c:v>2017Q3</c:v>
                </c:pt>
                <c:pt idx="31">
                  <c:v>2017Q4</c:v>
                </c:pt>
                <c:pt idx="32">
                  <c:v>2018Q1</c:v>
                </c:pt>
                <c:pt idx="33">
                  <c:v>2018Q2</c:v>
                </c:pt>
                <c:pt idx="34">
                  <c:v>2018Q3</c:v>
                </c:pt>
                <c:pt idx="35">
                  <c:v>2018Q4</c:v>
                </c:pt>
                <c:pt idx="36">
                  <c:v>2019Q1</c:v>
                </c:pt>
                <c:pt idx="37">
                  <c:v>2019Q2</c:v>
                </c:pt>
                <c:pt idx="38">
                  <c:v>2019Q3</c:v>
                </c:pt>
                <c:pt idx="39">
                  <c:v>2019Q4</c:v>
                </c:pt>
                <c:pt idx="40">
                  <c:v>2020Q1</c:v>
                </c:pt>
                <c:pt idx="41">
                  <c:v>2020Q2</c:v>
                </c:pt>
              </c:strCache>
            </c:strRef>
          </c:cat>
          <c:val>
            <c:numRef>
              <c:f>'graf2 (2)'!$B$16:$AQ$16</c:f>
              <c:numCache>
                <c:formatCode>#\ ##0.0</c:formatCode>
                <c:ptCount val="42"/>
                <c:pt idx="0">
                  <c:v>18.2</c:v>
                </c:pt>
                <c:pt idx="1">
                  <c:v>18.2</c:v>
                </c:pt>
                <c:pt idx="2">
                  <c:v>17.7</c:v>
                </c:pt>
                <c:pt idx="3">
                  <c:v>17.2</c:v>
                </c:pt>
                <c:pt idx="4">
                  <c:v>17.2</c:v>
                </c:pt>
                <c:pt idx="5">
                  <c:v>15.6</c:v>
                </c:pt>
                <c:pt idx="6">
                  <c:v>15</c:v>
                </c:pt>
                <c:pt idx="7">
                  <c:v>13.9</c:v>
                </c:pt>
                <c:pt idx="8">
                  <c:v>14.6</c:v>
                </c:pt>
                <c:pt idx="9">
                  <c:v>13.3</c:v>
                </c:pt>
                <c:pt idx="10">
                  <c:v>12.5</c:v>
                </c:pt>
                <c:pt idx="11">
                  <c:v>13.2</c:v>
                </c:pt>
                <c:pt idx="12">
                  <c:v>13.1</c:v>
                </c:pt>
                <c:pt idx="13">
                  <c:v>11.7</c:v>
                </c:pt>
                <c:pt idx="14">
                  <c:v>10.9</c:v>
                </c:pt>
                <c:pt idx="15">
                  <c:v>11.4</c:v>
                </c:pt>
                <c:pt idx="16">
                  <c:v>12.4</c:v>
                </c:pt>
                <c:pt idx="17">
                  <c:v>11.2</c:v>
                </c:pt>
                <c:pt idx="18">
                  <c:v>9.1</c:v>
                </c:pt>
                <c:pt idx="19">
                  <c:v>10.1</c:v>
                </c:pt>
                <c:pt idx="20">
                  <c:v>10</c:v>
                </c:pt>
                <c:pt idx="21">
                  <c:v>9.4</c:v>
                </c:pt>
                <c:pt idx="22">
                  <c:v>8.3000000000000007</c:v>
                </c:pt>
                <c:pt idx="23">
                  <c:v>8.8000000000000007</c:v>
                </c:pt>
                <c:pt idx="24">
                  <c:v>8.4</c:v>
                </c:pt>
                <c:pt idx="25">
                  <c:v>8</c:v>
                </c:pt>
                <c:pt idx="26">
                  <c:v>7.5</c:v>
                </c:pt>
                <c:pt idx="27">
                  <c:v>7.7</c:v>
                </c:pt>
                <c:pt idx="28">
                  <c:v>8.1</c:v>
                </c:pt>
                <c:pt idx="29">
                  <c:v>7</c:v>
                </c:pt>
                <c:pt idx="30">
                  <c:v>6.6</c:v>
                </c:pt>
                <c:pt idx="31">
                  <c:v>6.7</c:v>
                </c:pt>
                <c:pt idx="32">
                  <c:v>7.2</c:v>
                </c:pt>
                <c:pt idx="33">
                  <c:v>5.9</c:v>
                </c:pt>
                <c:pt idx="34">
                  <c:v>5.6</c:v>
                </c:pt>
                <c:pt idx="35">
                  <c:v>6</c:v>
                </c:pt>
                <c:pt idx="36">
                  <c:v>6.5</c:v>
                </c:pt>
                <c:pt idx="37">
                  <c:v>6.2</c:v>
                </c:pt>
                <c:pt idx="38">
                  <c:v>6.1</c:v>
                </c:pt>
                <c:pt idx="39">
                  <c:v>6.4</c:v>
                </c:pt>
                <c:pt idx="40">
                  <c:v>7.2</c:v>
                </c:pt>
                <c:pt idx="41">
                  <c:v>8.6</c:v>
                </c:pt>
              </c:numCache>
            </c:numRef>
          </c:val>
          <c:smooth val="0"/>
          <c:extLst>
            <c:ext xmlns:c16="http://schemas.microsoft.com/office/drawing/2014/chart" uri="{C3380CC4-5D6E-409C-BE32-E72D297353CC}">
              <c16:uniqueId val="{00000003-A5FC-4125-B009-78BF4A8FBF72}"/>
            </c:ext>
          </c:extLst>
        </c:ser>
        <c:dLbls>
          <c:showLegendKey val="0"/>
          <c:showVal val="0"/>
          <c:showCatName val="0"/>
          <c:showSerName val="0"/>
          <c:showPercent val="0"/>
          <c:showBubbleSize val="0"/>
        </c:dLbls>
        <c:smooth val="0"/>
        <c:axId val="557917464"/>
        <c:axId val="1"/>
      </c:lineChart>
      <c:catAx>
        <c:axId val="557917464"/>
        <c:scaling>
          <c:orientation val="minMax"/>
        </c:scaling>
        <c:delete val="0"/>
        <c:axPos val="b"/>
        <c:majorGridlines>
          <c:spPr>
            <a:ln>
              <a:solidFill>
                <a:sysClr val="window" lastClr="FFFFFF">
                  <a:lumMod val="85000"/>
                </a:sysClr>
              </a:solidFill>
            </a:ln>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
        <c:crosses val="autoZero"/>
        <c:auto val="1"/>
        <c:lblAlgn val="ctr"/>
        <c:lblOffset val="100"/>
        <c:tickLblSkip val="2"/>
        <c:tickMarkSkip val="4"/>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55791746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'2020'!$D$1</c:f>
              <c:strCache>
                <c:ptCount val="1"/>
                <c:pt idx="0">
                  <c:v>Vidējā alga 2020.gada 2.ceturksnī, euro</c:v>
                </c:pt>
              </c:strCache>
            </c:strRef>
          </c:tx>
          <c:spPr>
            <a:pattFill prst="dkUpDiag">
              <a:fgClr>
                <a:srgbClr val="4F81BD">
                  <a:lumMod val="75000"/>
                </a:srgbClr>
              </a:fgClr>
              <a:bgClr>
                <a:sysClr val="window" lastClr="FFFFFF"/>
              </a:bgClr>
            </a:pattFill>
            <a:ln>
              <a:noFill/>
            </a:ln>
            <a:effectLst/>
          </c:spPr>
          <c:invertIfNegative val="0"/>
          <c:cat>
            <c:strRef>
              <c:f>'2020'!$C$4:$C$23</c:f>
              <c:strCache>
                <c:ptCount val="20"/>
                <c:pt idx="0">
                  <c:v>Finanšu pakalpojumi</c:v>
                </c:pt>
                <c:pt idx="1">
                  <c:v>IKT</c:v>
                </c:pt>
                <c:pt idx="2">
                  <c:v>Enerģētika</c:v>
                </c:pt>
                <c:pt idx="3">
                  <c:v>Valsts pārvalde</c:v>
                </c:pt>
                <c:pt idx="4">
                  <c:v>Prof. pakalpojumi</c:v>
                </c:pt>
                <c:pt idx="5">
                  <c:v>Ieguves rūpniecība</c:v>
                </c:pt>
                <c:pt idx="6">
                  <c:v>Veselība, sociālā aprūpe</c:v>
                </c:pt>
                <c:pt idx="7">
                  <c:v>Ūdens apgāde</c:v>
                </c:pt>
                <c:pt idx="8">
                  <c:v>PAVISAM</c:v>
                </c:pt>
                <c:pt idx="9">
                  <c:v>Būvniecība</c:v>
                </c:pt>
                <c:pt idx="10">
                  <c:v>Apstrādes rūpniecība</c:v>
                </c:pt>
                <c:pt idx="11">
                  <c:v>Lauksaimniecība</c:v>
                </c:pt>
                <c:pt idx="12">
                  <c:v>Transports</c:v>
                </c:pt>
                <c:pt idx="13">
                  <c:v>Admin. pakalpojumi</c:v>
                </c:pt>
                <c:pt idx="14">
                  <c:v>Tirdzniecība</c:v>
                </c:pt>
                <c:pt idx="15">
                  <c:v>NĪ operācijas</c:v>
                </c:pt>
                <c:pt idx="16">
                  <c:v>Citi pakalpojumi</c:v>
                </c:pt>
                <c:pt idx="17">
                  <c:v>Izglītība</c:v>
                </c:pt>
                <c:pt idx="18">
                  <c:v>Māksla, izklaide</c:v>
                </c:pt>
                <c:pt idx="19">
                  <c:v>Izmitināšana,ēdināšana</c:v>
                </c:pt>
              </c:strCache>
            </c:strRef>
          </c:cat>
          <c:val>
            <c:numRef>
              <c:f>'2020'!$D$4:$D$23</c:f>
              <c:numCache>
                <c:formatCode>0</c:formatCode>
                <c:ptCount val="20"/>
                <c:pt idx="0">
                  <c:v>2160</c:v>
                </c:pt>
                <c:pt idx="1">
                  <c:v>1813</c:v>
                </c:pt>
                <c:pt idx="2">
                  <c:v>1496</c:v>
                </c:pt>
                <c:pt idx="3">
                  <c:v>1356</c:v>
                </c:pt>
                <c:pt idx="4">
                  <c:v>1313</c:v>
                </c:pt>
                <c:pt idx="5">
                  <c:v>1227</c:v>
                </c:pt>
                <c:pt idx="6">
                  <c:v>1156</c:v>
                </c:pt>
                <c:pt idx="7">
                  <c:v>1130</c:v>
                </c:pt>
                <c:pt idx="8">
                  <c:v>1118</c:v>
                </c:pt>
                <c:pt idx="9">
                  <c:v>1085</c:v>
                </c:pt>
                <c:pt idx="10">
                  <c:v>1082</c:v>
                </c:pt>
                <c:pt idx="11">
                  <c:v>1055</c:v>
                </c:pt>
                <c:pt idx="12">
                  <c:v>1040</c:v>
                </c:pt>
                <c:pt idx="13">
                  <c:v>1010</c:v>
                </c:pt>
                <c:pt idx="14">
                  <c:v>971</c:v>
                </c:pt>
                <c:pt idx="15">
                  <c:v>938</c:v>
                </c:pt>
                <c:pt idx="16">
                  <c:v>925</c:v>
                </c:pt>
                <c:pt idx="17">
                  <c:v>895</c:v>
                </c:pt>
                <c:pt idx="18">
                  <c:v>894</c:v>
                </c:pt>
                <c:pt idx="19">
                  <c:v>646</c:v>
                </c:pt>
              </c:numCache>
            </c:numRef>
          </c:val>
          <c:extLst>
            <c:ext xmlns:c16="http://schemas.microsoft.com/office/drawing/2014/chart" uri="{C3380CC4-5D6E-409C-BE32-E72D297353CC}">
              <c16:uniqueId val="{00000000-3A26-45D8-B320-9960922EE1A6}"/>
            </c:ext>
          </c:extLst>
        </c:ser>
        <c:dLbls>
          <c:showLegendKey val="0"/>
          <c:showVal val="0"/>
          <c:showCatName val="0"/>
          <c:showSerName val="0"/>
          <c:showPercent val="0"/>
          <c:showBubbleSize val="0"/>
        </c:dLbls>
        <c:gapWidth val="50"/>
        <c:overlap val="100"/>
        <c:axId val="395291424"/>
        <c:axId val="395291816"/>
      </c:barChart>
      <c:lineChart>
        <c:grouping val="stacked"/>
        <c:varyColors val="0"/>
        <c:ser>
          <c:idx val="2"/>
          <c:order val="1"/>
          <c:tx>
            <c:strRef>
              <c:f>'2020'!$E$1</c:f>
              <c:strCache>
                <c:ptCount val="1"/>
                <c:pt idx="0">
                  <c:v>Vidējās algas izmaiņas, gads pret gadu, %, labā ass</c:v>
                </c:pt>
              </c:strCache>
            </c:strRef>
          </c:tx>
          <c:spPr>
            <a:ln w="28575" cap="rnd">
              <a:noFill/>
              <a:round/>
            </a:ln>
            <a:effectLst/>
          </c:spPr>
          <c:marker>
            <c:symbol val="diamond"/>
            <c:size val="7"/>
            <c:spPr>
              <a:solidFill>
                <a:schemeClr val="tx1">
                  <a:lumMod val="85000"/>
                  <a:lumOff val="15000"/>
                </a:schemeClr>
              </a:solidFill>
              <a:ln w="9525">
                <a:solidFill>
                  <a:schemeClr val="tx1">
                    <a:lumMod val="85000"/>
                    <a:lumOff val="15000"/>
                  </a:schemeClr>
                </a:solidFill>
              </a:ln>
              <a:effectLst/>
            </c:spPr>
          </c:marker>
          <c:cat>
            <c:strRef>
              <c:f>'2020'!$C$4:$C$23</c:f>
              <c:strCache>
                <c:ptCount val="20"/>
                <c:pt idx="0">
                  <c:v>Finanšu pakalpojumi</c:v>
                </c:pt>
                <c:pt idx="1">
                  <c:v>IKT</c:v>
                </c:pt>
                <c:pt idx="2">
                  <c:v>Enerģētika</c:v>
                </c:pt>
                <c:pt idx="3">
                  <c:v>Valsts pārvalde</c:v>
                </c:pt>
                <c:pt idx="4">
                  <c:v>Prof. pakalpojumi</c:v>
                </c:pt>
                <c:pt idx="5">
                  <c:v>Ieguves rūpniecība</c:v>
                </c:pt>
                <c:pt idx="6">
                  <c:v>Veselība, sociālā aprūpe</c:v>
                </c:pt>
                <c:pt idx="7">
                  <c:v>Ūdens apgāde</c:v>
                </c:pt>
                <c:pt idx="8">
                  <c:v>PAVISAM</c:v>
                </c:pt>
                <c:pt idx="9">
                  <c:v>Būvniecība</c:v>
                </c:pt>
                <c:pt idx="10">
                  <c:v>Apstrādes rūpniecība</c:v>
                </c:pt>
                <c:pt idx="11">
                  <c:v>Lauksaimniecība</c:v>
                </c:pt>
                <c:pt idx="12">
                  <c:v>Transports</c:v>
                </c:pt>
                <c:pt idx="13">
                  <c:v>Admin. pakalpojumi</c:v>
                </c:pt>
                <c:pt idx="14">
                  <c:v>Tirdzniecība</c:v>
                </c:pt>
                <c:pt idx="15">
                  <c:v>NĪ operācijas</c:v>
                </c:pt>
                <c:pt idx="16">
                  <c:v>Citi pakalpojumi</c:v>
                </c:pt>
                <c:pt idx="17">
                  <c:v>Izglītība</c:v>
                </c:pt>
                <c:pt idx="18">
                  <c:v>Māksla, izklaide</c:v>
                </c:pt>
                <c:pt idx="19">
                  <c:v>Izmitināšana,ēdināšana</c:v>
                </c:pt>
              </c:strCache>
            </c:strRef>
          </c:cat>
          <c:val>
            <c:numRef>
              <c:f>'2020'!$E$4:$E$23</c:f>
              <c:numCache>
                <c:formatCode>0.0</c:formatCode>
                <c:ptCount val="20"/>
                <c:pt idx="0">
                  <c:v>2.9061457837065348</c:v>
                </c:pt>
                <c:pt idx="1">
                  <c:v>4.8582995951417018</c:v>
                </c:pt>
                <c:pt idx="2">
                  <c:v>0.80862533692722138</c:v>
                </c:pt>
                <c:pt idx="3">
                  <c:v>6.5200314218381692</c:v>
                </c:pt>
                <c:pt idx="4">
                  <c:v>7.9769736842105345</c:v>
                </c:pt>
                <c:pt idx="5">
                  <c:v>5.0513698630136901</c:v>
                </c:pt>
                <c:pt idx="6">
                  <c:v>4.6153846153846274</c:v>
                </c:pt>
                <c:pt idx="7">
                  <c:v>3.2906764168190108</c:v>
                </c:pt>
                <c:pt idx="8">
                  <c:v>4</c:v>
                </c:pt>
                <c:pt idx="9">
                  <c:v>5.95703125</c:v>
                </c:pt>
                <c:pt idx="10">
                  <c:v>4.4401544401544442</c:v>
                </c:pt>
                <c:pt idx="11">
                  <c:v>1.7357762777242129</c:v>
                </c:pt>
                <c:pt idx="12">
                  <c:v>-5.1094890510948971</c:v>
                </c:pt>
                <c:pt idx="13">
                  <c:v>2.8513238289205702</c:v>
                </c:pt>
                <c:pt idx="14">
                  <c:v>1.5690376569037738</c:v>
                </c:pt>
                <c:pt idx="15">
                  <c:v>-1.470588235294116</c:v>
                </c:pt>
                <c:pt idx="16">
                  <c:v>14.338689740420278</c:v>
                </c:pt>
                <c:pt idx="17">
                  <c:v>4.5560747663551382</c:v>
                </c:pt>
                <c:pt idx="18">
                  <c:v>-0.88691796008869517</c:v>
                </c:pt>
                <c:pt idx="19">
                  <c:v>-16.429495472186289</c:v>
                </c:pt>
              </c:numCache>
            </c:numRef>
          </c:val>
          <c:smooth val="0"/>
          <c:extLst>
            <c:ext xmlns:c16="http://schemas.microsoft.com/office/drawing/2014/chart" uri="{C3380CC4-5D6E-409C-BE32-E72D297353CC}">
              <c16:uniqueId val="{00000001-3A26-45D8-B320-9960922EE1A6}"/>
            </c:ext>
          </c:extLst>
        </c:ser>
        <c:dLbls>
          <c:showLegendKey val="0"/>
          <c:showVal val="0"/>
          <c:showCatName val="0"/>
          <c:showSerName val="0"/>
          <c:showPercent val="0"/>
          <c:showBubbleSize val="0"/>
        </c:dLbls>
        <c:marker val="1"/>
        <c:smooth val="0"/>
        <c:axId val="407967296"/>
        <c:axId val="407966904"/>
      </c:lineChart>
      <c:catAx>
        <c:axId val="395291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95291816"/>
        <c:crosses val="autoZero"/>
        <c:auto val="1"/>
        <c:lblAlgn val="ctr"/>
        <c:lblOffset val="100"/>
        <c:noMultiLvlLbl val="0"/>
      </c:catAx>
      <c:valAx>
        <c:axId val="395291816"/>
        <c:scaling>
          <c:orientation val="minMax"/>
          <c:max val="2800"/>
          <c:min val="-28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95291424"/>
        <c:crosses val="autoZero"/>
        <c:crossBetween val="between"/>
        <c:majorUnit val="800"/>
        <c:minorUnit val="400"/>
      </c:valAx>
      <c:valAx>
        <c:axId val="407966904"/>
        <c:scaling>
          <c:orientation val="minMax"/>
          <c:max val="20"/>
          <c:min val="-2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07967296"/>
        <c:crosses val="max"/>
        <c:crossBetween val="between"/>
        <c:majorUnit val="5"/>
      </c:valAx>
      <c:catAx>
        <c:axId val="407967296"/>
        <c:scaling>
          <c:orientation val="minMax"/>
        </c:scaling>
        <c:delete val="1"/>
        <c:axPos val="b"/>
        <c:numFmt formatCode="General" sourceLinked="1"/>
        <c:majorTickMark val="out"/>
        <c:minorTickMark val="none"/>
        <c:tickLblPos val="nextTo"/>
        <c:crossAx val="40796690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1.325007441731715E-2"/>
          <c:y val="0.88340562178331061"/>
          <c:w val="0.98400549076561672"/>
          <c:h val="9.72238814975714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DS030c!$H$5</c:f>
              <c:strCache>
                <c:ptCount val="1"/>
                <c:pt idx="0">
                  <c:v>Reālā alga</c:v>
                </c:pt>
              </c:strCache>
            </c:strRef>
          </c:tx>
          <c:spPr>
            <a:pattFill prst="dkUpDiag">
              <a:fgClr>
                <a:srgbClr val="4F81BD">
                  <a:lumMod val="75000"/>
                </a:srgbClr>
              </a:fgClr>
              <a:bgClr>
                <a:sysClr val="window" lastClr="FFFFFF"/>
              </a:bgClr>
            </a:pattFill>
            <a:ln>
              <a:noFill/>
            </a:ln>
          </c:spPr>
          <c:invertIfNegative val="0"/>
          <c:cat>
            <c:multiLvlStrRef>
              <c:f>DS030c!$A$6:$B$43</c:f>
              <c:multiLvlStrCache>
                <c:ptCount val="3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I</c:v>
                  </c:pt>
                  <c:pt idx="37">
                    <c:v>II</c:v>
                  </c:pt>
                </c:lvl>
                <c:lvl>
                  <c:pt idx="0">
                    <c:v>2011</c:v>
                  </c:pt>
                  <c:pt idx="4">
                    <c:v>2012</c:v>
                  </c:pt>
                  <c:pt idx="8">
                    <c:v>2013</c:v>
                  </c:pt>
                  <c:pt idx="12">
                    <c:v>2014</c:v>
                  </c:pt>
                  <c:pt idx="16">
                    <c:v>2015</c:v>
                  </c:pt>
                  <c:pt idx="20">
                    <c:v>2016</c:v>
                  </c:pt>
                  <c:pt idx="24">
                    <c:v>2017</c:v>
                  </c:pt>
                  <c:pt idx="28">
                    <c:v>2018</c:v>
                  </c:pt>
                  <c:pt idx="32">
                    <c:v>2019</c:v>
                  </c:pt>
                  <c:pt idx="36">
                    <c:v>2020</c:v>
                  </c:pt>
                </c:lvl>
              </c:multiLvlStrCache>
            </c:multiLvlStrRef>
          </c:cat>
          <c:val>
            <c:numRef>
              <c:f>DS030c!$H$6:$H$43</c:f>
              <c:numCache>
                <c:formatCode>0.0</c:formatCode>
                <c:ptCount val="38"/>
                <c:pt idx="0">
                  <c:v>0.1</c:v>
                </c:pt>
                <c:pt idx="1">
                  <c:v>-0.3</c:v>
                </c:pt>
                <c:pt idx="2">
                  <c:v>0</c:v>
                </c:pt>
                <c:pt idx="3">
                  <c:v>0.6</c:v>
                </c:pt>
                <c:pt idx="4">
                  <c:v>0.4</c:v>
                </c:pt>
                <c:pt idx="5">
                  <c:v>1.6</c:v>
                </c:pt>
                <c:pt idx="6">
                  <c:v>2</c:v>
                </c:pt>
                <c:pt idx="7">
                  <c:v>2.5</c:v>
                </c:pt>
                <c:pt idx="8">
                  <c:v>4.4000000000000004</c:v>
                </c:pt>
                <c:pt idx="9">
                  <c:v>5.4</c:v>
                </c:pt>
                <c:pt idx="10">
                  <c:v>6.4</c:v>
                </c:pt>
                <c:pt idx="11">
                  <c:v>6.2</c:v>
                </c:pt>
                <c:pt idx="12">
                  <c:v>8.9</c:v>
                </c:pt>
                <c:pt idx="13">
                  <c:v>7.8</c:v>
                </c:pt>
                <c:pt idx="14">
                  <c:v>7.4</c:v>
                </c:pt>
                <c:pt idx="15">
                  <c:v>7.9</c:v>
                </c:pt>
                <c:pt idx="16">
                  <c:v>6.8</c:v>
                </c:pt>
                <c:pt idx="17">
                  <c:v>6.4</c:v>
                </c:pt>
                <c:pt idx="18">
                  <c:v>8.4</c:v>
                </c:pt>
                <c:pt idx="19">
                  <c:v>8</c:v>
                </c:pt>
                <c:pt idx="20">
                  <c:v>5.6</c:v>
                </c:pt>
                <c:pt idx="21">
                  <c:v>5.4</c:v>
                </c:pt>
                <c:pt idx="22">
                  <c:v>3.2</c:v>
                </c:pt>
                <c:pt idx="23">
                  <c:v>4</c:v>
                </c:pt>
                <c:pt idx="24">
                  <c:v>2.8</c:v>
                </c:pt>
                <c:pt idx="25">
                  <c:v>4.5999999999999996</c:v>
                </c:pt>
                <c:pt idx="26">
                  <c:v>4.5</c:v>
                </c:pt>
                <c:pt idx="27">
                  <c:v>3.9</c:v>
                </c:pt>
                <c:pt idx="28">
                  <c:v>8</c:v>
                </c:pt>
                <c:pt idx="29">
                  <c:v>7.4</c:v>
                </c:pt>
                <c:pt idx="30">
                  <c:v>6.4</c:v>
                </c:pt>
                <c:pt idx="31">
                  <c:v>6.6</c:v>
                </c:pt>
                <c:pt idx="32">
                  <c:v>4.0999999999999996</c:v>
                </c:pt>
                <c:pt idx="33">
                  <c:v>3.3</c:v>
                </c:pt>
                <c:pt idx="34">
                  <c:v>4</c:v>
                </c:pt>
                <c:pt idx="35">
                  <c:v>4.2</c:v>
                </c:pt>
                <c:pt idx="36">
                  <c:v>4.3</c:v>
                </c:pt>
                <c:pt idx="37">
                  <c:v>4.3</c:v>
                </c:pt>
              </c:numCache>
            </c:numRef>
          </c:val>
          <c:extLst>
            <c:ext xmlns:c16="http://schemas.microsoft.com/office/drawing/2014/chart" uri="{C3380CC4-5D6E-409C-BE32-E72D297353CC}">
              <c16:uniqueId val="{00000000-17C4-4E69-9BF8-C5A50E345A1C}"/>
            </c:ext>
          </c:extLst>
        </c:ser>
        <c:dLbls>
          <c:showLegendKey val="0"/>
          <c:showVal val="0"/>
          <c:showCatName val="0"/>
          <c:showSerName val="0"/>
          <c:showPercent val="0"/>
          <c:showBubbleSize val="0"/>
        </c:dLbls>
        <c:gapWidth val="50"/>
        <c:axId val="407968080"/>
        <c:axId val="407968472"/>
      </c:barChart>
      <c:lineChart>
        <c:grouping val="standard"/>
        <c:varyColors val="0"/>
        <c:ser>
          <c:idx val="0"/>
          <c:order val="0"/>
          <c:tx>
            <c:strRef>
              <c:f>DS030c!$G$5</c:f>
              <c:strCache>
                <c:ptCount val="1"/>
                <c:pt idx="0">
                  <c:v>Bruto darba samaksa</c:v>
                </c:pt>
              </c:strCache>
            </c:strRef>
          </c:tx>
          <c:spPr>
            <a:ln w="28575">
              <a:solidFill>
                <a:srgbClr val="2F5C9F"/>
              </a:solidFill>
              <a:prstDash val="sysDash"/>
            </a:ln>
          </c:spPr>
          <c:marker>
            <c:symbol val="none"/>
          </c:marker>
          <c:cat>
            <c:multiLvlStrRef>
              <c:f>DS030c!$A$6:$B$43</c:f>
              <c:multiLvlStrCache>
                <c:ptCount val="3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I</c:v>
                  </c:pt>
                  <c:pt idx="37">
                    <c:v>II</c:v>
                  </c:pt>
                </c:lvl>
                <c:lvl>
                  <c:pt idx="0">
                    <c:v>2011</c:v>
                  </c:pt>
                  <c:pt idx="4">
                    <c:v>2012</c:v>
                  </c:pt>
                  <c:pt idx="8">
                    <c:v>2013</c:v>
                  </c:pt>
                  <c:pt idx="12">
                    <c:v>2014</c:v>
                  </c:pt>
                  <c:pt idx="16">
                    <c:v>2015</c:v>
                  </c:pt>
                  <c:pt idx="20">
                    <c:v>2016</c:v>
                  </c:pt>
                  <c:pt idx="24">
                    <c:v>2017</c:v>
                  </c:pt>
                  <c:pt idx="28">
                    <c:v>2018</c:v>
                  </c:pt>
                  <c:pt idx="32">
                    <c:v>2019</c:v>
                  </c:pt>
                  <c:pt idx="36">
                    <c:v>2020</c:v>
                  </c:pt>
                </c:lvl>
              </c:multiLvlStrCache>
            </c:multiLvlStrRef>
          </c:cat>
          <c:val>
            <c:numRef>
              <c:f>DS030c!$G$6:$G$43</c:f>
              <c:numCache>
                <c:formatCode>0.0</c:formatCode>
                <c:ptCount val="38"/>
                <c:pt idx="0">
                  <c:v>4.3</c:v>
                </c:pt>
                <c:pt idx="1">
                  <c:v>4.4000000000000004</c:v>
                </c:pt>
                <c:pt idx="2">
                  <c:v>4.3</c:v>
                </c:pt>
                <c:pt idx="3">
                  <c:v>4.5</c:v>
                </c:pt>
                <c:pt idx="4">
                  <c:v>3.6</c:v>
                </c:pt>
                <c:pt idx="5">
                  <c:v>3.8</c:v>
                </c:pt>
                <c:pt idx="6">
                  <c:v>3.5</c:v>
                </c:pt>
                <c:pt idx="7">
                  <c:v>4</c:v>
                </c:pt>
                <c:pt idx="8">
                  <c:v>3.8</c:v>
                </c:pt>
                <c:pt idx="9">
                  <c:v>4.5999999999999996</c:v>
                </c:pt>
                <c:pt idx="10">
                  <c:v>5.0999999999999996</c:v>
                </c:pt>
                <c:pt idx="11">
                  <c:v>4.8</c:v>
                </c:pt>
                <c:pt idx="12">
                  <c:v>7.4</c:v>
                </c:pt>
                <c:pt idx="13">
                  <c:v>6.5</c:v>
                </c:pt>
                <c:pt idx="14">
                  <c:v>7</c:v>
                </c:pt>
                <c:pt idx="15">
                  <c:v>6.6</c:v>
                </c:pt>
                <c:pt idx="16">
                  <c:v>6.2</c:v>
                </c:pt>
                <c:pt idx="17">
                  <c:v>6.4</c:v>
                </c:pt>
                <c:pt idx="18">
                  <c:v>7.3</c:v>
                </c:pt>
                <c:pt idx="19">
                  <c:v>7.4</c:v>
                </c:pt>
                <c:pt idx="20">
                  <c:v>5.2</c:v>
                </c:pt>
                <c:pt idx="21">
                  <c:v>5.0999999999999996</c:v>
                </c:pt>
                <c:pt idx="22">
                  <c:v>3.8</c:v>
                </c:pt>
                <c:pt idx="23">
                  <c:v>5.9</c:v>
                </c:pt>
                <c:pt idx="24">
                  <c:v>7</c:v>
                </c:pt>
                <c:pt idx="25">
                  <c:v>8.6</c:v>
                </c:pt>
                <c:pt idx="26">
                  <c:v>8.3000000000000007</c:v>
                </c:pt>
                <c:pt idx="27">
                  <c:v>7.5</c:v>
                </c:pt>
                <c:pt idx="28">
                  <c:v>8.6999999999999993</c:v>
                </c:pt>
                <c:pt idx="29">
                  <c:v>8.4</c:v>
                </c:pt>
                <c:pt idx="30">
                  <c:v>8.1</c:v>
                </c:pt>
                <c:pt idx="31">
                  <c:v>8.3000000000000007</c:v>
                </c:pt>
                <c:pt idx="32">
                  <c:v>7.4</c:v>
                </c:pt>
                <c:pt idx="33">
                  <c:v>7.1</c:v>
                </c:pt>
                <c:pt idx="34">
                  <c:v>7.6</c:v>
                </c:pt>
                <c:pt idx="35">
                  <c:v>6.9</c:v>
                </c:pt>
                <c:pt idx="36">
                  <c:v>6.6</c:v>
                </c:pt>
                <c:pt idx="37">
                  <c:v>3.9</c:v>
                </c:pt>
              </c:numCache>
            </c:numRef>
          </c:val>
          <c:smooth val="0"/>
          <c:extLst>
            <c:ext xmlns:c16="http://schemas.microsoft.com/office/drawing/2014/chart" uri="{C3380CC4-5D6E-409C-BE32-E72D297353CC}">
              <c16:uniqueId val="{00000001-17C4-4E69-9BF8-C5A50E345A1C}"/>
            </c:ext>
          </c:extLst>
        </c:ser>
        <c:dLbls>
          <c:showLegendKey val="0"/>
          <c:showVal val="0"/>
          <c:showCatName val="0"/>
          <c:showSerName val="0"/>
          <c:showPercent val="0"/>
          <c:showBubbleSize val="0"/>
        </c:dLbls>
        <c:marker val="1"/>
        <c:smooth val="0"/>
        <c:axId val="407968080"/>
        <c:axId val="407968472"/>
      </c:lineChart>
      <c:catAx>
        <c:axId val="407968080"/>
        <c:scaling>
          <c:orientation val="minMax"/>
        </c:scaling>
        <c:delete val="0"/>
        <c:axPos val="b"/>
        <c:numFmt formatCode="General" sourceLinked="0"/>
        <c:majorTickMark val="none"/>
        <c:minorTickMark val="none"/>
        <c:tickLblPos val="low"/>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crossAx val="407968472"/>
        <c:crosses val="autoZero"/>
        <c:auto val="1"/>
        <c:lblAlgn val="ctr"/>
        <c:lblOffset val="100"/>
        <c:noMultiLvlLbl val="0"/>
      </c:catAx>
      <c:valAx>
        <c:axId val="407968472"/>
        <c:scaling>
          <c:orientation val="minMax"/>
          <c:max val="10"/>
          <c:min val="-3"/>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crossAx val="407968080"/>
        <c:crosses val="autoZero"/>
        <c:crossBetween val="between"/>
        <c:majorUnit val="3"/>
      </c:valAx>
    </c:plotArea>
    <c:legend>
      <c:legendPos val="b"/>
      <c:layout>
        <c:manualLayout>
          <c:xMode val="edge"/>
          <c:yMode val="edge"/>
          <c:x val="9.9617355522867351E-2"/>
          <c:y val="0.67083822387370118"/>
          <c:w val="0.78219376424100828"/>
          <c:h val="0.14941539245667687"/>
        </c:manualLayout>
      </c:layout>
      <c:overlay val="1"/>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307834365238366E-2"/>
          <c:y val="2.6522001205545511E-2"/>
          <c:w val="0.90256502028155572"/>
          <c:h val="0.68664684925911634"/>
        </c:manualLayout>
      </c:layout>
      <c:barChart>
        <c:barDir val="col"/>
        <c:grouping val="clustered"/>
        <c:varyColors val="0"/>
        <c:ser>
          <c:idx val="0"/>
          <c:order val="0"/>
          <c:tx>
            <c:strRef>
              <c:f>'graf new (4)'!$A$2</c:f>
              <c:strCache>
                <c:ptCount val="1"/>
                <c:pt idx="0">
                  <c:v>Vecuma pensijas izmaiņas, %, labā ass</c:v>
                </c:pt>
              </c:strCache>
            </c:strRef>
          </c:tx>
          <c:spPr>
            <a:pattFill prst="dkUpDiag">
              <a:fgClr>
                <a:srgbClr val="00863D"/>
              </a:fgClr>
              <a:bgClr>
                <a:sysClr val="window" lastClr="FFFFFF"/>
              </a:bgClr>
            </a:pattFill>
            <a:ln>
              <a:solidFill>
                <a:srgbClr val="00863D"/>
              </a:solidFill>
            </a:ln>
            <a:effectLst/>
          </c:spPr>
          <c:invertIfNegative val="0"/>
          <c:cat>
            <c:multiLvlStrRef>
              <c:f>'graf new (4)'!$F$10:$AM$11</c:f>
              <c:multiLvlStrCache>
                <c:ptCount val="3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lvl>
                <c:lvl>
                  <c:pt idx="0">
                    <c:v>2012</c:v>
                  </c:pt>
                  <c:pt idx="4">
                    <c:v>2013</c:v>
                  </c:pt>
                  <c:pt idx="8">
                    <c:v>2014</c:v>
                  </c:pt>
                  <c:pt idx="12">
                    <c:v>2015</c:v>
                  </c:pt>
                  <c:pt idx="16">
                    <c:v>2016</c:v>
                  </c:pt>
                  <c:pt idx="20">
                    <c:v>2017</c:v>
                  </c:pt>
                  <c:pt idx="24">
                    <c:v>2018</c:v>
                  </c:pt>
                  <c:pt idx="28">
                    <c:v>2019</c:v>
                  </c:pt>
                  <c:pt idx="32">
                    <c:v>2020</c:v>
                  </c:pt>
                </c:lvl>
              </c:multiLvlStrCache>
            </c:multiLvlStrRef>
          </c:cat>
          <c:val>
            <c:numRef>
              <c:f>'graf new (4)'!$F$2:$AM$2</c:f>
              <c:numCache>
                <c:formatCode>0.0</c:formatCode>
                <c:ptCount val="34"/>
                <c:pt idx="0">
                  <c:v>1.3434787777909776</c:v>
                </c:pt>
                <c:pt idx="1">
                  <c:v>1.2556266287609503</c:v>
                </c:pt>
                <c:pt idx="2">
                  <c:v>1.2162002597709431</c:v>
                </c:pt>
                <c:pt idx="3">
                  <c:v>0.85236158898966607</c:v>
                </c:pt>
                <c:pt idx="4">
                  <c:v>0.45753167526983418</c:v>
                </c:pt>
                <c:pt idx="5">
                  <c:v>0.33536109811262804</c:v>
                </c:pt>
                <c:pt idx="6">
                  <c:v>0.99548918960958588</c:v>
                </c:pt>
                <c:pt idx="7">
                  <c:v>2.4269209893773791</c:v>
                </c:pt>
                <c:pt idx="8">
                  <c:v>3.0947097979679938</c:v>
                </c:pt>
                <c:pt idx="9">
                  <c:v>2.9187718616401099</c:v>
                </c:pt>
                <c:pt idx="10">
                  <c:v>2.1292160788541423</c:v>
                </c:pt>
                <c:pt idx="11">
                  <c:v>2.5624526873580891</c:v>
                </c:pt>
                <c:pt idx="12">
                  <c:v>2.8772088808337202</c:v>
                </c:pt>
                <c:pt idx="13">
                  <c:v>2.8737585438616549</c:v>
                </c:pt>
                <c:pt idx="14">
                  <c:v>2.9217719132893478</c:v>
                </c:pt>
                <c:pt idx="15">
                  <c:v>2.1330774624497053</c:v>
                </c:pt>
                <c:pt idx="16">
                  <c:v>1.9525801952580082</c:v>
                </c:pt>
                <c:pt idx="17">
                  <c:v>2.0850157844504906</c:v>
                </c:pt>
                <c:pt idx="18">
                  <c:v>2.2087912087912116</c:v>
                </c:pt>
                <c:pt idx="19">
                  <c:v>2.4534778681120315</c:v>
                </c:pt>
                <c:pt idx="20">
                  <c:v>2.8763769889840916</c:v>
                </c:pt>
                <c:pt idx="21">
                  <c:v>3.049262855088088</c:v>
                </c:pt>
                <c:pt idx="22" formatCode="General">
                  <c:v>3.0570189585349397</c:v>
                </c:pt>
                <c:pt idx="23" formatCode="General">
                  <c:v>4.9622628200606442</c:v>
                </c:pt>
                <c:pt idx="24" formatCode="General">
                  <c:v>6.7921755257724925</c:v>
                </c:pt>
                <c:pt idx="25" formatCode="General">
                  <c:v>7.0207271965943221</c:v>
                </c:pt>
                <c:pt idx="26" formatCode="General">
                  <c:v>8.8503268883015664</c:v>
                </c:pt>
                <c:pt idx="27" formatCode="General">
                  <c:v>10.826249117973191</c:v>
                </c:pt>
                <c:pt idx="28" formatCode="General">
                  <c:v>9.1585293924896689</c:v>
                </c:pt>
                <c:pt idx="29" formatCode="General">
                  <c:v>8.6305836322138987</c:v>
                </c:pt>
                <c:pt idx="30" formatCode="General">
                  <c:v>7.2936969999999999</c:v>
                </c:pt>
                <c:pt idx="31" formatCode="General">
                  <c:v>8.7196429999999996</c:v>
                </c:pt>
                <c:pt idx="32" formatCode="General">
                  <c:v>9.0535230000000002</c:v>
                </c:pt>
                <c:pt idx="33" formatCode="General">
                  <c:v>9.0674430000000008</c:v>
                </c:pt>
              </c:numCache>
            </c:numRef>
          </c:val>
          <c:extLst>
            <c:ext xmlns:c16="http://schemas.microsoft.com/office/drawing/2014/chart" uri="{C3380CC4-5D6E-409C-BE32-E72D297353CC}">
              <c16:uniqueId val="{00000000-3E9B-46BD-8C5E-0CA62EAA0970}"/>
            </c:ext>
          </c:extLst>
        </c:ser>
        <c:ser>
          <c:idx val="1"/>
          <c:order val="1"/>
          <c:tx>
            <c:strRef>
              <c:f>'graf new (4)'!$A$3</c:f>
              <c:strCache>
                <c:ptCount val="1"/>
                <c:pt idx="0">
                  <c:v>Neto darba samaksas izmaiņas, %, labā ass</c:v>
                </c:pt>
              </c:strCache>
            </c:strRef>
          </c:tx>
          <c:spPr>
            <a:pattFill prst="dkUpDiag">
              <a:fgClr>
                <a:srgbClr val="44546A">
                  <a:lumMod val="50000"/>
                </a:srgbClr>
              </a:fgClr>
              <a:bgClr>
                <a:sysClr val="window" lastClr="FFFFFF"/>
              </a:bgClr>
            </a:pattFill>
            <a:ln>
              <a:solidFill>
                <a:srgbClr val="44546A">
                  <a:lumMod val="50000"/>
                </a:srgbClr>
              </a:solidFill>
            </a:ln>
            <a:effectLst/>
          </c:spPr>
          <c:invertIfNegative val="0"/>
          <c:cat>
            <c:multiLvlStrRef>
              <c:f>'graf new (4)'!$F$10:$AM$11</c:f>
              <c:multiLvlStrCache>
                <c:ptCount val="3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lvl>
                <c:lvl>
                  <c:pt idx="0">
                    <c:v>2012</c:v>
                  </c:pt>
                  <c:pt idx="4">
                    <c:v>2013</c:v>
                  </c:pt>
                  <c:pt idx="8">
                    <c:v>2014</c:v>
                  </c:pt>
                  <c:pt idx="12">
                    <c:v>2015</c:v>
                  </c:pt>
                  <c:pt idx="16">
                    <c:v>2016</c:v>
                  </c:pt>
                  <c:pt idx="20">
                    <c:v>2017</c:v>
                  </c:pt>
                  <c:pt idx="24">
                    <c:v>2018</c:v>
                  </c:pt>
                  <c:pt idx="28">
                    <c:v>2019</c:v>
                  </c:pt>
                  <c:pt idx="32">
                    <c:v>2020</c:v>
                  </c:pt>
                </c:lvl>
              </c:multiLvlStrCache>
            </c:multiLvlStrRef>
          </c:cat>
          <c:val>
            <c:numRef>
              <c:f>'graf new (4)'!$F$3:$AM$3</c:f>
              <c:numCache>
                <c:formatCode>0.0</c:formatCode>
                <c:ptCount val="34"/>
                <c:pt idx="0">
                  <c:v>3.9473684210526301</c:v>
                </c:pt>
                <c:pt idx="1">
                  <c:v>3.8297872340425414</c:v>
                </c:pt>
                <c:pt idx="2">
                  <c:v>3.8054968287526378</c:v>
                </c:pt>
                <c:pt idx="3">
                  <c:v>4.1580041580041609</c:v>
                </c:pt>
                <c:pt idx="4">
                  <c:v>4.6413502109704723</c:v>
                </c:pt>
                <c:pt idx="5">
                  <c:v>5.3278688524590194</c:v>
                </c:pt>
                <c:pt idx="6">
                  <c:v>6.109979633401224</c:v>
                </c:pt>
                <c:pt idx="7">
                  <c:v>5.7884231536926052</c:v>
                </c:pt>
                <c:pt idx="8">
                  <c:v>9.4758064516128968</c:v>
                </c:pt>
                <c:pt idx="9">
                  <c:v>8.5603112840466906</c:v>
                </c:pt>
                <c:pt idx="10">
                  <c:v>8.2533589251439565</c:v>
                </c:pt>
                <c:pt idx="11">
                  <c:v>8.49056603773586</c:v>
                </c:pt>
                <c:pt idx="12">
                  <c:v>6.6298342541436455</c:v>
                </c:pt>
                <c:pt idx="13">
                  <c:v>7.3476702508960727</c:v>
                </c:pt>
                <c:pt idx="14">
                  <c:v>8.3333333333333286</c:v>
                </c:pt>
                <c:pt idx="15">
                  <c:v>8.173913043478251</c:v>
                </c:pt>
                <c:pt idx="16">
                  <c:v>5.3540587219343792</c:v>
                </c:pt>
                <c:pt idx="17">
                  <c:v>4.6744574290484167</c:v>
                </c:pt>
                <c:pt idx="18">
                  <c:v>3.4369885433715268</c:v>
                </c:pt>
                <c:pt idx="19">
                  <c:v>5.6270096463022554</c:v>
                </c:pt>
                <c:pt idx="20">
                  <c:v>6.0655737704917954</c:v>
                </c:pt>
                <c:pt idx="21">
                  <c:v>7.814992025518336</c:v>
                </c:pt>
                <c:pt idx="22" formatCode="General">
                  <c:v>7.4367088607594951</c:v>
                </c:pt>
                <c:pt idx="23" formatCode="General">
                  <c:v>6.544901065449011</c:v>
                </c:pt>
                <c:pt idx="24" formatCode="General">
                  <c:v>10.200927357032469</c:v>
                </c:pt>
                <c:pt idx="25" formatCode="General">
                  <c:v>10.059171597633139</c:v>
                </c:pt>
                <c:pt idx="26" formatCode="General">
                  <c:v>9.5729013254786537</c:v>
                </c:pt>
                <c:pt idx="27" formatCode="General">
                  <c:v>9.7142857142857224</c:v>
                </c:pt>
                <c:pt idx="28" formatCode="General">
                  <c:v>7.1</c:v>
                </c:pt>
                <c:pt idx="29" formatCode="General">
                  <c:v>6.7</c:v>
                </c:pt>
                <c:pt idx="30" formatCode="General">
                  <c:v>7</c:v>
                </c:pt>
                <c:pt idx="31" formatCode="General">
                  <c:v>6.5</c:v>
                </c:pt>
                <c:pt idx="32" formatCode="General">
                  <c:v>6.3</c:v>
                </c:pt>
                <c:pt idx="33" formatCode="General">
                  <c:v>3.9</c:v>
                </c:pt>
              </c:numCache>
            </c:numRef>
          </c:val>
          <c:extLst>
            <c:ext xmlns:c16="http://schemas.microsoft.com/office/drawing/2014/chart" uri="{C3380CC4-5D6E-409C-BE32-E72D297353CC}">
              <c16:uniqueId val="{00000001-3E9B-46BD-8C5E-0CA62EAA0970}"/>
            </c:ext>
          </c:extLst>
        </c:ser>
        <c:ser>
          <c:idx val="5"/>
          <c:order val="5"/>
          <c:tx>
            <c:strRef>
              <c:f>'graf new (4)'!$A$7</c:f>
              <c:strCache>
                <c:ptCount val="1"/>
                <c:pt idx="0">
                  <c:v>Bezdarbnieka pabalsta izmaiņas, %, labā ass</c:v>
                </c:pt>
              </c:strCache>
            </c:strRef>
          </c:tx>
          <c:spPr>
            <a:pattFill prst="dkUpDiag">
              <a:fgClr>
                <a:schemeClr val="accent6">
                  <a:lumMod val="75000"/>
                </a:schemeClr>
              </a:fgClr>
              <a:bgClr>
                <a:schemeClr val="bg1"/>
              </a:bgClr>
            </a:pattFill>
            <a:ln>
              <a:solidFill>
                <a:schemeClr val="accent6">
                  <a:lumMod val="75000"/>
                </a:schemeClr>
              </a:solidFill>
            </a:ln>
            <a:effectLst/>
          </c:spPr>
          <c:invertIfNegative val="0"/>
          <c:cat>
            <c:multiLvlStrRef>
              <c:f>'graf new (4)'!$F$10:$AM$11</c:f>
              <c:multiLvlStrCache>
                <c:ptCount val="3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lvl>
                <c:lvl>
                  <c:pt idx="0">
                    <c:v>2012</c:v>
                  </c:pt>
                  <c:pt idx="4">
                    <c:v>2013</c:v>
                  </c:pt>
                  <c:pt idx="8">
                    <c:v>2014</c:v>
                  </c:pt>
                  <c:pt idx="12">
                    <c:v>2015</c:v>
                  </c:pt>
                  <c:pt idx="16">
                    <c:v>2016</c:v>
                  </c:pt>
                  <c:pt idx="20">
                    <c:v>2017</c:v>
                  </c:pt>
                  <c:pt idx="24">
                    <c:v>2018</c:v>
                  </c:pt>
                  <c:pt idx="28">
                    <c:v>2019</c:v>
                  </c:pt>
                  <c:pt idx="32">
                    <c:v>2020</c:v>
                  </c:pt>
                </c:lvl>
              </c:multiLvlStrCache>
            </c:multiLvlStrRef>
          </c:cat>
          <c:val>
            <c:numRef>
              <c:f>'graf new (4)'!$F$7:$AM$7</c:f>
              <c:numCache>
                <c:formatCode>0.0</c:formatCode>
                <c:ptCount val="34"/>
                <c:pt idx="0">
                  <c:v>1.5948474160404942</c:v>
                </c:pt>
                <c:pt idx="1">
                  <c:v>0.97538742023704117</c:v>
                </c:pt>
                <c:pt idx="2">
                  <c:v>8.5520881138137099</c:v>
                </c:pt>
                <c:pt idx="3">
                  <c:v>15.582133156825591</c:v>
                </c:pt>
                <c:pt idx="4">
                  <c:v>22.223180592991881</c:v>
                </c:pt>
                <c:pt idx="5">
                  <c:v>28.028798411122125</c:v>
                </c:pt>
                <c:pt idx="6">
                  <c:v>18.593442830870671</c:v>
                </c:pt>
                <c:pt idx="7">
                  <c:v>10.098736176935247</c:v>
                </c:pt>
                <c:pt idx="8">
                  <c:v>5.8696917838429101</c:v>
                </c:pt>
                <c:pt idx="9">
                  <c:v>2.628378021048178</c:v>
                </c:pt>
                <c:pt idx="10">
                  <c:v>3.1263925280288021</c:v>
                </c:pt>
                <c:pt idx="11">
                  <c:v>4.3656060551709288</c:v>
                </c:pt>
                <c:pt idx="12">
                  <c:v>6.1191841087854897</c:v>
                </c:pt>
                <c:pt idx="13">
                  <c:v>12.987392215465988</c:v>
                </c:pt>
                <c:pt idx="14">
                  <c:v>16.421522028449445</c:v>
                </c:pt>
                <c:pt idx="15">
                  <c:v>16.319516051419541</c:v>
                </c:pt>
                <c:pt idx="16">
                  <c:v>14.742462311557773</c:v>
                </c:pt>
                <c:pt idx="17">
                  <c:v>10.243390747807069</c:v>
                </c:pt>
                <c:pt idx="18">
                  <c:v>9.2847174797351641</c:v>
                </c:pt>
                <c:pt idx="19">
                  <c:v>9.3877430411914133</c:v>
                </c:pt>
                <c:pt idx="20">
                  <c:v>5.0884107954234565</c:v>
                </c:pt>
                <c:pt idx="21">
                  <c:v>5.7848504488602828</c:v>
                </c:pt>
                <c:pt idx="22" formatCode="General">
                  <c:v>10.060859642449586</c:v>
                </c:pt>
                <c:pt idx="23" formatCode="General">
                  <c:v>12.151867959696361</c:v>
                </c:pt>
                <c:pt idx="24" formatCode="General">
                  <c:v>14.852967988956294</c:v>
                </c:pt>
                <c:pt idx="25" formatCode="General">
                  <c:v>17.480967775576175</c:v>
                </c:pt>
                <c:pt idx="26" formatCode="General">
                  <c:v>17.571403885556308</c:v>
                </c:pt>
                <c:pt idx="27" formatCode="General">
                  <c:v>13.584632986090213</c:v>
                </c:pt>
                <c:pt idx="28" formatCode="General">
                  <c:v>10.427367872005107</c:v>
                </c:pt>
                <c:pt idx="29" formatCode="General">
                  <c:v>8.5140143361221305</c:v>
                </c:pt>
                <c:pt idx="30" formatCode="General">
                  <c:v>8.7177439999999997</c:v>
                </c:pt>
                <c:pt idx="31" formatCode="General">
                  <c:v>9.9856859999999994</c:v>
                </c:pt>
                <c:pt idx="32" formatCode="General">
                  <c:v>13.78829</c:v>
                </c:pt>
                <c:pt idx="33" formatCode="General">
                  <c:v>7.6946669999999999</c:v>
                </c:pt>
              </c:numCache>
            </c:numRef>
          </c:val>
          <c:extLst>
            <c:ext xmlns:c16="http://schemas.microsoft.com/office/drawing/2014/chart" uri="{C3380CC4-5D6E-409C-BE32-E72D297353CC}">
              <c16:uniqueId val="{00000002-3E9B-46BD-8C5E-0CA62EAA0970}"/>
            </c:ext>
          </c:extLst>
        </c:ser>
        <c:dLbls>
          <c:showLegendKey val="0"/>
          <c:showVal val="0"/>
          <c:showCatName val="0"/>
          <c:showSerName val="0"/>
          <c:showPercent val="0"/>
          <c:showBubbleSize val="0"/>
        </c:dLbls>
        <c:gapWidth val="50"/>
        <c:axId val="363058680"/>
        <c:axId val="363058288"/>
      </c:barChart>
      <c:lineChart>
        <c:grouping val="standard"/>
        <c:varyColors val="0"/>
        <c:ser>
          <c:idx val="2"/>
          <c:order val="2"/>
          <c:tx>
            <c:strRef>
              <c:f>'graf new (4)'!$A$4</c:f>
              <c:strCache>
                <c:ptCount val="1"/>
                <c:pt idx="0">
                  <c:v>Vecuma pensija</c:v>
                </c:pt>
              </c:strCache>
            </c:strRef>
          </c:tx>
          <c:spPr>
            <a:ln w="28575" cap="rnd">
              <a:solidFill>
                <a:srgbClr val="00863D"/>
              </a:solidFill>
              <a:prstDash val="sysDash"/>
              <a:round/>
            </a:ln>
            <a:effectLst/>
          </c:spPr>
          <c:marker>
            <c:symbol val="none"/>
          </c:marker>
          <c:cat>
            <c:multiLvlStrRef>
              <c:f>'graf new (4)'!$F$10:$AM$11</c:f>
              <c:multiLvlStrCache>
                <c:ptCount val="3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lvl>
                <c:lvl>
                  <c:pt idx="0">
                    <c:v>2012</c:v>
                  </c:pt>
                  <c:pt idx="4">
                    <c:v>2013</c:v>
                  </c:pt>
                  <c:pt idx="8">
                    <c:v>2014</c:v>
                  </c:pt>
                  <c:pt idx="12">
                    <c:v>2015</c:v>
                  </c:pt>
                  <c:pt idx="16">
                    <c:v>2016</c:v>
                  </c:pt>
                  <c:pt idx="20">
                    <c:v>2017</c:v>
                  </c:pt>
                  <c:pt idx="24">
                    <c:v>2018</c:v>
                  </c:pt>
                  <c:pt idx="28">
                    <c:v>2019</c:v>
                  </c:pt>
                  <c:pt idx="32">
                    <c:v>2020</c:v>
                  </c:pt>
                </c:lvl>
              </c:multiLvlStrCache>
            </c:multiLvlStrRef>
          </c:cat>
          <c:val>
            <c:numRef>
              <c:f>'graf new (4)'!$F$4:$AM$4</c:f>
              <c:numCache>
                <c:formatCode>General</c:formatCode>
                <c:ptCount val="34"/>
                <c:pt idx="0">
                  <c:v>255.72</c:v>
                </c:pt>
                <c:pt idx="1">
                  <c:v>256.44</c:v>
                </c:pt>
                <c:pt idx="2">
                  <c:v>257.16000000000003</c:v>
                </c:pt>
                <c:pt idx="3">
                  <c:v>257.94</c:v>
                </c:pt>
                <c:pt idx="4">
                  <c:v>256.89</c:v>
                </c:pt>
                <c:pt idx="5">
                  <c:v>257.3</c:v>
                </c:pt>
                <c:pt idx="6">
                  <c:v>259.72000000000003</c:v>
                </c:pt>
                <c:pt idx="7">
                  <c:v>264.2</c:v>
                </c:pt>
                <c:pt idx="8">
                  <c:v>264.83999999999997</c:v>
                </c:pt>
                <c:pt idx="9">
                  <c:v>264.81</c:v>
                </c:pt>
                <c:pt idx="10">
                  <c:v>265.25</c:v>
                </c:pt>
                <c:pt idx="11">
                  <c:v>270.97000000000003</c:v>
                </c:pt>
                <c:pt idx="12">
                  <c:v>272.45999999999998</c:v>
                </c:pt>
                <c:pt idx="13">
                  <c:v>272.42</c:v>
                </c:pt>
                <c:pt idx="14">
                  <c:v>273</c:v>
                </c:pt>
                <c:pt idx="15">
                  <c:v>276.75</c:v>
                </c:pt>
                <c:pt idx="16">
                  <c:v>277.77999999999997</c:v>
                </c:pt>
                <c:pt idx="17">
                  <c:v>278.10000000000002</c:v>
                </c:pt>
                <c:pt idx="18">
                  <c:v>279.02999999999997</c:v>
                </c:pt>
                <c:pt idx="19">
                  <c:v>283.54000000000002</c:v>
                </c:pt>
                <c:pt idx="20">
                  <c:v>285.77</c:v>
                </c:pt>
                <c:pt idx="21">
                  <c:v>286.58</c:v>
                </c:pt>
                <c:pt idx="22">
                  <c:v>287.56</c:v>
                </c:pt>
                <c:pt idx="23">
                  <c:v>297.61</c:v>
                </c:pt>
                <c:pt idx="24">
                  <c:v>305.18</c:v>
                </c:pt>
                <c:pt idx="25">
                  <c:v>306.7</c:v>
                </c:pt>
                <c:pt idx="26">
                  <c:v>313.01</c:v>
                </c:pt>
                <c:pt idx="27">
                  <c:v>329.83</c:v>
                </c:pt>
                <c:pt idx="28">
                  <c:v>333.13</c:v>
                </c:pt>
                <c:pt idx="29">
                  <c:v>333.17</c:v>
                </c:pt>
                <c:pt idx="30">
                  <c:v>335.84</c:v>
                </c:pt>
                <c:pt idx="31">
                  <c:v>358.59</c:v>
                </c:pt>
                <c:pt idx="32">
                  <c:v>363.29</c:v>
                </c:pt>
                <c:pt idx="33">
                  <c:v>363.38</c:v>
                </c:pt>
              </c:numCache>
            </c:numRef>
          </c:val>
          <c:smooth val="0"/>
          <c:extLst>
            <c:ext xmlns:c16="http://schemas.microsoft.com/office/drawing/2014/chart" uri="{C3380CC4-5D6E-409C-BE32-E72D297353CC}">
              <c16:uniqueId val="{00000003-3E9B-46BD-8C5E-0CA62EAA0970}"/>
            </c:ext>
          </c:extLst>
        </c:ser>
        <c:ser>
          <c:idx val="3"/>
          <c:order val="3"/>
          <c:tx>
            <c:strRef>
              <c:f>'graf new (4)'!$A$5</c:f>
              <c:strCache>
                <c:ptCount val="1"/>
                <c:pt idx="0">
                  <c:v>Neto darba samaksa</c:v>
                </c:pt>
              </c:strCache>
            </c:strRef>
          </c:tx>
          <c:spPr>
            <a:ln w="28575" cap="rnd">
              <a:solidFill>
                <a:srgbClr val="44546A">
                  <a:lumMod val="50000"/>
                </a:srgbClr>
              </a:solidFill>
              <a:prstDash val="sysDash"/>
              <a:round/>
            </a:ln>
            <a:effectLst/>
          </c:spPr>
          <c:marker>
            <c:symbol val="none"/>
          </c:marker>
          <c:cat>
            <c:multiLvlStrRef>
              <c:f>'graf new (4)'!$F$10:$AM$11</c:f>
              <c:multiLvlStrCache>
                <c:ptCount val="3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lvl>
                <c:lvl>
                  <c:pt idx="0">
                    <c:v>2012</c:v>
                  </c:pt>
                  <c:pt idx="4">
                    <c:v>2013</c:v>
                  </c:pt>
                  <c:pt idx="8">
                    <c:v>2014</c:v>
                  </c:pt>
                  <c:pt idx="12">
                    <c:v>2015</c:v>
                  </c:pt>
                  <c:pt idx="16">
                    <c:v>2016</c:v>
                  </c:pt>
                  <c:pt idx="20">
                    <c:v>2017</c:v>
                  </c:pt>
                  <c:pt idx="24">
                    <c:v>2018</c:v>
                  </c:pt>
                  <c:pt idx="28">
                    <c:v>2019</c:v>
                  </c:pt>
                  <c:pt idx="32">
                    <c:v>2020</c:v>
                  </c:pt>
                </c:lvl>
              </c:multiLvlStrCache>
            </c:multiLvlStrRef>
          </c:cat>
          <c:val>
            <c:numRef>
              <c:f>'graf new (4)'!$F$5:$AM$5</c:f>
              <c:numCache>
                <c:formatCode>General</c:formatCode>
                <c:ptCount val="34"/>
                <c:pt idx="0">
                  <c:v>474</c:v>
                </c:pt>
                <c:pt idx="1">
                  <c:v>488</c:v>
                </c:pt>
                <c:pt idx="2">
                  <c:v>491</c:v>
                </c:pt>
                <c:pt idx="3">
                  <c:v>501</c:v>
                </c:pt>
                <c:pt idx="4">
                  <c:v>496</c:v>
                </c:pt>
                <c:pt idx="5">
                  <c:v>514</c:v>
                </c:pt>
                <c:pt idx="6">
                  <c:v>521</c:v>
                </c:pt>
                <c:pt idx="7">
                  <c:v>530</c:v>
                </c:pt>
                <c:pt idx="8">
                  <c:v>543</c:v>
                </c:pt>
                <c:pt idx="9">
                  <c:v>558</c:v>
                </c:pt>
                <c:pt idx="10">
                  <c:v>564</c:v>
                </c:pt>
                <c:pt idx="11">
                  <c:v>575</c:v>
                </c:pt>
                <c:pt idx="12">
                  <c:v>579</c:v>
                </c:pt>
                <c:pt idx="13">
                  <c:v>599</c:v>
                </c:pt>
                <c:pt idx="14">
                  <c:v>611</c:v>
                </c:pt>
                <c:pt idx="15">
                  <c:v>622</c:v>
                </c:pt>
                <c:pt idx="16">
                  <c:v>610</c:v>
                </c:pt>
                <c:pt idx="17">
                  <c:v>627</c:v>
                </c:pt>
                <c:pt idx="18">
                  <c:v>632</c:v>
                </c:pt>
                <c:pt idx="19">
                  <c:v>657</c:v>
                </c:pt>
                <c:pt idx="20">
                  <c:v>647</c:v>
                </c:pt>
                <c:pt idx="21">
                  <c:v>676</c:v>
                </c:pt>
                <c:pt idx="22">
                  <c:v>679</c:v>
                </c:pt>
                <c:pt idx="23">
                  <c:v>700</c:v>
                </c:pt>
                <c:pt idx="24">
                  <c:v>713</c:v>
                </c:pt>
                <c:pt idx="25">
                  <c:v>744</c:v>
                </c:pt>
                <c:pt idx="26">
                  <c:v>744</c:v>
                </c:pt>
                <c:pt idx="27">
                  <c:v>768</c:v>
                </c:pt>
                <c:pt idx="28">
                  <c:v>793</c:v>
                </c:pt>
                <c:pt idx="29">
                  <c:v>796</c:v>
                </c:pt>
                <c:pt idx="30">
                  <c:v>818</c:v>
                </c:pt>
                <c:pt idx="31">
                  <c:v>812</c:v>
                </c:pt>
                <c:pt idx="32">
                  <c:v>824</c:v>
                </c:pt>
              </c:numCache>
            </c:numRef>
          </c:val>
          <c:smooth val="0"/>
          <c:extLst>
            <c:ext xmlns:c16="http://schemas.microsoft.com/office/drawing/2014/chart" uri="{C3380CC4-5D6E-409C-BE32-E72D297353CC}">
              <c16:uniqueId val="{00000004-3E9B-46BD-8C5E-0CA62EAA0970}"/>
            </c:ext>
          </c:extLst>
        </c:ser>
        <c:ser>
          <c:idx val="4"/>
          <c:order val="4"/>
          <c:tx>
            <c:strRef>
              <c:f>'graf new (4)'!$A$6</c:f>
              <c:strCache>
                <c:ptCount val="1"/>
                <c:pt idx="0">
                  <c:v>Bezdarbnieka pabalsts</c:v>
                </c:pt>
              </c:strCache>
            </c:strRef>
          </c:tx>
          <c:spPr>
            <a:ln w="28575" cap="rnd">
              <a:solidFill>
                <a:schemeClr val="accent6">
                  <a:lumMod val="75000"/>
                </a:schemeClr>
              </a:solidFill>
              <a:prstDash val="sysDash"/>
              <a:round/>
            </a:ln>
            <a:effectLst/>
          </c:spPr>
          <c:marker>
            <c:symbol val="none"/>
          </c:marker>
          <c:cat>
            <c:multiLvlStrRef>
              <c:f>'graf new (4)'!$F$10:$AM$11</c:f>
              <c:multiLvlStrCache>
                <c:ptCount val="3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lvl>
                <c:lvl>
                  <c:pt idx="0">
                    <c:v>2012</c:v>
                  </c:pt>
                  <c:pt idx="4">
                    <c:v>2013</c:v>
                  </c:pt>
                  <c:pt idx="8">
                    <c:v>2014</c:v>
                  </c:pt>
                  <c:pt idx="12">
                    <c:v>2015</c:v>
                  </c:pt>
                  <c:pt idx="16">
                    <c:v>2016</c:v>
                  </c:pt>
                  <c:pt idx="20">
                    <c:v>2017</c:v>
                  </c:pt>
                  <c:pt idx="24">
                    <c:v>2018</c:v>
                  </c:pt>
                  <c:pt idx="28">
                    <c:v>2019</c:v>
                  </c:pt>
                  <c:pt idx="32">
                    <c:v>2020</c:v>
                  </c:pt>
                </c:lvl>
              </c:multiLvlStrCache>
            </c:multiLvlStrRef>
          </c:cat>
          <c:val>
            <c:numRef>
              <c:f>'graf new (4)'!$F$6:$AM$6</c:f>
              <c:numCache>
                <c:formatCode>General</c:formatCode>
                <c:ptCount val="34"/>
                <c:pt idx="0">
                  <c:v>154.58333333333334</c:v>
                </c:pt>
                <c:pt idx="1">
                  <c:v>147.69333333333336</c:v>
                </c:pt>
                <c:pt idx="2">
                  <c:v>157.69000000000003</c:v>
                </c:pt>
                <c:pt idx="3">
                  <c:v>168.79999999999998</c:v>
                </c:pt>
                <c:pt idx="4">
                  <c:v>188.93666666666664</c:v>
                </c:pt>
                <c:pt idx="5">
                  <c:v>189.09</c:v>
                </c:pt>
                <c:pt idx="6">
                  <c:v>187.01</c:v>
                </c:pt>
                <c:pt idx="7">
                  <c:v>185.84666666666666</c:v>
                </c:pt>
                <c:pt idx="8">
                  <c:v>200.02666666666664</c:v>
                </c:pt>
                <c:pt idx="9">
                  <c:v>194.06000000000003</c:v>
                </c:pt>
                <c:pt idx="10">
                  <c:v>192.85666666666665</c:v>
                </c:pt>
                <c:pt idx="11">
                  <c:v>193.96</c:v>
                </c:pt>
                <c:pt idx="12">
                  <c:v>212.26666666666665</c:v>
                </c:pt>
                <c:pt idx="13">
                  <c:v>219.26333333333332</c:v>
                </c:pt>
                <c:pt idx="14">
                  <c:v>224.52666666666664</c:v>
                </c:pt>
                <c:pt idx="15">
                  <c:v>225.61333333333334</c:v>
                </c:pt>
                <c:pt idx="16">
                  <c:v>243.55999999999997</c:v>
                </c:pt>
                <c:pt idx="17">
                  <c:v>241.72333333333336</c:v>
                </c:pt>
                <c:pt idx="18">
                  <c:v>245.37333333333333</c:v>
                </c:pt>
                <c:pt idx="19">
                  <c:v>246.79333333333332</c:v>
                </c:pt>
                <c:pt idx="20">
                  <c:v>255.95333333333335</c:v>
                </c:pt>
                <c:pt idx="21">
                  <c:v>255.70666666666671</c:v>
                </c:pt>
                <c:pt idx="22">
                  <c:v>270.05999999999995</c:v>
                </c:pt>
                <c:pt idx="23">
                  <c:v>276.7833333333333</c:v>
                </c:pt>
                <c:pt idx="24">
                  <c:v>293.96999999999997</c:v>
                </c:pt>
                <c:pt idx="25">
                  <c:v>300.40666666666669</c:v>
                </c:pt>
                <c:pt idx="26">
                  <c:v>317.51333333333332</c:v>
                </c:pt>
                <c:pt idx="27">
                  <c:v>314.38333333333333</c:v>
                </c:pt>
                <c:pt idx="28">
                  <c:v>324.62333333333339</c:v>
                </c:pt>
                <c:pt idx="29">
                  <c:v>325.98333333333335</c:v>
                </c:pt>
                <c:pt idx="30">
                  <c:v>345.19330000000002</c:v>
                </c:pt>
                <c:pt idx="31">
                  <c:v>345.77670000000001</c:v>
                </c:pt>
                <c:pt idx="32">
                  <c:v>369.38330000000002</c:v>
                </c:pt>
                <c:pt idx="33">
                  <c:v>351.06670000000003</c:v>
                </c:pt>
              </c:numCache>
            </c:numRef>
          </c:val>
          <c:smooth val="0"/>
          <c:extLst>
            <c:ext xmlns:c16="http://schemas.microsoft.com/office/drawing/2014/chart" uri="{C3380CC4-5D6E-409C-BE32-E72D297353CC}">
              <c16:uniqueId val="{00000005-3E9B-46BD-8C5E-0CA62EAA0970}"/>
            </c:ext>
          </c:extLst>
        </c:ser>
        <c:dLbls>
          <c:showLegendKey val="0"/>
          <c:showVal val="0"/>
          <c:showCatName val="0"/>
          <c:showSerName val="0"/>
          <c:showPercent val="0"/>
          <c:showBubbleSize val="0"/>
        </c:dLbls>
        <c:marker val="1"/>
        <c:smooth val="0"/>
        <c:axId val="363057504"/>
        <c:axId val="363057896"/>
      </c:lineChart>
      <c:catAx>
        <c:axId val="363057504"/>
        <c:scaling>
          <c:orientation val="minMax"/>
        </c:scaling>
        <c:delete val="0"/>
        <c:axPos val="b"/>
        <c:numFmt formatCode="General" sourceLinked="1"/>
        <c:majorTickMark val="none"/>
        <c:minorTickMark val="none"/>
        <c:tickLblPos val="low"/>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63057896"/>
        <c:crosses val="autoZero"/>
        <c:auto val="1"/>
        <c:lblAlgn val="ctr"/>
        <c:lblOffset val="100"/>
        <c:noMultiLvlLbl val="0"/>
      </c:catAx>
      <c:valAx>
        <c:axId val="363057896"/>
        <c:scaling>
          <c:orientation val="minMax"/>
          <c:max val="85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63057504"/>
        <c:crosses val="autoZero"/>
        <c:crossBetween val="between"/>
      </c:valAx>
      <c:valAx>
        <c:axId val="363058288"/>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lgn="ct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63058680"/>
        <c:crosses val="max"/>
        <c:crossBetween val="between"/>
      </c:valAx>
      <c:catAx>
        <c:axId val="363058680"/>
        <c:scaling>
          <c:orientation val="minMax"/>
        </c:scaling>
        <c:delete val="1"/>
        <c:axPos val="b"/>
        <c:numFmt formatCode="General" sourceLinked="1"/>
        <c:majorTickMark val="out"/>
        <c:minorTickMark val="none"/>
        <c:tickLblPos val="nextTo"/>
        <c:crossAx val="363058288"/>
        <c:crosses val="autoZero"/>
        <c:auto val="1"/>
        <c:lblAlgn val="ctr"/>
        <c:lblOffset val="100"/>
        <c:noMultiLvlLbl val="0"/>
      </c:catAx>
      <c:spPr>
        <a:noFill/>
        <a:ln>
          <a:noFill/>
        </a:ln>
        <a:effectLst/>
      </c:spPr>
    </c:plotArea>
    <c:legend>
      <c:legendPos val="b"/>
      <c:layout>
        <c:manualLayout>
          <c:xMode val="edge"/>
          <c:yMode val="edge"/>
          <c:x val="0"/>
          <c:y val="0.86757730922141585"/>
          <c:w val="1"/>
          <c:h val="0.13242269077858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PowerPoint]nabadzības risks'!$D$23</c:f>
              <c:strCache>
                <c:ptCount val="1"/>
                <c:pt idx="0">
                  <c:v>ES vidēji </c:v>
                </c:pt>
              </c:strCache>
            </c:strRef>
          </c:tx>
          <c:spPr>
            <a:pattFill prst="dkUpDiag">
              <a:fgClr>
                <a:sysClr val="windowText" lastClr="000000"/>
              </a:fgClr>
              <a:bgClr>
                <a:sysClr val="window" lastClr="FFFFFF"/>
              </a:bgClr>
            </a:pattFill>
            <a:ln>
              <a:solidFill>
                <a:sysClr val="windowText" lastClr="000000"/>
              </a:solidFill>
            </a:ln>
            <a:effectLst/>
          </c:spPr>
          <c:invertIfNegative val="0"/>
          <c:cat>
            <c:strRef>
              <c:f>'[Chart in Microsoft PowerPoint]nabadzības risks'!$C$24:$C$27</c:f>
              <c:strCache>
                <c:ptCount val="4"/>
                <c:pt idx="0">
                  <c:v>Pavisam</c:v>
                </c:pt>
                <c:pt idx="1">
                  <c:v>Strādājošie</c:v>
                </c:pt>
                <c:pt idx="2">
                  <c:v>Pensionāri</c:v>
                </c:pt>
                <c:pt idx="3">
                  <c:v>Bezdarbnieki</c:v>
                </c:pt>
              </c:strCache>
            </c:strRef>
          </c:cat>
          <c:val>
            <c:numRef>
              <c:f>'[Chart in Microsoft PowerPoint]nabadzības risks'!$D$24:$D$27</c:f>
              <c:numCache>
                <c:formatCode>General</c:formatCode>
                <c:ptCount val="4"/>
                <c:pt idx="0">
                  <c:v>22.4</c:v>
                </c:pt>
                <c:pt idx="1">
                  <c:v>12</c:v>
                </c:pt>
                <c:pt idx="2">
                  <c:v>18.7</c:v>
                </c:pt>
                <c:pt idx="3">
                  <c:v>64.900000000000006</c:v>
                </c:pt>
              </c:numCache>
            </c:numRef>
          </c:val>
          <c:extLst>
            <c:ext xmlns:c16="http://schemas.microsoft.com/office/drawing/2014/chart" uri="{C3380CC4-5D6E-409C-BE32-E72D297353CC}">
              <c16:uniqueId val="{00000000-3E67-4915-82D0-9C6E9A8E74E7}"/>
            </c:ext>
          </c:extLst>
        </c:ser>
        <c:ser>
          <c:idx val="1"/>
          <c:order val="1"/>
          <c:tx>
            <c:strRef>
              <c:f>'[Chart in Microsoft PowerPoint]nabadzības risks'!$E$23</c:f>
              <c:strCache>
                <c:ptCount val="1"/>
                <c:pt idx="0">
                  <c:v>Latvija</c:v>
                </c:pt>
              </c:strCache>
            </c:strRef>
          </c:tx>
          <c:spPr>
            <a:pattFill prst="dkUpDiag">
              <a:fgClr>
                <a:srgbClr val="C00000"/>
              </a:fgClr>
              <a:bgClr>
                <a:sysClr val="window" lastClr="FFFFFF"/>
              </a:bgClr>
            </a:pattFill>
            <a:ln>
              <a:solidFill>
                <a:srgbClr val="C00000"/>
              </a:solidFill>
            </a:ln>
            <a:effectLst/>
          </c:spPr>
          <c:invertIfNegative val="0"/>
          <c:cat>
            <c:strRef>
              <c:f>'[Chart in Microsoft PowerPoint]nabadzības risks'!$C$24:$C$27</c:f>
              <c:strCache>
                <c:ptCount val="4"/>
                <c:pt idx="0">
                  <c:v>Pavisam</c:v>
                </c:pt>
                <c:pt idx="1">
                  <c:v>Strādājošie</c:v>
                </c:pt>
                <c:pt idx="2">
                  <c:v>Pensionāri</c:v>
                </c:pt>
                <c:pt idx="3">
                  <c:v>Bezdarbnieki</c:v>
                </c:pt>
              </c:strCache>
            </c:strRef>
          </c:cat>
          <c:val>
            <c:numRef>
              <c:f>'[Chart in Microsoft PowerPoint]nabadzības risks'!$E$24:$E$27</c:f>
              <c:numCache>
                <c:formatCode>General</c:formatCode>
                <c:ptCount val="4"/>
                <c:pt idx="0">
                  <c:v>28.4</c:v>
                </c:pt>
                <c:pt idx="1">
                  <c:v>12.2</c:v>
                </c:pt>
                <c:pt idx="2">
                  <c:v>53</c:v>
                </c:pt>
                <c:pt idx="3">
                  <c:v>70</c:v>
                </c:pt>
              </c:numCache>
            </c:numRef>
          </c:val>
          <c:extLst>
            <c:ext xmlns:c16="http://schemas.microsoft.com/office/drawing/2014/chart" uri="{C3380CC4-5D6E-409C-BE32-E72D297353CC}">
              <c16:uniqueId val="{00000001-3E67-4915-82D0-9C6E9A8E74E7}"/>
            </c:ext>
          </c:extLst>
        </c:ser>
        <c:dLbls>
          <c:showLegendKey val="0"/>
          <c:showVal val="0"/>
          <c:showCatName val="0"/>
          <c:showSerName val="0"/>
          <c:showPercent val="0"/>
          <c:showBubbleSize val="0"/>
        </c:dLbls>
        <c:gapWidth val="219"/>
        <c:overlap val="-27"/>
        <c:axId val="700402575"/>
        <c:axId val="700391343"/>
      </c:barChart>
      <c:catAx>
        <c:axId val="70040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00391343"/>
        <c:crosses val="autoZero"/>
        <c:auto val="1"/>
        <c:lblAlgn val="ctr"/>
        <c:lblOffset val="100"/>
        <c:noMultiLvlLbl val="0"/>
      </c:catAx>
      <c:valAx>
        <c:axId val="700391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00402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346896560877158E-2"/>
          <c:y val="4.6491969568892642E-2"/>
          <c:w val="0.92920571600834989"/>
          <c:h val="0.66835068660544483"/>
        </c:manualLayout>
      </c:layout>
      <c:barChart>
        <c:barDir val="col"/>
        <c:grouping val="clustered"/>
        <c:varyColors val="0"/>
        <c:ser>
          <c:idx val="0"/>
          <c:order val="0"/>
          <c:spPr>
            <a:solidFill>
              <a:srgbClr val="002060"/>
            </a:solidFill>
            <a:ln>
              <a:solidFill>
                <a:srgbClr val="002060"/>
              </a:solidFill>
            </a:ln>
            <a:effectLst/>
          </c:spPr>
          <c:invertIfNegative val="0"/>
          <c:dPt>
            <c:idx val="1"/>
            <c:invertIfNegative val="0"/>
            <c:bubble3D val="0"/>
            <c:extLst>
              <c:ext xmlns:c16="http://schemas.microsoft.com/office/drawing/2014/chart" uri="{C3380CC4-5D6E-409C-BE32-E72D297353CC}">
                <c16:uniqueId val="{00000000-0272-425B-ACFC-65544EBC673B}"/>
              </c:ext>
            </c:extLst>
          </c:dPt>
          <c:dPt>
            <c:idx val="2"/>
            <c:invertIfNegative val="0"/>
            <c:bubble3D val="0"/>
            <c:extLst>
              <c:ext xmlns:c16="http://schemas.microsoft.com/office/drawing/2014/chart" uri="{C3380CC4-5D6E-409C-BE32-E72D297353CC}">
                <c16:uniqueId val="{00000001-0272-425B-ACFC-65544EBC673B}"/>
              </c:ext>
            </c:extLst>
          </c:dPt>
          <c:dPt>
            <c:idx val="3"/>
            <c:invertIfNegative val="0"/>
            <c:bubble3D val="0"/>
            <c:extLst>
              <c:ext xmlns:c16="http://schemas.microsoft.com/office/drawing/2014/chart" uri="{C3380CC4-5D6E-409C-BE32-E72D297353CC}">
                <c16:uniqueId val="{00000002-0272-425B-ACFC-65544EBC673B}"/>
              </c:ext>
            </c:extLst>
          </c:dPt>
          <c:dPt>
            <c:idx val="4"/>
            <c:invertIfNegative val="0"/>
            <c:bubble3D val="0"/>
            <c:extLst>
              <c:ext xmlns:c16="http://schemas.microsoft.com/office/drawing/2014/chart" uri="{C3380CC4-5D6E-409C-BE32-E72D297353CC}">
                <c16:uniqueId val="{00000003-0272-425B-ACFC-65544EBC673B}"/>
              </c:ext>
            </c:extLst>
          </c:dPt>
          <c:dPt>
            <c:idx val="7"/>
            <c:invertIfNegative val="0"/>
            <c:bubble3D val="0"/>
            <c:extLst>
              <c:ext xmlns:c16="http://schemas.microsoft.com/office/drawing/2014/chart" uri="{C3380CC4-5D6E-409C-BE32-E72D297353CC}">
                <c16:uniqueId val="{00000004-0272-425B-ACFC-65544EBC673B}"/>
              </c:ext>
            </c:extLst>
          </c:dPt>
          <c:dPt>
            <c:idx val="9"/>
            <c:invertIfNegative val="0"/>
            <c:bubble3D val="0"/>
            <c:extLst>
              <c:ext xmlns:c16="http://schemas.microsoft.com/office/drawing/2014/chart" uri="{C3380CC4-5D6E-409C-BE32-E72D297353CC}">
                <c16:uniqueId val="{00000005-0272-425B-ACFC-65544EBC673B}"/>
              </c:ext>
            </c:extLst>
          </c:dPt>
          <c:dPt>
            <c:idx val="10"/>
            <c:invertIfNegative val="0"/>
            <c:bubble3D val="0"/>
            <c:extLst>
              <c:ext xmlns:c16="http://schemas.microsoft.com/office/drawing/2014/chart" uri="{C3380CC4-5D6E-409C-BE32-E72D297353CC}">
                <c16:uniqueId val="{00000006-0272-425B-ACFC-65544EBC673B}"/>
              </c:ext>
            </c:extLst>
          </c:dPt>
          <c:dPt>
            <c:idx val="11"/>
            <c:invertIfNegative val="0"/>
            <c:bubble3D val="0"/>
            <c:extLst>
              <c:ext xmlns:c16="http://schemas.microsoft.com/office/drawing/2014/chart" uri="{C3380CC4-5D6E-409C-BE32-E72D297353CC}">
                <c16:uniqueId val="{00000007-0272-425B-ACFC-65544EBC673B}"/>
              </c:ext>
            </c:extLst>
          </c:dPt>
          <c:dPt>
            <c:idx val="12"/>
            <c:invertIfNegative val="0"/>
            <c:bubble3D val="0"/>
            <c:extLst>
              <c:ext xmlns:c16="http://schemas.microsoft.com/office/drawing/2014/chart" uri="{C3380CC4-5D6E-409C-BE32-E72D297353CC}">
                <c16:uniqueId val="{00000008-0272-425B-ACFC-65544EBC673B}"/>
              </c:ext>
            </c:extLst>
          </c:dPt>
          <c:dPt>
            <c:idx val="14"/>
            <c:invertIfNegative val="0"/>
            <c:bubble3D val="0"/>
            <c:extLst>
              <c:ext xmlns:c16="http://schemas.microsoft.com/office/drawing/2014/chart" uri="{C3380CC4-5D6E-409C-BE32-E72D297353CC}">
                <c16:uniqueId val="{00000009-0272-425B-ACFC-65544EBC673B}"/>
              </c:ext>
            </c:extLst>
          </c:dPt>
          <c:dPt>
            <c:idx val="15"/>
            <c:invertIfNegative val="0"/>
            <c:bubble3D val="0"/>
            <c:extLst>
              <c:ext xmlns:c16="http://schemas.microsoft.com/office/drawing/2014/chart" uri="{C3380CC4-5D6E-409C-BE32-E72D297353CC}">
                <c16:uniqueId val="{0000000A-0272-425B-ACFC-65544EBC673B}"/>
              </c:ext>
            </c:extLst>
          </c:dPt>
          <c:dPt>
            <c:idx val="23"/>
            <c:invertIfNegative val="0"/>
            <c:bubble3D val="0"/>
            <c:spPr>
              <a:pattFill prst="dkUpDiag">
                <a:fgClr>
                  <a:srgbClr val="C00000"/>
                </a:fgClr>
                <a:bgClr>
                  <a:sysClr val="window" lastClr="FFFFFF"/>
                </a:bgClr>
              </a:pattFill>
              <a:ln>
                <a:solidFill>
                  <a:srgbClr val="C00000"/>
                </a:solidFill>
              </a:ln>
              <a:effectLst/>
            </c:spPr>
            <c:extLst>
              <c:ext xmlns:c16="http://schemas.microsoft.com/office/drawing/2014/chart" uri="{C3380CC4-5D6E-409C-BE32-E72D297353CC}">
                <c16:uniqueId val="{0000000C-0272-425B-ACFC-65544EBC673B}"/>
              </c:ext>
            </c:extLst>
          </c:dPt>
          <c:dPt>
            <c:idx val="25"/>
            <c:invertIfNegative val="0"/>
            <c:bubble3D val="0"/>
            <c:extLst>
              <c:ext xmlns:c16="http://schemas.microsoft.com/office/drawing/2014/chart" uri="{C3380CC4-5D6E-409C-BE32-E72D297353CC}">
                <c16:uniqueId val="{0000000D-0272-425B-ACFC-65544EBC673B}"/>
              </c:ext>
            </c:extLst>
          </c:dPt>
          <c:cat>
            <c:strRef>
              <c:f>Sheet1!$F$6:$F$32</c:f>
              <c:strCache>
                <c:ptCount val="27"/>
                <c:pt idx="0">
                  <c:v>Luksemburga</c:v>
                </c:pt>
                <c:pt idx="1">
                  <c:v>Vācija</c:v>
                </c:pt>
                <c:pt idx="2">
                  <c:v>Austrija</c:v>
                </c:pt>
                <c:pt idx="3">
                  <c:v>Beļģija</c:v>
                </c:pt>
                <c:pt idx="4">
                  <c:v>Nīderlande</c:v>
                </c:pt>
                <c:pt idx="5">
                  <c:v>Francija</c:v>
                </c:pt>
                <c:pt idx="6">
                  <c:v>Dānija</c:v>
                </c:pt>
                <c:pt idx="7">
                  <c:v>Somija</c:v>
                </c:pt>
                <c:pt idx="8">
                  <c:v>Lielbritānija</c:v>
                </c:pt>
                <c:pt idx="9">
                  <c:v>Zviedrija</c:v>
                </c:pt>
                <c:pt idx="10">
                  <c:v>Itālija</c:v>
                </c:pt>
                <c:pt idx="11">
                  <c:v>Īrija</c:v>
                </c:pt>
                <c:pt idx="12">
                  <c:v>Spānija</c:v>
                </c:pt>
                <c:pt idx="13">
                  <c:v>Kipra</c:v>
                </c:pt>
                <c:pt idx="14">
                  <c:v>Čehija</c:v>
                </c:pt>
                <c:pt idx="15">
                  <c:v>Slovēnija</c:v>
                </c:pt>
                <c:pt idx="16">
                  <c:v>Portugāle</c:v>
                </c:pt>
                <c:pt idx="17">
                  <c:v>Lietuva</c:v>
                </c:pt>
                <c:pt idx="18">
                  <c:v>Igaunija</c:v>
                </c:pt>
                <c:pt idx="19">
                  <c:v>Polija</c:v>
                </c:pt>
                <c:pt idx="20">
                  <c:v>Slovākija</c:v>
                </c:pt>
                <c:pt idx="21">
                  <c:v>Grieķija</c:v>
                </c:pt>
                <c:pt idx="22">
                  <c:v>Rumānija</c:v>
                </c:pt>
                <c:pt idx="23">
                  <c:v>Latvija</c:v>
                </c:pt>
                <c:pt idx="24">
                  <c:v>Ungārija</c:v>
                </c:pt>
                <c:pt idx="25">
                  <c:v>Horvātija</c:v>
                </c:pt>
                <c:pt idx="26">
                  <c:v>Bulgārija</c:v>
                </c:pt>
              </c:strCache>
            </c:strRef>
          </c:cat>
          <c:val>
            <c:numRef>
              <c:f>Sheet1!$G$6:$G$32</c:f>
              <c:numCache>
                <c:formatCode>General</c:formatCode>
                <c:ptCount val="27"/>
                <c:pt idx="0">
                  <c:v>145.79014127629796</c:v>
                </c:pt>
                <c:pt idx="1">
                  <c:v>127.97095744215545</c:v>
                </c:pt>
                <c:pt idx="2">
                  <c:v>119.73056904168307</c:v>
                </c:pt>
                <c:pt idx="3">
                  <c:v>113.33158378165595</c:v>
                </c:pt>
                <c:pt idx="4">
                  <c:v>112.88544810392338</c:v>
                </c:pt>
                <c:pt idx="5">
                  <c:v>110.91282858767441</c:v>
                </c:pt>
                <c:pt idx="6">
                  <c:v>109.33385819883654</c:v>
                </c:pt>
                <c:pt idx="7">
                  <c:v>109.0058172593273</c:v>
                </c:pt>
                <c:pt idx="8">
                  <c:v>108.12666754144252</c:v>
                </c:pt>
                <c:pt idx="9">
                  <c:v>107.74614005161179</c:v>
                </c:pt>
                <c:pt idx="10">
                  <c:v>98.066745396492152</c:v>
                </c:pt>
                <c:pt idx="11">
                  <c:v>94.532651008179158</c:v>
                </c:pt>
                <c:pt idx="12">
                  <c:v>87.836241962996979</c:v>
                </c:pt>
                <c:pt idx="13">
                  <c:v>86.607181909635656</c:v>
                </c:pt>
                <c:pt idx="14">
                  <c:v>84.595197480645595</c:v>
                </c:pt>
                <c:pt idx="15">
                  <c:v>81.397891790228755</c:v>
                </c:pt>
                <c:pt idx="16">
                  <c:v>80.95175611249617</c:v>
                </c:pt>
                <c:pt idx="17">
                  <c:v>80.440012246861741</c:v>
                </c:pt>
                <c:pt idx="18">
                  <c:v>73.787341993614149</c:v>
                </c:pt>
                <c:pt idx="19">
                  <c:v>71.079910772864451</c:v>
                </c:pt>
                <c:pt idx="20">
                  <c:v>70.270743122074961</c:v>
                </c:pt>
                <c:pt idx="21">
                  <c:v>67.274635874557148</c:v>
                </c:pt>
                <c:pt idx="22">
                  <c:v>67.257140357783314</c:v>
                </c:pt>
                <c:pt idx="23">
                  <c:v>66.176792196999529</c:v>
                </c:pt>
                <c:pt idx="24">
                  <c:v>65.651926693784716</c:v>
                </c:pt>
                <c:pt idx="25">
                  <c:v>62.992608144163057</c:v>
                </c:pt>
                <c:pt idx="26">
                  <c:v>49.052774018944518</c:v>
                </c:pt>
              </c:numCache>
            </c:numRef>
          </c:val>
          <c:extLst>
            <c:ext xmlns:c16="http://schemas.microsoft.com/office/drawing/2014/chart" uri="{C3380CC4-5D6E-409C-BE32-E72D297353CC}">
              <c16:uniqueId val="{0000000E-0272-425B-ACFC-65544EBC673B}"/>
            </c:ext>
          </c:extLst>
        </c:ser>
        <c:dLbls>
          <c:showLegendKey val="0"/>
          <c:showVal val="0"/>
          <c:showCatName val="0"/>
          <c:showSerName val="0"/>
          <c:showPercent val="0"/>
          <c:showBubbleSize val="0"/>
        </c:dLbls>
        <c:gapWidth val="50"/>
        <c:overlap val="-27"/>
        <c:axId val="567518600"/>
        <c:axId val="1"/>
      </c:barChart>
      <c:lineChart>
        <c:grouping val="standard"/>
        <c:varyColors val="0"/>
        <c:ser>
          <c:idx val="1"/>
          <c:order val="1"/>
          <c:spPr>
            <a:ln w="28575" cap="rnd">
              <a:solidFill>
                <a:srgbClr val="C00000"/>
              </a:solidFill>
              <a:round/>
            </a:ln>
            <a:effectLst/>
          </c:spPr>
          <c:marker>
            <c:symbol val="none"/>
          </c:marker>
          <c:cat>
            <c:strRef>
              <c:f>Sheet1!$F$6:$F$32</c:f>
              <c:strCache>
                <c:ptCount val="27"/>
                <c:pt idx="0">
                  <c:v>Luksemburga</c:v>
                </c:pt>
                <c:pt idx="1">
                  <c:v>Vācija</c:v>
                </c:pt>
                <c:pt idx="2">
                  <c:v>Austrija</c:v>
                </c:pt>
                <c:pt idx="3">
                  <c:v>Beļģija</c:v>
                </c:pt>
                <c:pt idx="4">
                  <c:v>Nīderlande</c:v>
                </c:pt>
                <c:pt idx="5">
                  <c:v>Francija</c:v>
                </c:pt>
                <c:pt idx="6">
                  <c:v>Dānija</c:v>
                </c:pt>
                <c:pt idx="7">
                  <c:v>Somija</c:v>
                </c:pt>
                <c:pt idx="8">
                  <c:v>Lielbritānija</c:v>
                </c:pt>
                <c:pt idx="9">
                  <c:v>Zviedrija</c:v>
                </c:pt>
                <c:pt idx="10">
                  <c:v>Itālija</c:v>
                </c:pt>
                <c:pt idx="11">
                  <c:v>Īrija</c:v>
                </c:pt>
                <c:pt idx="12">
                  <c:v>Spānija</c:v>
                </c:pt>
                <c:pt idx="13">
                  <c:v>Kipra</c:v>
                </c:pt>
                <c:pt idx="14">
                  <c:v>Čehija</c:v>
                </c:pt>
                <c:pt idx="15">
                  <c:v>Slovēnija</c:v>
                </c:pt>
                <c:pt idx="16">
                  <c:v>Portugāle</c:v>
                </c:pt>
                <c:pt idx="17">
                  <c:v>Lietuva</c:v>
                </c:pt>
                <c:pt idx="18">
                  <c:v>Igaunija</c:v>
                </c:pt>
                <c:pt idx="19">
                  <c:v>Polija</c:v>
                </c:pt>
                <c:pt idx="20">
                  <c:v>Slovākija</c:v>
                </c:pt>
                <c:pt idx="21">
                  <c:v>Grieķija</c:v>
                </c:pt>
                <c:pt idx="22">
                  <c:v>Rumānija</c:v>
                </c:pt>
                <c:pt idx="23">
                  <c:v>Latvija</c:v>
                </c:pt>
                <c:pt idx="24">
                  <c:v>Ungārija</c:v>
                </c:pt>
                <c:pt idx="25">
                  <c:v>Horvātija</c:v>
                </c:pt>
                <c:pt idx="26">
                  <c:v>Bulgārija</c:v>
                </c:pt>
              </c:strCache>
            </c:strRef>
          </c:cat>
          <c:val>
            <c:numRef>
              <c:f>Sheet1!$H$6:$H$32</c:f>
              <c:numCache>
                <c:formatCode>General</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extLst>
            <c:ext xmlns:c16="http://schemas.microsoft.com/office/drawing/2014/chart" uri="{C3380CC4-5D6E-409C-BE32-E72D297353CC}">
              <c16:uniqueId val="{0000000F-0272-425B-ACFC-65544EBC673B}"/>
            </c:ext>
          </c:extLst>
        </c:ser>
        <c:dLbls>
          <c:showLegendKey val="0"/>
          <c:showVal val="0"/>
          <c:showCatName val="0"/>
          <c:showSerName val="0"/>
          <c:showPercent val="0"/>
          <c:showBubbleSize val="0"/>
        </c:dLbls>
        <c:marker val="1"/>
        <c:smooth val="0"/>
        <c:axId val="567518600"/>
        <c:axId val="1"/>
      </c:lineChart>
      <c:catAx>
        <c:axId val="567518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6751860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extLst>
              <c:ext xmlns:c16="http://schemas.microsoft.com/office/drawing/2014/chart" uri="{C3380CC4-5D6E-409C-BE32-E72D297353CC}">
                <c16:uniqueId val="{00000001-8C24-4618-99F9-EFDC4CE8CBB6}"/>
              </c:ext>
            </c:extLst>
          </c:dPt>
          <c:dPt>
            <c:idx val="14"/>
            <c:invertIfNegative val="0"/>
            <c:bubble3D val="0"/>
            <c:spPr>
              <a:solidFill>
                <a:srgbClr val="FFC000"/>
              </a:solidFill>
              <a:ln>
                <a:noFill/>
              </a:ln>
              <a:effectLst/>
            </c:spPr>
            <c:extLst>
              <c:ext xmlns:c16="http://schemas.microsoft.com/office/drawing/2014/chart" uri="{C3380CC4-5D6E-409C-BE32-E72D297353CC}">
                <c16:uniqueId val="{00000003-8C24-4618-99F9-EFDC4CE8CBB6}"/>
              </c:ext>
            </c:extLst>
          </c:dPt>
          <c:dPt>
            <c:idx val="16"/>
            <c:invertIfNegative val="0"/>
            <c:bubble3D val="0"/>
            <c:spPr>
              <a:solidFill>
                <a:srgbClr val="FFC000"/>
              </a:solidFill>
              <a:ln>
                <a:noFill/>
              </a:ln>
              <a:effectLst/>
            </c:spPr>
            <c:extLst>
              <c:ext xmlns:c16="http://schemas.microsoft.com/office/drawing/2014/chart" uri="{C3380CC4-5D6E-409C-BE32-E72D297353CC}">
                <c16:uniqueId val="{00000005-8C24-4618-99F9-EFDC4CE8CBB6}"/>
              </c:ext>
            </c:extLst>
          </c:dPt>
          <c:cat>
            <c:strRef>
              <c:f>Data!$T$12:$T$40</c:f>
              <c:strCache>
                <c:ptCount val="29"/>
                <c:pt idx="0">
                  <c:v>IE</c:v>
                </c:pt>
                <c:pt idx="1">
                  <c:v>LU</c:v>
                </c:pt>
                <c:pt idx="2">
                  <c:v>LT</c:v>
                </c:pt>
                <c:pt idx="3">
                  <c:v>NL</c:v>
                </c:pt>
                <c:pt idx="4">
                  <c:v>LV</c:v>
                </c:pt>
                <c:pt idx="5">
                  <c:v>MT</c:v>
                </c:pt>
                <c:pt idx="6">
                  <c:v>SE</c:v>
                </c:pt>
                <c:pt idx="7">
                  <c:v>DK</c:v>
                </c:pt>
                <c:pt idx="8">
                  <c:v>PL</c:v>
                </c:pt>
                <c:pt idx="9">
                  <c:v>BE</c:v>
                </c:pt>
                <c:pt idx="10">
                  <c:v>FI</c:v>
                </c:pt>
                <c:pt idx="11">
                  <c:v>BG</c:v>
                </c:pt>
                <c:pt idx="12">
                  <c:v>EE</c:v>
                </c:pt>
                <c:pt idx="13">
                  <c:v>CY</c:v>
                </c:pt>
                <c:pt idx="14">
                  <c:v>ES vidēji</c:v>
                </c:pt>
                <c:pt idx="15">
                  <c:v>AT</c:v>
                </c:pt>
                <c:pt idx="16">
                  <c:v>Eizozonā vidēji</c:v>
                </c:pt>
                <c:pt idx="17">
                  <c:v>HU</c:v>
                </c:pt>
                <c:pt idx="18">
                  <c:v>CZ</c:v>
                </c:pt>
                <c:pt idx="19">
                  <c:v>DE</c:v>
                </c:pt>
                <c:pt idx="20">
                  <c:v>SI</c:v>
                </c:pt>
                <c:pt idx="21">
                  <c:v>RO</c:v>
                </c:pt>
                <c:pt idx="22">
                  <c:v>SK</c:v>
                </c:pt>
                <c:pt idx="23">
                  <c:v>EL</c:v>
                </c:pt>
                <c:pt idx="24">
                  <c:v>IT</c:v>
                </c:pt>
                <c:pt idx="25">
                  <c:v>FR</c:v>
                </c:pt>
                <c:pt idx="26">
                  <c:v>PT</c:v>
                </c:pt>
                <c:pt idx="27">
                  <c:v>ES</c:v>
                </c:pt>
                <c:pt idx="28">
                  <c:v>HR</c:v>
                </c:pt>
              </c:strCache>
            </c:strRef>
          </c:cat>
          <c:val>
            <c:numRef>
              <c:f>Data!$U$12:$U$40</c:f>
              <c:numCache>
                <c:formatCode>0</c:formatCode>
                <c:ptCount val="29"/>
                <c:pt idx="0">
                  <c:v>3.071722226137624</c:v>
                </c:pt>
                <c:pt idx="1">
                  <c:v>-0.25625045637712829</c:v>
                </c:pt>
                <c:pt idx="2">
                  <c:v>-2.8057612879825089</c:v>
                </c:pt>
                <c:pt idx="3">
                  <c:v>-4.8243130200467856</c:v>
                </c:pt>
                <c:pt idx="4">
                  <c:v>-4.847604187758332</c:v>
                </c:pt>
                <c:pt idx="5">
                  <c:v>-5.2372655529363499</c:v>
                </c:pt>
                <c:pt idx="6">
                  <c:v>-5.8706308541395353</c:v>
                </c:pt>
                <c:pt idx="7">
                  <c:v>-6.620624472443251</c:v>
                </c:pt>
                <c:pt idx="8">
                  <c:v>-6.8858644912880598</c:v>
                </c:pt>
                <c:pt idx="9">
                  <c:v>-7.5536586279008819</c:v>
                </c:pt>
                <c:pt idx="10">
                  <c:v>-9.194311535238068</c:v>
                </c:pt>
                <c:pt idx="11">
                  <c:v>-9.260191721215687</c:v>
                </c:pt>
                <c:pt idx="12">
                  <c:v>-9.7268599959971542</c:v>
                </c:pt>
                <c:pt idx="13">
                  <c:v>-11.297946321851562</c:v>
                </c:pt>
                <c:pt idx="14">
                  <c:v>-11.849620193694919</c:v>
                </c:pt>
                <c:pt idx="15">
                  <c:v>-12.180314190864102</c:v>
                </c:pt>
                <c:pt idx="16">
                  <c:v>-12.428833395773777</c:v>
                </c:pt>
                <c:pt idx="17">
                  <c:v>-12.439593907104394</c:v>
                </c:pt>
                <c:pt idx="18">
                  <c:v>-12.466646592646741</c:v>
                </c:pt>
                <c:pt idx="19">
                  <c:v>-12.62307742220311</c:v>
                </c:pt>
                <c:pt idx="20">
                  <c:v>-13.577244967202001</c:v>
                </c:pt>
                <c:pt idx="21">
                  <c:v>-15.464870794330906</c:v>
                </c:pt>
                <c:pt idx="22">
                  <c:v>-16.72602105912538</c:v>
                </c:pt>
                <c:pt idx="23">
                  <c:v>-17.30077076888896</c:v>
                </c:pt>
                <c:pt idx="24">
                  <c:v>-19.901246191407925</c:v>
                </c:pt>
                <c:pt idx="25">
                  <c:v>-19.965521531733156</c:v>
                </c:pt>
                <c:pt idx="26">
                  <c:v>-21.935053050725895</c:v>
                </c:pt>
                <c:pt idx="27">
                  <c:v>-22.491512270831311</c:v>
                </c:pt>
                <c:pt idx="28">
                  <c:v>-25.579817838398576</c:v>
                </c:pt>
              </c:numCache>
            </c:numRef>
          </c:val>
          <c:extLst>
            <c:ext xmlns:c16="http://schemas.microsoft.com/office/drawing/2014/chart" uri="{C3380CC4-5D6E-409C-BE32-E72D297353CC}">
              <c16:uniqueId val="{00000006-8C24-4618-99F9-EFDC4CE8CBB6}"/>
            </c:ext>
          </c:extLst>
        </c:ser>
        <c:dLbls>
          <c:showLegendKey val="0"/>
          <c:showVal val="0"/>
          <c:showCatName val="0"/>
          <c:showSerName val="0"/>
          <c:showPercent val="0"/>
          <c:showBubbleSize val="0"/>
        </c:dLbls>
        <c:gapWidth val="50"/>
        <c:overlap val="-27"/>
        <c:axId val="1483469504"/>
        <c:axId val="1483472416"/>
      </c:barChart>
      <c:catAx>
        <c:axId val="148346950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83472416"/>
        <c:crosses val="autoZero"/>
        <c:auto val="1"/>
        <c:lblAlgn val="ctr"/>
        <c:lblOffset val="100"/>
        <c:noMultiLvlLbl val="0"/>
      </c:catAx>
      <c:valAx>
        <c:axId val="1483472416"/>
        <c:scaling>
          <c:orientation val="minMax"/>
          <c:min val="-2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83469504"/>
        <c:crosses val="autoZero"/>
        <c:crossBetween val="between"/>
        <c:majorUnit val="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'[AT020c (2).xlsx]AT020c'!$E$3</c:f>
              <c:strCache>
                <c:ptCount val="1"/>
                <c:pt idx="0">
                  <c:v>Preču tirdzniecības bilance</c:v>
                </c:pt>
              </c:strCache>
            </c:strRef>
          </c:tx>
          <c:spPr>
            <a:solidFill>
              <a:srgbClr val="00B050"/>
            </a:solidFill>
            <a:ln>
              <a:noFill/>
            </a:ln>
            <a:effectLst/>
          </c:spPr>
          <c:invertIfNegative val="0"/>
          <c:cat>
            <c:multiLvlStrRef>
              <c:f>'[AT020c (2).xlsx]AT020c'!$A$4:$B$25</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'[AT020c (2).xlsx]AT020c'!$E$4:$E$25</c:f>
              <c:numCache>
                <c:formatCode>0.0</c:formatCode>
                <c:ptCount val="22"/>
                <c:pt idx="0">
                  <c:v>-573.59999999999991</c:v>
                </c:pt>
                <c:pt idx="1">
                  <c:v>-584</c:v>
                </c:pt>
                <c:pt idx="2">
                  <c:v>-632.09999999999991</c:v>
                </c:pt>
                <c:pt idx="3">
                  <c:v>-415.90000000000009</c:v>
                </c:pt>
                <c:pt idx="4">
                  <c:v>-436.59999999999991</c:v>
                </c:pt>
                <c:pt idx="5">
                  <c:v>-498.5</c:v>
                </c:pt>
                <c:pt idx="6">
                  <c:v>-471.70000000000027</c:v>
                </c:pt>
                <c:pt idx="7">
                  <c:v>-519.69999999999982</c:v>
                </c:pt>
                <c:pt idx="8">
                  <c:v>-537.80000000000018</c:v>
                </c:pt>
                <c:pt idx="9">
                  <c:v>-668.19999999999982</c:v>
                </c:pt>
                <c:pt idx="10">
                  <c:v>-820.5</c:v>
                </c:pt>
                <c:pt idx="11">
                  <c:v>-503</c:v>
                </c:pt>
                <c:pt idx="12">
                  <c:v>-507.5</c:v>
                </c:pt>
                <c:pt idx="13">
                  <c:v>-664.09999999999991</c:v>
                </c:pt>
                <c:pt idx="14">
                  <c:v>-1124.1999999999998</c:v>
                </c:pt>
                <c:pt idx="15">
                  <c:v>-723.69999999999982</c:v>
                </c:pt>
                <c:pt idx="16">
                  <c:v>-606.59999999999991</c:v>
                </c:pt>
                <c:pt idx="17">
                  <c:v>-886.60000000000036</c:v>
                </c:pt>
                <c:pt idx="18">
                  <c:v>-789</c:v>
                </c:pt>
                <c:pt idx="19">
                  <c:v>-665.79999999999973</c:v>
                </c:pt>
                <c:pt idx="20">
                  <c:v>-453.59999999999991</c:v>
                </c:pt>
                <c:pt idx="21">
                  <c:v>-373.40000000000009</c:v>
                </c:pt>
              </c:numCache>
            </c:numRef>
          </c:val>
          <c:extLst>
            <c:ext xmlns:c16="http://schemas.microsoft.com/office/drawing/2014/chart" uri="{C3380CC4-5D6E-409C-BE32-E72D297353CC}">
              <c16:uniqueId val="{00000000-AE58-4E7E-B8C4-2CECA3F7506A}"/>
            </c:ext>
          </c:extLst>
        </c:ser>
        <c:dLbls>
          <c:showLegendKey val="0"/>
          <c:showVal val="0"/>
          <c:showCatName val="0"/>
          <c:showSerName val="0"/>
          <c:showPercent val="0"/>
          <c:showBubbleSize val="0"/>
        </c:dLbls>
        <c:gapWidth val="160"/>
        <c:axId val="2085277519"/>
        <c:axId val="2085277935"/>
      </c:barChart>
      <c:lineChart>
        <c:grouping val="standard"/>
        <c:varyColors val="0"/>
        <c:ser>
          <c:idx val="0"/>
          <c:order val="0"/>
          <c:tx>
            <c:strRef>
              <c:f>'[AT020c (2).xlsx]AT020c'!$C$3</c:f>
              <c:strCache>
                <c:ptCount val="1"/>
                <c:pt idx="0">
                  <c:v>Preču eksports</c:v>
                </c:pt>
              </c:strCache>
            </c:strRef>
          </c:tx>
          <c:spPr>
            <a:ln w="38100" cap="rnd">
              <a:solidFill>
                <a:schemeClr val="accent1"/>
              </a:solidFill>
              <a:round/>
            </a:ln>
            <a:effectLst/>
          </c:spPr>
          <c:marker>
            <c:symbol val="none"/>
          </c:marker>
          <c:cat>
            <c:multiLvlStrRef>
              <c:f>'[AT020c (2).xlsx]AT020c'!$A$4:$B$25</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'[AT020c (2).xlsx]AT020c'!$C$4:$C$25</c:f>
              <c:numCache>
                <c:formatCode>0.0</c:formatCode>
                <c:ptCount val="22"/>
                <c:pt idx="0">
                  <c:v>2476.5</c:v>
                </c:pt>
                <c:pt idx="1">
                  <c:v>2555.1999999999998</c:v>
                </c:pt>
                <c:pt idx="2">
                  <c:v>2663.4</c:v>
                </c:pt>
                <c:pt idx="3">
                  <c:v>2809.5</c:v>
                </c:pt>
                <c:pt idx="4">
                  <c:v>2391.5</c:v>
                </c:pt>
                <c:pt idx="5">
                  <c:v>2569.5</c:v>
                </c:pt>
                <c:pt idx="6">
                  <c:v>2678.2</c:v>
                </c:pt>
                <c:pt idx="7">
                  <c:v>2850.8</c:v>
                </c:pt>
                <c:pt idx="8">
                  <c:v>2719.6</c:v>
                </c:pt>
                <c:pt idx="9">
                  <c:v>2783.8</c:v>
                </c:pt>
                <c:pt idx="10">
                  <c:v>2956.9</c:v>
                </c:pt>
                <c:pt idx="11">
                  <c:v>3187</c:v>
                </c:pt>
                <c:pt idx="12">
                  <c:v>2969.9</c:v>
                </c:pt>
                <c:pt idx="13">
                  <c:v>3193.3</c:v>
                </c:pt>
                <c:pt idx="14">
                  <c:v>3189.7</c:v>
                </c:pt>
                <c:pt idx="15">
                  <c:v>3420.5</c:v>
                </c:pt>
                <c:pt idx="16">
                  <c:v>3123.6</c:v>
                </c:pt>
                <c:pt idx="17">
                  <c:v>3158.2</c:v>
                </c:pt>
                <c:pt idx="18">
                  <c:v>3298.5</c:v>
                </c:pt>
                <c:pt idx="19">
                  <c:v>3385.3</c:v>
                </c:pt>
                <c:pt idx="20">
                  <c:v>3239</c:v>
                </c:pt>
                <c:pt idx="21">
                  <c:v>2812.4</c:v>
                </c:pt>
              </c:numCache>
            </c:numRef>
          </c:val>
          <c:smooth val="0"/>
          <c:extLst>
            <c:ext xmlns:c16="http://schemas.microsoft.com/office/drawing/2014/chart" uri="{C3380CC4-5D6E-409C-BE32-E72D297353CC}">
              <c16:uniqueId val="{00000001-AE58-4E7E-B8C4-2CECA3F7506A}"/>
            </c:ext>
          </c:extLst>
        </c:ser>
        <c:ser>
          <c:idx val="1"/>
          <c:order val="1"/>
          <c:tx>
            <c:strRef>
              <c:f>'[AT020c (2).xlsx]AT020c'!$D$3</c:f>
              <c:strCache>
                <c:ptCount val="1"/>
                <c:pt idx="0">
                  <c:v>Preču imports</c:v>
                </c:pt>
              </c:strCache>
            </c:strRef>
          </c:tx>
          <c:spPr>
            <a:ln w="38100" cap="rnd">
              <a:solidFill>
                <a:schemeClr val="accent2"/>
              </a:solidFill>
              <a:round/>
            </a:ln>
            <a:effectLst/>
          </c:spPr>
          <c:marker>
            <c:symbol val="none"/>
          </c:marker>
          <c:cat>
            <c:multiLvlStrRef>
              <c:f>'[AT020c (2).xlsx]AT020c'!$A$4:$B$25</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'[AT020c (2).xlsx]AT020c'!$D$4:$D$25</c:f>
              <c:numCache>
                <c:formatCode>0.0</c:formatCode>
                <c:ptCount val="22"/>
                <c:pt idx="0">
                  <c:v>3050.1</c:v>
                </c:pt>
                <c:pt idx="1">
                  <c:v>3139.2</c:v>
                </c:pt>
                <c:pt idx="2">
                  <c:v>3295.5</c:v>
                </c:pt>
                <c:pt idx="3">
                  <c:v>3225.4</c:v>
                </c:pt>
                <c:pt idx="4">
                  <c:v>2828.1</c:v>
                </c:pt>
                <c:pt idx="5">
                  <c:v>3068</c:v>
                </c:pt>
                <c:pt idx="6">
                  <c:v>3149.9</c:v>
                </c:pt>
                <c:pt idx="7">
                  <c:v>3370.5</c:v>
                </c:pt>
                <c:pt idx="8">
                  <c:v>3257.4</c:v>
                </c:pt>
                <c:pt idx="9">
                  <c:v>3452</c:v>
                </c:pt>
                <c:pt idx="10">
                  <c:v>3777.4</c:v>
                </c:pt>
                <c:pt idx="11">
                  <c:v>3690</c:v>
                </c:pt>
                <c:pt idx="12">
                  <c:v>3477.4</c:v>
                </c:pt>
                <c:pt idx="13">
                  <c:v>3857.4</c:v>
                </c:pt>
                <c:pt idx="14">
                  <c:v>4313.8999999999996</c:v>
                </c:pt>
                <c:pt idx="15">
                  <c:v>4144.2</c:v>
                </c:pt>
                <c:pt idx="16">
                  <c:v>3730.2</c:v>
                </c:pt>
                <c:pt idx="17">
                  <c:v>4044.8</c:v>
                </c:pt>
                <c:pt idx="18">
                  <c:v>4087.5</c:v>
                </c:pt>
                <c:pt idx="19">
                  <c:v>4051.1</c:v>
                </c:pt>
                <c:pt idx="20">
                  <c:v>3692.6</c:v>
                </c:pt>
                <c:pt idx="21">
                  <c:v>3185.8</c:v>
                </c:pt>
              </c:numCache>
            </c:numRef>
          </c:val>
          <c:smooth val="0"/>
          <c:extLst>
            <c:ext xmlns:c16="http://schemas.microsoft.com/office/drawing/2014/chart" uri="{C3380CC4-5D6E-409C-BE32-E72D297353CC}">
              <c16:uniqueId val="{00000002-AE58-4E7E-B8C4-2CECA3F7506A}"/>
            </c:ext>
          </c:extLst>
        </c:ser>
        <c:dLbls>
          <c:showLegendKey val="0"/>
          <c:showVal val="0"/>
          <c:showCatName val="0"/>
          <c:showSerName val="0"/>
          <c:showPercent val="0"/>
          <c:showBubbleSize val="0"/>
        </c:dLbls>
        <c:marker val="1"/>
        <c:smooth val="0"/>
        <c:axId val="2085277519"/>
        <c:axId val="2085277935"/>
      </c:lineChart>
      <c:catAx>
        <c:axId val="208527751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85277935"/>
        <c:crosses val="autoZero"/>
        <c:auto val="1"/>
        <c:lblAlgn val="ctr"/>
        <c:lblOffset val="100"/>
        <c:noMultiLvlLbl val="0"/>
      </c:catAx>
      <c:valAx>
        <c:axId val="2085277935"/>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85277519"/>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'IKP nozares &amp; izlietojums (2)'!$BE$22</c:f>
              <c:strCache>
                <c:ptCount val="1"/>
                <c:pt idx="0">
                  <c:v>2020 1.pusg.</c:v>
                </c:pt>
              </c:strCache>
            </c:strRef>
          </c:tx>
          <c:spPr>
            <a:pattFill prst="dkUpDiag">
              <a:fgClr>
                <a:srgbClr val="00B050"/>
              </a:fgClr>
              <a:bgClr>
                <a:schemeClr val="bg1"/>
              </a:bgClr>
            </a:pattFill>
            <a:ln>
              <a:solidFill>
                <a:srgbClr val="00B050"/>
              </a:solidFill>
            </a:ln>
            <a:effectLst/>
          </c:spPr>
          <c:invertIfNegative val="0"/>
          <c:dPt>
            <c:idx val="2"/>
            <c:invertIfNegative val="0"/>
            <c:bubble3D val="0"/>
            <c:spPr>
              <a:pattFill prst="dkUpDiag">
                <a:fgClr>
                  <a:srgbClr val="00B050"/>
                </a:fgClr>
                <a:bgClr>
                  <a:schemeClr val="bg1"/>
                </a:bgClr>
              </a:pattFill>
              <a:ln>
                <a:solidFill>
                  <a:srgbClr val="00B050"/>
                </a:solidFill>
              </a:ln>
              <a:effectLst/>
            </c:spPr>
            <c:extLst>
              <c:ext xmlns:c16="http://schemas.microsoft.com/office/drawing/2014/chart" uri="{C3380CC4-5D6E-409C-BE32-E72D297353CC}">
                <c16:uniqueId val="{00000001-D10B-4156-9901-14F10D08888C}"/>
              </c:ext>
            </c:extLst>
          </c:dPt>
          <c:dPt>
            <c:idx val="4"/>
            <c:invertIfNegative val="0"/>
            <c:bubble3D val="0"/>
            <c:extLst>
              <c:ext xmlns:c16="http://schemas.microsoft.com/office/drawing/2014/chart" uri="{C3380CC4-5D6E-409C-BE32-E72D297353CC}">
                <c16:uniqueId val="{00000002-D10B-4156-9901-14F10D08888C}"/>
              </c:ext>
            </c:extLst>
          </c:dPt>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04-D10B-4156-9901-14F10D08888C}"/>
              </c:ext>
            </c:extLst>
          </c:dPt>
          <c:dPt>
            <c:idx val="7"/>
            <c:invertIfNegative val="0"/>
            <c:bubble3D val="0"/>
            <c:extLst>
              <c:ext xmlns:c16="http://schemas.microsoft.com/office/drawing/2014/chart" uri="{C3380CC4-5D6E-409C-BE32-E72D297353CC}">
                <c16:uniqueId val="{00000005-D10B-4156-9901-14F10D08888C}"/>
              </c:ext>
            </c:extLst>
          </c:dPt>
          <c:dLbls>
            <c:dLbl>
              <c:idx val="2"/>
              <c:layout>
                <c:manualLayout>
                  <c:x val="-2.7452329167671785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10B-4156-9901-14F10D08888C}"/>
                </c:ext>
              </c:extLst>
            </c:dLbl>
            <c:dLbl>
              <c:idx val="5"/>
              <c:layout>
                <c:manualLayout>
                  <c:x val="-1.4029370392464447E-2"/>
                  <c:y val="-4.1977304166649175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10B-4156-9901-14F10D08888C}"/>
                </c:ext>
              </c:extLst>
            </c:dLbl>
            <c:dLbl>
              <c:idx val="6"/>
              <c:layout>
                <c:manualLayout>
                  <c:x val="-1.372724250179102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10B-4156-9901-14F10D08888C}"/>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'IKP nozares &amp; izlietojums (2)'!$A$25:$A$34</c:f>
              <c:strCache>
                <c:ptCount val="10"/>
                <c:pt idx="0">
                  <c:v>Citi pakalpojumi</c:v>
                </c:pt>
                <c:pt idx="1">
                  <c:v>IT un komunikācijas pak.</c:v>
                </c:pt>
                <c:pt idx="2">
                  <c:v>Finanšu pak.</c:v>
                </c:pt>
                <c:pt idx="3">
                  <c:v>Operācijas ar NI</c:v>
                </c:pt>
                <c:pt idx="4">
                  <c:v>Tirdzniecība, izmitināšana</c:v>
                </c:pt>
                <c:pt idx="5">
                  <c:v>Transports un uzglabāšana</c:v>
                </c:pt>
                <c:pt idx="6">
                  <c:v>Būvniecība</c:v>
                </c:pt>
                <c:pt idx="7">
                  <c:v>Rūpniecība</c:v>
                </c:pt>
                <c:pt idx="8">
                  <c:v>Lauksaimniecība</c:v>
                </c:pt>
                <c:pt idx="9">
                  <c:v>Kopējā pievienotā vērtība</c:v>
                </c:pt>
              </c:strCache>
            </c:strRef>
          </c:cat>
          <c:val>
            <c:numRef>
              <c:f>'IKP nozares &amp; izlietojums (2)'!$AM$25:$AM$34</c:f>
              <c:numCache>
                <c:formatCode>0.0</c:formatCode>
                <c:ptCount val="10"/>
                <c:pt idx="0">
                  <c:v>-3.1173338539239981</c:v>
                </c:pt>
                <c:pt idx="1">
                  <c:v>-7.4409828016553377</c:v>
                </c:pt>
                <c:pt idx="2">
                  <c:v>-0.87490194546213651</c:v>
                </c:pt>
                <c:pt idx="3">
                  <c:v>-1.2747443985207774</c:v>
                </c:pt>
                <c:pt idx="4">
                  <c:v>-9.6734255864643455</c:v>
                </c:pt>
                <c:pt idx="5">
                  <c:v>-15.195963563460801</c:v>
                </c:pt>
                <c:pt idx="6">
                  <c:v>5.318669639453355</c:v>
                </c:pt>
                <c:pt idx="7">
                  <c:v>-3.3847843106033504</c:v>
                </c:pt>
                <c:pt idx="8">
                  <c:v>-1.0857132604590425</c:v>
                </c:pt>
                <c:pt idx="9">
                  <c:v>-4.6329724712795395</c:v>
                </c:pt>
              </c:numCache>
            </c:numRef>
          </c:val>
          <c:extLst>
            <c:ext xmlns:c16="http://schemas.microsoft.com/office/drawing/2014/chart" uri="{C3380CC4-5D6E-409C-BE32-E72D297353CC}">
              <c16:uniqueId val="{00000007-D10B-4156-9901-14F10D08888C}"/>
            </c:ext>
          </c:extLst>
        </c:ser>
        <c:ser>
          <c:idx val="1"/>
          <c:order val="1"/>
          <c:tx>
            <c:strRef>
              <c:f>'IKP nozares &amp; izlietojums (2)'!$BE$23</c:f>
              <c:strCache>
                <c:ptCount val="1"/>
                <c:pt idx="0">
                  <c:v>2019</c:v>
                </c:pt>
              </c:strCache>
            </c:strRef>
          </c:tx>
          <c:spPr>
            <a:solidFill>
              <a:schemeClr val="bg1">
                <a:lumMod val="65000"/>
              </a:schemeClr>
            </a:solidFill>
            <a:ln>
              <a:noFill/>
            </a:ln>
            <a:effectLst/>
          </c:spPr>
          <c:invertIfNegative val="0"/>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9-D10B-4156-9901-14F10D08888C}"/>
              </c:ext>
            </c:extLst>
          </c:dPt>
          <c:dLbls>
            <c:dLbl>
              <c:idx val="2"/>
              <c:layout>
                <c:manualLayout>
                  <c:x val="-1.883846755741468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10B-4156-9901-14F10D08888C}"/>
                </c:ext>
              </c:extLst>
            </c:dLbl>
            <c:dLbl>
              <c:idx val="5"/>
              <c:layout>
                <c:manualLayout>
                  <c:x val="-7.8920023880967665E-17"/>
                  <c:y val="-8.103727714748784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10B-4156-9901-14F10D08888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'IKP nozares &amp; izlietojums (2)'!$AJ$25:$AJ$34</c:f>
              <c:numCache>
                <c:formatCode>0.0</c:formatCode>
                <c:ptCount val="10"/>
                <c:pt idx="0">
                  <c:v>4.8487336682722093</c:v>
                </c:pt>
                <c:pt idx="1">
                  <c:v>1.0301387494027869</c:v>
                </c:pt>
                <c:pt idx="2">
                  <c:v>-15.182895489325965</c:v>
                </c:pt>
                <c:pt idx="3">
                  <c:v>1.4499031541427065</c:v>
                </c:pt>
                <c:pt idx="4">
                  <c:v>4.7105179851649526</c:v>
                </c:pt>
                <c:pt idx="5">
                  <c:v>-2.7348527346785168</c:v>
                </c:pt>
                <c:pt idx="6">
                  <c:v>2.1840344882744667</c:v>
                </c:pt>
                <c:pt idx="7">
                  <c:v>1.2152986313759051</c:v>
                </c:pt>
                <c:pt idx="8">
                  <c:v>12.262850284790439</c:v>
                </c:pt>
                <c:pt idx="9">
                  <c:v>2.3943247289178293</c:v>
                </c:pt>
              </c:numCache>
            </c:numRef>
          </c:val>
          <c:extLst>
            <c:ext xmlns:c16="http://schemas.microsoft.com/office/drawing/2014/chart" uri="{C3380CC4-5D6E-409C-BE32-E72D297353CC}">
              <c16:uniqueId val="{0000000B-D10B-4156-9901-14F10D08888C}"/>
            </c:ext>
          </c:extLst>
        </c:ser>
        <c:dLbls>
          <c:showLegendKey val="0"/>
          <c:showVal val="0"/>
          <c:showCatName val="0"/>
          <c:showSerName val="0"/>
          <c:showPercent val="0"/>
          <c:showBubbleSize val="0"/>
        </c:dLbls>
        <c:gapWidth val="50"/>
        <c:overlap val="-10"/>
        <c:axId val="212684440"/>
        <c:axId val="212684832"/>
      </c:barChart>
      <c:catAx>
        <c:axId val="212684440"/>
        <c:scaling>
          <c:orientation val="minMax"/>
        </c:scaling>
        <c:delete val="0"/>
        <c:axPos val="l"/>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2684832"/>
        <c:crosses val="autoZero"/>
        <c:auto val="1"/>
        <c:lblAlgn val="ctr"/>
        <c:lblOffset val="100"/>
        <c:noMultiLvlLbl val="0"/>
      </c:catAx>
      <c:valAx>
        <c:axId val="212684832"/>
        <c:scaling>
          <c:orientation val="minMax"/>
          <c:max val="15"/>
          <c:min val="-2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2684440"/>
        <c:crosses val="autoZero"/>
        <c:crossBetween val="between"/>
        <c:majorUnit val="5"/>
      </c:valAx>
      <c:spPr>
        <a:noFill/>
        <a:ln>
          <a:noFill/>
        </a:ln>
        <a:effectLst/>
      </c:spPr>
    </c:plotArea>
    <c:legend>
      <c:legendPos val="b"/>
      <c:layout>
        <c:manualLayout>
          <c:xMode val="edge"/>
          <c:yMode val="edge"/>
          <c:x val="0.43200437462716246"/>
          <c:y val="0.89744570712351968"/>
          <c:w val="0.39676892541776215"/>
          <c:h val="7.5602339644610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375472090481234E-2"/>
          <c:y val="1.183243042998772E-2"/>
          <c:w val="0.90568017449620897"/>
          <c:h val="0.61700613510267743"/>
        </c:manualLayout>
      </c:layout>
      <c:barChart>
        <c:barDir val="col"/>
        <c:grouping val="stacked"/>
        <c:varyColors val="0"/>
        <c:ser>
          <c:idx val="0"/>
          <c:order val="0"/>
          <c:tx>
            <c:strRef>
              <c:f>Eksports_pa_grupam!$B$212</c:f>
              <c:strCache>
                <c:ptCount val="1"/>
                <c:pt idx="0">
                  <c:v>Lauksaimniecības preces un pārtika</c:v>
                </c:pt>
              </c:strCache>
            </c:strRef>
          </c:tx>
          <c:spPr>
            <a:solidFill>
              <a:schemeClr val="accent1"/>
            </a:solidFill>
            <a:ln>
              <a:noFill/>
            </a:ln>
            <a:effectLst/>
          </c:spPr>
          <c:invertIfNegative val="0"/>
          <c:cat>
            <c:multiLvlStrRef>
              <c:f>Eksports_pa_grupam!$DS$1:$EW$2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2018</c:v>
                  </c:pt>
                  <c:pt idx="12">
                    <c:v>2019</c:v>
                  </c:pt>
                  <c:pt idx="24">
                    <c:v>2020</c:v>
                  </c:pt>
                </c:lvl>
              </c:multiLvlStrCache>
            </c:multiLvlStrRef>
          </c:cat>
          <c:val>
            <c:numRef>
              <c:f>Eksports_pa_grupam!$DS$212:$EW$212</c:f>
              <c:numCache>
                <c:formatCode>0.00</c:formatCode>
                <c:ptCount val="31"/>
                <c:pt idx="0">
                  <c:v>2.8305661656762315</c:v>
                </c:pt>
                <c:pt idx="1">
                  <c:v>4.3309805364296166</c:v>
                </c:pt>
                <c:pt idx="2">
                  <c:v>-3.5356963185469508</c:v>
                </c:pt>
                <c:pt idx="3">
                  <c:v>3.8880100887399327</c:v>
                </c:pt>
                <c:pt idx="4">
                  <c:v>1.0249473491163741</c:v>
                </c:pt>
                <c:pt idx="5">
                  <c:v>3.848427392088531</c:v>
                </c:pt>
                <c:pt idx="6">
                  <c:v>1.2928876976021344</c:v>
                </c:pt>
                <c:pt idx="7">
                  <c:v>9.0217371231448185E-2</c:v>
                </c:pt>
                <c:pt idx="8">
                  <c:v>-2.7964790310014633</c:v>
                </c:pt>
                <c:pt idx="9">
                  <c:v>-2.9075983026532555</c:v>
                </c:pt>
                <c:pt idx="10">
                  <c:v>-4.4465396902604857</c:v>
                </c:pt>
                <c:pt idx="11">
                  <c:v>-1.5745445020126565</c:v>
                </c:pt>
                <c:pt idx="12">
                  <c:v>2.698698259768402E-2</c:v>
                </c:pt>
                <c:pt idx="13">
                  <c:v>-0.84103339759510631</c:v>
                </c:pt>
                <c:pt idx="14">
                  <c:v>4.2520980450525308</c:v>
                </c:pt>
                <c:pt idx="15">
                  <c:v>0.70460778997576023</c:v>
                </c:pt>
                <c:pt idx="16">
                  <c:v>2.36961898356232</c:v>
                </c:pt>
                <c:pt idx="17">
                  <c:v>-0.32067472313711226</c:v>
                </c:pt>
                <c:pt idx="18">
                  <c:v>1.0949322484187063</c:v>
                </c:pt>
                <c:pt idx="19">
                  <c:v>5.8032439071387154</c:v>
                </c:pt>
                <c:pt idx="20">
                  <c:v>5.5133074574716963</c:v>
                </c:pt>
                <c:pt idx="21">
                  <c:v>5.9767580119559716</c:v>
                </c:pt>
                <c:pt idx="22">
                  <c:v>3.8610890135064726</c:v>
                </c:pt>
                <c:pt idx="23">
                  <c:v>5.8514674006615603</c:v>
                </c:pt>
                <c:pt idx="24">
                  <c:v>4.4015133207285899</c:v>
                </c:pt>
                <c:pt idx="25">
                  <c:v>2.0822553706209264</c:v>
                </c:pt>
                <c:pt idx="26">
                  <c:v>3.7870534580394786</c:v>
                </c:pt>
                <c:pt idx="27">
                  <c:v>-1.5333817430152763</c:v>
                </c:pt>
                <c:pt idx="28">
                  <c:v>-3.6742950159696526</c:v>
                </c:pt>
                <c:pt idx="29">
                  <c:v>-1.4390939523581698</c:v>
                </c:pt>
                <c:pt idx="30">
                  <c:v>-0.44829319331662665</c:v>
                </c:pt>
              </c:numCache>
            </c:numRef>
          </c:val>
          <c:extLst>
            <c:ext xmlns:c16="http://schemas.microsoft.com/office/drawing/2014/chart" uri="{C3380CC4-5D6E-409C-BE32-E72D297353CC}">
              <c16:uniqueId val="{00000000-2F88-4865-AF45-276E4C9A6828}"/>
            </c:ext>
          </c:extLst>
        </c:ser>
        <c:ser>
          <c:idx val="1"/>
          <c:order val="1"/>
          <c:tx>
            <c:strRef>
              <c:f>Eksports_pa_grupam!$B$213</c:f>
              <c:strCache>
                <c:ptCount val="1"/>
                <c:pt idx="0">
                  <c:v>Minerālprodukti</c:v>
                </c:pt>
              </c:strCache>
            </c:strRef>
          </c:tx>
          <c:spPr>
            <a:solidFill>
              <a:schemeClr val="accent2"/>
            </a:solidFill>
            <a:ln>
              <a:noFill/>
            </a:ln>
            <a:effectLst/>
          </c:spPr>
          <c:invertIfNegative val="0"/>
          <c:cat>
            <c:multiLvlStrRef>
              <c:f>Eksports_pa_grupam!$DS$1:$EW$2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2018</c:v>
                  </c:pt>
                  <c:pt idx="12">
                    <c:v>2019</c:v>
                  </c:pt>
                  <c:pt idx="24">
                    <c:v>2020</c:v>
                  </c:pt>
                </c:lvl>
              </c:multiLvlStrCache>
            </c:multiLvlStrRef>
          </c:cat>
          <c:val>
            <c:numRef>
              <c:f>Eksports_pa_grupam!$DS$213:$EW$213</c:f>
              <c:numCache>
                <c:formatCode>0.00</c:formatCode>
                <c:ptCount val="31"/>
                <c:pt idx="0">
                  <c:v>1.8856704105091906</c:v>
                </c:pt>
                <c:pt idx="1">
                  <c:v>1.0429701876422137</c:v>
                </c:pt>
                <c:pt idx="2">
                  <c:v>0.27180244563358924</c:v>
                </c:pt>
                <c:pt idx="3">
                  <c:v>1.4372482694555304</c:v>
                </c:pt>
                <c:pt idx="4">
                  <c:v>6.2519142881300033E-2</c:v>
                </c:pt>
                <c:pt idx="5">
                  <c:v>0.584654548668602</c:v>
                </c:pt>
                <c:pt idx="6">
                  <c:v>0.99838961779630309</c:v>
                </c:pt>
                <c:pt idx="7">
                  <c:v>0.79867822867945337</c:v>
                </c:pt>
                <c:pt idx="8">
                  <c:v>0.1589768050294845</c:v>
                </c:pt>
                <c:pt idx="9">
                  <c:v>0.94986612721072738</c:v>
                </c:pt>
                <c:pt idx="10">
                  <c:v>0.43983197303645682</c:v>
                </c:pt>
                <c:pt idx="11">
                  <c:v>-0.64873058542675721</c:v>
                </c:pt>
                <c:pt idx="12">
                  <c:v>-0.51177732144762955</c:v>
                </c:pt>
                <c:pt idx="13">
                  <c:v>-0.59899685937253644</c:v>
                </c:pt>
                <c:pt idx="14">
                  <c:v>7.1268696643982639E-3</c:v>
                </c:pt>
                <c:pt idx="15">
                  <c:v>-0.29492387950009291</c:v>
                </c:pt>
                <c:pt idx="16">
                  <c:v>-5.9192971883286837E-2</c:v>
                </c:pt>
                <c:pt idx="17">
                  <c:v>1.4909980137727745E-3</c:v>
                </c:pt>
                <c:pt idx="18">
                  <c:v>-0.52536661483943625</c:v>
                </c:pt>
                <c:pt idx="19">
                  <c:v>-1.2462182731498175</c:v>
                </c:pt>
                <c:pt idx="20">
                  <c:v>-0.92532507739051062</c:v>
                </c:pt>
                <c:pt idx="21">
                  <c:v>-1.7464172666193609</c:v>
                </c:pt>
                <c:pt idx="22">
                  <c:v>-1.6905822802325852</c:v>
                </c:pt>
                <c:pt idx="23">
                  <c:v>-1.0503394947794085</c:v>
                </c:pt>
                <c:pt idx="24">
                  <c:v>-1.1456765466515535</c:v>
                </c:pt>
                <c:pt idx="25">
                  <c:v>-0.35443606476157113</c:v>
                </c:pt>
                <c:pt idx="26">
                  <c:v>-1.3483357403400629</c:v>
                </c:pt>
                <c:pt idx="27">
                  <c:v>-2.0502642377923959</c:v>
                </c:pt>
                <c:pt idx="28">
                  <c:v>-1.5634531376958078</c:v>
                </c:pt>
                <c:pt idx="29">
                  <c:v>-1.1662795790038247</c:v>
                </c:pt>
                <c:pt idx="30">
                  <c:v>-1.2378304208402857</c:v>
                </c:pt>
              </c:numCache>
            </c:numRef>
          </c:val>
          <c:extLst>
            <c:ext xmlns:c16="http://schemas.microsoft.com/office/drawing/2014/chart" uri="{C3380CC4-5D6E-409C-BE32-E72D297353CC}">
              <c16:uniqueId val="{00000001-2F88-4865-AF45-276E4C9A6828}"/>
            </c:ext>
          </c:extLst>
        </c:ser>
        <c:ser>
          <c:idx val="2"/>
          <c:order val="2"/>
          <c:tx>
            <c:strRef>
              <c:f>Eksports_pa_grupam!$B$214</c:f>
              <c:strCache>
                <c:ptCount val="1"/>
                <c:pt idx="0">
                  <c:v>Ķīmiskās rūpniecības ražojumi</c:v>
                </c:pt>
              </c:strCache>
            </c:strRef>
          </c:tx>
          <c:spPr>
            <a:solidFill>
              <a:schemeClr val="accent3"/>
            </a:solidFill>
            <a:ln>
              <a:noFill/>
            </a:ln>
            <a:effectLst/>
          </c:spPr>
          <c:invertIfNegative val="0"/>
          <c:cat>
            <c:multiLvlStrRef>
              <c:f>Eksports_pa_grupam!$DS$1:$EW$2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2018</c:v>
                  </c:pt>
                  <c:pt idx="12">
                    <c:v>2019</c:v>
                  </c:pt>
                  <c:pt idx="24">
                    <c:v>2020</c:v>
                  </c:pt>
                </c:lvl>
              </c:multiLvlStrCache>
            </c:multiLvlStrRef>
          </c:cat>
          <c:val>
            <c:numRef>
              <c:f>Eksports_pa_grupam!$DS$214:$EW$214</c:f>
              <c:numCache>
                <c:formatCode>0.00</c:formatCode>
                <c:ptCount val="31"/>
                <c:pt idx="0">
                  <c:v>0.47306905764174717</c:v>
                </c:pt>
                <c:pt idx="1">
                  <c:v>1.3026151294849948</c:v>
                </c:pt>
                <c:pt idx="2">
                  <c:v>-0.86888900401598845</c:v>
                </c:pt>
                <c:pt idx="3">
                  <c:v>0.32784222939997804</c:v>
                </c:pt>
                <c:pt idx="4">
                  <c:v>0.2439142556978422</c:v>
                </c:pt>
                <c:pt idx="5">
                  <c:v>0.56421131373412592</c:v>
                </c:pt>
                <c:pt idx="6">
                  <c:v>0.24926215054388087</c:v>
                </c:pt>
                <c:pt idx="7">
                  <c:v>8.3035645896688867E-2</c:v>
                </c:pt>
                <c:pt idx="8">
                  <c:v>0.24114873044228113</c:v>
                </c:pt>
                <c:pt idx="9">
                  <c:v>1.8871432977905993</c:v>
                </c:pt>
                <c:pt idx="10">
                  <c:v>0.93008248789158143</c:v>
                </c:pt>
                <c:pt idx="11">
                  <c:v>0.41436103839439964</c:v>
                </c:pt>
                <c:pt idx="12">
                  <c:v>0.81575139170377686</c:v>
                </c:pt>
                <c:pt idx="13">
                  <c:v>1.1237334420403065</c:v>
                </c:pt>
                <c:pt idx="14">
                  <c:v>0.82266363132637932</c:v>
                </c:pt>
                <c:pt idx="15">
                  <c:v>1.0519782850393298</c:v>
                </c:pt>
                <c:pt idx="16">
                  <c:v>0.46711949974531919</c:v>
                </c:pt>
                <c:pt idx="17">
                  <c:v>-0.21967840984388221</c:v>
                </c:pt>
                <c:pt idx="18">
                  <c:v>0.97155568222873057</c:v>
                </c:pt>
                <c:pt idx="19">
                  <c:v>1.8710647435298522</c:v>
                </c:pt>
                <c:pt idx="20">
                  <c:v>1.626044445477479</c:v>
                </c:pt>
                <c:pt idx="21">
                  <c:v>0.45057601261409674</c:v>
                </c:pt>
                <c:pt idx="22">
                  <c:v>-0.33103669979834355</c:v>
                </c:pt>
                <c:pt idx="23">
                  <c:v>-0.46123587881712041</c:v>
                </c:pt>
                <c:pt idx="24">
                  <c:v>0.27231003287236683</c:v>
                </c:pt>
                <c:pt idx="25">
                  <c:v>-5.9772318451370252E-2</c:v>
                </c:pt>
                <c:pt idx="26">
                  <c:v>1.1202150872473622</c:v>
                </c:pt>
                <c:pt idx="27">
                  <c:v>-0.14593601515408011</c:v>
                </c:pt>
                <c:pt idx="28">
                  <c:v>-1.3459249863085818</c:v>
                </c:pt>
                <c:pt idx="29">
                  <c:v>1.4163848448590015</c:v>
                </c:pt>
                <c:pt idx="30">
                  <c:v>9.6112543528840383E-2</c:v>
                </c:pt>
              </c:numCache>
            </c:numRef>
          </c:val>
          <c:extLst>
            <c:ext xmlns:c16="http://schemas.microsoft.com/office/drawing/2014/chart" uri="{C3380CC4-5D6E-409C-BE32-E72D297353CC}">
              <c16:uniqueId val="{00000002-2F88-4865-AF45-276E4C9A6828}"/>
            </c:ext>
          </c:extLst>
        </c:ser>
        <c:ser>
          <c:idx val="3"/>
          <c:order val="3"/>
          <c:tx>
            <c:strRef>
              <c:f>Eksports_pa_grupam!$B$215</c:f>
              <c:strCache>
                <c:ptCount val="1"/>
                <c:pt idx="0">
                  <c:v>Koks un koka izstrādājumi</c:v>
                </c:pt>
              </c:strCache>
            </c:strRef>
          </c:tx>
          <c:spPr>
            <a:solidFill>
              <a:schemeClr val="accent4"/>
            </a:solidFill>
            <a:ln>
              <a:noFill/>
            </a:ln>
            <a:effectLst/>
          </c:spPr>
          <c:invertIfNegative val="0"/>
          <c:cat>
            <c:multiLvlStrRef>
              <c:f>Eksports_pa_grupam!$DS$1:$EW$2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2018</c:v>
                  </c:pt>
                  <c:pt idx="12">
                    <c:v>2019</c:v>
                  </c:pt>
                  <c:pt idx="24">
                    <c:v>2020</c:v>
                  </c:pt>
                </c:lvl>
              </c:multiLvlStrCache>
            </c:multiLvlStrRef>
          </c:cat>
          <c:val>
            <c:numRef>
              <c:f>Eksports_pa_grupam!$DS$215:$EW$215</c:f>
              <c:numCache>
                <c:formatCode>0.00</c:formatCode>
                <c:ptCount val="31"/>
                <c:pt idx="0">
                  <c:v>1.8073345194821033</c:v>
                </c:pt>
                <c:pt idx="1">
                  <c:v>2.0683924304063912</c:v>
                </c:pt>
                <c:pt idx="2">
                  <c:v>0.94325075578712181</c:v>
                </c:pt>
                <c:pt idx="3">
                  <c:v>5.0800288998368837</c:v>
                </c:pt>
                <c:pt idx="4">
                  <c:v>3.283537885990587</c:v>
                </c:pt>
                <c:pt idx="5">
                  <c:v>3.5616254439137811</c:v>
                </c:pt>
                <c:pt idx="6">
                  <c:v>4.9682495367088082</c:v>
                </c:pt>
                <c:pt idx="7">
                  <c:v>5.2979576520846345</c:v>
                </c:pt>
                <c:pt idx="8">
                  <c:v>2.830283112451037</c:v>
                </c:pt>
                <c:pt idx="9">
                  <c:v>3.2276944628222268</c:v>
                </c:pt>
                <c:pt idx="10">
                  <c:v>2.4188548109491088</c:v>
                </c:pt>
                <c:pt idx="11">
                  <c:v>2.7823081831230914</c:v>
                </c:pt>
                <c:pt idx="12">
                  <c:v>5.0271316230052649</c:v>
                </c:pt>
                <c:pt idx="13">
                  <c:v>3.4165199302829024</c:v>
                </c:pt>
                <c:pt idx="14">
                  <c:v>2.0010958090045716</c:v>
                </c:pt>
                <c:pt idx="15">
                  <c:v>1.3903201759597947</c:v>
                </c:pt>
                <c:pt idx="16">
                  <c:v>-0.9152984667749744</c:v>
                </c:pt>
                <c:pt idx="17">
                  <c:v>-1.6029356309315939</c:v>
                </c:pt>
                <c:pt idx="18">
                  <c:v>-1.3737651057136078</c:v>
                </c:pt>
                <c:pt idx="19">
                  <c:v>-2.5515814687798923</c:v>
                </c:pt>
                <c:pt idx="20">
                  <c:v>-1.3402834354383601</c:v>
                </c:pt>
                <c:pt idx="21">
                  <c:v>-1.9806707686331737</c:v>
                </c:pt>
                <c:pt idx="22">
                  <c:v>-2.3598157865248131</c:v>
                </c:pt>
                <c:pt idx="23">
                  <c:v>-1.8117213969809134</c:v>
                </c:pt>
                <c:pt idx="24">
                  <c:v>-2.4846971992991014</c:v>
                </c:pt>
                <c:pt idx="25">
                  <c:v>-1.7151176490331987</c:v>
                </c:pt>
                <c:pt idx="26">
                  <c:v>-2.8827305264211658</c:v>
                </c:pt>
                <c:pt idx="27">
                  <c:v>-3.1825201272843726</c:v>
                </c:pt>
                <c:pt idx="28">
                  <c:v>-1.3517243496296487</c:v>
                </c:pt>
                <c:pt idx="29">
                  <c:v>-1.3110270716020658</c:v>
                </c:pt>
                <c:pt idx="30">
                  <c:v>0.7350962550771829</c:v>
                </c:pt>
              </c:numCache>
            </c:numRef>
          </c:val>
          <c:extLst>
            <c:ext xmlns:c16="http://schemas.microsoft.com/office/drawing/2014/chart" uri="{C3380CC4-5D6E-409C-BE32-E72D297353CC}">
              <c16:uniqueId val="{00000003-2F88-4865-AF45-276E4C9A6828}"/>
            </c:ext>
          </c:extLst>
        </c:ser>
        <c:ser>
          <c:idx val="4"/>
          <c:order val="4"/>
          <c:tx>
            <c:strRef>
              <c:f>Eksports_pa_grupam!$B$216</c:f>
              <c:strCache>
                <c:ptCount val="1"/>
                <c:pt idx="0">
                  <c:v>Metāli un to izstrādājumi</c:v>
                </c:pt>
              </c:strCache>
            </c:strRef>
          </c:tx>
          <c:spPr>
            <a:solidFill>
              <a:schemeClr val="accent5"/>
            </a:solidFill>
            <a:ln>
              <a:noFill/>
            </a:ln>
            <a:effectLst/>
          </c:spPr>
          <c:invertIfNegative val="0"/>
          <c:cat>
            <c:multiLvlStrRef>
              <c:f>Eksports_pa_grupam!$DS$1:$EW$2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2018</c:v>
                  </c:pt>
                  <c:pt idx="12">
                    <c:v>2019</c:v>
                  </c:pt>
                  <c:pt idx="24">
                    <c:v>2020</c:v>
                  </c:pt>
                </c:lvl>
              </c:multiLvlStrCache>
            </c:multiLvlStrRef>
          </c:cat>
          <c:val>
            <c:numRef>
              <c:f>Eksports_pa_grupam!$DS$216:$EW$216</c:f>
              <c:numCache>
                <c:formatCode>0.00</c:formatCode>
                <c:ptCount val="31"/>
                <c:pt idx="0">
                  <c:v>3.0073647870556077</c:v>
                </c:pt>
                <c:pt idx="1">
                  <c:v>2.4978414197479872</c:v>
                </c:pt>
                <c:pt idx="2">
                  <c:v>1.0931014833077466</c:v>
                </c:pt>
                <c:pt idx="3">
                  <c:v>0.10504029943184609</c:v>
                </c:pt>
                <c:pt idx="4">
                  <c:v>2.7488327022634897</c:v>
                </c:pt>
                <c:pt idx="5">
                  <c:v>0.8315504268260776</c:v>
                </c:pt>
                <c:pt idx="6">
                  <c:v>1.2920422208967695</c:v>
                </c:pt>
                <c:pt idx="7">
                  <c:v>1.1110491630465633</c:v>
                </c:pt>
                <c:pt idx="8">
                  <c:v>0.48595247527213548</c:v>
                </c:pt>
                <c:pt idx="9">
                  <c:v>0.98399385265337369</c:v>
                </c:pt>
                <c:pt idx="10">
                  <c:v>0.26442813451781155</c:v>
                </c:pt>
                <c:pt idx="11">
                  <c:v>0.81518292078521715</c:v>
                </c:pt>
                <c:pt idx="12">
                  <c:v>-0.97121255445926502</c:v>
                </c:pt>
                <c:pt idx="13">
                  <c:v>-0.54060147000837544</c:v>
                </c:pt>
                <c:pt idx="14">
                  <c:v>0.85515895075239468</c:v>
                </c:pt>
                <c:pt idx="15">
                  <c:v>0.81163377758228605</c:v>
                </c:pt>
                <c:pt idx="16">
                  <c:v>-0.5169980475209307</c:v>
                </c:pt>
                <c:pt idx="17">
                  <c:v>-1.9523894465660152</c:v>
                </c:pt>
                <c:pt idx="18">
                  <c:v>1.2776612666881195</c:v>
                </c:pt>
                <c:pt idx="19">
                  <c:v>-1.22636476316619</c:v>
                </c:pt>
                <c:pt idx="20">
                  <c:v>-9.7789614295569732E-2</c:v>
                </c:pt>
                <c:pt idx="21">
                  <c:v>-1.4494607840215448</c:v>
                </c:pt>
                <c:pt idx="22">
                  <c:v>-0.27635643863078335</c:v>
                </c:pt>
                <c:pt idx="23">
                  <c:v>-0.2865226904041151</c:v>
                </c:pt>
                <c:pt idx="24">
                  <c:v>0.14171257961022454</c:v>
                </c:pt>
                <c:pt idx="25">
                  <c:v>0.53174796867337049</c:v>
                </c:pt>
                <c:pt idx="26">
                  <c:v>-1.7652140685296892E-2</c:v>
                </c:pt>
                <c:pt idx="27">
                  <c:v>-0.92655557493983232</c:v>
                </c:pt>
                <c:pt idx="28">
                  <c:v>-1.979662588786157</c:v>
                </c:pt>
                <c:pt idx="29">
                  <c:v>0.3736929543822079</c:v>
                </c:pt>
                <c:pt idx="30">
                  <c:v>-1.1333328633639164</c:v>
                </c:pt>
              </c:numCache>
            </c:numRef>
          </c:val>
          <c:extLst>
            <c:ext xmlns:c16="http://schemas.microsoft.com/office/drawing/2014/chart" uri="{C3380CC4-5D6E-409C-BE32-E72D297353CC}">
              <c16:uniqueId val="{00000004-2F88-4865-AF45-276E4C9A6828}"/>
            </c:ext>
          </c:extLst>
        </c:ser>
        <c:ser>
          <c:idx val="5"/>
          <c:order val="5"/>
          <c:tx>
            <c:strRef>
              <c:f>Eksports_pa_grupam!$B$217</c:f>
              <c:strCache>
                <c:ptCount val="1"/>
                <c:pt idx="0">
                  <c:v>Mehānismi un ierīces, t.sk. elektroierīces</c:v>
                </c:pt>
              </c:strCache>
            </c:strRef>
          </c:tx>
          <c:spPr>
            <a:solidFill>
              <a:schemeClr val="accent6"/>
            </a:solidFill>
            <a:ln>
              <a:noFill/>
            </a:ln>
            <a:effectLst/>
          </c:spPr>
          <c:invertIfNegative val="0"/>
          <c:cat>
            <c:multiLvlStrRef>
              <c:f>Eksports_pa_grupam!$DS$1:$EW$2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2018</c:v>
                  </c:pt>
                  <c:pt idx="12">
                    <c:v>2019</c:v>
                  </c:pt>
                  <c:pt idx="24">
                    <c:v>2020</c:v>
                  </c:pt>
                </c:lvl>
              </c:multiLvlStrCache>
            </c:multiLvlStrRef>
          </c:cat>
          <c:val>
            <c:numRef>
              <c:f>Eksports_pa_grupam!$DS$217:$EW$217</c:f>
              <c:numCache>
                <c:formatCode>0.00</c:formatCode>
                <c:ptCount val="31"/>
                <c:pt idx="0">
                  <c:v>7.0416645674594953</c:v>
                </c:pt>
                <c:pt idx="1">
                  <c:v>1.5178267311646909</c:v>
                </c:pt>
                <c:pt idx="2">
                  <c:v>-0.47736769389706446</c:v>
                </c:pt>
                <c:pt idx="3">
                  <c:v>1.8500558741191089</c:v>
                </c:pt>
                <c:pt idx="4">
                  <c:v>5.1805995049308349</c:v>
                </c:pt>
                <c:pt idx="5">
                  <c:v>2.4373645851864501</c:v>
                </c:pt>
                <c:pt idx="6">
                  <c:v>3.6016598771346593</c:v>
                </c:pt>
                <c:pt idx="7">
                  <c:v>2.3101962467810129</c:v>
                </c:pt>
                <c:pt idx="8">
                  <c:v>-1.2129323864706227</c:v>
                </c:pt>
                <c:pt idx="9">
                  <c:v>3.3876740228771527</c:v>
                </c:pt>
                <c:pt idx="10">
                  <c:v>5.612212941462615</c:v>
                </c:pt>
                <c:pt idx="11">
                  <c:v>-0.78447532017100718</c:v>
                </c:pt>
                <c:pt idx="12">
                  <c:v>-3.4925841798282367</c:v>
                </c:pt>
                <c:pt idx="13">
                  <c:v>-2.2144280967627759</c:v>
                </c:pt>
                <c:pt idx="14">
                  <c:v>0.48974829879882553</c:v>
                </c:pt>
                <c:pt idx="15">
                  <c:v>0.97978140914096756</c:v>
                </c:pt>
                <c:pt idx="16">
                  <c:v>-3.4649495363872242</c:v>
                </c:pt>
                <c:pt idx="17">
                  <c:v>-3.3520673588562278</c:v>
                </c:pt>
                <c:pt idx="18">
                  <c:v>-0.52671173679499717</c:v>
                </c:pt>
                <c:pt idx="19">
                  <c:v>-3.3564686850022771</c:v>
                </c:pt>
                <c:pt idx="20">
                  <c:v>-1.6584316916752786</c:v>
                </c:pt>
                <c:pt idx="21">
                  <c:v>-0.91513723414121873</c:v>
                </c:pt>
                <c:pt idx="22">
                  <c:v>-2.9913294132759098</c:v>
                </c:pt>
                <c:pt idx="23">
                  <c:v>1.4131875225389459</c:v>
                </c:pt>
                <c:pt idx="24">
                  <c:v>3.5949811587437299</c:v>
                </c:pt>
                <c:pt idx="25">
                  <c:v>3.7274009379265469</c:v>
                </c:pt>
                <c:pt idx="26">
                  <c:v>9.5907874110449515E-2</c:v>
                </c:pt>
                <c:pt idx="27">
                  <c:v>-0.33371143117361418</c:v>
                </c:pt>
                <c:pt idx="28">
                  <c:v>-0.3648912343263061</c:v>
                </c:pt>
                <c:pt idx="29">
                  <c:v>2.704675394797678</c:v>
                </c:pt>
                <c:pt idx="30">
                  <c:v>2.6403813246401335</c:v>
                </c:pt>
              </c:numCache>
            </c:numRef>
          </c:val>
          <c:extLst>
            <c:ext xmlns:c16="http://schemas.microsoft.com/office/drawing/2014/chart" uri="{C3380CC4-5D6E-409C-BE32-E72D297353CC}">
              <c16:uniqueId val="{00000005-2F88-4865-AF45-276E4C9A6828}"/>
            </c:ext>
          </c:extLst>
        </c:ser>
        <c:ser>
          <c:idx val="6"/>
          <c:order val="6"/>
          <c:tx>
            <c:strRef>
              <c:f>Eksports_pa_grupam!$B$218</c:f>
              <c:strCache>
                <c:ptCount val="1"/>
                <c:pt idx="0">
                  <c:v>Satiksmes līdzekļi</c:v>
                </c:pt>
              </c:strCache>
            </c:strRef>
          </c:tx>
          <c:spPr>
            <a:solidFill>
              <a:schemeClr val="accent1">
                <a:lumMod val="60000"/>
              </a:schemeClr>
            </a:solidFill>
            <a:ln>
              <a:noFill/>
            </a:ln>
            <a:effectLst/>
          </c:spPr>
          <c:invertIfNegative val="0"/>
          <c:cat>
            <c:multiLvlStrRef>
              <c:f>Eksports_pa_grupam!$DS$1:$EW$2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2018</c:v>
                  </c:pt>
                  <c:pt idx="12">
                    <c:v>2019</c:v>
                  </c:pt>
                  <c:pt idx="24">
                    <c:v>2020</c:v>
                  </c:pt>
                </c:lvl>
              </c:multiLvlStrCache>
            </c:multiLvlStrRef>
          </c:cat>
          <c:val>
            <c:numRef>
              <c:f>Eksports_pa_grupam!$DS$218:$EW$218</c:f>
              <c:numCache>
                <c:formatCode>0.00</c:formatCode>
                <c:ptCount val="31"/>
                <c:pt idx="0">
                  <c:v>1.7051103198649498</c:v>
                </c:pt>
                <c:pt idx="1">
                  <c:v>1.6405165301976525</c:v>
                </c:pt>
                <c:pt idx="2">
                  <c:v>-1.7662839620491853</c:v>
                </c:pt>
                <c:pt idx="3">
                  <c:v>1.9641532490273976</c:v>
                </c:pt>
                <c:pt idx="4">
                  <c:v>-1.0502684215001681</c:v>
                </c:pt>
                <c:pt idx="5">
                  <c:v>1.0970657374684427</c:v>
                </c:pt>
                <c:pt idx="6">
                  <c:v>1.8169674716531317</c:v>
                </c:pt>
                <c:pt idx="7">
                  <c:v>1.8661852027664749</c:v>
                </c:pt>
                <c:pt idx="8">
                  <c:v>0.54203652379590628</c:v>
                </c:pt>
                <c:pt idx="9">
                  <c:v>2.2918235059689933</c:v>
                </c:pt>
                <c:pt idx="10">
                  <c:v>1.4974530183751231</c:v>
                </c:pt>
                <c:pt idx="11">
                  <c:v>0.76801291499358593</c:v>
                </c:pt>
                <c:pt idx="12">
                  <c:v>1.6957129011517553</c:v>
                </c:pt>
                <c:pt idx="13">
                  <c:v>-0.55985280457015196</c:v>
                </c:pt>
                <c:pt idx="14">
                  <c:v>0.94507632814108344</c:v>
                </c:pt>
                <c:pt idx="15">
                  <c:v>0.13541259637018233</c:v>
                </c:pt>
                <c:pt idx="16">
                  <c:v>3.8819584119808938E-2</c:v>
                </c:pt>
                <c:pt idx="17">
                  <c:v>4.8029587499493591E-2</c:v>
                </c:pt>
                <c:pt idx="18">
                  <c:v>0.48204459934259142</c:v>
                </c:pt>
                <c:pt idx="19">
                  <c:v>-1.2616136836766427</c:v>
                </c:pt>
                <c:pt idx="20">
                  <c:v>1.0414018778156278</c:v>
                </c:pt>
                <c:pt idx="21">
                  <c:v>-1.4254951292480103</c:v>
                </c:pt>
                <c:pt idx="22">
                  <c:v>-1.8063806912629945</c:v>
                </c:pt>
                <c:pt idx="23">
                  <c:v>-0.97869212530032768</c:v>
                </c:pt>
                <c:pt idx="24">
                  <c:v>-1.8090361461066169</c:v>
                </c:pt>
                <c:pt idx="25">
                  <c:v>0.38364799601019517</c:v>
                </c:pt>
                <c:pt idx="26">
                  <c:v>-1.6225712759349737</c:v>
                </c:pt>
                <c:pt idx="27">
                  <c:v>-3.7123598889966245</c:v>
                </c:pt>
                <c:pt idx="28">
                  <c:v>-3.4857226291123729</c:v>
                </c:pt>
                <c:pt idx="29">
                  <c:v>-1.4082516065864328</c:v>
                </c:pt>
                <c:pt idx="30">
                  <c:v>-1.1992448873202037</c:v>
                </c:pt>
              </c:numCache>
            </c:numRef>
          </c:val>
          <c:extLst>
            <c:ext xmlns:c16="http://schemas.microsoft.com/office/drawing/2014/chart" uri="{C3380CC4-5D6E-409C-BE32-E72D297353CC}">
              <c16:uniqueId val="{00000006-2F88-4865-AF45-276E4C9A6828}"/>
            </c:ext>
          </c:extLst>
        </c:ser>
        <c:ser>
          <c:idx val="7"/>
          <c:order val="7"/>
          <c:tx>
            <c:strRef>
              <c:f>Eksports_pa_grupam!$B$219</c:f>
              <c:strCache>
                <c:ptCount val="1"/>
                <c:pt idx="0">
                  <c:v>Pārējās preces</c:v>
                </c:pt>
              </c:strCache>
            </c:strRef>
          </c:tx>
          <c:spPr>
            <a:solidFill>
              <a:schemeClr val="accent2">
                <a:lumMod val="60000"/>
              </a:schemeClr>
            </a:solidFill>
            <a:ln>
              <a:noFill/>
            </a:ln>
            <a:effectLst/>
          </c:spPr>
          <c:invertIfNegative val="0"/>
          <c:cat>
            <c:multiLvlStrRef>
              <c:f>Eksports_pa_grupam!$DS$1:$EW$2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2018</c:v>
                  </c:pt>
                  <c:pt idx="12">
                    <c:v>2019</c:v>
                  </c:pt>
                  <c:pt idx="24">
                    <c:v>2020</c:v>
                  </c:pt>
                </c:lvl>
              </c:multiLvlStrCache>
            </c:multiLvlStrRef>
          </c:cat>
          <c:val>
            <c:numRef>
              <c:f>Eksports_pa_grupam!$DS$219:$EW$219</c:f>
              <c:numCache>
                <c:formatCode>0.00</c:formatCode>
                <c:ptCount val="31"/>
                <c:pt idx="0">
                  <c:v>1.1143502845948545</c:v>
                </c:pt>
                <c:pt idx="1">
                  <c:v>1.0280479714347019</c:v>
                </c:pt>
                <c:pt idx="2">
                  <c:v>8.2479779886028403E-3</c:v>
                </c:pt>
                <c:pt idx="3">
                  <c:v>3.9800967324880614</c:v>
                </c:pt>
                <c:pt idx="4">
                  <c:v>0.91367438413576474</c:v>
                </c:pt>
                <c:pt idx="5">
                  <c:v>0.57042157314502129</c:v>
                </c:pt>
                <c:pt idx="6">
                  <c:v>-0.81440965594978387</c:v>
                </c:pt>
                <c:pt idx="7">
                  <c:v>-0.72237069111288965</c:v>
                </c:pt>
                <c:pt idx="8">
                  <c:v>0.13954309608532225</c:v>
                </c:pt>
                <c:pt idx="9">
                  <c:v>1.3965857488848574</c:v>
                </c:pt>
                <c:pt idx="10">
                  <c:v>1.5736220964185592</c:v>
                </c:pt>
                <c:pt idx="11">
                  <c:v>2.7975818009920037E-2</c:v>
                </c:pt>
                <c:pt idx="12">
                  <c:v>1.1780984432109878</c:v>
                </c:pt>
                <c:pt idx="13">
                  <c:v>0.87238297886250948</c:v>
                </c:pt>
                <c:pt idx="14">
                  <c:v>1.6527450618089534</c:v>
                </c:pt>
                <c:pt idx="15">
                  <c:v>0.16693754314039499</c:v>
                </c:pt>
                <c:pt idx="16">
                  <c:v>1.3731768584858342</c:v>
                </c:pt>
                <c:pt idx="17">
                  <c:v>9.514069630524695E-2</c:v>
                </c:pt>
                <c:pt idx="18">
                  <c:v>3.1038308616883596</c:v>
                </c:pt>
                <c:pt idx="19">
                  <c:v>1.5825705233547511</c:v>
                </c:pt>
                <c:pt idx="20">
                  <c:v>2.2271525869044884</c:v>
                </c:pt>
                <c:pt idx="21">
                  <c:v>1.124506036233984</c:v>
                </c:pt>
                <c:pt idx="22">
                  <c:v>-0.24824535921647037</c:v>
                </c:pt>
                <c:pt idx="23">
                  <c:v>0.93746535112333285</c:v>
                </c:pt>
                <c:pt idx="24">
                  <c:v>1.9234529738372328</c:v>
                </c:pt>
                <c:pt idx="25">
                  <c:v>2.7238326263973422</c:v>
                </c:pt>
                <c:pt idx="26">
                  <c:v>0.20747739449513314</c:v>
                </c:pt>
                <c:pt idx="27">
                  <c:v>-1.9922404848021487</c:v>
                </c:pt>
                <c:pt idx="28">
                  <c:v>-3.0167427096514752</c:v>
                </c:pt>
                <c:pt idx="29">
                  <c:v>-0.53816685309742951</c:v>
                </c:pt>
                <c:pt idx="30">
                  <c:v>0.21503569358383273</c:v>
                </c:pt>
              </c:numCache>
            </c:numRef>
          </c:val>
          <c:extLst>
            <c:ext xmlns:c16="http://schemas.microsoft.com/office/drawing/2014/chart" uri="{C3380CC4-5D6E-409C-BE32-E72D297353CC}">
              <c16:uniqueId val="{00000007-2F88-4865-AF45-276E4C9A6828}"/>
            </c:ext>
          </c:extLst>
        </c:ser>
        <c:dLbls>
          <c:showLegendKey val="0"/>
          <c:showVal val="0"/>
          <c:showCatName val="0"/>
          <c:showSerName val="0"/>
          <c:showPercent val="0"/>
          <c:showBubbleSize val="0"/>
        </c:dLbls>
        <c:gapWidth val="50"/>
        <c:overlap val="100"/>
        <c:axId val="1889913279"/>
        <c:axId val="96310655"/>
      </c:barChart>
      <c:lineChart>
        <c:grouping val="standard"/>
        <c:varyColors val="0"/>
        <c:ser>
          <c:idx val="8"/>
          <c:order val="8"/>
          <c:tx>
            <c:strRef>
              <c:f>Eksports_pa_grupam!$B$220</c:f>
              <c:strCache>
                <c:ptCount val="1"/>
                <c:pt idx="0">
                  <c:v>Preču eksporta izmaiņas, %</c:v>
                </c:pt>
              </c:strCache>
            </c:strRef>
          </c:tx>
          <c:spPr>
            <a:ln w="22225" cap="rnd">
              <a:solidFill>
                <a:schemeClr val="tx1">
                  <a:lumMod val="85000"/>
                  <a:lumOff val="15000"/>
                </a:schemeClr>
              </a:solidFill>
              <a:round/>
            </a:ln>
            <a:effectLst/>
          </c:spPr>
          <c:marker>
            <c:symbol val="none"/>
          </c:marker>
          <c:cat>
            <c:multiLvlStrRef>
              <c:f>Eksports_pa_grupam!$DS$1:$EP$2</c:f>
              <c:multiLvlStrCache>
                <c:ptCount val="2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lvl>
                <c:lvl>
                  <c:pt idx="0">
                    <c:v>2018</c:v>
                  </c:pt>
                  <c:pt idx="12">
                    <c:v>2019</c:v>
                  </c:pt>
                </c:lvl>
              </c:multiLvlStrCache>
            </c:multiLvlStrRef>
          </c:cat>
          <c:val>
            <c:numRef>
              <c:f>Eksports_pa_grupam!$DS$220:$EW$220</c:f>
              <c:numCache>
                <c:formatCode>0.0</c:formatCode>
                <c:ptCount val="31"/>
                <c:pt idx="0">
                  <c:v>19.865130112284184</c:v>
                </c:pt>
                <c:pt idx="1">
                  <c:v>15.429190936508249</c:v>
                </c:pt>
                <c:pt idx="2">
                  <c:v>-4.3318343157921291</c:v>
                </c:pt>
                <c:pt idx="3">
                  <c:v>18.63247564249874</c:v>
                </c:pt>
                <c:pt idx="4">
                  <c:v>12.407756803516028</c:v>
                </c:pt>
                <c:pt idx="5">
                  <c:v>13.495321021031032</c:v>
                </c:pt>
                <c:pt idx="6">
                  <c:v>13.405048916385901</c:v>
                </c:pt>
                <c:pt idx="7">
                  <c:v>10.834948819373388</c:v>
                </c:pt>
                <c:pt idx="8">
                  <c:v>0.3885293256040806</c:v>
                </c:pt>
                <c:pt idx="9">
                  <c:v>11.217182715554676</c:v>
                </c:pt>
                <c:pt idx="10">
                  <c:v>8.2899457723907695</c:v>
                </c:pt>
                <c:pt idx="11">
                  <c:v>1.8000904676957934</c:v>
                </c:pt>
                <c:pt idx="12">
                  <c:v>3.7681072859343376</c:v>
                </c:pt>
                <c:pt idx="13">
                  <c:v>0.65772372287677194</c:v>
                </c:pt>
                <c:pt idx="14">
                  <c:v>11.025712994549139</c:v>
                </c:pt>
                <c:pt idx="15">
                  <c:v>4.9457476977086223</c:v>
                </c:pt>
                <c:pt idx="16">
                  <c:v>-0.70770409665313339</c:v>
                </c:pt>
                <c:pt idx="17">
                  <c:v>-7.3030842875163176</c:v>
                </c:pt>
                <c:pt idx="18">
                  <c:v>4.5041812010184668</c:v>
                </c:pt>
                <c:pt idx="19">
                  <c:v>-0.38536769975150054</c:v>
                </c:pt>
                <c:pt idx="20">
                  <c:v>6.3860765488695712</c:v>
                </c:pt>
                <c:pt idx="21">
                  <c:v>3.4658878140742866E-2</c:v>
                </c:pt>
                <c:pt idx="22">
                  <c:v>-5.8426576554354277</c:v>
                </c:pt>
                <c:pt idx="23">
                  <c:v>3.6136086880419542</c:v>
                </c:pt>
                <c:pt idx="24">
                  <c:v>4.8945601737348721</c:v>
                </c:pt>
                <c:pt idx="25">
                  <c:v>7.3195588673822414</c:v>
                </c:pt>
                <c:pt idx="26">
                  <c:v>-0.6606358694890756</c:v>
                </c:pt>
                <c:pt idx="27">
                  <c:v>-13.876969503158346</c:v>
                </c:pt>
                <c:pt idx="28">
                  <c:v>-16.782416651480002</c:v>
                </c:pt>
                <c:pt idx="29">
                  <c:v>-1.3680658686090352</c:v>
                </c:pt>
                <c:pt idx="30">
                  <c:v>-0.33207554801104283</c:v>
                </c:pt>
              </c:numCache>
            </c:numRef>
          </c:val>
          <c:smooth val="0"/>
          <c:extLst>
            <c:ext xmlns:c16="http://schemas.microsoft.com/office/drawing/2014/chart" uri="{C3380CC4-5D6E-409C-BE32-E72D297353CC}">
              <c16:uniqueId val="{00000008-2F88-4865-AF45-276E4C9A6828}"/>
            </c:ext>
          </c:extLst>
        </c:ser>
        <c:dLbls>
          <c:showLegendKey val="0"/>
          <c:showVal val="0"/>
          <c:showCatName val="0"/>
          <c:showSerName val="0"/>
          <c:showPercent val="0"/>
          <c:showBubbleSize val="0"/>
        </c:dLbls>
        <c:marker val="1"/>
        <c:smooth val="0"/>
        <c:axId val="341418911"/>
        <c:axId val="341418079"/>
      </c:lineChart>
      <c:catAx>
        <c:axId val="188991327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lv-LV"/>
          </a:p>
        </c:txPr>
        <c:crossAx val="96310655"/>
        <c:crosses val="autoZero"/>
        <c:auto val="1"/>
        <c:lblAlgn val="ctr"/>
        <c:lblOffset val="100"/>
        <c:noMultiLvlLbl val="0"/>
      </c:catAx>
      <c:valAx>
        <c:axId val="96310655"/>
        <c:scaling>
          <c:orientation val="minMax"/>
          <c:max val="21"/>
          <c:min val="-18"/>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89913279"/>
        <c:crosses val="autoZero"/>
        <c:crossBetween val="between"/>
        <c:majorUnit val="3"/>
      </c:valAx>
      <c:valAx>
        <c:axId val="341418079"/>
        <c:scaling>
          <c:orientation val="minMax"/>
          <c:max val="21"/>
          <c:min val="-18"/>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1418911"/>
        <c:crosses val="max"/>
        <c:crossBetween val="between"/>
        <c:majorUnit val="3"/>
      </c:valAx>
      <c:catAx>
        <c:axId val="341418911"/>
        <c:scaling>
          <c:orientation val="minMax"/>
        </c:scaling>
        <c:delete val="1"/>
        <c:axPos val="b"/>
        <c:numFmt formatCode="General" sourceLinked="1"/>
        <c:majorTickMark val="out"/>
        <c:minorTickMark val="none"/>
        <c:tickLblPos val="nextTo"/>
        <c:crossAx val="341418079"/>
        <c:crosses val="autoZero"/>
        <c:auto val="1"/>
        <c:lblAlgn val="ctr"/>
        <c:lblOffset val="100"/>
        <c:noMultiLvlLbl val="0"/>
      </c:catAx>
      <c:spPr>
        <a:noFill/>
        <a:ln>
          <a:noFill/>
        </a:ln>
        <a:effectLst/>
      </c:spPr>
    </c:plotArea>
    <c:legend>
      <c:legendPos val="b"/>
      <c:layout>
        <c:manualLayout>
          <c:xMode val="edge"/>
          <c:yMode val="edge"/>
          <c:x val="9.8325879996707735E-2"/>
          <c:y val="0.73955870900752796"/>
          <c:w val="0.85677448855478444"/>
          <c:h val="0.24285887341005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Pakalp_eksports_Q!$AN$35</c:f>
              <c:strCache>
                <c:ptCount val="1"/>
                <c:pt idx="0">
                  <c:v>Transporta pakalpojumi</c:v>
                </c:pt>
              </c:strCache>
            </c:strRef>
          </c:tx>
          <c:spPr>
            <a:solidFill>
              <a:schemeClr val="accent1"/>
            </a:solidFill>
            <a:ln>
              <a:noFill/>
            </a:ln>
            <a:effectLst/>
          </c:spPr>
          <c:invertIfNegative val="0"/>
          <c:cat>
            <c:multiLvlStrRef>
              <c:f>Pakalp_eksports_Q!$AW$5:$BR$6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Pakalp_eksports_Q!$AW$35:$BR$35</c:f>
              <c:numCache>
                <c:formatCode>0.0</c:formatCode>
                <c:ptCount val="22"/>
                <c:pt idx="0">
                  <c:v>-0.94736842105263164</c:v>
                </c:pt>
                <c:pt idx="1">
                  <c:v>2.6574803149606301</c:v>
                </c:pt>
                <c:pt idx="2">
                  <c:v>4.0816326530612246</c:v>
                </c:pt>
                <c:pt idx="3">
                  <c:v>0.18885741265344663</c:v>
                </c:pt>
                <c:pt idx="4">
                  <c:v>0.80321285140562249</c:v>
                </c:pt>
                <c:pt idx="5">
                  <c:v>0.55865921787709505</c:v>
                </c:pt>
                <c:pt idx="6">
                  <c:v>-3.0954428202923472</c:v>
                </c:pt>
                <c:pt idx="7">
                  <c:v>8.8261253309796991E-2</c:v>
                </c:pt>
                <c:pt idx="8">
                  <c:v>3.832116788321168</c:v>
                </c:pt>
                <c:pt idx="9">
                  <c:v>1.8276762402088771</c:v>
                </c:pt>
                <c:pt idx="10">
                  <c:v>4.4763513513513509</c:v>
                </c:pt>
                <c:pt idx="11">
                  <c:v>4.1072925398155906</c:v>
                </c:pt>
                <c:pt idx="12">
                  <c:v>-2.5706940874035991</c:v>
                </c:pt>
                <c:pt idx="13">
                  <c:v>1.3125512715340442</c:v>
                </c:pt>
                <c:pt idx="14">
                  <c:v>4.3879907621247112</c:v>
                </c:pt>
                <c:pt idx="15">
                  <c:v>0.45941807044410415</c:v>
                </c:pt>
                <c:pt idx="16">
                  <c:v>-0.16708437761069339</c:v>
                </c:pt>
                <c:pt idx="17">
                  <c:v>1.1843079200592155</c:v>
                </c:pt>
                <c:pt idx="18">
                  <c:v>7.0521861777150918E-2</c:v>
                </c:pt>
                <c:pt idx="19">
                  <c:v>-0.36549707602339182</c:v>
                </c:pt>
                <c:pt idx="20">
                  <c:v>-6.7891373801916926</c:v>
                </c:pt>
                <c:pt idx="21">
                  <c:v>-18.330955777460769</c:v>
                </c:pt>
              </c:numCache>
            </c:numRef>
          </c:val>
          <c:extLst>
            <c:ext xmlns:c16="http://schemas.microsoft.com/office/drawing/2014/chart" uri="{C3380CC4-5D6E-409C-BE32-E72D297353CC}">
              <c16:uniqueId val="{00000000-A808-493B-BA3E-B8D6768E06AE}"/>
            </c:ext>
          </c:extLst>
        </c:ser>
        <c:ser>
          <c:idx val="1"/>
          <c:order val="1"/>
          <c:tx>
            <c:strRef>
              <c:f>Pakalp_eksports_Q!$AN$36</c:f>
              <c:strCache>
                <c:ptCount val="1"/>
                <c:pt idx="0">
                  <c:v>Braucieni</c:v>
                </c:pt>
              </c:strCache>
            </c:strRef>
          </c:tx>
          <c:spPr>
            <a:solidFill>
              <a:schemeClr val="accent2"/>
            </a:solidFill>
            <a:ln>
              <a:noFill/>
            </a:ln>
            <a:effectLst/>
          </c:spPr>
          <c:invertIfNegative val="0"/>
          <c:cat>
            <c:multiLvlStrRef>
              <c:f>Pakalp_eksports_Q!$AW$5:$BR$6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Pakalp_eksports_Q!$AW$36:$BR$36</c:f>
              <c:numCache>
                <c:formatCode>0.0</c:formatCode>
                <c:ptCount val="22"/>
                <c:pt idx="0">
                  <c:v>1.6842105263157896</c:v>
                </c:pt>
                <c:pt idx="1">
                  <c:v>2.2637795275590551</c:v>
                </c:pt>
                <c:pt idx="2">
                  <c:v>2.5974025974025974</c:v>
                </c:pt>
                <c:pt idx="3">
                  <c:v>1.9830028328611902</c:v>
                </c:pt>
                <c:pt idx="4">
                  <c:v>2.7108433734939759</c:v>
                </c:pt>
                <c:pt idx="5">
                  <c:v>0.46554934823091249</c:v>
                </c:pt>
                <c:pt idx="6">
                  <c:v>-1.2897678417884779</c:v>
                </c:pt>
                <c:pt idx="7">
                  <c:v>-1.0591350397175641</c:v>
                </c:pt>
                <c:pt idx="8">
                  <c:v>-0.91240875912408748</c:v>
                </c:pt>
                <c:pt idx="9">
                  <c:v>1.0443864229765012</c:v>
                </c:pt>
                <c:pt idx="10">
                  <c:v>1.4358108108108107</c:v>
                </c:pt>
                <c:pt idx="11">
                  <c:v>0.5867560771165129</c:v>
                </c:pt>
                <c:pt idx="12">
                  <c:v>1.4567266495287059</c:v>
                </c:pt>
                <c:pt idx="13">
                  <c:v>1.3125512715340442</c:v>
                </c:pt>
                <c:pt idx="14">
                  <c:v>1.0007698229407236</c:v>
                </c:pt>
                <c:pt idx="15">
                  <c:v>0.99540581929555882</c:v>
                </c:pt>
                <c:pt idx="16">
                  <c:v>0.16708437761069336</c:v>
                </c:pt>
                <c:pt idx="17">
                  <c:v>0.2220577350111029</c:v>
                </c:pt>
                <c:pt idx="18">
                  <c:v>0</c:v>
                </c:pt>
                <c:pt idx="19">
                  <c:v>0.43859649122807015</c:v>
                </c:pt>
                <c:pt idx="20">
                  <c:v>-0.39936102236421722</c:v>
                </c:pt>
                <c:pt idx="21">
                  <c:v>-11.840228245363765</c:v>
                </c:pt>
              </c:numCache>
            </c:numRef>
          </c:val>
          <c:extLst>
            <c:ext xmlns:c16="http://schemas.microsoft.com/office/drawing/2014/chart" uri="{C3380CC4-5D6E-409C-BE32-E72D297353CC}">
              <c16:uniqueId val="{00000001-A808-493B-BA3E-B8D6768E06AE}"/>
            </c:ext>
          </c:extLst>
        </c:ser>
        <c:ser>
          <c:idx val="2"/>
          <c:order val="2"/>
          <c:tx>
            <c:strRef>
              <c:f>Pakalp_eksports_Q!$AN$37</c:f>
              <c:strCache>
                <c:ptCount val="1"/>
                <c:pt idx="0">
                  <c:v>Telesakaru un IT</c:v>
                </c:pt>
              </c:strCache>
            </c:strRef>
          </c:tx>
          <c:spPr>
            <a:solidFill>
              <a:schemeClr val="accent3"/>
            </a:solidFill>
            <a:ln>
              <a:noFill/>
            </a:ln>
            <a:effectLst/>
          </c:spPr>
          <c:invertIfNegative val="0"/>
          <c:cat>
            <c:multiLvlStrRef>
              <c:f>Pakalp_eksports_Q!$AW$5:$BR$6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Pakalp_eksports_Q!$AW$37:$BR$37</c:f>
              <c:numCache>
                <c:formatCode>0.0</c:formatCode>
                <c:ptCount val="22"/>
                <c:pt idx="0">
                  <c:v>1.368421052631579</c:v>
                </c:pt>
                <c:pt idx="1">
                  <c:v>2.2637795275590546</c:v>
                </c:pt>
                <c:pt idx="2">
                  <c:v>1.2059369202226347</c:v>
                </c:pt>
                <c:pt idx="3">
                  <c:v>1.7941454202077431</c:v>
                </c:pt>
                <c:pt idx="4">
                  <c:v>3.3132530120481922</c:v>
                </c:pt>
                <c:pt idx="5">
                  <c:v>3.7243947858472994</c:v>
                </c:pt>
                <c:pt idx="6">
                  <c:v>4.3852106620808247</c:v>
                </c:pt>
                <c:pt idx="7">
                  <c:v>4.148278905560459</c:v>
                </c:pt>
                <c:pt idx="8">
                  <c:v>2.0985401459854014</c:v>
                </c:pt>
                <c:pt idx="9">
                  <c:v>1.2184508268059182</c:v>
                </c:pt>
                <c:pt idx="10">
                  <c:v>1.7736486486486489</c:v>
                </c:pt>
                <c:pt idx="11">
                  <c:v>2.8499580888516349</c:v>
                </c:pt>
                <c:pt idx="12">
                  <c:v>2.1422450728363325</c:v>
                </c:pt>
                <c:pt idx="13">
                  <c:v>3.4454470877768664</c:v>
                </c:pt>
                <c:pt idx="14">
                  <c:v>3.464203233256351</c:v>
                </c:pt>
                <c:pt idx="15">
                  <c:v>3.2924961715160794</c:v>
                </c:pt>
                <c:pt idx="16">
                  <c:v>3.5087719298245612</c:v>
                </c:pt>
                <c:pt idx="17">
                  <c:v>1.776461880088823</c:v>
                </c:pt>
                <c:pt idx="18">
                  <c:v>0.42313117066290545</c:v>
                </c:pt>
                <c:pt idx="19">
                  <c:v>-0.36549707602339188</c:v>
                </c:pt>
                <c:pt idx="20">
                  <c:v>-7.9872204472843447E-2</c:v>
                </c:pt>
                <c:pt idx="21">
                  <c:v>-0.35663338088445079</c:v>
                </c:pt>
              </c:numCache>
            </c:numRef>
          </c:val>
          <c:extLst>
            <c:ext xmlns:c16="http://schemas.microsoft.com/office/drawing/2014/chart" uri="{C3380CC4-5D6E-409C-BE32-E72D297353CC}">
              <c16:uniqueId val="{00000002-A808-493B-BA3E-B8D6768E06AE}"/>
            </c:ext>
          </c:extLst>
        </c:ser>
        <c:ser>
          <c:idx val="3"/>
          <c:order val="3"/>
          <c:tx>
            <c:strRef>
              <c:f>Pakalp_eksports_Q!$AN$38</c:f>
              <c:strCache>
                <c:ptCount val="1"/>
                <c:pt idx="0">
                  <c:v>Finanšu pakalpojumi</c:v>
                </c:pt>
              </c:strCache>
            </c:strRef>
          </c:tx>
          <c:spPr>
            <a:solidFill>
              <a:schemeClr val="accent4"/>
            </a:solidFill>
            <a:ln>
              <a:noFill/>
            </a:ln>
            <a:effectLst/>
          </c:spPr>
          <c:invertIfNegative val="0"/>
          <c:cat>
            <c:multiLvlStrRef>
              <c:f>Pakalp_eksports_Q!$AW$5:$BR$6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Pakalp_eksports_Q!$AW$38:$BR$38</c:f>
              <c:numCache>
                <c:formatCode>0.0</c:formatCode>
                <c:ptCount val="22"/>
                <c:pt idx="0">
                  <c:v>2.7368421052631575</c:v>
                </c:pt>
                <c:pt idx="1">
                  <c:v>0.6889763779527559</c:v>
                </c:pt>
                <c:pt idx="2">
                  <c:v>1.0204081632653061</c:v>
                </c:pt>
                <c:pt idx="3">
                  <c:v>0.28328611898016998</c:v>
                </c:pt>
                <c:pt idx="4">
                  <c:v>-0.60240963855421692</c:v>
                </c:pt>
                <c:pt idx="5">
                  <c:v>-0.37243947858472998</c:v>
                </c:pt>
                <c:pt idx="6">
                  <c:v>-1.2897678417884779</c:v>
                </c:pt>
                <c:pt idx="7">
                  <c:v>0.79435127978817299</c:v>
                </c:pt>
                <c:pt idx="8">
                  <c:v>-1.2773722627737225</c:v>
                </c:pt>
                <c:pt idx="9">
                  <c:v>-1.5665796344647522</c:v>
                </c:pt>
                <c:pt idx="10">
                  <c:v>-0.84459459459459452</c:v>
                </c:pt>
                <c:pt idx="11">
                  <c:v>-2.933780385582565</c:v>
                </c:pt>
                <c:pt idx="12">
                  <c:v>-1.0282776349614395</c:v>
                </c:pt>
                <c:pt idx="13">
                  <c:v>0.57424118129614432</c:v>
                </c:pt>
                <c:pt idx="14">
                  <c:v>-1.770592763664357</c:v>
                </c:pt>
                <c:pt idx="15">
                  <c:v>-2.4502297090352223</c:v>
                </c:pt>
                <c:pt idx="16">
                  <c:v>-2.9239766081871346</c:v>
                </c:pt>
                <c:pt idx="17">
                  <c:v>-3.6269430051813467</c:v>
                </c:pt>
                <c:pt idx="18">
                  <c:v>-1.1988716502115657</c:v>
                </c:pt>
                <c:pt idx="19">
                  <c:v>-1.5350877192982455</c:v>
                </c:pt>
                <c:pt idx="20">
                  <c:v>-1.2779552715654954</c:v>
                </c:pt>
                <c:pt idx="21">
                  <c:v>-1.2838801711840231</c:v>
                </c:pt>
              </c:numCache>
            </c:numRef>
          </c:val>
          <c:extLst>
            <c:ext xmlns:c16="http://schemas.microsoft.com/office/drawing/2014/chart" uri="{C3380CC4-5D6E-409C-BE32-E72D297353CC}">
              <c16:uniqueId val="{00000003-A808-493B-BA3E-B8D6768E06AE}"/>
            </c:ext>
          </c:extLst>
        </c:ser>
        <c:ser>
          <c:idx val="4"/>
          <c:order val="4"/>
          <c:tx>
            <c:strRef>
              <c:f>Pakalp_eksports_Q!$AN$39</c:f>
              <c:strCache>
                <c:ptCount val="1"/>
                <c:pt idx="0">
                  <c:v>Būvniecība</c:v>
                </c:pt>
              </c:strCache>
            </c:strRef>
          </c:tx>
          <c:spPr>
            <a:solidFill>
              <a:schemeClr val="accent5"/>
            </a:solidFill>
            <a:ln>
              <a:noFill/>
            </a:ln>
            <a:effectLst/>
          </c:spPr>
          <c:invertIfNegative val="0"/>
          <c:cat>
            <c:multiLvlStrRef>
              <c:f>Pakalp_eksports_Q!$AW$5:$BR$6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Pakalp_eksports_Q!$AW$39:$BR$39</c:f>
              <c:numCache>
                <c:formatCode>0.0</c:formatCode>
                <c:ptCount val="22"/>
                <c:pt idx="0">
                  <c:v>0</c:v>
                </c:pt>
                <c:pt idx="1">
                  <c:v>-1.2795275590551181</c:v>
                </c:pt>
                <c:pt idx="2">
                  <c:v>-2.1335807050092761</c:v>
                </c:pt>
                <c:pt idx="3">
                  <c:v>-9.4428706326723316E-2</c:v>
                </c:pt>
                <c:pt idx="4">
                  <c:v>0.90361445783132521</c:v>
                </c:pt>
                <c:pt idx="5">
                  <c:v>0.83798882681564235</c:v>
                </c:pt>
                <c:pt idx="6">
                  <c:v>2.837489251934652</c:v>
                </c:pt>
                <c:pt idx="7">
                  <c:v>1.588702559576346</c:v>
                </c:pt>
                <c:pt idx="8">
                  <c:v>1.1861313868613141</c:v>
                </c:pt>
                <c:pt idx="9">
                  <c:v>1.566579634464752</c:v>
                </c:pt>
                <c:pt idx="10">
                  <c:v>1.0135135135135136</c:v>
                </c:pt>
                <c:pt idx="11">
                  <c:v>2.3470243084660516</c:v>
                </c:pt>
                <c:pt idx="12">
                  <c:v>0.25706940874035988</c:v>
                </c:pt>
                <c:pt idx="13">
                  <c:v>1.2305168170631666</c:v>
                </c:pt>
                <c:pt idx="14">
                  <c:v>-0.53887605850654352</c:v>
                </c:pt>
                <c:pt idx="15">
                  <c:v>-0.6891271056661562</c:v>
                </c:pt>
                <c:pt idx="16">
                  <c:v>0.58479532163742687</c:v>
                </c:pt>
                <c:pt idx="17">
                  <c:v>-7.4019245003700967E-2</c:v>
                </c:pt>
                <c:pt idx="18">
                  <c:v>1.1283497884344147</c:v>
                </c:pt>
                <c:pt idx="19">
                  <c:v>2.5584795321637426</c:v>
                </c:pt>
                <c:pt idx="20">
                  <c:v>1.7571884984025559</c:v>
                </c:pt>
                <c:pt idx="21">
                  <c:v>1.8544935805991443</c:v>
                </c:pt>
              </c:numCache>
            </c:numRef>
          </c:val>
          <c:extLst>
            <c:ext xmlns:c16="http://schemas.microsoft.com/office/drawing/2014/chart" uri="{C3380CC4-5D6E-409C-BE32-E72D297353CC}">
              <c16:uniqueId val="{00000004-A808-493B-BA3E-B8D6768E06AE}"/>
            </c:ext>
          </c:extLst>
        </c:ser>
        <c:ser>
          <c:idx val="5"/>
          <c:order val="5"/>
          <c:tx>
            <c:strRef>
              <c:f>Pakalp_eksports_Q!$AN$40</c:f>
              <c:strCache>
                <c:ptCount val="1"/>
                <c:pt idx="0">
                  <c:v>Citi pakalpojumi</c:v>
                </c:pt>
              </c:strCache>
            </c:strRef>
          </c:tx>
          <c:spPr>
            <a:solidFill>
              <a:schemeClr val="accent6"/>
            </a:solidFill>
            <a:ln>
              <a:noFill/>
            </a:ln>
            <a:effectLst/>
          </c:spPr>
          <c:invertIfNegative val="0"/>
          <c:cat>
            <c:multiLvlStrRef>
              <c:f>Pakalp_eksports_Q!$AW$5:$BR$6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Pakalp_eksports_Q!$AW$40:$BR$40</c:f>
              <c:numCache>
                <c:formatCode>0.0</c:formatCode>
                <c:ptCount val="22"/>
                <c:pt idx="0">
                  <c:v>0</c:v>
                </c:pt>
                <c:pt idx="1">
                  <c:v>-0.88582677165354329</c:v>
                </c:pt>
                <c:pt idx="2">
                  <c:v>1.1131725417439702</c:v>
                </c:pt>
                <c:pt idx="3">
                  <c:v>2.8328611898016995</c:v>
                </c:pt>
                <c:pt idx="4">
                  <c:v>2.9116465863453813</c:v>
                </c:pt>
                <c:pt idx="5">
                  <c:v>1.7690875232774672</c:v>
                </c:pt>
                <c:pt idx="6">
                  <c:v>0.25795356835769556</c:v>
                </c:pt>
                <c:pt idx="7">
                  <c:v>-0.26478375992939102</c:v>
                </c:pt>
                <c:pt idx="8">
                  <c:v>1.5510948905109487</c:v>
                </c:pt>
                <c:pt idx="9">
                  <c:v>2.0017406440382941</c:v>
                </c:pt>
                <c:pt idx="10">
                  <c:v>1.8581081081081079</c:v>
                </c:pt>
                <c:pt idx="11">
                  <c:v>2.5146689019279127</c:v>
                </c:pt>
                <c:pt idx="12">
                  <c:v>2.3136246786632393</c:v>
                </c:pt>
                <c:pt idx="13">
                  <c:v>2.9532403609516003</c:v>
                </c:pt>
                <c:pt idx="14">
                  <c:v>2.6173979984603548</c:v>
                </c:pt>
                <c:pt idx="15">
                  <c:v>3.1393568147013786</c:v>
                </c:pt>
                <c:pt idx="16">
                  <c:v>3.4252297410192147</c:v>
                </c:pt>
                <c:pt idx="17">
                  <c:v>4.2931162102146558</c:v>
                </c:pt>
                <c:pt idx="18">
                  <c:v>3.4555712270803944</c:v>
                </c:pt>
                <c:pt idx="19">
                  <c:v>6.2134502923976598</c:v>
                </c:pt>
                <c:pt idx="20">
                  <c:v>1.1980830670926517</c:v>
                </c:pt>
                <c:pt idx="21">
                  <c:v>0.35663338088445073</c:v>
                </c:pt>
              </c:numCache>
            </c:numRef>
          </c:val>
          <c:extLst>
            <c:ext xmlns:c16="http://schemas.microsoft.com/office/drawing/2014/chart" uri="{C3380CC4-5D6E-409C-BE32-E72D297353CC}">
              <c16:uniqueId val="{00000005-A808-493B-BA3E-B8D6768E06AE}"/>
            </c:ext>
          </c:extLst>
        </c:ser>
        <c:dLbls>
          <c:showLegendKey val="0"/>
          <c:showVal val="0"/>
          <c:showCatName val="0"/>
          <c:showSerName val="0"/>
          <c:showPercent val="0"/>
          <c:showBubbleSize val="0"/>
        </c:dLbls>
        <c:gapWidth val="50"/>
        <c:overlap val="100"/>
        <c:axId val="348099048"/>
        <c:axId val="348099440"/>
      </c:barChart>
      <c:lineChart>
        <c:grouping val="standard"/>
        <c:varyColors val="0"/>
        <c:ser>
          <c:idx val="6"/>
          <c:order val="6"/>
          <c:tx>
            <c:strRef>
              <c:f>Pakalp_eksports_Q!$AN$41</c:f>
              <c:strCache>
                <c:ptCount val="1"/>
                <c:pt idx="0">
                  <c:v>Kopējais pieaugums</c:v>
                </c:pt>
              </c:strCache>
            </c:strRef>
          </c:tx>
          <c:spPr>
            <a:ln w="19050" cap="rnd">
              <a:solidFill>
                <a:schemeClr val="tx1"/>
              </a:solidFill>
              <a:round/>
            </a:ln>
            <a:effectLst/>
          </c:spPr>
          <c:marker>
            <c:symbol val="none"/>
          </c:marker>
          <c:cat>
            <c:multiLvlStrRef>
              <c:f>Pakalp_eksports_Q!$AS$5:$BJ$6</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2014</c:v>
                  </c:pt>
                  <c:pt idx="4">
                    <c:v>2015</c:v>
                  </c:pt>
                  <c:pt idx="8">
                    <c:v>2016</c:v>
                  </c:pt>
                  <c:pt idx="12">
                    <c:v>2017</c:v>
                  </c:pt>
                  <c:pt idx="16">
                    <c:v>2018</c:v>
                  </c:pt>
                </c:lvl>
              </c:multiLvlStrCache>
            </c:multiLvlStrRef>
          </c:cat>
          <c:val>
            <c:numRef>
              <c:f>Pakalp_eksports_Q!$AW$41:$BR$41</c:f>
              <c:numCache>
                <c:formatCode>0.0</c:formatCode>
                <c:ptCount val="22"/>
                <c:pt idx="0">
                  <c:v>4.8421052631578947</c:v>
                </c:pt>
                <c:pt idx="1">
                  <c:v>5.7086614173228343</c:v>
                </c:pt>
                <c:pt idx="2">
                  <c:v>7.8849721706864573</c:v>
                </c:pt>
                <c:pt idx="3">
                  <c:v>6.9877242681775265</c:v>
                </c:pt>
                <c:pt idx="4">
                  <c:v>10.04016064257028</c:v>
                </c:pt>
                <c:pt idx="5">
                  <c:v>6.9832402234636861</c:v>
                </c:pt>
                <c:pt idx="6">
                  <c:v>1.8056749785038697</c:v>
                </c:pt>
                <c:pt idx="7">
                  <c:v>5.2956751985878201</c:v>
                </c:pt>
                <c:pt idx="8">
                  <c:v>6.4781021897810218</c:v>
                </c:pt>
                <c:pt idx="9">
                  <c:v>6.0922541340295915</c:v>
                </c:pt>
                <c:pt idx="10">
                  <c:v>9.7128378378378386</c:v>
                </c:pt>
                <c:pt idx="11">
                  <c:v>9.4719195305951374</c:v>
                </c:pt>
                <c:pt idx="12">
                  <c:v>2.5706940874035991</c:v>
                </c:pt>
                <c:pt idx="13">
                  <c:v>10.828547990155865</c:v>
                </c:pt>
                <c:pt idx="14">
                  <c:v>9.1608929946112401</c:v>
                </c:pt>
                <c:pt idx="15">
                  <c:v>4.747320061255742</c:v>
                </c:pt>
                <c:pt idx="16">
                  <c:v>4.594820384294068</c:v>
                </c:pt>
                <c:pt idx="17">
                  <c:v>3.7749814951887499</c:v>
                </c:pt>
                <c:pt idx="18">
                  <c:v>3.8787023977432997</c:v>
                </c:pt>
                <c:pt idx="19">
                  <c:v>6.9444444444444429</c:v>
                </c:pt>
                <c:pt idx="20">
                  <c:v>-5.5910543130990398</c:v>
                </c:pt>
                <c:pt idx="21">
                  <c:v>-29.600570613409413</c:v>
                </c:pt>
              </c:numCache>
            </c:numRef>
          </c:val>
          <c:smooth val="0"/>
          <c:extLst>
            <c:ext xmlns:c16="http://schemas.microsoft.com/office/drawing/2014/chart" uri="{C3380CC4-5D6E-409C-BE32-E72D297353CC}">
              <c16:uniqueId val="{00000006-A808-493B-BA3E-B8D6768E06AE}"/>
            </c:ext>
          </c:extLst>
        </c:ser>
        <c:dLbls>
          <c:showLegendKey val="0"/>
          <c:showVal val="0"/>
          <c:showCatName val="0"/>
          <c:showSerName val="0"/>
          <c:showPercent val="0"/>
          <c:showBubbleSize val="0"/>
        </c:dLbls>
        <c:marker val="1"/>
        <c:smooth val="0"/>
        <c:axId val="2049317471"/>
        <c:axId val="2049331615"/>
      </c:lineChart>
      <c:catAx>
        <c:axId val="34809904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48099440"/>
        <c:crosses val="autoZero"/>
        <c:auto val="1"/>
        <c:lblAlgn val="ctr"/>
        <c:lblOffset val="100"/>
        <c:noMultiLvlLbl val="0"/>
      </c:catAx>
      <c:valAx>
        <c:axId val="34809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48099048"/>
        <c:crosses val="autoZero"/>
        <c:crossBetween val="between"/>
      </c:valAx>
      <c:valAx>
        <c:axId val="2049331615"/>
        <c:scaling>
          <c:orientation val="minMax"/>
        </c:scaling>
        <c:delete val="0"/>
        <c:axPos val="r"/>
        <c:numFmt formatCode="#,##0"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v-LV"/>
          </a:p>
        </c:txPr>
        <c:crossAx val="2049317471"/>
        <c:crosses val="max"/>
        <c:crossBetween val="between"/>
      </c:valAx>
      <c:catAx>
        <c:axId val="2049317471"/>
        <c:scaling>
          <c:orientation val="minMax"/>
        </c:scaling>
        <c:delete val="1"/>
        <c:axPos val="b"/>
        <c:numFmt formatCode="General" sourceLinked="1"/>
        <c:majorTickMark val="out"/>
        <c:minorTickMark val="none"/>
        <c:tickLblPos val="nextTo"/>
        <c:crossAx val="2049331615"/>
        <c:crosses val="autoZero"/>
        <c:auto val="1"/>
        <c:lblAlgn val="ctr"/>
        <c:lblOffset val="100"/>
        <c:noMultiLvlLbl val="0"/>
      </c:catAx>
      <c:spPr>
        <a:noFill/>
        <a:ln w="25400">
          <a:noFill/>
        </a:ln>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b="1">
                <a:solidFill>
                  <a:sysClr val="windowText" lastClr="000000"/>
                </a:solidFill>
                <a:latin typeface="Times New Roman" panose="02020603050405020304" pitchFamily="18" charset="0"/>
                <a:cs typeface="Times New Roman" panose="02020603050405020304" pitchFamily="18" charset="0"/>
              </a:rPr>
              <a:t>milj. </a:t>
            </a:r>
            <a:r>
              <a:rPr lang="en-US" sz="1100" b="1" i="1">
                <a:solidFill>
                  <a:sysClr val="windowText" lastClr="000000"/>
                </a:solidFill>
                <a:latin typeface="Times New Roman" panose="02020603050405020304" pitchFamily="18" charset="0"/>
                <a:cs typeface="Times New Roman" panose="02020603050405020304" pitchFamily="18" charset="0"/>
              </a:rPr>
              <a:t>euro</a:t>
            </a:r>
            <a:endParaRPr lang="lv-LV" sz="11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6586044274348103E-4"/>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2600207420496707E-2"/>
          <c:y val="8.7442556617267131E-2"/>
          <c:w val="0.87379657224121887"/>
          <c:h val="0.61125785012318834"/>
        </c:manualLayout>
      </c:layout>
      <c:barChart>
        <c:barDir val="col"/>
        <c:grouping val="stacked"/>
        <c:varyColors val="0"/>
        <c:ser>
          <c:idx val="0"/>
          <c:order val="0"/>
          <c:tx>
            <c:strRef>
              <c:f>'Tekošais konts_Q'!$U$7</c:f>
              <c:strCache>
                <c:ptCount val="1"/>
                <c:pt idx="0">
                  <c:v>Preces</c:v>
                </c:pt>
              </c:strCache>
            </c:strRef>
          </c:tx>
          <c:spPr>
            <a:solidFill>
              <a:schemeClr val="accent1"/>
            </a:solidFill>
            <a:ln>
              <a:noFill/>
            </a:ln>
            <a:effectLst/>
          </c:spPr>
          <c:invertIfNegative val="0"/>
          <c:cat>
            <c:multiLvlStrRef>
              <c:f>'Tekošais konts_Q'!$AA$5:$AV$6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'Tekošais konts_Q'!$AA$7:$AV$7</c:f>
              <c:numCache>
                <c:formatCode>0</c:formatCode>
                <c:ptCount val="22"/>
                <c:pt idx="0">
                  <c:v>-620</c:v>
                </c:pt>
                <c:pt idx="1">
                  <c:v>-646</c:v>
                </c:pt>
                <c:pt idx="2">
                  <c:v>-667</c:v>
                </c:pt>
                <c:pt idx="3">
                  <c:v>-511</c:v>
                </c:pt>
                <c:pt idx="4">
                  <c:v>-496</c:v>
                </c:pt>
                <c:pt idx="5">
                  <c:v>-538</c:v>
                </c:pt>
                <c:pt idx="6">
                  <c:v>-484</c:v>
                </c:pt>
                <c:pt idx="7">
                  <c:v>-545</c:v>
                </c:pt>
                <c:pt idx="8">
                  <c:v>-560</c:v>
                </c:pt>
                <c:pt idx="9">
                  <c:v>-652</c:v>
                </c:pt>
                <c:pt idx="10">
                  <c:v>-804</c:v>
                </c:pt>
                <c:pt idx="11">
                  <c:v>-434</c:v>
                </c:pt>
                <c:pt idx="12">
                  <c:v>-552</c:v>
                </c:pt>
                <c:pt idx="13">
                  <c:v>-416</c:v>
                </c:pt>
                <c:pt idx="14" formatCode="General">
                  <c:v>-982</c:v>
                </c:pt>
                <c:pt idx="15" formatCode="General">
                  <c:v>-593</c:v>
                </c:pt>
                <c:pt idx="16" formatCode="General">
                  <c:v>-514</c:v>
                </c:pt>
                <c:pt idx="17" formatCode="General">
                  <c:v>-740</c:v>
                </c:pt>
                <c:pt idx="18" formatCode="General">
                  <c:v>-778</c:v>
                </c:pt>
                <c:pt idx="19" formatCode="General">
                  <c:v>-645</c:v>
                </c:pt>
                <c:pt idx="20" formatCode="General">
                  <c:v>-476</c:v>
                </c:pt>
                <c:pt idx="21" formatCode="General">
                  <c:v>-281</c:v>
                </c:pt>
              </c:numCache>
            </c:numRef>
          </c:val>
          <c:extLst>
            <c:ext xmlns:c16="http://schemas.microsoft.com/office/drawing/2014/chart" uri="{C3380CC4-5D6E-409C-BE32-E72D297353CC}">
              <c16:uniqueId val="{00000000-9449-4AE1-AEC9-90459BD70E44}"/>
            </c:ext>
          </c:extLst>
        </c:ser>
        <c:ser>
          <c:idx val="1"/>
          <c:order val="1"/>
          <c:tx>
            <c:strRef>
              <c:f>'Tekošais konts_Q'!$U$8</c:f>
              <c:strCache>
                <c:ptCount val="1"/>
                <c:pt idx="0">
                  <c:v>Pakalpojumi</c:v>
                </c:pt>
              </c:strCache>
            </c:strRef>
          </c:tx>
          <c:spPr>
            <a:solidFill>
              <a:schemeClr val="accent2"/>
            </a:solidFill>
            <a:ln>
              <a:noFill/>
            </a:ln>
            <a:effectLst/>
          </c:spPr>
          <c:invertIfNegative val="0"/>
          <c:cat>
            <c:multiLvlStrRef>
              <c:f>'Tekošais konts_Q'!$AA$5:$AV$6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'Tekošais konts_Q'!$AA$8:$AV$8</c:f>
              <c:numCache>
                <c:formatCode>0</c:formatCode>
                <c:ptCount val="22"/>
                <c:pt idx="0">
                  <c:v>481</c:v>
                </c:pt>
                <c:pt idx="1">
                  <c:v>509</c:v>
                </c:pt>
                <c:pt idx="2">
                  <c:v>518</c:v>
                </c:pt>
                <c:pt idx="3">
                  <c:v>512</c:v>
                </c:pt>
                <c:pt idx="4">
                  <c:v>542</c:v>
                </c:pt>
                <c:pt idx="5">
                  <c:v>533</c:v>
                </c:pt>
                <c:pt idx="6">
                  <c:v>537</c:v>
                </c:pt>
                <c:pt idx="7">
                  <c:v>534</c:v>
                </c:pt>
                <c:pt idx="8">
                  <c:v>577</c:v>
                </c:pt>
                <c:pt idx="9">
                  <c:v>540</c:v>
                </c:pt>
                <c:pt idx="10">
                  <c:v>586</c:v>
                </c:pt>
                <c:pt idx="11">
                  <c:v>573</c:v>
                </c:pt>
                <c:pt idx="12">
                  <c:v>516</c:v>
                </c:pt>
                <c:pt idx="13">
                  <c:v>615</c:v>
                </c:pt>
                <c:pt idx="14" formatCode="General">
                  <c:v>612</c:v>
                </c:pt>
                <c:pt idx="15" formatCode="General">
                  <c:v>568</c:v>
                </c:pt>
                <c:pt idx="16" formatCode="General">
                  <c:v>530</c:v>
                </c:pt>
                <c:pt idx="17" formatCode="General">
                  <c:v>624</c:v>
                </c:pt>
                <c:pt idx="18" formatCode="General">
                  <c:v>628</c:v>
                </c:pt>
                <c:pt idx="19" formatCode="General">
                  <c:v>641</c:v>
                </c:pt>
                <c:pt idx="20" formatCode="General">
                  <c:v>487</c:v>
                </c:pt>
                <c:pt idx="21" formatCode="General">
                  <c:v>455</c:v>
                </c:pt>
              </c:numCache>
            </c:numRef>
          </c:val>
          <c:extLst>
            <c:ext xmlns:c16="http://schemas.microsoft.com/office/drawing/2014/chart" uri="{C3380CC4-5D6E-409C-BE32-E72D297353CC}">
              <c16:uniqueId val="{00000001-9449-4AE1-AEC9-90459BD70E44}"/>
            </c:ext>
          </c:extLst>
        </c:ser>
        <c:ser>
          <c:idx val="2"/>
          <c:order val="2"/>
          <c:tx>
            <c:strRef>
              <c:f>'Tekošais konts_Q'!$U$9</c:f>
              <c:strCache>
                <c:ptCount val="1"/>
                <c:pt idx="0">
                  <c:v>Sākotnējie ienākumi</c:v>
                </c:pt>
              </c:strCache>
            </c:strRef>
          </c:tx>
          <c:spPr>
            <a:solidFill>
              <a:schemeClr val="accent3"/>
            </a:solidFill>
            <a:ln>
              <a:noFill/>
            </a:ln>
            <a:effectLst/>
          </c:spPr>
          <c:invertIfNegative val="0"/>
          <c:cat>
            <c:multiLvlStrRef>
              <c:f>'Tekošais konts_Q'!$AA$5:$AV$6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'Tekošais konts_Q'!$AA$9:$AV$9</c:f>
              <c:numCache>
                <c:formatCode>0</c:formatCode>
                <c:ptCount val="22"/>
                <c:pt idx="0">
                  <c:v>-24</c:v>
                </c:pt>
                <c:pt idx="1">
                  <c:v>-89</c:v>
                </c:pt>
                <c:pt idx="2">
                  <c:v>-93</c:v>
                </c:pt>
                <c:pt idx="3">
                  <c:v>88</c:v>
                </c:pt>
                <c:pt idx="4">
                  <c:v>32</c:v>
                </c:pt>
                <c:pt idx="5">
                  <c:v>-143</c:v>
                </c:pt>
                <c:pt idx="6">
                  <c:v>-38</c:v>
                </c:pt>
                <c:pt idx="7">
                  <c:v>109</c:v>
                </c:pt>
                <c:pt idx="8">
                  <c:v>-38</c:v>
                </c:pt>
                <c:pt idx="9">
                  <c:v>-114</c:v>
                </c:pt>
                <c:pt idx="10">
                  <c:v>-121</c:v>
                </c:pt>
                <c:pt idx="11">
                  <c:v>206</c:v>
                </c:pt>
                <c:pt idx="12">
                  <c:v>-69</c:v>
                </c:pt>
                <c:pt idx="13">
                  <c:v>-256</c:v>
                </c:pt>
                <c:pt idx="14" formatCode="General">
                  <c:v>-220</c:v>
                </c:pt>
                <c:pt idx="15" formatCode="General">
                  <c:v>67</c:v>
                </c:pt>
                <c:pt idx="16" formatCode="General">
                  <c:v>-108</c:v>
                </c:pt>
                <c:pt idx="17" formatCode="General">
                  <c:v>-164</c:v>
                </c:pt>
                <c:pt idx="18" formatCode="General">
                  <c:v>-212</c:v>
                </c:pt>
                <c:pt idx="19" formatCode="General">
                  <c:v>55</c:v>
                </c:pt>
                <c:pt idx="20" formatCode="General">
                  <c:v>-40</c:v>
                </c:pt>
                <c:pt idx="21" formatCode="General">
                  <c:v>-21</c:v>
                </c:pt>
              </c:numCache>
            </c:numRef>
          </c:val>
          <c:extLst>
            <c:ext xmlns:c16="http://schemas.microsoft.com/office/drawing/2014/chart" uri="{C3380CC4-5D6E-409C-BE32-E72D297353CC}">
              <c16:uniqueId val="{00000002-9449-4AE1-AEC9-90459BD70E44}"/>
            </c:ext>
          </c:extLst>
        </c:ser>
        <c:ser>
          <c:idx val="3"/>
          <c:order val="3"/>
          <c:tx>
            <c:strRef>
              <c:f>'Tekošais konts_Q'!$U$10</c:f>
              <c:strCache>
                <c:ptCount val="1"/>
                <c:pt idx="0">
                  <c:v>Otrreizējie ienākumi</c:v>
                </c:pt>
              </c:strCache>
            </c:strRef>
          </c:tx>
          <c:spPr>
            <a:solidFill>
              <a:schemeClr val="accent4"/>
            </a:solidFill>
            <a:ln>
              <a:noFill/>
            </a:ln>
            <a:effectLst/>
          </c:spPr>
          <c:invertIfNegative val="0"/>
          <c:cat>
            <c:multiLvlStrRef>
              <c:f>'Tekošais konts_Q'!$AA$5:$AV$6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'Tekošais konts_Q'!$AA$10:$AV$10</c:f>
              <c:numCache>
                <c:formatCode>0</c:formatCode>
                <c:ptCount val="22"/>
                <c:pt idx="0">
                  <c:v>30</c:v>
                </c:pt>
                <c:pt idx="1">
                  <c:v>103</c:v>
                </c:pt>
                <c:pt idx="2">
                  <c:v>132</c:v>
                </c:pt>
                <c:pt idx="3">
                  <c:v>130</c:v>
                </c:pt>
                <c:pt idx="4">
                  <c:v>64</c:v>
                </c:pt>
                <c:pt idx="5">
                  <c:v>108</c:v>
                </c:pt>
                <c:pt idx="6">
                  <c:v>89</c:v>
                </c:pt>
                <c:pt idx="7">
                  <c:v>97</c:v>
                </c:pt>
                <c:pt idx="8">
                  <c:v>93</c:v>
                </c:pt>
                <c:pt idx="9">
                  <c:v>130</c:v>
                </c:pt>
                <c:pt idx="10">
                  <c:v>150</c:v>
                </c:pt>
                <c:pt idx="11">
                  <c:v>207</c:v>
                </c:pt>
                <c:pt idx="12">
                  <c:v>107</c:v>
                </c:pt>
                <c:pt idx="13">
                  <c:v>174</c:v>
                </c:pt>
                <c:pt idx="14" formatCode="General">
                  <c:v>166</c:v>
                </c:pt>
                <c:pt idx="15" formatCode="General">
                  <c:v>178</c:v>
                </c:pt>
                <c:pt idx="16" formatCode="General">
                  <c:v>90</c:v>
                </c:pt>
                <c:pt idx="17" formatCode="General">
                  <c:v>135</c:v>
                </c:pt>
                <c:pt idx="18" formatCode="General">
                  <c:v>121</c:v>
                </c:pt>
                <c:pt idx="19" formatCode="General">
                  <c:v>143</c:v>
                </c:pt>
                <c:pt idx="20" formatCode="General">
                  <c:v>100</c:v>
                </c:pt>
                <c:pt idx="21" formatCode="General">
                  <c:v>107</c:v>
                </c:pt>
              </c:numCache>
            </c:numRef>
          </c:val>
          <c:extLst>
            <c:ext xmlns:c16="http://schemas.microsoft.com/office/drawing/2014/chart" uri="{C3380CC4-5D6E-409C-BE32-E72D297353CC}">
              <c16:uniqueId val="{00000003-9449-4AE1-AEC9-90459BD70E44}"/>
            </c:ext>
          </c:extLst>
        </c:ser>
        <c:dLbls>
          <c:showLegendKey val="0"/>
          <c:showVal val="0"/>
          <c:showCatName val="0"/>
          <c:showSerName val="0"/>
          <c:showPercent val="0"/>
          <c:showBubbleSize val="0"/>
        </c:dLbls>
        <c:gapWidth val="50"/>
        <c:overlap val="100"/>
        <c:axId val="1831334048"/>
        <c:axId val="1831339872"/>
      </c:barChart>
      <c:lineChart>
        <c:grouping val="standard"/>
        <c:varyColors val="0"/>
        <c:ser>
          <c:idx val="4"/>
          <c:order val="4"/>
          <c:tx>
            <c:strRef>
              <c:f>'Tekošais konts_Q'!$U$11</c:f>
              <c:strCache>
                <c:ptCount val="1"/>
                <c:pt idx="0">
                  <c:v>Tekošais konts (% no IKP, l.a.)</c:v>
                </c:pt>
              </c:strCache>
            </c:strRef>
          </c:tx>
          <c:spPr>
            <a:ln w="28575" cap="rnd">
              <a:solidFill>
                <a:schemeClr val="tx1"/>
              </a:solidFill>
              <a:round/>
            </a:ln>
            <a:effectLst/>
          </c:spPr>
          <c:marker>
            <c:symbol val="none"/>
          </c:marker>
          <c:cat>
            <c:multiLvlStrRef>
              <c:f>'Tekošais konts_Q'!$AA$5:$AV$6</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'Tekošais konts_Q'!$AA$11:$AV$11</c:f>
              <c:numCache>
                <c:formatCode>0.0%</c:formatCode>
                <c:ptCount val="22"/>
                <c:pt idx="0">
                  <c:v>-2.5000000000000001E-2</c:v>
                </c:pt>
                <c:pt idx="1">
                  <c:v>-0.02</c:v>
                </c:pt>
                <c:pt idx="2">
                  <c:v>-1.7000000000000001E-2</c:v>
                </c:pt>
                <c:pt idx="3">
                  <c:v>3.4000000000000002E-2</c:v>
                </c:pt>
                <c:pt idx="4">
                  <c:v>2.5000000000000001E-2</c:v>
                </c:pt>
                <c:pt idx="5">
                  <c:v>-6.0000000000000001E-3</c:v>
                </c:pt>
                <c:pt idx="6">
                  <c:v>1.6E-2</c:v>
                </c:pt>
                <c:pt idx="7">
                  <c:v>2.9000000000000001E-2</c:v>
                </c:pt>
                <c:pt idx="8">
                  <c:v>1.2E-2</c:v>
                </c:pt>
                <c:pt idx="9">
                  <c:v>-1.4E-2</c:v>
                </c:pt>
                <c:pt idx="10">
                  <c:v>-2.7E-2</c:v>
                </c:pt>
                <c:pt idx="11">
                  <c:v>7.6999999999999999E-2</c:v>
                </c:pt>
                <c:pt idx="12">
                  <c:v>0</c:v>
                </c:pt>
                <c:pt idx="13">
                  <c:v>1.6E-2</c:v>
                </c:pt>
                <c:pt idx="14">
                  <c:v>-5.6000000000000001E-2</c:v>
                </c:pt>
                <c:pt idx="15">
                  <c:v>2.8000000000000001E-2</c:v>
                </c:pt>
                <c:pt idx="16">
                  <c:v>0</c:v>
                </c:pt>
                <c:pt idx="17">
                  <c:v>-1.9E-2</c:v>
                </c:pt>
                <c:pt idx="18">
                  <c:v>-0.03</c:v>
                </c:pt>
                <c:pt idx="19">
                  <c:v>2.4E-2</c:v>
                </c:pt>
                <c:pt idx="20">
                  <c:v>0.01</c:v>
                </c:pt>
                <c:pt idx="21">
                  <c:v>3.7999999999999999E-2</c:v>
                </c:pt>
              </c:numCache>
            </c:numRef>
          </c:val>
          <c:smooth val="0"/>
          <c:extLst>
            <c:ext xmlns:c16="http://schemas.microsoft.com/office/drawing/2014/chart" uri="{C3380CC4-5D6E-409C-BE32-E72D297353CC}">
              <c16:uniqueId val="{00000004-9449-4AE1-AEC9-90459BD70E44}"/>
            </c:ext>
          </c:extLst>
        </c:ser>
        <c:dLbls>
          <c:showLegendKey val="0"/>
          <c:showVal val="0"/>
          <c:showCatName val="0"/>
          <c:showSerName val="0"/>
          <c:showPercent val="0"/>
          <c:showBubbleSize val="0"/>
        </c:dLbls>
        <c:marker val="1"/>
        <c:smooth val="0"/>
        <c:axId val="1831373984"/>
        <c:axId val="1831363584"/>
      </c:lineChart>
      <c:catAx>
        <c:axId val="183133404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31339872"/>
        <c:crosses val="autoZero"/>
        <c:auto val="1"/>
        <c:lblAlgn val="ctr"/>
        <c:lblOffset val="100"/>
        <c:noMultiLvlLbl val="0"/>
      </c:catAx>
      <c:valAx>
        <c:axId val="1831339872"/>
        <c:scaling>
          <c:orientation val="minMax"/>
          <c:max val="1500"/>
          <c:min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31334048"/>
        <c:crosses val="autoZero"/>
        <c:crossBetween val="between"/>
        <c:majorUnit val="300"/>
      </c:valAx>
      <c:valAx>
        <c:axId val="1831363584"/>
        <c:scaling>
          <c:orientation val="minMax"/>
          <c:max val="8.0000000000000016E-2"/>
          <c:min val="-6.0000000000000012E-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31373984"/>
        <c:crosses val="max"/>
        <c:crossBetween val="between"/>
      </c:valAx>
      <c:catAx>
        <c:axId val="1831373984"/>
        <c:scaling>
          <c:orientation val="minMax"/>
        </c:scaling>
        <c:delete val="1"/>
        <c:axPos val="b"/>
        <c:numFmt formatCode="General" sourceLinked="1"/>
        <c:majorTickMark val="out"/>
        <c:minorTickMark val="none"/>
        <c:tickLblPos val="nextTo"/>
        <c:crossAx val="1831363584"/>
        <c:crosses val="autoZero"/>
        <c:auto val="1"/>
        <c:lblAlgn val="ctr"/>
        <c:lblOffset val="100"/>
        <c:noMultiLvlLbl val="0"/>
      </c:catAx>
      <c:spPr>
        <a:noFill/>
        <a:ln>
          <a:noFill/>
        </a:ln>
        <a:effectLst/>
      </c:spPr>
    </c:plotArea>
    <c:legend>
      <c:legendPos val="b"/>
      <c:layout>
        <c:manualLayout>
          <c:xMode val="edge"/>
          <c:yMode val="edge"/>
          <c:x val="0.11349484577129521"/>
          <c:y val="0.84313779926445365"/>
          <c:w val="0.88377361209333538"/>
          <c:h val="0.156862186096312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'[namq_10_an6 (1).xls]Data'!$CD$24</c:f>
              <c:strCache>
                <c:ptCount val="1"/>
                <c:pt idx="0">
                  <c:v>Ēkas, būves, celtnes </c:v>
                </c:pt>
              </c:strCache>
            </c:strRef>
          </c:tx>
          <c:spPr>
            <a:solidFill>
              <a:schemeClr val="accent1"/>
            </a:solidFill>
            <a:ln>
              <a:noFill/>
            </a:ln>
            <a:effectLst/>
          </c:spPr>
          <c:invertIfNegative val="0"/>
          <c:cat>
            <c:multiLvlStrRef>
              <c:f>'[namq_10_an6 (1).xls]Data'!$CE$22:$CZ$23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'[namq_10_an6 (1).xls]Data'!$CE$24:$CZ$24</c:f>
              <c:numCache>
                <c:formatCode>General</c:formatCode>
                <c:ptCount val="22"/>
                <c:pt idx="0">
                  <c:v>480.7</c:v>
                </c:pt>
                <c:pt idx="1">
                  <c:v>706.5</c:v>
                </c:pt>
                <c:pt idx="2">
                  <c:v>876.4</c:v>
                </c:pt>
                <c:pt idx="3">
                  <c:v>927.6</c:v>
                </c:pt>
                <c:pt idx="4">
                  <c:v>432.8</c:v>
                </c:pt>
                <c:pt idx="5">
                  <c:v>524.20000000000005</c:v>
                </c:pt>
                <c:pt idx="6">
                  <c:v>690.7</c:v>
                </c:pt>
                <c:pt idx="7">
                  <c:v>720.5</c:v>
                </c:pt>
                <c:pt idx="8">
                  <c:v>422.2</c:v>
                </c:pt>
                <c:pt idx="9">
                  <c:v>575.20000000000005</c:v>
                </c:pt>
                <c:pt idx="10">
                  <c:v>838.3</c:v>
                </c:pt>
                <c:pt idx="11">
                  <c:v>867.8</c:v>
                </c:pt>
                <c:pt idx="12">
                  <c:v>574.70000000000005</c:v>
                </c:pt>
                <c:pt idx="13">
                  <c:v>737.9</c:v>
                </c:pt>
                <c:pt idx="14">
                  <c:v>896.6</c:v>
                </c:pt>
                <c:pt idx="15">
                  <c:v>1031.5</c:v>
                </c:pt>
                <c:pt idx="16">
                  <c:v>614.20000000000005</c:v>
                </c:pt>
                <c:pt idx="17">
                  <c:v>742.6</c:v>
                </c:pt>
                <c:pt idx="18">
                  <c:v>948.7</c:v>
                </c:pt>
                <c:pt idx="19">
                  <c:v>1026.0999999999999</c:v>
                </c:pt>
                <c:pt idx="20">
                  <c:v>684.5</c:v>
                </c:pt>
                <c:pt idx="21">
                  <c:v>738.3</c:v>
                </c:pt>
              </c:numCache>
            </c:numRef>
          </c:val>
          <c:extLst>
            <c:ext xmlns:c16="http://schemas.microsoft.com/office/drawing/2014/chart" uri="{C3380CC4-5D6E-409C-BE32-E72D297353CC}">
              <c16:uniqueId val="{00000000-5BB7-4010-AB73-8261C5B5CDA8}"/>
            </c:ext>
          </c:extLst>
        </c:ser>
        <c:ser>
          <c:idx val="1"/>
          <c:order val="1"/>
          <c:tx>
            <c:strRef>
              <c:f>'[namq_10_an6 (1).xls]Data'!$CD$25</c:f>
              <c:strCache>
                <c:ptCount val="1"/>
                <c:pt idx="0">
                  <c:v>Tehnoloģiskās iekārtas un mašīnas</c:v>
                </c:pt>
              </c:strCache>
            </c:strRef>
          </c:tx>
          <c:spPr>
            <a:solidFill>
              <a:schemeClr val="accent2"/>
            </a:solidFill>
            <a:ln>
              <a:noFill/>
            </a:ln>
            <a:effectLst/>
          </c:spPr>
          <c:invertIfNegative val="0"/>
          <c:cat>
            <c:multiLvlStrRef>
              <c:f>'[namq_10_an6 (1).xls]Data'!$CE$22:$CZ$23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'[namq_10_an6 (1).xls]Data'!$CE$25:$CZ$25</c:f>
              <c:numCache>
                <c:formatCode>General</c:formatCode>
                <c:ptCount val="22"/>
                <c:pt idx="0">
                  <c:v>363.1</c:v>
                </c:pt>
                <c:pt idx="1">
                  <c:v>473.4</c:v>
                </c:pt>
                <c:pt idx="2">
                  <c:v>486.8</c:v>
                </c:pt>
                <c:pt idx="3">
                  <c:v>641.5</c:v>
                </c:pt>
                <c:pt idx="4">
                  <c:v>345.2</c:v>
                </c:pt>
                <c:pt idx="5">
                  <c:v>459.7</c:v>
                </c:pt>
                <c:pt idx="6">
                  <c:v>586.5</c:v>
                </c:pt>
                <c:pt idx="7">
                  <c:v>794.1</c:v>
                </c:pt>
                <c:pt idx="8">
                  <c:v>441</c:v>
                </c:pt>
                <c:pt idx="9">
                  <c:v>562.1</c:v>
                </c:pt>
                <c:pt idx="10">
                  <c:v>626.70000000000005</c:v>
                </c:pt>
                <c:pt idx="11">
                  <c:v>758.8</c:v>
                </c:pt>
                <c:pt idx="12">
                  <c:v>466.1</c:v>
                </c:pt>
                <c:pt idx="13">
                  <c:v>595.29999999999995</c:v>
                </c:pt>
                <c:pt idx="14">
                  <c:v>743.3</c:v>
                </c:pt>
                <c:pt idx="15">
                  <c:v>896.1</c:v>
                </c:pt>
                <c:pt idx="16">
                  <c:v>523</c:v>
                </c:pt>
                <c:pt idx="17">
                  <c:v>649.70000000000005</c:v>
                </c:pt>
                <c:pt idx="18">
                  <c:v>751.8</c:v>
                </c:pt>
                <c:pt idx="19">
                  <c:v>829.3</c:v>
                </c:pt>
                <c:pt idx="20">
                  <c:v>514.79999999999995</c:v>
                </c:pt>
                <c:pt idx="21">
                  <c:v>568.1</c:v>
                </c:pt>
              </c:numCache>
            </c:numRef>
          </c:val>
          <c:extLst>
            <c:ext xmlns:c16="http://schemas.microsoft.com/office/drawing/2014/chart" uri="{C3380CC4-5D6E-409C-BE32-E72D297353CC}">
              <c16:uniqueId val="{00000001-5BB7-4010-AB73-8261C5B5CDA8}"/>
            </c:ext>
          </c:extLst>
        </c:ser>
        <c:ser>
          <c:idx val="2"/>
          <c:order val="2"/>
          <c:tx>
            <c:strRef>
              <c:f>'[namq_10_an6 (1).xls]Data'!$CD$26</c:f>
              <c:strCache>
                <c:ptCount val="1"/>
                <c:pt idx="0">
                  <c:v>Intelektuāla īpašuma produkti</c:v>
                </c:pt>
              </c:strCache>
            </c:strRef>
          </c:tx>
          <c:spPr>
            <a:solidFill>
              <a:srgbClr val="00B050"/>
            </a:solidFill>
            <a:ln>
              <a:noFill/>
            </a:ln>
            <a:effectLst/>
          </c:spPr>
          <c:invertIfNegative val="0"/>
          <c:cat>
            <c:multiLvlStrRef>
              <c:f>'[namq_10_an6 (1).xls]Data'!$CE$22:$CZ$23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'[namq_10_an6 (1).xls]Data'!$CE$26:$CZ$26</c:f>
              <c:numCache>
                <c:formatCode>General</c:formatCode>
                <c:ptCount val="22"/>
                <c:pt idx="0">
                  <c:v>78.3</c:v>
                </c:pt>
                <c:pt idx="1">
                  <c:v>142.30000000000001</c:v>
                </c:pt>
                <c:pt idx="2">
                  <c:v>117</c:v>
                </c:pt>
                <c:pt idx="3">
                  <c:v>68</c:v>
                </c:pt>
                <c:pt idx="4">
                  <c:v>73.400000000000006</c:v>
                </c:pt>
                <c:pt idx="5">
                  <c:v>126.4</c:v>
                </c:pt>
                <c:pt idx="6">
                  <c:v>105.8</c:v>
                </c:pt>
                <c:pt idx="7">
                  <c:v>54.3</c:v>
                </c:pt>
                <c:pt idx="8">
                  <c:v>65.099999999999994</c:v>
                </c:pt>
                <c:pt idx="9">
                  <c:v>161.80000000000001</c:v>
                </c:pt>
                <c:pt idx="10">
                  <c:v>99.8</c:v>
                </c:pt>
                <c:pt idx="11">
                  <c:v>45.1</c:v>
                </c:pt>
                <c:pt idx="12">
                  <c:v>67.7</c:v>
                </c:pt>
                <c:pt idx="13">
                  <c:v>133.6</c:v>
                </c:pt>
                <c:pt idx="14">
                  <c:v>127.3</c:v>
                </c:pt>
                <c:pt idx="15">
                  <c:v>60.2</c:v>
                </c:pt>
                <c:pt idx="16">
                  <c:v>73.7</c:v>
                </c:pt>
                <c:pt idx="17">
                  <c:v>146.80000000000001</c:v>
                </c:pt>
                <c:pt idx="18">
                  <c:v>149.4</c:v>
                </c:pt>
                <c:pt idx="19">
                  <c:v>64</c:v>
                </c:pt>
                <c:pt idx="20">
                  <c:v>74.599999999999994</c:v>
                </c:pt>
                <c:pt idx="21">
                  <c:v>133.19999999999999</c:v>
                </c:pt>
              </c:numCache>
            </c:numRef>
          </c:val>
          <c:extLst>
            <c:ext xmlns:c16="http://schemas.microsoft.com/office/drawing/2014/chart" uri="{C3380CC4-5D6E-409C-BE32-E72D297353CC}">
              <c16:uniqueId val="{00000002-5BB7-4010-AB73-8261C5B5CDA8}"/>
            </c:ext>
          </c:extLst>
        </c:ser>
        <c:ser>
          <c:idx val="3"/>
          <c:order val="3"/>
          <c:tx>
            <c:strRef>
              <c:f>'[namq_10_an6 (1).xls]Data'!$CD$27</c:f>
              <c:strCache>
                <c:ptCount val="1"/>
                <c:pt idx="0">
                  <c:v>Pārējie pamatlīdzekļi </c:v>
                </c:pt>
              </c:strCache>
            </c:strRef>
          </c:tx>
          <c:spPr>
            <a:solidFill>
              <a:schemeClr val="accent4"/>
            </a:solidFill>
            <a:ln>
              <a:noFill/>
            </a:ln>
            <a:effectLst/>
          </c:spPr>
          <c:invertIfNegative val="0"/>
          <c:cat>
            <c:multiLvlStrRef>
              <c:f>'[namq_10_an6 (1).xls]Data'!$CE$22:$CZ$23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'[namq_10_an6 (1).xls]Data'!$CE$27:$CZ$27</c:f>
              <c:numCache>
                <c:formatCode>General</c:formatCode>
                <c:ptCount val="22"/>
                <c:pt idx="0">
                  <c:v>1.3</c:v>
                </c:pt>
                <c:pt idx="1">
                  <c:v>1.3</c:v>
                </c:pt>
                <c:pt idx="2">
                  <c:v>1.8</c:v>
                </c:pt>
                <c:pt idx="3">
                  <c:v>1.6</c:v>
                </c:pt>
                <c:pt idx="4">
                  <c:v>3.3</c:v>
                </c:pt>
                <c:pt idx="5">
                  <c:v>3.5</c:v>
                </c:pt>
                <c:pt idx="6">
                  <c:v>4.7</c:v>
                </c:pt>
                <c:pt idx="7">
                  <c:v>4.0999999999999996</c:v>
                </c:pt>
                <c:pt idx="8">
                  <c:v>4.9000000000000004</c:v>
                </c:pt>
                <c:pt idx="9">
                  <c:v>5.0999999999999996</c:v>
                </c:pt>
                <c:pt idx="10">
                  <c:v>6.9</c:v>
                </c:pt>
                <c:pt idx="11">
                  <c:v>6</c:v>
                </c:pt>
                <c:pt idx="12">
                  <c:v>4.8</c:v>
                </c:pt>
                <c:pt idx="13">
                  <c:v>5</c:v>
                </c:pt>
                <c:pt idx="14">
                  <c:v>6.8</c:v>
                </c:pt>
                <c:pt idx="15">
                  <c:v>5.9</c:v>
                </c:pt>
                <c:pt idx="16">
                  <c:v>4.8</c:v>
                </c:pt>
                <c:pt idx="17">
                  <c:v>4.9000000000000004</c:v>
                </c:pt>
                <c:pt idx="18">
                  <c:v>6.7</c:v>
                </c:pt>
                <c:pt idx="19">
                  <c:v>5.9</c:v>
                </c:pt>
                <c:pt idx="20">
                  <c:v>4.7</c:v>
                </c:pt>
                <c:pt idx="21">
                  <c:v>4.9000000000000004</c:v>
                </c:pt>
              </c:numCache>
            </c:numRef>
          </c:val>
          <c:extLst>
            <c:ext xmlns:c16="http://schemas.microsoft.com/office/drawing/2014/chart" uri="{C3380CC4-5D6E-409C-BE32-E72D297353CC}">
              <c16:uniqueId val="{00000003-5BB7-4010-AB73-8261C5B5CDA8}"/>
            </c:ext>
          </c:extLst>
        </c:ser>
        <c:dLbls>
          <c:showLegendKey val="0"/>
          <c:showVal val="0"/>
          <c:showCatName val="0"/>
          <c:showSerName val="0"/>
          <c:showPercent val="0"/>
          <c:showBubbleSize val="0"/>
        </c:dLbls>
        <c:gapWidth val="50"/>
        <c:overlap val="100"/>
        <c:axId val="475076968"/>
        <c:axId val="475078608"/>
      </c:barChart>
      <c:catAx>
        <c:axId val="475076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75078608"/>
        <c:crosses val="autoZero"/>
        <c:auto val="1"/>
        <c:lblAlgn val="ctr"/>
        <c:lblOffset val="100"/>
        <c:tickLblSkip val="4"/>
        <c:tickMarkSkip val="4"/>
        <c:noMultiLvlLbl val="0"/>
      </c:catAx>
      <c:valAx>
        <c:axId val="47507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75076968"/>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'INDUSTRY QUARTERLY'!$U$152</c:f>
              <c:strCache>
                <c:ptCount val="1"/>
                <c:pt idx="0">
                  <c:v>2020 Q3</c:v>
                </c:pt>
              </c:strCache>
            </c:strRef>
          </c:tx>
          <c:spPr>
            <a:solidFill>
              <a:schemeClr val="accent5">
                <a:lumMod val="60000"/>
                <a:lumOff val="40000"/>
              </a:schemeClr>
            </a:solidFill>
            <a:ln>
              <a:noFill/>
            </a:ln>
            <a:effectLst/>
          </c:spPr>
          <c:invertIfNegative val="0"/>
          <c:dPt>
            <c:idx val="1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C39A-44E0-8399-527BF39F078D}"/>
              </c:ext>
            </c:extLst>
          </c:dPt>
          <c:dPt>
            <c:idx val="1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C39A-44E0-8399-527BF39F078D}"/>
              </c:ext>
            </c:extLst>
          </c:dPt>
          <c:cat>
            <c:strRef>
              <c:f>'INDUSTRY QUARTERLY'!$R$153:$R$180</c:f>
              <c:strCache>
                <c:ptCount val="27"/>
                <c:pt idx="0">
                  <c:v>SK</c:v>
                </c:pt>
                <c:pt idx="1">
                  <c:v>AT</c:v>
                </c:pt>
                <c:pt idx="2">
                  <c:v>SE</c:v>
                </c:pt>
                <c:pt idx="3">
                  <c:v>LU</c:v>
                </c:pt>
                <c:pt idx="4">
                  <c:v>NL</c:v>
                </c:pt>
                <c:pt idx="5">
                  <c:v>DK</c:v>
                </c:pt>
                <c:pt idx="6">
                  <c:v>SI</c:v>
                </c:pt>
                <c:pt idx="7">
                  <c:v>FI</c:v>
                </c:pt>
                <c:pt idx="8">
                  <c:v>CZ</c:v>
                </c:pt>
                <c:pt idx="9">
                  <c:v>DE</c:v>
                </c:pt>
                <c:pt idx="10">
                  <c:v>HU</c:v>
                </c:pt>
                <c:pt idx="11">
                  <c:v>BE</c:v>
                </c:pt>
                <c:pt idx="12">
                  <c:v>PL</c:v>
                </c:pt>
                <c:pt idx="13">
                  <c:v>FR</c:v>
                </c:pt>
                <c:pt idx="14">
                  <c:v>ES vidēji</c:v>
                </c:pt>
                <c:pt idx="15">
                  <c:v>LT</c:v>
                </c:pt>
                <c:pt idx="16">
                  <c:v>PT</c:v>
                </c:pt>
                <c:pt idx="17">
                  <c:v>ES</c:v>
                </c:pt>
                <c:pt idx="18">
                  <c:v>LV</c:v>
                </c:pt>
                <c:pt idx="19">
                  <c:v>EL</c:v>
                </c:pt>
                <c:pt idx="20">
                  <c:v>IE</c:v>
                </c:pt>
                <c:pt idx="21">
                  <c:v>BG</c:v>
                </c:pt>
                <c:pt idx="22">
                  <c:v>MT</c:v>
                </c:pt>
                <c:pt idx="23">
                  <c:v>RO</c:v>
                </c:pt>
                <c:pt idx="24">
                  <c:v>HR</c:v>
                </c:pt>
                <c:pt idx="25">
                  <c:v>EE</c:v>
                </c:pt>
                <c:pt idx="26">
                  <c:v>IT</c:v>
                </c:pt>
              </c:strCache>
              <c:extLst/>
            </c:strRef>
          </c:cat>
          <c:val>
            <c:numRef>
              <c:f>'INDUSTRY QUARTERLY'!$U$153:$U$180</c:f>
              <c:numCache>
                <c:formatCode>0</c:formatCode>
                <c:ptCount val="27"/>
                <c:pt idx="0">
                  <c:v>78.3</c:v>
                </c:pt>
                <c:pt idx="1">
                  <c:v>77.2</c:v>
                </c:pt>
                <c:pt idx="2">
                  <c:v>77</c:v>
                </c:pt>
                <c:pt idx="3">
                  <c:v>76.3</c:v>
                </c:pt>
                <c:pt idx="4">
                  <c:v>76.3</c:v>
                </c:pt>
                <c:pt idx="5">
                  <c:v>76.2</c:v>
                </c:pt>
                <c:pt idx="6">
                  <c:v>76.099999999999994</c:v>
                </c:pt>
                <c:pt idx="7">
                  <c:v>76</c:v>
                </c:pt>
                <c:pt idx="8">
                  <c:v>75.5</c:v>
                </c:pt>
                <c:pt idx="9">
                  <c:v>74.400000000000006</c:v>
                </c:pt>
                <c:pt idx="10">
                  <c:v>74.099999999999994</c:v>
                </c:pt>
                <c:pt idx="11">
                  <c:v>73.400000000000006</c:v>
                </c:pt>
                <c:pt idx="12">
                  <c:v>72.900000000000006</c:v>
                </c:pt>
                <c:pt idx="13">
                  <c:v>72.8</c:v>
                </c:pt>
                <c:pt idx="14">
                  <c:v>72.400000000000006</c:v>
                </c:pt>
                <c:pt idx="15">
                  <c:v>71.900000000000006</c:v>
                </c:pt>
                <c:pt idx="16">
                  <c:v>71.900000000000006</c:v>
                </c:pt>
                <c:pt idx="17">
                  <c:v>71.5</c:v>
                </c:pt>
                <c:pt idx="18">
                  <c:v>70.8</c:v>
                </c:pt>
                <c:pt idx="19">
                  <c:v>70.3</c:v>
                </c:pt>
                <c:pt idx="20">
                  <c:v>69.599999999999994</c:v>
                </c:pt>
                <c:pt idx="21">
                  <c:v>68.8</c:v>
                </c:pt>
                <c:pt idx="22">
                  <c:v>68</c:v>
                </c:pt>
                <c:pt idx="23">
                  <c:v>66.900000000000006</c:v>
                </c:pt>
                <c:pt idx="24">
                  <c:v>66.5</c:v>
                </c:pt>
                <c:pt idx="25">
                  <c:v>66</c:v>
                </c:pt>
                <c:pt idx="26">
                  <c:v>64.5</c:v>
                </c:pt>
              </c:numCache>
              <c:extLst/>
            </c:numRef>
          </c:val>
          <c:extLst>
            <c:ext xmlns:c16="http://schemas.microsoft.com/office/drawing/2014/chart" uri="{C3380CC4-5D6E-409C-BE32-E72D297353CC}">
              <c16:uniqueId val="{00000004-C39A-44E0-8399-527BF39F078D}"/>
            </c:ext>
          </c:extLst>
        </c:ser>
        <c:dLbls>
          <c:showLegendKey val="0"/>
          <c:showVal val="0"/>
          <c:showCatName val="0"/>
          <c:showSerName val="0"/>
          <c:showPercent val="0"/>
          <c:showBubbleSize val="0"/>
        </c:dLbls>
        <c:gapWidth val="50"/>
        <c:axId val="763975935"/>
        <c:axId val="763983423"/>
      </c:barChart>
      <c:lineChart>
        <c:grouping val="standard"/>
        <c:varyColors val="0"/>
        <c:ser>
          <c:idx val="0"/>
          <c:order val="0"/>
          <c:tx>
            <c:strRef>
              <c:f>'INDUSTRY QUARTERLY'!$S$152</c:f>
              <c:strCache>
                <c:ptCount val="1"/>
                <c:pt idx="0">
                  <c:v>2019 Q2</c:v>
                </c:pt>
              </c:strCache>
            </c:strRef>
          </c:tx>
          <c:spPr>
            <a:ln w="28575" cap="rnd">
              <a:solidFill>
                <a:srgbClr val="00B050">
                  <a:alpha val="0"/>
                </a:srgbClr>
              </a:solidFill>
              <a:round/>
            </a:ln>
            <a:effectLst/>
          </c:spPr>
          <c:marker>
            <c:symbol val="square"/>
            <c:size val="7"/>
            <c:spPr>
              <a:solidFill>
                <a:srgbClr val="00B050"/>
              </a:solidFill>
              <a:ln w="9525">
                <a:solidFill>
                  <a:srgbClr val="00B050">
                    <a:alpha val="0"/>
                  </a:srgbClr>
                </a:solidFill>
              </a:ln>
              <a:effectLst/>
            </c:spPr>
          </c:marker>
          <c:cat>
            <c:strRef>
              <c:f>'INDUSTRY QUARTERLY'!$R$153:$R$180</c:f>
              <c:strCache>
                <c:ptCount val="27"/>
                <c:pt idx="0">
                  <c:v>SK</c:v>
                </c:pt>
                <c:pt idx="1">
                  <c:v>AT</c:v>
                </c:pt>
                <c:pt idx="2">
                  <c:v>SE</c:v>
                </c:pt>
                <c:pt idx="3">
                  <c:v>LU</c:v>
                </c:pt>
                <c:pt idx="4">
                  <c:v>NL</c:v>
                </c:pt>
                <c:pt idx="5">
                  <c:v>DK</c:v>
                </c:pt>
                <c:pt idx="6">
                  <c:v>SI</c:v>
                </c:pt>
                <c:pt idx="7">
                  <c:v>FI</c:v>
                </c:pt>
                <c:pt idx="8">
                  <c:v>CZ</c:v>
                </c:pt>
                <c:pt idx="9">
                  <c:v>DE</c:v>
                </c:pt>
                <c:pt idx="10">
                  <c:v>HU</c:v>
                </c:pt>
                <c:pt idx="11">
                  <c:v>BE</c:v>
                </c:pt>
                <c:pt idx="12">
                  <c:v>PL</c:v>
                </c:pt>
                <c:pt idx="13">
                  <c:v>FR</c:v>
                </c:pt>
                <c:pt idx="14">
                  <c:v>ES vidēji</c:v>
                </c:pt>
                <c:pt idx="15">
                  <c:v>LT</c:v>
                </c:pt>
                <c:pt idx="16">
                  <c:v>PT</c:v>
                </c:pt>
                <c:pt idx="17">
                  <c:v>ES</c:v>
                </c:pt>
                <c:pt idx="18">
                  <c:v>LV</c:v>
                </c:pt>
                <c:pt idx="19">
                  <c:v>EL</c:v>
                </c:pt>
                <c:pt idx="20">
                  <c:v>IE</c:v>
                </c:pt>
                <c:pt idx="21">
                  <c:v>BG</c:v>
                </c:pt>
                <c:pt idx="22">
                  <c:v>MT</c:v>
                </c:pt>
                <c:pt idx="23">
                  <c:v>RO</c:v>
                </c:pt>
                <c:pt idx="24">
                  <c:v>HR</c:v>
                </c:pt>
                <c:pt idx="25">
                  <c:v>EE</c:v>
                </c:pt>
                <c:pt idx="26">
                  <c:v>IT</c:v>
                </c:pt>
              </c:strCache>
              <c:extLst/>
            </c:strRef>
          </c:cat>
          <c:val>
            <c:numRef>
              <c:f>'INDUSTRY QUARTERLY'!$S$153:$S$180</c:f>
              <c:numCache>
                <c:formatCode>0</c:formatCode>
                <c:ptCount val="27"/>
                <c:pt idx="0">
                  <c:v>89.1</c:v>
                </c:pt>
                <c:pt idx="1">
                  <c:v>87.2</c:v>
                </c:pt>
                <c:pt idx="2">
                  <c:v>87.3</c:v>
                </c:pt>
                <c:pt idx="3">
                  <c:v>79.7</c:v>
                </c:pt>
                <c:pt idx="4">
                  <c:v>84.3</c:v>
                </c:pt>
                <c:pt idx="5">
                  <c:v>81.3</c:v>
                </c:pt>
                <c:pt idx="6">
                  <c:v>84.8</c:v>
                </c:pt>
                <c:pt idx="7">
                  <c:v>80.8</c:v>
                </c:pt>
                <c:pt idx="8">
                  <c:v>85.9</c:v>
                </c:pt>
                <c:pt idx="9">
                  <c:v>85.3</c:v>
                </c:pt>
                <c:pt idx="10">
                  <c:v>85.4</c:v>
                </c:pt>
                <c:pt idx="11">
                  <c:v>81.3</c:v>
                </c:pt>
                <c:pt idx="12">
                  <c:v>81.8</c:v>
                </c:pt>
                <c:pt idx="13">
                  <c:v>85.1</c:v>
                </c:pt>
                <c:pt idx="14">
                  <c:v>82.7</c:v>
                </c:pt>
                <c:pt idx="15">
                  <c:v>76.900000000000006</c:v>
                </c:pt>
                <c:pt idx="16">
                  <c:v>79.400000000000006</c:v>
                </c:pt>
                <c:pt idx="17">
                  <c:v>80.400000000000006</c:v>
                </c:pt>
                <c:pt idx="18">
                  <c:v>76.900000000000006</c:v>
                </c:pt>
                <c:pt idx="19">
                  <c:v>71.7</c:v>
                </c:pt>
                <c:pt idx="20">
                  <c:v>76.900000000000006</c:v>
                </c:pt>
                <c:pt idx="21">
                  <c:v>78</c:v>
                </c:pt>
                <c:pt idx="22">
                  <c:v>78.2</c:v>
                </c:pt>
                <c:pt idx="23">
                  <c:v>75.2</c:v>
                </c:pt>
                <c:pt idx="24">
                  <c:v>73.400000000000006</c:v>
                </c:pt>
                <c:pt idx="25">
                  <c:v>73.5</c:v>
                </c:pt>
                <c:pt idx="26">
                  <c:v>77.5</c:v>
                </c:pt>
              </c:numCache>
              <c:extLst/>
            </c:numRef>
          </c:val>
          <c:smooth val="0"/>
          <c:extLst>
            <c:ext xmlns:c16="http://schemas.microsoft.com/office/drawing/2014/chart" uri="{C3380CC4-5D6E-409C-BE32-E72D297353CC}">
              <c16:uniqueId val="{00000005-C39A-44E0-8399-527BF39F078D}"/>
            </c:ext>
          </c:extLst>
        </c:ser>
        <c:ser>
          <c:idx val="1"/>
          <c:order val="1"/>
          <c:tx>
            <c:strRef>
              <c:f>'INDUSTRY QUARTERLY'!$T$152</c:f>
              <c:strCache>
                <c:ptCount val="1"/>
                <c:pt idx="0">
                  <c:v>2020 Q2</c:v>
                </c:pt>
              </c:strCache>
            </c:strRef>
          </c:tx>
          <c:spPr>
            <a:ln w="28575" cap="rnd">
              <a:solidFill>
                <a:schemeClr val="bg1">
                  <a:lumMod val="50000"/>
                  <a:alpha val="0"/>
                </a:schemeClr>
              </a:solidFill>
              <a:round/>
            </a:ln>
            <a:effectLst/>
          </c:spPr>
          <c:marker>
            <c:symbol val="circle"/>
            <c:size val="8"/>
            <c:spPr>
              <a:solidFill>
                <a:srgbClr val="FFFF00"/>
              </a:solidFill>
              <a:ln w="9525">
                <a:solidFill>
                  <a:schemeClr val="bg1">
                    <a:lumMod val="50000"/>
                    <a:alpha val="0"/>
                  </a:schemeClr>
                </a:solidFill>
              </a:ln>
              <a:effectLst/>
            </c:spPr>
          </c:marker>
          <c:cat>
            <c:strRef>
              <c:f>'INDUSTRY QUARTERLY'!$R$153:$R$180</c:f>
              <c:strCache>
                <c:ptCount val="27"/>
                <c:pt idx="0">
                  <c:v>SK</c:v>
                </c:pt>
                <c:pt idx="1">
                  <c:v>AT</c:v>
                </c:pt>
                <c:pt idx="2">
                  <c:v>SE</c:v>
                </c:pt>
                <c:pt idx="3">
                  <c:v>LU</c:v>
                </c:pt>
                <c:pt idx="4">
                  <c:v>NL</c:v>
                </c:pt>
                <c:pt idx="5">
                  <c:v>DK</c:v>
                </c:pt>
                <c:pt idx="6">
                  <c:v>SI</c:v>
                </c:pt>
                <c:pt idx="7">
                  <c:v>FI</c:v>
                </c:pt>
                <c:pt idx="8">
                  <c:v>CZ</c:v>
                </c:pt>
                <c:pt idx="9">
                  <c:v>DE</c:v>
                </c:pt>
                <c:pt idx="10">
                  <c:v>HU</c:v>
                </c:pt>
                <c:pt idx="11">
                  <c:v>BE</c:v>
                </c:pt>
                <c:pt idx="12">
                  <c:v>PL</c:v>
                </c:pt>
                <c:pt idx="13">
                  <c:v>FR</c:v>
                </c:pt>
                <c:pt idx="14">
                  <c:v>ES vidēji</c:v>
                </c:pt>
                <c:pt idx="15">
                  <c:v>LT</c:v>
                </c:pt>
                <c:pt idx="16">
                  <c:v>PT</c:v>
                </c:pt>
                <c:pt idx="17">
                  <c:v>ES</c:v>
                </c:pt>
                <c:pt idx="18">
                  <c:v>LV</c:v>
                </c:pt>
                <c:pt idx="19">
                  <c:v>EL</c:v>
                </c:pt>
                <c:pt idx="20">
                  <c:v>IE</c:v>
                </c:pt>
                <c:pt idx="21">
                  <c:v>BG</c:v>
                </c:pt>
                <c:pt idx="22">
                  <c:v>MT</c:v>
                </c:pt>
                <c:pt idx="23">
                  <c:v>RO</c:v>
                </c:pt>
                <c:pt idx="24">
                  <c:v>HR</c:v>
                </c:pt>
                <c:pt idx="25">
                  <c:v>EE</c:v>
                </c:pt>
                <c:pt idx="26">
                  <c:v>IT</c:v>
                </c:pt>
              </c:strCache>
              <c:extLst/>
            </c:strRef>
          </c:cat>
          <c:val>
            <c:numRef>
              <c:f>'INDUSTRY QUARTERLY'!$T$153:$T$180</c:f>
              <c:numCache>
                <c:formatCode>0</c:formatCode>
                <c:ptCount val="27"/>
                <c:pt idx="0">
                  <c:v>77.099999999999994</c:v>
                </c:pt>
                <c:pt idx="1">
                  <c:v>73.900000000000006</c:v>
                </c:pt>
                <c:pt idx="2">
                  <c:v>72.400000000000006</c:v>
                </c:pt>
                <c:pt idx="3">
                  <c:v>53.8</c:v>
                </c:pt>
                <c:pt idx="4">
                  <c:v>75.2</c:v>
                </c:pt>
                <c:pt idx="5">
                  <c:v>76.099999999999994</c:v>
                </c:pt>
                <c:pt idx="6">
                  <c:v>71.900000000000006</c:v>
                </c:pt>
                <c:pt idx="7">
                  <c:v>77.2</c:v>
                </c:pt>
                <c:pt idx="8">
                  <c:v>71</c:v>
                </c:pt>
                <c:pt idx="9">
                  <c:v>71.400000000000006</c:v>
                </c:pt>
                <c:pt idx="10">
                  <c:v>72.5</c:v>
                </c:pt>
                <c:pt idx="11">
                  <c:v>72.8</c:v>
                </c:pt>
                <c:pt idx="12">
                  <c:v>70.7</c:v>
                </c:pt>
                <c:pt idx="13">
                  <c:v>62.4</c:v>
                </c:pt>
                <c:pt idx="14">
                  <c:v>68.900000000000006</c:v>
                </c:pt>
                <c:pt idx="15">
                  <c:v>70</c:v>
                </c:pt>
                <c:pt idx="16">
                  <c:v>71.7</c:v>
                </c:pt>
                <c:pt idx="17">
                  <c:v>70.900000000000006</c:v>
                </c:pt>
                <c:pt idx="18">
                  <c:v>69.099999999999994</c:v>
                </c:pt>
                <c:pt idx="19">
                  <c:v>67.3</c:v>
                </c:pt>
                <c:pt idx="20">
                  <c:v>56.7</c:v>
                </c:pt>
                <c:pt idx="21">
                  <c:v>68.2</c:v>
                </c:pt>
                <c:pt idx="22">
                  <c:v>61.1</c:v>
                </c:pt>
                <c:pt idx="23">
                  <c:v>73.400000000000006</c:v>
                </c:pt>
                <c:pt idx="24">
                  <c:v>59.9</c:v>
                </c:pt>
                <c:pt idx="25">
                  <c:v>63.3</c:v>
                </c:pt>
              </c:numCache>
              <c:extLst/>
            </c:numRef>
          </c:val>
          <c:smooth val="0"/>
          <c:extLst>
            <c:ext xmlns:c16="http://schemas.microsoft.com/office/drawing/2014/chart" uri="{C3380CC4-5D6E-409C-BE32-E72D297353CC}">
              <c16:uniqueId val="{00000006-C39A-44E0-8399-527BF39F078D}"/>
            </c:ext>
          </c:extLst>
        </c:ser>
        <c:dLbls>
          <c:showLegendKey val="0"/>
          <c:showVal val="0"/>
          <c:showCatName val="0"/>
          <c:showSerName val="0"/>
          <c:showPercent val="0"/>
          <c:showBubbleSize val="0"/>
        </c:dLbls>
        <c:marker val="1"/>
        <c:smooth val="0"/>
        <c:axId val="763975935"/>
        <c:axId val="763983423"/>
      </c:lineChart>
      <c:catAx>
        <c:axId val="76397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63983423"/>
        <c:crosses val="autoZero"/>
        <c:auto val="1"/>
        <c:lblAlgn val="ctr"/>
        <c:lblOffset val="100"/>
        <c:tickLblSkip val="1"/>
        <c:noMultiLvlLbl val="0"/>
      </c:catAx>
      <c:valAx>
        <c:axId val="763983423"/>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63975935"/>
        <c:crosses val="autoZero"/>
        <c:crossBetween val="between"/>
        <c:majorUnit val="5"/>
      </c:valAx>
      <c:spPr>
        <a:noFill/>
        <a:ln>
          <a:solidFill>
            <a:schemeClr val="tx1">
              <a:lumMod val="15000"/>
              <a:lumOff val="8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'Valstu skaits'!$E$10</c:f>
              <c:strCache>
                <c:ptCount val="1"/>
                <c:pt idx="0">
                  <c:v>2015</c:v>
                </c:pt>
              </c:strCache>
            </c:strRef>
          </c:tx>
          <c:spPr>
            <a:solidFill>
              <a:schemeClr val="accent1"/>
            </a:solidFill>
            <a:ln>
              <a:noFill/>
            </a:ln>
            <a:effectLst/>
          </c:spPr>
          <c:invertIfNegative val="0"/>
          <c:cat>
            <c:strRef>
              <c:f>'Valstu skaits'!$D$11:$D$24</c:f>
              <c:strCache>
                <c:ptCount val="14"/>
                <c:pt idx="0">
                  <c:v>Tekošā konta bilance </c:v>
                </c:pt>
                <c:pt idx="1">
                  <c:v>Neto starptautiskā inv. poz.</c:v>
                </c:pt>
                <c:pt idx="2">
                  <c:v>Reālais efektīvais  maiņas kurss</c:v>
                </c:pt>
                <c:pt idx="3">
                  <c:v>Eksporta tirgus daļa % no pasaules eksporta</c:v>
                </c:pt>
                <c:pt idx="4">
                  <c:v>Nominālo vienības darbaspēka izmaksu indekss</c:v>
                </c:pt>
                <c:pt idx="5">
                  <c:v>Mājokļu cenu indekss</c:v>
                </c:pt>
                <c:pt idx="6">
                  <c:v>Privātā sektora kredītplūsma</c:v>
                </c:pt>
                <c:pt idx="7">
                  <c:v>Privātā sektora konsolidētais parāds</c:v>
                </c:pt>
                <c:pt idx="8">
                  <c:v>Vispārējais valdības parāds</c:v>
                </c:pt>
                <c:pt idx="9">
                  <c:v>Bezdarba līmenis</c:v>
                </c:pt>
                <c:pt idx="10">
                  <c:v>Finanšu sektora saistības kopā</c:v>
                </c:pt>
                <c:pt idx="11">
                  <c:v>Ekonomiski aktīvo iedzīvotāju īpatsvars </c:v>
                </c:pt>
                <c:pt idx="12">
                  <c:v>Ilgtermiņa bezdarba līmenis </c:v>
                </c:pt>
                <c:pt idx="13">
                  <c:v>Jauniešu bezdarba līmenis</c:v>
                </c:pt>
              </c:strCache>
            </c:strRef>
          </c:cat>
          <c:val>
            <c:numRef>
              <c:f>'Valstu skaits'!$E$11:$E$24</c:f>
              <c:numCache>
                <c:formatCode>General</c:formatCode>
                <c:ptCount val="14"/>
                <c:pt idx="0">
                  <c:v>5</c:v>
                </c:pt>
                <c:pt idx="1">
                  <c:v>15</c:v>
                </c:pt>
                <c:pt idx="2">
                  <c:v>5</c:v>
                </c:pt>
                <c:pt idx="3">
                  <c:v>11</c:v>
                </c:pt>
                <c:pt idx="4">
                  <c:v>4</c:v>
                </c:pt>
                <c:pt idx="5">
                  <c:v>6</c:v>
                </c:pt>
                <c:pt idx="6">
                  <c:v>1</c:v>
                </c:pt>
                <c:pt idx="7">
                  <c:v>13</c:v>
                </c:pt>
                <c:pt idx="8">
                  <c:v>17</c:v>
                </c:pt>
                <c:pt idx="9">
                  <c:v>12</c:v>
                </c:pt>
                <c:pt idx="10">
                  <c:v>0</c:v>
                </c:pt>
                <c:pt idx="11">
                  <c:v>0</c:v>
                </c:pt>
                <c:pt idx="12">
                  <c:v>8</c:v>
                </c:pt>
                <c:pt idx="13">
                  <c:v>4</c:v>
                </c:pt>
              </c:numCache>
            </c:numRef>
          </c:val>
          <c:extLst>
            <c:ext xmlns:c16="http://schemas.microsoft.com/office/drawing/2014/chart" uri="{C3380CC4-5D6E-409C-BE32-E72D297353CC}">
              <c16:uniqueId val="{00000000-E456-420A-A64F-4BAC18DF74B6}"/>
            </c:ext>
          </c:extLst>
        </c:ser>
        <c:ser>
          <c:idx val="1"/>
          <c:order val="1"/>
          <c:tx>
            <c:strRef>
              <c:f>'Valstu skaits'!$F$10</c:f>
              <c:strCache>
                <c:ptCount val="1"/>
                <c:pt idx="0">
                  <c:v>2016</c:v>
                </c:pt>
              </c:strCache>
            </c:strRef>
          </c:tx>
          <c:spPr>
            <a:solidFill>
              <a:schemeClr val="accent2"/>
            </a:solidFill>
            <a:ln>
              <a:noFill/>
            </a:ln>
            <a:effectLst/>
          </c:spPr>
          <c:invertIfNegative val="0"/>
          <c:cat>
            <c:strRef>
              <c:f>'Valstu skaits'!$D$11:$D$24</c:f>
              <c:strCache>
                <c:ptCount val="14"/>
                <c:pt idx="0">
                  <c:v>Tekošā konta bilance </c:v>
                </c:pt>
                <c:pt idx="1">
                  <c:v>Neto starptautiskā inv. poz.</c:v>
                </c:pt>
                <c:pt idx="2">
                  <c:v>Reālais efektīvais  maiņas kurss</c:v>
                </c:pt>
                <c:pt idx="3">
                  <c:v>Eksporta tirgus daļa % no pasaules eksporta</c:v>
                </c:pt>
                <c:pt idx="4">
                  <c:v>Nominālo vienības darbaspēka izmaksu indekss</c:v>
                </c:pt>
                <c:pt idx="5">
                  <c:v>Mājokļu cenu indekss</c:v>
                </c:pt>
                <c:pt idx="6">
                  <c:v>Privātā sektora kredītplūsma</c:v>
                </c:pt>
                <c:pt idx="7">
                  <c:v>Privātā sektora konsolidētais parāds</c:v>
                </c:pt>
                <c:pt idx="8">
                  <c:v>Vispārējais valdības parāds</c:v>
                </c:pt>
                <c:pt idx="9">
                  <c:v>Bezdarba līmenis</c:v>
                </c:pt>
                <c:pt idx="10">
                  <c:v>Finanšu sektora saistības kopā</c:v>
                </c:pt>
                <c:pt idx="11">
                  <c:v>Ekonomiski aktīvo iedzīvotāju īpatsvars </c:v>
                </c:pt>
                <c:pt idx="12">
                  <c:v>Ilgtermiņa bezdarba līmenis </c:v>
                </c:pt>
                <c:pt idx="13">
                  <c:v>Jauniešu bezdarba līmenis</c:v>
                </c:pt>
              </c:strCache>
            </c:strRef>
          </c:cat>
          <c:val>
            <c:numRef>
              <c:f>'Valstu skaits'!$F$11:$F$24</c:f>
              <c:numCache>
                <c:formatCode>General</c:formatCode>
                <c:ptCount val="14"/>
                <c:pt idx="0">
                  <c:v>5</c:v>
                </c:pt>
                <c:pt idx="1">
                  <c:v>15</c:v>
                </c:pt>
                <c:pt idx="2">
                  <c:v>3</c:v>
                </c:pt>
                <c:pt idx="3">
                  <c:v>3</c:v>
                </c:pt>
                <c:pt idx="4">
                  <c:v>3</c:v>
                </c:pt>
                <c:pt idx="5">
                  <c:v>10</c:v>
                </c:pt>
                <c:pt idx="6">
                  <c:v>0</c:v>
                </c:pt>
                <c:pt idx="7">
                  <c:v>12</c:v>
                </c:pt>
                <c:pt idx="8">
                  <c:v>16</c:v>
                </c:pt>
                <c:pt idx="9">
                  <c:v>9</c:v>
                </c:pt>
                <c:pt idx="10">
                  <c:v>1</c:v>
                </c:pt>
                <c:pt idx="11">
                  <c:v>1</c:v>
                </c:pt>
                <c:pt idx="12">
                  <c:v>2</c:v>
                </c:pt>
                <c:pt idx="13">
                  <c:v>1</c:v>
                </c:pt>
              </c:numCache>
            </c:numRef>
          </c:val>
          <c:extLst>
            <c:ext xmlns:c16="http://schemas.microsoft.com/office/drawing/2014/chart" uri="{C3380CC4-5D6E-409C-BE32-E72D297353CC}">
              <c16:uniqueId val="{00000001-E456-420A-A64F-4BAC18DF74B6}"/>
            </c:ext>
          </c:extLst>
        </c:ser>
        <c:ser>
          <c:idx val="2"/>
          <c:order val="2"/>
          <c:tx>
            <c:strRef>
              <c:f>'Valstu skaits'!$G$10</c:f>
              <c:strCache>
                <c:ptCount val="1"/>
                <c:pt idx="0">
                  <c:v>2017</c:v>
                </c:pt>
              </c:strCache>
            </c:strRef>
          </c:tx>
          <c:spPr>
            <a:solidFill>
              <a:schemeClr val="accent3"/>
            </a:solidFill>
            <a:ln>
              <a:noFill/>
            </a:ln>
            <a:effectLst/>
          </c:spPr>
          <c:invertIfNegative val="0"/>
          <c:cat>
            <c:strRef>
              <c:f>'Valstu skaits'!$D$11:$D$24</c:f>
              <c:strCache>
                <c:ptCount val="14"/>
                <c:pt idx="0">
                  <c:v>Tekošā konta bilance </c:v>
                </c:pt>
                <c:pt idx="1">
                  <c:v>Neto starptautiskā inv. poz.</c:v>
                </c:pt>
                <c:pt idx="2">
                  <c:v>Reālais efektīvais  maiņas kurss</c:v>
                </c:pt>
                <c:pt idx="3">
                  <c:v>Eksporta tirgus daļa % no pasaules eksporta</c:v>
                </c:pt>
                <c:pt idx="4">
                  <c:v>Nominālo vienības darbaspēka izmaksu indekss</c:v>
                </c:pt>
                <c:pt idx="5">
                  <c:v>Mājokļu cenu indekss</c:v>
                </c:pt>
                <c:pt idx="6">
                  <c:v>Privātā sektora kredītplūsma</c:v>
                </c:pt>
                <c:pt idx="7">
                  <c:v>Privātā sektora konsolidētais parāds</c:v>
                </c:pt>
                <c:pt idx="8">
                  <c:v>Vispārējais valdības parāds</c:v>
                </c:pt>
                <c:pt idx="9">
                  <c:v>Bezdarba līmenis</c:v>
                </c:pt>
                <c:pt idx="10">
                  <c:v>Finanšu sektora saistības kopā</c:v>
                </c:pt>
                <c:pt idx="11">
                  <c:v>Ekonomiski aktīvo iedzīvotāju īpatsvars </c:v>
                </c:pt>
                <c:pt idx="12">
                  <c:v>Ilgtermiņa bezdarba līmenis </c:v>
                </c:pt>
                <c:pt idx="13">
                  <c:v>Jauniešu bezdarba līmenis</c:v>
                </c:pt>
              </c:strCache>
            </c:strRef>
          </c:cat>
          <c:val>
            <c:numRef>
              <c:f>'Valstu skaits'!$G$11:$G$24</c:f>
              <c:numCache>
                <c:formatCode>General</c:formatCode>
                <c:ptCount val="14"/>
                <c:pt idx="0">
                  <c:v>6</c:v>
                </c:pt>
                <c:pt idx="1">
                  <c:v>13</c:v>
                </c:pt>
                <c:pt idx="2">
                  <c:v>2</c:v>
                </c:pt>
                <c:pt idx="3">
                  <c:v>1</c:v>
                </c:pt>
                <c:pt idx="4">
                  <c:v>4</c:v>
                </c:pt>
                <c:pt idx="5">
                  <c:v>6</c:v>
                </c:pt>
                <c:pt idx="6">
                  <c:v>0</c:v>
                </c:pt>
                <c:pt idx="7">
                  <c:v>12</c:v>
                </c:pt>
                <c:pt idx="8">
                  <c:v>15</c:v>
                </c:pt>
                <c:pt idx="9">
                  <c:v>7</c:v>
                </c:pt>
                <c:pt idx="10">
                  <c:v>2</c:v>
                </c:pt>
                <c:pt idx="11">
                  <c:v>3</c:v>
                </c:pt>
                <c:pt idx="12">
                  <c:v>1</c:v>
                </c:pt>
                <c:pt idx="13">
                  <c:v>0</c:v>
                </c:pt>
              </c:numCache>
            </c:numRef>
          </c:val>
          <c:extLst>
            <c:ext xmlns:c16="http://schemas.microsoft.com/office/drawing/2014/chart" uri="{C3380CC4-5D6E-409C-BE32-E72D297353CC}">
              <c16:uniqueId val="{00000002-E456-420A-A64F-4BAC18DF74B6}"/>
            </c:ext>
          </c:extLst>
        </c:ser>
        <c:ser>
          <c:idx val="3"/>
          <c:order val="3"/>
          <c:tx>
            <c:strRef>
              <c:f>'Valstu skaits'!$H$10</c:f>
              <c:strCache>
                <c:ptCount val="1"/>
                <c:pt idx="0">
                  <c:v>2018</c:v>
                </c:pt>
              </c:strCache>
            </c:strRef>
          </c:tx>
          <c:spPr>
            <a:solidFill>
              <a:schemeClr val="accent4"/>
            </a:solidFill>
            <a:ln>
              <a:noFill/>
            </a:ln>
            <a:effectLst/>
          </c:spPr>
          <c:invertIfNegative val="0"/>
          <c:cat>
            <c:strRef>
              <c:f>'Valstu skaits'!$D$11:$D$24</c:f>
              <c:strCache>
                <c:ptCount val="14"/>
                <c:pt idx="0">
                  <c:v>Tekošā konta bilance </c:v>
                </c:pt>
                <c:pt idx="1">
                  <c:v>Neto starptautiskā inv. poz.</c:v>
                </c:pt>
                <c:pt idx="2">
                  <c:v>Reālais efektīvais  maiņas kurss</c:v>
                </c:pt>
                <c:pt idx="3">
                  <c:v>Eksporta tirgus daļa % no pasaules eksporta</c:v>
                </c:pt>
                <c:pt idx="4">
                  <c:v>Nominālo vienības darbaspēka izmaksu indekss</c:v>
                </c:pt>
                <c:pt idx="5">
                  <c:v>Mājokļu cenu indekss</c:v>
                </c:pt>
                <c:pt idx="6">
                  <c:v>Privātā sektora kredītplūsma</c:v>
                </c:pt>
                <c:pt idx="7">
                  <c:v>Privātā sektora konsolidētais parāds</c:v>
                </c:pt>
                <c:pt idx="8">
                  <c:v>Vispārējais valdības parāds</c:v>
                </c:pt>
                <c:pt idx="9">
                  <c:v>Bezdarba līmenis</c:v>
                </c:pt>
                <c:pt idx="10">
                  <c:v>Finanšu sektora saistības kopā</c:v>
                </c:pt>
                <c:pt idx="11">
                  <c:v>Ekonomiski aktīvo iedzīvotāju īpatsvars </c:v>
                </c:pt>
                <c:pt idx="12">
                  <c:v>Ilgtermiņa bezdarba līmenis </c:v>
                </c:pt>
                <c:pt idx="13">
                  <c:v>Jauniešu bezdarba līmenis</c:v>
                </c:pt>
              </c:strCache>
            </c:strRef>
          </c:cat>
          <c:val>
            <c:numRef>
              <c:f>'Valstu skaits'!$H$11:$H$24</c:f>
              <c:numCache>
                <c:formatCode>General</c:formatCode>
                <c:ptCount val="14"/>
                <c:pt idx="0">
                  <c:v>6</c:v>
                </c:pt>
                <c:pt idx="1">
                  <c:v>12</c:v>
                </c:pt>
                <c:pt idx="2">
                  <c:v>6</c:v>
                </c:pt>
                <c:pt idx="3">
                  <c:v>1</c:v>
                </c:pt>
                <c:pt idx="4">
                  <c:v>8</c:v>
                </c:pt>
                <c:pt idx="5">
                  <c:v>7</c:v>
                </c:pt>
                <c:pt idx="6">
                  <c:v>0</c:v>
                </c:pt>
                <c:pt idx="7">
                  <c:v>12</c:v>
                </c:pt>
                <c:pt idx="8">
                  <c:v>14</c:v>
                </c:pt>
                <c:pt idx="9">
                  <c:v>5</c:v>
                </c:pt>
                <c:pt idx="10">
                  <c:v>1</c:v>
                </c:pt>
                <c:pt idx="11">
                  <c:v>2</c:v>
                </c:pt>
                <c:pt idx="12">
                  <c:v>0</c:v>
                </c:pt>
                <c:pt idx="13">
                  <c:v>0</c:v>
                </c:pt>
              </c:numCache>
            </c:numRef>
          </c:val>
          <c:extLst>
            <c:ext xmlns:c16="http://schemas.microsoft.com/office/drawing/2014/chart" uri="{C3380CC4-5D6E-409C-BE32-E72D297353CC}">
              <c16:uniqueId val="{00000003-E456-420A-A64F-4BAC18DF74B6}"/>
            </c:ext>
          </c:extLst>
        </c:ser>
        <c:dLbls>
          <c:showLegendKey val="0"/>
          <c:showVal val="0"/>
          <c:showCatName val="0"/>
          <c:showSerName val="0"/>
          <c:showPercent val="0"/>
          <c:showBubbleSize val="0"/>
        </c:dLbls>
        <c:gapWidth val="50"/>
        <c:axId val="1170424128"/>
        <c:axId val="1170426208"/>
      </c:barChart>
      <c:catAx>
        <c:axId val="1170424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70426208"/>
        <c:crosses val="autoZero"/>
        <c:auto val="1"/>
        <c:lblAlgn val="ctr"/>
        <c:lblOffset val="100"/>
        <c:noMultiLvlLbl val="0"/>
      </c:catAx>
      <c:valAx>
        <c:axId val="117042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7042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919730448863101E-2"/>
          <c:y val="2.74641800997883E-2"/>
          <c:w val="0.91830222222222224"/>
          <c:h val="0.66373553962331611"/>
        </c:manualLayout>
      </c:layout>
      <c:lineChart>
        <c:grouping val="standard"/>
        <c:varyColors val="0"/>
        <c:ser>
          <c:idx val="7"/>
          <c:order val="0"/>
          <c:tx>
            <c:strRef>
              <c:f>LV!$A$13</c:f>
              <c:strCache>
                <c:ptCount val="1"/>
                <c:pt idx="0">
                  <c:v>2021.g. budžeta prognozes</c:v>
                </c:pt>
              </c:strCache>
            </c:strRef>
          </c:tx>
          <c:spPr>
            <a:ln w="28575" cap="rnd">
              <a:solidFill>
                <a:schemeClr val="accent2">
                  <a:lumMod val="60000"/>
                </a:schemeClr>
              </a:solidFill>
              <a:round/>
            </a:ln>
            <a:effectLst/>
          </c:spPr>
          <c:marker>
            <c:symbol val="none"/>
          </c:marker>
          <c:cat>
            <c:numRef>
              <c:f>LV!$B$12:$R$12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LV!$B$13:$R$13</c:f>
              <c:numCache>
                <c:formatCode>General</c:formatCode>
                <c:ptCount val="17"/>
                <c:pt idx="12" formatCode="0.0">
                  <c:v>106.2457695835968</c:v>
                </c:pt>
                <c:pt idx="13" formatCode="0.0">
                  <c:v>98.808565712744809</c:v>
                </c:pt>
                <c:pt idx="14" formatCode="0.0">
                  <c:v>103.84886103154413</c:v>
                </c:pt>
                <c:pt idx="15" formatCode="0.0">
                  <c:v>107.11974573405909</c:v>
                </c:pt>
                <c:pt idx="16" formatCode="0.0">
                  <c:v>110.46691435543184</c:v>
                </c:pt>
              </c:numCache>
            </c:numRef>
          </c:val>
          <c:smooth val="0"/>
          <c:extLst>
            <c:ext xmlns:c16="http://schemas.microsoft.com/office/drawing/2014/chart" uri="{C3380CC4-5D6E-409C-BE32-E72D297353CC}">
              <c16:uniqueId val="{00000000-0F47-43C3-8E2E-35154C2DE1B1}"/>
            </c:ext>
          </c:extLst>
        </c:ser>
        <c:ser>
          <c:idx val="0"/>
          <c:order val="1"/>
          <c:tx>
            <c:strRef>
              <c:f>LV!$A$14</c:f>
              <c:strCache>
                <c:ptCount val="1"/>
                <c:pt idx="0">
                  <c:v>2020.g. budžeta prognozes</c:v>
                </c:pt>
              </c:strCache>
            </c:strRef>
          </c:tx>
          <c:spPr>
            <a:ln w="28575" cap="rnd">
              <a:solidFill>
                <a:srgbClr val="FFC000"/>
              </a:solidFill>
              <a:round/>
            </a:ln>
            <a:effectLst/>
          </c:spPr>
          <c:marker>
            <c:symbol val="none"/>
          </c:marker>
          <c:dPt>
            <c:idx val="2"/>
            <c:marker>
              <c:symbol val="none"/>
            </c:marker>
            <c:bubble3D val="0"/>
            <c:spPr>
              <a:ln w="28575" cap="rnd">
                <a:solidFill>
                  <a:srgbClr val="FFC000"/>
                </a:solidFill>
                <a:round/>
              </a:ln>
              <a:effectLst/>
            </c:spPr>
            <c:extLst>
              <c:ext xmlns:c16="http://schemas.microsoft.com/office/drawing/2014/chart" uri="{C3380CC4-5D6E-409C-BE32-E72D297353CC}">
                <c16:uniqueId val="{00000002-0F47-43C3-8E2E-35154C2DE1B1}"/>
              </c:ext>
            </c:extLst>
          </c:dPt>
          <c:cat>
            <c:numRef>
              <c:f>LV!$B$12:$R$12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LV!$B$14:$R$14</c:f>
              <c:numCache>
                <c:formatCode>General</c:formatCode>
                <c:ptCount val="17"/>
                <c:pt idx="11" formatCode="0.0">
                  <c:v>103.96128097259835</c:v>
                </c:pt>
                <c:pt idx="12" formatCode="0.0">
                  <c:v>107.25183844424977</c:v>
                </c:pt>
                <c:pt idx="13" formatCode="0.0">
                  <c:v>110.25697461625705</c:v>
                </c:pt>
                <c:pt idx="14" formatCode="0.0">
                  <c:v>113.34011524725133</c:v>
                </c:pt>
                <c:pt idx="15" formatCode="0.0">
                  <c:v>116.50779807941144</c:v>
                </c:pt>
              </c:numCache>
            </c:numRef>
          </c:val>
          <c:smooth val="0"/>
          <c:extLst>
            <c:ext xmlns:c16="http://schemas.microsoft.com/office/drawing/2014/chart" uri="{C3380CC4-5D6E-409C-BE32-E72D297353CC}">
              <c16:uniqueId val="{00000003-0F47-43C3-8E2E-35154C2DE1B1}"/>
            </c:ext>
          </c:extLst>
        </c:ser>
        <c:ser>
          <c:idx val="1"/>
          <c:order val="2"/>
          <c:tx>
            <c:strRef>
              <c:f>LV!$A$15</c:f>
              <c:strCache>
                <c:ptCount val="1"/>
                <c:pt idx="0">
                  <c:v>2019.g. budžeta prognozes</c:v>
                </c:pt>
              </c:strCache>
            </c:strRef>
          </c:tx>
          <c:spPr>
            <a:ln w="28575" cap="rnd">
              <a:solidFill>
                <a:srgbClr val="FF0000"/>
              </a:solidFill>
              <a:round/>
            </a:ln>
            <a:effectLst/>
          </c:spPr>
          <c:marker>
            <c:symbol val="none"/>
          </c:marker>
          <c:cat>
            <c:numRef>
              <c:f>LV!$B$12:$R$12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LV!$B$15:$R$15</c:f>
              <c:numCache>
                <c:formatCode>General</c:formatCode>
                <c:ptCount val="17"/>
                <c:pt idx="10" formatCode="0.0">
                  <c:v>99.689749500618618</c:v>
                </c:pt>
                <c:pt idx="11" formatCode="0.0">
                  <c:v>103.87671897964458</c:v>
                </c:pt>
                <c:pt idx="12" formatCode="0.0">
                  <c:v>106.99302054903391</c:v>
                </c:pt>
                <c:pt idx="13" formatCode="0.0">
                  <c:v>110.20281127249791</c:v>
                </c:pt>
                <c:pt idx="14" formatCode="0.0">
                  <c:v>113.39869290960316</c:v>
                </c:pt>
              </c:numCache>
            </c:numRef>
          </c:val>
          <c:smooth val="0"/>
          <c:extLst>
            <c:ext xmlns:c16="http://schemas.microsoft.com/office/drawing/2014/chart" uri="{C3380CC4-5D6E-409C-BE32-E72D297353CC}">
              <c16:uniqueId val="{00000004-0F47-43C3-8E2E-35154C2DE1B1}"/>
            </c:ext>
          </c:extLst>
        </c:ser>
        <c:ser>
          <c:idx val="2"/>
          <c:order val="3"/>
          <c:tx>
            <c:strRef>
              <c:f>LV!$A$16</c:f>
              <c:strCache>
                <c:ptCount val="1"/>
                <c:pt idx="0">
                  <c:v>2018.g. budžeta prognozes</c:v>
                </c:pt>
              </c:strCache>
            </c:strRef>
          </c:tx>
          <c:spPr>
            <a:ln w="28575" cap="rnd">
              <a:solidFill>
                <a:schemeClr val="accent3"/>
              </a:solidFill>
              <a:round/>
            </a:ln>
            <a:effectLst/>
          </c:spPr>
          <c:marker>
            <c:symbol val="none"/>
          </c:marker>
          <c:dPt>
            <c:idx val="2"/>
            <c:marker>
              <c:symbol val="none"/>
            </c:marker>
            <c:bubble3D val="0"/>
            <c:spPr>
              <a:ln w="28575" cap="rnd">
                <a:noFill/>
                <a:round/>
              </a:ln>
              <a:effectLst/>
            </c:spPr>
            <c:extLst>
              <c:ext xmlns:c16="http://schemas.microsoft.com/office/drawing/2014/chart" uri="{C3380CC4-5D6E-409C-BE32-E72D297353CC}">
                <c16:uniqueId val="{00000006-0F47-43C3-8E2E-35154C2DE1B1}"/>
              </c:ext>
            </c:extLst>
          </c:dPt>
          <c:dPt>
            <c:idx val="3"/>
            <c:marker>
              <c:symbol val="none"/>
            </c:marker>
            <c:bubble3D val="0"/>
            <c:spPr>
              <a:ln w="28575" cap="rnd">
                <a:noFill/>
                <a:round/>
              </a:ln>
              <a:effectLst/>
            </c:spPr>
            <c:extLst>
              <c:ext xmlns:c16="http://schemas.microsoft.com/office/drawing/2014/chart" uri="{C3380CC4-5D6E-409C-BE32-E72D297353CC}">
                <c16:uniqueId val="{00000008-0F47-43C3-8E2E-35154C2DE1B1}"/>
              </c:ext>
            </c:extLst>
          </c:dPt>
          <c:dPt>
            <c:idx val="4"/>
            <c:marker>
              <c:symbol val="none"/>
            </c:marker>
            <c:bubble3D val="0"/>
            <c:spPr>
              <a:ln w="28575" cap="rnd">
                <a:noFill/>
                <a:round/>
              </a:ln>
              <a:effectLst/>
            </c:spPr>
            <c:extLst>
              <c:ext xmlns:c16="http://schemas.microsoft.com/office/drawing/2014/chart" uri="{C3380CC4-5D6E-409C-BE32-E72D297353CC}">
                <c16:uniqueId val="{0000000A-0F47-43C3-8E2E-35154C2DE1B1}"/>
              </c:ext>
            </c:extLst>
          </c:dPt>
          <c:dPt>
            <c:idx val="5"/>
            <c:marker>
              <c:symbol val="none"/>
            </c:marker>
            <c:bubble3D val="0"/>
            <c:spPr>
              <a:ln w="28575" cap="rnd">
                <a:noFill/>
                <a:round/>
              </a:ln>
              <a:effectLst/>
            </c:spPr>
            <c:extLst>
              <c:ext xmlns:c16="http://schemas.microsoft.com/office/drawing/2014/chart" uri="{C3380CC4-5D6E-409C-BE32-E72D297353CC}">
                <c16:uniqueId val="{0000000C-0F47-43C3-8E2E-35154C2DE1B1}"/>
              </c:ext>
            </c:extLst>
          </c:dPt>
          <c:dPt>
            <c:idx val="6"/>
            <c:marker>
              <c:symbol val="none"/>
            </c:marker>
            <c:bubble3D val="0"/>
            <c:spPr>
              <a:ln w="28575" cap="rnd">
                <a:noFill/>
                <a:round/>
              </a:ln>
              <a:effectLst/>
            </c:spPr>
            <c:extLst>
              <c:ext xmlns:c16="http://schemas.microsoft.com/office/drawing/2014/chart" uri="{C3380CC4-5D6E-409C-BE32-E72D297353CC}">
                <c16:uniqueId val="{0000000E-0F47-43C3-8E2E-35154C2DE1B1}"/>
              </c:ext>
            </c:extLst>
          </c:dPt>
          <c:dPt>
            <c:idx val="7"/>
            <c:marker>
              <c:symbol val="none"/>
            </c:marker>
            <c:bubble3D val="0"/>
            <c:spPr>
              <a:ln w="28575" cap="rnd">
                <a:noFill/>
                <a:round/>
              </a:ln>
              <a:effectLst/>
            </c:spPr>
            <c:extLst>
              <c:ext xmlns:c16="http://schemas.microsoft.com/office/drawing/2014/chart" uri="{C3380CC4-5D6E-409C-BE32-E72D297353CC}">
                <c16:uniqueId val="{00000010-0F47-43C3-8E2E-35154C2DE1B1}"/>
              </c:ext>
            </c:extLst>
          </c:dPt>
          <c:dPt>
            <c:idx val="8"/>
            <c:marker>
              <c:symbol val="none"/>
            </c:marker>
            <c:bubble3D val="0"/>
            <c:spPr>
              <a:ln w="28575" cap="rnd">
                <a:noFill/>
                <a:round/>
              </a:ln>
              <a:effectLst/>
            </c:spPr>
            <c:extLst>
              <c:ext xmlns:c16="http://schemas.microsoft.com/office/drawing/2014/chart" uri="{C3380CC4-5D6E-409C-BE32-E72D297353CC}">
                <c16:uniqueId val="{00000012-0F47-43C3-8E2E-35154C2DE1B1}"/>
              </c:ext>
            </c:extLst>
          </c:dPt>
          <c:cat>
            <c:numRef>
              <c:f>LV!$B$12:$R$12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LV!$B$16:$R$16</c:f>
              <c:numCache>
                <c:formatCode>General</c:formatCode>
                <c:ptCount val="17"/>
                <c:pt idx="9" formatCode="0.0">
                  <c:v>96.051960390126766</c:v>
                </c:pt>
                <c:pt idx="10" formatCode="0.0">
                  <c:v>99.600183263030814</c:v>
                </c:pt>
                <c:pt idx="11" formatCode="0.0">
                  <c:v>103.00635704960501</c:v>
                </c:pt>
                <c:pt idx="12" formatCode="0.0">
                  <c:v>106.31512462154022</c:v>
                </c:pt>
                <c:pt idx="13" formatCode="0.0">
                  <c:v>109.72011568940948</c:v>
                </c:pt>
              </c:numCache>
            </c:numRef>
          </c:val>
          <c:smooth val="0"/>
          <c:extLst>
            <c:ext xmlns:c16="http://schemas.microsoft.com/office/drawing/2014/chart" uri="{C3380CC4-5D6E-409C-BE32-E72D297353CC}">
              <c16:uniqueId val="{00000013-0F47-43C3-8E2E-35154C2DE1B1}"/>
            </c:ext>
          </c:extLst>
        </c:ser>
        <c:ser>
          <c:idx val="3"/>
          <c:order val="4"/>
          <c:tx>
            <c:strRef>
              <c:f>LV!$A$17</c:f>
              <c:strCache>
                <c:ptCount val="1"/>
                <c:pt idx="0">
                  <c:v>2017.g. budžeta prognozes</c:v>
                </c:pt>
              </c:strCache>
            </c:strRef>
          </c:tx>
          <c:spPr>
            <a:ln w="22225" cap="rnd">
              <a:solidFill>
                <a:schemeClr val="accent4">
                  <a:lumMod val="75000"/>
                </a:schemeClr>
              </a:solidFill>
              <a:round/>
            </a:ln>
            <a:effectLst/>
          </c:spPr>
          <c:marker>
            <c:symbol val="none"/>
          </c:marker>
          <c:dPt>
            <c:idx val="2"/>
            <c:marker>
              <c:symbol val="none"/>
            </c:marker>
            <c:bubble3D val="0"/>
            <c:spPr>
              <a:ln w="22225" cap="rnd">
                <a:solidFill>
                  <a:schemeClr val="accent4">
                    <a:lumMod val="75000"/>
                  </a:schemeClr>
                </a:solidFill>
                <a:round/>
              </a:ln>
              <a:effectLst/>
            </c:spPr>
            <c:extLst>
              <c:ext xmlns:c16="http://schemas.microsoft.com/office/drawing/2014/chart" uri="{C3380CC4-5D6E-409C-BE32-E72D297353CC}">
                <c16:uniqueId val="{00000015-0F47-43C3-8E2E-35154C2DE1B1}"/>
              </c:ext>
            </c:extLst>
          </c:dPt>
          <c:dPt>
            <c:idx val="3"/>
            <c:marker>
              <c:symbol val="none"/>
            </c:marker>
            <c:bubble3D val="0"/>
            <c:spPr>
              <a:ln w="22225" cap="rnd">
                <a:solidFill>
                  <a:schemeClr val="accent4">
                    <a:lumMod val="75000"/>
                  </a:schemeClr>
                </a:solidFill>
                <a:round/>
              </a:ln>
              <a:effectLst/>
            </c:spPr>
            <c:extLst>
              <c:ext xmlns:c16="http://schemas.microsoft.com/office/drawing/2014/chart" uri="{C3380CC4-5D6E-409C-BE32-E72D297353CC}">
                <c16:uniqueId val="{00000017-0F47-43C3-8E2E-35154C2DE1B1}"/>
              </c:ext>
            </c:extLst>
          </c:dPt>
          <c:dPt>
            <c:idx val="4"/>
            <c:marker>
              <c:symbol val="none"/>
            </c:marker>
            <c:bubble3D val="0"/>
            <c:spPr>
              <a:ln w="22225" cap="rnd">
                <a:solidFill>
                  <a:schemeClr val="accent4">
                    <a:lumMod val="75000"/>
                  </a:schemeClr>
                </a:solidFill>
                <a:round/>
              </a:ln>
              <a:effectLst/>
            </c:spPr>
            <c:extLst>
              <c:ext xmlns:c16="http://schemas.microsoft.com/office/drawing/2014/chart" uri="{C3380CC4-5D6E-409C-BE32-E72D297353CC}">
                <c16:uniqueId val="{00000019-0F47-43C3-8E2E-35154C2DE1B1}"/>
              </c:ext>
            </c:extLst>
          </c:dPt>
          <c:dPt>
            <c:idx val="5"/>
            <c:marker>
              <c:symbol val="none"/>
            </c:marker>
            <c:bubble3D val="0"/>
            <c:spPr>
              <a:ln w="22225" cap="rnd">
                <a:solidFill>
                  <a:schemeClr val="accent4">
                    <a:lumMod val="75000"/>
                  </a:schemeClr>
                </a:solidFill>
                <a:round/>
              </a:ln>
              <a:effectLst/>
            </c:spPr>
            <c:extLst>
              <c:ext xmlns:c16="http://schemas.microsoft.com/office/drawing/2014/chart" uri="{C3380CC4-5D6E-409C-BE32-E72D297353CC}">
                <c16:uniqueId val="{0000001B-0F47-43C3-8E2E-35154C2DE1B1}"/>
              </c:ext>
            </c:extLst>
          </c:dPt>
          <c:dPt>
            <c:idx val="6"/>
            <c:marker>
              <c:symbol val="none"/>
            </c:marker>
            <c:bubble3D val="0"/>
            <c:spPr>
              <a:ln w="22225" cap="rnd">
                <a:solidFill>
                  <a:schemeClr val="accent4">
                    <a:lumMod val="75000"/>
                  </a:schemeClr>
                </a:solidFill>
                <a:round/>
              </a:ln>
              <a:effectLst/>
            </c:spPr>
            <c:extLst>
              <c:ext xmlns:c16="http://schemas.microsoft.com/office/drawing/2014/chart" uri="{C3380CC4-5D6E-409C-BE32-E72D297353CC}">
                <c16:uniqueId val="{0000001D-0F47-43C3-8E2E-35154C2DE1B1}"/>
              </c:ext>
            </c:extLst>
          </c:dPt>
          <c:dPt>
            <c:idx val="7"/>
            <c:marker>
              <c:symbol val="none"/>
            </c:marker>
            <c:bubble3D val="0"/>
            <c:spPr>
              <a:ln w="22225" cap="rnd">
                <a:solidFill>
                  <a:schemeClr val="accent4">
                    <a:lumMod val="75000"/>
                  </a:schemeClr>
                </a:solidFill>
                <a:round/>
              </a:ln>
              <a:effectLst/>
            </c:spPr>
            <c:extLst>
              <c:ext xmlns:c16="http://schemas.microsoft.com/office/drawing/2014/chart" uri="{C3380CC4-5D6E-409C-BE32-E72D297353CC}">
                <c16:uniqueId val="{0000001F-0F47-43C3-8E2E-35154C2DE1B1}"/>
              </c:ext>
            </c:extLst>
          </c:dPt>
          <c:cat>
            <c:numRef>
              <c:f>LV!$B$12:$R$12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LV!$B$17:$R$17</c:f>
              <c:numCache>
                <c:formatCode>General</c:formatCode>
                <c:ptCount val="17"/>
                <c:pt idx="8" formatCode="0.0">
                  <c:v>94.377876576898672</c:v>
                </c:pt>
                <c:pt idx="9" formatCode="0.0">
                  <c:v>97.172952340203409</c:v>
                </c:pt>
                <c:pt idx="10" formatCode="0.0">
                  <c:v>100.68091519484726</c:v>
                </c:pt>
                <c:pt idx="11" formatCode="0.0">
                  <c:v>104.28568441752181</c:v>
                </c:pt>
              </c:numCache>
            </c:numRef>
          </c:val>
          <c:smooth val="0"/>
          <c:extLst>
            <c:ext xmlns:c16="http://schemas.microsoft.com/office/drawing/2014/chart" uri="{C3380CC4-5D6E-409C-BE32-E72D297353CC}">
              <c16:uniqueId val="{00000020-0F47-43C3-8E2E-35154C2DE1B1}"/>
            </c:ext>
          </c:extLst>
        </c:ser>
        <c:ser>
          <c:idx val="4"/>
          <c:order val="5"/>
          <c:tx>
            <c:strRef>
              <c:f>LV!$A$18</c:f>
              <c:strCache>
                <c:ptCount val="1"/>
                <c:pt idx="0">
                  <c:v>2016.g. budžeta prognozes</c:v>
                </c:pt>
              </c:strCache>
            </c:strRef>
          </c:tx>
          <c:spPr>
            <a:ln w="22225" cap="rnd">
              <a:solidFill>
                <a:srgbClr val="0070C0"/>
              </a:solidFill>
              <a:round/>
            </a:ln>
            <a:effectLst/>
          </c:spPr>
          <c:marker>
            <c:symbol val="none"/>
          </c:marker>
          <c:dPt>
            <c:idx val="2"/>
            <c:marker>
              <c:symbol val="none"/>
            </c:marker>
            <c:bubble3D val="0"/>
            <c:spPr>
              <a:ln w="22225" cap="rnd">
                <a:solidFill>
                  <a:srgbClr val="0070C0"/>
                </a:solidFill>
                <a:round/>
              </a:ln>
              <a:effectLst/>
            </c:spPr>
            <c:extLst>
              <c:ext xmlns:c16="http://schemas.microsoft.com/office/drawing/2014/chart" uri="{C3380CC4-5D6E-409C-BE32-E72D297353CC}">
                <c16:uniqueId val="{00000022-0F47-43C3-8E2E-35154C2DE1B1}"/>
              </c:ext>
            </c:extLst>
          </c:dPt>
          <c:dPt>
            <c:idx val="3"/>
            <c:marker>
              <c:symbol val="none"/>
            </c:marker>
            <c:bubble3D val="0"/>
            <c:spPr>
              <a:ln w="22225" cap="rnd">
                <a:solidFill>
                  <a:srgbClr val="0070C0"/>
                </a:solidFill>
                <a:round/>
              </a:ln>
              <a:effectLst/>
            </c:spPr>
            <c:extLst>
              <c:ext xmlns:c16="http://schemas.microsoft.com/office/drawing/2014/chart" uri="{C3380CC4-5D6E-409C-BE32-E72D297353CC}">
                <c16:uniqueId val="{00000024-0F47-43C3-8E2E-35154C2DE1B1}"/>
              </c:ext>
            </c:extLst>
          </c:dPt>
          <c:dPt>
            <c:idx val="4"/>
            <c:marker>
              <c:symbol val="none"/>
            </c:marker>
            <c:bubble3D val="0"/>
            <c:spPr>
              <a:ln w="22225" cap="rnd">
                <a:solidFill>
                  <a:srgbClr val="0070C0"/>
                </a:solidFill>
                <a:round/>
              </a:ln>
              <a:effectLst/>
            </c:spPr>
            <c:extLst>
              <c:ext xmlns:c16="http://schemas.microsoft.com/office/drawing/2014/chart" uri="{C3380CC4-5D6E-409C-BE32-E72D297353CC}">
                <c16:uniqueId val="{00000026-0F47-43C3-8E2E-35154C2DE1B1}"/>
              </c:ext>
            </c:extLst>
          </c:dPt>
          <c:dPt>
            <c:idx val="5"/>
            <c:marker>
              <c:symbol val="none"/>
            </c:marker>
            <c:bubble3D val="0"/>
            <c:spPr>
              <a:ln w="22225" cap="rnd">
                <a:solidFill>
                  <a:srgbClr val="0070C0"/>
                </a:solidFill>
                <a:round/>
              </a:ln>
              <a:effectLst/>
            </c:spPr>
            <c:extLst>
              <c:ext xmlns:c16="http://schemas.microsoft.com/office/drawing/2014/chart" uri="{C3380CC4-5D6E-409C-BE32-E72D297353CC}">
                <c16:uniqueId val="{00000028-0F47-43C3-8E2E-35154C2DE1B1}"/>
              </c:ext>
            </c:extLst>
          </c:dPt>
          <c:dPt>
            <c:idx val="6"/>
            <c:marker>
              <c:symbol val="none"/>
            </c:marker>
            <c:bubble3D val="0"/>
            <c:spPr>
              <a:ln w="22225" cap="rnd">
                <a:solidFill>
                  <a:srgbClr val="0070C0"/>
                </a:solidFill>
                <a:round/>
              </a:ln>
              <a:effectLst/>
            </c:spPr>
            <c:extLst>
              <c:ext xmlns:c16="http://schemas.microsoft.com/office/drawing/2014/chart" uri="{C3380CC4-5D6E-409C-BE32-E72D297353CC}">
                <c16:uniqueId val="{0000002A-0F47-43C3-8E2E-35154C2DE1B1}"/>
              </c:ext>
            </c:extLst>
          </c:dPt>
          <c:cat>
            <c:numRef>
              <c:f>LV!$B$12:$R$12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LV!$B$18:$R$18</c:f>
              <c:numCache>
                <c:formatCode>General</c:formatCode>
                <c:ptCount val="17"/>
                <c:pt idx="7" formatCode="0.0">
                  <c:v>91.397828107406241</c:v>
                </c:pt>
                <c:pt idx="8" formatCode="0.0">
                  <c:v>93.912747452803572</c:v>
                </c:pt>
                <c:pt idx="9" formatCode="0.0">
                  <c:v>96.990487122321525</c:v>
                </c:pt>
                <c:pt idx="10" formatCode="0.0">
                  <c:v>100.46139839482025</c:v>
                </c:pt>
              </c:numCache>
            </c:numRef>
          </c:val>
          <c:smooth val="0"/>
          <c:extLst>
            <c:ext xmlns:c16="http://schemas.microsoft.com/office/drawing/2014/chart" uri="{C3380CC4-5D6E-409C-BE32-E72D297353CC}">
              <c16:uniqueId val="{0000002B-0F47-43C3-8E2E-35154C2DE1B1}"/>
            </c:ext>
          </c:extLst>
        </c:ser>
        <c:ser>
          <c:idx val="5"/>
          <c:order val="6"/>
          <c:tx>
            <c:strRef>
              <c:f>LV!$A$19</c:f>
              <c:strCache>
                <c:ptCount val="1"/>
                <c:pt idx="0">
                  <c:v>2015.g. budžeta prognozes</c:v>
                </c:pt>
              </c:strCache>
            </c:strRef>
          </c:tx>
          <c:spPr>
            <a:ln w="28575" cap="rnd">
              <a:solidFill>
                <a:schemeClr val="accent6"/>
              </a:solidFill>
              <a:round/>
            </a:ln>
            <a:effectLst/>
          </c:spPr>
          <c:marker>
            <c:symbol val="none"/>
          </c:marker>
          <c:dPt>
            <c:idx val="2"/>
            <c:marker>
              <c:symbol val="none"/>
            </c:marker>
            <c:bubble3D val="0"/>
            <c:spPr>
              <a:ln w="28575" cap="rnd">
                <a:solidFill>
                  <a:schemeClr val="accent6"/>
                </a:solidFill>
                <a:round/>
              </a:ln>
              <a:effectLst/>
            </c:spPr>
            <c:extLst>
              <c:ext xmlns:c16="http://schemas.microsoft.com/office/drawing/2014/chart" uri="{C3380CC4-5D6E-409C-BE32-E72D297353CC}">
                <c16:uniqueId val="{0000002D-0F47-43C3-8E2E-35154C2DE1B1}"/>
              </c:ext>
            </c:extLst>
          </c:dPt>
          <c:dPt>
            <c:idx val="3"/>
            <c:marker>
              <c:symbol val="none"/>
            </c:marker>
            <c:bubble3D val="0"/>
            <c:spPr>
              <a:ln w="28575" cap="rnd">
                <a:solidFill>
                  <a:schemeClr val="accent6"/>
                </a:solidFill>
                <a:round/>
              </a:ln>
              <a:effectLst/>
            </c:spPr>
            <c:extLst>
              <c:ext xmlns:c16="http://schemas.microsoft.com/office/drawing/2014/chart" uri="{C3380CC4-5D6E-409C-BE32-E72D297353CC}">
                <c16:uniqueId val="{0000002F-0F47-43C3-8E2E-35154C2DE1B1}"/>
              </c:ext>
            </c:extLst>
          </c:dPt>
          <c:dPt>
            <c:idx val="4"/>
            <c:marker>
              <c:symbol val="none"/>
            </c:marker>
            <c:bubble3D val="0"/>
            <c:spPr>
              <a:ln w="28575" cap="rnd">
                <a:solidFill>
                  <a:schemeClr val="accent6"/>
                </a:solidFill>
                <a:round/>
              </a:ln>
              <a:effectLst/>
            </c:spPr>
            <c:extLst>
              <c:ext xmlns:c16="http://schemas.microsoft.com/office/drawing/2014/chart" uri="{C3380CC4-5D6E-409C-BE32-E72D297353CC}">
                <c16:uniqueId val="{00000031-0F47-43C3-8E2E-35154C2DE1B1}"/>
              </c:ext>
            </c:extLst>
          </c:dPt>
          <c:dPt>
            <c:idx val="5"/>
            <c:marker>
              <c:symbol val="none"/>
            </c:marker>
            <c:bubble3D val="0"/>
            <c:spPr>
              <a:ln w="28575" cap="rnd">
                <a:solidFill>
                  <a:schemeClr val="accent6"/>
                </a:solidFill>
                <a:round/>
              </a:ln>
              <a:effectLst/>
            </c:spPr>
            <c:extLst>
              <c:ext xmlns:c16="http://schemas.microsoft.com/office/drawing/2014/chart" uri="{C3380CC4-5D6E-409C-BE32-E72D297353CC}">
                <c16:uniqueId val="{00000033-0F47-43C3-8E2E-35154C2DE1B1}"/>
              </c:ext>
            </c:extLst>
          </c:dPt>
          <c:cat>
            <c:numRef>
              <c:f>LV!$B$12:$R$12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LV!$B$19:$R$19</c:f>
              <c:numCache>
                <c:formatCode>General</c:formatCode>
                <c:ptCount val="17"/>
                <c:pt idx="6" formatCode="0.0">
                  <c:v>89.680280013671776</c:v>
                </c:pt>
                <c:pt idx="7" formatCode="0.0">
                  <c:v>93.4370954931874</c:v>
                </c:pt>
                <c:pt idx="8" formatCode="0.0">
                  <c:v>97.150652889405649</c:v>
                </c:pt>
                <c:pt idx="9" formatCode="0.0">
                  <c:v>101.03003148529675</c:v>
                </c:pt>
              </c:numCache>
            </c:numRef>
          </c:val>
          <c:smooth val="0"/>
          <c:extLst>
            <c:ext xmlns:c16="http://schemas.microsoft.com/office/drawing/2014/chart" uri="{C3380CC4-5D6E-409C-BE32-E72D297353CC}">
              <c16:uniqueId val="{00000034-0F47-43C3-8E2E-35154C2DE1B1}"/>
            </c:ext>
          </c:extLst>
        </c:ser>
        <c:ser>
          <c:idx val="6"/>
          <c:order val="7"/>
          <c:tx>
            <c:strRef>
              <c:f>LV!$A$20</c:f>
              <c:strCache>
                <c:ptCount val="1"/>
                <c:pt idx="0">
                  <c:v>2014.g. budžeta prognozes</c:v>
                </c:pt>
              </c:strCache>
            </c:strRef>
          </c:tx>
          <c:spPr>
            <a:ln w="28575" cap="rnd">
              <a:solidFill>
                <a:schemeClr val="tx2">
                  <a:lumMod val="40000"/>
                  <a:lumOff val="60000"/>
                </a:schemeClr>
              </a:solidFill>
              <a:round/>
            </a:ln>
            <a:effectLst/>
          </c:spPr>
          <c:marker>
            <c:symbol val="none"/>
          </c:marker>
          <c:dPt>
            <c:idx val="2"/>
            <c:marker>
              <c:symbol val="none"/>
            </c:marker>
            <c:bubble3D val="0"/>
            <c:spPr>
              <a:ln w="28575" cap="rnd">
                <a:solidFill>
                  <a:schemeClr val="tx2">
                    <a:lumMod val="40000"/>
                    <a:lumOff val="60000"/>
                  </a:schemeClr>
                </a:solidFill>
                <a:round/>
              </a:ln>
              <a:effectLst/>
            </c:spPr>
            <c:extLst>
              <c:ext xmlns:c16="http://schemas.microsoft.com/office/drawing/2014/chart" uri="{C3380CC4-5D6E-409C-BE32-E72D297353CC}">
                <c16:uniqueId val="{00000036-0F47-43C3-8E2E-35154C2DE1B1}"/>
              </c:ext>
            </c:extLst>
          </c:dPt>
          <c:dPt>
            <c:idx val="3"/>
            <c:marker>
              <c:symbol val="none"/>
            </c:marker>
            <c:bubble3D val="0"/>
            <c:spPr>
              <a:ln w="28575" cap="rnd">
                <a:solidFill>
                  <a:schemeClr val="tx2">
                    <a:lumMod val="40000"/>
                    <a:lumOff val="60000"/>
                  </a:schemeClr>
                </a:solidFill>
                <a:round/>
              </a:ln>
              <a:effectLst/>
            </c:spPr>
            <c:extLst>
              <c:ext xmlns:c16="http://schemas.microsoft.com/office/drawing/2014/chart" uri="{C3380CC4-5D6E-409C-BE32-E72D297353CC}">
                <c16:uniqueId val="{00000038-0F47-43C3-8E2E-35154C2DE1B1}"/>
              </c:ext>
            </c:extLst>
          </c:dPt>
          <c:dPt>
            <c:idx val="4"/>
            <c:marker>
              <c:symbol val="none"/>
            </c:marker>
            <c:bubble3D val="0"/>
            <c:spPr>
              <a:ln w="28575" cap="rnd">
                <a:solidFill>
                  <a:schemeClr val="tx2">
                    <a:lumMod val="40000"/>
                    <a:lumOff val="60000"/>
                  </a:schemeClr>
                </a:solidFill>
                <a:round/>
              </a:ln>
              <a:effectLst/>
            </c:spPr>
            <c:extLst>
              <c:ext xmlns:c16="http://schemas.microsoft.com/office/drawing/2014/chart" uri="{C3380CC4-5D6E-409C-BE32-E72D297353CC}">
                <c16:uniqueId val="{0000003A-0F47-43C3-8E2E-35154C2DE1B1}"/>
              </c:ext>
            </c:extLst>
          </c:dPt>
          <c:cat>
            <c:numRef>
              <c:f>LV!$B$12:$R$12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LV!$B$20:$R$20</c:f>
              <c:numCache>
                <c:formatCode>General</c:formatCode>
                <c:ptCount val="17"/>
                <c:pt idx="5" formatCode="0.0">
                  <c:v>87.64001668867634</c:v>
                </c:pt>
                <c:pt idx="6" formatCode="0.0">
                  <c:v>90.891510528951997</c:v>
                </c:pt>
                <c:pt idx="7" formatCode="0.0">
                  <c:v>94.522928986014946</c:v>
                </c:pt>
                <c:pt idx="8" formatCode="0.0">
                  <c:v>98.285620423797241</c:v>
                </c:pt>
              </c:numCache>
            </c:numRef>
          </c:val>
          <c:smooth val="0"/>
          <c:extLst>
            <c:ext xmlns:c16="http://schemas.microsoft.com/office/drawing/2014/chart" uri="{C3380CC4-5D6E-409C-BE32-E72D297353CC}">
              <c16:uniqueId val="{0000003B-0F47-43C3-8E2E-35154C2DE1B1}"/>
            </c:ext>
          </c:extLst>
        </c:ser>
        <c:ser>
          <c:idx val="8"/>
          <c:order val="8"/>
          <c:tx>
            <c:strRef>
              <c:f>LV!$A$24</c:f>
              <c:strCache>
                <c:ptCount val="1"/>
                <c:pt idx="0">
                  <c:v>Faktiskā IKP izaugsme</c:v>
                </c:pt>
              </c:strCache>
            </c:strRef>
          </c:tx>
          <c:spPr>
            <a:ln w="28575" cap="rnd">
              <a:solidFill>
                <a:schemeClr val="tx1"/>
              </a:solidFill>
              <a:round/>
            </a:ln>
            <a:effectLst/>
          </c:spPr>
          <c:marker>
            <c:symbol val="circle"/>
            <c:size val="5"/>
            <c:spPr>
              <a:solidFill>
                <a:schemeClr val="bg1"/>
              </a:solidFill>
              <a:ln w="9525">
                <a:solidFill>
                  <a:schemeClr val="accent3">
                    <a:lumMod val="60000"/>
                  </a:schemeClr>
                </a:solidFill>
              </a:ln>
              <a:effectLst/>
            </c:spPr>
          </c:marker>
          <c:cat>
            <c:numRef>
              <c:f>LV!$B$12:$R$12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LV!$B$24:$R$24</c:f>
              <c:numCache>
                <c:formatCode>0.0</c:formatCode>
                <c:ptCount val="17"/>
                <c:pt idx="0" formatCode="General">
                  <c:v>100</c:v>
                </c:pt>
                <c:pt idx="1">
                  <c:v>96.653632920678319</c:v>
                </c:pt>
                <c:pt idx="2">
                  <c:v>82.891946848157673</c:v>
                </c:pt>
                <c:pt idx="3">
                  <c:v>79.183824348203842</c:v>
                </c:pt>
                <c:pt idx="4">
                  <c:v>84.160621632329651</c:v>
                </c:pt>
                <c:pt idx="5">
                  <c:v>87.64001668867634</c:v>
                </c:pt>
                <c:pt idx="6">
                  <c:v>89.680280013671776</c:v>
                </c:pt>
                <c:pt idx="7">
                  <c:v>91.397828107406241</c:v>
                </c:pt>
                <c:pt idx="8">
                  <c:v>94.377876576898672</c:v>
                </c:pt>
                <c:pt idx="9">
                  <c:v>96.051960390126766</c:v>
                </c:pt>
                <c:pt idx="10">
                  <c:v>99.689749500618618</c:v>
                </c:pt>
                <c:pt idx="11">
                  <c:v>103.96128097259835</c:v>
                </c:pt>
                <c:pt idx="12">
                  <c:v>106.2457695835968</c:v>
                </c:pt>
              </c:numCache>
            </c:numRef>
          </c:val>
          <c:smooth val="0"/>
          <c:extLst>
            <c:ext xmlns:c16="http://schemas.microsoft.com/office/drawing/2014/chart" uri="{C3380CC4-5D6E-409C-BE32-E72D297353CC}">
              <c16:uniqueId val="{0000003C-0F47-43C3-8E2E-35154C2DE1B1}"/>
            </c:ext>
          </c:extLst>
        </c:ser>
        <c:dLbls>
          <c:showLegendKey val="0"/>
          <c:showVal val="0"/>
          <c:showCatName val="0"/>
          <c:showSerName val="0"/>
          <c:showPercent val="0"/>
          <c:showBubbleSize val="0"/>
        </c:dLbls>
        <c:smooth val="0"/>
        <c:axId val="359210992"/>
        <c:axId val="359211384"/>
      </c:lineChart>
      <c:catAx>
        <c:axId val="35921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9211384"/>
        <c:crosses val="autoZero"/>
        <c:auto val="1"/>
        <c:lblAlgn val="ctr"/>
        <c:lblOffset val="100"/>
        <c:noMultiLvlLbl val="0"/>
      </c:catAx>
      <c:valAx>
        <c:axId val="359211384"/>
        <c:scaling>
          <c:orientation val="minMax"/>
          <c:max val="120"/>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9210992"/>
        <c:crosses val="autoZero"/>
        <c:crossBetween val="between"/>
        <c:majorUnit val="10"/>
      </c:valAx>
      <c:spPr>
        <a:noFill/>
        <a:ln>
          <a:noFill/>
        </a:ln>
        <a:effectLst/>
      </c:spPr>
    </c:plotArea>
    <c:legend>
      <c:legendPos val="r"/>
      <c:layout>
        <c:manualLayout>
          <c:xMode val="edge"/>
          <c:yMode val="edge"/>
          <c:x val="0"/>
          <c:y val="0.80134136916393128"/>
          <c:w val="1"/>
          <c:h val="0.1986586308360687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lgn="just">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813156807198196E-2"/>
          <c:y val="4.8661199533237776E-2"/>
          <c:w val="0.59202720355838012"/>
          <c:h val="0.89074346923119385"/>
        </c:manualLayout>
      </c:layout>
      <c:barChart>
        <c:barDir val="col"/>
        <c:grouping val="stacked"/>
        <c:varyColors val="0"/>
        <c:ser>
          <c:idx val="1"/>
          <c:order val="1"/>
          <c:tx>
            <c:strRef>
              <c:f>LV!$C$3</c:f>
              <c:strCache>
                <c:ptCount val="1"/>
                <c:pt idx="0">
                  <c:v>Privātais patēriņš</c:v>
                </c:pt>
              </c:strCache>
            </c:strRef>
          </c:tx>
          <c:spPr>
            <a:ln>
              <a:noFill/>
            </a:ln>
          </c:spPr>
          <c:invertIfNegative val="0"/>
          <c:cat>
            <c:numRef>
              <c:f>LV!$D$1:$N$1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LV!$D$3:$N$3</c:f>
              <c:numCache>
                <c:formatCode>0.0</c:formatCode>
                <c:ptCount val="11"/>
                <c:pt idx="0">
                  <c:v>-10.321954287245351</c:v>
                </c:pt>
                <c:pt idx="1">
                  <c:v>7.3567439952613185</c:v>
                </c:pt>
                <c:pt idx="2">
                  <c:v>0.64508677936896364</c:v>
                </c:pt>
                <c:pt idx="3">
                  <c:v>2.1212992274741049</c:v>
                </c:pt>
                <c:pt idx="4">
                  <c:v>0.92728403921679936</c:v>
                </c:pt>
                <c:pt idx="5">
                  <c:v>-1.5464236546618346</c:v>
                </c:pt>
                <c:pt idx="6">
                  <c:v>7.804516690147012E-2</c:v>
                </c:pt>
                <c:pt idx="7">
                  <c:v>-0.33980239802496026</c:v>
                </c:pt>
                <c:pt idx="8">
                  <c:v>0.39844253191305201</c:v>
                </c:pt>
                <c:pt idx="9">
                  <c:v>0.17135905289370879</c:v>
                </c:pt>
                <c:pt idx="10">
                  <c:v>-0.36061137046721514</c:v>
                </c:pt>
              </c:numCache>
            </c:numRef>
          </c:val>
          <c:extLst>
            <c:ext xmlns:c16="http://schemas.microsoft.com/office/drawing/2014/chart" uri="{C3380CC4-5D6E-409C-BE32-E72D297353CC}">
              <c16:uniqueId val="{00000000-D48B-4A4A-800E-FFA180C70ECD}"/>
            </c:ext>
          </c:extLst>
        </c:ser>
        <c:ser>
          <c:idx val="2"/>
          <c:order val="2"/>
          <c:tx>
            <c:strRef>
              <c:f>LV!$C$4</c:f>
              <c:strCache>
                <c:ptCount val="1"/>
                <c:pt idx="0">
                  <c:v>Sabiedriskais patēriņš</c:v>
                </c:pt>
              </c:strCache>
            </c:strRef>
          </c:tx>
          <c:spPr>
            <a:solidFill>
              <a:srgbClr val="FF0000"/>
            </a:solidFill>
            <a:ln>
              <a:noFill/>
            </a:ln>
          </c:spPr>
          <c:invertIfNegative val="0"/>
          <c:cat>
            <c:numRef>
              <c:f>LV!$D$1:$N$1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LV!$D$4:$N$4</c:f>
              <c:numCache>
                <c:formatCode>0.0</c:formatCode>
                <c:ptCount val="11"/>
                <c:pt idx="0">
                  <c:v>-0.68908932689579061</c:v>
                </c:pt>
                <c:pt idx="1">
                  <c:v>9.3043045860093931E-2</c:v>
                </c:pt>
                <c:pt idx="2">
                  <c:v>0.39102733163819609</c:v>
                </c:pt>
                <c:pt idx="3">
                  <c:v>-2.7015103219265549E-2</c:v>
                </c:pt>
                <c:pt idx="4">
                  <c:v>0.38269293624611989</c:v>
                </c:pt>
                <c:pt idx="5">
                  <c:v>0.70398361310636481</c:v>
                </c:pt>
                <c:pt idx="6">
                  <c:v>8.0392296951586839E-2</c:v>
                </c:pt>
                <c:pt idx="7">
                  <c:v>-0.14404450952870496</c:v>
                </c:pt>
                <c:pt idx="8">
                  <c:v>0.17935539454491423</c:v>
                </c:pt>
                <c:pt idx="9">
                  <c:v>3.1992948200467719E-2</c:v>
                </c:pt>
                <c:pt idx="10">
                  <c:v>-7.466315739407442E-2</c:v>
                </c:pt>
              </c:numCache>
            </c:numRef>
          </c:val>
          <c:extLst>
            <c:ext xmlns:c16="http://schemas.microsoft.com/office/drawing/2014/chart" uri="{C3380CC4-5D6E-409C-BE32-E72D297353CC}">
              <c16:uniqueId val="{00000001-D48B-4A4A-800E-FFA180C70ECD}"/>
            </c:ext>
          </c:extLst>
        </c:ser>
        <c:ser>
          <c:idx val="3"/>
          <c:order val="3"/>
          <c:tx>
            <c:strRef>
              <c:f>LV!$C$5</c:f>
              <c:strCache>
                <c:ptCount val="1"/>
                <c:pt idx="0">
                  <c:v>Kopējā pamatkapitāla veidošana</c:v>
                </c:pt>
              </c:strCache>
            </c:strRef>
          </c:tx>
          <c:spPr>
            <a:ln>
              <a:noFill/>
            </a:ln>
          </c:spPr>
          <c:invertIfNegative val="0"/>
          <c:cat>
            <c:numRef>
              <c:f>LV!$D$1:$N$1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LV!$D$5:$N$5</c:f>
              <c:numCache>
                <c:formatCode>0.0</c:formatCode>
                <c:ptCount val="11"/>
                <c:pt idx="0">
                  <c:v>-7.6929708617799397</c:v>
                </c:pt>
                <c:pt idx="1">
                  <c:v>-1.6281181821237243</c:v>
                </c:pt>
                <c:pt idx="2">
                  <c:v>4.1006771021898034</c:v>
                </c:pt>
                <c:pt idx="3">
                  <c:v>1.175667247088529</c:v>
                </c:pt>
                <c:pt idx="4">
                  <c:v>-3.0573538822515669</c:v>
                </c:pt>
                <c:pt idx="5">
                  <c:v>-1.2393014584765654</c:v>
                </c:pt>
                <c:pt idx="6">
                  <c:v>-0.17750299636338718</c:v>
                </c:pt>
                <c:pt idx="7">
                  <c:v>0.14386357414500139</c:v>
                </c:pt>
                <c:pt idx="8">
                  <c:v>0.7319804554215279</c:v>
                </c:pt>
                <c:pt idx="9">
                  <c:v>0.47507424921853403</c:v>
                </c:pt>
                <c:pt idx="10">
                  <c:v>-1.1937216479336445</c:v>
                </c:pt>
              </c:numCache>
            </c:numRef>
          </c:val>
          <c:extLst>
            <c:ext xmlns:c16="http://schemas.microsoft.com/office/drawing/2014/chart" uri="{C3380CC4-5D6E-409C-BE32-E72D297353CC}">
              <c16:uniqueId val="{00000002-D48B-4A4A-800E-FFA180C70ECD}"/>
            </c:ext>
          </c:extLst>
        </c:ser>
        <c:ser>
          <c:idx val="4"/>
          <c:order val="4"/>
          <c:tx>
            <c:strRef>
              <c:f>LV!$C$6</c:f>
              <c:strCache>
                <c:ptCount val="1"/>
                <c:pt idx="0">
                  <c:v>Krājumu izmaiņas</c:v>
                </c:pt>
              </c:strCache>
            </c:strRef>
          </c:tx>
          <c:spPr>
            <a:ln>
              <a:noFill/>
            </a:ln>
          </c:spPr>
          <c:invertIfNegative val="0"/>
          <c:cat>
            <c:numRef>
              <c:f>LV!$D$1:$N$1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LV!$D$6:$N$6</c:f>
              <c:numCache>
                <c:formatCode>0.0</c:formatCode>
                <c:ptCount val="11"/>
                <c:pt idx="0">
                  <c:v>-2.2599889135060685</c:v>
                </c:pt>
                <c:pt idx="1">
                  <c:v>3.5787877135993305</c:v>
                </c:pt>
                <c:pt idx="2">
                  <c:v>1.8139421667859978</c:v>
                </c:pt>
                <c:pt idx="3">
                  <c:v>-4.1153043633432302</c:v>
                </c:pt>
                <c:pt idx="4">
                  <c:v>-0.62257650429221179</c:v>
                </c:pt>
                <c:pt idx="5">
                  <c:v>-1.4010806305132375</c:v>
                </c:pt>
                <c:pt idx="6">
                  <c:v>-0.17750299636338718</c:v>
                </c:pt>
                <c:pt idx="7">
                  <c:v>-2.5443102383546083</c:v>
                </c:pt>
                <c:pt idx="8">
                  <c:v>0.54013884388881594</c:v>
                </c:pt>
                <c:pt idx="9">
                  <c:v>1.4610419477111545</c:v>
                </c:pt>
                <c:pt idx="10">
                  <c:v>2.1416462212983629</c:v>
                </c:pt>
              </c:numCache>
            </c:numRef>
          </c:val>
          <c:extLst>
            <c:ext xmlns:c16="http://schemas.microsoft.com/office/drawing/2014/chart" uri="{C3380CC4-5D6E-409C-BE32-E72D297353CC}">
              <c16:uniqueId val="{00000003-D48B-4A4A-800E-FFA180C70ECD}"/>
            </c:ext>
          </c:extLst>
        </c:ser>
        <c:ser>
          <c:idx val="5"/>
          <c:order val="5"/>
          <c:tx>
            <c:strRef>
              <c:f>LV!$C$7</c:f>
              <c:strCache>
                <c:ptCount val="1"/>
                <c:pt idx="0">
                  <c:v>Neto eksports</c:v>
                </c:pt>
              </c:strCache>
            </c:strRef>
          </c:tx>
          <c:spPr>
            <a:ln>
              <a:noFill/>
            </a:ln>
          </c:spPr>
          <c:invertIfNegative val="0"/>
          <c:cat>
            <c:numRef>
              <c:f>LV!$D$1:$N$1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LV!$D$7:$N$7</c:f>
              <c:numCache>
                <c:formatCode>0.0</c:formatCode>
                <c:ptCount val="11"/>
                <c:pt idx="0">
                  <c:v>8.0493985565027835</c:v>
                </c:pt>
                <c:pt idx="1">
                  <c:v>-5.7216538481193133</c:v>
                </c:pt>
                <c:pt idx="2">
                  <c:v>-4.7663220960320407</c:v>
                </c:pt>
                <c:pt idx="3">
                  <c:v>3.913577297672739</c:v>
                </c:pt>
                <c:pt idx="4">
                  <c:v>2.7699387500953661</c:v>
                </c:pt>
                <c:pt idx="5">
                  <c:v>1.6529063072662975</c:v>
                </c:pt>
                <c:pt idx="6">
                  <c:v>-0.45365311295598909</c:v>
                </c:pt>
                <c:pt idx="7">
                  <c:v>2.31368614132648</c:v>
                </c:pt>
                <c:pt idx="8">
                  <c:v>-0.7485053373674373</c:v>
                </c:pt>
                <c:pt idx="9">
                  <c:v>-1.5697515163893736</c:v>
                </c:pt>
                <c:pt idx="10">
                  <c:v>-1.4803842358104242</c:v>
                </c:pt>
              </c:numCache>
            </c:numRef>
          </c:val>
          <c:extLst>
            <c:ext xmlns:c16="http://schemas.microsoft.com/office/drawing/2014/chart" uri="{C3380CC4-5D6E-409C-BE32-E72D297353CC}">
              <c16:uniqueId val="{00000004-D48B-4A4A-800E-FFA180C70ECD}"/>
            </c:ext>
          </c:extLst>
        </c:ser>
        <c:ser>
          <c:idx val="6"/>
          <c:order val="6"/>
          <c:tx>
            <c:strRef>
              <c:f>LV!$C$8</c:f>
              <c:strCache>
                <c:ptCount val="1"/>
                <c:pt idx="0">
                  <c:v>Statistikas korekcijas</c:v>
                </c:pt>
              </c:strCache>
            </c:strRef>
          </c:tx>
          <c:spPr>
            <a:solidFill>
              <a:schemeClr val="bg1">
                <a:lumMod val="75000"/>
              </a:schemeClr>
            </a:solidFill>
            <a:ln>
              <a:noFill/>
            </a:ln>
          </c:spPr>
          <c:invertIfNegative val="0"/>
          <c:cat>
            <c:numRef>
              <c:f>LV!$D$1:$N$1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LV!$D$8:$N$8</c:f>
              <c:numCache>
                <c:formatCode>0.0</c:formatCode>
                <c:ptCount val="11"/>
                <c:pt idx="0">
                  <c:v>3.4608827639365494</c:v>
                </c:pt>
                <c:pt idx="1">
                  <c:v>-3.1668226948743969</c:v>
                </c:pt>
                <c:pt idx="2">
                  <c:v>0.97863140325729336</c:v>
                </c:pt>
                <c:pt idx="3">
                  <c:v>-1.0825035576711928</c:v>
                </c:pt>
                <c:pt idx="4">
                  <c:v>-1.8892421347630046</c:v>
                </c:pt>
                <c:pt idx="5">
                  <c:v>-0.44642878006120612</c:v>
                </c:pt>
                <c:pt idx="6">
                  <c:v>0.51895245854382388</c:v>
                </c:pt>
                <c:pt idx="7">
                  <c:v>-0.17655602943811743</c:v>
                </c:pt>
                <c:pt idx="8">
                  <c:v>-0.84916586362693591</c:v>
                </c:pt>
                <c:pt idx="9">
                  <c:v>-0.48489151818752418</c:v>
                </c:pt>
                <c:pt idx="10">
                  <c:v>-1.7541523789077473E-14</c:v>
                </c:pt>
              </c:numCache>
            </c:numRef>
          </c:val>
          <c:extLst>
            <c:ext xmlns:c16="http://schemas.microsoft.com/office/drawing/2014/chart" uri="{C3380CC4-5D6E-409C-BE32-E72D297353CC}">
              <c16:uniqueId val="{00000005-D48B-4A4A-800E-FFA180C70ECD}"/>
            </c:ext>
          </c:extLst>
        </c:ser>
        <c:dLbls>
          <c:showLegendKey val="0"/>
          <c:showVal val="0"/>
          <c:showCatName val="0"/>
          <c:showSerName val="0"/>
          <c:showPercent val="0"/>
          <c:showBubbleSize val="0"/>
        </c:dLbls>
        <c:gapWidth val="50"/>
        <c:overlap val="100"/>
        <c:axId val="435172480"/>
        <c:axId val="435172872"/>
      </c:barChart>
      <c:lineChart>
        <c:grouping val="standard"/>
        <c:varyColors val="0"/>
        <c:ser>
          <c:idx val="0"/>
          <c:order val="0"/>
          <c:tx>
            <c:strRef>
              <c:f>LV!$C$2</c:f>
              <c:strCache>
                <c:ptCount val="1"/>
                <c:pt idx="0">
                  <c:v>IKP</c:v>
                </c:pt>
              </c:strCache>
            </c:strRef>
          </c:tx>
          <c:spPr>
            <a:ln>
              <a:solidFill>
                <a:schemeClr val="tx1"/>
              </a:solidFill>
            </a:ln>
          </c:spPr>
          <c:marker>
            <c:symbol val="none"/>
          </c:marker>
          <c:cat>
            <c:numRef>
              <c:f>LV!$D$1:$N$1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LV!$D$2:$N$2</c:f>
              <c:numCache>
                <c:formatCode>0.0</c:formatCode>
                <c:ptCount val="11"/>
                <c:pt idx="0">
                  <c:v>-12.914604832924368</c:v>
                </c:pt>
                <c:pt idx="1">
                  <c:v>3.6788027244777051</c:v>
                </c:pt>
                <c:pt idx="2">
                  <c:v>2.1844112839509204</c:v>
                </c:pt>
                <c:pt idx="3">
                  <c:v>3.0682243056728771</c:v>
                </c:pt>
                <c:pt idx="4">
                  <c:v>0.40003964242507895</c:v>
                </c:pt>
                <c:pt idx="5">
                  <c:v>-1.8299158232789585</c:v>
                </c:pt>
                <c:pt idx="6">
                  <c:v>-1.0835124894503778E-2</c:v>
                </c:pt>
                <c:pt idx="7">
                  <c:v>-0.57060743043677409</c:v>
                </c:pt>
                <c:pt idx="8">
                  <c:v>1.1014118884008246</c:v>
                </c:pt>
                <c:pt idx="9">
                  <c:v>0.56971668163448896</c:v>
                </c:pt>
                <c:pt idx="10">
                  <c:v>-0.96773419030701291</c:v>
                </c:pt>
              </c:numCache>
            </c:numRef>
          </c:val>
          <c:smooth val="0"/>
          <c:extLst>
            <c:ext xmlns:c16="http://schemas.microsoft.com/office/drawing/2014/chart" uri="{C3380CC4-5D6E-409C-BE32-E72D297353CC}">
              <c16:uniqueId val="{00000006-D48B-4A4A-800E-FFA180C70ECD}"/>
            </c:ext>
          </c:extLst>
        </c:ser>
        <c:dLbls>
          <c:showLegendKey val="0"/>
          <c:showVal val="0"/>
          <c:showCatName val="0"/>
          <c:showSerName val="0"/>
          <c:showPercent val="0"/>
          <c:showBubbleSize val="0"/>
        </c:dLbls>
        <c:marker val="1"/>
        <c:smooth val="0"/>
        <c:axId val="435172480"/>
        <c:axId val="435172872"/>
      </c:lineChart>
      <c:catAx>
        <c:axId val="435172480"/>
        <c:scaling>
          <c:orientation val="minMax"/>
        </c:scaling>
        <c:delete val="0"/>
        <c:axPos val="b"/>
        <c:numFmt formatCode="General" sourceLinked="1"/>
        <c:majorTickMark val="out"/>
        <c:minorTickMark val="none"/>
        <c:tickLblPos val="low"/>
        <c:txPr>
          <a:bodyPr rot="-5400000" vert="horz"/>
          <a:lstStyle/>
          <a:p>
            <a:pPr>
              <a:defRPr/>
            </a:pPr>
            <a:endParaRPr lang="lv-LV"/>
          </a:p>
        </c:txPr>
        <c:crossAx val="435172872"/>
        <c:crosses val="autoZero"/>
        <c:auto val="1"/>
        <c:lblAlgn val="ctr"/>
        <c:lblOffset val="100"/>
        <c:noMultiLvlLbl val="0"/>
      </c:catAx>
      <c:valAx>
        <c:axId val="435172872"/>
        <c:scaling>
          <c:orientation val="minMax"/>
        </c:scaling>
        <c:delete val="0"/>
        <c:axPos val="l"/>
        <c:majorGridlines/>
        <c:numFmt formatCode="0" sourceLinked="0"/>
        <c:majorTickMark val="out"/>
        <c:minorTickMark val="none"/>
        <c:tickLblPos val="nextTo"/>
        <c:txPr>
          <a:bodyPr/>
          <a:lstStyle/>
          <a:p>
            <a:pPr>
              <a:defRPr b="1"/>
            </a:pPr>
            <a:endParaRPr lang="lv-LV"/>
          </a:p>
        </c:txPr>
        <c:crossAx val="435172480"/>
        <c:crosses val="autoZero"/>
        <c:crossBetween val="between"/>
      </c:valAx>
    </c:plotArea>
    <c:legend>
      <c:legendPos val="r"/>
      <c:layout>
        <c:manualLayout>
          <c:xMode val="edge"/>
          <c:yMode val="edge"/>
          <c:x val="0.6726589828811731"/>
          <c:y val="0.13538578473954102"/>
          <c:w val="0.32571748721633736"/>
          <c:h val="0.86251155883094666"/>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lumMod val="65000"/>
                <a:lumOff val="35000"/>
              </a:schemeClr>
            </a:solidFill>
            <a:ln>
              <a:noFill/>
            </a:ln>
            <a:effectLst/>
          </c:spPr>
          <c:invertIfNegative val="0"/>
          <c:dPt>
            <c:idx val="1"/>
            <c:invertIfNegative val="0"/>
            <c:bubble3D val="0"/>
            <c:spPr>
              <a:solidFill>
                <a:srgbClr val="00B050"/>
              </a:solidFill>
              <a:ln w="25400">
                <a:noFill/>
              </a:ln>
            </c:spPr>
            <c:extLst>
              <c:ext xmlns:c16="http://schemas.microsoft.com/office/drawing/2014/chart" uri="{C3380CC4-5D6E-409C-BE32-E72D297353CC}">
                <c16:uniqueId val="{00000001-22B3-408C-AEB0-42FA99C2C753}"/>
              </c:ext>
            </c:extLst>
          </c:dPt>
          <c:dPt>
            <c:idx val="4"/>
            <c:invertIfNegative val="0"/>
            <c:bubble3D val="0"/>
            <c:extLst>
              <c:ext xmlns:c16="http://schemas.microsoft.com/office/drawing/2014/chart" uri="{C3380CC4-5D6E-409C-BE32-E72D297353CC}">
                <c16:uniqueId val="{00000002-22B3-408C-AEB0-42FA99C2C753}"/>
              </c:ext>
            </c:extLst>
          </c:dPt>
          <c:dPt>
            <c:idx val="5"/>
            <c:invertIfNegative val="0"/>
            <c:bubble3D val="0"/>
            <c:spPr>
              <a:solidFill>
                <a:srgbClr val="0070C0"/>
              </a:solidFill>
              <a:ln w="25400">
                <a:noFill/>
              </a:ln>
            </c:spPr>
            <c:extLst>
              <c:ext xmlns:c16="http://schemas.microsoft.com/office/drawing/2014/chart" uri="{C3380CC4-5D6E-409C-BE32-E72D297353CC}">
                <c16:uniqueId val="{00000004-22B3-408C-AEB0-42FA99C2C753}"/>
              </c:ext>
            </c:extLst>
          </c:dPt>
          <c:dPt>
            <c:idx val="10"/>
            <c:invertIfNegative val="0"/>
            <c:bubble3D val="0"/>
            <c:extLst>
              <c:ext xmlns:c16="http://schemas.microsoft.com/office/drawing/2014/chart" uri="{C3380CC4-5D6E-409C-BE32-E72D297353CC}">
                <c16:uniqueId val="{00000005-22B3-408C-AEB0-42FA99C2C753}"/>
              </c:ext>
            </c:extLst>
          </c:dPt>
          <c:dPt>
            <c:idx val="11"/>
            <c:invertIfNegative val="0"/>
            <c:bubble3D val="0"/>
            <c:spPr>
              <a:solidFill>
                <a:srgbClr val="FF0000"/>
              </a:solidFill>
              <a:ln w="25400">
                <a:noFill/>
              </a:ln>
            </c:spPr>
            <c:extLst>
              <c:ext xmlns:c16="http://schemas.microsoft.com/office/drawing/2014/chart" uri="{C3380CC4-5D6E-409C-BE32-E72D297353CC}">
                <c16:uniqueId val="{00000007-22B3-408C-AEB0-42FA99C2C753}"/>
              </c:ext>
            </c:extLst>
          </c:dPt>
          <c:dPt>
            <c:idx val="20"/>
            <c:invertIfNegative val="0"/>
            <c:bubble3D val="0"/>
            <c:extLst>
              <c:ext xmlns:c16="http://schemas.microsoft.com/office/drawing/2014/chart" uri="{C3380CC4-5D6E-409C-BE32-E72D297353CC}">
                <c16:uniqueId val="{00000008-22B3-408C-AEB0-42FA99C2C753}"/>
              </c:ext>
            </c:extLst>
          </c:dPt>
          <c:dPt>
            <c:idx val="21"/>
            <c:invertIfNegative val="0"/>
            <c:bubble3D val="0"/>
            <c:spPr>
              <a:solidFill>
                <a:srgbClr val="002060"/>
              </a:solidFill>
              <a:ln w="25400">
                <a:noFill/>
              </a:ln>
            </c:spPr>
            <c:extLst>
              <c:ext xmlns:c16="http://schemas.microsoft.com/office/drawing/2014/chart" uri="{C3380CC4-5D6E-409C-BE32-E72D297353CC}">
                <c16:uniqueId val="{0000000A-22B3-408C-AEB0-42FA99C2C753}"/>
              </c:ext>
            </c:extLst>
          </c:dPt>
          <c:dPt>
            <c:idx val="23"/>
            <c:invertIfNegative val="0"/>
            <c:bubble3D val="0"/>
            <c:extLst>
              <c:ext xmlns:c16="http://schemas.microsoft.com/office/drawing/2014/chart" uri="{C3380CC4-5D6E-409C-BE32-E72D297353CC}">
                <c16:uniqueId val="{0000000B-22B3-408C-AEB0-42FA99C2C753}"/>
              </c:ext>
            </c:extLst>
          </c:dPt>
          <c:dPt>
            <c:idx val="24"/>
            <c:invertIfNegative val="0"/>
            <c:bubble3D val="0"/>
            <c:spPr>
              <a:solidFill>
                <a:srgbClr val="002060"/>
              </a:solidFill>
              <a:ln w="25400">
                <a:noFill/>
              </a:ln>
            </c:spPr>
            <c:extLst>
              <c:ext xmlns:c16="http://schemas.microsoft.com/office/drawing/2014/chart" uri="{C3380CC4-5D6E-409C-BE32-E72D297353CC}">
                <c16:uniqueId val="{0000000D-22B3-408C-AEB0-42FA99C2C753}"/>
              </c:ext>
            </c:extLst>
          </c:dPt>
          <c:dLbls>
            <c:spPr>
              <a:noFill/>
              <a:ln w="25400">
                <a:noFill/>
              </a:ln>
            </c:spPr>
            <c:txPr>
              <a:bodyPr rot="0" vert="horz"/>
              <a:lstStyle/>
              <a:p>
                <a:pPr>
                  <a:defRPr sz="800" b="1"/>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Data!$A$12:$A$40</c:f>
              <c:strCache>
                <c:ptCount val="29"/>
                <c:pt idx="0">
                  <c:v>Īrija</c:v>
                </c:pt>
                <c:pt idx="1">
                  <c:v>Lietuva</c:v>
                </c:pt>
                <c:pt idx="2">
                  <c:v>Polija</c:v>
                </c:pt>
                <c:pt idx="3">
                  <c:v>Zviedrija</c:v>
                </c:pt>
                <c:pt idx="4">
                  <c:v>Luksemburga</c:v>
                </c:pt>
                <c:pt idx="5">
                  <c:v>Igaunija</c:v>
                </c:pt>
                <c:pt idx="6">
                  <c:v>Somija</c:v>
                </c:pt>
                <c:pt idx="7">
                  <c:v>Bulgārija</c:v>
                </c:pt>
                <c:pt idx="8">
                  <c:v>Dānija</c:v>
                </c:pt>
                <c:pt idx="9">
                  <c:v>Rumānija</c:v>
                </c:pt>
                <c:pt idx="10">
                  <c:v>Nīderlande</c:v>
                </c:pt>
                <c:pt idx="11">
                  <c:v>Latvija</c:v>
                </c:pt>
                <c:pt idx="12">
                  <c:v>Kipra</c:v>
                </c:pt>
                <c:pt idx="13">
                  <c:v>Ungārija</c:v>
                </c:pt>
                <c:pt idx="14">
                  <c:v>Čehija</c:v>
                </c:pt>
                <c:pt idx="15">
                  <c:v>Vācija</c:v>
                </c:pt>
                <c:pt idx="16">
                  <c:v>Malta</c:v>
                </c:pt>
                <c:pt idx="17">
                  <c:v>Austrija</c:v>
                </c:pt>
                <c:pt idx="18">
                  <c:v>Horvātija</c:v>
                </c:pt>
                <c:pt idx="19">
                  <c:v>Slovēnija</c:v>
                </c:pt>
                <c:pt idx="20">
                  <c:v>Slovākija</c:v>
                </c:pt>
                <c:pt idx="21">
                  <c:v>ES-27</c:v>
                </c:pt>
                <c:pt idx="22">
                  <c:v>Beļģija</c:v>
                </c:pt>
                <c:pt idx="23">
                  <c:v>Grieķija</c:v>
                </c:pt>
                <c:pt idx="24">
                  <c:v>Eirozona</c:v>
                </c:pt>
                <c:pt idx="25">
                  <c:v>Portugāle</c:v>
                </c:pt>
                <c:pt idx="26">
                  <c:v>Itālija</c:v>
                </c:pt>
                <c:pt idx="27">
                  <c:v>Francija</c:v>
                </c:pt>
                <c:pt idx="28">
                  <c:v>Spānija</c:v>
                </c:pt>
              </c:strCache>
            </c:strRef>
          </c:cat>
          <c:val>
            <c:numRef>
              <c:f>Data!$K$12:$K$40</c:f>
              <c:numCache>
                <c:formatCode>0.0</c:formatCode>
                <c:ptCount val="29"/>
                <c:pt idx="0">
                  <c:v>1.2743012509861416</c:v>
                </c:pt>
                <c:pt idx="1">
                  <c:v>-1.0141954631256027</c:v>
                </c:pt>
                <c:pt idx="2">
                  <c:v>-3.2102122804500794</c:v>
                </c:pt>
                <c:pt idx="3">
                  <c:v>-3.4118991369074223</c:v>
                </c:pt>
                <c:pt idx="4">
                  <c:v>-3.5608539512950586</c:v>
                </c:pt>
                <c:pt idx="5">
                  <c:v>-3.8972055888223593</c:v>
                </c:pt>
                <c:pt idx="6">
                  <c:v>-3.992378545407874</c:v>
                </c:pt>
                <c:pt idx="7">
                  <c:v>-4.1973881675226892</c:v>
                </c:pt>
                <c:pt idx="8">
                  <c:v>-4.223479960830204</c:v>
                </c:pt>
                <c:pt idx="9">
                  <c:v>-4.5697831708244081</c:v>
                </c:pt>
                <c:pt idx="10">
                  <c:v>-4.8397189203678437</c:v>
                </c:pt>
                <c:pt idx="11">
                  <c:v>-5.2</c:v>
                </c:pt>
                <c:pt idx="12">
                  <c:v>-5.7111801834442417</c:v>
                </c:pt>
                <c:pt idx="13">
                  <c:v>-6.0695381353991564</c:v>
                </c:pt>
                <c:pt idx="14">
                  <c:v>-6.4279837380091891</c:v>
                </c:pt>
                <c:pt idx="15">
                  <c:v>-6.5322091451822644</c:v>
                </c:pt>
                <c:pt idx="16">
                  <c:v>-7.6832084718075748</c:v>
                </c:pt>
                <c:pt idx="17">
                  <c:v>-7.6962944544139162</c:v>
                </c:pt>
                <c:pt idx="18">
                  <c:v>-7.8114430312090093</c:v>
                </c:pt>
                <c:pt idx="19">
                  <c:v>-7.8936948712689201</c:v>
                </c:pt>
                <c:pt idx="20">
                  <c:v>-8.0891579421258797</c:v>
                </c:pt>
                <c:pt idx="21">
                  <c:v>-8.3320849341315864</c:v>
                </c:pt>
                <c:pt idx="22">
                  <c:v>-8.5138305297227248</c:v>
                </c:pt>
                <c:pt idx="23">
                  <c:v>-8.5469380232064651</c:v>
                </c:pt>
                <c:pt idx="24">
                  <c:v>-8.9877390862680926</c:v>
                </c:pt>
                <c:pt idx="25">
                  <c:v>-9.3255636224684793</c:v>
                </c:pt>
                <c:pt idx="26">
                  <c:v>-11.990937217216796</c:v>
                </c:pt>
                <c:pt idx="27">
                  <c:v>-12.252424508977299</c:v>
                </c:pt>
                <c:pt idx="28">
                  <c:v>-13.14671584695536</c:v>
                </c:pt>
              </c:numCache>
            </c:numRef>
          </c:val>
          <c:extLst>
            <c:ext xmlns:c16="http://schemas.microsoft.com/office/drawing/2014/chart" uri="{C3380CC4-5D6E-409C-BE32-E72D297353CC}">
              <c16:uniqueId val="{0000000E-22B3-408C-AEB0-42FA99C2C753}"/>
            </c:ext>
          </c:extLst>
        </c:ser>
        <c:dLbls>
          <c:showLegendKey val="0"/>
          <c:showVal val="0"/>
          <c:showCatName val="0"/>
          <c:showSerName val="0"/>
          <c:showPercent val="0"/>
          <c:showBubbleSize val="0"/>
        </c:dLbls>
        <c:gapWidth val="50"/>
        <c:overlap val="-27"/>
        <c:axId val="985087200"/>
        <c:axId val="1"/>
      </c:barChart>
      <c:catAx>
        <c:axId val="9850872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900"/>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vert="horz"/>
          <a:lstStyle/>
          <a:p>
            <a:pPr>
              <a:defRPr sz="900"/>
            </a:pPr>
            <a:endParaRPr lang="lv-LV"/>
          </a:p>
        </c:txPr>
        <c:crossAx val="9850872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56206636961076"/>
          <c:y val="0.25135713639243368"/>
          <c:w val="0.50708905572849905"/>
          <c:h val="0.56391800162910666"/>
        </c:manualLayout>
      </c:layout>
      <c:pieChart>
        <c:varyColors val="1"/>
        <c:ser>
          <c:idx val="0"/>
          <c:order val="0"/>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946A-4C9E-8CA9-5D0F4D91D8EC}"/>
              </c:ext>
            </c:extLst>
          </c:dPt>
          <c:dPt>
            <c:idx val="1"/>
            <c:bubble3D val="0"/>
            <c:spPr>
              <a:pattFill prst="dkUpDiag">
                <a:fgClr>
                  <a:schemeClr val="tx1">
                    <a:lumMod val="50000"/>
                    <a:lumOff val="50000"/>
                  </a:schemeClr>
                </a:fgClr>
                <a:bgClr>
                  <a:schemeClr val="bg1"/>
                </a:bgClr>
              </a:pattFill>
              <a:ln w="19050">
                <a:solidFill>
                  <a:schemeClr val="lt1"/>
                </a:solidFill>
              </a:ln>
              <a:effectLst/>
            </c:spPr>
            <c:extLst>
              <c:ext xmlns:c16="http://schemas.microsoft.com/office/drawing/2014/chart" uri="{C3380CC4-5D6E-409C-BE32-E72D297353CC}">
                <c16:uniqueId val="{00000003-946A-4C9E-8CA9-5D0F4D91D8EC}"/>
              </c:ext>
            </c:extLst>
          </c:dPt>
          <c:dPt>
            <c:idx val="2"/>
            <c:bubble3D val="0"/>
            <c:spPr>
              <a:solidFill>
                <a:srgbClr val="FFFF99"/>
              </a:solidFill>
              <a:ln w="19050">
                <a:solidFill>
                  <a:schemeClr val="lt1"/>
                </a:solidFill>
              </a:ln>
              <a:effectLst/>
            </c:spPr>
            <c:extLst>
              <c:ext xmlns:c16="http://schemas.microsoft.com/office/drawing/2014/chart" uri="{C3380CC4-5D6E-409C-BE32-E72D297353CC}">
                <c16:uniqueId val="{00000005-946A-4C9E-8CA9-5D0F4D91D8EC}"/>
              </c:ext>
            </c:extLst>
          </c:dPt>
          <c:dPt>
            <c:idx val="3"/>
            <c:bubble3D val="0"/>
            <c:spPr>
              <a:pattFill prst="dkUpDiag">
                <a:fgClr>
                  <a:srgbClr val="00B050"/>
                </a:fgClr>
                <a:bgClr>
                  <a:schemeClr val="bg1"/>
                </a:bgClr>
              </a:pattFill>
              <a:ln w="19050">
                <a:solidFill>
                  <a:schemeClr val="lt1"/>
                </a:solidFill>
              </a:ln>
              <a:effectLst/>
            </c:spPr>
            <c:extLst>
              <c:ext xmlns:c16="http://schemas.microsoft.com/office/drawing/2014/chart" uri="{C3380CC4-5D6E-409C-BE32-E72D297353CC}">
                <c16:uniqueId val="{00000007-946A-4C9E-8CA9-5D0F4D91D8EC}"/>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946A-4C9E-8CA9-5D0F4D91D8EC}"/>
              </c:ext>
            </c:extLst>
          </c:dPt>
          <c:dPt>
            <c:idx val="5"/>
            <c:bubble3D val="0"/>
            <c:spPr>
              <a:pattFill prst="dkUpDiag">
                <a:fgClr>
                  <a:schemeClr val="accent4">
                    <a:lumMod val="75000"/>
                  </a:schemeClr>
                </a:fgClr>
                <a:bgClr>
                  <a:schemeClr val="bg1"/>
                </a:bgClr>
              </a:pattFill>
              <a:ln w="19050">
                <a:solidFill>
                  <a:schemeClr val="lt1"/>
                </a:solidFill>
              </a:ln>
              <a:effectLst/>
            </c:spPr>
            <c:extLst>
              <c:ext xmlns:c16="http://schemas.microsoft.com/office/drawing/2014/chart" uri="{C3380CC4-5D6E-409C-BE32-E72D297353CC}">
                <c16:uniqueId val="{0000000B-946A-4C9E-8CA9-5D0F4D91D8EC}"/>
              </c:ext>
            </c:extLst>
          </c:dPt>
          <c:dPt>
            <c:idx val="6"/>
            <c:bubble3D val="0"/>
            <c:spPr>
              <a:solidFill>
                <a:schemeClr val="accent1"/>
              </a:solidFill>
              <a:ln w="19050">
                <a:solidFill>
                  <a:schemeClr val="lt1"/>
                </a:solidFill>
              </a:ln>
              <a:effectLst/>
            </c:spPr>
            <c:extLst>
              <c:ext xmlns:c16="http://schemas.microsoft.com/office/drawing/2014/chart" uri="{C3380CC4-5D6E-409C-BE32-E72D297353CC}">
                <c16:uniqueId val="{0000000D-946A-4C9E-8CA9-5D0F4D91D8EC}"/>
              </c:ext>
            </c:extLst>
          </c:dPt>
          <c:dPt>
            <c:idx val="7"/>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F-946A-4C9E-8CA9-5D0F4D91D8EC}"/>
              </c:ext>
            </c:extLst>
          </c:dPt>
          <c:dPt>
            <c:idx val="8"/>
            <c:bubble3D val="0"/>
            <c:spPr>
              <a:pattFill prst="dkUpDiag">
                <a:fgClr>
                  <a:schemeClr val="accent2">
                    <a:lumMod val="60000"/>
                    <a:lumOff val="40000"/>
                  </a:schemeClr>
                </a:fgClr>
                <a:bgClr>
                  <a:schemeClr val="bg1"/>
                </a:bgClr>
              </a:pattFill>
              <a:ln w="19050">
                <a:solidFill>
                  <a:schemeClr val="lt1"/>
                </a:solidFill>
              </a:ln>
              <a:effectLst/>
            </c:spPr>
            <c:extLst>
              <c:ext xmlns:c16="http://schemas.microsoft.com/office/drawing/2014/chart" uri="{C3380CC4-5D6E-409C-BE32-E72D297353CC}">
                <c16:uniqueId val="{00000011-946A-4C9E-8CA9-5D0F4D91D8EC}"/>
              </c:ext>
            </c:extLst>
          </c:dPt>
          <c:dLbls>
            <c:dLbl>
              <c:idx val="0"/>
              <c:layout>
                <c:manualLayout>
                  <c:x val="-8.9250645994832095E-2"/>
                  <c:y val="6.9044709928500186E-3"/>
                </c:manualLayout>
              </c:layout>
              <c:showLegendKey val="0"/>
              <c:showVal val="0"/>
              <c:showCatName val="1"/>
              <c:showSerName val="0"/>
              <c:showPercent val="1"/>
              <c:showBubbleSize val="0"/>
              <c:extLst>
                <c:ext xmlns:c15="http://schemas.microsoft.com/office/drawing/2012/chart" uri="{CE6537A1-D6FC-4f65-9D91-7224C49458BB}">
                  <c15:layout>
                    <c:manualLayout>
                      <c:w val="0.4200871680030821"/>
                      <c:h val="0.15756946329984611"/>
                    </c:manualLayout>
                  </c15:layout>
                </c:ext>
                <c:ext xmlns:c16="http://schemas.microsoft.com/office/drawing/2014/chart" uri="{C3380CC4-5D6E-409C-BE32-E72D297353CC}">
                  <c16:uniqueId val="{00000001-946A-4C9E-8CA9-5D0F4D91D8EC}"/>
                </c:ext>
              </c:extLst>
            </c:dLbl>
            <c:dLbl>
              <c:idx val="1"/>
              <c:layout>
                <c:manualLayout>
                  <c:x val="-4.809863883293658E-2"/>
                  <c:y val="9.3697845958910286E-2"/>
                </c:manualLayout>
              </c:layout>
              <c:showLegendKey val="0"/>
              <c:showVal val="0"/>
              <c:showCatName val="1"/>
              <c:showSerName val="0"/>
              <c:showPercent val="1"/>
              <c:showBubbleSize val="0"/>
              <c:extLst>
                <c:ext xmlns:c15="http://schemas.microsoft.com/office/drawing/2012/chart" uri="{CE6537A1-D6FC-4f65-9D91-7224C49458BB}">
                  <c15:layout>
                    <c:manualLayout>
                      <c:w val="0.31728912326326181"/>
                      <c:h val="0.19560367454068239"/>
                    </c:manualLayout>
                  </c15:layout>
                </c:ext>
                <c:ext xmlns:c16="http://schemas.microsoft.com/office/drawing/2014/chart" uri="{C3380CC4-5D6E-409C-BE32-E72D297353CC}">
                  <c16:uniqueId val="{00000003-946A-4C9E-8CA9-5D0F4D91D8EC}"/>
                </c:ext>
              </c:extLst>
            </c:dLbl>
            <c:dLbl>
              <c:idx val="2"/>
              <c:layout>
                <c:manualLayout>
                  <c:x val="-5.1101751815908628E-3"/>
                  <c:y val="2.0877454973300224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1940263281043357"/>
                      <c:h val="0.15537378948321112"/>
                    </c:manualLayout>
                  </c15:layout>
                </c:ext>
                <c:ext xmlns:c16="http://schemas.microsoft.com/office/drawing/2014/chart" uri="{C3380CC4-5D6E-409C-BE32-E72D297353CC}">
                  <c16:uniqueId val="{00000005-946A-4C9E-8CA9-5D0F4D91D8EC}"/>
                </c:ext>
              </c:extLst>
            </c:dLbl>
            <c:dLbl>
              <c:idx val="3"/>
              <c:layout>
                <c:manualLayout>
                  <c:x val="0"/>
                  <c:y val="-4.534120734908136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4709475269079737"/>
                      <c:h val="0.25287356321839083"/>
                    </c:manualLayout>
                  </c15:layout>
                </c:ext>
                <c:ext xmlns:c16="http://schemas.microsoft.com/office/drawing/2014/chart" uri="{C3380CC4-5D6E-409C-BE32-E72D297353CC}">
                  <c16:uniqueId val="{00000007-946A-4C9E-8CA9-5D0F4D91D8EC}"/>
                </c:ext>
              </c:extLst>
            </c:dLbl>
            <c:dLbl>
              <c:idx val="4"/>
              <c:layout>
                <c:manualLayout>
                  <c:x val="-3.4011068383893922E-2"/>
                  <c:y val="-1.0752104262830269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8220187592829963"/>
                      <c:h val="0.21106344465562496"/>
                    </c:manualLayout>
                  </c15:layout>
                </c:ext>
                <c:ext xmlns:c16="http://schemas.microsoft.com/office/drawing/2014/chart" uri="{C3380CC4-5D6E-409C-BE32-E72D297353CC}">
                  <c16:uniqueId val="{00000009-946A-4C9E-8CA9-5D0F4D91D8EC}"/>
                </c:ext>
              </c:extLst>
            </c:dLbl>
            <c:dLbl>
              <c:idx val="5"/>
              <c:layout>
                <c:manualLayout>
                  <c:x val="9.7859162953468026E-2"/>
                  <c:y val="3.784233867318309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9051984780972145"/>
                      <c:h val="0.17672413793103448"/>
                    </c:manualLayout>
                  </c15:layout>
                </c:ext>
                <c:ext xmlns:c16="http://schemas.microsoft.com/office/drawing/2014/chart" uri="{C3380CC4-5D6E-409C-BE32-E72D297353CC}">
                  <c16:uniqueId val="{0000000B-946A-4C9E-8CA9-5D0F4D91D8EC}"/>
                </c:ext>
              </c:extLst>
            </c:dLbl>
            <c:dLbl>
              <c:idx val="6"/>
              <c:layout>
                <c:manualLayout>
                  <c:x val="4.6959246373273099E-4"/>
                  <c:y val="8.8297583491718703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44886175925257049"/>
                      <c:h val="0.19145126255769754"/>
                    </c:manualLayout>
                  </c15:layout>
                </c:ext>
                <c:ext xmlns:c16="http://schemas.microsoft.com/office/drawing/2014/chart" uri="{C3380CC4-5D6E-409C-BE32-E72D297353CC}">
                  <c16:uniqueId val="{0000000D-946A-4C9E-8CA9-5D0F4D91D8EC}"/>
                </c:ext>
              </c:extLst>
            </c:dLbl>
            <c:dLbl>
              <c:idx val="7"/>
              <c:layout>
                <c:manualLayout>
                  <c:x val="2.0346293922562005E-7"/>
                  <c:y val="-2.883926147162639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3269323892652947"/>
                      <c:h val="0.28577608833378587"/>
                    </c:manualLayout>
                  </c15:layout>
                </c:ext>
                <c:ext xmlns:c16="http://schemas.microsoft.com/office/drawing/2014/chart" uri="{C3380CC4-5D6E-409C-BE32-E72D297353CC}">
                  <c16:uniqueId val="{0000000F-946A-4C9E-8CA9-5D0F4D91D8EC}"/>
                </c:ext>
              </c:extLst>
            </c:dLbl>
            <c:dLbl>
              <c:idx val="8"/>
              <c:layout>
                <c:manualLayout>
                  <c:x val="0"/>
                  <c:y val="5.844691827314686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43883781969114327"/>
                      <c:h val="0.15660919540229884"/>
                    </c:manualLayout>
                  </c15:layout>
                </c:ext>
                <c:ext xmlns:c16="http://schemas.microsoft.com/office/drawing/2014/chart" uri="{C3380CC4-5D6E-409C-BE32-E72D297353CC}">
                  <c16:uniqueId val="{00000011-946A-4C9E-8CA9-5D0F4D91D8E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'PV strukt'!$A$52:$A$60</c:f>
              <c:strCache>
                <c:ptCount val="9"/>
                <c:pt idx="0">
                  <c:v>Lauksaimniecība</c:v>
                </c:pt>
                <c:pt idx="1">
                  <c:v>Rūpniecība</c:v>
                </c:pt>
                <c:pt idx="2">
                  <c:v>Būvniecība</c:v>
                </c:pt>
                <c:pt idx="3">
                  <c:v>Transports un uzglabāšana</c:v>
                </c:pt>
                <c:pt idx="4">
                  <c:v>Tirdzniecība, izmitināšana</c:v>
                </c:pt>
                <c:pt idx="5">
                  <c:v>Finanšu pak. </c:v>
                </c:pt>
                <c:pt idx="6">
                  <c:v>Operācijas ar NĪ</c:v>
                </c:pt>
                <c:pt idx="7">
                  <c:v>IT un komunikācijas pak.</c:v>
                </c:pt>
                <c:pt idx="8">
                  <c:v>Citi pakalpojumi</c:v>
                </c:pt>
              </c:strCache>
            </c:strRef>
          </c:cat>
          <c:val>
            <c:numRef>
              <c:f>'PV strukt'!$B$52:$B$60</c:f>
              <c:numCache>
                <c:formatCode>0.0</c:formatCode>
                <c:ptCount val="9"/>
                <c:pt idx="0">
                  <c:v>3.2</c:v>
                </c:pt>
                <c:pt idx="1">
                  <c:v>16</c:v>
                </c:pt>
                <c:pt idx="2">
                  <c:v>10.3</c:v>
                </c:pt>
                <c:pt idx="3">
                  <c:v>10.199999999999999</c:v>
                </c:pt>
                <c:pt idx="4">
                  <c:v>16.399999999999999</c:v>
                </c:pt>
                <c:pt idx="5">
                  <c:v>4.9000000000000004</c:v>
                </c:pt>
                <c:pt idx="6">
                  <c:v>8.6999999999999993</c:v>
                </c:pt>
                <c:pt idx="7">
                  <c:v>4.7</c:v>
                </c:pt>
                <c:pt idx="8">
                  <c:v>25.599999999999994</c:v>
                </c:pt>
              </c:numCache>
            </c:numRef>
          </c:val>
          <c:extLst>
            <c:ext xmlns:c16="http://schemas.microsoft.com/office/drawing/2014/chart" uri="{C3380CC4-5D6E-409C-BE32-E72D297353CC}">
              <c16:uniqueId val="{00000012-946A-4C9E-8CA9-5D0F4D91D8EC}"/>
            </c:ext>
          </c:extLst>
        </c:ser>
        <c:dLbls>
          <c:showLegendKey val="0"/>
          <c:showVal val="1"/>
          <c:showCatName val="0"/>
          <c:showSerName val="0"/>
          <c:showPercent val="0"/>
          <c:showBubbleSize val="0"/>
          <c:showLeaderLines val="1"/>
        </c:dLbls>
        <c:firstSliceAng val="0"/>
      </c:pieChart>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72222222222221"/>
          <c:y val="0.11342592592592593"/>
          <c:w val="0.44722222222222224"/>
          <c:h val="0.74537037037037035"/>
        </c:manualLayout>
      </c:layout>
      <c:pieChart>
        <c:varyColors val="1"/>
        <c:ser>
          <c:idx val="0"/>
          <c:order val="0"/>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8F62-46C5-91CD-4186DEC11497}"/>
              </c:ext>
            </c:extLst>
          </c:dPt>
          <c:dPt>
            <c:idx val="1"/>
            <c:bubble3D val="0"/>
            <c:spPr>
              <a:pattFill prst="dkUpDiag">
                <a:fgClr>
                  <a:schemeClr val="tx1">
                    <a:lumMod val="50000"/>
                    <a:lumOff val="50000"/>
                  </a:schemeClr>
                </a:fgClr>
                <a:bgClr>
                  <a:schemeClr val="bg1"/>
                </a:bgClr>
              </a:pattFill>
              <a:ln w="19050">
                <a:solidFill>
                  <a:schemeClr val="lt1"/>
                </a:solidFill>
              </a:ln>
              <a:effectLst/>
            </c:spPr>
            <c:extLst>
              <c:ext xmlns:c16="http://schemas.microsoft.com/office/drawing/2014/chart" uri="{C3380CC4-5D6E-409C-BE32-E72D297353CC}">
                <c16:uniqueId val="{00000003-8F62-46C5-91CD-4186DEC11497}"/>
              </c:ext>
            </c:extLst>
          </c:dPt>
          <c:dPt>
            <c:idx val="2"/>
            <c:bubble3D val="0"/>
            <c:spPr>
              <a:solidFill>
                <a:srgbClr val="FFFF99"/>
              </a:solidFill>
              <a:ln w="19050">
                <a:solidFill>
                  <a:schemeClr val="lt1"/>
                </a:solidFill>
              </a:ln>
              <a:effectLst/>
            </c:spPr>
            <c:extLst>
              <c:ext xmlns:c16="http://schemas.microsoft.com/office/drawing/2014/chart" uri="{C3380CC4-5D6E-409C-BE32-E72D297353CC}">
                <c16:uniqueId val="{00000005-8F62-46C5-91CD-4186DEC11497}"/>
              </c:ext>
            </c:extLst>
          </c:dPt>
          <c:dPt>
            <c:idx val="3"/>
            <c:bubble3D val="0"/>
            <c:spPr>
              <a:pattFill prst="dkUpDiag">
                <a:fgClr>
                  <a:srgbClr val="00B050"/>
                </a:fgClr>
                <a:bgClr>
                  <a:schemeClr val="bg1"/>
                </a:bgClr>
              </a:pattFill>
              <a:ln w="19050">
                <a:solidFill>
                  <a:schemeClr val="lt1"/>
                </a:solidFill>
              </a:ln>
              <a:effectLst/>
            </c:spPr>
            <c:extLst>
              <c:ext xmlns:c16="http://schemas.microsoft.com/office/drawing/2014/chart" uri="{C3380CC4-5D6E-409C-BE32-E72D297353CC}">
                <c16:uniqueId val="{00000007-8F62-46C5-91CD-4186DEC11497}"/>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8F62-46C5-91CD-4186DEC11497}"/>
              </c:ext>
            </c:extLst>
          </c:dPt>
          <c:dPt>
            <c:idx val="5"/>
            <c:bubble3D val="0"/>
            <c:spPr>
              <a:pattFill prst="dkUpDiag">
                <a:fgClr>
                  <a:schemeClr val="accent4">
                    <a:lumMod val="75000"/>
                  </a:schemeClr>
                </a:fgClr>
                <a:bgClr>
                  <a:schemeClr val="bg1"/>
                </a:bgClr>
              </a:pattFill>
              <a:ln w="19050">
                <a:solidFill>
                  <a:schemeClr val="lt1"/>
                </a:solidFill>
              </a:ln>
              <a:effectLst/>
            </c:spPr>
            <c:extLst>
              <c:ext xmlns:c16="http://schemas.microsoft.com/office/drawing/2014/chart" uri="{C3380CC4-5D6E-409C-BE32-E72D297353CC}">
                <c16:uniqueId val="{0000000B-8F62-46C5-91CD-4186DEC11497}"/>
              </c:ext>
            </c:extLst>
          </c:dPt>
          <c:dPt>
            <c:idx val="6"/>
            <c:bubble3D val="0"/>
            <c:spPr>
              <a:solidFill>
                <a:schemeClr val="accent1"/>
              </a:solidFill>
              <a:ln w="19050">
                <a:solidFill>
                  <a:schemeClr val="lt1"/>
                </a:solidFill>
              </a:ln>
              <a:effectLst/>
            </c:spPr>
            <c:extLst>
              <c:ext xmlns:c16="http://schemas.microsoft.com/office/drawing/2014/chart" uri="{C3380CC4-5D6E-409C-BE32-E72D297353CC}">
                <c16:uniqueId val="{0000000D-8F62-46C5-91CD-4186DEC11497}"/>
              </c:ext>
            </c:extLst>
          </c:dPt>
          <c:dPt>
            <c:idx val="7"/>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F-8F62-46C5-91CD-4186DEC11497}"/>
              </c:ext>
            </c:extLst>
          </c:dPt>
          <c:dPt>
            <c:idx val="8"/>
            <c:bubble3D val="0"/>
            <c:spPr>
              <a:pattFill prst="dkUpDiag">
                <a:fgClr>
                  <a:schemeClr val="accent2">
                    <a:lumMod val="60000"/>
                    <a:lumOff val="40000"/>
                  </a:schemeClr>
                </a:fgClr>
                <a:bgClr>
                  <a:schemeClr val="bg1"/>
                </a:bgClr>
              </a:pattFill>
              <a:ln w="19050">
                <a:solidFill>
                  <a:schemeClr val="lt1"/>
                </a:solidFill>
              </a:ln>
              <a:effectLst/>
            </c:spPr>
            <c:extLst>
              <c:ext xmlns:c16="http://schemas.microsoft.com/office/drawing/2014/chart" uri="{C3380CC4-5D6E-409C-BE32-E72D297353CC}">
                <c16:uniqueId val="{00000011-8F62-46C5-91CD-4186DEC11497}"/>
              </c:ext>
            </c:extLst>
          </c:dPt>
          <c:dLbls>
            <c:dLbl>
              <c:idx val="0"/>
              <c:layout>
                <c:manualLayout>
                  <c:x val="-7.4829029238478062E-2"/>
                  <c:y val="9.259435243008417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6125874125874119"/>
                      <c:h val="0.14962666304642952"/>
                    </c:manualLayout>
                  </c15:layout>
                </c:ext>
                <c:ext xmlns:c16="http://schemas.microsoft.com/office/drawing/2014/chart" uri="{C3380CC4-5D6E-409C-BE32-E72D297353CC}">
                  <c16:uniqueId val="{00000001-8F62-46C5-91CD-4186DEC11497}"/>
                </c:ext>
              </c:extLst>
            </c:dLbl>
            <c:dLbl>
              <c:idx val="1"/>
              <c:layout>
                <c:manualLayout>
                  <c:x val="-2.8105831176697404E-2"/>
                  <c:y val="5.6314372341388336E-2"/>
                </c:manualLayout>
              </c:layout>
              <c:showLegendKey val="0"/>
              <c:showVal val="0"/>
              <c:showCatName val="1"/>
              <c:showSerName val="0"/>
              <c:showPercent val="1"/>
              <c:showBubbleSize val="0"/>
              <c:extLst>
                <c:ext xmlns:c15="http://schemas.microsoft.com/office/drawing/2012/chart" uri="{CE6537A1-D6FC-4f65-9D91-7224C49458BB}">
                  <c15:layout>
                    <c:manualLayout>
                      <c:w val="0.31000018354349057"/>
                      <c:h val="0.19560367454068239"/>
                    </c:manualLayout>
                  </c15:layout>
                </c:ext>
                <c:ext xmlns:c16="http://schemas.microsoft.com/office/drawing/2014/chart" uri="{C3380CC4-5D6E-409C-BE32-E72D297353CC}">
                  <c16:uniqueId val="{00000003-8F62-46C5-91CD-4186DEC11497}"/>
                </c:ext>
              </c:extLst>
            </c:dLbl>
            <c:dLbl>
              <c:idx val="2"/>
              <c:layout>
                <c:manualLayout>
                  <c:x val="-4.1957858414551415E-2"/>
                  <c:y val="2.697800705946239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762237762237762"/>
                      <c:h val="0.17385057471264367"/>
                    </c:manualLayout>
                  </c15:layout>
                </c:ext>
                <c:ext xmlns:c16="http://schemas.microsoft.com/office/drawing/2014/chart" uri="{C3380CC4-5D6E-409C-BE32-E72D297353CC}">
                  <c16:uniqueId val="{00000005-8F62-46C5-91CD-4186DEC11497}"/>
                </c:ext>
              </c:extLst>
            </c:dLbl>
            <c:dLbl>
              <c:idx val="3"/>
              <c:layout>
                <c:manualLayout>
                  <c:x val="-4.1958041958042043E-2"/>
                  <c:y val="-1.0170377409720389E-2"/>
                </c:manualLayout>
              </c:layout>
              <c:showLegendKey val="0"/>
              <c:showVal val="0"/>
              <c:showCatName val="1"/>
              <c:showSerName val="0"/>
              <c:showPercent val="1"/>
              <c:showBubbleSize val="0"/>
              <c:extLst>
                <c:ext xmlns:c15="http://schemas.microsoft.com/office/drawing/2012/chart" uri="{CE6537A1-D6FC-4f65-9D91-7224C49458BB}">
                  <c15:layout>
                    <c:manualLayout>
                      <c:w val="0.26797202797202796"/>
                      <c:h val="0.31451172051769388"/>
                    </c:manualLayout>
                  </c15:layout>
                </c:ext>
                <c:ext xmlns:c16="http://schemas.microsoft.com/office/drawing/2014/chart" uri="{C3380CC4-5D6E-409C-BE32-E72D297353CC}">
                  <c16:uniqueId val="{00000007-8F62-46C5-91CD-4186DEC11497}"/>
                </c:ext>
              </c:extLst>
            </c:dLbl>
            <c:dLbl>
              <c:idx val="4"/>
              <c:layout>
                <c:manualLayout>
                  <c:x val="-5.9952462235926887E-2"/>
                  <c:y val="-9.9533894470087798E-4"/>
                </c:manualLayout>
              </c:layout>
              <c:showLegendKey val="0"/>
              <c:showVal val="0"/>
              <c:showCatName val="1"/>
              <c:showSerName val="0"/>
              <c:showPercent val="1"/>
              <c:showBubbleSize val="0"/>
              <c:extLst>
                <c:ext xmlns:c15="http://schemas.microsoft.com/office/drawing/2012/chart" uri="{CE6537A1-D6FC-4f65-9D91-7224C49458BB}">
                  <c15:layout>
                    <c:manualLayout>
                      <c:w val="0.27729603729603725"/>
                      <c:h val="0.31451172051769388"/>
                    </c:manualLayout>
                  </c15:layout>
                </c:ext>
                <c:ext xmlns:c16="http://schemas.microsoft.com/office/drawing/2014/chart" uri="{C3380CC4-5D6E-409C-BE32-E72D297353CC}">
                  <c16:uniqueId val="{00000009-8F62-46C5-91CD-4186DEC11497}"/>
                </c:ext>
              </c:extLst>
            </c:dLbl>
            <c:dLbl>
              <c:idx val="5"/>
              <c:layout>
                <c:manualLayout>
                  <c:x val="8.6085935062312977E-2"/>
                  <c:y val="-4.7490723142365821E-3"/>
                </c:manualLayout>
              </c:layout>
              <c:showLegendKey val="0"/>
              <c:showVal val="0"/>
              <c:showCatName val="1"/>
              <c:showSerName val="0"/>
              <c:showPercent val="1"/>
              <c:showBubbleSize val="0"/>
              <c:extLst>
                <c:ext xmlns:c15="http://schemas.microsoft.com/office/drawing/2012/chart" uri="{CE6537A1-D6FC-4f65-9D91-7224C49458BB}">
                  <c15:layout>
                    <c:manualLayout>
                      <c:w val="0.23076923076923078"/>
                      <c:h val="0.19560367454068239"/>
                    </c:manualLayout>
                  </c15:layout>
                </c:ext>
                <c:ext xmlns:c16="http://schemas.microsoft.com/office/drawing/2014/chart" uri="{C3380CC4-5D6E-409C-BE32-E72D297353CC}">
                  <c16:uniqueId val="{0000000B-8F62-46C5-91CD-4186DEC11497}"/>
                </c:ext>
              </c:extLst>
            </c:dLbl>
            <c:dLbl>
              <c:idx val="6"/>
              <c:layout>
                <c:manualLayout>
                  <c:x val="5.7555567791788255E-2"/>
                  <c:y val="2.8194859263281744E-3"/>
                </c:manualLayout>
              </c:layout>
              <c:showLegendKey val="0"/>
              <c:showVal val="0"/>
              <c:showCatName val="1"/>
              <c:showSerName val="0"/>
              <c:showPercent val="1"/>
              <c:showBubbleSize val="0"/>
              <c:extLst>
                <c:ext xmlns:c15="http://schemas.microsoft.com/office/drawing/2012/chart" uri="{CE6537A1-D6FC-4f65-9D91-7224C49458BB}">
                  <c15:layout>
                    <c:manualLayout>
                      <c:w val="0.36818200172530879"/>
                      <c:h val="0.19560367454068239"/>
                    </c:manualLayout>
                  </c15:layout>
                </c:ext>
                <c:ext xmlns:c16="http://schemas.microsoft.com/office/drawing/2014/chart" uri="{C3380CC4-5D6E-409C-BE32-E72D297353CC}">
                  <c16:uniqueId val="{0000000D-8F62-46C5-91CD-4186DEC11497}"/>
                </c:ext>
              </c:extLst>
            </c:dLbl>
            <c:dLbl>
              <c:idx val="7"/>
              <c:layout>
                <c:manualLayout>
                  <c:x val="5.3293504395866595E-2"/>
                  <c:y val="-2.3749660602769535E-2"/>
                </c:manualLayout>
              </c:layout>
              <c:showLegendKey val="0"/>
              <c:showVal val="0"/>
              <c:showCatName val="1"/>
              <c:showSerName val="0"/>
              <c:showPercent val="1"/>
              <c:showBubbleSize val="0"/>
              <c:extLst>
                <c:ext xmlns:c15="http://schemas.microsoft.com/office/drawing/2012/chart" uri="{CE6537A1-D6FC-4f65-9D91-7224C49458BB}">
                  <c15:layout>
                    <c:manualLayout>
                      <c:w val="0.30766918121248826"/>
                      <c:h val="0.25505747126436784"/>
                    </c:manualLayout>
                  </c15:layout>
                </c:ext>
                <c:ext xmlns:c16="http://schemas.microsoft.com/office/drawing/2014/chart" uri="{C3380CC4-5D6E-409C-BE32-E72D297353CC}">
                  <c16:uniqueId val="{0000000F-8F62-46C5-91CD-4186DEC11497}"/>
                </c:ext>
              </c:extLst>
            </c:dLbl>
            <c:dLbl>
              <c:idx val="8"/>
              <c:layout>
                <c:manualLayout>
                  <c:x val="3.7296037296037296E-2"/>
                  <c:y val="9.071092406552626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4382284382284384"/>
                      <c:h val="0.18103448275862069"/>
                    </c:manualLayout>
                  </c15:layout>
                </c:ext>
                <c:ext xmlns:c16="http://schemas.microsoft.com/office/drawing/2014/chart" uri="{C3380CC4-5D6E-409C-BE32-E72D297353CC}">
                  <c16:uniqueId val="{00000011-8F62-46C5-91CD-4186DEC1149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'PV strukt'!$A$26:$A$34</c:f>
              <c:strCache>
                <c:ptCount val="9"/>
                <c:pt idx="0">
                  <c:v>Lauksaimniecība</c:v>
                </c:pt>
                <c:pt idx="1">
                  <c:v>Rūpniecība</c:v>
                </c:pt>
                <c:pt idx="2">
                  <c:v>Būvniecība</c:v>
                </c:pt>
                <c:pt idx="3">
                  <c:v>Transports un uzglabāšana</c:v>
                </c:pt>
                <c:pt idx="4">
                  <c:v>Tirdzniecība, izmitināšana</c:v>
                </c:pt>
                <c:pt idx="5">
                  <c:v>Finanšu pak. </c:v>
                </c:pt>
                <c:pt idx="6">
                  <c:v>Operācijas ar NĪ</c:v>
                </c:pt>
                <c:pt idx="7">
                  <c:v>IT un komunikācijas pak.</c:v>
                </c:pt>
                <c:pt idx="8">
                  <c:v>Citi pakalpojumi</c:v>
                </c:pt>
              </c:strCache>
            </c:strRef>
          </c:cat>
          <c:val>
            <c:numRef>
              <c:f>'PV strukt'!$C$52:$C$60</c:f>
              <c:numCache>
                <c:formatCode>0.0</c:formatCode>
                <c:ptCount val="9"/>
                <c:pt idx="0">
                  <c:v>3.8</c:v>
                </c:pt>
                <c:pt idx="1">
                  <c:v>15.4</c:v>
                </c:pt>
                <c:pt idx="2">
                  <c:v>6.5</c:v>
                </c:pt>
                <c:pt idx="3">
                  <c:v>9.3000000000000007</c:v>
                </c:pt>
                <c:pt idx="4">
                  <c:v>17.5</c:v>
                </c:pt>
                <c:pt idx="5">
                  <c:v>2.9</c:v>
                </c:pt>
                <c:pt idx="6">
                  <c:v>11.644362824378893</c:v>
                </c:pt>
                <c:pt idx="7">
                  <c:v>5.2</c:v>
                </c:pt>
                <c:pt idx="8">
                  <c:v>27.755637175621104</c:v>
                </c:pt>
              </c:numCache>
            </c:numRef>
          </c:val>
          <c:extLst>
            <c:ext xmlns:c16="http://schemas.microsoft.com/office/drawing/2014/chart" uri="{C3380CC4-5D6E-409C-BE32-E72D297353CC}">
              <c16:uniqueId val="{00000012-8F62-46C5-91CD-4186DEC11497}"/>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552917822426064E-2"/>
          <c:y val="5.2707235265931962E-2"/>
          <c:w val="0.93457513873852693"/>
          <c:h val="0.66689668702768168"/>
        </c:manualLayout>
      </c:layout>
      <c:lineChart>
        <c:grouping val="standard"/>
        <c:varyColors val="0"/>
        <c:ser>
          <c:idx val="0"/>
          <c:order val="0"/>
          <c:tx>
            <c:strRef>
              <c:f>ESI!$C$1</c:f>
              <c:strCache>
                <c:ptCount val="1"/>
                <c:pt idx="0">
                  <c:v>ES</c:v>
                </c:pt>
              </c:strCache>
            </c:strRef>
          </c:tx>
          <c:spPr>
            <a:ln w="28575" cap="rnd">
              <a:solidFill>
                <a:srgbClr val="0070C0"/>
              </a:solidFill>
              <a:round/>
            </a:ln>
            <a:effectLst/>
          </c:spPr>
          <c:marker>
            <c:symbol val="none"/>
          </c:marker>
          <c:cat>
            <c:multiLvlStrRef>
              <c:f>ESI!$A$14:$B$142</c:f>
              <c:multiLvlStrCache>
                <c:ptCount val="12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lvl>
                <c:lvl>
                  <c:pt idx="0">
                    <c:v>2010</c:v>
                  </c:pt>
                  <c:pt idx="12">
                    <c:v>2011</c:v>
                  </c:pt>
                  <c:pt idx="24">
                    <c:v>2012</c:v>
                  </c:pt>
                  <c:pt idx="36">
                    <c:v>2013</c:v>
                  </c:pt>
                  <c:pt idx="48">
                    <c:v>2014</c:v>
                  </c:pt>
                  <c:pt idx="60">
                    <c:v>2015</c:v>
                  </c:pt>
                  <c:pt idx="72">
                    <c:v>2016</c:v>
                  </c:pt>
                  <c:pt idx="84">
                    <c:v>2017</c:v>
                  </c:pt>
                  <c:pt idx="96">
                    <c:v>2018</c:v>
                  </c:pt>
                  <c:pt idx="108">
                    <c:v>2019</c:v>
                  </c:pt>
                  <c:pt idx="120">
                    <c:v>20</c:v>
                  </c:pt>
                </c:lvl>
              </c:multiLvlStrCache>
            </c:multiLvlStrRef>
          </c:cat>
          <c:val>
            <c:numRef>
              <c:f>ESI!$C$14:$C$142</c:f>
              <c:numCache>
                <c:formatCode>0.0</c:formatCode>
                <c:ptCount val="129"/>
                <c:pt idx="0">
                  <c:v>93.2</c:v>
                </c:pt>
                <c:pt idx="1">
                  <c:v>94.4</c:v>
                </c:pt>
                <c:pt idx="2">
                  <c:v>96.5</c:v>
                </c:pt>
                <c:pt idx="3">
                  <c:v>99.3</c:v>
                </c:pt>
                <c:pt idx="4">
                  <c:v>97.5</c:v>
                </c:pt>
                <c:pt idx="5">
                  <c:v>98.1</c:v>
                </c:pt>
                <c:pt idx="6">
                  <c:v>99.9</c:v>
                </c:pt>
                <c:pt idx="7">
                  <c:v>100.5</c:v>
                </c:pt>
                <c:pt idx="8">
                  <c:v>101.2</c:v>
                </c:pt>
                <c:pt idx="9">
                  <c:v>102</c:v>
                </c:pt>
                <c:pt idx="10">
                  <c:v>104</c:v>
                </c:pt>
                <c:pt idx="11">
                  <c:v>105.2</c:v>
                </c:pt>
                <c:pt idx="12">
                  <c:v>105.7</c:v>
                </c:pt>
                <c:pt idx="13">
                  <c:v>107.1</c:v>
                </c:pt>
                <c:pt idx="14">
                  <c:v>106.3</c:v>
                </c:pt>
                <c:pt idx="15">
                  <c:v>104.5</c:v>
                </c:pt>
                <c:pt idx="16">
                  <c:v>103.2</c:v>
                </c:pt>
                <c:pt idx="17">
                  <c:v>103</c:v>
                </c:pt>
                <c:pt idx="18">
                  <c:v>100.6</c:v>
                </c:pt>
                <c:pt idx="19">
                  <c:v>96.7</c:v>
                </c:pt>
                <c:pt idx="20">
                  <c:v>93.4</c:v>
                </c:pt>
                <c:pt idx="21">
                  <c:v>92.8</c:v>
                </c:pt>
                <c:pt idx="22">
                  <c:v>92.6</c:v>
                </c:pt>
                <c:pt idx="23">
                  <c:v>91.4</c:v>
                </c:pt>
                <c:pt idx="24">
                  <c:v>91.4</c:v>
                </c:pt>
                <c:pt idx="25">
                  <c:v>92.8</c:v>
                </c:pt>
                <c:pt idx="26">
                  <c:v>93.1</c:v>
                </c:pt>
                <c:pt idx="27">
                  <c:v>91.7</c:v>
                </c:pt>
                <c:pt idx="28">
                  <c:v>89</c:v>
                </c:pt>
                <c:pt idx="29">
                  <c:v>88.8</c:v>
                </c:pt>
                <c:pt idx="30">
                  <c:v>86.8</c:v>
                </c:pt>
                <c:pt idx="31">
                  <c:v>85.4</c:v>
                </c:pt>
                <c:pt idx="32">
                  <c:v>83.9</c:v>
                </c:pt>
                <c:pt idx="33">
                  <c:v>83.1</c:v>
                </c:pt>
                <c:pt idx="34">
                  <c:v>84.3</c:v>
                </c:pt>
                <c:pt idx="35">
                  <c:v>85.6</c:v>
                </c:pt>
                <c:pt idx="36">
                  <c:v>86.9</c:v>
                </c:pt>
                <c:pt idx="37">
                  <c:v>87.7</c:v>
                </c:pt>
                <c:pt idx="38">
                  <c:v>87.7</c:v>
                </c:pt>
                <c:pt idx="39">
                  <c:v>85.9</c:v>
                </c:pt>
                <c:pt idx="40">
                  <c:v>86.8</c:v>
                </c:pt>
                <c:pt idx="41">
                  <c:v>88.3</c:v>
                </c:pt>
                <c:pt idx="42">
                  <c:v>89.5</c:v>
                </c:pt>
                <c:pt idx="43">
                  <c:v>91.6</c:v>
                </c:pt>
                <c:pt idx="44">
                  <c:v>94.5</c:v>
                </c:pt>
                <c:pt idx="45">
                  <c:v>95.3</c:v>
                </c:pt>
                <c:pt idx="46" formatCode="General">
                  <c:v>96.7</c:v>
                </c:pt>
                <c:pt idx="47" formatCode="General">
                  <c:v>98.2</c:v>
                </c:pt>
                <c:pt idx="48" formatCode="General">
                  <c:v>99.1</c:v>
                </c:pt>
                <c:pt idx="49">
                  <c:v>99.2</c:v>
                </c:pt>
                <c:pt idx="50" formatCode="General">
                  <c:v>100.4</c:v>
                </c:pt>
                <c:pt idx="51" formatCode="General">
                  <c:v>100.1</c:v>
                </c:pt>
                <c:pt idx="52" formatCode="General">
                  <c:v>100.3</c:v>
                </c:pt>
                <c:pt idx="53" formatCode="General">
                  <c:v>100.1</c:v>
                </c:pt>
                <c:pt idx="54" formatCode="General">
                  <c:v>100.2</c:v>
                </c:pt>
                <c:pt idx="55" formatCode="General">
                  <c:v>99.3</c:v>
                </c:pt>
                <c:pt idx="56" formatCode="General">
                  <c:v>98.5</c:v>
                </c:pt>
                <c:pt idx="57" formatCode="General">
                  <c:v>99.3</c:v>
                </c:pt>
                <c:pt idx="58" formatCode="General">
                  <c:v>99.2</c:v>
                </c:pt>
                <c:pt idx="59" formatCode="General">
                  <c:v>99.4</c:v>
                </c:pt>
                <c:pt idx="60" formatCode="General">
                  <c:v>99.8</c:v>
                </c:pt>
                <c:pt idx="61" formatCode="General">
                  <c:v>100.7</c:v>
                </c:pt>
                <c:pt idx="62" formatCode="General">
                  <c:v>101.7</c:v>
                </c:pt>
                <c:pt idx="63" formatCode="General">
                  <c:v>102</c:v>
                </c:pt>
                <c:pt idx="64" formatCode="General">
                  <c:v>102.3</c:v>
                </c:pt>
                <c:pt idx="65" formatCode="General">
                  <c:v>102.3</c:v>
                </c:pt>
                <c:pt idx="66" formatCode="General">
                  <c:v>102.8</c:v>
                </c:pt>
                <c:pt idx="67" formatCode="General">
                  <c:v>103.2</c:v>
                </c:pt>
                <c:pt idx="68" formatCode="General">
                  <c:v>104.4</c:v>
                </c:pt>
                <c:pt idx="69" formatCode="General">
                  <c:v>105.2</c:v>
                </c:pt>
                <c:pt idx="70" formatCode="General">
                  <c:v>105.2</c:v>
                </c:pt>
                <c:pt idx="71" formatCode="General">
                  <c:v>105.7</c:v>
                </c:pt>
                <c:pt idx="72" formatCode="General">
                  <c:v>104.9</c:v>
                </c:pt>
                <c:pt idx="73" formatCode="General">
                  <c:v>103.5</c:v>
                </c:pt>
                <c:pt idx="74" formatCode="General">
                  <c:v>102.3</c:v>
                </c:pt>
                <c:pt idx="75" formatCode="General">
                  <c:v>103.2</c:v>
                </c:pt>
                <c:pt idx="76" formatCode="General">
                  <c:v>103.5</c:v>
                </c:pt>
                <c:pt idx="77" formatCode="General">
                  <c:v>103.6</c:v>
                </c:pt>
                <c:pt idx="78" formatCode="General">
                  <c:v>103.7</c:v>
                </c:pt>
                <c:pt idx="79" formatCode="General">
                  <c:v>103</c:v>
                </c:pt>
                <c:pt idx="80" formatCode="General">
                  <c:v>103.8</c:v>
                </c:pt>
                <c:pt idx="81" formatCode="General">
                  <c:v>105.4</c:v>
                </c:pt>
                <c:pt idx="82" formatCode="General">
                  <c:v>105.7</c:v>
                </c:pt>
                <c:pt idx="83" formatCode="General">
                  <c:v>107.2</c:v>
                </c:pt>
                <c:pt idx="84" formatCode="General">
                  <c:v>107.2</c:v>
                </c:pt>
                <c:pt idx="85" formatCode="General">
                  <c:v>107.2</c:v>
                </c:pt>
                <c:pt idx="86" formatCode="General">
                  <c:v>106.9</c:v>
                </c:pt>
                <c:pt idx="87" formatCode="General">
                  <c:v>108.4</c:v>
                </c:pt>
                <c:pt idx="88" formatCode="General">
                  <c:v>108.5</c:v>
                </c:pt>
                <c:pt idx="89" formatCode="General">
                  <c:v>110.1</c:v>
                </c:pt>
                <c:pt idx="90" formatCode="General">
                  <c:v>111.3</c:v>
                </c:pt>
                <c:pt idx="91" formatCode="General">
                  <c:v>111.2</c:v>
                </c:pt>
                <c:pt idx="92" formatCode="General">
                  <c:v>112.3</c:v>
                </c:pt>
                <c:pt idx="93" formatCode="General">
                  <c:v>113.4</c:v>
                </c:pt>
                <c:pt idx="94" formatCode="General">
                  <c:v>113.8</c:v>
                </c:pt>
                <c:pt idx="95" formatCode="General">
                  <c:v>114.7</c:v>
                </c:pt>
                <c:pt idx="96" formatCode="General">
                  <c:v>114.2</c:v>
                </c:pt>
                <c:pt idx="97" formatCode="General">
                  <c:v>114.1</c:v>
                </c:pt>
                <c:pt idx="98" formatCode="General">
                  <c:v>112.4</c:v>
                </c:pt>
                <c:pt idx="99" formatCode="General">
                  <c:v>112.5</c:v>
                </c:pt>
                <c:pt idx="100" formatCode="General">
                  <c:v>111.9</c:v>
                </c:pt>
                <c:pt idx="101" formatCode="General">
                  <c:v>112.2</c:v>
                </c:pt>
                <c:pt idx="102" formatCode="General">
                  <c:v>111.6</c:v>
                </c:pt>
                <c:pt idx="103" formatCode="General">
                  <c:v>111.3</c:v>
                </c:pt>
                <c:pt idx="104" formatCode="General">
                  <c:v>110.7</c:v>
                </c:pt>
                <c:pt idx="105" formatCode="General">
                  <c:v>109.8</c:v>
                </c:pt>
                <c:pt idx="106" formatCode="General">
                  <c:v>109.5</c:v>
                </c:pt>
                <c:pt idx="107" formatCode="General">
                  <c:v>107.8</c:v>
                </c:pt>
                <c:pt idx="108" formatCode="General">
                  <c:v>106.2</c:v>
                </c:pt>
                <c:pt idx="109" formatCode="General">
                  <c:v>106.2</c:v>
                </c:pt>
                <c:pt idx="110">
                  <c:v>105.7</c:v>
                </c:pt>
                <c:pt idx="111" formatCode="General">
                  <c:v>104</c:v>
                </c:pt>
                <c:pt idx="112" formatCode="General">
                  <c:v>105</c:v>
                </c:pt>
                <c:pt idx="113" formatCode="General">
                  <c:v>103.1</c:v>
                </c:pt>
                <c:pt idx="114" formatCode="General">
                  <c:v>102.4</c:v>
                </c:pt>
                <c:pt idx="115" formatCode="General">
                  <c:v>102.7</c:v>
                </c:pt>
                <c:pt idx="116" formatCode="General">
                  <c:v>101.3</c:v>
                </c:pt>
                <c:pt idx="117" formatCode="General">
                  <c:v>100.4</c:v>
                </c:pt>
                <c:pt idx="118">
                  <c:v>100.9</c:v>
                </c:pt>
                <c:pt idx="119">
                  <c:v>101</c:v>
                </c:pt>
                <c:pt idx="120" formatCode="General">
                  <c:v>102.5</c:v>
                </c:pt>
                <c:pt idx="121" formatCode="General">
                  <c:v>103</c:v>
                </c:pt>
                <c:pt idx="122" formatCode="General">
                  <c:v>94.5</c:v>
                </c:pt>
                <c:pt idx="123" formatCode="General">
                  <c:v>63.8</c:v>
                </c:pt>
                <c:pt idx="124" formatCode="General">
                  <c:v>66.7</c:v>
                </c:pt>
                <c:pt idx="125" formatCode="General">
                  <c:v>74.900000000000006</c:v>
                </c:pt>
                <c:pt idx="126" formatCode="General">
                  <c:v>81.8</c:v>
                </c:pt>
                <c:pt idx="127" formatCode="General">
                  <c:v>86.8</c:v>
                </c:pt>
                <c:pt idx="128" formatCode="General">
                  <c:v>90.2</c:v>
                </c:pt>
              </c:numCache>
            </c:numRef>
          </c:val>
          <c:smooth val="1"/>
          <c:extLst>
            <c:ext xmlns:c16="http://schemas.microsoft.com/office/drawing/2014/chart" uri="{C3380CC4-5D6E-409C-BE32-E72D297353CC}">
              <c16:uniqueId val="{00000000-68CE-4641-BA9E-BF46446BFC01}"/>
            </c:ext>
          </c:extLst>
        </c:ser>
        <c:ser>
          <c:idx val="1"/>
          <c:order val="1"/>
          <c:tx>
            <c:strRef>
              <c:f>ESI!$F$1</c:f>
              <c:strCache>
                <c:ptCount val="1"/>
                <c:pt idx="0">
                  <c:v>Latvija</c:v>
                </c:pt>
              </c:strCache>
            </c:strRef>
          </c:tx>
          <c:spPr>
            <a:ln w="28575" cap="rnd">
              <a:solidFill>
                <a:srgbClr val="C00000"/>
              </a:solidFill>
              <a:round/>
            </a:ln>
            <a:effectLst/>
          </c:spPr>
          <c:marker>
            <c:symbol val="none"/>
          </c:marker>
          <c:cat>
            <c:multiLvlStrRef>
              <c:f>ESI!$A$14:$B$142</c:f>
              <c:multiLvlStrCache>
                <c:ptCount val="12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lvl>
                <c:lvl>
                  <c:pt idx="0">
                    <c:v>2010</c:v>
                  </c:pt>
                  <c:pt idx="12">
                    <c:v>2011</c:v>
                  </c:pt>
                  <c:pt idx="24">
                    <c:v>2012</c:v>
                  </c:pt>
                  <c:pt idx="36">
                    <c:v>2013</c:v>
                  </c:pt>
                  <c:pt idx="48">
                    <c:v>2014</c:v>
                  </c:pt>
                  <c:pt idx="60">
                    <c:v>2015</c:v>
                  </c:pt>
                  <c:pt idx="72">
                    <c:v>2016</c:v>
                  </c:pt>
                  <c:pt idx="84">
                    <c:v>2017</c:v>
                  </c:pt>
                  <c:pt idx="96">
                    <c:v>2018</c:v>
                  </c:pt>
                  <c:pt idx="108">
                    <c:v>2019</c:v>
                  </c:pt>
                  <c:pt idx="120">
                    <c:v>20</c:v>
                  </c:pt>
                </c:lvl>
              </c:multiLvlStrCache>
            </c:multiLvlStrRef>
          </c:cat>
          <c:val>
            <c:numRef>
              <c:f>ESI!$F$14:$F$142</c:f>
              <c:numCache>
                <c:formatCode>0.0</c:formatCode>
                <c:ptCount val="129"/>
                <c:pt idx="0">
                  <c:v>77.3</c:v>
                </c:pt>
                <c:pt idx="1">
                  <c:v>81.099999999999994</c:v>
                </c:pt>
                <c:pt idx="2">
                  <c:v>86.1</c:v>
                </c:pt>
                <c:pt idx="3">
                  <c:v>89.3</c:v>
                </c:pt>
                <c:pt idx="4">
                  <c:v>91.5</c:v>
                </c:pt>
                <c:pt idx="5">
                  <c:v>93.9</c:v>
                </c:pt>
                <c:pt idx="6">
                  <c:v>94.8</c:v>
                </c:pt>
                <c:pt idx="7">
                  <c:v>95</c:v>
                </c:pt>
                <c:pt idx="8">
                  <c:v>96.2</c:v>
                </c:pt>
                <c:pt idx="9">
                  <c:v>98.6</c:v>
                </c:pt>
                <c:pt idx="10">
                  <c:v>98.2</c:v>
                </c:pt>
                <c:pt idx="11">
                  <c:v>99.2</c:v>
                </c:pt>
                <c:pt idx="12">
                  <c:v>98</c:v>
                </c:pt>
                <c:pt idx="13">
                  <c:v>99.9</c:v>
                </c:pt>
                <c:pt idx="14">
                  <c:v>99.4</c:v>
                </c:pt>
                <c:pt idx="15">
                  <c:v>98.3</c:v>
                </c:pt>
                <c:pt idx="16">
                  <c:v>99.8</c:v>
                </c:pt>
                <c:pt idx="17">
                  <c:v>99.8</c:v>
                </c:pt>
                <c:pt idx="18">
                  <c:v>99.8</c:v>
                </c:pt>
                <c:pt idx="19">
                  <c:v>98.9</c:v>
                </c:pt>
                <c:pt idx="20">
                  <c:v>100.2</c:v>
                </c:pt>
                <c:pt idx="21">
                  <c:v>99.6</c:v>
                </c:pt>
                <c:pt idx="22">
                  <c:v>99.5</c:v>
                </c:pt>
                <c:pt idx="23">
                  <c:v>99</c:v>
                </c:pt>
                <c:pt idx="24">
                  <c:v>102.8</c:v>
                </c:pt>
                <c:pt idx="25">
                  <c:v>101.4</c:v>
                </c:pt>
                <c:pt idx="26">
                  <c:v>100</c:v>
                </c:pt>
                <c:pt idx="27">
                  <c:v>99.6</c:v>
                </c:pt>
                <c:pt idx="28">
                  <c:v>98.1</c:v>
                </c:pt>
                <c:pt idx="29">
                  <c:v>101.3</c:v>
                </c:pt>
                <c:pt idx="30">
                  <c:v>98.3</c:v>
                </c:pt>
                <c:pt idx="31">
                  <c:v>99.7</c:v>
                </c:pt>
                <c:pt idx="32">
                  <c:v>99.5</c:v>
                </c:pt>
                <c:pt idx="33">
                  <c:v>99.5</c:v>
                </c:pt>
                <c:pt idx="34">
                  <c:v>100.5</c:v>
                </c:pt>
                <c:pt idx="35">
                  <c:v>101.3</c:v>
                </c:pt>
                <c:pt idx="36">
                  <c:v>103.3</c:v>
                </c:pt>
                <c:pt idx="37">
                  <c:v>102.8</c:v>
                </c:pt>
                <c:pt idx="38">
                  <c:v>101.5</c:v>
                </c:pt>
                <c:pt idx="39">
                  <c:v>99.8</c:v>
                </c:pt>
                <c:pt idx="40">
                  <c:v>100.5</c:v>
                </c:pt>
                <c:pt idx="41">
                  <c:v>100.1</c:v>
                </c:pt>
                <c:pt idx="42">
                  <c:v>99.9</c:v>
                </c:pt>
                <c:pt idx="43">
                  <c:v>98.3</c:v>
                </c:pt>
                <c:pt idx="44">
                  <c:v>99.1</c:v>
                </c:pt>
                <c:pt idx="45">
                  <c:v>99.2</c:v>
                </c:pt>
                <c:pt idx="46" formatCode="General">
                  <c:v>100.8</c:v>
                </c:pt>
                <c:pt idx="47" formatCode="General">
                  <c:v>100.8</c:v>
                </c:pt>
                <c:pt idx="48" formatCode="General">
                  <c:v>102.6</c:v>
                </c:pt>
                <c:pt idx="49">
                  <c:v>105.2</c:v>
                </c:pt>
                <c:pt idx="50" formatCode="General">
                  <c:v>100.6</c:v>
                </c:pt>
                <c:pt idx="51" formatCode="General">
                  <c:v>102.3</c:v>
                </c:pt>
                <c:pt idx="52" formatCode="General">
                  <c:v>99.9</c:v>
                </c:pt>
                <c:pt idx="53" formatCode="General">
                  <c:v>99.9</c:v>
                </c:pt>
                <c:pt idx="54" formatCode="General">
                  <c:v>100.8</c:v>
                </c:pt>
                <c:pt idx="55" formatCode="General">
                  <c:v>99.3</c:v>
                </c:pt>
                <c:pt idx="56" formatCode="General">
                  <c:v>97.7</c:v>
                </c:pt>
                <c:pt idx="57" formatCode="General">
                  <c:v>98.4</c:v>
                </c:pt>
                <c:pt idx="58" formatCode="General">
                  <c:v>100.6</c:v>
                </c:pt>
                <c:pt idx="59" formatCode="General">
                  <c:v>98.8</c:v>
                </c:pt>
                <c:pt idx="60" formatCode="General">
                  <c:v>97.8</c:v>
                </c:pt>
                <c:pt idx="61" formatCode="General">
                  <c:v>96.5</c:v>
                </c:pt>
                <c:pt idx="62" formatCode="General">
                  <c:v>99.1</c:v>
                </c:pt>
                <c:pt idx="63" formatCode="General">
                  <c:v>99.5</c:v>
                </c:pt>
                <c:pt idx="64" formatCode="General">
                  <c:v>98.9</c:v>
                </c:pt>
                <c:pt idx="65" formatCode="General">
                  <c:v>97</c:v>
                </c:pt>
                <c:pt idx="66" formatCode="General">
                  <c:v>98.7</c:v>
                </c:pt>
                <c:pt idx="67" formatCode="General">
                  <c:v>99.5</c:v>
                </c:pt>
                <c:pt idx="68" formatCode="General">
                  <c:v>97.7</c:v>
                </c:pt>
                <c:pt idx="69" formatCode="General">
                  <c:v>99</c:v>
                </c:pt>
                <c:pt idx="70" formatCode="General">
                  <c:v>97.5</c:v>
                </c:pt>
                <c:pt idx="71" formatCode="General">
                  <c:v>98.3</c:v>
                </c:pt>
                <c:pt idx="72" formatCode="General">
                  <c:v>99.4</c:v>
                </c:pt>
                <c:pt idx="73" formatCode="General">
                  <c:v>98.6</c:v>
                </c:pt>
                <c:pt idx="74" formatCode="General">
                  <c:v>100.3</c:v>
                </c:pt>
                <c:pt idx="75" formatCode="General">
                  <c:v>100.5</c:v>
                </c:pt>
                <c:pt idx="76" formatCode="General">
                  <c:v>100.4</c:v>
                </c:pt>
                <c:pt idx="77">
                  <c:v>101.2</c:v>
                </c:pt>
                <c:pt idx="78" formatCode="General">
                  <c:v>101.4</c:v>
                </c:pt>
                <c:pt idx="79" formatCode="General">
                  <c:v>99.7</c:v>
                </c:pt>
                <c:pt idx="80" formatCode="General">
                  <c:v>100.7</c:v>
                </c:pt>
                <c:pt idx="81" formatCode="General">
                  <c:v>100</c:v>
                </c:pt>
                <c:pt idx="82" formatCode="General">
                  <c:v>100.2</c:v>
                </c:pt>
                <c:pt idx="83" formatCode="General">
                  <c:v>100.7</c:v>
                </c:pt>
                <c:pt idx="84" formatCode="General">
                  <c:v>99.8</c:v>
                </c:pt>
                <c:pt idx="85" formatCode="General">
                  <c:v>101</c:v>
                </c:pt>
                <c:pt idx="86" formatCode="General">
                  <c:v>102.2</c:v>
                </c:pt>
                <c:pt idx="87" formatCode="General">
                  <c:v>101.8</c:v>
                </c:pt>
                <c:pt idx="88" formatCode="General">
                  <c:v>102.6</c:v>
                </c:pt>
                <c:pt idx="89" formatCode="General">
                  <c:v>102.6</c:v>
                </c:pt>
                <c:pt idx="90" formatCode="General">
                  <c:v>101.5</c:v>
                </c:pt>
                <c:pt idx="91" formatCode="General">
                  <c:v>103.1</c:v>
                </c:pt>
                <c:pt idx="92" formatCode="General">
                  <c:v>103.5</c:v>
                </c:pt>
                <c:pt idx="93" formatCode="General">
                  <c:v>104.2</c:v>
                </c:pt>
                <c:pt idx="94" formatCode="General">
                  <c:v>103.8</c:v>
                </c:pt>
                <c:pt idx="95" formatCode="General">
                  <c:v>104.7</c:v>
                </c:pt>
                <c:pt idx="96" formatCode="General">
                  <c:v>105.2</c:v>
                </c:pt>
                <c:pt idx="97" formatCode="General">
                  <c:v>104</c:v>
                </c:pt>
                <c:pt idx="98" formatCode="General">
                  <c:v>102.7</c:v>
                </c:pt>
                <c:pt idx="99" formatCode="General">
                  <c:v>101.3</c:v>
                </c:pt>
                <c:pt idx="100" formatCode="General">
                  <c:v>101.7</c:v>
                </c:pt>
                <c:pt idx="101" formatCode="General">
                  <c:v>102</c:v>
                </c:pt>
                <c:pt idx="102" formatCode="General">
                  <c:v>102.1</c:v>
                </c:pt>
                <c:pt idx="103" formatCode="General">
                  <c:v>103.5</c:v>
                </c:pt>
                <c:pt idx="104" formatCode="General">
                  <c:v>103.3</c:v>
                </c:pt>
                <c:pt idx="105" formatCode="General">
                  <c:v>103.1</c:v>
                </c:pt>
                <c:pt idx="106" formatCode="General">
                  <c:v>103.1</c:v>
                </c:pt>
                <c:pt idx="107" formatCode="General">
                  <c:v>104.1</c:v>
                </c:pt>
                <c:pt idx="108" formatCode="General">
                  <c:v>103.6</c:v>
                </c:pt>
                <c:pt idx="109" formatCode="General">
                  <c:v>101.7</c:v>
                </c:pt>
                <c:pt idx="110" formatCode="General">
                  <c:v>102.6</c:v>
                </c:pt>
                <c:pt idx="111" formatCode="General">
                  <c:v>100.9</c:v>
                </c:pt>
                <c:pt idx="112" formatCode="General">
                  <c:v>100.6</c:v>
                </c:pt>
                <c:pt idx="113" formatCode="General">
                  <c:v>100.8</c:v>
                </c:pt>
                <c:pt idx="114" formatCode="General">
                  <c:v>100.6</c:v>
                </c:pt>
                <c:pt idx="115" formatCode="General">
                  <c:v>100.5</c:v>
                </c:pt>
                <c:pt idx="116" formatCode="General">
                  <c:v>100.7</c:v>
                </c:pt>
                <c:pt idx="117" formatCode="General">
                  <c:v>99.2</c:v>
                </c:pt>
                <c:pt idx="118" formatCode="General">
                  <c:v>100.1</c:v>
                </c:pt>
                <c:pt idx="119" formatCode="General">
                  <c:v>100.6</c:v>
                </c:pt>
                <c:pt idx="120" formatCode="General">
                  <c:v>101.5</c:v>
                </c:pt>
                <c:pt idx="121" formatCode="General">
                  <c:v>101.8</c:v>
                </c:pt>
                <c:pt idx="122" formatCode="General">
                  <c:v>96.1</c:v>
                </c:pt>
                <c:pt idx="123" formatCode="General">
                  <c:v>77.7</c:v>
                </c:pt>
                <c:pt idx="124" formatCode="General">
                  <c:v>78.900000000000006</c:v>
                </c:pt>
                <c:pt idx="125" formatCode="General">
                  <c:v>83.7</c:v>
                </c:pt>
                <c:pt idx="126" formatCode="General">
                  <c:v>87.6</c:v>
                </c:pt>
                <c:pt idx="127" formatCode="General">
                  <c:v>91</c:v>
                </c:pt>
                <c:pt idx="128" formatCode="General">
                  <c:v>94.3</c:v>
                </c:pt>
              </c:numCache>
            </c:numRef>
          </c:val>
          <c:smooth val="1"/>
          <c:extLst>
            <c:ext xmlns:c16="http://schemas.microsoft.com/office/drawing/2014/chart" uri="{C3380CC4-5D6E-409C-BE32-E72D297353CC}">
              <c16:uniqueId val="{00000001-68CE-4641-BA9E-BF46446BFC01}"/>
            </c:ext>
          </c:extLst>
        </c:ser>
        <c:dLbls>
          <c:showLegendKey val="0"/>
          <c:showVal val="0"/>
          <c:showCatName val="0"/>
          <c:showSerName val="0"/>
          <c:showPercent val="0"/>
          <c:showBubbleSize val="0"/>
        </c:dLbls>
        <c:smooth val="0"/>
        <c:axId val="608869768"/>
        <c:axId val="608870096"/>
      </c:lineChart>
      <c:catAx>
        <c:axId val="60886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608870096"/>
        <c:crosses val="autoZero"/>
        <c:auto val="1"/>
        <c:lblAlgn val="ctr"/>
        <c:lblOffset val="100"/>
        <c:noMultiLvlLbl val="0"/>
      </c:catAx>
      <c:valAx>
        <c:axId val="608870096"/>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608869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641934954684342E-2"/>
          <c:y val="3.5229954189521684E-2"/>
          <c:w val="0.92300566330003353"/>
          <c:h val="0.84934679881865893"/>
        </c:manualLayout>
      </c:layout>
      <c:barChart>
        <c:barDir val="col"/>
        <c:grouping val="clustered"/>
        <c:varyColors val="0"/>
        <c:ser>
          <c:idx val="0"/>
          <c:order val="0"/>
          <c:tx>
            <c:strRef>
              <c:f>Rūpniecība!$J$1</c:f>
              <c:strCache>
                <c:ptCount val="1"/>
                <c:pt idx="0">
                  <c:v>Rūpniecības produkcijas apjoma indekss, sez. izl. (2015=100)</c:v>
                </c:pt>
              </c:strCache>
            </c:strRef>
          </c:tx>
          <c:spPr>
            <a:pattFill prst="dkUpDiag">
              <a:fgClr>
                <a:srgbClr val="00B050"/>
              </a:fgClr>
              <a:bgClr>
                <a:sysClr val="window" lastClr="FFFFFF"/>
              </a:bgClr>
            </a:pattFill>
            <a:ln>
              <a:solidFill>
                <a:srgbClr val="00B050"/>
              </a:solidFill>
            </a:ln>
            <a:effectLst/>
          </c:spPr>
          <c:invertIfNegative val="0"/>
          <c:cat>
            <c:multiLvlStrRef>
              <c:f>Rūpniecība!$A$98:$B$164</c:f>
              <c:multiLvlStrCache>
                <c:ptCount val="6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lvl>
                <c:lvl>
                  <c:pt idx="0">
                    <c:v>2015</c:v>
                  </c:pt>
                  <c:pt idx="12">
                    <c:v>2016</c:v>
                  </c:pt>
                  <c:pt idx="24">
                    <c:v>2017</c:v>
                  </c:pt>
                  <c:pt idx="36">
                    <c:v>2018</c:v>
                  </c:pt>
                  <c:pt idx="48">
                    <c:v>2019</c:v>
                  </c:pt>
                  <c:pt idx="60">
                    <c:v>2020</c:v>
                  </c:pt>
                </c:lvl>
              </c:multiLvlStrCache>
            </c:multiLvlStrRef>
          </c:cat>
          <c:val>
            <c:numRef>
              <c:f>Rūpniecība!$J$98:$J$164</c:f>
              <c:numCache>
                <c:formatCode>General</c:formatCode>
                <c:ptCount val="67"/>
                <c:pt idx="0">
                  <c:v>96.57</c:v>
                </c:pt>
                <c:pt idx="1">
                  <c:v>97.06</c:v>
                </c:pt>
                <c:pt idx="2">
                  <c:v>101.13</c:v>
                </c:pt>
                <c:pt idx="3">
                  <c:v>102.44</c:v>
                </c:pt>
                <c:pt idx="4">
                  <c:v>99.6</c:v>
                </c:pt>
                <c:pt idx="5">
                  <c:v>98.87</c:v>
                </c:pt>
                <c:pt idx="6">
                  <c:v>101.51</c:v>
                </c:pt>
                <c:pt idx="7">
                  <c:v>101.45</c:v>
                </c:pt>
                <c:pt idx="8">
                  <c:v>100.8</c:v>
                </c:pt>
                <c:pt idx="9">
                  <c:v>100.65</c:v>
                </c:pt>
                <c:pt idx="10">
                  <c:v>100.36</c:v>
                </c:pt>
                <c:pt idx="11">
                  <c:v>99.56</c:v>
                </c:pt>
                <c:pt idx="12">
                  <c:v>102.67</c:v>
                </c:pt>
                <c:pt idx="13">
                  <c:v>98.73</c:v>
                </c:pt>
                <c:pt idx="14">
                  <c:v>103.17</c:v>
                </c:pt>
                <c:pt idx="15">
                  <c:v>102.84</c:v>
                </c:pt>
                <c:pt idx="16">
                  <c:v>104.27</c:v>
                </c:pt>
                <c:pt idx="17">
                  <c:v>105.81</c:v>
                </c:pt>
                <c:pt idx="18">
                  <c:v>104.31</c:v>
                </c:pt>
                <c:pt idx="19">
                  <c:v>101.72</c:v>
                </c:pt>
                <c:pt idx="20">
                  <c:v>103.75</c:v>
                </c:pt>
                <c:pt idx="21">
                  <c:v>108.14</c:v>
                </c:pt>
                <c:pt idx="22">
                  <c:v>110.88</c:v>
                </c:pt>
                <c:pt idx="23">
                  <c:v>110.05</c:v>
                </c:pt>
                <c:pt idx="24">
                  <c:v>109.5</c:v>
                </c:pt>
                <c:pt idx="25">
                  <c:v>110.84</c:v>
                </c:pt>
                <c:pt idx="26">
                  <c:v>113.4</c:v>
                </c:pt>
                <c:pt idx="27">
                  <c:v>113.3</c:v>
                </c:pt>
                <c:pt idx="28">
                  <c:v>114.95</c:v>
                </c:pt>
                <c:pt idx="29">
                  <c:v>113.87</c:v>
                </c:pt>
                <c:pt idx="30">
                  <c:v>113.68</c:v>
                </c:pt>
                <c:pt idx="31">
                  <c:v>113.02</c:v>
                </c:pt>
                <c:pt idx="32">
                  <c:v>116.26</c:v>
                </c:pt>
                <c:pt idx="33">
                  <c:v>115.09</c:v>
                </c:pt>
                <c:pt idx="34">
                  <c:v>115.57</c:v>
                </c:pt>
                <c:pt idx="35">
                  <c:v>115.08</c:v>
                </c:pt>
                <c:pt idx="36">
                  <c:v>116.33</c:v>
                </c:pt>
                <c:pt idx="37">
                  <c:v>119.4</c:v>
                </c:pt>
                <c:pt idx="38">
                  <c:v>114.45</c:v>
                </c:pt>
                <c:pt idx="39">
                  <c:v>116.04</c:v>
                </c:pt>
                <c:pt idx="40">
                  <c:v>114.44</c:v>
                </c:pt>
                <c:pt idx="41">
                  <c:v>114.14</c:v>
                </c:pt>
                <c:pt idx="42">
                  <c:v>117.53</c:v>
                </c:pt>
                <c:pt idx="43">
                  <c:v>118.24</c:v>
                </c:pt>
                <c:pt idx="44">
                  <c:v>113.7</c:v>
                </c:pt>
                <c:pt idx="45">
                  <c:v>114.4</c:v>
                </c:pt>
                <c:pt idx="46">
                  <c:v>115.84</c:v>
                </c:pt>
                <c:pt idx="47">
                  <c:v>119.31</c:v>
                </c:pt>
                <c:pt idx="48">
                  <c:v>116.8</c:v>
                </c:pt>
                <c:pt idx="49">
                  <c:v>115.77</c:v>
                </c:pt>
                <c:pt idx="50">
                  <c:v>116.5</c:v>
                </c:pt>
                <c:pt idx="51">
                  <c:v>114.35</c:v>
                </c:pt>
                <c:pt idx="52">
                  <c:v>116.67</c:v>
                </c:pt>
                <c:pt idx="53">
                  <c:v>118.22</c:v>
                </c:pt>
                <c:pt idx="54">
                  <c:v>116.1</c:v>
                </c:pt>
                <c:pt idx="55">
                  <c:v>119.14</c:v>
                </c:pt>
                <c:pt idx="56">
                  <c:v>120.25</c:v>
                </c:pt>
                <c:pt idx="57">
                  <c:v>117.7</c:v>
                </c:pt>
                <c:pt idx="58">
                  <c:v>116.3</c:v>
                </c:pt>
                <c:pt idx="59">
                  <c:v>115.91</c:v>
                </c:pt>
                <c:pt idx="60">
                  <c:v>113.74</c:v>
                </c:pt>
                <c:pt idx="61">
                  <c:v>116.99</c:v>
                </c:pt>
                <c:pt idx="62">
                  <c:v>112.25</c:v>
                </c:pt>
                <c:pt idx="63">
                  <c:v>103.9</c:v>
                </c:pt>
                <c:pt idx="64">
                  <c:v>109.19</c:v>
                </c:pt>
                <c:pt idx="65">
                  <c:v>117.33</c:v>
                </c:pt>
                <c:pt idx="66">
                  <c:v>116.44</c:v>
                </c:pt>
              </c:numCache>
            </c:numRef>
          </c:val>
          <c:extLst>
            <c:ext xmlns:c16="http://schemas.microsoft.com/office/drawing/2014/chart" uri="{C3380CC4-5D6E-409C-BE32-E72D297353CC}">
              <c16:uniqueId val="{00000000-9465-42BB-A9DD-36B3E2F32573}"/>
            </c:ext>
          </c:extLst>
        </c:ser>
        <c:dLbls>
          <c:showLegendKey val="0"/>
          <c:showVal val="0"/>
          <c:showCatName val="0"/>
          <c:showSerName val="0"/>
          <c:showPercent val="0"/>
          <c:showBubbleSize val="0"/>
        </c:dLbls>
        <c:gapWidth val="50"/>
        <c:axId val="343594496"/>
        <c:axId val="343594888"/>
      </c:barChart>
      <c:catAx>
        <c:axId val="3435944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43594888"/>
        <c:crosses val="autoZero"/>
        <c:auto val="1"/>
        <c:lblAlgn val="ctr"/>
        <c:lblOffset val="100"/>
        <c:noMultiLvlLbl val="0"/>
      </c:catAx>
      <c:valAx>
        <c:axId val="343594888"/>
        <c:scaling>
          <c:orientation val="minMax"/>
          <c:max val="122"/>
          <c:min val="9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43594496"/>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0.02868</cdr:x>
      <cdr:y>0.06466</cdr:y>
    </cdr:from>
    <cdr:to>
      <cdr:x>0.27907</cdr:x>
      <cdr:y>0.18103</cdr:y>
    </cdr:to>
    <cdr:sp macro="" textlink="">
      <cdr:nvSpPr>
        <cdr:cNvPr id="2" name="Text Box 7"/>
        <cdr:cNvSpPr txBox="1"/>
      </cdr:nvSpPr>
      <cdr:spPr>
        <a:xfrm xmlns:a="http://schemas.openxmlformats.org/drawingml/2006/main">
          <a:off x="70487" y="142877"/>
          <a:ext cx="615319" cy="25716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lv-LV" sz="1100" b="1">
              <a:effectLst/>
              <a:latin typeface="Times New Roman" panose="02020603050405020304" pitchFamily="18" charset="0"/>
              <a:ea typeface="Calibri" panose="020F0502020204030204" pitchFamily="34" charset="0"/>
            </a:rPr>
            <a:t>2008.g.</a:t>
          </a:r>
          <a:endParaRPr lang="lv-LV" sz="1200">
            <a:effectLst/>
            <a:latin typeface="Times New Roman" panose="02020603050405020304" pitchFamily="18" charset="0"/>
            <a:ea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0.04452</cdr:x>
      <cdr:y>0.08764</cdr:y>
    </cdr:from>
    <cdr:to>
      <cdr:x>0.2704</cdr:x>
      <cdr:y>0.20402</cdr:y>
    </cdr:to>
    <cdr:sp macro="" textlink="">
      <cdr:nvSpPr>
        <cdr:cNvPr id="2" name="Text Box 7"/>
        <cdr:cNvSpPr txBox="1"/>
      </cdr:nvSpPr>
      <cdr:spPr>
        <a:xfrm xmlns:a="http://schemas.openxmlformats.org/drawingml/2006/main">
          <a:off x="121287" y="193677"/>
          <a:ext cx="615319" cy="25716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lv-LV" sz="1100" b="1">
              <a:effectLst/>
              <a:latin typeface="Times New Roman" panose="02020603050405020304" pitchFamily="18" charset="0"/>
              <a:ea typeface="Calibri" panose="020F0502020204030204" pitchFamily="34" charset="0"/>
            </a:rPr>
            <a:t>2019.g.</a:t>
          </a:r>
          <a:endParaRPr lang="lv-LV" sz="1200">
            <a:effectLst/>
            <a:latin typeface="Times New Roman" panose="02020603050405020304" pitchFamily="18" charset="0"/>
            <a:ea typeface="Calibri" panose="020F05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0.54339</cdr:x>
      <cdr:y>0.2267</cdr:y>
    </cdr:from>
    <cdr:to>
      <cdr:x>1</cdr:x>
      <cdr:y>0.30515</cdr:y>
    </cdr:to>
    <cdr:sp macro="" textlink="">
      <cdr:nvSpPr>
        <cdr:cNvPr id="2" name="TextBox 1"/>
        <cdr:cNvSpPr txBox="1"/>
      </cdr:nvSpPr>
      <cdr:spPr>
        <a:xfrm xmlns:a="http://schemas.openxmlformats.org/drawingml/2006/main">
          <a:off x="2866008" y="675292"/>
          <a:ext cx="2408302" cy="2336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b="1">
              <a:latin typeface="Times New Roman" panose="02020603050405020304" pitchFamily="18" charset="0"/>
              <a:cs typeface="Times New Roman" panose="02020603050405020304" pitchFamily="18" charset="0"/>
            </a:rPr>
            <a:t>Vidēji ES28</a:t>
          </a:r>
          <a:r>
            <a:rPr lang="lv-LV" sz="900" b="1" baseline="0">
              <a:latin typeface="Times New Roman" panose="02020603050405020304" pitchFamily="18" charset="0"/>
              <a:cs typeface="Times New Roman" panose="02020603050405020304" pitchFamily="18" charset="0"/>
            </a:rPr>
            <a:t> </a:t>
          </a:r>
          <a:r>
            <a:rPr lang="lv-LV" sz="900" b="1">
              <a:latin typeface="Times New Roman" panose="02020603050405020304" pitchFamily="18" charset="0"/>
              <a:cs typeface="Times New Roman" panose="02020603050405020304" pitchFamily="18" charset="0"/>
            </a:rPr>
            <a:t>- 100</a:t>
          </a:r>
        </a:p>
      </cdr:txBody>
    </cdr:sp>
  </cdr:relSizeAnchor>
</c:userShapes>
</file>

<file path=word/drawings/drawing4.xml><?xml version="1.0" encoding="utf-8"?>
<c:userShapes xmlns:c="http://schemas.openxmlformats.org/drawingml/2006/chart">
  <cdr:relSizeAnchor xmlns:cdr="http://schemas.openxmlformats.org/drawingml/2006/chartDrawing">
    <cdr:from>
      <cdr:x>0.66826</cdr:x>
      <cdr:y>0.34358</cdr:y>
    </cdr:from>
    <cdr:to>
      <cdr:x>0.69702</cdr:x>
      <cdr:y>0.89106</cdr:y>
    </cdr:to>
    <cdr:sp macro="" textlink="">
      <cdr:nvSpPr>
        <cdr:cNvPr id="2" name="Rectangle 1"/>
        <cdr:cNvSpPr/>
      </cdr:nvSpPr>
      <cdr:spPr>
        <a:xfrm xmlns:a="http://schemas.openxmlformats.org/drawingml/2006/main">
          <a:off x="3634500" y="1171575"/>
          <a:ext cx="156450" cy="1866899"/>
        </a:xfrm>
        <a:prstGeom xmlns:a="http://schemas.openxmlformats.org/drawingml/2006/main" prst="rect">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0.53491</cdr:x>
      <cdr:y>0.25271</cdr:y>
    </cdr:from>
    <cdr:to>
      <cdr:x>0.56567</cdr:x>
      <cdr:y>0.89665</cdr:y>
    </cdr:to>
    <cdr:sp macro="" textlink="">
      <cdr:nvSpPr>
        <cdr:cNvPr id="4" name="Rectangle 3"/>
        <cdr:cNvSpPr/>
      </cdr:nvSpPr>
      <cdr:spPr>
        <a:xfrm xmlns:a="http://schemas.openxmlformats.org/drawingml/2006/main">
          <a:off x="2909277" y="861729"/>
          <a:ext cx="167298" cy="2195796"/>
        </a:xfrm>
        <a:prstGeom xmlns:a="http://schemas.openxmlformats.org/drawingml/2006/main" prst="rect">
          <a:avLst/>
        </a:prstGeom>
        <a:noFill xmlns:a="http://schemas.openxmlformats.org/drawingml/2006/main"/>
        <a:ln xmlns:a="http://schemas.openxmlformats.org/drawingml/2006/main" w="1905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userShapes>
</file>

<file path=word/drawings/drawing5.xml><?xml version="1.0" encoding="utf-8"?>
<c:userShapes xmlns:c="http://schemas.openxmlformats.org/drawingml/2006/chart">
  <cdr:relSizeAnchor xmlns:cdr="http://schemas.openxmlformats.org/drawingml/2006/chartDrawing">
    <cdr:from>
      <cdr:x>0.07899</cdr:x>
      <cdr:y>0.64358</cdr:y>
    </cdr:from>
    <cdr:to>
      <cdr:x>0.26366</cdr:x>
      <cdr:y>0.87242</cdr:y>
    </cdr:to>
    <cdr:grpSp>
      <cdr:nvGrpSpPr>
        <cdr:cNvPr id="4" name="Group 3"/>
        <cdr:cNvGrpSpPr/>
      </cdr:nvGrpSpPr>
      <cdr:grpSpPr>
        <a:xfrm xmlns:a="http://schemas.openxmlformats.org/drawingml/2006/main">
          <a:off x="416618" y="1837407"/>
          <a:ext cx="974032" cy="653317"/>
          <a:chOff x="416618" y="1837407"/>
          <a:chExt cx="974032" cy="653317"/>
        </a:xfrm>
      </cdr:grpSpPr>
      <cdr:sp macro="" textlink="">
        <cdr:nvSpPr>
          <cdr:cNvPr id="2" name="Left Brace 1"/>
          <cdr:cNvSpPr/>
        </cdr:nvSpPr>
        <cdr:spPr>
          <a:xfrm xmlns:a="http://schemas.openxmlformats.org/drawingml/2006/main" rot="5400000" flipH="1">
            <a:off x="825084" y="1925158"/>
            <a:ext cx="157100" cy="974032"/>
          </a:xfrm>
          <a:prstGeom xmlns:a="http://schemas.openxmlformats.org/drawingml/2006/main" prst="leftBrace">
            <a:avLst>
              <a:gd name="adj1" fmla="val 119900"/>
              <a:gd name="adj2" fmla="val 47557"/>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lv-LV"/>
          </a:p>
        </cdr:txBody>
      </cdr:sp>
      <cdr:sp macro="" textlink="">
        <cdr:nvSpPr>
          <cdr:cNvPr id="3" name="Rectangle 2"/>
          <cdr:cNvSpPr/>
        </cdr:nvSpPr>
        <cdr:spPr>
          <a:xfrm xmlns:a="http://schemas.openxmlformats.org/drawingml/2006/main">
            <a:off x="616969" y="1837407"/>
            <a:ext cx="754631" cy="477168"/>
          </a:xfrm>
          <a:prstGeom xmlns:a="http://schemas.openxmlformats.org/drawingml/2006/main" prst="rect">
            <a:avLst/>
          </a:prstGeom>
          <a:solidFill xmlns:a="http://schemas.openxmlformats.org/drawingml/2006/main">
            <a:schemeClr val="lt1"/>
          </a:solidFill>
          <a:ln xmlns:a="http://schemas.openxmlformats.org/drawingml/2006/main" w="9525">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lIns="0" tIns="0" rIns="0" bIns="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a:t>Starptautiskā </a:t>
            </a:r>
            <a:r>
              <a:rPr lang="lv-LV" sz="1000">
                <a:latin typeface="Times New Roman" panose="02020603050405020304" pitchFamily="18" charset="0"/>
                <a:cs typeface="Times New Roman" panose="02020603050405020304" pitchFamily="18" charset="0"/>
              </a:rPr>
              <a:t>aizdevuma</a:t>
            </a:r>
            <a:r>
              <a:rPr lang="lv-LV" sz="1000"/>
              <a:t> </a:t>
            </a:r>
            <a:r>
              <a:rPr lang="lv-LV" sz="1000">
                <a:latin typeface="Times New Roman" panose="02020603050405020304" pitchFamily="18" charset="0"/>
                <a:cs typeface="Times New Roman" panose="02020603050405020304" pitchFamily="18" charset="0"/>
              </a:rPr>
              <a:t>programma</a:t>
            </a:r>
            <a:endParaRPr lang="en-US" sz="1000">
              <a:latin typeface="Times New Roman" panose="02020603050405020304" pitchFamily="18" charset="0"/>
              <a:cs typeface="Times New Roman" panose="02020603050405020304" pitchFamily="18"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tullapa_kontaktinformacij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tullapa_kontaktinformacij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375FD-CABA-477A-8C54-7D4687C09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1817</TotalTime>
  <Pages>94</Pages>
  <Words>249298</Words>
  <Characters>142101</Characters>
  <Application>Microsoft Office Word</Application>
  <DocSecurity>0</DocSecurity>
  <Lines>1184</Lines>
  <Paragraphs>781</Paragraphs>
  <ScaleCrop>false</ScaleCrop>
  <HeadingPairs>
    <vt:vector size="2" baseType="variant">
      <vt:variant>
        <vt:lpstr>Title</vt:lpstr>
      </vt:variant>
      <vt:variant>
        <vt:i4>1</vt:i4>
      </vt:variant>
    </vt:vector>
  </HeadingPairs>
  <TitlesOfParts>
    <vt:vector size="1" baseType="lpstr">
      <vt:lpstr/>
    </vt:vector>
  </TitlesOfParts>
  <Company>Finanšu Ministrija</Company>
  <LinksUpToDate>false</LinksUpToDate>
  <CharactersWithSpaces>390618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Deksne</dc:creator>
  <cp:lastModifiedBy>Gints Trupovnieks</cp:lastModifiedBy>
  <cp:revision>141</cp:revision>
  <cp:lastPrinted>2020-02-10T11:16:00Z</cp:lastPrinted>
  <dcterms:created xsi:type="dcterms:W3CDTF">2020-02-07T10:57:00Z</dcterms:created>
  <dcterms:modified xsi:type="dcterms:W3CDTF">2020-10-12T09:20:00Z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