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Default="00EC6E12" w:rsidP="00521BE0">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28"/>
        <w:gridCol w:w="7228"/>
      </w:tblGrid>
      <w:tr w:rsidR="006F193F" w:rsidRPr="006F193F"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rsidTr="001F4792">
        <w:trPr>
          <w:trHeight w:val="324"/>
        </w:trPr>
        <w:tc>
          <w:tcPr>
            <w:tcW w:w="1137" w:type="pct"/>
            <w:tcBorders>
              <w:top w:val="outset" w:sz="6" w:space="0" w:color="414142"/>
              <w:left w:val="outset" w:sz="6" w:space="0" w:color="414142"/>
              <w:bottom w:val="outset" w:sz="6" w:space="0" w:color="414142"/>
              <w:right w:val="outset" w:sz="6" w:space="0" w:color="414142"/>
            </w:tcBorders>
            <w:hideMark/>
          </w:tcPr>
          <w:p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863" w:type="pct"/>
            <w:tcBorders>
              <w:top w:val="outset" w:sz="6" w:space="0" w:color="414142"/>
              <w:left w:val="outset" w:sz="6" w:space="0" w:color="414142"/>
              <w:bottom w:val="outset" w:sz="6" w:space="0" w:color="414142"/>
              <w:right w:val="outset" w:sz="6" w:space="0" w:color="414142"/>
            </w:tcBorders>
          </w:tcPr>
          <w:p w:rsidR="006F193F" w:rsidRPr="00714300" w:rsidRDefault="008729AF" w:rsidP="006F193F">
            <w:pPr>
              <w:ind w:left="107" w:right="109"/>
              <w:jc w:val="both"/>
            </w:pPr>
            <w:r w:rsidRPr="00C930A2">
              <w:rPr>
                <w:iCs/>
              </w:rPr>
              <w:t xml:space="preserve"> Saskaņā ar Ministru kabineta 2009. gada 15. decembra instrukcijas Nr. 19 "Tiesību akta projekta sākotnējās ietekmes izvērtēšanas kārtība" 5.</w:t>
            </w:r>
            <w:r w:rsidRPr="002C129B">
              <w:rPr>
                <w:iCs/>
                <w:vertAlign w:val="superscript"/>
              </w:rPr>
              <w:t>1</w:t>
            </w:r>
            <w:r w:rsidRPr="00C930A2">
              <w:rPr>
                <w:iCs/>
              </w:rPr>
              <w:t> apakšpunktu anotācijas kopsavilkums nav aizpildāms.</w:t>
            </w:r>
          </w:p>
        </w:tc>
      </w:tr>
    </w:tbl>
    <w:tbl>
      <w:tblPr>
        <w:tblStyle w:val="TableGrid"/>
        <w:tblW w:w="9356" w:type="dxa"/>
        <w:tblInd w:w="-147" w:type="dxa"/>
        <w:tblLayout w:type="fixed"/>
        <w:tblLook w:val="04A0" w:firstRow="1" w:lastRow="0" w:firstColumn="1" w:lastColumn="0" w:noHBand="0" w:noVBand="1"/>
      </w:tblPr>
      <w:tblGrid>
        <w:gridCol w:w="568"/>
        <w:gridCol w:w="1134"/>
        <w:gridCol w:w="425"/>
        <w:gridCol w:w="567"/>
        <w:gridCol w:w="1134"/>
        <w:gridCol w:w="134"/>
        <w:gridCol w:w="1000"/>
        <w:gridCol w:w="1134"/>
        <w:gridCol w:w="992"/>
        <w:gridCol w:w="992"/>
        <w:gridCol w:w="1276"/>
      </w:tblGrid>
      <w:tr w:rsidR="00EC6E12" w:rsidTr="0079260F">
        <w:tc>
          <w:tcPr>
            <w:tcW w:w="9356" w:type="dxa"/>
            <w:gridSpan w:val="11"/>
          </w:tcPr>
          <w:p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gridSpan w:val="2"/>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gridSpan w:val="8"/>
          </w:tcPr>
          <w:p w:rsidR="00434F5B" w:rsidRDefault="00642E89" w:rsidP="001F4792">
            <w:pPr>
              <w:jc w:val="both"/>
              <w:rPr>
                <w:rFonts w:eastAsiaTheme="minorHAnsi"/>
                <w:lang w:eastAsia="en-US"/>
              </w:rPr>
            </w:pPr>
            <w:r w:rsidRPr="009367F3">
              <w:rPr>
                <w:rFonts w:eastAsiaTheme="minorHAnsi"/>
                <w:lang w:eastAsia="en-US"/>
              </w:rPr>
              <w:t xml:space="preserve">Ministru kabineta </w:t>
            </w:r>
            <w:proofErr w:type="gramStart"/>
            <w:r w:rsidRPr="009367F3">
              <w:rPr>
                <w:rFonts w:eastAsiaTheme="minorHAnsi"/>
                <w:lang w:eastAsia="en-US"/>
              </w:rPr>
              <w:t>2020.gada</w:t>
            </w:r>
            <w:proofErr w:type="gramEnd"/>
            <w:r w:rsidRPr="009367F3">
              <w:rPr>
                <w:rFonts w:eastAsiaTheme="minorHAnsi"/>
                <w:lang w:eastAsia="en-US"/>
              </w:rPr>
              <w:t xml:space="preserve"> 12.marta </w:t>
            </w:r>
            <w:r>
              <w:rPr>
                <w:rFonts w:eastAsiaTheme="minorHAnsi"/>
                <w:lang w:eastAsia="en-US"/>
              </w:rPr>
              <w:t>rīkojuma</w:t>
            </w:r>
            <w:r w:rsidRPr="009367F3">
              <w:rPr>
                <w:rFonts w:eastAsiaTheme="minorHAnsi"/>
                <w:lang w:eastAsia="en-US"/>
              </w:rPr>
              <w:t xml:space="preserve"> Nr.103 “Par ārkārtējās situācijas izsludināšanu”</w:t>
            </w:r>
            <w:r>
              <w:rPr>
                <w:rFonts w:eastAsiaTheme="minorHAnsi"/>
                <w:lang w:eastAsia="en-US"/>
              </w:rPr>
              <w:t xml:space="preserve"> (turpmāk – rīkojums Nr.103) </w:t>
            </w:r>
            <w:r w:rsidRPr="009367F3">
              <w:rPr>
                <w:rFonts w:eastAsiaTheme="minorHAnsi"/>
                <w:lang w:eastAsia="en-US"/>
              </w:rPr>
              <w:t>4.13.</w:t>
            </w:r>
            <w:r w:rsidRPr="009367F3">
              <w:rPr>
                <w:rFonts w:eastAsiaTheme="minorHAnsi"/>
                <w:vertAlign w:val="superscript"/>
                <w:lang w:eastAsia="en-US"/>
              </w:rPr>
              <w:t>1</w:t>
            </w:r>
            <w:r>
              <w:rPr>
                <w:rFonts w:eastAsiaTheme="minorHAnsi"/>
                <w:vertAlign w:val="superscript"/>
                <w:lang w:eastAsia="en-US"/>
              </w:rPr>
              <w:t xml:space="preserve">   </w:t>
            </w:r>
            <w:r w:rsidRPr="00CB7D47">
              <w:rPr>
                <w:rFonts w:eastAsiaTheme="minorHAnsi"/>
                <w:lang w:eastAsia="en-US"/>
              </w:rPr>
              <w:t>apakš</w:t>
            </w:r>
            <w:r>
              <w:rPr>
                <w:rFonts w:eastAsiaTheme="minorHAnsi"/>
                <w:lang w:eastAsia="en-US"/>
              </w:rPr>
              <w:t>punktā dot</w:t>
            </w:r>
            <w:r w:rsidR="00B46B52">
              <w:rPr>
                <w:rFonts w:eastAsiaTheme="minorHAnsi"/>
                <w:lang w:eastAsia="en-US"/>
              </w:rPr>
              <w:t>ais</w:t>
            </w:r>
            <w:r>
              <w:rPr>
                <w:rFonts w:eastAsiaTheme="minorHAnsi"/>
                <w:lang w:eastAsia="en-US"/>
              </w:rPr>
              <w:t xml:space="preserve"> uzdevum</w:t>
            </w:r>
            <w:r w:rsidR="00B46B52">
              <w:rPr>
                <w:rFonts w:eastAsiaTheme="minorHAnsi"/>
                <w:lang w:eastAsia="en-US"/>
              </w:rPr>
              <w:t>s</w:t>
            </w:r>
            <w:r w:rsidR="00434F5B">
              <w:t xml:space="preserve"> – izdevumus, kas saistīti ar Iekšlietu ministrijas sistēmas iestāžu amatpersonu ar speciālajām dienesta pakāpēm (turpmāk – amatpersona) virsstundu darbu, segt no valsts budžeta programmas "Līdzekļi neparedzētiem gadījumiem" atbilstoši faktiskajam virsstundu apjomam, kas </w:t>
            </w:r>
            <w:r w:rsidR="00434F5B" w:rsidRPr="00D73628">
              <w:rPr>
                <w:i/>
              </w:rPr>
              <w:t>izveidojies četru mēnešu periodā</w:t>
            </w:r>
            <w:r w:rsidR="00434F5B">
              <w:t xml:space="preserve"> un saistīts ar ārkārtas pasākumu veikšanu. Iekšlietu ministrijai sagatavot un iekšlietu ministram noteiktajā kārtībā iesniegt Ministru kabinetā attiecīgu rīkojuma projektu par finansējuma piešķiršanu Iekšlietu ministrijai (attiecīgajām tās sistēmas iestādēm) no valsts budžeta programmas "Līdzekļi neparedzētiem gadījumiem"</w:t>
            </w:r>
            <w:r w:rsidR="009F32DB">
              <w:rPr>
                <w:rFonts w:eastAsiaTheme="minorHAnsi"/>
                <w:lang w:eastAsia="en-US"/>
              </w:rPr>
              <w:t xml:space="preserve">. </w:t>
            </w:r>
          </w:p>
          <w:p w:rsidR="00842113" w:rsidRPr="009367F3" w:rsidRDefault="00434F5B" w:rsidP="001F4792">
            <w:pPr>
              <w:jc w:val="both"/>
              <w:rPr>
                <w:rFonts w:eastAsiaTheme="minorHAnsi"/>
                <w:lang w:eastAsia="en-US"/>
              </w:rPr>
            </w:pPr>
            <w:r>
              <w:rPr>
                <w:rFonts w:eastAsiaTheme="minorHAnsi"/>
                <w:lang w:eastAsia="en-US"/>
              </w:rPr>
              <w:t xml:space="preserve">Neraugoties uz to, ka </w:t>
            </w:r>
            <w:r w:rsidR="00642E89">
              <w:rPr>
                <w:rFonts w:eastAsiaTheme="minorHAnsi"/>
                <w:lang w:eastAsia="en-US"/>
              </w:rPr>
              <w:t xml:space="preserve">rīkojums Nr.103 zaudējis spēku ar </w:t>
            </w:r>
            <w:proofErr w:type="gramStart"/>
            <w:r w:rsidR="00642E89">
              <w:rPr>
                <w:rFonts w:eastAsiaTheme="minorHAnsi"/>
                <w:lang w:eastAsia="en-US"/>
              </w:rPr>
              <w:t>2020.gada</w:t>
            </w:r>
            <w:proofErr w:type="gramEnd"/>
            <w:r w:rsidR="00642E89">
              <w:rPr>
                <w:rFonts w:eastAsiaTheme="minorHAnsi"/>
                <w:lang w:eastAsia="en-US"/>
              </w:rPr>
              <w:t xml:space="preserve"> 10.jūniju, vienlaikus tajā noteiktais attiecībā uz finansējuma pieprasīšanu no valsts budžeta programmas “Līdzekļi neparedzētiem gadījumiem” pēc būtības ir attiecināms uz visu ārkārtas situācijas laika periodu, tas ir no 2020.gada 12.marta līdz 9.jūnijam.</w:t>
            </w:r>
          </w:p>
        </w:tc>
      </w:tr>
      <w:tr w:rsidR="0079260F" w:rsidTr="00A130FC">
        <w:trPr>
          <w:trHeight w:val="268"/>
        </w:trPr>
        <w:tc>
          <w:tcPr>
            <w:tcW w:w="568" w:type="dxa"/>
          </w:tcPr>
          <w:p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gridSpan w:val="2"/>
          </w:tcPr>
          <w:p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rsidR="0079260F" w:rsidRDefault="0079260F" w:rsidP="00152501">
            <w:pPr>
              <w:jc w:val="center"/>
            </w:pPr>
          </w:p>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Default="00485E78" w:rsidP="00485E78"/>
          <w:p w:rsidR="00485E78" w:rsidRPr="00485E78" w:rsidRDefault="00485E78" w:rsidP="00485E78">
            <w:pPr>
              <w:jc w:val="center"/>
            </w:pPr>
          </w:p>
        </w:tc>
        <w:tc>
          <w:tcPr>
            <w:tcW w:w="7229" w:type="dxa"/>
            <w:gridSpan w:val="8"/>
          </w:tcPr>
          <w:p w:rsidR="00642E89" w:rsidRDefault="005650FB" w:rsidP="009E1CDA">
            <w:pPr>
              <w:jc w:val="both"/>
            </w:pPr>
            <w:r w:rsidRPr="00E60A79">
              <w:lastRenderedPageBreak/>
              <w:t xml:space="preserve"> </w:t>
            </w:r>
            <w:r w:rsidR="00EC4886" w:rsidRPr="00606DCF">
              <w:t>Lai nodrošinātu COVID-19 izplatīšanās ierobežošanu</w:t>
            </w:r>
            <w:r w:rsidR="00434F5B">
              <w:t>,</w:t>
            </w:r>
            <w:r w:rsidR="00EC4886" w:rsidRPr="00606DCF">
              <w:t xml:space="preserve"> </w:t>
            </w:r>
            <w:r w:rsidR="00775BC3" w:rsidRPr="00606DCF">
              <w:t>Valsts policija</w:t>
            </w:r>
            <w:r w:rsidR="00EC4886" w:rsidRPr="00606DCF">
              <w:t xml:space="preserve">s amatpersonas tika iesaistītas </w:t>
            </w:r>
            <w:r w:rsidR="008C6B6B">
              <w:t xml:space="preserve">dienesta pienākumu izpildē virs noteiktā dienesta pienākumu izpildes laika (turpmāk – virsstundu darbs) </w:t>
            </w:r>
            <w:r w:rsidR="00EC4886" w:rsidRPr="00606DCF">
              <w:t>laika period</w:t>
            </w:r>
            <w:r w:rsidR="009E1CDA" w:rsidRPr="00606DCF">
              <w:t xml:space="preserve">ā no </w:t>
            </w:r>
            <w:proofErr w:type="gramStart"/>
            <w:r w:rsidR="00EC4886" w:rsidRPr="00606DCF">
              <w:t>2020.gada</w:t>
            </w:r>
            <w:proofErr w:type="gramEnd"/>
            <w:r w:rsidR="00EC4886" w:rsidRPr="00606DCF">
              <w:t xml:space="preserve"> </w:t>
            </w:r>
            <w:r w:rsidR="0007075A">
              <w:t>1</w:t>
            </w:r>
            <w:r w:rsidR="002F7DA2">
              <w:t>2</w:t>
            </w:r>
            <w:r w:rsidR="0007075A">
              <w:t>.m</w:t>
            </w:r>
            <w:r w:rsidR="002F7DA2">
              <w:t xml:space="preserve">arta </w:t>
            </w:r>
            <w:r w:rsidR="00EC4886" w:rsidRPr="00606DCF">
              <w:t xml:space="preserve">līdz </w:t>
            </w:r>
            <w:r w:rsidR="002F7DA2">
              <w:t>9</w:t>
            </w:r>
            <w:r w:rsidR="0007075A">
              <w:t>.</w:t>
            </w:r>
            <w:r w:rsidR="002F7DA2">
              <w:t>jūnijam</w:t>
            </w:r>
            <w:r w:rsidR="00642E89">
              <w:t xml:space="preserve">. </w:t>
            </w:r>
          </w:p>
          <w:p w:rsidR="00775BC3" w:rsidRPr="00207FDE" w:rsidRDefault="002F7DA2" w:rsidP="00207FDE">
            <w:pPr>
              <w:pStyle w:val="Heading3"/>
              <w:spacing w:before="0" w:beforeAutospacing="0" w:after="0" w:afterAutospacing="0"/>
              <w:jc w:val="both"/>
              <w:outlineLvl w:val="2"/>
              <w:rPr>
                <w:b w:val="0"/>
                <w:sz w:val="24"/>
                <w:szCs w:val="24"/>
              </w:rPr>
            </w:pPr>
            <w:r w:rsidRPr="00207FDE">
              <w:rPr>
                <w:b w:val="0"/>
                <w:sz w:val="24"/>
                <w:szCs w:val="24"/>
              </w:rPr>
              <w:t>Valsts policijas amatpersonas par virsstundu darbu samaksu saņem par četru mēnešu periodu, tād</w:t>
            </w:r>
            <w:r w:rsidR="00434F5B">
              <w:rPr>
                <w:b w:val="0"/>
                <w:sz w:val="24"/>
                <w:szCs w:val="24"/>
              </w:rPr>
              <w:t>ē</w:t>
            </w:r>
            <w:r w:rsidRPr="00207FDE">
              <w:rPr>
                <w:b w:val="0"/>
                <w:sz w:val="24"/>
                <w:szCs w:val="24"/>
              </w:rPr>
              <w:t xml:space="preserve">jādi par darbu ārkārtas situācijas laikā par periodu no </w:t>
            </w:r>
            <w:proofErr w:type="gramStart"/>
            <w:r w:rsidR="00434F5B">
              <w:rPr>
                <w:b w:val="0"/>
                <w:sz w:val="24"/>
                <w:szCs w:val="24"/>
              </w:rPr>
              <w:t>2020.gada</w:t>
            </w:r>
            <w:proofErr w:type="gramEnd"/>
            <w:r w:rsidR="00434F5B">
              <w:rPr>
                <w:b w:val="0"/>
                <w:sz w:val="24"/>
                <w:szCs w:val="24"/>
              </w:rPr>
              <w:t xml:space="preserve"> </w:t>
            </w:r>
            <w:r w:rsidRPr="00207FDE">
              <w:rPr>
                <w:b w:val="0"/>
                <w:sz w:val="24"/>
                <w:szCs w:val="24"/>
              </w:rPr>
              <w:t>12.marta līdz 30.aprīlim tika piešķirts papildu finansējums saskaņā ar</w:t>
            </w:r>
            <w:r w:rsidR="00A12966" w:rsidRPr="00207FDE">
              <w:rPr>
                <w:b w:val="0"/>
                <w:sz w:val="24"/>
                <w:szCs w:val="24"/>
              </w:rPr>
              <w:t xml:space="preserve"> </w:t>
            </w:r>
            <w:r w:rsidR="00632FE4" w:rsidRPr="00207FDE">
              <w:rPr>
                <w:b w:val="0"/>
                <w:sz w:val="24"/>
                <w:szCs w:val="24"/>
              </w:rPr>
              <w:t xml:space="preserve">Ministru kabineta </w:t>
            </w:r>
            <w:r w:rsidR="00207FDE" w:rsidRPr="00207FDE">
              <w:rPr>
                <w:b w:val="0"/>
                <w:sz w:val="24"/>
                <w:szCs w:val="24"/>
              </w:rPr>
              <w:t>2020. gada 16. aprīļa rīkojum</w:t>
            </w:r>
            <w:r w:rsidR="00A130FC">
              <w:rPr>
                <w:b w:val="0"/>
                <w:sz w:val="24"/>
                <w:szCs w:val="24"/>
              </w:rPr>
              <w:t>a</w:t>
            </w:r>
            <w:r w:rsidR="00207FDE" w:rsidRPr="00207FDE">
              <w:rPr>
                <w:b w:val="0"/>
                <w:sz w:val="24"/>
                <w:szCs w:val="24"/>
              </w:rPr>
              <w:t xml:space="preserve"> Nr. 181 "Par finanšu līdzekļu piešķiršanu no valsts budžeta programmas "Līdzekļi neparedzētiem gadījumiem""</w:t>
            </w:r>
            <w:r w:rsidR="00A130FC">
              <w:rPr>
                <w:b w:val="0"/>
                <w:sz w:val="24"/>
                <w:szCs w:val="24"/>
              </w:rPr>
              <w:t xml:space="preserve"> (ar grozījumiem) </w:t>
            </w:r>
            <w:r w:rsidR="001F63E4">
              <w:rPr>
                <w:b w:val="0"/>
                <w:sz w:val="24"/>
                <w:szCs w:val="24"/>
              </w:rPr>
              <w:t xml:space="preserve">(turpmāk – rīkojums Nr.181) </w:t>
            </w:r>
            <w:r w:rsidR="00A130FC">
              <w:rPr>
                <w:b w:val="0"/>
                <w:sz w:val="24"/>
                <w:szCs w:val="24"/>
              </w:rPr>
              <w:t>1.2.apakšpunktu</w:t>
            </w:r>
            <w:r w:rsidR="00632FE4" w:rsidRPr="00207FDE">
              <w:rPr>
                <w:b w:val="0"/>
                <w:sz w:val="24"/>
                <w:szCs w:val="24"/>
              </w:rPr>
              <w:t xml:space="preserve"> </w:t>
            </w:r>
            <w:r w:rsidR="00A12966" w:rsidRPr="00207FDE">
              <w:rPr>
                <w:b w:val="0"/>
                <w:sz w:val="24"/>
                <w:szCs w:val="24"/>
              </w:rPr>
              <w:t>162 358</w:t>
            </w:r>
            <w:r w:rsidRPr="00207FDE">
              <w:rPr>
                <w:b w:val="0"/>
                <w:sz w:val="24"/>
                <w:szCs w:val="24"/>
              </w:rPr>
              <w:t xml:space="preserve"> </w:t>
            </w:r>
            <w:proofErr w:type="spellStart"/>
            <w:r w:rsidRPr="00A130FC">
              <w:rPr>
                <w:b w:val="0"/>
                <w:i/>
                <w:sz w:val="24"/>
                <w:szCs w:val="24"/>
              </w:rPr>
              <w:t>euro</w:t>
            </w:r>
            <w:proofErr w:type="spellEnd"/>
            <w:r w:rsidRPr="00207FDE">
              <w:rPr>
                <w:b w:val="0"/>
                <w:sz w:val="24"/>
                <w:szCs w:val="24"/>
              </w:rPr>
              <w:t xml:space="preserve"> apmērā. </w:t>
            </w:r>
            <w:r w:rsidR="009E1CDA" w:rsidRPr="00207FDE">
              <w:rPr>
                <w:b w:val="0"/>
                <w:sz w:val="24"/>
                <w:szCs w:val="24"/>
              </w:rPr>
              <w:t xml:space="preserve"> </w:t>
            </w:r>
            <w:r w:rsidRPr="00207FDE">
              <w:rPr>
                <w:b w:val="0"/>
                <w:sz w:val="24"/>
                <w:szCs w:val="24"/>
              </w:rPr>
              <w:t xml:space="preserve">Savukārt samaksa par virsstundu darbu, lai nodrošinātu COVID-19 izplatīšanās ierobežošanu periodā no </w:t>
            </w:r>
            <w:proofErr w:type="gramStart"/>
            <w:r w:rsidR="00434F5B">
              <w:rPr>
                <w:b w:val="0"/>
                <w:sz w:val="24"/>
                <w:szCs w:val="24"/>
              </w:rPr>
              <w:t>2020.gada</w:t>
            </w:r>
            <w:proofErr w:type="gramEnd"/>
            <w:r w:rsidR="00434F5B">
              <w:rPr>
                <w:b w:val="0"/>
                <w:sz w:val="24"/>
                <w:szCs w:val="24"/>
              </w:rPr>
              <w:t xml:space="preserve"> </w:t>
            </w:r>
            <w:r w:rsidRPr="00207FDE">
              <w:rPr>
                <w:b w:val="0"/>
                <w:sz w:val="24"/>
                <w:szCs w:val="24"/>
              </w:rPr>
              <w:t>1.maija līdz 9.jūnijam</w:t>
            </w:r>
            <w:r w:rsidR="00C1281F">
              <w:rPr>
                <w:b w:val="0"/>
                <w:sz w:val="24"/>
                <w:szCs w:val="24"/>
              </w:rPr>
              <w:t>,</w:t>
            </w:r>
            <w:r w:rsidRPr="00207FDE">
              <w:rPr>
                <w:b w:val="0"/>
                <w:sz w:val="24"/>
                <w:szCs w:val="24"/>
              </w:rPr>
              <w:t xml:space="preserve"> tika veikta septembrī no </w:t>
            </w:r>
            <w:r w:rsidR="00C1281F">
              <w:rPr>
                <w:b w:val="0"/>
                <w:sz w:val="24"/>
                <w:szCs w:val="24"/>
              </w:rPr>
              <w:t xml:space="preserve">valsts </w:t>
            </w:r>
            <w:r w:rsidRPr="00207FDE">
              <w:rPr>
                <w:b w:val="0"/>
                <w:sz w:val="24"/>
                <w:szCs w:val="24"/>
              </w:rPr>
              <w:t>budžeta apakšprogrammas 06.01.00 “Valsts policija”</w:t>
            </w:r>
            <w:r w:rsidR="00FA3473">
              <w:rPr>
                <w:b w:val="0"/>
                <w:sz w:val="24"/>
                <w:szCs w:val="24"/>
              </w:rPr>
              <w:t xml:space="preserve"> </w:t>
            </w:r>
            <w:r w:rsidRPr="00207FDE">
              <w:rPr>
                <w:b w:val="0"/>
                <w:sz w:val="24"/>
                <w:szCs w:val="24"/>
              </w:rPr>
              <w:t>līdzekļiem. Valsts policijas amatpersonas periodā no</w:t>
            </w:r>
            <w:r w:rsidR="00434F5B">
              <w:rPr>
                <w:b w:val="0"/>
                <w:sz w:val="24"/>
                <w:szCs w:val="24"/>
              </w:rPr>
              <w:t xml:space="preserve"> </w:t>
            </w:r>
            <w:proofErr w:type="gramStart"/>
            <w:r w:rsidR="00434F5B">
              <w:rPr>
                <w:b w:val="0"/>
                <w:sz w:val="24"/>
                <w:szCs w:val="24"/>
              </w:rPr>
              <w:t>2020.gada</w:t>
            </w:r>
            <w:proofErr w:type="gramEnd"/>
            <w:r w:rsidRPr="00207FDE">
              <w:rPr>
                <w:b w:val="0"/>
                <w:sz w:val="24"/>
                <w:szCs w:val="24"/>
              </w:rPr>
              <w:t xml:space="preserve"> 1.maija līdz 9.jūnijam </w:t>
            </w:r>
            <w:r w:rsidR="009E1CDA" w:rsidRPr="00207FDE">
              <w:rPr>
                <w:b w:val="0"/>
                <w:sz w:val="24"/>
                <w:szCs w:val="24"/>
              </w:rPr>
              <w:t>veica patrulēšanu</w:t>
            </w:r>
            <w:r w:rsidR="00606DCF" w:rsidRPr="00207FDE">
              <w:rPr>
                <w:b w:val="0"/>
                <w:sz w:val="24"/>
                <w:szCs w:val="24"/>
              </w:rPr>
              <w:t>,</w:t>
            </w:r>
            <w:r w:rsidR="009E1CDA" w:rsidRPr="00207FDE">
              <w:rPr>
                <w:b w:val="0"/>
                <w:sz w:val="24"/>
                <w:szCs w:val="24"/>
              </w:rPr>
              <w:t xml:space="preserve"> lai kontrolētu rīkojuma Nr.103 prasību ievērošanu par pulcēšanās aizliegumu un fizisko distancēšanos, </w:t>
            </w:r>
            <w:proofErr w:type="spellStart"/>
            <w:r w:rsidR="00606DCF" w:rsidRPr="00207FDE">
              <w:rPr>
                <w:b w:val="0"/>
                <w:sz w:val="24"/>
                <w:szCs w:val="24"/>
              </w:rPr>
              <w:t>pašizolēšanās</w:t>
            </w:r>
            <w:proofErr w:type="spellEnd"/>
            <w:r w:rsidR="00606DCF" w:rsidRPr="00207FDE">
              <w:rPr>
                <w:b w:val="0"/>
                <w:sz w:val="24"/>
                <w:szCs w:val="24"/>
              </w:rPr>
              <w:t xml:space="preserve"> prasību ievērošanu un citu</w:t>
            </w:r>
            <w:r w:rsidR="00FA3473">
              <w:rPr>
                <w:b w:val="0"/>
                <w:sz w:val="24"/>
                <w:szCs w:val="24"/>
              </w:rPr>
              <w:t>s</w:t>
            </w:r>
            <w:r w:rsidR="00606DCF" w:rsidRPr="00207FDE">
              <w:rPr>
                <w:b w:val="0"/>
                <w:sz w:val="24"/>
                <w:szCs w:val="24"/>
              </w:rPr>
              <w:t xml:space="preserve"> ārkārtas situācijas</w:t>
            </w:r>
            <w:r w:rsidR="00FA3473">
              <w:rPr>
                <w:b w:val="0"/>
                <w:sz w:val="24"/>
                <w:szCs w:val="24"/>
              </w:rPr>
              <w:t xml:space="preserve"> noteiktos</w:t>
            </w:r>
            <w:r w:rsidR="00606DCF" w:rsidRPr="00207FDE">
              <w:rPr>
                <w:b w:val="0"/>
                <w:sz w:val="24"/>
                <w:szCs w:val="24"/>
              </w:rPr>
              <w:t xml:space="preserve"> ierobežojumu</w:t>
            </w:r>
            <w:r w:rsidR="00FA3473">
              <w:rPr>
                <w:b w:val="0"/>
                <w:sz w:val="24"/>
                <w:szCs w:val="24"/>
              </w:rPr>
              <w:t>s</w:t>
            </w:r>
            <w:r w:rsidR="00606DCF" w:rsidRPr="00207FDE">
              <w:rPr>
                <w:b w:val="0"/>
                <w:sz w:val="24"/>
                <w:szCs w:val="24"/>
              </w:rPr>
              <w:t>, kā arī veica repatriācijas reisu sagaidīšanu un dažādus citus pasākumus</w:t>
            </w:r>
            <w:r w:rsidR="00434F5B">
              <w:rPr>
                <w:b w:val="0"/>
                <w:sz w:val="24"/>
                <w:szCs w:val="24"/>
              </w:rPr>
              <w:t>,</w:t>
            </w:r>
            <w:r w:rsidR="00606DCF" w:rsidRPr="00207FDE">
              <w:rPr>
                <w:b w:val="0"/>
                <w:sz w:val="24"/>
                <w:szCs w:val="24"/>
              </w:rPr>
              <w:t xml:space="preserve"> kas saistīti ar COVID-19 izplatīšanās ierobežošanu. </w:t>
            </w:r>
          </w:p>
          <w:p w:rsidR="008C6B6B" w:rsidRDefault="00C02AE6" w:rsidP="00D73628">
            <w:pPr>
              <w:pStyle w:val="Heading3"/>
              <w:spacing w:before="0" w:beforeAutospacing="0" w:after="0" w:afterAutospacing="0"/>
              <w:jc w:val="both"/>
              <w:outlineLvl w:val="2"/>
              <w:rPr>
                <w:b w:val="0"/>
                <w:sz w:val="24"/>
                <w:szCs w:val="24"/>
              </w:rPr>
            </w:pPr>
            <w:r w:rsidRPr="00D73628">
              <w:rPr>
                <w:b w:val="0"/>
                <w:sz w:val="24"/>
                <w:szCs w:val="24"/>
              </w:rPr>
              <w:t>Rīkojuma projekts paredz</w:t>
            </w:r>
            <w:r w:rsidR="008C6B6B">
              <w:rPr>
                <w:b w:val="0"/>
                <w:sz w:val="24"/>
                <w:szCs w:val="24"/>
              </w:rPr>
              <w:t>:</w:t>
            </w:r>
          </w:p>
          <w:p w:rsidR="00434F5B" w:rsidRDefault="009848EA" w:rsidP="00D73628">
            <w:pPr>
              <w:pStyle w:val="Heading3"/>
              <w:spacing w:before="0" w:beforeAutospacing="0" w:after="0" w:afterAutospacing="0"/>
              <w:jc w:val="both"/>
              <w:outlineLvl w:val="2"/>
              <w:rPr>
                <w:b w:val="0"/>
                <w:sz w:val="24"/>
                <w:szCs w:val="24"/>
              </w:rPr>
            </w:pPr>
            <w:r>
              <w:rPr>
                <w:b w:val="0"/>
                <w:sz w:val="24"/>
                <w:szCs w:val="24"/>
              </w:rPr>
              <w:t xml:space="preserve">        </w:t>
            </w:r>
            <w:r w:rsidR="008C6B6B">
              <w:rPr>
                <w:b w:val="0"/>
                <w:sz w:val="24"/>
                <w:szCs w:val="24"/>
              </w:rPr>
              <w:t>1.uzdevumu</w:t>
            </w:r>
            <w:r w:rsidR="00C02AE6" w:rsidRPr="00D73628">
              <w:rPr>
                <w:b w:val="0"/>
                <w:sz w:val="24"/>
                <w:szCs w:val="24"/>
              </w:rPr>
              <w:t xml:space="preserve"> </w:t>
            </w:r>
            <w:r w:rsidR="00434F5B" w:rsidRPr="00D73628">
              <w:rPr>
                <w:b w:val="0"/>
                <w:sz w:val="24"/>
                <w:szCs w:val="24"/>
              </w:rPr>
              <w:t xml:space="preserve">Finanšu ministrijai no valsts budžeta programmas </w:t>
            </w:r>
            <w:smartTag w:uri="schemas-tilde-lv/tildestengine" w:element="date">
              <w:smartTagPr>
                <w:attr w:name="Year" w:val="2001"/>
                <w:attr w:name="Month" w:val="11"/>
                <w:attr w:name="Day" w:val="30"/>
              </w:smartTagPr>
              <w:r w:rsidR="00434F5B" w:rsidRPr="00D73628">
                <w:rPr>
                  <w:b w:val="0"/>
                  <w:sz w:val="24"/>
                  <w:szCs w:val="24"/>
                </w:rPr>
                <w:t>02.00.00</w:t>
              </w:r>
            </w:smartTag>
            <w:r w:rsidR="00434F5B" w:rsidRPr="00D73628">
              <w:rPr>
                <w:b w:val="0"/>
                <w:sz w:val="24"/>
                <w:szCs w:val="24"/>
              </w:rPr>
              <w:t xml:space="preserve"> "Līdzekļi neparedzētiem gadījumiem" piešķirt Iekšlietu </w:t>
            </w:r>
            <w:r w:rsidR="00434F5B" w:rsidRPr="00D73628">
              <w:rPr>
                <w:b w:val="0"/>
                <w:sz w:val="24"/>
                <w:szCs w:val="24"/>
              </w:rPr>
              <w:lastRenderedPageBreak/>
              <w:t xml:space="preserve">ministrijai (Valsts policijai) finansējumu </w:t>
            </w:r>
            <w:r>
              <w:rPr>
                <w:b w:val="0"/>
                <w:sz w:val="24"/>
                <w:szCs w:val="24"/>
              </w:rPr>
              <w:t xml:space="preserve">66 123 </w:t>
            </w:r>
            <w:proofErr w:type="spellStart"/>
            <w:r w:rsidR="00434F5B" w:rsidRPr="00D73628">
              <w:rPr>
                <w:b w:val="0"/>
                <w:i/>
                <w:sz w:val="24"/>
                <w:szCs w:val="24"/>
              </w:rPr>
              <w:t>euro</w:t>
            </w:r>
            <w:proofErr w:type="spellEnd"/>
            <w:r w:rsidR="00434F5B" w:rsidRPr="00D73628">
              <w:rPr>
                <w:b w:val="0"/>
                <w:sz w:val="24"/>
                <w:szCs w:val="24"/>
              </w:rPr>
              <w:t xml:space="preserve"> apmērā, lai segtu izdevumus, kas saistīti ar samaksu par dienesta pienākumu izpildi virs noteiktā dienesta pienākumu izpildes laika </w:t>
            </w:r>
            <w:r w:rsidR="008C6B6B">
              <w:rPr>
                <w:b w:val="0"/>
                <w:sz w:val="24"/>
                <w:szCs w:val="24"/>
              </w:rPr>
              <w:t xml:space="preserve">(virsstundu darbu) </w:t>
            </w:r>
            <w:proofErr w:type="spellStart"/>
            <w:r w:rsidR="00434F5B" w:rsidRPr="00D73628">
              <w:rPr>
                <w:b w:val="0"/>
                <w:sz w:val="24"/>
                <w:szCs w:val="24"/>
              </w:rPr>
              <w:t>Covid-19</w:t>
            </w:r>
            <w:proofErr w:type="spellEnd"/>
            <w:r w:rsidR="00434F5B" w:rsidRPr="00D73628">
              <w:rPr>
                <w:b w:val="0"/>
                <w:sz w:val="24"/>
                <w:szCs w:val="24"/>
              </w:rPr>
              <w:t xml:space="preserve"> izplatības ierobežošanas pasākumos iesaistītajām amatpersonām ar speciālajām dienesta pakāpēm laika periodā no </w:t>
            </w:r>
            <w:proofErr w:type="gramStart"/>
            <w:r w:rsidR="00434F5B" w:rsidRPr="00D73628">
              <w:rPr>
                <w:b w:val="0"/>
                <w:sz w:val="24"/>
                <w:szCs w:val="24"/>
              </w:rPr>
              <w:t>2020.gada</w:t>
            </w:r>
            <w:proofErr w:type="gramEnd"/>
            <w:r w:rsidR="00434F5B" w:rsidRPr="00D73628">
              <w:rPr>
                <w:b w:val="0"/>
                <w:sz w:val="24"/>
                <w:szCs w:val="24"/>
              </w:rPr>
              <w:t xml:space="preserve"> 1.maija līdz 2020. gada 9.jūnijam</w:t>
            </w:r>
            <w:r>
              <w:rPr>
                <w:b w:val="0"/>
                <w:sz w:val="24"/>
                <w:szCs w:val="24"/>
              </w:rPr>
              <w:t>;</w:t>
            </w:r>
          </w:p>
          <w:p w:rsidR="00AA14D3" w:rsidRPr="0014341A" w:rsidRDefault="00AA14D3" w:rsidP="00AA14D3">
            <w:pPr>
              <w:jc w:val="both"/>
              <w:rPr>
                <w:rFonts w:eastAsiaTheme="minorEastAsia"/>
                <w:sz w:val="28"/>
                <w:szCs w:val="28"/>
              </w:rPr>
            </w:pPr>
            <w:r>
              <w:rPr>
                <w:bCs/>
              </w:rPr>
              <w:t xml:space="preserve">       </w:t>
            </w:r>
            <w:r w:rsidRPr="0014341A">
              <w:rPr>
                <w:bCs/>
              </w:rPr>
              <w:t>2.</w:t>
            </w:r>
            <w:r w:rsidRPr="0014341A">
              <w:rPr>
                <w:rFonts w:eastAsiaTheme="minorEastAsia"/>
                <w:sz w:val="28"/>
                <w:szCs w:val="28"/>
              </w:rPr>
              <w:t xml:space="preserve"> </w:t>
            </w:r>
            <w:r w:rsidRPr="0014341A">
              <w:rPr>
                <w:bCs/>
              </w:rPr>
              <w:t>atļaut iepriekš</w:t>
            </w:r>
            <w:r w:rsidR="00F217EA" w:rsidRPr="0014341A">
              <w:rPr>
                <w:rFonts w:eastAsiaTheme="minorEastAsia"/>
                <w:sz w:val="28"/>
                <w:szCs w:val="28"/>
              </w:rPr>
              <w:t xml:space="preserve"> </w:t>
            </w:r>
            <w:r w:rsidR="00F217EA" w:rsidRPr="0014341A">
              <w:rPr>
                <w:bCs/>
              </w:rPr>
              <w:t>minēto izdevumu segšanai</w:t>
            </w:r>
            <w:r w:rsidRPr="0014341A">
              <w:rPr>
                <w:bCs/>
              </w:rPr>
              <w:t xml:space="preserve"> izmantot saskaņā ar Ministru kabineta 2020. gada 16. aprīļa rīkojumu Nr. 181 "Par finanšu līdzekļu piešķiršanu no valsts budžeta programmas "Līdzekļi neparedzētiem gadījumiem"" piešķirtā finansējuma neizlietoto daļu 20 115 </w:t>
            </w:r>
            <w:proofErr w:type="spellStart"/>
            <w:r w:rsidRPr="0014341A">
              <w:rPr>
                <w:bCs/>
                <w:i/>
              </w:rPr>
              <w:t>euro</w:t>
            </w:r>
            <w:proofErr w:type="spellEnd"/>
            <w:r w:rsidRPr="0014341A">
              <w:rPr>
                <w:bCs/>
              </w:rPr>
              <w:t xml:space="preserve"> apmērā;</w:t>
            </w:r>
          </w:p>
          <w:p w:rsidR="008C6B6B" w:rsidRPr="00D73628" w:rsidRDefault="008C6B6B" w:rsidP="00D73628">
            <w:pPr>
              <w:pStyle w:val="Heading3"/>
              <w:spacing w:before="0" w:beforeAutospacing="0" w:after="0" w:afterAutospacing="0"/>
              <w:jc w:val="both"/>
              <w:outlineLvl w:val="2"/>
              <w:rPr>
                <w:b w:val="0"/>
                <w:sz w:val="24"/>
                <w:szCs w:val="24"/>
              </w:rPr>
            </w:pPr>
            <w:r w:rsidRPr="0014341A">
              <w:rPr>
                <w:b w:val="0"/>
                <w:sz w:val="24"/>
                <w:szCs w:val="24"/>
              </w:rPr>
              <w:t xml:space="preserve">       </w:t>
            </w:r>
            <w:r w:rsidR="00AA14D3" w:rsidRPr="0014341A">
              <w:rPr>
                <w:b w:val="0"/>
                <w:sz w:val="24"/>
                <w:szCs w:val="24"/>
              </w:rPr>
              <w:t>3</w:t>
            </w:r>
            <w:r w:rsidRPr="0014341A">
              <w:rPr>
                <w:b w:val="0"/>
                <w:sz w:val="24"/>
                <w:szCs w:val="24"/>
              </w:rPr>
              <w:t>.</w:t>
            </w:r>
            <w:r w:rsidR="009848EA" w:rsidRPr="0014341A">
              <w:rPr>
                <w:b w:val="0"/>
                <w:sz w:val="24"/>
                <w:szCs w:val="24"/>
              </w:rPr>
              <w:t>uzdevumu</w:t>
            </w:r>
            <w:r w:rsidRPr="0014341A">
              <w:rPr>
                <w:b w:val="0"/>
                <w:sz w:val="24"/>
                <w:szCs w:val="24"/>
              </w:rPr>
              <w:t xml:space="preserve"> Iekšlietu ministrijai normatīvajos aktos noteiktajā kārtībā sagatavot un iesniegt Finanšu ministrijā pieprasījumu par līdzekļu piešķiršanu no valsts budžeta programmas 02.00.00 "Līdzekļi neparedzētiem gadījumiem"</w:t>
            </w:r>
            <w:r w:rsidR="009848EA" w:rsidRPr="0014341A">
              <w:rPr>
                <w:b w:val="0"/>
                <w:sz w:val="24"/>
                <w:szCs w:val="24"/>
              </w:rPr>
              <w:t>;</w:t>
            </w:r>
          </w:p>
          <w:p w:rsidR="00521BE0" w:rsidRPr="00E60A79" w:rsidRDefault="008C6B6B" w:rsidP="00AA14D3">
            <w:pPr>
              <w:pStyle w:val="Heading3"/>
              <w:spacing w:before="0" w:beforeAutospacing="0" w:after="0" w:afterAutospacing="0"/>
              <w:jc w:val="both"/>
              <w:outlineLvl w:val="2"/>
            </w:pPr>
            <w:r w:rsidRPr="00D73628">
              <w:rPr>
                <w:b w:val="0"/>
                <w:sz w:val="24"/>
                <w:szCs w:val="24"/>
              </w:rPr>
              <w:t xml:space="preserve">       </w:t>
            </w:r>
            <w:r w:rsidR="00AA14D3">
              <w:rPr>
                <w:b w:val="0"/>
                <w:sz w:val="24"/>
                <w:szCs w:val="24"/>
              </w:rPr>
              <w:t>4</w:t>
            </w:r>
            <w:r w:rsidRPr="00D73628">
              <w:rPr>
                <w:b w:val="0"/>
                <w:sz w:val="24"/>
                <w:szCs w:val="24"/>
              </w:rPr>
              <w:t>.</w:t>
            </w:r>
            <w:r w:rsidR="009848EA">
              <w:rPr>
                <w:b w:val="0"/>
                <w:sz w:val="24"/>
                <w:szCs w:val="24"/>
              </w:rPr>
              <w:t>uzdevumu</w:t>
            </w:r>
            <w:r w:rsidRPr="00D73628">
              <w:rPr>
                <w:b w:val="0"/>
                <w:sz w:val="24"/>
                <w:szCs w:val="24"/>
              </w:rPr>
              <w:t xml:space="preserve"> </w:t>
            </w:r>
            <w:r w:rsidR="009848EA">
              <w:rPr>
                <w:b w:val="0"/>
                <w:sz w:val="24"/>
                <w:szCs w:val="24"/>
              </w:rPr>
              <w:t>f</w:t>
            </w:r>
            <w:r w:rsidRPr="00D73628">
              <w:rPr>
                <w:b w:val="0"/>
                <w:sz w:val="24"/>
                <w:szCs w:val="24"/>
              </w:rPr>
              <w:t>inanšu ministram normatīvajos aktos noteiktajā kārtībā informēt Saeimas Budžeta un finanšu (nodokļu) komisiju par apropriācijas izmaiņām un, ja Saeimas Budžeta un finanšu (nodokļu) komisija piecu darba dienu laikā no attiecīgās informācijas saņemšanas dienas nav izteikusi iebildumus, veikt apropriācijas pārdali.</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gridSpan w:val="2"/>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gridSpan w:val="8"/>
          </w:tcPr>
          <w:p w:rsidR="00130487" w:rsidRPr="00FC7F88" w:rsidRDefault="009848EA" w:rsidP="009367F3">
            <w:pPr>
              <w:pStyle w:val="NoSpacing"/>
              <w:jc w:val="both"/>
              <w:rPr>
                <w:rFonts w:ascii="Times New Roman" w:hAnsi="Times New Roman" w:cs="Times New Roman"/>
                <w:sz w:val="24"/>
                <w:szCs w:val="24"/>
                <w:lang w:eastAsia="lv-LV"/>
              </w:rPr>
            </w:pPr>
            <w:r>
              <w:rPr>
                <w:rFonts w:ascii="Times New Roman" w:hAnsi="Times New Roman" w:cs="Times New Roman"/>
                <w:sz w:val="24"/>
                <w:szCs w:val="24"/>
              </w:rPr>
              <w:t xml:space="preserve">Iekšlietu ministrija, </w:t>
            </w:r>
            <w:r w:rsidR="009367F3">
              <w:rPr>
                <w:rFonts w:ascii="Times New Roman" w:hAnsi="Times New Roman" w:cs="Times New Roman"/>
                <w:sz w:val="24"/>
                <w:szCs w:val="24"/>
              </w:rPr>
              <w:t>Valsts policija</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gridSpan w:val="2"/>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gridSpan w:val="8"/>
          </w:tcPr>
          <w:p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r w:rsidR="00EC6E12" w:rsidTr="006936E5">
        <w:tc>
          <w:tcPr>
            <w:tcW w:w="9356" w:type="dxa"/>
            <w:gridSpan w:val="11"/>
          </w:tcPr>
          <w:p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rsidTr="006936E5">
        <w:tc>
          <w:tcPr>
            <w:tcW w:w="9356" w:type="dxa"/>
            <w:gridSpan w:val="11"/>
          </w:tcPr>
          <w:p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r w:rsidR="00842AD1" w:rsidTr="006936E5">
        <w:tc>
          <w:tcPr>
            <w:tcW w:w="9356" w:type="dxa"/>
            <w:gridSpan w:val="11"/>
          </w:tcPr>
          <w:p w:rsidR="00842AD1" w:rsidRPr="00842AD1" w:rsidRDefault="00E5323B" w:rsidP="00842AD1">
            <w:pPr>
              <w:pStyle w:val="NoSpacing"/>
              <w:jc w:val="center"/>
              <w:rPr>
                <w:rFonts w:ascii="Times New Roman" w:hAnsi="Times New Roman" w:cs="Times New Roman"/>
                <w:b/>
                <w:iCs/>
                <w:sz w:val="24"/>
                <w:szCs w:val="24"/>
                <w:lang w:eastAsia="lv-LV"/>
              </w:rPr>
            </w:pPr>
            <w:r w:rsidRPr="00EC6E12">
              <w:rPr>
                <w:rFonts w:ascii="Times New Roman" w:hAnsi="Times New Roman" w:cs="Times New Roman"/>
                <w:iCs/>
                <w:sz w:val="24"/>
                <w:szCs w:val="24"/>
                <w:lang w:eastAsia="lv-LV"/>
              </w:rPr>
              <w:t> </w:t>
            </w:r>
            <w:r w:rsidR="00842AD1" w:rsidRPr="00842AD1">
              <w:rPr>
                <w:rFonts w:ascii="Times New Roman" w:hAnsi="Times New Roman" w:cs="Times New Roman"/>
                <w:b/>
                <w:iCs/>
                <w:sz w:val="24"/>
                <w:szCs w:val="24"/>
                <w:lang w:eastAsia="lv-LV"/>
              </w:rPr>
              <w:t>III. Tiesību akta projekta ietekme uz valsts budžetu un pašvaldību budžetiem</w:t>
            </w:r>
          </w:p>
        </w:tc>
      </w:tr>
      <w:tr w:rsidR="00842AD1" w:rsidTr="007533E7">
        <w:tc>
          <w:tcPr>
            <w:tcW w:w="1702" w:type="dxa"/>
            <w:gridSpan w:val="2"/>
            <w:vMerge w:val="restart"/>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4"/>
            <w:vMerge w:val="restart"/>
            <w:vAlign w:val="center"/>
          </w:tcPr>
          <w:p w:rsidR="00842AD1" w:rsidRDefault="00037CA6" w:rsidP="007533E7">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20</w:t>
            </w:r>
            <w:r>
              <w:rPr>
                <w:rFonts w:ascii="Times New Roman" w:hAnsi="Times New Roman" w:cs="Times New Roman"/>
                <w:iCs/>
                <w:sz w:val="24"/>
                <w:szCs w:val="24"/>
                <w:lang w:eastAsia="lv-LV"/>
              </w:rPr>
              <w:t>. gads</w:t>
            </w:r>
          </w:p>
        </w:tc>
        <w:tc>
          <w:tcPr>
            <w:tcW w:w="5394" w:type="dxa"/>
            <w:gridSpan w:val="5"/>
          </w:tcPr>
          <w:p w:rsidR="00842AD1" w:rsidRDefault="00842AD1" w:rsidP="007533E7">
            <w:pPr>
              <w:pStyle w:val="NoSpacing"/>
              <w:jc w:val="center"/>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rsidTr="007533E7">
        <w:tc>
          <w:tcPr>
            <w:tcW w:w="1702" w:type="dxa"/>
            <w:gridSpan w:val="2"/>
            <w:vMerge/>
          </w:tcPr>
          <w:p w:rsidR="00842AD1" w:rsidRDefault="00842AD1" w:rsidP="00EC6E12">
            <w:pPr>
              <w:pStyle w:val="NoSpacing"/>
              <w:rPr>
                <w:rFonts w:ascii="Times New Roman" w:hAnsi="Times New Roman" w:cs="Times New Roman"/>
                <w:iCs/>
                <w:sz w:val="24"/>
                <w:szCs w:val="24"/>
                <w:lang w:eastAsia="lv-LV"/>
              </w:rPr>
            </w:pPr>
          </w:p>
        </w:tc>
        <w:tc>
          <w:tcPr>
            <w:tcW w:w="2260" w:type="dxa"/>
            <w:gridSpan w:val="4"/>
            <w:vMerge/>
          </w:tcPr>
          <w:p w:rsidR="00842AD1" w:rsidRDefault="00842AD1" w:rsidP="007533E7">
            <w:pPr>
              <w:pStyle w:val="NoSpacing"/>
              <w:jc w:val="center"/>
              <w:rPr>
                <w:rFonts w:ascii="Times New Roman" w:hAnsi="Times New Roman" w:cs="Times New Roman"/>
                <w:iCs/>
                <w:sz w:val="24"/>
                <w:szCs w:val="24"/>
                <w:lang w:eastAsia="lv-LV"/>
              </w:rPr>
            </w:pPr>
          </w:p>
        </w:tc>
        <w:tc>
          <w:tcPr>
            <w:tcW w:w="2134" w:type="dxa"/>
            <w:gridSpan w:val="2"/>
            <w:vAlign w:val="center"/>
          </w:tcPr>
          <w:p w:rsidR="00842AD1" w:rsidRDefault="00037CA6" w:rsidP="007533E7">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33589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1984" w:type="dxa"/>
            <w:gridSpan w:val="2"/>
          </w:tcPr>
          <w:p w:rsidR="00842AD1" w:rsidRDefault="00037CA6" w:rsidP="007533E7">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276" w:type="dxa"/>
          </w:tcPr>
          <w:p w:rsidR="00842AD1" w:rsidRDefault="00037CA6" w:rsidP="007533E7">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r>
      <w:tr w:rsidR="006E71F7" w:rsidTr="006936E5">
        <w:tc>
          <w:tcPr>
            <w:tcW w:w="1702" w:type="dxa"/>
            <w:gridSpan w:val="2"/>
            <w:vMerge/>
          </w:tcPr>
          <w:p w:rsidR="00842AD1" w:rsidRDefault="00842AD1" w:rsidP="00EC6E12">
            <w:pPr>
              <w:pStyle w:val="NoSpacing"/>
              <w:rPr>
                <w:rFonts w:ascii="Times New Roman" w:hAnsi="Times New Roman" w:cs="Times New Roman"/>
                <w:iCs/>
                <w:sz w:val="24"/>
                <w:szCs w:val="24"/>
                <w:lang w:eastAsia="lv-LV"/>
              </w:rPr>
            </w:pPr>
          </w:p>
        </w:tc>
        <w:tc>
          <w:tcPr>
            <w:tcW w:w="992" w:type="dxa"/>
            <w:gridSpan w:val="2"/>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gridSpan w:val="2"/>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C9634E">
              <w:rPr>
                <w:rFonts w:ascii="Times New Roman" w:hAnsi="Times New Roman" w:cs="Times New Roman"/>
                <w:iCs/>
                <w:sz w:val="24"/>
                <w:szCs w:val="24"/>
                <w:lang w:eastAsia="lv-LV"/>
              </w:rPr>
              <w:t>1</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r w:rsidR="00037CA6">
              <w:rPr>
                <w:rFonts w:ascii="Times New Roman" w:hAnsi="Times New Roman" w:cs="Times New Roman"/>
                <w:iCs/>
                <w:sz w:val="24"/>
                <w:szCs w:val="24"/>
                <w:lang w:eastAsia="lv-LV"/>
              </w:rPr>
              <w:t>-</w:t>
            </w:r>
            <w:proofErr w:type="spellEnd"/>
          </w:p>
          <w:p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C9634E">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04685C">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rsidTr="006936E5">
        <w:tc>
          <w:tcPr>
            <w:tcW w:w="1702" w:type="dxa"/>
            <w:gridSpan w:val="2"/>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1</w:t>
            </w:r>
          </w:p>
        </w:tc>
        <w:tc>
          <w:tcPr>
            <w:tcW w:w="992" w:type="dxa"/>
            <w:gridSpan w:val="2"/>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2</w:t>
            </w:r>
          </w:p>
        </w:tc>
        <w:tc>
          <w:tcPr>
            <w:tcW w:w="1268" w:type="dxa"/>
            <w:gridSpan w:val="2"/>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3</w:t>
            </w:r>
          </w:p>
        </w:tc>
        <w:tc>
          <w:tcPr>
            <w:tcW w:w="1000"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4</w:t>
            </w:r>
          </w:p>
        </w:tc>
        <w:tc>
          <w:tcPr>
            <w:tcW w:w="1134"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5</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6</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7</w:t>
            </w:r>
          </w:p>
        </w:tc>
        <w:tc>
          <w:tcPr>
            <w:tcW w:w="1276"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8</w:t>
            </w:r>
          </w:p>
        </w:tc>
      </w:tr>
      <w:tr w:rsidR="006C12A6" w:rsidTr="002074A4">
        <w:tc>
          <w:tcPr>
            <w:tcW w:w="1702" w:type="dxa"/>
            <w:gridSpan w:val="2"/>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gridSpan w:val="2"/>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2074A4">
        <w:tc>
          <w:tcPr>
            <w:tcW w:w="1702" w:type="dxa"/>
            <w:gridSpan w:val="2"/>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gridSpan w:val="2"/>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936E5">
        <w:tc>
          <w:tcPr>
            <w:tcW w:w="1702" w:type="dxa"/>
            <w:gridSpan w:val="2"/>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gridSpan w:val="2"/>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CC0982" w:rsidTr="006936E5">
        <w:tc>
          <w:tcPr>
            <w:tcW w:w="1702" w:type="dxa"/>
            <w:gridSpan w:val="2"/>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gridSpan w:val="2"/>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A5DEF">
        <w:tc>
          <w:tcPr>
            <w:tcW w:w="1702" w:type="dxa"/>
            <w:gridSpan w:val="2"/>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gridSpan w:val="2"/>
          </w:tcPr>
          <w:p w:rsidR="006C12A6" w:rsidRPr="001C797C" w:rsidRDefault="006C12A6" w:rsidP="007533E7">
            <w:pPr>
              <w:jc w:val="center"/>
            </w:pPr>
            <w:r w:rsidRPr="001C797C">
              <w:rPr>
                <w:iCs/>
              </w:rPr>
              <w:t>0</w:t>
            </w:r>
          </w:p>
        </w:tc>
        <w:tc>
          <w:tcPr>
            <w:tcW w:w="1268" w:type="dxa"/>
            <w:gridSpan w:val="2"/>
            <w:shd w:val="clear" w:color="auto" w:fill="auto"/>
            <w:vAlign w:val="center"/>
          </w:tcPr>
          <w:p w:rsidR="006C12A6" w:rsidRPr="001C797C" w:rsidRDefault="00315EA3" w:rsidP="007533E7">
            <w:pPr>
              <w:pStyle w:val="NoSpacing"/>
              <w:jc w:val="center"/>
              <w:rPr>
                <w:rFonts w:ascii="Times New Roman" w:hAnsi="Times New Roman" w:cs="Times New Roman"/>
                <w:iCs/>
                <w:lang w:eastAsia="lv-LV"/>
              </w:rPr>
            </w:pPr>
            <w:r>
              <w:rPr>
                <w:rFonts w:ascii="Times New Roman" w:hAnsi="Times New Roman" w:cs="Times New Roman"/>
                <w:iCs/>
                <w:lang w:eastAsia="lv-LV"/>
              </w:rPr>
              <w:t>66 123</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A5DEF">
        <w:tc>
          <w:tcPr>
            <w:tcW w:w="1702" w:type="dxa"/>
            <w:gridSpan w:val="2"/>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gridSpan w:val="2"/>
          </w:tcPr>
          <w:p w:rsidR="006C12A6" w:rsidRPr="001C797C" w:rsidRDefault="006C12A6" w:rsidP="007533E7">
            <w:pPr>
              <w:jc w:val="center"/>
            </w:pPr>
            <w:r w:rsidRPr="001C797C">
              <w:rPr>
                <w:iCs/>
              </w:rPr>
              <w:t>0</w:t>
            </w:r>
          </w:p>
        </w:tc>
        <w:tc>
          <w:tcPr>
            <w:tcW w:w="1268" w:type="dxa"/>
            <w:gridSpan w:val="2"/>
            <w:shd w:val="clear" w:color="auto" w:fill="auto"/>
            <w:vAlign w:val="center"/>
          </w:tcPr>
          <w:p w:rsidR="006C12A6" w:rsidRPr="001C797C" w:rsidRDefault="00315EA3" w:rsidP="007533E7">
            <w:pPr>
              <w:pStyle w:val="NoSpacing"/>
              <w:jc w:val="center"/>
              <w:rPr>
                <w:rFonts w:ascii="Times New Roman" w:hAnsi="Times New Roman" w:cs="Times New Roman"/>
                <w:iCs/>
                <w:lang w:eastAsia="lv-LV"/>
              </w:rPr>
            </w:pPr>
            <w:r>
              <w:rPr>
                <w:rFonts w:ascii="Times New Roman" w:hAnsi="Times New Roman" w:cs="Times New Roman"/>
                <w:iCs/>
                <w:lang w:eastAsia="lv-LV"/>
              </w:rPr>
              <w:t>66 123</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tc>
          <w:tcPr>
            <w:tcW w:w="1702" w:type="dxa"/>
            <w:gridSpan w:val="2"/>
            <w:vAlign w:val="center"/>
          </w:tcPr>
          <w:p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gridSpan w:val="2"/>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shd w:val="clear" w:color="auto" w:fill="auto"/>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tc>
          <w:tcPr>
            <w:tcW w:w="1702" w:type="dxa"/>
            <w:gridSpan w:val="2"/>
            <w:vAlign w:val="center"/>
          </w:tcPr>
          <w:p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gridSpan w:val="2"/>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shd w:val="clear" w:color="auto" w:fill="auto"/>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gridSpan w:val="2"/>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gridSpan w:val="2"/>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shd w:val="clear" w:color="auto" w:fill="auto"/>
            <w:vAlign w:val="center"/>
          </w:tcPr>
          <w:p w:rsidR="00F530FE" w:rsidRPr="001C797C" w:rsidRDefault="004203DF" w:rsidP="00315EA3">
            <w:pPr>
              <w:pStyle w:val="NoSpacing"/>
              <w:jc w:val="center"/>
              <w:rPr>
                <w:rFonts w:ascii="Times New Roman" w:hAnsi="Times New Roman" w:cs="Times New Roman"/>
                <w:iCs/>
                <w:lang w:eastAsia="lv-LV"/>
              </w:rPr>
            </w:pPr>
            <w:r>
              <w:rPr>
                <w:rFonts w:ascii="Times New Roman" w:hAnsi="Times New Roman" w:cs="Times New Roman"/>
                <w:iCs/>
                <w:lang w:eastAsia="lv-LV"/>
              </w:rPr>
              <w:t>-</w:t>
            </w:r>
            <w:r w:rsidR="00315EA3">
              <w:rPr>
                <w:rFonts w:ascii="Times New Roman" w:hAnsi="Times New Roman" w:cs="Times New Roman"/>
                <w:iCs/>
                <w:lang w:eastAsia="lv-LV"/>
              </w:rPr>
              <w:t>66 123</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gridSpan w:val="2"/>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gridSpan w:val="2"/>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shd w:val="clear" w:color="auto" w:fill="auto"/>
            <w:vAlign w:val="center"/>
          </w:tcPr>
          <w:p w:rsidR="00F530FE" w:rsidRPr="001C797C" w:rsidRDefault="004203DF" w:rsidP="00315EA3">
            <w:pPr>
              <w:pStyle w:val="NoSpacing"/>
              <w:jc w:val="center"/>
              <w:rPr>
                <w:rFonts w:ascii="Times New Roman" w:hAnsi="Times New Roman" w:cs="Times New Roman"/>
                <w:iCs/>
                <w:lang w:eastAsia="lv-LV"/>
              </w:rPr>
            </w:pPr>
            <w:r>
              <w:rPr>
                <w:rFonts w:ascii="Times New Roman" w:hAnsi="Times New Roman" w:cs="Times New Roman"/>
                <w:iCs/>
                <w:lang w:eastAsia="lv-LV"/>
              </w:rPr>
              <w:t>-</w:t>
            </w:r>
            <w:r w:rsidR="00315EA3">
              <w:rPr>
                <w:rFonts w:ascii="Times New Roman" w:hAnsi="Times New Roman" w:cs="Times New Roman"/>
                <w:iCs/>
                <w:lang w:eastAsia="lv-LV"/>
              </w:rPr>
              <w:t>66 123</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gridSpan w:val="2"/>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gridSpan w:val="2"/>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shd w:val="clear" w:color="auto" w:fill="auto"/>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gridSpan w:val="2"/>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gridSpan w:val="2"/>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shd w:val="clear" w:color="auto" w:fill="auto"/>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gridSpan w:val="2"/>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gridSpan w:val="2"/>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gridSpan w:val="2"/>
            <w:shd w:val="clear" w:color="auto" w:fill="auto"/>
            <w:vAlign w:val="center"/>
          </w:tcPr>
          <w:p w:rsidR="00F530FE" w:rsidRPr="00315EA3" w:rsidRDefault="00315EA3" w:rsidP="007533E7">
            <w:pPr>
              <w:pStyle w:val="NoSpacing"/>
              <w:jc w:val="center"/>
              <w:rPr>
                <w:rFonts w:ascii="Times New Roman" w:hAnsi="Times New Roman" w:cs="Times New Roman"/>
                <w:iCs/>
                <w:lang w:eastAsia="lv-LV"/>
              </w:rPr>
            </w:pPr>
            <w:r w:rsidRPr="00315EA3">
              <w:rPr>
                <w:rFonts w:ascii="Times New Roman" w:hAnsi="Times New Roman" w:cs="Times New Roman"/>
                <w:iCs/>
                <w:lang w:eastAsia="lv-LV"/>
              </w:rPr>
              <w:t>66 123</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gridSpan w:val="2"/>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gridSpan w:val="2"/>
            <w:vMerge w:val="restart"/>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gridSpan w:val="2"/>
            <w:vAlign w:val="center"/>
          </w:tcPr>
          <w:p w:rsidR="00F530FE" w:rsidRPr="00315EA3" w:rsidRDefault="00F530FE" w:rsidP="007533E7">
            <w:pPr>
              <w:pStyle w:val="NoSpacing"/>
              <w:jc w:val="center"/>
              <w:rPr>
                <w:rFonts w:ascii="Times New Roman" w:hAnsi="Times New Roman" w:cs="Times New Roman"/>
                <w:iCs/>
                <w:lang w:eastAsia="lv-LV"/>
              </w:rPr>
            </w:pPr>
            <w:r w:rsidRPr="00315EA3">
              <w:rPr>
                <w:rFonts w:ascii="Times New Roman" w:hAnsi="Times New Roman" w:cs="Times New Roman"/>
                <w:iCs/>
                <w:lang w:eastAsia="lv-LV"/>
              </w:rPr>
              <w:t>0</w:t>
            </w:r>
          </w:p>
        </w:tc>
        <w:tc>
          <w:tcPr>
            <w:tcW w:w="1000" w:type="dxa"/>
            <w:vMerge w:val="restart"/>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gridSpan w:val="2"/>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gridSpan w:val="2"/>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gridSpan w:val="2"/>
            <w:vAlign w:val="center"/>
          </w:tcPr>
          <w:p w:rsidR="00F530FE" w:rsidRPr="00315EA3" w:rsidRDefault="00F530FE" w:rsidP="007533E7">
            <w:pPr>
              <w:pStyle w:val="NoSpacing"/>
              <w:jc w:val="center"/>
              <w:rPr>
                <w:rFonts w:ascii="Times New Roman" w:hAnsi="Times New Roman" w:cs="Times New Roman"/>
                <w:iCs/>
                <w:lang w:eastAsia="lv-LV"/>
              </w:rPr>
            </w:pPr>
            <w:r w:rsidRPr="00315EA3">
              <w:rPr>
                <w:rFonts w:ascii="Times New Roman" w:hAnsi="Times New Roman" w:cs="Times New Roman"/>
                <w:iCs/>
                <w:lang w:eastAsia="lv-LV"/>
              </w:rPr>
              <w:t>0</w:t>
            </w:r>
          </w:p>
        </w:tc>
        <w:tc>
          <w:tcPr>
            <w:tcW w:w="1000"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gridSpan w:val="2"/>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gridSpan w:val="2"/>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gridSpan w:val="2"/>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gridSpan w:val="2"/>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gridSpan w:val="2"/>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gridSpan w:val="2"/>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9547D2">
        <w:tc>
          <w:tcPr>
            <w:tcW w:w="1702" w:type="dxa"/>
            <w:gridSpan w:val="2"/>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9"/>
            <w:vMerge w:val="restart"/>
            <w:shd w:val="clear" w:color="auto" w:fill="auto"/>
          </w:tcPr>
          <w:p w:rsidR="006C4E40" w:rsidRPr="006C4E40" w:rsidRDefault="002F7DA2" w:rsidP="00DD3BCF">
            <w:pPr>
              <w:pStyle w:val="tv213"/>
              <w:tabs>
                <w:tab w:val="left" w:pos="709"/>
              </w:tabs>
              <w:spacing w:before="0" w:beforeAutospacing="0" w:after="0" w:afterAutospacing="0"/>
              <w:ind w:left="360"/>
              <w:jc w:val="both"/>
              <w:rPr>
                <w:i/>
                <w:shd w:val="clear" w:color="auto" w:fill="FFFFFF"/>
              </w:rPr>
            </w:pPr>
            <w:r>
              <w:rPr>
                <w:i/>
                <w:shd w:val="clear" w:color="auto" w:fill="FFFFFF"/>
              </w:rPr>
              <w:t>Detalizēts izdevumu aprēķ</w:t>
            </w:r>
            <w:r w:rsidR="006C4E40" w:rsidRPr="006C4E40">
              <w:rPr>
                <w:i/>
                <w:shd w:val="clear" w:color="auto" w:fill="FFFFFF"/>
              </w:rPr>
              <w:t>ins:</w:t>
            </w:r>
          </w:p>
          <w:p w:rsidR="00125D49" w:rsidRPr="00642E89" w:rsidRDefault="00DD3BCF" w:rsidP="00EC4886">
            <w:pPr>
              <w:pStyle w:val="tv213"/>
              <w:tabs>
                <w:tab w:val="left" w:pos="709"/>
              </w:tabs>
              <w:spacing w:before="0" w:beforeAutospacing="0" w:after="0" w:afterAutospacing="0"/>
              <w:ind w:left="360"/>
              <w:jc w:val="both"/>
              <w:rPr>
                <w:i/>
                <w:shd w:val="clear" w:color="auto" w:fill="FFFFFF"/>
              </w:rPr>
            </w:pPr>
            <w:r w:rsidRPr="00642E89">
              <w:rPr>
                <w:i/>
                <w:shd w:val="clear" w:color="auto" w:fill="FFFFFF"/>
              </w:rPr>
              <w:t>Valsts policija</w:t>
            </w:r>
            <w:r w:rsidR="00EC4886" w:rsidRPr="00642E89">
              <w:rPr>
                <w:i/>
                <w:shd w:val="clear" w:color="auto" w:fill="FFFFFF"/>
              </w:rPr>
              <w:t xml:space="preserve"> </w:t>
            </w:r>
            <w:r w:rsidR="0016684A" w:rsidRPr="00642E89">
              <w:rPr>
                <w:shd w:val="clear" w:color="auto" w:fill="FFFFFF"/>
              </w:rPr>
              <w:t xml:space="preserve">– </w:t>
            </w:r>
            <w:r w:rsidR="002C5673" w:rsidRPr="00642E89">
              <w:rPr>
                <w:shd w:val="clear" w:color="auto" w:fill="FFFFFF"/>
              </w:rPr>
              <w:t>86 238</w:t>
            </w:r>
            <w:r w:rsidR="00125D49" w:rsidRPr="00642E89">
              <w:rPr>
                <w:shd w:val="clear" w:color="auto" w:fill="FFFFFF"/>
              </w:rPr>
              <w:t xml:space="preserve"> </w:t>
            </w:r>
            <w:proofErr w:type="spellStart"/>
            <w:r w:rsidR="00125D49" w:rsidRPr="00642E89">
              <w:rPr>
                <w:i/>
                <w:shd w:val="clear" w:color="auto" w:fill="FFFFFF"/>
              </w:rPr>
              <w:t>euro</w:t>
            </w:r>
            <w:proofErr w:type="spellEnd"/>
            <w:r w:rsidR="00125D49" w:rsidRPr="00642E89">
              <w:rPr>
                <w:shd w:val="clear" w:color="auto" w:fill="FFFFFF"/>
              </w:rPr>
              <w:t>:</w:t>
            </w:r>
          </w:p>
          <w:p w:rsidR="007F7D5A" w:rsidRDefault="006C4E40" w:rsidP="006C4E40">
            <w:pPr>
              <w:pStyle w:val="tv213"/>
              <w:tabs>
                <w:tab w:val="left" w:pos="709"/>
              </w:tabs>
              <w:spacing w:before="0" w:beforeAutospacing="0" w:after="0" w:afterAutospacing="0"/>
              <w:ind w:left="357"/>
              <w:jc w:val="both"/>
            </w:pPr>
            <w:r w:rsidRPr="00642E89">
              <w:t xml:space="preserve"> Virsstundu darbā </w:t>
            </w:r>
            <w:r w:rsidR="00EC4886" w:rsidRPr="00642E89">
              <w:t xml:space="preserve">no </w:t>
            </w:r>
            <w:r w:rsidR="00EC4886" w:rsidRPr="00642E89">
              <w:rPr>
                <w:shd w:val="clear" w:color="auto" w:fill="FFFFFF"/>
              </w:rPr>
              <w:t>2020.</w:t>
            </w:r>
            <w:r w:rsidR="00E81321">
              <w:rPr>
                <w:shd w:val="clear" w:color="auto" w:fill="FFFFFF"/>
              </w:rPr>
              <w:t xml:space="preserve"> </w:t>
            </w:r>
            <w:r w:rsidR="00EC4886" w:rsidRPr="00642E89">
              <w:rPr>
                <w:shd w:val="clear" w:color="auto" w:fill="FFFFFF"/>
              </w:rPr>
              <w:t xml:space="preserve">gada </w:t>
            </w:r>
            <w:r w:rsidR="0007075A" w:rsidRPr="00642E89">
              <w:rPr>
                <w:shd w:val="clear" w:color="auto" w:fill="FFFFFF"/>
              </w:rPr>
              <w:t>1.</w:t>
            </w:r>
            <w:r w:rsidR="00E81321">
              <w:rPr>
                <w:shd w:val="clear" w:color="auto" w:fill="FFFFFF"/>
              </w:rPr>
              <w:t xml:space="preserve"> </w:t>
            </w:r>
            <w:r w:rsidR="0007075A" w:rsidRPr="00642E89">
              <w:rPr>
                <w:shd w:val="clear" w:color="auto" w:fill="FFFFFF"/>
              </w:rPr>
              <w:t xml:space="preserve">maija līdz </w:t>
            </w:r>
            <w:r w:rsidR="002F7DA2" w:rsidRPr="00642E89">
              <w:rPr>
                <w:shd w:val="clear" w:color="auto" w:fill="FFFFFF"/>
              </w:rPr>
              <w:t>9</w:t>
            </w:r>
            <w:r w:rsidR="0007075A" w:rsidRPr="00642E89">
              <w:rPr>
                <w:shd w:val="clear" w:color="auto" w:fill="FFFFFF"/>
              </w:rPr>
              <w:t>.</w:t>
            </w:r>
            <w:r w:rsidR="00E81321">
              <w:rPr>
                <w:shd w:val="clear" w:color="auto" w:fill="FFFFFF"/>
              </w:rPr>
              <w:t xml:space="preserve"> </w:t>
            </w:r>
            <w:r w:rsidR="002F7DA2" w:rsidRPr="00642E89">
              <w:rPr>
                <w:shd w:val="clear" w:color="auto" w:fill="FFFFFF"/>
              </w:rPr>
              <w:t>jūnijam</w:t>
            </w:r>
            <w:r w:rsidR="00EC4886" w:rsidRPr="00642E89">
              <w:rPr>
                <w:shd w:val="clear" w:color="auto" w:fill="FFFFFF"/>
              </w:rPr>
              <w:t xml:space="preserve"> </w:t>
            </w:r>
            <w:r w:rsidRPr="00642E89">
              <w:t xml:space="preserve">tika iesaistītas </w:t>
            </w:r>
            <w:r w:rsidR="0007075A" w:rsidRPr="00642E89">
              <w:t>406</w:t>
            </w:r>
            <w:r w:rsidR="00A13B0E" w:rsidRPr="00642E89">
              <w:t xml:space="preserve"> Valsts policijas amatpersonas</w:t>
            </w:r>
            <w:r w:rsidR="001F63E4">
              <w:t>,</w:t>
            </w:r>
            <w:r w:rsidR="00A13B0E" w:rsidRPr="00642E89">
              <w:t xml:space="preserve"> kopā nostrādājot </w:t>
            </w:r>
            <w:r w:rsidR="0007075A" w:rsidRPr="00642E89">
              <w:t>5 185</w:t>
            </w:r>
            <w:r w:rsidR="0007075A">
              <w:t>,</w:t>
            </w:r>
            <w:r w:rsidR="00234888">
              <w:t>7</w:t>
            </w:r>
            <w:r w:rsidR="0007075A">
              <w:t>5</w:t>
            </w:r>
            <w:r w:rsidR="00A13B0E">
              <w:t xml:space="preserve"> virsstundas.</w:t>
            </w:r>
          </w:p>
          <w:p w:rsidR="00A13B0E" w:rsidRDefault="00A13B0E" w:rsidP="006C4E40">
            <w:pPr>
              <w:pStyle w:val="tv213"/>
              <w:tabs>
                <w:tab w:val="left" w:pos="709"/>
              </w:tabs>
              <w:spacing w:before="0" w:beforeAutospacing="0" w:after="0" w:afterAutospacing="0"/>
              <w:ind w:left="357"/>
              <w:jc w:val="both"/>
            </w:pPr>
            <w:r>
              <w:t>Aprēķinātie izdevumi:</w:t>
            </w:r>
          </w:p>
          <w:p w:rsidR="00A13B0E" w:rsidRDefault="00A13B0E" w:rsidP="00A13B0E">
            <w:pPr>
              <w:pStyle w:val="tv213"/>
              <w:numPr>
                <w:ilvl w:val="0"/>
                <w:numId w:val="9"/>
              </w:numPr>
              <w:tabs>
                <w:tab w:val="left" w:pos="709"/>
              </w:tabs>
              <w:spacing w:before="0" w:beforeAutospacing="0" w:after="0" w:afterAutospacing="0"/>
              <w:jc w:val="both"/>
            </w:pPr>
            <w:r>
              <w:t>samaksai par virsstundu darbu (EKK1142)</w:t>
            </w:r>
            <w:r w:rsidR="00EC4886">
              <w:t xml:space="preserve"> </w:t>
            </w:r>
            <w:r>
              <w:t xml:space="preserve">– </w:t>
            </w:r>
            <w:r w:rsidR="002C5673">
              <w:t xml:space="preserve">69 496 </w:t>
            </w:r>
            <w:r w:rsidRPr="00A13B0E">
              <w:rPr>
                <w:i/>
              </w:rPr>
              <w:t>euro</w:t>
            </w:r>
            <w:r>
              <w:t>;</w:t>
            </w:r>
          </w:p>
          <w:p w:rsidR="00A13B0E" w:rsidRPr="00EC4886" w:rsidRDefault="00EC4886" w:rsidP="00A13B0E">
            <w:pPr>
              <w:pStyle w:val="tv213"/>
              <w:numPr>
                <w:ilvl w:val="0"/>
                <w:numId w:val="9"/>
              </w:numPr>
              <w:tabs>
                <w:tab w:val="left" w:pos="709"/>
              </w:tabs>
              <w:spacing w:before="0" w:beforeAutospacing="0" w:after="0" w:afterAutospacing="0"/>
              <w:jc w:val="both"/>
            </w:pPr>
            <w:r>
              <w:t xml:space="preserve">darba devēja valsts sociālās apdrošināšanas obligātās iemaksas (EKK1210) – </w:t>
            </w:r>
            <w:r w:rsidR="002C5673">
              <w:t xml:space="preserve">16 742 </w:t>
            </w:r>
            <w:proofErr w:type="spellStart"/>
            <w:r w:rsidRPr="00EC4886">
              <w:rPr>
                <w:i/>
              </w:rPr>
              <w:t>euro</w:t>
            </w:r>
            <w:proofErr w:type="spellEnd"/>
            <w:r>
              <w:rPr>
                <w:i/>
              </w:rPr>
              <w:t>.</w:t>
            </w:r>
          </w:p>
          <w:p w:rsidR="00642E89" w:rsidRPr="00A130FC" w:rsidRDefault="00642E89" w:rsidP="002F7DA2">
            <w:pPr>
              <w:pStyle w:val="tv213"/>
              <w:tabs>
                <w:tab w:val="left" w:pos="709"/>
              </w:tabs>
              <w:spacing w:before="0" w:beforeAutospacing="0" w:after="0" w:afterAutospacing="0"/>
              <w:jc w:val="both"/>
              <w:rPr>
                <w:b/>
              </w:rPr>
            </w:pPr>
            <w:r>
              <w:t xml:space="preserve">Ņemot vērā atlikumu </w:t>
            </w:r>
            <w:r w:rsidR="00454E00">
              <w:t xml:space="preserve">20 115 </w:t>
            </w:r>
            <w:proofErr w:type="spellStart"/>
            <w:r w:rsidR="00454E00" w:rsidRPr="00642E89">
              <w:rPr>
                <w:i/>
              </w:rPr>
              <w:t>euro</w:t>
            </w:r>
            <w:proofErr w:type="spellEnd"/>
            <w:r w:rsidR="00454E00">
              <w:t xml:space="preserve"> apmērā, kas izveidojās </w:t>
            </w:r>
            <w:r>
              <w:t xml:space="preserve">no </w:t>
            </w:r>
            <w:r w:rsidR="001F63E4">
              <w:t xml:space="preserve">saskaņā ar rīkojumu Nr.181 </w:t>
            </w:r>
            <w:r>
              <w:t xml:space="preserve">piešķirtā finansējuma, </w:t>
            </w:r>
            <w:r w:rsidR="00454E00">
              <w:t>jo</w:t>
            </w:r>
            <w:r>
              <w:t xml:space="preserve"> pieprasījumā netika </w:t>
            </w:r>
            <w:proofErr w:type="gramStart"/>
            <w:r w:rsidR="001F63E4">
              <w:t xml:space="preserve">iekļautas </w:t>
            </w:r>
            <w:r>
              <w:t>amatpersonu</w:t>
            </w:r>
            <w:proofErr w:type="gramEnd"/>
            <w:r>
              <w:t xml:space="preserve"> prombūtnes, virsstundu darba apmaksai par Valsts policijas amatpersonu iesaistīšanu virsstundu darbā pasākumo</w:t>
            </w:r>
            <w:r w:rsidRPr="00642E89">
              <w:t xml:space="preserve">s kas saistīti ar COVID-19 izplatīšanās ierobežošanu </w:t>
            </w:r>
            <w:r>
              <w:t>laika periodā no 2020.</w:t>
            </w:r>
            <w:r w:rsidR="00E81321">
              <w:t xml:space="preserve"> </w:t>
            </w:r>
            <w:r>
              <w:t>gada 1.</w:t>
            </w:r>
            <w:r w:rsidR="00E81321">
              <w:t xml:space="preserve"> </w:t>
            </w:r>
            <w:r>
              <w:t>maija līdz 9.</w:t>
            </w:r>
            <w:r w:rsidR="00620A4B">
              <w:t xml:space="preserve"> </w:t>
            </w:r>
            <w:r>
              <w:t>jūnijam</w:t>
            </w:r>
            <w:r w:rsidR="00454E00">
              <w:t>,</w:t>
            </w:r>
            <w:r>
              <w:t xml:space="preserve"> </w:t>
            </w:r>
            <w:r w:rsidR="00454E00">
              <w:t xml:space="preserve">papildu </w:t>
            </w:r>
            <w:r>
              <w:t xml:space="preserve">nepieciešami </w:t>
            </w:r>
            <w:r w:rsidRPr="00642E89">
              <w:rPr>
                <w:b/>
              </w:rPr>
              <w:t xml:space="preserve">66 123 </w:t>
            </w:r>
            <w:proofErr w:type="spellStart"/>
            <w:r w:rsidRPr="00642E89">
              <w:rPr>
                <w:b/>
                <w:i/>
              </w:rPr>
              <w:t>euro</w:t>
            </w:r>
            <w:proofErr w:type="spellEnd"/>
            <w:r w:rsidR="001F4792">
              <w:rPr>
                <w:b/>
                <w:i/>
              </w:rPr>
              <w:t>.</w:t>
            </w:r>
          </w:p>
          <w:p w:rsidR="00EC4886" w:rsidRDefault="004F25A1" w:rsidP="00EC4886">
            <w:pPr>
              <w:pStyle w:val="tv213"/>
              <w:tabs>
                <w:tab w:val="left" w:pos="709"/>
              </w:tabs>
              <w:spacing w:before="0" w:beforeAutospacing="0" w:after="0" w:afterAutospacing="0"/>
              <w:jc w:val="both"/>
            </w:pPr>
            <w:r>
              <w:t xml:space="preserve">Samaksa </w:t>
            </w:r>
            <w:r w:rsidR="00606DCF">
              <w:t>par virsstundu darbu veikta</w:t>
            </w:r>
            <w:r>
              <w:t>,</w:t>
            </w:r>
            <w:r w:rsidR="00606DCF">
              <w:t xml:space="preserve"> pamatojoties uz Valsts policijas pavēlēm un ziņojumiem par iesaisti virsstundu darbā. </w:t>
            </w:r>
            <w:r w:rsidR="00EC4886">
              <w:t>Detalizēta informācija ar pamatojumu par katru virsstundu darbā iesaistīto Valsts policijas amatpersonu pieejama Valsts policijā.</w:t>
            </w:r>
          </w:p>
          <w:p w:rsidR="00A13B0E" w:rsidRPr="00431C39" w:rsidRDefault="00A13B0E" w:rsidP="00EC4886">
            <w:pPr>
              <w:pStyle w:val="tv213"/>
              <w:tabs>
                <w:tab w:val="left" w:pos="709"/>
              </w:tabs>
              <w:spacing w:before="0" w:beforeAutospacing="0" w:after="0" w:afterAutospacing="0"/>
              <w:jc w:val="both"/>
            </w:pPr>
            <w:r>
              <w:t>Detalizēts aprēķins</w:t>
            </w:r>
            <w:r w:rsidR="001F63E4">
              <w:t xml:space="preserve"> –</w:t>
            </w:r>
            <w:r>
              <w:t xml:space="preserve"> anotācijas pielik</w:t>
            </w:r>
            <w:r w:rsidR="00EC4886">
              <w:t>u</w:t>
            </w:r>
            <w:r>
              <w:t>mā.</w:t>
            </w:r>
          </w:p>
        </w:tc>
      </w:tr>
      <w:tr w:rsidR="00F530FE" w:rsidTr="009547D2">
        <w:tc>
          <w:tcPr>
            <w:tcW w:w="1702" w:type="dxa"/>
            <w:gridSpan w:val="2"/>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9"/>
            <w:vMerge/>
            <w:shd w:val="clear" w:color="auto" w:fill="auto"/>
            <w:vAlign w:val="center"/>
          </w:tcPr>
          <w:p w:rsidR="00F530FE" w:rsidRPr="00EC6E12" w:rsidRDefault="00F530FE" w:rsidP="00F530FE">
            <w:pPr>
              <w:pStyle w:val="NoSpacing"/>
              <w:rPr>
                <w:rFonts w:ascii="Times New Roman" w:hAnsi="Times New Roman" w:cs="Times New Roman"/>
                <w:iCs/>
                <w:sz w:val="24"/>
                <w:szCs w:val="24"/>
                <w:lang w:eastAsia="lv-LV"/>
              </w:rPr>
            </w:pPr>
          </w:p>
        </w:tc>
      </w:tr>
      <w:tr w:rsidR="00F530FE" w:rsidTr="009547D2">
        <w:tc>
          <w:tcPr>
            <w:tcW w:w="1702" w:type="dxa"/>
            <w:gridSpan w:val="2"/>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9"/>
            <w:vMerge/>
            <w:shd w:val="clear" w:color="auto" w:fill="auto"/>
            <w:vAlign w:val="center"/>
          </w:tcPr>
          <w:p w:rsidR="00F530FE" w:rsidRPr="00EC6E12" w:rsidRDefault="00F530FE" w:rsidP="00F530FE">
            <w:pPr>
              <w:pStyle w:val="NoSpacing"/>
              <w:rPr>
                <w:rFonts w:ascii="Times New Roman" w:hAnsi="Times New Roman" w:cs="Times New Roman"/>
                <w:iCs/>
                <w:sz w:val="24"/>
                <w:szCs w:val="24"/>
                <w:lang w:eastAsia="lv-LV"/>
              </w:rPr>
            </w:pPr>
          </w:p>
        </w:tc>
      </w:tr>
      <w:tr w:rsidR="00F530FE" w:rsidTr="002074A4">
        <w:tc>
          <w:tcPr>
            <w:tcW w:w="1702" w:type="dxa"/>
            <w:gridSpan w:val="2"/>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9"/>
            <w:vAlign w:val="center"/>
          </w:tcPr>
          <w:p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A13B0E" w:rsidTr="000E6452">
        <w:tc>
          <w:tcPr>
            <w:tcW w:w="1702" w:type="dxa"/>
            <w:gridSpan w:val="2"/>
            <w:vAlign w:val="center"/>
          </w:tcPr>
          <w:p w:rsidR="00A13B0E" w:rsidRPr="00EC6E12" w:rsidRDefault="00A13B0E" w:rsidP="00A13B0E">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 xml:space="preserve">8. </w:t>
            </w:r>
            <w:r w:rsidRPr="00EC6E12">
              <w:rPr>
                <w:rFonts w:ascii="Times New Roman" w:hAnsi="Times New Roman" w:cs="Times New Roman"/>
                <w:iCs/>
                <w:sz w:val="24"/>
                <w:szCs w:val="24"/>
                <w:lang w:eastAsia="lv-LV"/>
              </w:rPr>
              <w:t>Cita informācija</w:t>
            </w:r>
          </w:p>
        </w:tc>
        <w:tc>
          <w:tcPr>
            <w:tcW w:w="7654" w:type="dxa"/>
            <w:gridSpan w:val="9"/>
            <w:tcBorders>
              <w:top w:val="outset" w:sz="4" w:space="0" w:color="auto"/>
              <w:left w:val="outset" w:sz="4" w:space="0" w:color="auto"/>
              <w:bottom w:val="outset" w:sz="4" w:space="0" w:color="auto"/>
              <w:right w:val="outset" w:sz="4" w:space="0" w:color="auto"/>
            </w:tcBorders>
          </w:tcPr>
          <w:p w:rsidR="00A13B0E" w:rsidRPr="00A13B0E" w:rsidRDefault="00A13B0E" w:rsidP="00451280">
            <w:pPr>
              <w:tabs>
                <w:tab w:val="center" w:pos="4153"/>
                <w:tab w:val="right" w:pos="8460"/>
              </w:tabs>
              <w:ind w:right="-1"/>
              <w:jc w:val="both"/>
            </w:pPr>
            <w:r w:rsidRPr="00A13B0E">
              <w:rPr>
                <w:spacing w:val="-2"/>
              </w:rPr>
              <w:t>Izdevum</w:t>
            </w:r>
            <w:r w:rsidR="001F63E4">
              <w:rPr>
                <w:spacing w:val="-2"/>
              </w:rPr>
              <w:t xml:space="preserve">i, kas segti no budžeta apakšprogrammas 06.01.00 “Valsts policija”, pēc finansējuma saņemšanas </w:t>
            </w:r>
            <w:r w:rsidRPr="00A13B0E">
              <w:rPr>
                <w:spacing w:val="-2"/>
              </w:rPr>
              <w:t xml:space="preserve">no budžeta programmas 02.00.00 </w:t>
            </w:r>
            <w:r w:rsidRPr="00A13B0E">
              <w:rPr>
                <w:bCs/>
                <w:spacing w:val="-2"/>
              </w:rPr>
              <w:t>„</w:t>
            </w:r>
            <w:r w:rsidRPr="00A13B0E">
              <w:rPr>
                <w:spacing w:val="-2"/>
              </w:rPr>
              <w:t>Līdzekļi neparedzētiem gadījumiem</w:t>
            </w:r>
            <w:r w:rsidRPr="00A13B0E">
              <w:rPr>
                <w:bCs/>
                <w:spacing w:val="-2"/>
              </w:rPr>
              <w:t>”</w:t>
            </w:r>
            <w:r w:rsidR="001F63E4">
              <w:rPr>
                <w:bCs/>
                <w:spacing w:val="-2"/>
              </w:rPr>
              <w:t>, tiks pārgrāmatoti uz budžeta programmu 99.00.00 “Līdzekļu neparedzētiem gadījumiem izlietojums</w:t>
            </w:r>
            <w:r w:rsidR="00451280">
              <w:rPr>
                <w:bCs/>
                <w:spacing w:val="-2"/>
              </w:rPr>
              <w:t>”</w:t>
            </w:r>
            <w:r w:rsidRPr="00A13B0E">
              <w:rPr>
                <w:bCs/>
                <w:spacing w:val="-2"/>
              </w:rPr>
              <w:t>.</w:t>
            </w:r>
          </w:p>
        </w:tc>
      </w:tr>
      <w:tr w:rsidR="007F6F87" w:rsidTr="006936E5">
        <w:tc>
          <w:tcPr>
            <w:tcW w:w="9356" w:type="dxa"/>
            <w:gridSpan w:val="11"/>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rsidTr="006936E5">
        <w:tc>
          <w:tcPr>
            <w:tcW w:w="9356" w:type="dxa"/>
            <w:gridSpan w:val="11"/>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r w:rsidR="007F6F87" w:rsidTr="006936E5">
        <w:tc>
          <w:tcPr>
            <w:tcW w:w="9356" w:type="dxa"/>
            <w:gridSpan w:val="11"/>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rsidTr="006936E5">
        <w:tc>
          <w:tcPr>
            <w:tcW w:w="9356" w:type="dxa"/>
            <w:gridSpan w:val="11"/>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r w:rsidR="007F6F87" w:rsidTr="006936E5">
        <w:tc>
          <w:tcPr>
            <w:tcW w:w="9356" w:type="dxa"/>
            <w:gridSpan w:val="11"/>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rsidTr="006936E5">
        <w:tc>
          <w:tcPr>
            <w:tcW w:w="9356" w:type="dxa"/>
            <w:gridSpan w:val="11"/>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r w:rsidR="007F6F87" w:rsidTr="006936E5">
        <w:tc>
          <w:tcPr>
            <w:tcW w:w="9356" w:type="dxa"/>
            <w:gridSpan w:val="11"/>
          </w:tcPr>
          <w:p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rsidTr="006936E5">
        <w:tc>
          <w:tcPr>
            <w:tcW w:w="568" w:type="dxa"/>
          </w:tcPr>
          <w:p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gridSpan w:val="4"/>
          </w:tcPr>
          <w:p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gridSpan w:val="6"/>
          </w:tcPr>
          <w:p w:rsidR="007F7D5A" w:rsidRPr="00D65792" w:rsidRDefault="00FC43C2" w:rsidP="00A13B0E">
            <w:pPr>
              <w:jc w:val="both"/>
            </w:pPr>
            <w:r>
              <w:t xml:space="preserve">Iekšlietu </w:t>
            </w:r>
            <w:r w:rsidR="007F7D5A" w:rsidRPr="00FC7F88">
              <w:t xml:space="preserve">ministrija, </w:t>
            </w:r>
            <w:r>
              <w:t>Finanšu ministrija, Valst</w:t>
            </w:r>
            <w:r w:rsidR="00A13B0E">
              <w:t>s policija</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gridSpan w:val="4"/>
          </w:tcPr>
          <w:p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gridSpan w:val="6"/>
          </w:tcPr>
          <w:p w:rsidR="0049601C" w:rsidRPr="00D65792" w:rsidRDefault="0049601C" w:rsidP="0049601C">
            <w:r w:rsidRPr="00D65792">
              <w:t>Projekts šo jomu neskar.</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gridSpan w:val="4"/>
          </w:tcPr>
          <w:p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gridSpan w:val="6"/>
          </w:tcPr>
          <w:p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rsidR="008B37B7" w:rsidRDefault="008B37B7" w:rsidP="00EC6E12">
      <w:pPr>
        <w:pStyle w:val="NoSpacing"/>
        <w:rPr>
          <w:rFonts w:ascii="Times New Roman" w:hAnsi="Times New Roman" w:cs="Times New Roman"/>
          <w:iCs/>
          <w:sz w:val="24"/>
          <w:szCs w:val="24"/>
          <w:lang w:eastAsia="lv-LV"/>
        </w:rPr>
      </w:pPr>
    </w:p>
    <w:p w:rsidR="00DF461F" w:rsidRDefault="00FC43C2" w:rsidP="00DF461F">
      <w:pPr>
        <w:ind w:right="-765"/>
        <w:rPr>
          <w:rFonts w:eastAsia="Calibri"/>
          <w:color w:val="000000" w:themeColor="text1"/>
          <w:sz w:val="28"/>
          <w:szCs w:val="28"/>
        </w:rPr>
      </w:pPr>
      <w:r>
        <w:rPr>
          <w:sz w:val="28"/>
          <w:szCs w:val="28"/>
        </w:rPr>
        <w:t xml:space="preserve">Iekšlietu </w:t>
      </w:r>
      <w:r w:rsidR="00DC2DAF">
        <w:rPr>
          <w:sz w:val="28"/>
          <w:szCs w:val="28"/>
        </w:rPr>
        <w:t>ministr</w:t>
      </w:r>
      <w:r>
        <w:rPr>
          <w:sz w:val="28"/>
          <w:szCs w:val="28"/>
        </w:rPr>
        <w:t>s</w:t>
      </w:r>
      <w:r w:rsidR="00DC2DAF">
        <w:rPr>
          <w:sz w:val="28"/>
          <w:szCs w:val="28"/>
        </w:rPr>
        <w:t xml:space="preserve"> </w:t>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proofErr w:type="gramStart"/>
      <w:r w:rsidR="0030345A">
        <w:rPr>
          <w:sz w:val="28"/>
          <w:szCs w:val="28"/>
        </w:rPr>
        <w:t xml:space="preserve">            </w:t>
      </w:r>
      <w:proofErr w:type="gramEnd"/>
      <w:r>
        <w:rPr>
          <w:sz w:val="28"/>
          <w:szCs w:val="28"/>
        </w:rPr>
        <w:t xml:space="preserve">Sandis </w:t>
      </w:r>
      <w:proofErr w:type="spellStart"/>
      <w:r>
        <w:rPr>
          <w:sz w:val="28"/>
          <w:szCs w:val="28"/>
        </w:rPr>
        <w:t>Ģirģens</w:t>
      </w:r>
      <w:proofErr w:type="spellEnd"/>
    </w:p>
    <w:p w:rsidR="00DF461F" w:rsidRDefault="00DF461F" w:rsidP="00DF461F">
      <w:pPr>
        <w:tabs>
          <w:tab w:val="left" w:pos="6237"/>
        </w:tabs>
        <w:ind w:firstLine="720"/>
        <w:rPr>
          <w:rFonts w:eastAsiaTheme="minorHAnsi"/>
          <w:sz w:val="28"/>
          <w:szCs w:val="28"/>
        </w:rPr>
      </w:pPr>
      <w:r>
        <w:rPr>
          <w:sz w:val="28"/>
          <w:szCs w:val="28"/>
        </w:rPr>
        <w:tab/>
      </w:r>
    </w:p>
    <w:p w:rsidR="00DF461F" w:rsidRDefault="00DF461F" w:rsidP="00DF461F">
      <w:pPr>
        <w:ind w:right="-765"/>
        <w:rPr>
          <w:rFonts w:eastAsia="Calibri"/>
          <w:color w:val="000000" w:themeColor="text1"/>
          <w:sz w:val="28"/>
          <w:szCs w:val="28"/>
        </w:rPr>
      </w:pPr>
    </w:p>
    <w:p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 xml:space="preserve">Vīza: </w:t>
      </w:r>
      <w:r w:rsidR="0030345A">
        <w:rPr>
          <w:rFonts w:eastAsia="Calibri"/>
          <w:color w:val="000000" w:themeColor="text1"/>
          <w:sz w:val="28"/>
          <w:szCs w:val="28"/>
        </w:rPr>
        <w:t>Valsts sekretāra pienākumu izpildītāja</w:t>
      </w:r>
      <w:proofErr w:type="gramStart"/>
      <w:r w:rsidR="0030345A">
        <w:rPr>
          <w:rFonts w:eastAsia="Calibri"/>
          <w:color w:val="000000" w:themeColor="text1"/>
          <w:sz w:val="28"/>
          <w:szCs w:val="28"/>
        </w:rPr>
        <w:t xml:space="preserve">                       </w:t>
      </w:r>
      <w:proofErr w:type="gramEnd"/>
      <w:r w:rsidR="0030345A">
        <w:rPr>
          <w:rFonts w:eastAsia="Calibri"/>
          <w:color w:val="000000" w:themeColor="text1"/>
          <w:sz w:val="28"/>
          <w:szCs w:val="28"/>
        </w:rPr>
        <w:t xml:space="preserve">Ingūna </w:t>
      </w:r>
      <w:proofErr w:type="spellStart"/>
      <w:r w:rsidR="0030345A">
        <w:rPr>
          <w:rFonts w:eastAsia="Calibri"/>
          <w:color w:val="000000" w:themeColor="text1"/>
          <w:sz w:val="28"/>
          <w:szCs w:val="28"/>
        </w:rPr>
        <w:t>Aire</w:t>
      </w:r>
      <w:proofErr w:type="spellEnd"/>
      <w:r w:rsidR="0030345A">
        <w:rPr>
          <w:rFonts w:eastAsia="Calibri"/>
          <w:color w:val="000000" w:themeColor="text1"/>
          <w:sz w:val="28"/>
          <w:szCs w:val="28"/>
        </w:rPr>
        <w:tab/>
      </w:r>
      <w:r w:rsidR="0030345A">
        <w:rPr>
          <w:rFonts w:eastAsia="Calibri"/>
          <w:color w:val="000000" w:themeColor="text1"/>
          <w:sz w:val="28"/>
          <w:szCs w:val="28"/>
        </w:rPr>
        <w:t xml:space="preserve"> </w:t>
      </w:r>
    </w:p>
    <w:p w:rsidR="00155578" w:rsidRDefault="00155578"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1F4792" w:rsidRDefault="001F4792" w:rsidP="00155578">
      <w:pPr>
        <w:pStyle w:val="NormalWeb"/>
        <w:spacing w:before="0" w:beforeAutospacing="0" w:after="0" w:afterAutospacing="0"/>
        <w:rPr>
          <w:sz w:val="20"/>
          <w:szCs w:val="20"/>
        </w:rPr>
      </w:pPr>
    </w:p>
    <w:p w:rsidR="00D8605D" w:rsidRPr="00C36A62" w:rsidRDefault="00D8605D" w:rsidP="00D8605D">
      <w:r w:rsidRPr="00C36A62">
        <w:rPr>
          <w:sz w:val="20"/>
          <w:szCs w:val="20"/>
        </w:rPr>
        <w:fldChar w:fldCharType="begin"/>
      </w:r>
      <w:r w:rsidRPr="00C36A62">
        <w:rPr>
          <w:sz w:val="20"/>
          <w:szCs w:val="20"/>
        </w:rPr>
        <w:instrText xml:space="preserve"> DATE \@ "dd'.'MM'.'yyyy'. 'H':'mm" </w:instrText>
      </w:r>
      <w:r w:rsidRPr="00C36A62">
        <w:rPr>
          <w:sz w:val="20"/>
          <w:szCs w:val="20"/>
        </w:rPr>
        <w:fldChar w:fldCharType="separate"/>
      </w:r>
      <w:r w:rsidR="0030345A">
        <w:rPr>
          <w:noProof/>
          <w:sz w:val="20"/>
          <w:szCs w:val="20"/>
        </w:rPr>
        <w:t>01.10.2020. 11:22</w:t>
      </w:r>
      <w:r w:rsidRPr="00C36A62">
        <w:rPr>
          <w:sz w:val="20"/>
          <w:szCs w:val="20"/>
        </w:rPr>
        <w:fldChar w:fldCharType="end"/>
      </w:r>
    </w:p>
    <w:p w:rsidR="00451280" w:rsidRDefault="00451280" w:rsidP="00451280">
      <w:pPr>
        <w:jc w:val="both"/>
        <w:rPr>
          <w:noProof/>
          <w:sz w:val="20"/>
          <w:szCs w:val="20"/>
        </w:rPr>
      </w:pPr>
      <w:r>
        <w:rPr>
          <w:noProof/>
          <w:sz w:val="20"/>
          <w:szCs w:val="20"/>
        </w:rPr>
        <w:t>11</w:t>
      </w:r>
      <w:r w:rsidR="00DD513C">
        <w:rPr>
          <w:noProof/>
          <w:sz w:val="20"/>
          <w:szCs w:val="20"/>
        </w:rPr>
        <w:t>6</w:t>
      </w:r>
      <w:r w:rsidR="0030345A">
        <w:rPr>
          <w:noProof/>
          <w:sz w:val="20"/>
          <w:szCs w:val="20"/>
        </w:rPr>
        <w:t>8</w:t>
      </w:r>
      <w:bookmarkStart w:id="0" w:name="_GoBack"/>
      <w:bookmarkEnd w:id="0"/>
    </w:p>
    <w:p w:rsidR="00451280" w:rsidRPr="00DE23FB" w:rsidRDefault="00451280" w:rsidP="00D73628">
      <w:pPr>
        <w:tabs>
          <w:tab w:val="left" w:pos="3115"/>
        </w:tabs>
        <w:jc w:val="both"/>
        <w:rPr>
          <w:sz w:val="20"/>
          <w:szCs w:val="20"/>
        </w:rPr>
      </w:pPr>
      <w:r>
        <w:rPr>
          <w:sz w:val="20"/>
          <w:szCs w:val="20"/>
        </w:rPr>
        <w:t xml:space="preserve">I.Dzene, </w:t>
      </w:r>
      <w:r w:rsidRPr="00A1765E">
        <w:rPr>
          <w:sz w:val="20"/>
          <w:szCs w:val="20"/>
        </w:rPr>
        <w:t>67075548</w:t>
      </w:r>
      <w:r w:rsidR="008E2069">
        <w:rPr>
          <w:sz w:val="20"/>
          <w:szCs w:val="20"/>
        </w:rPr>
        <w:tab/>
      </w:r>
    </w:p>
    <w:p w:rsidR="00451280" w:rsidRDefault="00451280" w:rsidP="00D73628">
      <w:pPr>
        <w:jc w:val="both"/>
        <w:rPr>
          <w:sz w:val="20"/>
          <w:szCs w:val="20"/>
        </w:rPr>
      </w:pPr>
      <w:r>
        <w:rPr>
          <w:sz w:val="20"/>
          <w:szCs w:val="20"/>
        </w:rPr>
        <w:t>i</w:t>
      </w:r>
      <w:r w:rsidRPr="00DE23FB">
        <w:rPr>
          <w:sz w:val="20"/>
          <w:szCs w:val="20"/>
        </w:rPr>
        <w:t>lze.dzene@vp.gov.lv</w:t>
      </w:r>
    </w:p>
    <w:sectPr w:rsidR="00451280"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FB2" w:rsidRDefault="00750FB2" w:rsidP="00894C55">
      <w:r>
        <w:separator/>
      </w:r>
    </w:p>
  </w:endnote>
  <w:endnote w:type="continuationSeparator" w:id="0">
    <w:p w:rsidR="00750FB2" w:rsidRDefault="00750FB2"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A4" w:rsidRPr="006541CB" w:rsidRDefault="006541CB" w:rsidP="006541CB">
    <w:pPr>
      <w:pStyle w:val="Footer"/>
      <w:rPr>
        <w:rFonts w:ascii="Times New Roman" w:hAnsi="Times New Roman" w:cs="Times New Roman"/>
        <w:sz w:val="20"/>
        <w:szCs w:val="20"/>
      </w:rPr>
    </w:pPr>
    <w:r w:rsidRPr="006541CB">
      <w:rPr>
        <w:rFonts w:ascii="Times New Roman" w:hAnsi="Times New Roman" w:cs="Times New Roman"/>
        <w:sz w:val="20"/>
        <w:szCs w:val="20"/>
      </w:rPr>
      <w:fldChar w:fldCharType="begin"/>
    </w:r>
    <w:r w:rsidRPr="006541CB">
      <w:rPr>
        <w:rFonts w:ascii="Times New Roman" w:hAnsi="Times New Roman" w:cs="Times New Roman"/>
        <w:sz w:val="20"/>
        <w:szCs w:val="20"/>
      </w:rPr>
      <w:instrText xml:space="preserve"> FILENAME   \* MERGEFORMAT </w:instrText>
    </w:r>
    <w:r w:rsidRPr="006541CB">
      <w:rPr>
        <w:rFonts w:ascii="Times New Roman" w:hAnsi="Times New Roman" w:cs="Times New Roman"/>
        <w:sz w:val="20"/>
        <w:szCs w:val="20"/>
      </w:rPr>
      <w:fldChar w:fldCharType="separate"/>
    </w:r>
    <w:r w:rsidR="007F70C3">
      <w:rPr>
        <w:rFonts w:ascii="Times New Roman" w:hAnsi="Times New Roman" w:cs="Times New Roman"/>
        <w:noProof/>
        <w:sz w:val="20"/>
        <w:szCs w:val="20"/>
      </w:rPr>
      <w:t>IEMAnot_</w:t>
    </w:r>
    <w:r w:rsidR="00292976">
      <w:rPr>
        <w:rFonts w:ascii="Times New Roman" w:hAnsi="Times New Roman" w:cs="Times New Roman"/>
        <w:noProof/>
        <w:sz w:val="20"/>
        <w:szCs w:val="20"/>
      </w:rPr>
      <w:t>29</w:t>
    </w:r>
    <w:r w:rsidR="00A130FC">
      <w:rPr>
        <w:rFonts w:ascii="Times New Roman" w:hAnsi="Times New Roman" w:cs="Times New Roman"/>
        <w:noProof/>
        <w:sz w:val="20"/>
        <w:szCs w:val="20"/>
      </w:rPr>
      <w:t>09</w:t>
    </w:r>
    <w:r w:rsidR="00606DCF">
      <w:rPr>
        <w:rFonts w:ascii="Times New Roman" w:hAnsi="Times New Roman" w:cs="Times New Roman"/>
        <w:noProof/>
        <w:sz w:val="20"/>
        <w:szCs w:val="20"/>
      </w:rPr>
      <w:t>20</w:t>
    </w:r>
    <w:r w:rsidR="007F70C3">
      <w:rPr>
        <w:rFonts w:ascii="Times New Roman" w:hAnsi="Times New Roman" w:cs="Times New Roman"/>
        <w:noProof/>
        <w:sz w:val="20"/>
        <w:szCs w:val="20"/>
      </w:rPr>
      <w:t>_LNG_</w:t>
    </w:r>
    <w:r w:rsidR="00606DCF">
      <w:rPr>
        <w:rFonts w:ascii="Times New Roman" w:hAnsi="Times New Roman" w:cs="Times New Roman"/>
        <w:noProof/>
        <w:sz w:val="20"/>
        <w:szCs w:val="20"/>
      </w:rPr>
      <w:t>virsstundas</w:t>
    </w:r>
    <w:r w:rsidRPr="006541CB">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3C2" w:rsidRPr="009A1F64" w:rsidRDefault="009A1F64" w:rsidP="009A1F64">
    <w:pPr>
      <w:pStyle w:val="Footer"/>
      <w:rPr>
        <w:rFonts w:ascii="Times New Roman" w:hAnsi="Times New Roman" w:cs="Times New Roman"/>
        <w:sz w:val="20"/>
        <w:szCs w:val="20"/>
      </w:rPr>
    </w:pPr>
    <w:r w:rsidRPr="009A1F64">
      <w:rPr>
        <w:rFonts w:ascii="Times New Roman" w:hAnsi="Times New Roman" w:cs="Times New Roman"/>
        <w:sz w:val="20"/>
        <w:szCs w:val="20"/>
      </w:rPr>
      <w:fldChar w:fldCharType="begin"/>
    </w:r>
    <w:r w:rsidRPr="009A1F64">
      <w:rPr>
        <w:rFonts w:ascii="Times New Roman" w:hAnsi="Times New Roman" w:cs="Times New Roman"/>
        <w:sz w:val="20"/>
        <w:szCs w:val="20"/>
      </w:rPr>
      <w:instrText xml:space="preserve"> FILENAME   \* MERGEFORMAT </w:instrText>
    </w:r>
    <w:r w:rsidRPr="009A1F64">
      <w:rPr>
        <w:rFonts w:ascii="Times New Roman" w:hAnsi="Times New Roman" w:cs="Times New Roman"/>
        <w:sz w:val="20"/>
        <w:szCs w:val="20"/>
      </w:rPr>
      <w:fldChar w:fldCharType="separate"/>
    </w:r>
    <w:r w:rsidR="007F70C3">
      <w:rPr>
        <w:rFonts w:ascii="Times New Roman" w:hAnsi="Times New Roman" w:cs="Times New Roman"/>
        <w:noProof/>
        <w:sz w:val="20"/>
        <w:szCs w:val="20"/>
      </w:rPr>
      <w:t>IEMAnot_</w:t>
    </w:r>
    <w:r w:rsidR="00292976">
      <w:rPr>
        <w:rFonts w:ascii="Times New Roman" w:hAnsi="Times New Roman" w:cs="Times New Roman"/>
        <w:noProof/>
        <w:sz w:val="20"/>
        <w:szCs w:val="20"/>
      </w:rPr>
      <w:t>29</w:t>
    </w:r>
    <w:r w:rsidR="008A1F9A">
      <w:rPr>
        <w:rFonts w:ascii="Times New Roman" w:hAnsi="Times New Roman" w:cs="Times New Roman"/>
        <w:noProof/>
        <w:sz w:val="20"/>
        <w:szCs w:val="20"/>
      </w:rPr>
      <w:t>0</w:t>
    </w:r>
    <w:r w:rsidR="00A130FC">
      <w:rPr>
        <w:rFonts w:ascii="Times New Roman" w:hAnsi="Times New Roman" w:cs="Times New Roman"/>
        <w:noProof/>
        <w:sz w:val="20"/>
        <w:szCs w:val="20"/>
      </w:rPr>
      <w:t>9</w:t>
    </w:r>
    <w:r w:rsidR="007F70C3">
      <w:rPr>
        <w:rFonts w:ascii="Times New Roman" w:hAnsi="Times New Roman" w:cs="Times New Roman"/>
        <w:noProof/>
        <w:sz w:val="20"/>
        <w:szCs w:val="20"/>
      </w:rPr>
      <w:t>20_LNG_</w:t>
    </w:r>
    <w:r w:rsidR="00606DCF">
      <w:rPr>
        <w:rFonts w:ascii="Times New Roman" w:hAnsi="Times New Roman" w:cs="Times New Roman"/>
        <w:noProof/>
        <w:sz w:val="20"/>
        <w:szCs w:val="20"/>
      </w:rPr>
      <w:t>virsstundas</w:t>
    </w:r>
    <w:r w:rsidRPr="009A1F64">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FB2" w:rsidRDefault="00750FB2" w:rsidP="00894C55">
      <w:r>
        <w:separator/>
      </w:r>
    </w:p>
  </w:footnote>
  <w:footnote w:type="continuationSeparator" w:id="0">
    <w:p w:rsidR="00750FB2" w:rsidRDefault="00750FB2" w:rsidP="00894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2074A4" w:rsidRPr="00C25B49" w:rsidRDefault="00A92CD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2074A4"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0345A">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3572"/>
    <w:multiLevelType w:val="hybridMultilevel"/>
    <w:tmpl w:val="319EFC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E606AA"/>
    <w:multiLevelType w:val="multilevel"/>
    <w:tmpl w:val="A7283530"/>
    <w:lvl w:ilvl="0">
      <w:start w:val="1"/>
      <w:numFmt w:val="decimal"/>
      <w:lvlText w:val="%1."/>
      <w:lvlJc w:val="left"/>
      <w:pPr>
        <w:ind w:left="720" w:hanging="360"/>
      </w:pPr>
      <w:rPr>
        <w:b w:val="0"/>
        <w:bCs/>
      </w:rPr>
    </w:lvl>
    <w:lvl w:ilvl="1">
      <w:start w:val="1"/>
      <w:numFmt w:val="decimal"/>
      <w:isLgl/>
      <w:lvlText w:val="%1.%2."/>
      <w:lvlJc w:val="left"/>
      <w:pPr>
        <w:ind w:left="1080" w:hanging="720"/>
      </w:pPr>
      <w:rPr>
        <w:color w:val="auto"/>
      </w:rPr>
    </w:lvl>
    <w:lvl w:ilvl="2">
      <w:start w:val="1"/>
      <w:numFmt w:val="decimal"/>
      <w:isLgl/>
      <w:lvlText w:val="%1.%2.%3."/>
      <w:lvlJc w:val="left"/>
      <w:pPr>
        <w:ind w:left="4832"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3"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CA4D3E"/>
    <w:multiLevelType w:val="hybridMultilevel"/>
    <w:tmpl w:val="FF8AF0F6"/>
    <w:lvl w:ilvl="0" w:tplc="AF3C377C">
      <w:start w:val="1"/>
      <w:numFmt w:val="bullet"/>
      <w:lvlText w:val="-"/>
      <w:lvlJc w:val="left"/>
      <w:pPr>
        <w:ind w:left="717" w:hanging="360"/>
      </w:pPr>
      <w:rPr>
        <w:rFonts w:ascii="Times New Roman" w:eastAsia="Times New Roman"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6" w15:restartNumberingAfterBreak="0">
    <w:nsid w:val="5DD74175"/>
    <w:multiLevelType w:val="hybridMultilevel"/>
    <w:tmpl w:val="E58E1AEC"/>
    <w:lvl w:ilvl="0" w:tplc="11E4B4AE">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7" w15:restartNumberingAfterBreak="0">
    <w:nsid w:val="7DC836DB"/>
    <w:multiLevelType w:val="hybridMultilevel"/>
    <w:tmpl w:val="4D5AF09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66AF"/>
    <w:rsid w:val="0000729D"/>
    <w:rsid w:val="00010109"/>
    <w:rsid w:val="00012055"/>
    <w:rsid w:val="000140B8"/>
    <w:rsid w:val="00015508"/>
    <w:rsid w:val="0002126E"/>
    <w:rsid w:val="00021774"/>
    <w:rsid w:val="00031925"/>
    <w:rsid w:val="00035CD5"/>
    <w:rsid w:val="00035E6E"/>
    <w:rsid w:val="00037257"/>
    <w:rsid w:val="00037CA6"/>
    <w:rsid w:val="0004022B"/>
    <w:rsid w:val="00041BCC"/>
    <w:rsid w:val="0004685C"/>
    <w:rsid w:val="000479E8"/>
    <w:rsid w:val="00047FF1"/>
    <w:rsid w:val="00050143"/>
    <w:rsid w:val="00051EE3"/>
    <w:rsid w:val="00055704"/>
    <w:rsid w:val="0006374D"/>
    <w:rsid w:val="00064959"/>
    <w:rsid w:val="00067B40"/>
    <w:rsid w:val="0007075A"/>
    <w:rsid w:val="0007255D"/>
    <w:rsid w:val="000746B1"/>
    <w:rsid w:val="00076EDC"/>
    <w:rsid w:val="0008043E"/>
    <w:rsid w:val="00080BB1"/>
    <w:rsid w:val="0008249D"/>
    <w:rsid w:val="00087E40"/>
    <w:rsid w:val="00092E7E"/>
    <w:rsid w:val="000946D7"/>
    <w:rsid w:val="00095F9A"/>
    <w:rsid w:val="000979F1"/>
    <w:rsid w:val="000A21B9"/>
    <w:rsid w:val="000A4002"/>
    <w:rsid w:val="000A4A1E"/>
    <w:rsid w:val="000A7DB5"/>
    <w:rsid w:val="000B0F4A"/>
    <w:rsid w:val="000B32B9"/>
    <w:rsid w:val="000B54FA"/>
    <w:rsid w:val="000C4480"/>
    <w:rsid w:val="000C568F"/>
    <w:rsid w:val="000C7E9B"/>
    <w:rsid w:val="000D04E5"/>
    <w:rsid w:val="000D069C"/>
    <w:rsid w:val="000D26B7"/>
    <w:rsid w:val="000D7BBA"/>
    <w:rsid w:val="000E0D22"/>
    <w:rsid w:val="000E6028"/>
    <w:rsid w:val="000E6D72"/>
    <w:rsid w:val="001001E8"/>
    <w:rsid w:val="00113381"/>
    <w:rsid w:val="00114A05"/>
    <w:rsid w:val="00116F95"/>
    <w:rsid w:val="00125D49"/>
    <w:rsid w:val="00127069"/>
    <w:rsid w:val="00130487"/>
    <w:rsid w:val="00133FF1"/>
    <w:rsid w:val="001360AF"/>
    <w:rsid w:val="00136376"/>
    <w:rsid w:val="00140644"/>
    <w:rsid w:val="00140AA8"/>
    <w:rsid w:val="00141039"/>
    <w:rsid w:val="001412C1"/>
    <w:rsid w:val="001416FE"/>
    <w:rsid w:val="0014341A"/>
    <w:rsid w:val="0014584E"/>
    <w:rsid w:val="0014622D"/>
    <w:rsid w:val="0015016B"/>
    <w:rsid w:val="001507E7"/>
    <w:rsid w:val="0015188C"/>
    <w:rsid w:val="00152501"/>
    <w:rsid w:val="001525D7"/>
    <w:rsid w:val="00154A6D"/>
    <w:rsid w:val="00155578"/>
    <w:rsid w:val="00157405"/>
    <w:rsid w:val="00162996"/>
    <w:rsid w:val="0016684A"/>
    <w:rsid w:val="00177A29"/>
    <w:rsid w:val="0018516A"/>
    <w:rsid w:val="001A2778"/>
    <w:rsid w:val="001A559D"/>
    <w:rsid w:val="001A5818"/>
    <w:rsid w:val="001A7F37"/>
    <w:rsid w:val="001B6C59"/>
    <w:rsid w:val="001C2F68"/>
    <w:rsid w:val="001C4FAF"/>
    <w:rsid w:val="001C5440"/>
    <w:rsid w:val="001C768D"/>
    <w:rsid w:val="001C797C"/>
    <w:rsid w:val="001C7E53"/>
    <w:rsid w:val="001D0F46"/>
    <w:rsid w:val="001D4B02"/>
    <w:rsid w:val="001D57BA"/>
    <w:rsid w:val="001D5E4E"/>
    <w:rsid w:val="001D647C"/>
    <w:rsid w:val="001D66EB"/>
    <w:rsid w:val="001D723F"/>
    <w:rsid w:val="001E37ED"/>
    <w:rsid w:val="001E7774"/>
    <w:rsid w:val="001E7EAF"/>
    <w:rsid w:val="001F1046"/>
    <w:rsid w:val="001F4792"/>
    <w:rsid w:val="001F481D"/>
    <w:rsid w:val="001F4EA3"/>
    <w:rsid w:val="001F63E4"/>
    <w:rsid w:val="001F6AC3"/>
    <w:rsid w:val="002019D8"/>
    <w:rsid w:val="00206864"/>
    <w:rsid w:val="002074A4"/>
    <w:rsid w:val="00207FDE"/>
    <w:rsid w:val="002119C3"/>
    <w:rsid w:val="00220B1B"/>
    <w:rsid w:val="00223CED"/>
    <w:rsid w:val="00230841"/>
    <w:rsid w:val="0023168A"/>
    <w:rsid w:val="00234888"/>
    <w:rsid w:val="002355FE"/>
    <w:rsid w:val="00243426"/>
    <w:rsid w:val="002506DA"/>
    <w:rsid w:val="002549F5"/>
    <w:rsid w:val="00256091"/>
    <w:rsid w:val="002655B0"/>
    <w:rsid w:val="002702EA"/>
    <w:rsid w:val="0027706F"/>
    <w:rsid w:val="00282312"/>
    <w:rsid w:val="002834FB"/>
    <w:rsid w:val="00284852"/>
    <w:rsid w:val="00284C2D"/>
    <w:rsid w:val="0028659C"/>
    <w:rsid w:val="00287A59"/>
    <w:rsid w:val="00292976"/>
    <w:rsid w:val="00293399"/>
    <w:rsid w:val="002948BA"/>
    <w:rsid w:val="002971E2"/>
    <w:rsid w:val="002A217A"/>
    <w:rsid w:val="002A5E5F"/>
    <w:rsid w:val="002B6C5A"/>
    <w:rsid w:val="002C2F41"/>
    <w:rsid w:val="002C5673"/>
    <w:rsid w:val="002C6CE2"/>
    <w:rsid w:val="002C75B1"/>
    <w:rsid w:val="002D1E95"/>
    <w:rsid w:val="002D3F58"/>
    <w:rsid w:val="002E1C05"/>
    <w:rsid w:val="002E6CE7"/>
    <w:rsid w:val="002F2DDA"/>
    <w:rsid w:val="002F32CD"/>
    <w:rsid w:val="002F7B64"/>
    <w:rsid w:val="002F7DA2"/>
    <w:rsid w:val="00303246"/>
    <w:rsid w:val="0030345A"/>
    <w:rsid w:val="00304AF6"/>
    <w:rsid w:val="003102E6"/>
    <w:rsid w:val="00310F85"/>
    <w:rsid w:val="00312097"/>
    <w:rsid w:val="00312466"/>
    <w:rsid w:val="00313AD3"/>
    <w:rsid w:val="003142B7"/>
    <w:rsid w:val="00315EA3"/>
    <w:rsid w:val="00317A20"/>
    <w:rsid w:val="00320014"/>
    <w:rsid w:val="003205CD"/>
    <w:rsid w:val="003243B6"/>
    <w:rsid w:val="0033371C"/>
    <w:rsid w:val="00334745"/>
    <w:rsid w:val="00335899"/>
    <w:rsid w:val="00340618"/>
    <w:rsid w:val="003406FA"/>
    <w:rsid w:val="00340F13"/>
    <w:rsid w:val="00341D70"/>
    <w:rsid w:val="00343820"/>
    <w:rsid w:val="00345B4F"/>
    <w:rsid w:val="00350806"/>
    <w:rsid w:val="0035140E"/>
    <w:rsid w:val="0035728D"/>
    <w:rsid w:val="003605E4"/>
    <w:rsid w:val="00360972"/>
    <w:rsid w:val="00361916"/>
    <w:rsid w:val="00362642"/>
    <w:rsid w:val="00362E82"/>
    <w:rsid w:val="00362FBD"/>
    <w:rsid w:val="003671CE"/>
    <w:rsid w:val="00367478"/>
    <w:rsid w:val="00367AB5"/>
    <w:rsid w:val="00367E06"/>
    <w:rsid w:val="00372ACB"/>
    <w:rsid w:val="00380C6D"/>
    <w:rsid w:val="003851C2"/>
    <w:rsid w:val="003874BB"/>
    <w:rsid w:val="003903BF"/>
    <w:rsid w:val="003B0BF9"/>
    <w:rsid w:val="003B76AB"/>
    <w:rsid w:val="003C0235"/>
    <w:rsid w:val="003C2624"/>
    <w:rsid w:val="003C7AEA"/>
    <w:rsid w:val="003D23E3"/>
    <w:rsid w:val="003D3453"/>
    <w:rsid w:val="003D4330"/>
    <w:rsid w:val="003D6DD6"/>
    <w:rsid w:val="003E0403"/>
    <w:rsid w:val="003E0791"/>
    <w:rsid w:val="003E0FF4"/>
    <w:rsid w:val="003E4147"/>
    <w:rsid w:val="003F1F2D"/>
    <w:rsid w:val="003F2855"/>
    <w:rsid w:val="003F28AC"/>
    <w:rsid w:val="003F448E"/>
    <w:rsid w:val="003F66CA"/>
    <w:rsid w:val="00401F30"/>
    <w:rsid w:val="00403A2F"/>
    <w:rsid w:val="0041654D"/>
    <w:rsid w:val="00417A7A"/>
    <w:rsid w:val="00420133"/>
    <w:rsid w:val="004203DF"/>
    <w:rsid w:val="004211F6"/>
    <w:rsid w:val="00421EB1"/>
    <w:rsid w:val="00431C39"/>
    <w:rsid w:val="0043377F"/>
    <w:rsid w:val="00434F5B"/>
    <w:rsid w:val="00435568"/>
    <w:rsid w:val="0043765E"/>
    <w:rsid w:val="0044255B"/>
    <w:rsid w:val="004454FE"/>
    <w:rsid w:val="00451280"/>
    <w:rsid w:val="00451F79"/>
    <w:rsid w:val="00452463"/>
    <w:rsid w:val="00454E00"/>
    <w:rsid w:val="00456E40"/>
    <w:rsid w:val="00457039"/>
    <w:rsid w:val="004622AB"/>
    <w:rsid w:val="00463B4E"/>
    <w:rsid w:val="00467DE3"/>
    <w:rsid w:val="00470506"/>
    <w:rsid w:val="00470591"/>
    <w:rsid w:val="00470ECD"/>
    <w:rsid w:val="00471F27"/>
    <w:rsid w:val="00475F37"/>
    <w:rsid w:val="00485E78"/>
    <w:rsid w:val="0048753C"/>
    <w:rsid w:val="004875DD"/>
    <w:rsid w:val="00493BF2"/>
    <w:rsid w:val="00494F80"/>
    <w:rsid w:val="00495760"/>
    <w:rsid w:val="0049601C"/>
    <w:rsid w:val="004B3A28"/>
    <w:rsid w:val="004B5A63"/>
    <w:rsid w:val="004C1FE7"/>
    <w:rsid w:val="004C44A1"/>
    <w:rsid w:val="004D2294"/>
    <w:rsid w:val="004D6991"/>
    <w:rsid w:val="004D7640"/>
    <w:rsid w:val="004E0175"/>
    <w:rsid w:val="004E1BA2"/>
    <w:rsid w:val="004E282B"/>
    <w:rsid w:val="004E29AE"/>
    <w:rsid w:val="004E2E39"/>
    <w:rsid w:val="004F0343"/>
    <w:rsid w:val="004F25A1"/>
    <w:rsid w:val="004F7DEC"/>
    <w:rsid w:val="005012D3"/>
    <w:rsid w:val="0050178F"/>
    <w:rsid w:val="00502D97"/>
    <w:rsid w:val="0050515E"/>
    <w:rsid w:val="005109D3"/>
    <w:rsid w:val="005169EA"/>
    <w:rsid w:val="00520FE1"/>
    <w:rsid w:val="00521BE0"/>
    <w:rsid w:val="005242EC"/>
    <w:rsid w:val="00526ADC"/>
    <w:rsid w:val="00526E2C"/>
    <w:rsid w:val="00527D8B"/>
    <w:rsid w:val="00533206"/>
    <w:rsid w:val="005349F0"/>
    <w:rsid w:val="00535C88"/>
    <w:rsid w:val="00541371"/>
    <w:rsid w:val="005534E6"/>
    <w:rsid w:val="00553E16"/>
    <w:rsid w:val="00562490"/>
    <w:rsid w:val="00564C6B"/>
    <w:rsid w:val="005650FB"/>
    <w:rsid w:val="0056696D"/>
    <w:rsid w:val="00566AD6"/>
    <w:rsid w:val="005728A3"/>
    <w:rsid w:val="00577052"/>
    <w:rsid w:val="005805C4"/>
    <w:rsid w:val="00580732"/>
    <w:rsid w:val="005826B6"/>
    <w:rsid w:val="005856D9"/>
    <w:rsid w:val="00592966"/>
    <w:rsid w:val="00594B91"/>
    <w:rsid w:val="005A4F3F"/>
    <w:rsid w:val="005B1660"/>
    <w:rsid w:val="005B3246"/>
    <w:rsid w:val="005C0023"/>
    <w:rsid w:val="005C5A84"/>
    <w:rsid w:val="005D34DD"/>
    <w:rsid w:val="005D54F2"/>
    <w:rsid w:val="005D68A5"/>
    <w:rsid w:val="005E25B2"/>
    <w:rsid w:val="005E5FFC"/>
    <w:rsid w:val="005E6BDC"/>
    <w:rsid w:val="005F0566"/>
    <w:rsid w:val="005F4FE2"/>
    <w:rsid w:val="005F7BA4"/>
    <w:rsid w:val="006043EA"/>
    <w:rsid w:val="00606DCF"/>
    <w:rsid w:val="0061155F"/>
    <w:rsid w:val="00615507"/>
    <w:rsid w:val="00620A4B"/>
    <w:rsid w:val="006232F5"/>
    <w:rsid w:val="00626AC5"/>
    <w:rsid w:val="00627631"/>
    <w:rsid w:val="00632FE4"/>
    <w:rsid w:val="006335C0"/>
    <w:rsid w:val="006357FE"/>
    <w:rsid w:val="00635B83"/>
    <w:rsid w:val="0064126F"/>
    <w:rsid w:val="0064127B"/>
    <w:rsid w:val="00642E89"/>
    <w:rsid w:val="0064498B"/>
    <w:rsid w:val="00644B15"/>
    <w:rsid w:val="00646244"/>
    <w:rsid w:val="0064653C"/>
    <w:rsid w:val="00647B3D"/>
    <w:rsid w:val="006538AC"/>
    <w:rsid w:val="006541CB"/>
    <w:rsid w:val="00655F2C"/>
    <w:rsid w:val="0065758B"/>
    <w:rsid w:val="00663570"/>
    <w:rsid w:val="00663AF4"/>
    <w:rsid w:val="0066441B"/>
    <w:rsid w:val="00665761"/>
    <w:rsid w:val="0066594E"/>
    <w:rsid w:val="0066749E"/>
    <w:rsid w:val="0067466F"/>
    <w:rsid w:val="00681F74"/>
    <w:rsid w:val="006842C0"/>
    <w:rsid w:val="00685E0B"/>
    <w:rsid w:val="006936E5"/>
    <w:rsid w:val="006A31D0"/>
    <w:rsid w:val="006A3331"/>
    <w:rsid w:val="006A479C"/>
    <w:rsid w:val="006A4B9B"/>
    <w:rsid w:val="006A4BF8"/>
    <w:rsid w:val="006A5A9B"/>
    <w:rsid w:val="006A5DEF"/>
    <w:rsid w:val="006B221B"/>
    <w:rsid w:val="006B490A"/>
    <w:rsid w:val="006C0EB5"/>
    <w:rsid w:val="006C12A6"/>
    <w:rsid w:val="006C219D"/>
    <w:rsid w:val="006C2DFF"/>
    <w:rsid w:val="006C4E40"/>
    <w:rsid w:val="006C7AE7"/>
    <w:rsid w:val="006D1AB3"/>
    <w:rsid w:val="006D4250"/>
    <w:rsid w:val="006E0366"/>
    <w:rsid w:val="006E1081"/>
    <w:rsid w:val="006E587D"/>
    <w:rsid w:val="006E71F7"/>
    <w:rsid w:val="006F09C2"/>
    <w:rsid w:val="006F0FC6"/>
    <w:rsid w:val="006F193F"/>
    <w:rsid w:val="006F265C"/>
    <w:rsid w:val="006F4690"/>
    <w:rsid w:val="006F56B9"/>
    <w:rsid w:val="00701AC4"/>
    <w:rsid w:val="00702CFD"/>
    <w:rsid w:val="00707161"/>
    <w:rsid w:val="00714300"/>
    <w:rsid w:val="00715C0C"/>
    <w:rsid w:val="00717FAF"/>
    <w:rsid w:val="00720585"/>
    <w:rsid w:val="00720987"/>
    <w:rsid w:val="00726660"/>
    <w:rsid w:val="007272A8"/>
    <w:rsid w:val="00727895"/>
    <w:rsid w:val="00740D0B"/>
    <w:rsid w:val="00740EEA"/>
    <w:rsid w:val="00742254"/>
    <w:rsid w:val="00742F60"/>
    <w:rsid w:val="007441D5"/>
    <w:rsid w:val="00746399"/>
    <w:rsid w:val="0074680C"/>
    <w:rsid w:val="00750D89"/>
    <w:rsid w:val="00750FB2"/>
    <w:rsid w:val="00751927"/>
    <w:rsid w:val="007533E7"/>
    <w:rsid w:val="007606BC"/>
    <w:rsid w:val="007606BD"/>
    <w:rsid w:val="00765B2E"/>
    <w:rsid w:val="00766BFA"/>
    <w:rsid w:val="00773AF6"/>
    <w:rsid w:val="00773EC6"/>
    <w:rsid w:val="00775BC3"/>
    <w:rsid w:val="00776EE7"/>
    <w:rsid w:val="00780184"/>
    <w:rsid w:val="00780D1B"/>
    <w:rsid w:val="00781317"/>
    <w:rsid w:val="00782C47"/>
    <w:rsid w:val="0079260F"/>
    <w:rsid w:val="00793180"/>
    <w:rsid w:val="00795F71"/>
    <w:rsid w:val="007A0DA7"/>
    <w:rsid w:val="007A3F62"/>
    <w:rsid w:val="007A7695"/>
    <w:rsid w:val="007A7826"/>
    <w:rsid w:val="007B1C39"/>
    <w:rsid w:val="007B1D31"/>
    <w:rsid w:val="007B3917"/>
    <w:rsid w:val="007B3A0F"/>
    <w:rsid w:val="007B4E09"/>
    <w:rsid w:val="007B7A0E"/>
    <w:rsid w:val="007D632A"/>
    <w:rsid w:val="007D695F"/>
    <w:rsid w:val="007D6D57"/>
    <w:rsid w:val="007E06B4"/>
    <w:rsid w:val="007E3BCE"/>
    <w:rsid w:val="007E4DF3"/>
    <w:rsid w:val="007E5F7A"/>
    <w:rsid w:val="007E6AAA"/>
    <w:rsid w:val="007E73AB"/>
    <w:rsid w:val="007F2EF9"/>
    <w:rsid w:val="007F6F87"/>
    <w:rsid w:val="007F70C3"/>
    <w:rsid w:val="007F7D5A"/>
    <w:rsid w:val="0080508B"/>
    <w:rsid w:val="008055ED"/>
    <w:rsid w:val="00805F4C"/>
    <w:rsid w:val="00811F73"/>
    <w:rsid w:val="00816479"/>
    <w:rsid w:val="008168AC"/>
    <w:rsid w:val="00816C11"/>
    <w:rsid w:val="00817B91"/>
    <w:rsid w:val="00822C45"/>
    <w:rsid w:val="00824A17"/>
    <w:rsid w:val="008256CB"/>
    <w:rsid w:val="00830B14"/>
    <w:rsid w:val="00831629"/>
    <w:rsid w:val="00840EE9"/>
    <w:rsid w:val="00842113"/>
    <w:rsid w:val="00842AD1"/>
    <w:rsid w:val="0084541E"/>
    <w:rsid w:val="008470F2"/>
    <w:rsid w:val="00851D8B"/>
    <w:rsid w:val="0085714D"/>
    <w:rsid w:val="00860032"/>
    <w:rsid w:val="00861998"/>
    <w:rsid w:val="00863DCA"/>
    <w:rsid w:val="00866A10"/>
    <w:rsid w:val="00867737"/>
    <w:rsid w:val="008729AF"/>
    <w:rsid w:val="00874A6E"/>
    <w:rsid w:val="00875194"/>
    <w:rsid w:val="0087595E"/>
    <w:rsid w:val="00875A9D"/>
    <w:rsid w:val="00877646"/>
    <w:rsid w:val="00880941"/>
    <w:rsid w:val="008870FC"/>
    <w:rsid w:val="00891AF0"/>
    <w:rsid w:val="00891CFD"/>
    <w:rsid w:val="00894C55"/>
    <w:rsid w:val="008954E8"/>
    <w:rsid w:val="00896510"/>
    <w:rsid w:val="00896A9B"/>
    <w:rsid w:val="00896B28"/>
    <w:rsid w:val="008A1F9A"/>
    <w:rsid w:val="008A5E17"/>
    <w:rsid w:val="008A66C9"/>
    <w:rsid w:val="008B37B7"/>
    <w:rsid w:val="008C1794"/>
    <w:rsid w:val="008C2003"/>
    <w:rsid w:val="008C563B"/>
    <w:rsid w:val="008C6B6B"/>
    <w:rsid w:val="008C7E5C"/>
    <w:rsid w:val="008D16B8"/>
    <w:rsid w:val="008D372B"/>
    <w:rsid w:val="008E09D7"/>
    <w:rsid w:val="008E2069"/>
    <w:rsid w:val="008E4FC1"/>
    <w:rsid w:val="008E61BF"/>
    <w:rsid w:val="008F2F2C"/>
    <w:rsid w:val="008F504A"/>
    <w:rsid w:val="008F5220"/>
    <w:rsid w:val="0090017B"/>
    <w:rsid w:val="00900815"/>
    <w:rsid w:val="00903694"/>
    <w:rsid w:val="00904B72"/>
    <w:rsid w:val="00910BAE"/>
    <w:rsid w:val="009115E9"/>
    <w:rsid w:val="0091192F"/>
    <w:rsid w:val="00912458"/>
    <w:rsid w:val="0091488A"/>
    <w:rsid w:val="0091740C"/>
    <w:rsid w:val="00922C9E"/>
    <w:rsid w:val="00922E9E"/>
    <w:rsid w:val="009271C0"/>
    <w:rsid w:val="00931C65"/>
    <w:rsid w:val="00931F74"/>
    <w:rsid w:val="009337F9"/>
    <w:rsid w:val="00934582"/>
    <w:rsid w:val="009367F3"/>
    <w:rsid w:val="0094176A"/>
    <w:rsid w:val="00945CE6"/>
    <w:rsid w:val="009505DA"/>
    <w:rsid w:val="00950BF1"/>
    <w:rsid w:val="00950DF4"/>
    <w:rsid w:val="00952108"/>
    <w:rsid w:val="009521A5"/>
    <w:rsid w:val="00952FE1"/>
    <w:rsid w:val="009547D2"/>
    <w:rsid w:val="00960937"/>
    <w:rsid w:val="009644BB"/>
    <w:rsid w:val="00966B5F"/>
    <w:rsid w:val="00972E35"/>
    <w:rsid w:val="009740EA"/>
    <w:rsid w:val="009741D2"/>
    <w:rsid w:val="009848EA"/>
    <w:rsid w:val="00986BC6"/>
    <w:rsid w:val="009870A7"/>
    <w:rsid w:val="009907E2"/>
    <w:rsid w:val="009936B8"/>
    <w:rsid w:val="00994415"/>
    <w:rsid w:val="009A0037"/>
    <w:rsid w:val="009A0228"/>
    <w:rsid w:val="009A1F64"/>
    <w:rsid w:val="009A2654"/>
    <w:rsid w:val="009A38DD"/>
    <w:rsid w:val="009A3DDC"/>
    <w:rsid w:val="009A6794"/>
    <w:rsid w:val="009B0CA2"/>
    <w:rsid w:val="009B32C7"/>
    <w:rsid w:val="009B37C5"/>
    <w:rsid w:val="009B61EE"/>
    <w:rsid w:val="009B7770"/>
    <w:rsid w:val="009C15CF"/>
    <w:rsid w:val="009D5858"/>
    <w:rsid w:val="009E1A8B"/>
    <w:rsid w:val="009E1CDA"/>
    <w:rsid w:val="009E38B2"/>
    <w:rsid w:val="009E53FF"/>
    <w:rsid w:val="009F0F42"/>
    <w:rsid w:val="009F25E7"/>
    <w:rsid w:val="009F2D30"/>
    <w:rsid w:val="009F32DB"/>
    <w:rsid w:val="00A02309"/>
    <w:rsid w:val="00A0244D"/>
    <w:rsid w:val="00A03A77"/>
    <w:rsid w:val="00A07BD4"/>
    <w:rsid w:val="00A10FC3"/>
    <w:rsid w:val="00A12966"/>
    <w:rsid w:val="00A130FC"/>
    <w:rsid w:val="00A13B0E"/>
    <w:rsid w:val="00A16B22"/>
    <w:rsid w:val="00A2384C"/>
    <w:rsid w:val="00A2399C"/>
    <w:rsid w:val="00A25C20"/>
    <w:rsid w:val="00A25EBA"/>
    <w:rsid w:val="00A35E02"/>
    <w:rsid w:val="00A364B7"/>
    <w:rsid w:val="00A406EF"/>
    <w:rsid w:val="00A4347B"/>
    <w:rsid w:val="00A533ED"/>
    <w:rsid w:val="00A53F16"/>
    <w:rsid w:val="00A57B21"/>
    <w:rsid w:val="00A6073E"/>
    <w:rsid w:val="00A60D70"/>
    <w:rsid w:val="00A61146"/>
    <w:rsid w:val="00A772AD"/>
    <w:rsid w:val="00A80382"/>
    <w:rsid w:val="00A80FDB"/>
    <w:rsid w:val="00A85518"/>
    <w:rsid w:val="00A92096"/>
    <w:rsid w:val="00A92CD4"/>
    <w:rsid w:val="00A935DA"/>
    <w:rsid w:val="00A93640"/>
    <w:rsid w:val="00AA14D3"/>
    <w:rsid w:val="00AA1B0C"/>
    <w:rsid w:val="00AA1EFC"/>
    <w:rsid w:val="00AA4209"/>
    <w:rsid w:val="00AA4648"/>
    <w:rsid w:val="00AA55ED"/>
    <w:rsid w:val="00AB35AD"/>
    <w:rsid w:val="00AB6561"/>
    <w:rsid w:val="00AC50B8"/>
    <w:rsid w:val="00AC50CF"/>
    <w:rsid w:val="00AC5884"/>
    <w:rsid w:val="00AC58B1"/>
    <w:rsid w:val="00AD0171"/>
    <w:rsid w:val="00AE1295"/>
    <w:rsid w:val="00AE3F78"/>
    <w:rsid w:val="00AE5567"/>
    <w:rsid w:val="00AE73AA"/>
    <w:rsid w:val="00AF1239"/>
    <w:rsid w:val="00AF3AB8"/>
    <w:rsid w:val="00AF7C42"/>
    <w:rsid w:val="00B02F1B"/>
    <w:rsid w:val="00B07343"/>
    <w:rsid w:val="00B111F9"/>
    <w:rsid w:val="00B1213A"/>
    <w:rsid w:val="00B130ED"/>
    <w:rsid w:val="00B15FDD"/>
    <w:rsid w:val="00B16480"/>
    <w:rsid w:val="00B2165C"/>
    <w:rsid w:val="00B22B77"/>
    <w:rsid w:val="00B24C87"/>
    <w:rsid w:val="00B2576B"/>
    <w:rsid w:val="00B25909"/>
    <w:rsid w:val="00B25BAC"/>
    <w:rsid w:val="00B31BDD"/>
    <w:rsid w:val="00B34AB7"/>
    <w:rsid w:val="00B40D44"/>
    <w:rsid w:val="00B46B52"/>
    <w:rsid w:val="00B47986"/>
    <w:rsid w:val="00B55FBB"/>
    <w:rsid w:val="00B5648E"/>
    <w:rsid w:val="00B622AD"/>
    <w:rsid w:val="00B6729B"/>
    <w:rsid w:val="00B67377"/>
    <w:rsid w:val="00B716E9"/>
    <w:rsid w:val="00B739F3"/>
    <w:rsid w:val="00B8149C"/>
    <w:rsid w:val="00B83DE2"/>
    <w:rsid w:val="00B83EC8"/>
    <w:rsid w:val="00B84835"/>
    <w:rsid w:val="00B91FC6"/>
    <w:rsid w:val="00B9226B"/>
    <w:rsid w:val="00B927DC"/>
    <w:rsid w:val="00BA104A"/>
    <w:rsid w:val="00BA20AA"/>
    <w:rsid w:val="00BA2942"/>
    <w:rsid w:val="00BA33EF"/>
    <w:rsid w:val="00BA4D7E"/>
    <w:rsid w:val="00BA7BA7"/>
    <w:rsid w:val="00BB15E3"/>
    <w:rsid w:val="00BB6937"/>
    <w:rsid w:val="00BD3CD6"/>
    <w:rsid w:val="00BD4425"/>
    <w:rsid w:val="00BD7F5E"/>
    <w:rsid w:val="00BE7C51"/>
    <w:rsid w:val="00BE7DC1"/>
    <w:rsid w:val="00BF02AF"/>
    <w:rsid w:val="00BF2A90"/>
    <w:rsid w:val="00C0281A"/>
    <w:rsid w:val="00C02AE6"/>
    <w:rsid w:val="00C03C0C"/>
    <w:rsid w:val="00C05E15"/>
    <w:rsid w:val="00C07AF6"/>
    <w:rsid w:val="00C10270"/>
    <w:rsid w:val="00C1281F"/>
    <w:rsid w:val="00C200B1"/>
    <w:rsid w:val="00C24A45"/>
    <w:rsid w:val="00C24D49"/>
    <w:rsid w:val="00C25B49"/>
    <w:rsid w:val="00C264A6"/>
    <w:rsid w:val="00C264EF"/>
    <w:rsid w:val="00C26520"/>
    <w:rsid w:val="00C30F18"/>
    <w:rsid w:val="00C348FC"/>
    <w:rsid w:val="00C34C39"/>
    <w:rsid w:val="00C35679"/>
    <w:rsid w:val="00C35C79"/>
    <w:rsid w:val="00C36745"/>
    <w:rsid w:val="00C36EA7"/>
    <w:rsid w:val="00C42475"/>
    <w:rsid w:val="00C43873"/>
    <w:rsid w:val="00C468ED"/>
    <w:rsid w:val="00C47037"/>
    <w:rsid w:val="00C51905"/>
    <w:rsid w:val="00C53849"/>
    <w:rsid w:val="00C55F33"/>
    <w:rsid w:val="00C56F75"/>
    <w:rsid w:val="00C66852"/>
    <w:rsid w:val="00C676A2"/>
    <w:rsid w:val="00C722A3"/>
    <w:rsid w:val="00C77477"/>
    <w:rsid w:val="00C83131"/>
    <w:rsid w:val="00C8678C"/>
    <w:rsid w:val="00C9634E"/>
    <w:rsid w:val="00CA1AEE"/>
    <w:rsid w:val="00CA747D"/>
    <w:rsid w:val="00CB0786"/>
    <w:rsid w:val="00CB1824"/>
    <w:rsid w:val="00CB19C9"/>
    <w:rsid w:val="00CB58B0"/>
    <w:rsid w:val="00CB6BA4"/>
    <w:rsid w:val="00CC0982"/>
    <w:rsid w:val="00CC0D2D"/>
    <w:rsid w:val="00CC4FDB"/>
    <w:rsid w:val="00CC720B"/>
    <w:rsid w:val="00CD2F04"/>
    <w:rsid w:val="00CD44BF"/>
    <w:rsid w:val="00CE5657"/>
    <w:rsid w:val="00CE744E"/>
    <w:rsid w:val="00CF262B"/>
    <w:rsid w:val="00CF3D9F"/>
    <w:rsid w:val="00CF6439"/>
    <w:rsid w:val="00CF7143"/>
    <w:rsid w:val="00D01A6E"/>
    <w:rsid w:val="00D02DDA"/>
    <w:rsid w:val="00D03ADD"/>
    <w:rsid w:val="00D053D2"/>
    <w:rsid w:val="00D12358"/>
    <w:rsid w:val="00D133F8"/>
    <w:rsid w:val="00D138E7"/>
    <w:rsid w:val="00D14A3E"/>
    <w:rsid w:val="00D21D7F"/>
    <w:rsid w:val="00D22281"/>
    <w:rsid w:val="00D24501"/>
    <w:rsid w:val="00D24640"/>
    <w:rsid w:val="00D37AAD"/>
    <w:rsid w:val="00D4052F"/>
    <w:rsid w:val="00D4751F"/>
    <w:rsid w:val="00D50278"/>
    <w:rsid w:val="00D507E2"/>
    <w:rsid w:val="00D548C7"/>
    <w:rsid w:val="00D56A82"/>
    <w:rsid w:val="00D56F78"/>
    <w:rsid w:val="00D60473"/>
    <w:rsid w:val="00D73628"/>
    <w:rsid w:val="00D857CF"/>
    <w:rsid w:val="00D8605D"/>
    <w:rsid w:val="00D900BB"/>
    <w:rsid w:val="00D903DA"/>
    <w:rsid w:val="00D92E60"/>
    <w:rsid w:val="00DB079D"/>
    <w:rsid w:val="00DB1AB8"/>
    <w:rsid w:val="00DB2F67"/>
    <w:rsid w:val="00DB423E"/>
    <w:rsid w:val="00DB50C9"/>
    <w:rsid w:val="00DB6C09"/>
    <w:rsid w:val="00DC09E9"/>
    <w:rsid w:val="00DC2DAF"/>
    <w:rsid w:val="00DC4012"/>
    <w:rsid w:val="00DC5AA3"/>
    <w:rsid w:val="00DC5EDB"/>
    <w:rsid w:val="00DC6B64"/>
    <w:rsid w:val="00DC7938"/>
    <w:rsid w:val="00DD3BCF"/>
    <w:rsid w:val="00DD4186"/>
    <w:rsid w:val="00DD513C"/>
    <w:rsid w:val="00DD5E1F"/>
    <w:rsid w:val="00DE042D"/>
    <w:rsid w:val="00DE07F2"/>
    <w:rsid w:val="00DF027E"/>
    <w:rsid w:val="00DF461F"/>
    <w:rsid w:val="00DF5C02"/>
    <w:rsid w:val="00DF68F8"/>
    <w:rsid w:val="00DF776E"/>
    <w:rsid w:val="00DF77D6"/>
    <w:rsid w:val="00E0045B"/>
    <w:rsid w:val="00E01657"/>
    <w:rsid w:val="00E04A9C"/>
    <w:rsid w:val="00E21304"/>
    <w:rsid w:val="00E31F13"/>
    <w:rsid w:val="00E32710"/>
    <w:rsid w:val="00E3716B"/>
    <w:rsid w:val="00E374E1"/>
    <w:rsid w:val="00E4149D"/>
    <w:rsid w:val="00E465CE"/>
    <w:rsid w:val="00E51795"/>
    <w:rsid w:val="00E5323B"/>
    <w:rsid w:val="00E53D86"/>
    <w:rsid w:val="00E560D2"/>
    <w:rsid w:val="00E60A79"/>
    <w:rsid w:val="00E67EAF"/>
    <w:rsid w:val="00E71E92"/>
    <w:rsid w:val="00E742DF"/>
    <w:rsid w:val="00E751EA"/>
    <w:rsid w:val="00E81321"/>
    <w:rsid w:val="00E8749E"/>
    <w:rsid w:val="00E874D8"/>
    <w:rsid w:val="00E90C01"/>
    <w:rsid w:val="00E90D0B"/>
    <w:rsid w:val="00E95948"/>
    <w:rsid w:val="00E96DC6"/>
    <w:rsid w:val="00E97680"/>
    <w:rsid w:val="00EA0908"/>
    <w:rsid w:val="00EA130F"/>
    <w:rsid w:val="00EA486E"/>
    <w:rsid w:val="00EA5229"/>
    <w:rsid w:val="00EB17D4"/>
    <w:rsid w:val="00EB32C5"/>
    <w:rsid w:val="00EB3AFC"/>
    <w:rsid w:val="00EB49A7"/>
    <w:rsid w:val="00EB5771"/>
    <w:rsid w:val="00EC1502"/>
    <w:rsid w:val="00EC4886"/>
    <w:rsid w:val="00EC6E12"/>
    <w:rsid w:val="00EC766A"/>
    <w:rsid w:val="00ED25EE"/>
    <w:rsid w:val="00ED2D59"/>
    <w:rsid w:val="00ED5F8C"/>
    <w:rsid w:val="00EE0AC0"/>
    <w:rsid w:val="00EE2F62"/>
    <w:rsid w:val="00EE55C1"/>
    <w:rsid w:val="00EE5AD9"/>
    <w:rsid w:val="00EE6183"/>
    <w:rsid w:val="00EE79BA"/>
    <w:rsid w:val="00EF000C"/>
    <w:rsid w:val="00EF5C80"/>
    <w:rsid w:val="00F00B5E"/>
    <w:rsid w:val="00F01AE4"/>
    <w:rsid w:val="00F01E73"/>
    <w:rsid w:val="00F04C70"/>
    <w:rsid w:val="00F05142"/>
    <w:rsid w:val="00F12351"/>
    <w:rsid w:val="00F12E92"/>
    <w:rsid w:val="00F145E9"/>
    <w:rsid w:val="00F14A00"/>
    <w:rsid w:val="00F15482"/>
    <w:rsid w:val="00F160EC"/>
    <w:rsid w:val="00F177FE"/>
    <w:rsid w:val="00F17FDC"/>
    <w:rsid w:val="00F217EA"/>
    <w:rsid w:val="00F26232"/>
    <w:rsid w:val="00F277CC"/>
    <w:rsid w:val="00F3460D"/>
    <w:rsid w:val="00F464CE"/>
    <w:rsid w:val="00F530FE"/>
    <w:rsid w:val="00F54E13"/>
    <w:rsid w:val="00F57AC1"/>
    <w:rsid w:val="00F57B0C"/>
    <w:rsid w:val="00F600E6"/>
    <w:rsid w:val="00F62529"/>
    <w:rsid w:val="00F679E9"/>
    <w:rsid w:val="00F67B4B"/>
    <w:rsid w:val="00F72D88"/>
    <w:rsid w:val="00F77376"/>
    <w:rsid w:val="00F77F67"/>
    <w:rsid w:val="00F8145B"/>
    <w:rsid w:val="00F82318"/>
    <w:rsid w:val="00F85BFB"/>
    <w:rsid w:val="00F85DC5"/>
    <w:rsid w:val="00F87284"/>
    <w:rsid w:val="00F87CAE"/>
    <w:rsid w:val="00F93D8D"/>
    <w:rsid w:val="00F95701"/>
    <w:rsid w:val="00F96ED0"/>
    <w:rsid w:val="00FA2114"/>
    <w:rsid w:val="00FA3473"/>
    <w:rsid w:val="00FA5D3C"/>
    <w:rsid w:val="00FB4965"/>
    <w:rsid w:val="00FC3FDB"/>
    <w:rsid w:val="00FC43C2"/>
    <w:rsid w:val="00FC7F88"/>
    <w:rsid w:val="00FD3303"/>
    <w:rsid w:val="00FD48F3"/>
    <w:rsid w:val="00FE01C3"/>
    <w:rsid w:val="00FE5BDE"/>
    <w:rsid w:val="00FE71B1"/>
    <w:rsid w:val="00FF3A1B"/>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32769"/>
    <o:shapelayout v:ext="edit">
      <o:idmap v:ext="edit" data="1"/>
    </o:shapelayout>
  </w:shapeDefaults>
  <w:decimalSymbol w:val=","/>
  <w:listSeparator w:val=";"/>
  <w15:docId w15:val="{6707F922-B99B-4118-A73A-0C01373E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207FD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semiHidden/>
    <w:unhideWhenUsed/>
    <w:rsid w:val="00877646"/>
    <w:rPr>
      <w:sz w:val="20"/>
      <w:szCs w:val="20"/>
    </w:rPr>
  </w:style>
  <w:style w:type="character" w:customStyle="1" w:styleId="CommentTextChar">
    <w:name w:val="Comment Text Char"/>
    <w:basedOn w:val="DefaultParagraphFont"/>
    <w:link w:val="CommentText"/>
    <w:uiPriority w:val="99"/>
    <w:semiHidden/>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paragraph" w:styleId="HTMLPreformatted">
    <w:name w:val="HTML Preformatted"/>
    <w:basedOn w:val="Normal"/>
    <w:link w:val="HTMLPreformattedChar"/>
    <w:uiPriority w:val="99"/>
    <w:semiHidden/>
    <w:unhideWhenUsed/>
    <w:rsid w:val="0012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25D49"/>
    <w:rPr>
      <w:rFonts w:ascii="Courier New" w:eastAsia="Times New Roman" w:hAnsi="Courier New" w:cs="Courier New"/>
      <w:sz w:val="20"/>
      <w:szCs w:val="20"/>
      <w:lang w:eastAsia="lv-LV"/>
    </w:rPr>
  </w:style>
  <w:style w:type="character" w:styleId="Emphasis">
    <w:name w:val="Emphasis"/>
    <w:basedOn w:val="DefaultParagraphFont"/>
    <w:uiPriority w:val="20"/>
    <w:qFormat/>
    <w:rsid w:val="002655B0"/>
    <w:rPr>
      <w:i/>
      <w:iCs/>
    </w:rPr>
  </w:style>
  <w:style w:type="paragraph" w:customStyle="1" w:styleId="s4">
    <w:name w:val="s4"/>
    <w:basedOn w:val="Normal"/>
    <w:rsid w:val="00D053D2"/>
    <w:pPr>
      <w:spacing w:before="100" w:beforeAutospacing="1" w:after="100" w:afterAutospacing="1"/>
    </w:pPr>
  </w:style>
  <w:style w:type="character" w:customStyle="1" w:styleId="bumpedfont15">
    <w:name w:val="bumpedfont15"/>
    <w:basedOn w:val="DefaultParagraphFont"/>
    <w:rsid w:val="00D053D2"/>
  </w:style>
  <w:style w:type="character" w:customStyle="1" w:styleId="s6">
    <w:name w:val="s6"/>
    <w:basedOn w:val="DefaultParagraphFont"/>
    <w:rsid w:val="00D053D2"/>
  </w:style>
  <w:style w:type="paragraph" w:customStyle="1" w:styleId="s8">
    <w:name w:val="s8"/>
    <w:basedOn w:val="Normal"/>
    <w:rsid w:val="00D053D2"/>
    <w:pPr>
      <w:spacing w:before="100" w:beforeAutospacing="1" w:after="100" w:afterAutospacing="1"/>
    </w:pPr>
  </w:style>
  <w:style w:type="paragraph" w:customStyle="1" w:styleId="s9">
    <w:name w:val="s9"/>
    <w:basedOn w:val="Normal"/>
    <w:rsid w:val="00D053D2"/>
    <w:pPr>
      <w:spacing w:before="100" w:beforeAutospacing="1" w:after="100" w:afterAutospacing="1"/>
    </w:pPr>
  </w:style>
  <w:style w:type="character" w:customStyle="1" w:styleId="Heading3Char">
    <w:name w:val="Heading 3 Char"/>
    <w:basedOn w:val="DefaultParagraphFont"/>
    <w:link w:val="Heading3"/>
    <w:uiPriority w:val="9"/>
    <w:rsid w:val="00207FDE"/>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7340">
      <w:bodyDiv w:val="1"/>
      <w:marLeft w:val="0"/>
      <w:marRight w:val="0"/>
      <w:marTop w:val="0"/>
      <w:marBottom w:val="0"/>
      <w:divBdr>
        <w:top w:val="none" w:sz="0" w:space="0" w:color="auto"/>
        <w:left w:val="none" w:sz="0" w:space="0" w:color="auto"/>
        <w:bottom w:val="none" w:sz="0" w:space="0" w:color="auto"/>
        <w:right w:val="none" w:sz="0" w:space="0" w:color="auto"/>
      </w:divBdr>
    </w:div>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9235832">
      <w:bodyDiv w:val="1"/>
      <w:marLeft w:val="0"/>
      <w:marRight w:val="0"/>
      <w:marTop w:val="0"/>
      <w:marBottom w:val="0"/>
      <w:divBdr>
        <w:top w:val="none" w:sz="0" w:space="0" w:color="auto"/>
        <w:left w:val="none" w:sz="0" w:space="0" w:color="auto"/>
        <w:bottom w:val="none" w:sz="0" w:space="0" w:color="auto"/>
        <w:right w:val="none" w:sz="0" w:space="0" w:color="auto"/>
      </w:divBdr>
    </w:div>
    <w:div w:id="321348353">
      <w:bodyDiv w:val="1"/>
      <w:marLeft w:val="0"/>
      <w:marRight w:val="0"/>
      <w:marTop w:val="0"/>
      <w:marBottom w:val="0"/>
      <w:divBdr>
        <w:top w:val="none" w:sz="0" w:space="0" w:color="auto"/>
        <w:left w:val="none" w:sz="0" w:space="0" w:color="auto"/>
        <w:bottom w:val="none" w:sz="0" w:space="0" w:color="auto"/>
        <w:right w:val="none" w:sz="0" w:space="0" w:color="auto"/>
      </w:divBdr>
    </w:div>
    <w:div w:id="541091735">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09651395">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53496125">
      <w:bodyDiv w:val="1"/>
      <w:marLeft w:val="0"/>
      <w:marRight w:val="0"/>
      <w:marTop w:val="0"/>
      <w:marBottom w:val="0"/>
      <w:divBdr>
        <w:top w:val="none" w:sz="0" w:space="0" w:color="auto"/>
        <w:left w:val="none" w:sz="0" w:space="0" w:color="auto"/>
        <w:bottom w:val="none" w:sz="0" w:space="0" w:color="auto"/>
        <w:right w:val="none" w:sz="0" w:space="0" w:color="auto"/>
      </w:divBdr>
      <w:divsChild>
        <w:div w:id="1588535136">
          <w:marLeft w:val="795"/>
          <w:marRight w:val="0"/>
          <w:marTop w:val="0"/>
          <w:marBottom w:val="0"/>
          <w:divBdr>
            <w:top w:val="none" w:sz="0" w:space="0" w:color="auto"/>
            <w:left w:val="none" w:sz="0" w:space="0" w:color="auto"/>
            <w:bottom w:val="none" w:sz="0" w:space="0" w:color="auto"/>
            <w:right w:val="none" w:sz="0" w:space="0" w:color="auto"/>
          </w:divBdr>
        </w:div>
        <w:div w:id="650183979">
          <w:marLeft w:val="795"/>
          <w:marRight w:val="0"/>
          <w:marTop w:val="0"/>
          <w:marBottom w:val="0"/>
          <w:divBdr>
            <w:top w:val="none" w:sz="0" w:space="0" w:color="auto"/>
            <w:left w:val="none" w:sz="0" w:space="0" w:color="auto"/>
            <w:bottom w:val="none" w:sz="0" w:space="0" w:color="auto"/>
            <w:right w:val="none" w:sz="0" w:space="0" w:color="auto"/>
          </w:divBdr>
        </w:div>
        <w:div w:id="1167212431">
          <w:marLeft w:val="795"/>
          <w:marRight w:val="0"/>
          <w:marTop w:val="0"/>
          <w:marBottom w:val="0"/>
          <w:divBdr>
            <w:top w:val="none" w:sz="0" w:space="0" w:color="auto"/>
            <w:left w:val="none" w:sz="0" w:space="0" w:color="auto"/>
            <w:bottom w:val="none" w:sz="0" w:space="0" w:color="auto"/>
            <w:right w:val="none" w:sz="0" w:space="0" w:color="auto"/>
          </w:divBdr>
        </w:div>
        <w:div w:id="1962032020">
          <w:marLeft w:val="795"/>
          <w:marRight w:val="0"/>
          <w:marTop w:val="0"/>
          <w:marBottom w:val="0"/>
          <w:divBdr>
            <w:top w:val="none" w:sz="0" w:space="0" w:color="auto"/>
            <w:left w:val="none" w:sz="0" w:space="0" w:color="auto"/>
            <w:bottom w:val="none" w:sz="0" w:space="0" w:color="auto"/>
            <w:right w:val="none" w:sz="0" w:space="0" w:color="auto"/>
          </w:divBdr>
        </w:div>
        <w:div w:id="799035078">
          <w:marLeft w:val="795"/>
          <w:marRight w:val="0"/>
          <w:marTop w:val="0"/>
          <w:marBottom w:val="0"/>
          <w:divBdr>
            <w:top w:val="none" w:sz="0" w:space="0" w:color="auto"/>
            <w:left w:val="none" w:sz="0" w:space="0" w:color="auto"/>
            <w:bottom w:val="none" w:sz="0" w:space="0" w:color="auto"/>
            <w:right w:val="none" w:sz="0" w:space="0" w:color="auto"/>
          </w:divBdr>
        </w:div>
        <w:div w:id="671839827">
          <w:marLeft w:val="795"/>
          <w:marRight w:val="0"/>
          <w:marTop w:val="0"/>
          <w:marBottom w:val="0"/>
          <w:divBdr>
            <w:top w:val="none" w:sz="0" w:space="0" w:color="auto"/>
            <w:left w:val="none" w:sz="0" w:space="0" w:color="auto"/>
            <w:bottom w:val="none" w:sz="0" w:space="0" w:color="auto"/>
            <w:right w:val="none" w:sz="0" w:space="0" w:color="auto"/>
          </w:divBdr>
        </w:div>
        <w:div w:id="1962569050">
          <w:marLeft w:val="795"/>
          <w:marRight w:val="0"/>
          <w:marTop w:val="0"/>
          <w:marBottom w:val="0"/>
          <w:divBdr>
            <w:top w:val="none" w:sz="0" w:space="0" w:color="auto"/>
            <w:left w:val="none" w:sz="0" w:space="0" w:color="auto"/>
            <w:bottom w:val="none" w:sz="0" w:space="0" w:color="auto"/>
            <w:right w:val="none" w:sz="0" w:space="0" w:color="auto"/>
          </w:divBdr>
        </w:div>
        <w:div w:id="1118380497">
          <w:marLeft w:val="79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956E0-C64B-4627-8BA7-4BF07A07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5666</Words>
  <Characters>3230</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Company>Veselības ministrija</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I.Lazdiņa</dc:creator>
  <dc:description>67876169, Ivita.Lazdina@vm.gov.lv, Nozares budžeta plānošanas departamenta_x000d_
Vecākā eksperte</dc:description>
  <cp:lastModifiedBy>Alda Strode</cp:lastModifiedBy>
  <cp:revision>15</cp:revision>
  <cp:lastPrinted>2020-03-26T11:53:00Z</cp:lastPrinted>
  <dcterms:created xsi:type="dcterms:W3CDTF">2020-09-29T13:43:00Z</dcterms:created>
  <dcterms:modified xsi:type="dcterms:W3CDTF">2020-10-01T08:23:00Z</dcterms:modified>
</cp:coreProperties>
</file>