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6DCFB" w14:textId="77777777" w:rsidR="00894C55" w:rsidRDefault="005540F4"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Pr="00EC6E12">
        <w:rPr>
          <w:rFonts w:ascii="Times New Roman" w:hAnsi="Times New Roman" w:cs="Times New Roman"/>
          <w:b/>
          <w:sz w:val="28"/>
          <w:szCs w:val="24"/>
          <w:lang w:eastAsia="lv-LV"/>
        </w:rPr>
        <w:t>sākotnējās ietekmes novērtējuma ziņojums (anotācija)</w:t>
      </w:r>
    </w:p>
    <w:p w14:paraId="764A0354" w14:textId="77777777" w:rsidR="00857324" w:rsidRDefault="00857324" w:rsidP="00EC6E12">
      <w:pPr>
        <w:pStyle w:val="NoSpacing"/>
        <w:jc w:val="center"/>
        <w:rPr>
          <w:rFonts w:ascii="Times New Roman" w:hAnsi="Times New Roman" w:cs="Times New Roman"/>
          <w:b/>
          <w:sz w:val="28"/>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77"/>
        <w:gridCol w:w="6379"/>
      </w:tblGrid>
      <w:tr w:rsidR="00857324" w:rsidRPr="00C930A2" w14:paraId="7CB01AA9" w14:textId="77777777" w:rsidTr="0037797A">
        <w:trPr>
          <w:trHeight w:val="324"/>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26A0AA40" w14:textId="77777777" w:rsidR="00857324" w:rsidRPr="00C930A2" w:rsidRDefault="00857324" w:rsidP="00A57A05">
            <w:pPr>
              <w:spacing w:before="100" w:beforeAutospacing="1" w:after="100" w:afterAutospacing="1" w:line="293" w:lineRule="atLeast"/>
              <w:jc w:val="center"/>
              <w:rPr>
                <w:b/>
                <w:bCs/>
              </w:rPr>
            </w:pPr>
            <w:r w:rsidRPr="00C930A2">
              <w:rPr>
                <w:b/>
                <w:bCs/>
              </w:rPr>
              <w:t>Tiesību akta projekta anotācijas kopsavilkums</w:t>
            </w:r>
          </w:p>
        </w:tc>
      </w:tr>
      <w:tr w:rsidR="00857324" w:rsidRPr="00C930A2" w14:paraId="6A4F10F2" w14:textId="77777777" w:rsidTr="0037797A">
        <w:trPr>
          <w:trHeight w:val="324"/>
        </w:trPr>
        <w:tc>
          <w:tcPr>
            <w:tcW w:w="1591" w:type="pct"/>
            <w:tcBorders>
              <w:top w:val="outset" w:sz="6" w:space="0" w:color="414142"/>
              <w:left w:val="outset" w:sz="6" w:space="0" w:color="414142"/>
              <w:bottom w:val="outset" w:sz="6" w:space="0" w:color="414142"/>
              <w:right w:val="outset" w:sz="6" w:space="0" w:color="414142"/>
            </w:tcBorders>
            <w:hideMark/>
          </w:tcPr>
          <w:p w14:paraId="0AFBB531" w14:textId="77777777" w:rsidR="00857324" w:rsidRPr="00C930A2" w:rsidRDefault="00857324" w:rsidP="00A57A05">
            <w:pPr>
              <w:spacing w:before="100" w:beforeAutospacing="1" w:after="100" w:afterAutospacing="1" w:line="293" w:lineRule="atLeast"/>
              <w:rPr>
                <w:iCs/>
              </w:rPr>
            </w:pPr>
            <w:r w:rsidRPr="00C930A2">
              <w:rPr>
                <w:iCs/>
              </w:rPr>
              <w:t>Mērķis, risinājums un projekta spēkā stāšanās laiks (500 zīmes bez atstarpēm)</w:t>
            </w:r>
          </w:p>
        </w:tc>
        <w:tc>
          <w:tcPr>
            <w:tcW w:w="3409" w:type="pct"/>
            <w:tcBorders>
              <w:top w:val="outset" w:sz="6" w:space="0" w:color="414142"/>
              <w:left w:val="outset" w:sz="6" w:space="0" w:color="414142"/>
              <w:bottom w:val="outset" w:sz="6" w:space="0" w:color="414142"/>
              <w:right w:val="outset" w:sz="6" w:space="0" w:color="414142"/>
            </w:tcBorders>
          </w:tcPr>
          <w:p w14:paraId="7562CC93" w14:textId="77777777" w:rsidR="00857324" w:rsidRPr="00C930A2" w:rsidRDefault="00857324" w:rsidP="00A57A05">
            <w:pPr>
              <w:pStyle w:val="tv213"/>
              <w:tabs>
                <w:tab w:val="left" w:pos="0"/>
              </w:tabs>
              <w:spacing w:before="0" w:beforeAutospacing="0" w:after="0" w:afterAutospacing="0"/>
              <w:ind w:left="57"/>
              <w:jc w:val="both"/>
              <w:rPr>
                <w:iCs/>
              </w:rPr>
            </w:pPr>
            <w:r w:rsidRPr="00C930A2">
              <w:rPr>
                <w:iCs/>
              </w:rPr>
              <w:t>Saskaņā ar Ministru kabineta 2009. gada 15. decembra instrukcijas Nr. 19 "Tiesību akta projekta sākotnējās ietekmes izvērtēšanas kārtība" 5.</w:t>
            </w:r>
            <w:r w:rsidRPr="002C129B">
              <w:rPr>
                <w:iCs/>
                <w:vertAlign w:val="superscript"/>
              </w:rPr>
              <w:t>1</w:t>
            </w:r>
            <w:r w:rsidRPr="00C930A2">
              <w:rPr>
                <w:iCs/>
              </w:rPr>
              <w:t> apakšpunktu anotācijas kopsavilkums nav aizpildāms.</w:t>
            </w:r>
          </w:p>
        </w:tc>
      </w:tr>
    </w:tbl>
    <w:p w14:paraId="492BBA51"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ayout w:type="fixed"/>
        <w:tblLook w:val="04A0" w:firstRow="1" w:lastRow="0" w:firstColumn="1" w:lastColumn="0" w:noHBand="0" w:noVBand="1"/>
      </w:tblPr>
      <w:tblGrid>
        <w:gridCol w:w="568"/>
        <w:gridCol w:w="2409"/>
        <w:gridCol w:w="6379"/>
      </w:tblGrid>
      <w:tr w:rsidR="00552A2D" w14:paraId="29B93CE1" w14:textId="77777777" w:rsidTr="0079260F">
        <w:tc>
          <w:tcPr>
            <w:tcW w:w="9356" w:type="dxa"/>
            <w:gridSpan w:val="3"/>
          </w:tcPr>
          <w:p w14:paraId="2D978AEC" w14:textId="77777777" w:rsidR="00EC6E12" w:rsidRPr="00EC6E12" w:rsidRDefault="005540F4" w:rsidP="00EC6E12">
            <w:pPr>
              <w:pStyle w:val="NoSpacing"/>
              <w:jc w:val="center"/>
              <w:rPr>
                <w:rFonts w:ascii="Times New Roman" w:hAnsi="Times New Roman" w:cs="Times New Roman"/>
                <w:b/>
                <w:sz w:val="24"/>
                <w:szCs w:val="24"/>
                <w:lang w:eastAsia="lv-LV"/>
              </w:rPr>
            </w:pPr>
            <w:r w:rsidRPr="00EC6E12">
              <w:rPr>
                <w:rFonts w:ascii="Times New Roman" w:hAnsi="Times New Roman" w:cs="Times New Roman"/>
                <w:b/>
                <w:iCs/>
                <w:sz w:val="24"/>
                <w:szCs w:val="24"/>
                <w:lang w:eastAsia="lv-LV"/>
              </w:rPr>
              <w:t>I. Tiesību akta projekta izstrādes nepieciešamība</w:t>
            </w:r>
          </w:p>
        </w:tc>
      </w:tr>
      <w:tr w:rsidR="00552A2D" w14:paraId="00D52E12" w14:textId="77777777" w:rsidTr="00085D2B">
        <w:tc>
          <w:tcPr>
            <w:tcW w:w="568" w:type="dxa"/>
          </w:tcPr>
          <w:p w14:paraId="42613F9B" w14:textId="77777777" w:rsidR="00130487" w:rsidRPr="008F0E21" w:rsidRDefault="005540F4" w:rsidP="00130487">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1.</w:t>
            </w:r>
          </w:p>
        </w:tc>
        <w:tc>
          <w:tcPr>
            <w:tcW w:w="2409" w:type="dxa"/>
          </w:tcPr>
          <w:p w14:paraId="27D1FC2B" w14:textId="77777777" w:rsidR="00130487" w:rsidRPr="008F0E21" w:rsidRDefault="005540F4" w:rsidP="00130487">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Pamatojums</w:t>
            </w:r>
          </w:p>
        </w:tc>
        <w:tc>
          <w:tcPr>
            <w:tcW w:w="6379" w:type="dxa"/>
          </w:tcPr>
          <w:p w14:paraId="3DC3D5D0" w14:textId="04FCA520" w:rsidR="0079260F" w:rsidRDefault="005540F4" w:rsidP="00155578">
            <w:pPr>
              <w:pStyle w:val="NoSpacing"/>
              <w:ind w:firstLine="311"/>
              <w:jc w:val="both"/>
              <w:rPr>
                <w:rFonts w:ascii="Times New Roman" w:hAnsi="Times New Roman" w:cs="Times New Roman"/>
                <w:sz w:val="24"/>
              </w:rPr>
            </w:pPr>
            <w:r w:rsidRPr="008F0E21">
              <w:rPr>
                <w:rFonts w:ascii="Times New Roman" w:hAnsi="Times New Roman" w:cs="Times New Roman"/>
                <w:sz w:val="24"/>
              </w:rPr>
              <w:t xml:space="preserve">Ministru kabineta rīkojuma projekts “Par finanšu līdzekļu piešķiršanu no valsts budžeta programmas “Līdzekļi neparedzētiem gadījumiem”” (turpmāk – rīkojuma projekts) izstrādāts, pamatojoties uz: </w:t>
            </w:r>
          </w:p>
          <w:p w14:paraId="00C7AFDB" w14:textId="22AB851E" w:rsidR="00A66343" w:rsidRDefault="00A66343" w:rsidP="00155578">
            <w:pPr>
              <w:pStyle w:val="NoSpacing"/>
              <w:ind w:firstLine="311"/>
              <w:jc w:val="both"/>
              <w:rPr>
                <w:rFonts w:ascii="Times New Roman" w:hAnsi="Times New Roman" w:cs="Times New Roman"/>
                <w:sz w:val="24"/>
                <w:szCs w:val="24"/>
              </w:rPr>
            </w:pPr>
            <w:r>
              <w:rPr>
                <w:rFonts w:ascii="Times New Roman" w:hAnsi="Times New Roman" w:cs="Times New Roman"/>
                <w:sz w:val="24"/>
                <w:szCs w:val="24"/>
              </w:rPr>
              <w:t xml:space="preserve">- </w:t>
            </w:r>
            <w:r w:rsidRPr="0037797A">
              <w:rPr>
                <w:rFonts w:ascii="Times New Roman" w:hAnsi="Times New Roman" w:cs="Times New Roman"/>
                <w:sz w:val="24"/>
                <w:szCs w:val="24"/>
              </w:rPr>
              <w:t xml:space="preserve">Ministru kabineta </w:t>
            </w:r>
            <w:proofErr w:type="gramStart"/>
            <w:r w:rsidRPr="0037797A">
              <w:rPr>
                <w:rFonts w:ascii="Times New Roman" w:hAnsi="Times New Roman" w:cs="Times New Roman"/>
                <w:sz w:val="24"/>
                <w:szCs w:val="24"/>
              </w:rPr>
              <w:t>2020.gada</w:t>
            </w:r>
            <w:proofErr w:type="gramEnd"/>
            <w:r w:rsidRPr="0037797A">
              <w:rPr>
                <w:rFonts w:ascii="Times New Roman" w:hAnsi="Times New Roman" w:cs="Times New Roman"/>
                <w:sz w:val="24"/>
                <w:szCs w:val="24"/>
              </w:rPr>
              <w:t xml:space="preserve"> 2.jūnija sēdes </w:t>
            </w:r>
            <w:proofErr w:type="spellStart"/>
            <w:r w:rsidRPr="0037797A">
              <w:rPr>
                <w:rFonts w:ascii="Times New Roman" w:hAnsi="Times New Roman" w:cs="Times New Roman"/>
                <w:sz w:val="24"/>
                <w:szCs w:val="24"/>
              </w:rPr>
              <w:t>protokollēmuma</w:t>
            </w:r>
            <w:proofErr w:type="spellEnd"/>
            <w:r w:rsidRPr="0037797A">
              <w:rPr>
                <w:rFonts w:ascii="Times New Roman" w:hAnsi="Times New Roman" w:cs="Times New Roman"/>
                <w:sz w:val="24"/>
                <w:szCs w:val="24"/>
              </w:rPr>
              <w:t xml:space="preserve"> (prot. </w:t>
            </w:r>
            <w:r w:rsidRPr="0037797A">
              <w:rPr>
                <w:rFonts w:ascii="Times New Roman" w:eastAsia="Times New Roman" w:hAnsi="Times New Roman"/>
                <w:sz w:val="24"/>
                <w:szCs w:val="24"/>
                <w:lang w:eastAsia="lv-LV"/>
              </w:rPr>
              <w:t xml:space="preserve">Nr.38 49.§ „Informatīvais ziņojums „Par pasākumiem </w:t>
            </w:r>
            <w:proofErr w:type="spellStart"/>
            <w:r w:rsidRPr="0037797A">
              <w:rPr>
                <w:rFonts w:ascii="Times New Roman" w:eastAsia="Times New Roman" w:hAnsi="Times New Roman"/>
                <w:sz w:val="24"/>
                <w:szCs w:val="24"/>
                <w:lang w:eastAsia="lv-LV"/>
              </w:rPr>
              <w:t>Covid-19</w:t>
            </w:r>
            <w:proofErr w:type="spellEnd"/>
            <w:r w:rsidRPr="0037797A">
              <w:rPr>
                <w:rFonts w:ascii="Times New Roman" w:eastAsia="Times New Roman" w:hAnsi="Times New Roman"/>
                <w:sz w:val="24"/>
                <w:szCs w:val="24"/>
                <w:lang w:eastAsia="lv-LV"/>
              </w:rPr>
              <w:t xml:space="preserve"> krīzes pārvarēšanai un ekonomikas atlabšanai””</w:t>
            </w:r>
            <w:r w:rsidR="00467EED">
              <w:t xml:space="preserve"> </w:t>
            </w:r>
            <w:r w:rsidR="00467EED" w:rsidRPr="0037797A">
              <w:rPr>
                <w:rFonts w:ascii="Times New Roman" w:hAnsi="Times New Roman" w:cs="Times New Roman"/>
                <w:sz w:val="24"/>
                <w:szCs w:val="24"/>
              </w:rPr>
              <w:t>14.pun</w:t>
            </w:r>
            <w:r w:rsidR="00467EED">
              <w:rPr>
                <w:rFonts w:ascii="Times New Roman" w:hAnsi="Times New Roman" w:cs="Times New Roman"/>
                <w:sz w:val="24"/>
                <w:szCs w:val="24"/>
              </w:rPr>
              <w:t>k</w:t>
            </w:r>
            <w:r w:rsidR="00467EED" w:rsidRPr="0037797A">
              <w:rPr>
                <w:rFonts w:ascii="Times New Roman" w:hAnsi="Times New Roman" w:cs="Times New Roman"/>
                <w:sz w:val="24"/>
                <w:szCs w:val="24"/>
              </w:rPr>
              <w:t>t</w:t>
            </w:r>
            <w:r w:rsidR="001E56EB">
              <w:rPr>
                <w:rFonts w:ascii="Times New Roman" w:hAnsi="Times New Roman" w:cs="Times New Roman"/>
                <w:sz w:val="24"/>
                <w:szCs w:val="24"/>
              </w:rPr>
              <w:t>u</w:t>
            </w:r>
            <w:r w:rsidR="00467EED" w:rsidRPr="0037797A">
              <w:rPr>
                <w:rFonts w:ascii="Times New Roman" w:hAnsi="Times New Roman" w:cs="Times New Roman"/>
                <w:sz w:val="24"/>
                <w:szCs w:val="24"/>
              </w:rPr>
              <w:t>, kas nosaka, ka finansējuma piešķiršana konkrētajam pasākumam, nepārsniedzot atbalstītā finansējuma apmēru, tiek veikta ar atsevišķu Ministru kabineta lēmumu</w:t>
            </w:r>
            <w:r w:rsidR="00467EED">
              <w:rPr>
                <w:rFonts w:ascii="Times New Roman" w:hAnsi="Times New Roman" w:cs="Times New Roman"/>
                <w:sz w:val="24"/>
                <w:szCs w:val="24"/>
              </w:rPr>
              <w:t>;</w:t>
            </w:r>
          </w:p>
          <w:p w14:paraId="6107BC71" w14:textId="17A1F200" w:rsidR="00D911EE" w:rsidRPr="008F0E21" w:rsidRDefault="00467EED" w:rsidP="001E56EB">
            <w:pPr>
              <w:pStyle w:val="NoSpacing"/>
              <w:ind w:firstLine="311"/>
              <w:jc w:val="both"/>
              <w:rPr>
                <w:rFonts w:ascii="Times New Roman" w:hAnsi="Times New Roman" w:cs="Times New Roman"/>
                <w:sz w:val="24"/>
              </w:rPr>
            </w:pPr>
            <w:r w:rsidRPr="00246588">
              <w:rPr>
                <w:rFonts w:ascii="Times New Roman" w:hAnsi="Times New Roman" w:cs="Times New Roman"/>
                <w:sz w:val="24"/>
                <w:szCs w:val="24"/>
              </w:rPr>
              <w:t xml:space="preserve">- </w:t>
            </w:r>
            <w:r w:rsidR="00F64D6A" w:rsidRPr="00246588">
              <w:rPr>
                <w:rFonts w:ascii="Times New Roman" w:hAnsi="Times New Roman" w:cs="Times New Roman"/>
                <w:sz w:val="24"/>
                <w:szCs w:val="24"/>
              </w:rPr>
              <w:t xml:space="preserve">Ministru kabineta </w:t>
            </w:r>
            <w:r w:rsidR="006D61BC" w:rsidRPr="00246588">
              <w:rPr>
                <w:rFonts w:ascii="Times New Roman" w:hAnsi="Times New Roman" w:cs="Times New Roman"/>
                <w:sz w:val="24"/>
                <w:szCs w:val="24"/>
              </w:rPr>
              <w:t>2020.</w:t>
            </w:r>
            <w:r w:rsidR="00F64D6A" w:rsidRPr="00246588">
              <w:rPr>
                <w:rFonts w:ascii="Times New Roman" w:hAnsi="Times New Roman" w:cs="Times New Roman"/>
                <w:sz w:val="24"/>
                <w:szCs w:val="24"/>
              </w:rPr>
              <w:t xml:space="preserve"> gada </w:t>
            </w:r>
            <w:proofErr w:type="gramStart"/>
            <w:r w:rsidR="00F64D6A" w:rsidRPr="00246588">
              <w:rPr>
                <w:rFonts w:ascii="Times New Roman" w:hAnsi="Times New Roman" w:cs="Times New Roman"/>
                <w:sz w:val="24"/>
                <w:szCs w:val="24"/>
              </w:rPr>
              <w:t>2.septembra</w:t>
            </w:r>
            <w:proofErr w:type="gramEnd"/>
            <w:r w:rsidR="00F64D6A" w:rsidRPr="00246588">
              <w:rPr>
                <w:rFonts w:ascii="Times New Roman" w:hAnsi="Times New Roman" w:cs="Times New Roman"/>
                <w:sz w:val="24"/>
                <w:szCs w:val="24"/>
              </w:rPr>
              <w:t xml:space="preserve"> sēdes</w:t>
            </w:r>
            <w:r w:rsidR="006D61BC" w:rsidRPr="00246588">
              <w:rPr>
                <w:rFonts w:ascii="Times New Roman" w:hAnsi="Times New Roman" w:cs="Times New Roman"/>
                <w:sz w:val="24"/>
                <w:szCs w:val="24"/>
              </w:rPr>
              <w:t xml:space="preserve"> </w:t>
            </w:r>
            <w:proofErr w:type="spellStart"/>
            <w:r w:rsidR="00F64D6A" w:rsidRPr="00246588">
              <w:rPr>
                <w:rFonts w:ascii="Times New Roman" w:hAnsi="Times New Roman" w:cs="Times New Roman"/>
                <w:sz w:val="24"/>
                <w:szCs w:val="24"/>
              </w:rPr>
              <w:t>protokollēmuma</w:t>
            </w:r>
            <w:proofErr w:type="spellEnd"/>
            <w:r w:rsidR="00F64D6A" w:rsidRPr="00246588">
              <w:rPr>
                <w:rFonts w:ascii="Times New Roman" w:hAnsi="Times New Roman" w:cs="Times New Roman"/>
                <w:sz w:val="24"/>
                <w:szCs w:val="24"/>
              </w:rPr>
              <w:t xml:space="preserve">  (prot. Nr.</w:t>
            </w:r>
            <w:r w:rsidR="006D61BC" w:rsidRPr="00246588">
              <w:rPr>
                <w:rFonts w:ascii="Times New Roman" w:hAnsi="Times New Roman" w:cs="Times New Roman"/>
                <w:sz w:val="24"/>
                <w:szCs w:val="24"/>
              </w:rPr>
              <w:t>51 55.§</w:t>
            </w:r>
            <w:r w:rsidR="00F64D6A" w:rsidRPr="00246588">
              <w:rPr>
                <w:rFonts w:ascii="Times New Roman" w:hAnsi="Times New Roman" w:cs="Times New Roman"/>
                <w:sz w:val="24"/>
                <w:szCs w:val="24"/>
              </w:rPr>
              <w:t xml:space="preserve"> “Informatīvais ziņojums “Par pasākumiem </w:t>
            </w:r>
            <w:proofErr w:type="spellStart"/>
            <w:r w:rsidR="00F64D6A" w:rsidRPr="00246588">
              <w:rPr>
                <w:rFonts w:ascii="Times New Roman" w:hAnsi="Times New Roman" w:cs="Times New Roman"/>
                <w:sz w:val="24"/>
                <w:szCs w:val="24"/>
              </w:rPr>
              <w:t>Covid-19</w:t>
            </w:r>
            <w:proofErr w:type="spellEnd"/>
            <w:r w:rsidR="00F64D6A" w:rsidRPr="00246588">
              <w:rPr>
                <w:rFonts w:ascii="Times New Roman" w:hAnsi="Times New Roman" w:cs="Times New Roman"/>
                <w:sz w:val="24"/>
                <w:szCs w:val="24"/>
              </w:rPr>
              <w:t xml:space="preserve"> krīzes pārvarēšanai un ekonomikas atlabšanai 2020. un 2021.gadam””) </w:t>
            </w:r>
            <w:r w:rsidRPr="00246588">
              <w:rPr>
                <w:rFonts w:ascii="Times New Roman" w:hAnsi="Times New Roman" w:cs="Times New Roman"/>
                <w:sz w:val="24"/>
                <w:szCs w:val="24"/>
              </w:rPr>
              <w:t>5.punkt</w:t>
            </w:r>
            <w:r w:rsidR="001E56EB">
              <w:rPr>
                <w:rFonts w:ascii="Times New Roman" w:hAnsi="Times New Roman" w:cs="Times New Roman"/>
                <w:sz w:val="24"/>
                <w:szCs w:val="24"/>
              </w:rPr>
              <w:t>u</w:t>
            </w:r>
            <w:bookmarkStart w:id="0" w:name="_GoBack"/>
            <w:bookmarkEnd w:id="0"/>
            <w:r w:rsidRPr="00246588">
              <w:rPr>
                <w:rFonts w:ascii="Times New Roman" w:hAnsi="Times New Roman" w:cs="Times New Roman"/>
                <w:sz w:val="24"/>
                <w:szCs w:val="24"/>
              </w:rPr>
              <w:t xml:space="preserve">, </w:t>
            </w:r>
            <w:r w:rsidR="00F64D6A" w:rsidRPr="00246588">
              <w:rPr>
                <w:rFonts w:ascii="Times New Roman" w:hAnsi="Times New Roman" w:cs="Times New Roman"/>
                <w:sz w:val="24"/>
                <w:szCs w:val="24"/>
              </w:rPr>
              <w:t xml:space="preserve"> kas uzdod m</w:t>
            </w:r>
            <w:r w:rsidR="006D61BC" w:rsidRPr="00246588">
              <w:rPr>
                <w:rFonts w:ascii="Times New Roman" w:hAnsi="Times New Roman" w:cs="Times New Roman"/>
                <w:sz w:val="24"/>
                <w:szCs w:val="24"/>
              </w:rPr>
              <w:t>inistrijām, kurām finansējums konkrētam pasākumam 2020.gadam vēl nav piešķirts ar Ministru kabineta lēmumu, sagatavot un iesniegt atsevišķus normatīvo aktu projektus izskatīšanai Ministru kabinetā, nepārsniedzot informatīvā ziņojuma pielikumā noteikto finansējumu 2020.gadam.</w:t>
            </w:r>
          </w:p>
        </w:tc>
      </w:tr>
      <w:tr w:rsidR="00552A2D" w14:paraId="0C617F7B" w14:textId="77777777" w:rsidTr="0037797A">
        <w:trPr>
          <w:trHeight w:val="5377"/>
        </w:trPr>
        <w:tc>
          <w:tcPr>
            <w:tcW w:w="568" w:type="dxa"/>
          </w:tcPr>
          <w:p w14:paraId="0D55150D" w14:textId="77777777" w:rsidR="0067254E" w:rsidRPr="008F0E21" w:rsidRDefault="005540F4" w:rsidP="0067254E">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2.</w:t>
            </w:r>
          </w:p>
        </w:tc>
        <w:tc>
          <w:tcPr>
            <w:tcW w:w="2409" w:type="dxa"/>
          </w:tcPr>
          <w:p w14:paraId="14154328" w14:textId="77777777" w:rsidR="0067254E" w:rsidRPr="008F0E21" w:rsidRDefault="005540F4" w:rsidP="0067254E">
            <w:pPr>
              <w:pStyle w:val="NoSpacing"/>
              <w:jc w:val="both"/>
              <w:rPr>
                <w:rFonts w:ascii="Times New Roman" w:hAnsi="Times New Roman" w:cs="Times New Roman"/>
                <w:iCs/>
                <w:sz w:val="24"/>
                <w:szCs w:val="24"/>
                <w:lang w:eastAsia="lv-LV"/>
              </w:rPr>
            </w:pPr>
            <w:r w:rsidRPr="00A15BAF">
              <w:rPr>
                <w:rFonts w:ascii="Times New Roman" w:hAnsi="Times New Roman" w:cs="Times New Roman"/>
                <w:iCs/>
                <w:sz w:val="24"/>
                <w:szCs w:val="24"/>
                <w:lang w:eastAsia="lv-LV"/>
              </w:rPr>
              <w:t>Pašreizējā situācija un problēmas, kuru risināšanai tiesību akta projekts izstrādāts, tiesiskā regulējuma mērķis un būtība</w:t>
            </w:r>
          </w:p>
          <w:p w14:paraId="679779B1" w14:textId="77777777" w:rsidR="0067254E" w:rsidRPr="008F0E21" w:rsidRDefault="0067254E" w:rsidP="00F7559D"/>
        </w:tc>
        <w:tc>
          <w:tcPr>
            <w:tcW w:w="6379" w:type="dxa"/>
          </w:tcPr>
          <w:p w14:paraId="2A1B34EB" w14:textId="7B00508B" w:rsidR="00072E2A" w:rsidRDefault="00A25B73" w:rsidP="00F319E0">
            <w:pPr>
              <w:ind w:firstLine="372"/>
              <w:jc w:val="both"/>
            </w:pPr>
            <w:r w:rsidRPr="007720FB">
              <w:t>Informatīva</w:t>
            </w:r>
            <w:r>
              <w:t>jā</w:t>
            </w:r>
            <w:r w:rsidRPr="007720FB">
              <w:t xml:space="preserve"> ziņojum</w:t>
            </w:r>
            <w:r>
              <w:t>ā</w:t>
            </w:r>
            <w:r w:rsidRPr="007720FB">
              <w:t xml:space="preserve"> „Par pasākumiem </w:t>
            </w:r>
            <w:proofErr w:type="spellStart"/>
            <w:r w:rsidRPr="007720FB">
              <w:t>Covid-19</w:t>
            </w:r>
            <w:proofErr w:type="spellEnd"/>
            <w:r w:rsidRPr="007720FB">
              <w:t xml:space="preserve"> krīzes pārvarēšanai un ekonomikas atlabšanai</w:t>
            </w:r>
            <w:r>
              <w:t xml:space="preserve">” un </w:t>
            </w:r>
            <w:r w:rsidRPr="007720FB">
              <w:t>Informatīva</w:t>
            </w:r>
            <w:r>
              <w:t>jā</w:t>
            </w:r>
            <w:r w:rsidRPr="007720FB">
              <w:t xml:space="preserve"> ziņojum</w:t>
            </w:r>
            <w:r>
              <w:t>ā</w:t>
            </w:r>
            <w:r w:rsidRPr="007720FB">
              <w:t xml:space="preserve"> “Par pasākumiem </w:t>
            </w:r>
            <w:proofErr w:type="spellStart"/>
            <w:r w:rsidRPr="007720FB">
              <w:t>Covid-19</w:t>
            </w:r>
            <w:proofErr w:type="spellEnd"/>
            <w:r w:rsidRPr="007720FB">
              <w:t xml:space="preserve"> krīzes pārvarēšanai un ekonomikas atlabšanai 2020. un </w:t>
            </w:r>
            <w:proofErr w:type="gramStart"/>
            <w:r w:rsidRPr="007720FB">
              <w:t>2021.gadam</w:t>
            </w:r>
            <w:proofErr w:type="gramEnd"/>
            <w:r w:rsidRPr="007720FB">
              <w:t>”</w:t>
            </w:r>
            <w:r w:rsidDel="00A25B73">
              <w:rPr>
                <w:shd w:val="clear" w:color="auto" w:fill="FFFFFF"/>
              </w:rPr>
              <w:t xml:space="preserve"> </w:t>
            </w:r>
            <w:r>
              <w:t xml:space="preserve">paredzēts </w:t>
            </w:r>
            <w:r w:rsidR="00072E2A" w:rsidRPr="00A5162A">
              <w:t xml:space="preserve"> pasākumu kopumu, kas vērsts uz finanšu situācijas stabilizāciju nodokļu maksātājiem, tādējādi samazinot iespējamo krīzes ietekmi uz nodokļu ieņēmumiem, kā arī radot jaunas iespējas uzņēmējiem, iedzīvotājiem, uzsvaru liekot uz infrastruktūras uzlabojumiem, inovāciju, digitālo transformāciju, orientējoties uz ekonomikas strukturālām pārmaiņām, mērķtiecīgi pielāgojot valsts atbalsta mehānismus. Informatīv</w:t>
            </w:r>
            <w:r>
              <w:t>ajos</w:t>
            </w:r>
            <w:r w:rsidR="00072E2A" w:rsidRPr="00A5162A">
              <w:t xml:space="preserve"> ziņojum</w:t>
            </w:r>
            <w:r>
              <w:t>os</w:t>
            </w:r>
            <w:r w:rsidR="00072E2A" w:rsidRPr="00A5162A">
              <w:t xml:space="preserve"> ir ietverti priekšlikumi lēmuma pieņemšanai par finansējuma novirzīšanu </w:t>
            </w:r>
            <w:proofErr w:type="spellStart"/>
            <w:r w:rsidR="00072E2A" w:rsidRPr="00A5162A">
              <w:t>Covid-19</w:t>
            </w:r>
            <w:proofErr w:type="spellEnd"/>
            <w:r w:rsidR="00072E2A" w:rsidRPr="00A5162A">
              <w:t xml:space="preserve"> krīzes pārvarēšanas un ekonomikas atlabšanas pasākumiem</w:t>
            </w:r>
            <w:r w:rsidR="009054A3">
              <w:t xml:space="preserve"> saistībā ar nozaru modernizāciju, infrastruktūras attīstību un sociālo aizsardzību.</w:t>
            </w:r>
          </w:p>
          <w:p w14:paraId="1E3DE59F" w14:textId="561EF063" w:rsidR="009054A3" w:rsidRDefault="009054A3" w:rsidP="00F319E0">
            <w:pPr>
              <w:ind w:firstLine="372"/>
              <w:jc w:val="both"/>
            </w:pPr>
            <w:r>
              <w:t xml:space="preserve">Iekšlietu ministrijas Informācijas centrs </w:t>
            </w:r>
            <w:proofErr w:type="spellStart"/>
            <w:r w:rsidRPr="00A5162A">
              <w:t>Covid-19</w:t>
            </w:r>
            <w:proofErr w:type="spellEnd"/>
            <w:r w:rsidRPr="00A5162A">
              <w:t xml:space="preserve"> krīzes pārvar</w:t>
            </w:r>
            <w:r w:rsidR="00F7559D">
              <w:t>ēšanas un ekonomikas atlabšanas nolūkos realizēs pasākumu “</w:t>
            </w:r>
            <w:r w:rsidRPr="0037797A">
              <w:rPr>
                <w:i/>
              </w:rPr>
              <w:t xml:space="preserve">Inovatīvu tehnoloģiju ilgtspējīga attīstība </w:t>
            </w:r>
            <w:r w:rsidR="00A25B73" w:rsidRPr="0037797A">
              <w:rPr>
                <w:i/>
              </w:rPr>
              <w:t xml:space="preserve">Iekšlietu ministrijas </w:t>
            </w:r>
            <w:r w:rsidRPr="0037797A">
              <w:rPr>
                <w:i/>
              </w:rPr>
              <w:t>resorā</w:t>
            </w:r>
            <w:r w:rsidR="00F7559D">
              <w:t>”</w:t>
            </w:r>
            <w:r w:rsidR="00A25B73">
              <w:t>.</w:t>
            </w:r>
          </w:p>
          <w:p w14:paraId="273CE2CC" w14:textId="7BC3D4C4" w:rsidR="00F319E0" w:rsidRPr="00F319E0" w:rsidRDefault="00F319E0" w:rsidP="00F319E0">
            <w:pPr>
              <w:ind w:firstLine="372"/>
              <w:jc w:val="both"/>
              <w:rPr>
                <w:shd w:val="clear" w:color="auto" w:fill="FFFFFF"/>
              </w:rPr>
            </w:pPr>
            <w:r w:rsidRPr="00F319E0">
              <w:rPr>
                <w:shd w:val="clear" w:color="auto" w:fill="FFFFFF"/>
              </w:rPr>
              <w:lastRenderedPageBreak/>
              <w:t>Pasākum</w:t>
            </w:r>
            <w:r w:rsidR="00955786">
              <w:rPr>
                <w:shd w:val="clear" w:color="auto" w:fill="FFFFFF"/>
              </w:rPr>
              <w:t>a</w:t>
            </w:r>
            <w:r w:rsidRPr="00F319E0">
              <w:rPr>
                <w:shd w:val="clear" w:color="auto" w:fill="FFFFFF"/>
              </w:rPr>
              <w:t xml:space="preserve"> ietvaros inovāciju jomā tiks īstenoti tād</w:t>
            </w:r>
            <w:r w:rsidR="00914470">
              <w:rPr>
                <w:shd w:val="clear" w:color="auto" w:fill="FFFFFF"/>
              </w:rPr>
              <w:t xml:space="preserve">as aktivitātes </w:t>
            </w:r>
            <w:r w:rsidRPr="00F319E0">
              <w:rPr>
                <w:shd w:val="clear" w:color="auto" w:fill="FFFFFF"/>
              </w:rPr>
              <w:t>kā runas atpazīšanas, mašīntulkošanas un virtuālā asistenta ieviešana, ģeogrāfiskās informācijas sistēmas (ĢIS) modernizācija, mašīnmācības rīka izstrāde noziedzīgu nodarījumu prognozēšanai, vienota risinājuma izstrāde fiziskās piekļuves kontrolei, dokumentu vadības sistēmas ieviešanai.</w:t>
            </w:r>
          </w:p>
          <w:p w14:paraId="65D56115" w14:textId="2E11936D" w:rsidR="00F319E0" w:rsidRPr="00F319E0" w:rsidRDefault="00F319E0" w:rsidP="00F319E0">
            <w:pPr>
              <w:ind w:firstLine="372"/>
              <w:jc w:val="both"/>
              <w:rPr>
                <w:shd w:val="clear" w:color="auto" w:fill="FFFFFF"/>
              </w:rPr>
            </w:pPr>
            <w:r w:rsidRPr="00F319E0">
              <w:rPr>
                <w:shd w:val="clear" w:color="auto" w:fill="FFFFFF"/>
              </w:rPr>
              <w:t xml:space="preserve">Attiecībā uz cilvēkkapitāla attīstību tiks īstenoti pasākumi saistībā ar e-apmācības platformas ieviešanu un darbinieku mācību vajadzību īstenošanu IT drošības, inovāciju un ideju kartēšanas jomā, arhīva procesu analīzi un optimizāciju un </w:t>
            </w:r>
            <w:r w:rsidR="00914470">
              <w:rPr>
                <w:shd w:val="clear" w:color="auto" w:fill="FFFFFF"/>
              </w:rPr>
              <w:t xml:space="preserve">Iekšlietu ministrijas </w:t>
            </w:r>
            <w:r w:rsidRPr="00F319E0">
              <w:rPr>
                <w:shd w:val="clear" w:color="auto" w:fill="FFFFFF"/>
              </w:rPr>
              <w:t>padotības iestāžu videonovērošanas sistēmu modernizāciju.</w:t>
            </w:r>
          </w:p>
          <w:p w14:paraId="5F790A7F" w14:textId="222AB499" w:rsidR="00430592" w:rsidRDefault="00F319E0" w:rsidP="00914470">
            <w:pPr>
              <w:ind w:firstLine="372"/>
              <w:jc w:val="both"/>
              <w:rPr>
                <w:shd w:val="clear" w:color="auto" w:fill="FFFFFF"/>
              </w:rPr>
            </w:pPr>
            <w:r w:rsidRPr="00F319E0">
              <w:rPr>
                <w:shd w:val="clear" w:color="auto" w:fill="FFFFFF"/>
              </w:rPr>
              <w:t xml:space="preserve">Daļa minēto </w:t>
            </w:r>
            <w:r w:rsidR="00914470">
              <w:rPr>
                <w:shd w:val="clear" w:color="auto" w:fill="FFFFFF"/>
              </w:rPr>
              <w:t xml:space="preserve">aktivitāšu </w:t>
            </w:r>
            <w:r w:rsidRPr="00F319E0">
              <w:rPr>
                <w:shd w:val="clear" w:color="auto" w:fill="FFFFFF"/>
              </w:rPr>
              <w:t>ir saistīti ar Iekšlietu ministrijas Informācijas centra darbības stratēģiju 2020.-2022. gadam</w:t>
            </w:r>
            <w:r w:rsidR="00914470">
              <w:rPr>
                <w:shd w:val="clear" w:color="auto" w:fill="FFFFFF"/>
              </w:rPr>
              <w:t>,</w:t>
            </w:r>
            <w:r w:rsidRPr="00F319E0">
              <w:rPr>
                <w:shd w:val="clear" w:color="auto" w:fill="FFFFFF"/>
              </w:rPr>
              <w:t xml:space="preserve"> kā arī atbilst tajā noteiktajai vīzijai un prioritātēm</w:t>
            </w:r>
            <w:r w:rsidR="00452B9E" w:rsidRPr="00452B9E">
              <w:rPr>
                <w:shd w:val="clear" w:color="auto" w:fill="FFFFFF"/>
              </w:rPr>
              <w:t>.</w:t>
            </w:r>
            <w:r w:rsidR="00AC0295">
              <w:rPr>
                <w:shd w:val="clear" w:color="auto" w:fill="FFFFFF"/>
              </w:rPr>
              <w:t xml:space="preserve"> Pasākum</w:t>
            </w:r>
            <w:r w:rsidR="00F7559D">
              <w:rPr>
                <w:shd w:val="clear" w:color="auto" w:fill="FFFFFF"/>
              </w:rPr>
              <w:t xml:space="preserve">a izpilde tiks uzsākta </w:t>
            </w:r>
            <w:proofErr w:type="gramStart"/>
            <w:r w:rsidR="00F7559D">
              <w:rPr>
                <w:shd w:val="clear" w:color="auto" w:fill="FFFFFF"/>
              </w:rPr>
              <w:t>2020.gadā</w:t>
            </w:r>
            <w:proofErr w:type="gramEnd"/>
            <w:r w:rsidR="00F7559D">
              <w:rPr>
                <w:shd w:val="clear" w:color="auto" w:fill="FFFFFF"/>
              </w:rPr>
              <w:t xml:space="preserve"> un pabeigta 2021.gadā. Kopējais</w:t>
            </w:r>
            <w:r w:rsidR="00AC0295">
              <w:rPr>
                <w:shd w:val="clear" w:color="auto" w:fill="FFFFFF"/>
              </w:rPr>
              <w:t xml:space="preserve"> </w:t>
            </w:r>
            <w:r w:rsidR="00914470">
              <w:rPr>
                <w:shd w:val="clear" w:color="auto" w:fill="FFFFFF"/>
              </w:rPr>
              <w:t xml:space="preserve">indikatīvi </w:t>
            </w:r>
            <w:r w:rsidR="00AC0295">
              <w:rPr>
                <w:shd w:val="clear" w:color="auto" w:fill="FFFFFF"/>
              </w:rPr>
              <w:t xml:space="preserve">nepieciešamas finansējums </w:t>
            </w:r>
            <w:r w:rsidR="00F7559D">
              <w:rPr>
                <w:shd w:val="clear" w:color="auto" w:fill="FFFFFF"/>
              </w:rPr>
              <w:t>sastāda</w:t>
            </w:r>
            <w:r>
              <w:rPr>
                <w:shd w:val="clear" w:color="auto" w:fill="FFFFFF"/>
              </w:rPr>
              <w:t xml:space="preserve"> </w:t>
            </w:r>
            <w:r w:rsidR="00F7559D">
              <w:rPr>
                <w:shd w:val="clear" w:color="auto" w:fill="FFFFFF"/>
              </w:rPr>
              <w:t>1</w:t>
            </w:r>
            <w:r w:rsidR="00914470">
              <w:rPr>
                <w:shd w:val="clear" w:color="auto" w:fill="FFFFFF"/>
              </w:rPr>
              <w:t xml:space="preserve"> </w:t>
            </w:r>
            <w:r>
              <w:rPr>
                <w:shd w:val="clear" w:color="auto" w:fill="FFFFFF"/>
              </w:rPr>
              <w:t>500</w:t>
            </w:r>
            <w:r w:rsidR="00AC0295">
              <w:rPr>
                <w:shd w:val="clear" w:color="auto" w:fill="FFFFFF"/>
              </w:rPr>
              <w:t xml:space="preserve"> </w:t>
            </w:r>
            <w:r>
              <w:rPr>
                <w:shd w:val="clear" w:color="auto" w:fill="FFFFFF"/>
              </w:rPr>
              <w:t>000</w:t>
            </w:r>
            <w:r w:rsidR="00AC0295">
              <w:rPr>
                <w:shd w:val="clear" w:color="auto" w:fill="FFFFFF"/>
              </w:rPr>
              <w:t xml:space="preserve"> </w:t>
            </w:r>
            <w:proofErr w:type="spellStart"/>
            <w:r w:rsidR="00AC0295">
              <w:rPr>
                <w:i/>
                <w:shd w:val="clear" w:color="auto" w:fill="FFFFFF"/>
              </w:rPr>
              <w:t>euro</w:t>
            </w:r>
            <w:proofErr w:type="spellEnd"/>
            <w:r w:rsidR="00914470">
              <w:rPr>
                <w:i/>
                <w:shd w:val="clear" w:color="auto" w:fill="FFFFFF"/>
              </w:rPr>
              <w:t xml:space="preserve">, </w:t>
            </w:r>
            <w:r w:rsidR="00914470" w:rsidRPr="0037797A">
              <w:rPr>
                <w:shd w:val="clear" w:color="auto" w:fill="FFFFFF"/>
              </w:rPr>
              <w:t xml:space="preserve">no kā </w:t>
            </w:r>
            <w:proofErr w:type="spellStart"/>
            <w:r w:rsidR="00914470" w:rsidRPr="0037797A">
              <w:rPr>
                <w:shd w:val="clear" w:color="auto" w:fill="FFFFFF"/>
              </w:rPr>
              <w:t>ņe</w:t>
            </w:r>
            <w:proofErr w:type="spellEnd"/>
            <w:r w:rsidR="00914470" w:rsidRPr="0037797A">
              <w:rPr>
                <w:shd w:val="clear" w:color="auto" w:fill="FFFFFF"/>
              </w:rPr>
              <w:t xml:space="preserve"> vairāk</w:t>
            </w:r>
            <w:r w:rsidR="00AC0295">
              <w:rPr>
                <w:i/>
                <w:shd w:val="clear" w:color="auto" w:fill="FFFFFF"/>
              </w:rPr>
              <w:t xml:space="preserve"> </w:t>
            </w:r>
            <w:r w:rsidR="00F7559D">
              <w:rPr>
                <w:shd w:val="clear" w:color="auto" w:fill="FFFFFF"/>
              </w:rPr>
              <w:t xml:space="preserve">kā 80 087 </w:t>
            </w:r>
            <w:proofErr w:type="spellStart"/>
            <w:r w:rsidR="00F7559D" w:rsidRPr="00F7559D">
              <w:rPr>
                <w:i/>
                <w:shd w:val="clear" w:color="auto" w:fill="FFFFFF"/>
              </w:rPr>
              <w:t>euro</w:t>
            </w:r>
            <w:proofErr w:type="spellEnd"/>
            <w:r w:rsidR="00F7559D">
              <w:rPr>
                <w:shd w:val="clear" w:color="auto" w:fill="FFFFFF"/>
              </w:rPr>
              <w:t xml:space="preserve"> ir nepieciešams </w:t>
            </w:r>
            <w:proofErr w:type="gramStart"/>
            <w:r w:rsidR="00F7559D">
              <w:rPr>
                <w:shd w:val="clear" w:color="auto" w:fill="FFFFFF"/>
              </w:rPr>
              <w:t>2020.gadā</w:t>
            </w:r>
            <w:proofErr w:type="gramEnd"/>
            <w:r w:rsidR="00914470">
              <w:rPr>
                <w:shd w:val="clear" w:color="auto" w:fill="FFFFFF"/>
              </w:rPr>
              <w:t>,</w:t>
            </w:r>
            <w:r w:rsidR="00F7559D">
              <w:rPr>
                <w:shd w:val="clear" w:color="auto" w:fill="FFFFFF"/>
              </w:rPr>
              <w:t xml:space="preserve"> lai uzsāktu pasākuma</w:t>
            </w:r>
            <w:r w:rsidR="00914470">
              <w:rPr>
                <w:shd w:val="clear" w:color="auto" w:fill="FFFFFF"/>
              </w:rPr>
              <w:t xml:space="preserve"> īstenošanu</w:t>
            </w:r>
            <w:r w:rsidR="00AC0295">
              <w:rPr>
                <w:shd w:val="clear" w:color="auto" w:fill="FFFFFF"/>
              </w:rPr>
              <w:t>.</w:t>
            </w:r>
          </w:p>
          <w:p w14:paraId="74129CC7" w14:textId="197487D9" w:rsidR="00430592" w:rsidRDefault="00430592" w:rsidP="00430592">
            <w:pPr>
              <w:ind w:firstLine="372"/>
              <w:jc w:val="both"/>
              <w:rPr>
                <w:shd w:val="clear" w:color="auto" w:fill="FFFFFF"/>
              </w:rPr>
            </w:pPr>
            <w:r>
              <w:rPr>
                <w:shd w:val="clear" w:color="auto" w:fill="FFFFFF"/>
              </w:rPr>
              <w:t>Rīkojuma projekts paredz:</w:t>
            </w:r>
          </w:p>
          <w:p w14:paraId="26CF925F" w14:textId="43F8C907" w:rsidR="00430592" w:rsidRPr="0037797A" w:rsidRDefault="00430592" w:rsidP="00430592">
            <w:pPr>
              <w:jc w:val="both"/>
              <w:rPr>
                <w:rFonts w:eastAsiaTheme="minorEastAsia"/>
              </w:rPr>
            </w:pPr>
            <w:r w:rsidRPr="0037797A">
              <w:rPr>
                <w:rFonts w:eastAsiaTheme="minorEastAsia"/>
              </w:rPr>
              <w:t xml:space="preserve">1. </w:t>
            </w:r>
            <w:r>
              <w:rPr>
                <w:rFonts w:eastAsiaTheme="minorEastAsia"/>
              </w:rPr>
              <w:t xml:space="preserve">uzdevumu </w:t>
            </w:r>
            <w:r w:rsidRPr="0037797A">
              <w:rPr>
                <w:rFonts w:eastAsiaTheme="minorEastAsia"/>
              </w:rPr>
              <w:t xml:space="preserve">Finanšu ministrijai no valsts budžeta programmas </w:t>
            </w:r>
            <w:smartTag w:uri="schemas-tilde-lv/tildestengine" w:element="date">
              <w:smartTagPr>
                <w:attr w:name="Day" w:val="30"/>
                <w:attr w:name="Month" w:val="11"/>
                <w:attr w:name="Year" w:val="2001"/>
              </w:smartTagPr>
              <w:r w:rsidRPr="0037797A">
                <w:rPr>
                  <w:rFonts w:eastAsiaTheme="minorEastAsia"/>
                </w:rPr>
                <w:t>02.00.00</w:t>
              </w:r>
            </w:smartTag>
            <w:r w:rsidRPr="0037797A">
              <w:rPr>
                <w:rFonts w:eastAsiaTheme="minorEastAsia"/>
              </w:rPr>
              <w:t xml:space="preserve"> "Līdzekļi neparedzētiem gadījumiem" piešķirt Iekšlietu ministrijai (Iekšlietu ministrijas Informācijas centram) finansējumu, kas nepārsniedz 80 087 </w:t>
            </w:r>
            <w:proofErr w:type="spellStart"/>
            <w:r w:rsidRPr="0037797A">
              <w:rPr>
                <w:rFonts w:eastAsiaTheme="minorEastAsia"/>
                <w:i/>
              </w:rPr>
              <w:t>euro</w:t>
            </w:r>
            <w:proofErr w:type="spellEnd"/>
            <w:r w:rsidRPr="0037797A">
              <w:rPr>
                <w:rFonts w:eastAsiaTheme="minorEastAsia"/>
              </w:rPr>
              <w:t xml:space="preserve">, lai nodrošinātu ar </w:t>
            </w:r>
            <w:proofErr w:type="spellStart"/>
            <w:r w:rsidRPr="0037797A">
              <w:rPr>
                <w:rFonts w:eastAsiaTheme="minorEastAsia"/>
              </w:rPr>
              <w:t>Covid-19</w:t>
            </w:r>
            <w:proofErr w:type="spellEnd"/>
            <w:r w:rsidRPr="0037797A">
              <w:rPr>
                <w:rFonts w:eastAsiaTheme="minorEastAsia"/>
              </w:rPr>
              <w:t xml:space="preserve"> krīzes pārvarēšanu un ekonomikas atlabšanu saistīta pasākuma īstenošanu – inovatīvu tehnoloģiju ilgtspējīgu attīstību Iekšlietu ministrijas resorā</w:t>
            </w:r>
            <w:r>
              <w:rPr>
                <w:rFonts w:eastAsiaTheme="minorEastAsia"/>
              </w:rPr>
              <w:t>;</w:t>
            </w:r>
            <w:r w:rsidRPr="0037797A">
              <w:rPr>
                <w:rFonts w:eastAsiaTheme="minorEastAsia"/>
              </w:rPr>
              <w:t xml:space="preserve"> </w:t>
            </w:r>
          </w:p>
          <w:p w14:paraId="1E215812" w14:textId="0F56D16A" w:rsidR="00430592" w:rsidRDefault="00430592" w:rsidP="00430592">
            <w:pPr>
              <w:jc w:val="both"/>
              <w:rPr>
                <w:rFonts w:eastAsiaTheme="minorEastAsia"/>
              </w:rPr>
            </w:pPr>
            <w:r w:rsidRPr="0037797A">
              <w:rPr>
                <w:rFonts w:eastAsiaTheme="minorEastAsia"/>
              </w:rPr>
              <w:t xml:space="preserve">2. </w:t>
            </w:r>
            <w:r>
              <w:rPr>
                <w:rFonts w:eastAsiaTheme="minorEastAsia"/>
              </w:rPr>
              <w:t xml:space="preserve">uzdevumu </w:t>
            </w:r>
            <w:r w:rsidRPr="0037797A">
              <w:rPr>
                <w:rFonts w:eastAsiaTheme="minorEastAsia"/>
              </w:rPr>
              <w:t>Iekšlietu ministrijai normatīvajos aktos noteiktajā kārtībā sagatavot un iesniegt Finanšu ministrijā pieprasījumu par šā rīkojuma 1.punktā minēto līdzekļu piešķiršanu no valsts budžeta programmas 02.00.00 "Līdzekļi neparedzētiem gadījumiem" atbilstoši faktiski nepieciešamajam apmēram</w:t>
            </w:r>
            <w:r>
              <w:rPr>
                <w:rFonts w:eastAsiaTheme="minorEastAsia"/>
              </w:rPr>
              <w:t>;</w:t>
            </w:r>
          </w:p>
          <w:p w14:paraId="22EA2A32" w14:textId="7B19C890" w:rsidR="00CE77BF" w:rsidRPr="00CE77BF" w:rsidRDefault="00430592" w:rsidP="0037797A">
            <w:pPr>
              <w:jc w:val="both"/>
              <w:rPr>
                <w:shd w:val="clear" w:color="auto" w:fill="FFFFFF"/>
              </w:rPr>
            </w:pPr>
            <w:r w:rsidRPr="0037797A">
              <w:rPr>
                <w:rFonts w:eastAsiaTheme="minorEastAsia"/>
              </w:rPr>
              <w:t xml:space="preserve">3. </w:t>
            </w:r>
            <w:r>
              <w:rPr>
                <w:rFonts w:eastAsiaTheme="minorEastAsia"/>
              </w:rPr>
              <w:t>uzdevumu f</w:t>
            </w:r>
            <w:r w:rsidRPr="0037797A">
              <w:rPr>
                <w:rFonts w:eastAsiaTheme="minorEastAsia"/>
              </w:rPr>
              <w:t>inanšu ministram normatīvajos aktos noteiktajā kārtībā informēt Saeimas Budžeta un finanšu (nodokļu) komisiju par apropriācijas izmaiņām atbilstoši šā rīkojuma 1.punktam un, ja Saeimas Budžeta un finanšu (nodokļu) komisija piecu darba dienu laikā no attiecīgās informācijas saņemšanas dienas nav izteikusi iebildumus, veikt apropriācijas pārdali.</w:t>
            </w:r>
          </w:p>
        </w:tc>
      </w:tr>
      <w:tr w:rsidR="00552A2D" w14:paraId="2F2F9FE4" w14:textId="77777777" w:rsidTr="00085D2B">
        <w:tc>
          <w:tcPr>
            <w:tcW w:w="568" w:type="dxa"/>
          </w:tcPr>
          <w:p w14:paraId="136457D2" w14:textId="1C2C7A57" w:rsidR="0067254E" w:rsidRPr="008F0E21" w:rsidRDefault="005540F4" w:rsidP="0067254E">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lastRenderedPageBreak/>
              <w:t>3.</w:t>
            </w:r>
          </w:p>
        </w:tc>
        <w:tc>
          <w:tcPr>
            <w:tcW w:w="2409" w:type="dxa"/>
          </w:tcPr>
          <w:p w14:paraId="0B89C75E" w14:textId="77777777" w:rsidR="0067254E" w:rsidRPr="008F0E21" w:rsidRDefault="005540F4" w:rsidP="0067254E">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Projekta izstrādē iesaistītās institūcijas un publiskas personas kapitālsabiedrības</w:t>
            </w:r>
          </w:p>
        </w:tc>
        <w:tc>
          <w:tcPr>
            <w:tcW w:w="6379" w:type="dxa"/>
          </w:tcPr>
          <w:p w14:paraId="3FB21DD7" w14:textId="5B5F146B" w:rsidR="0067254E" w:rsidRPr="008F0E21" w:rsidRDefault="00166DBD" w:rsidP="0037797A">
            <w:pPr>
              <w:pStyle w:val="NoSpacing"/>
              <w:ind w:firstLine="318"/>
              <w:rPr>
                <w:rFonts w:ascii="Times New Roman" w:hAnsi="Times New Roman" w:cs="Times New Roman"/>
                <w:sz w:val="24"/>
                <w:szCs w:val="24"/>
                <w:lang w:eastAsia="lv-LV"/>
              </w:rPr>
            </w:pPr>
            <w:r w:rsidRPr="00F319E0">
              <w:rPr>
                <w:rFonts w:ascii="Times New Roman" w:hAnsi="Times New Roman" w:cs="Times New Roman"/>
                <w:sz w:val="24"/>
                <w:szCs w:val="24"/>
              </w:rPr>
              <w:t>Iekšlietu ministrija</w:t>
            </w:r>
            <w:r w:rsidR="00914470">
              <w:rPr>
                <w:rFonts w:ascii="Times New Roman" w:hAnsi="Times New Roman" w:cs="Times New Roman"/>
                <w:sz w:val="24"/>
                <w:szCs w:val="24"/>
              </w:rPr>
              <w:t>,</w:t>
            </w:r>
            <w:r w:rsidRPr="00F319E0">
              <w:rPr>
                <w:rFonts w:ascii="Times New Roman" w:hAnsi="Times New Roman" w:cs="Times New Roman"/>
                <w:sz w:val="24"/>
                <w:szCs w:val="24"/>
              </w:rPr>
              <w:t xml:space="preserve"> Iekšlietu ministrijas</w:t>
            </w:r>
            <w:r w:rsidR="005540F4" w:rsidRPr="00F319E0">
              <w:rPr>
                <w:rFonts w:ascii="Times New Roman" w:hAnsi="Times New Roman" w:cs="Times New Roman"/>
                <w:sz w:val="24"/>
                <w:szCs w:val="24"/>
              </w:rPr>
              <w:t xml:space="preserve"> Informācijas centrs</w:t>
            </w:r>
            <w:r w:rsidR="00914470">
              <w:rPr>
                <w:rFonts w:ascii="Times New Roman" w:hAnsi="Times New Roman" w:cs="Times New Roman"/>
                <w:sz w:val="24"/>
                <w:szCs w:val="24"/>
              </w:rPr>
              <w:t>.</w:t>
            </w:r>
          </w:p>
        </w:tc>
      </w:tr>
      <w:tr w:rsidR="00552A2D" w14:paraId="0A40B2A0" w14:textId="77777777" w:rsidTr="00085D2B">
        <w:tc>
          <w:tcPr>
            <w:tcW w:w="568" w:type="dxa"/>
          </w:tcPr>
          <w:p w14:paraId="5115BF0D" w14:textId="77777777" w:rsidR="0067254E" w:rsidRPr="008F0E21" w:rsidRDefault="005540F4" w:rsidP="0067254E">
            <w:pPr>
              <w:pStyle w:val="NoSpacing"/>
              <w:jc w:val="center"/>
              <w:rPr>
                <w:rFonts w:ascii="Times New Roman" w:hAnsi="Times New Roman" w:cs="Times New Roman"/>
                <w:sz w:val="24"/>
                <w:szCs w:val="24"/>
                <w:lang w:eastAsia="lv-LV"/>
              </w:rPr>
            </w:pPr>
            <w:r w:rsidRPr="008F0E21">
              <w:rPr>
                <w:rFonts w:ascii="Times New Roman" w:hAnsi="Times New Roman" w:cs="Times New Roman"/>
                <w:sz w:val="24"/>
                <w:szCs w:val="24"/>
                <w:lang w:eastAsia="lv-LV"/>
              </w:rPr>
              <w:t>4.</w:t>
            </w:r>
          </w:p>
        </w:tc>
        <w:tc>
          <w:tcPr>
            <w:tcW w:w="2409" w:type="dxa"/>
          </w:tcPr>
          <w:p w14:paraId="4A4F2BAA" w14:textId="77777777" w:rsidR="0067254E" w:rsidRPr="008F0E21" w:rsidRDefault="005540F4" w:rsidP="0067254E">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Cita informācija</w:t>
            </w:r>
          </w:p>
        </w:tc>
        <w:tc>
          <w:tcPr>
            <w:tcW w:w="6379" w:type="dxa"/>
          </w:tcPr>
          <w:p w14:paraId="5A4AFFB5" w14:textId="01DE9181" w:rsidR="0067254E" w:rsidRPr="008F0E21" w:rsidRDefault="005540F4" w:rsidP="0067254E">
            <w:pPr>
              <w:pStyle w:val="NoSpacing"/>
              <w:jc w:val="both"/>
              <w:rPr>
                <w:rFonts w:ascii="Times New Roman" w:hAnsi="Times New Roman" w:cs="Times New Roman"/>
                <w:sz w:val="24"/>
                <w:szCs w:val="24"/>
                <w:lang w:eastAsia="lv-LV"/>
              </w:rPr>
            </w:pPr>
            <w:r w:rsidRPr="008F0E21">
              <w:rPr>
                <w:rFonts w:ascii="Times New Roman" w:hAnsi="Times New Roman" w:cs="Times New Roman"/>
                <w:sz w:val="24"/>
                <w:szCs w:val="24"/>
                <w:lang w:eastAsia="lv-LV"/>
              </w:rPr>
              <w:t>Nav</w:t>
            </w:r>
            <w:r w:rsidR="00914470">
              <w:rPr>
                <w:rFonts w:ascii="Times New Roman" w:hAnsi="Times New Roman" w:cs="Times New Roman"/>
                <w:sz w:val="24"/>
                <w:szCs w:val="24"/>
                <w:lang w:eastAsia="lv-LV"/>
              </w:rPr>
              <w:t>.</w:t>
            </w:r>
          </w:p>
        </w:tc>
      </w:tr>
    </w:tbl>
    <w:p w14:paraId="6F115EDE" w14:textId="77777777" w:rsidR="00EC6E12" w:rsidRPr="008F0E21" w:rsidRDefault="00EC6E12" w:rsidP="00EC6E12">
      <w:pPr>
        <w:pStyle w:val="NoSpacing"/>
        <w:jc w:val="center"/>
        <w:rPr>
          <w:rFonts w:ascii="Times New Roman" w:hAnsi="Times New Roman" w:cs="Times New Roman"/>
          <w:sz w:val="24"/>
          <w:szCs w:val="24"/>
          <w:lang w:eastAsia="lv-LV"/>
        </w:rPr>
      </w:pPr>
    </w:p>
    <w:tbl>
      <w:tblPr>
        <w:tblStyle w:val="TableGrid"/>
        <w:tblW w:w="9356" w:type="dxa"/>
        <w:tblInd w:w="-147" w:type="dxa"/>
        <w:tblLook w:val="04A0" w:firstRow="1" w:lastRow="0" w:firstColumn="1" w:lastColumn="0" w:noHBand="0" w:noVBand="1"/>
      </w:tblPr>
      <w:tblGrid>
        <w:gridCol w:w="9356"/>
      </w:tblGrid>
      <w:tr w:rsidR="00552A2D" w14:paraId="7EB32641" w14:textId="77777777" w:rsidTr="006936E5">
        <w:tc>
          <w:tcPr>
            <w:tcW w:w="9356" w:type="dxa"/>
          </w:tcPr>
          <w:p w14:paraId="08715414" w14:textId="77777777" w:rsidR="00EC6E12" w:rsidRPr="008F0E21" w:rsidRDefault="005540F4" w:rsidP="003903BF">
            <w:pPr>
              <w:pStyle w:val="NoSpacing"/>
              <w:jc w:val="center"/>
              <w:rPr>
                <w:rFonts w:ascii="Times New Roman" w:hAnsi="Times New Roman" w:cs="Times New Roman"/>
                <w:b/>
                <w:sz w:val="24"/>
                <w:szCs w:val="24"/>
                <w:lang w:eastAsia="lv-LV"/>
              </w:rPr>
            </w:pPr>
            <w:r w:rsidRPr="008F0E21">
              <w:rPr>
                <w:rFonts w:ascii="Times New Roman" w:hAnsi="Times New Roman" w:cs="Times New Roman"/>
                <w:b/>
                <w:iCs/>
                <w:sz w:val="24"/>
                <w:szCs w:val="24"/>
                <w:lang w:eastAsia="lv-LV"/>
              </w:rPr>
              <w:t>II. Tiesību akta projekta ietekme uz sabiedrību, tautsaimniecības attīstību un administratīvo slogu</w:t>
            </w:r>
          </w:p>
        </w:tc>
      </w:tr>
      <w:tr w:rsidR="00552A2D" w14:paraId="6933CE41" w14:textId="77777777" w:rsidTr="006936E5">
        <w:tc>
          <w:tcPr>
            <w:tcW w:w="9356" w:type="dxa"/>
          </w:tcPr>
          <w:p w14:paraId="39CF8526" w14:textId="77777777" w:rsidR="00155578" w:rsidRPr="008F0E21" w:rsidRDefault="005540F4" w:rsidP="003903BF">
            <w:pPr>
              <w:pStyle w:val="NoSpacing"/>
              <w:jc w:val="center"/>
              <w:rPr>
                <w:rFonts w:ascii="Times New Roman" w:hAnsi="Times New Roman" w:cs="Times New Roman"/>
                <w:b/>
                <w:iCs/>
                <w:sz w:val="24"/>
                <w:szCs w:val="24"/>
                <w:lang w:eastAsia="lv-LV"/>
              </w:rPr>
            </w:pPr>
            <w:r w:rsidRPr="008F0E21">
              <w:rPr>
                <w:rFonts w:ascii="Times New Roman" w:hAnsi="Times New Roman" w:cs="Times New Roman"/>
                <w:sz w:val="24"/>
                <w:szCs w:val="24"/>
              </w:rPr>
              <w:t>Projekts šo jomu neskar</w:t>
            </w:r>
          </w:p>
        </w:tc>
      </w:tr>
    </w:tbl>
    <w:p w14:paraId="037C9073" w14:textId="77777777" w:rsidR="00842AD1" w:rsidRPr="008F0E21" w:rsidRDefault="005540F4" w:rsidP="00EC6E1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 xml:space="preserve">  </w:t>
      </w:r>
    </w:p>
    <w:tbl>
      <w:tblPr>
        <w:tblStyle w:val="TableGrid"/>
        <w:tblW w:w="9356" w:type="dxa"/>
        <w:jc w:val="center"/>
        <w:tblLayout w:type="fixed"/>
        <w:tblLook w:val="04A0" w:firstRow="1" w:lastRow="0" w:firstColumn="1" w:lastColumn="0" w:noHBand="0" w:noVBand="1"/>
      </w:tblPr>
      <w:tblGrid>
        <w:gridCol w:w="1702"/>
        <w:gridCol w:w="992"/>
        <w:gridCol w:w="1268"/>
        <w:gridCol w:w="1000"/>
        <w:gridCol w:w="1134"/>
        <w:gridCol w:w="992"/>
        <w:gridCol w:w="992"/>
        <w:gridCol w:w="1276"/>
      </w:tblGrid>
      <w:tr w:rsidR="00552A2D" w14:paraId="07544BE5" w14:textId="77777777" w:rsidTr="002824A8">
        <w:trPr>
          <w:jc w:val="center"/>
        </w:trPr>
        <w:tc>
          <w:tcPr>
            <w:tcW w:w="9356" w:type="dxa"/>
            <w:gridSpan w:val="8"/>
          </w:tcPr>
          <w:p w14:paraId="5CBE306A" w14:textId="77777777" w:rsidR="00842AD1" w:rsidRPr="008F0E21" w:rsidRDefault="005540F4" w:rsidP="00842AD1">
            <w:pPr>
              <w:pStyle w:val="NoSpacing"/>
              <w:jc w:val="center"/>
              <w:rPr>
                <w:rFonts w:ascii="Times New Roman" w:hAnsi="Times New Roman" w:cs="Times New Roman"/>
                <w:b/>
                <w:iCs/>
                <w:sz w:val="24"/>
                <w:szCs w:val="24"/>
                <w:lang w:eastAsia="lv-LV"/>
              </w:rPr>
            </w:pPr>
            <w:r w:rsidRPr="008F0E21">
              <w:rPr>
                <w:rFonts w:ascii="Times New Roman" w:hAnsi="Times New Roman" w:cs="Times New Roman"/>
                <w:b/>
                <w:iCs/>
                <w:sz w:val="24"/>
                <w:szCs w:val="24"/>
                <w:lang w:eastAsia="lv-LV"/>
              </w:rPr>
              <w:t>III. Tiesību akta projekta ietekme uz valsts budžetu un pašvaldību budžetiem</w:t>
            </w:r>
          </w:p>
        </w:tc>
      </w:tr>
      <w:tr w:rsidR="00552A2D" w14:paraId="700680B4" w14:textId="77777777" w:rsidTr="002824A8">
        <w:trPr>
          <w:jc w:val="center"/>
        </w:trPr>
        <w:tc>
          <w:tcPr>
            <w:tcW w:w="1702" w:type="dxa"/>
            <w:vMerge w:val="restart"/>
          </w:tcPr>
          <w:p w14:paraId="47F04D8F" w14:textId="77777777" w:rsidR="00842AD1" w:rsidRPr="008F0E21" w:rsidRDefault="005540F4" w:rsidP="00EC6E1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Rādītāji</w:t>
            </w:r>
          </w:p>
        </w:tc>
        <w:tc>
          <w:tcPr>
            <w:tcW w:w="2260" w:type="dxa"/>
            <w:gridSpan w:val="2"/>
            <w:vMerge w:val="restart"/>
          </w:tcPr>
          <w:p w14:paraId="68DC37B8" w14:textId="2E329FBA" w:rsidR="00842AD1" w:rsidRPr="008F0E21" w:rsidRDefault="005540F4" w:rsidP="00F319E0">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w:t>
            </w:r>
            <w:r w:rsidR="00F319E0">
              <w:rPr>
                <w:rFonts w:ascii="Times New Roman" w:hAnsi="Times New Roman" w:cs="Times New Roman"/>
                <w:iCs/>
                <w:sz w:val="24"/>
                <w:szCs w:val="24"/>
                <w:lang w:eastAsia="lv-LV"/>
              </w:rPr>
              <w:t>20</w:t>
            </w:r>
            <w:r w:rsidRPr="008F0E21">
              <w:rPr>
                <w:rFonts w:ascii="Times New Roman" w:hAnsi="Times New Roman" w:cs="Times New Roman"/>
                <w:iCs/>
                <w:sz w:val="24"/>
                <w:szCs w:val="24"/>
                <w:lang w:eastAsia="lv-LV"/>
              </w:rPr>
              <w:t>. gads</w:t>
            </w:r>
          </w:p>
        </w:tc>
        <w:tc>
          <w:tcPr>
            <w:tcW w:w="5394" w:type="dxa"/>
            <w:gridSpan w:val="5"/>
          </w:tcPr>
          <w:p w14:paraId="635286B4" w14:textId="77777777" w:rsidR="00842AD1" w:rsidRPr="008F0E21" w:rsidRDefault="005540F4" w:rsidP="00EC6E12">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Turpmākie trīs gadi (</w:t>
            </w:r>
            <w:proofErr w:type="spellStart"/>
            <w:r w:rsidRPr="008F0E21">
              <w:rPr>
                <w:rFonts w:ascii="Times New Roman" w:hAnsi="Times New Roman" w:cs="Times New Roman"/>
                <w:i/>
                <w:iCs/>
                <w:sz w:val="24"/>
                <w:szCs w:val="24"/>
                <w:lang w:eastAsia="lv-LV"/>
              </w:rPr>
              <w:t>euro</w:t>
            </w:r>
            <w:proofErr w:type="spellEnd"/>
            <w:r w:rsidRPr="008F0E21">
              <w:rPr>
                <w:rFonts w:ascii="Times New Roman" w:hAnsi="Times New Roman" w:cs="Times New Roman"/>
                <w:iCs/>
                <w:sz w:val="24"/>
                <w:szCs w:val="24"/>
                <w:lang w:eastAsia="lv-LV"/>
              </w:rPr>
              <w:t>)</w:t>
            </w:r>
          </w:p>
        </w:tc>
      </w:tr>
      <w:tr w:rsidR="00552A2D" w14:paraId="362C2D4C" w14:textId="77777777" w:rsidTr="002824A8">
        <w:trPr>
          <w:jc w:val="center"/>
        </w:trPr>
        <w:tc>
          <w:tcPr>
            <w:tcW w:w="1702" w:type="dxa"/>
            <w:vMerge/>
          </w:tcPr>
          <w:p w14:paraId="44846703" w14:textId="77777777" w:rsidR="00842AD1" w:rsidRPr="008F0E21" w:rsidRDefault="00842AD1" w:rsidP="00EC6E12">
            <w:pPr>
              <w:pStyle w:val="NoSpacing"/>
              <w:rPr>
                <w:rFonts w:ascii="Times New Roman" w:hAnsi="Times New Roman" w:cs="Times New Roman"/>
                <w:iCs/>
                <w:sz w:val="24"/>
                <w:szCs w:val="24"/>
                <w:lang w:eastAsia="lv-LV"/>
              </w:rPr>
            </w:pPr>
          </w:p>
        </w:tc>
        <w:tc>
          <w:tcPr>
            <w:tcW w:w="2260" w:type="dxa"/>
            <w:gridSpan w:val="2"/>
            <w:vMerge/>
          </w:tcPr>
          <w:p w14:paraId="2670AE0A" w14:textId="77777777" w:rsidR="00842AD1" w:rsidRPr="008F0E21" w:rsidRDefault="00842AD1" w:rsidP="00EC6E12">
            <w:pPr>
              <w:pStyle w:val="NoSpacing"/>
              <w:rPr>
                <w:rFonts w:ascii="Times New Roman" w:hAnsi="Times New Roman" w:cs="Times New Roman"/>
                <w:iCs/>
                <w:sz w:val="24"/>
                <w:szCs w:val="24"/>
                <w:lang w:eastAsia="lv-LV"/>
              </w:rPr>
            </w:pPr>
          </w:p>
        </w:tc>
        <w:tc>
          <w:tcPr>
            <w:tcW w:w="2134" w:type="dxa"/>
            <w:gridSpan w:val="2"/>
          </w:tcPr>
          <w:p w14:paraId="4BD18834" w14:textId="25FD6EDA" w:rsidR="00842AD1" w:rsidRPr="008F0E21" w:rsidRDefault="005540F4" w:rsidP="00F319E0">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w:t>
            </w:r>
            <w:r w:rsidR="00F319E0">
              <w:rPr>
                <w:rFonts w:ascii="Times New Roman" w:hAnsi="Times New Roman" w:cs="Times New Roman"/>
                <w:iCs/>
                <w:sz w:val="24"/>
                <w:szCs w:val="24"/>
                <w:lang w:eastAsia="lv-LV"/>
              </w:rPr>
              <w:t>21</w:t>
            </w:r>
            <w:r w:rsidRPr="008F0E21">
              <w:rPr>
                <w:rFonts w:ascii="Times New Roman" w:hAnsi="Times New Roman" w:cs="Times New Roman"/>
                <w:iCs/>
                <w:sz w:val="24"/>
                <w:szCs w:val="24"/>
                <w:lang w:eastAsia="lv-LV"/>
              </w:rPr>
              <w:t>. gads</w:t>
            </w:r>
          </w:p>
        </w:tc>
        <w:tc>
          <w:tcPr>
            <w:tcW w:w="1984" w:type="dxa"/>
            <w:gridSpan w:val="2"/>
          </w:tcPr>
          <w:p w14:paraId="4063132C" w14:textId="5C450639" w:rsidR="00842AD1" w:rsidRPr="008F0E21" w:rsidRDefault="005540F4" w:rsidP="00F319E0">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202</w:t>
            </w:r>
            <w:r w:rsidR="00F319E0">
              <w:rPr>
                <w:rFonts w:ascii="Times New Roman" w:hAnsi="Times New Roman" w:cs="Times New Roman"/>
                <w:iCs/>
                <w:sz w:val="24"/>
                <w:szCs w:val="24"/>
                <w:lang w:eastAsia="lv-LV"/>
              </w:rPr>
              <w:t>2</w:t>
            </w:r>
            <w:r w:rsidRPr="008F0E21">
              <w:rPr>
                <w:rFonts w:ascii="Times New Roman" w:hAnsi="Times New Roman" w:cs="Times New Roman"/>
                <w:iCs/>
                <w:sz w:val="24"/>
                <w:szCs w:val="24"/>
                <w:lang w:eastAsia="lv-LV"/>
              </w:rPr>
              <w:t>. gads</w:t>
            </w:r>
          </w:p>
        </w:tc>
        <w:tc>
          <w:tcPr>
            <w:tcW w:w="1276" w:type="dxa"/>
          </w:tcPr>
          <w:p w14:paraId="33E3687C" w14:textId="48D1AC43" w:rsidR="00842AD1" w:rsidRPr="00246588" w:rsidRDefault="005540F4" w:rsidP="00F64D6A">
            <w:pPr>
              <w:pStyle w:val="NoSpacing"/>
              <w:rPr>
                <w:rFonts w:ascii="Times New Roman" w:hAnsi="Times New Roman" w:cs="Times New Roman"/>
                <w:iCs/>
                <w:sz w:val="24"/>
                <w:szCs w:val="24"/>
                <w:lang w:eastAsia="lv-LV"/>
              </w:rPr>
            </w:pPr>
            <w:r w:rsidRPr="00246588">
              <w:rPr>
                <w:rFonts w:ascii="Times New Roman" w:hAnsi="Times New Roman" w:cs="Times New Roman"/>
                <w:iCs/>
                <w:sz w:val="24"/>
                <w:szCs w:val="24"/>
                <w:lang w:eastAsia="lv-LV"/>
              </w:rPr>
              <w:t>202</w:t>
            </w:r>
            <w:r w:rsidR="00F64D6A" w:rsidRPr="00246588">
              <w:rPr>
                <w:rFonts w:ascii="Times New Roman" w:hAnsi="Times New Roman" w:cs="Times New Roman"/>
                <w:iCs/>
                <w:sz w:val="24"/>
                <w:szCs w:val="24"/>
                <w:lang w:eastAsia="lv-LV"/>
              </w:rPr>
              <w:t>3</w:t>
            </w:r>
            <w:r w:rsidRPr="00246588">
              <w:rPr>
                <w:rFonts w:ascii="Times New Roman" w:hAnsi="Times New Roman" w:cs="Times New Roman"/>
                <w:iCs/>
                <w:sz w:val="24"/>
                <w:szCs w:val="24"/>
                <w:lang w:eastAsia="lv-LV"/>
              </w:rPr>
              <w:t>. gads</w:t>
            </w:r>
          </w:p>
        </w:tc>
      </w:tr>
      <w:tr w:rsidR="00552A2D" w14:paraId="7ACE5809" w14:textId="77777777" w:rsidTr="002824A8">
        <w:trPr>
          <w:jc w:val="center"/>
        </w:trPr>
        <w:tc>
          <w:tcPr>
            <w:tcW w:w="1702" w:type="dxa"/>
            <w:vMerge/>
          </w:tcPr>
          <w:p w14:paraId="57D284B0" w14:textId="77777777" w:rsidR="00842AD1" w:rsidRPr="008F0E21" w:rsidRDefault="00842AD1" w:rsidP="00EC6E12">
            <w:pPr>
              <w:pStyle w:val="NoSpacing"/>
              <w:rPr>
                <w:rFonts w:ascii="Times New Roman" w:hAnsi="Times New Roman" w:cs="Times New Roman"/>
                <w:iCs/>
                <w:sz w:val="24"/>
                <w:szCs w:val="24"/>
                <w:lang w:eastAsia="lv-LV"/>
              </w:rPr>
            </w:pPr>
          </w:p>
        </w:tc>
        <w:tc>
          <w:tcPr>
            <w:tcW w:w="992" w:type="dxa"/>
          </w:tcPr>
          <w:p w14:paraId="42394A19" w14:textId="77777777" w:rsidR="00842AD1"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saskaņā ar valsts budžetu kārtējam gadam</w:t>
            </w:r>
          </w:p>
        </w:tc>
        <w:tc>
          <w:tcPr>
            <w:tcW w:w="1268" w:type="dxa"/>
          </w:tcPr>
          <w:p w14:paraId="2ADC8C15" w14:textId="77777777" w:rsidR="00842AD1"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izmaiņas kārtējā gadā, salīdzinot ar valsts budžetu kārtējam gadam</w:t>
            </w:r>
          </w:p>
        </w:tc>
        <w:tc>
          <w:tcPr>
            <w:tcW w:w="1000" w:type="dxa"/>
          </w:tcPr>
          <w:p w14:paraId="69F6C3CA" w14:textId="77777777" w:rsidR="00842AD1" w:rsidRPr="008F0E21" w:rsidRDefault="005540F4" w:rsidP="00842AD1">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saskaņā ar vidēja termiņa budžeta ietvaru</w:t>
            </w:r>
          </w:p>
        </w:tc>
        <w:tc>
          <w:tcPr>
            <w:tcW w:w="1134" w:type="dxa"/>
          </w:tcPr>
          <w:p w14:paraId="3AC20522" w14:textId="77777777" w:rsidR="006E71F7" w:rsidRPr="00246588" w:rsidRDefault="005540F4" w:rsidP="00842AD1">
            <w:pPr>
              <w:pStyle w:val="NoSpacing"/>
              <w:jc w:val="both"/>
              <w:rPr>
                <w:rFonts w:ascii="Times New Roman" w:hAnsi="Times New Roman" w:cs="Times New Roman"/>
                <w:iCs/>
                <w:sz w:val="24"/>
                <w:szCs w:val="24"/>
                <w:lang w:eastAsia="lv-LV"/>
              </w:rPr>
            </w:pPr>
            <w:r w:rsidRPr="00246588">
              <w:rPr>
                <w:rFonts w:ascii="Times New Roman" w:hAnsi="Times New Roman" w:cs="Times New Roman"/>
                <w:iCs/>
                <w:sz w:val="24"/>
                <w:szCs w:val="24"/>
                <w:lang w:eastAsia="lv-LV"/>
              </w:rPr>
              <w:t>izmaiņas, salīdzi-</w:t>
            </w:r>
          </w:p>
          <w:p w14:paraId="404BC0A5" w14:textId="2756B9AD" w:rsidR="00842AD1" w:rsidRPr="00246588" w:rsidRDefault="005540F4" w:rsidP="00F64D6A">
            <w:pPr>
              <w:pStyle w:val="NoSpacing"/>
              <w:jc w:val="both"/>
              <w:rPr>
                <w:rFonts w:ascii="Times New Roman" w:hAnsi="Times New Roman" w:cs="Times New Roman"/>
                <w:iCs/>
                <w:sz w:val="24"/>
                <w:szCs w:val="24"/>
                <w:lang w:eastAsia="lv-LV"/>
              </w:rPr>
            </w:pPr>
            <w:proofErr w:type="spellStart"/>
            <w:r w:rsidRPr="00246588">
              <w:rPr>
                <w:rFonts w:ascii="Times New Roman" w:hAnsi="Times New Roman" w:cs="Times New Roman"/>
                <w:iCs/>
                <w:sz w:val="24"/>
                <w:szCs w:val="24"/>
                <w:lang w:eastAsia="lv-LV"/>
              </w:rPr>
              <w:t>not</w:t>
            </w:r>
            <w:proofErr w:type="spellEnd"/>
            <w:r w:rsidRPr="00246588">
              <w:rPr>
                <w:rFonts w:ascii="Times New Roman" w:hAnsi="Times New Roman" w:cs="Times New Roman"/>
                <w:iCs/>
                <w:sz w:val="24"/>
                <w:szCs w:val="24"/>
                <w:lang w:eastAsia="lv-LV"/>
              </w:rPr>
              <w:t xml:space="preserve"> ar vidēja termiņa budžeta ietvaru</w:t>
            </w:r>
            <w:r w:rsidR="00F64D6A" w:rsidRPr="00246588">
              <w:rPr>
                <w:rFonts w:ascii="Times New Roman" w:hAnsi="Times New Roman" w:cs="Times New Roman"/>
                <w:iCs/>
                <w:sz w:val="24"/>
                <w:szCs w:val="24"/>
                <w:lang w:eastAsia="lv-LV"/>
              </w:rPr>
              <w:t xml:space="preserve"> 2021</w:t>
            </w:r>
            <w:r w:rsidR="00037CA6" w:rsidRPr="00246588">
              <w:rPr>
                <w:rFonts w:ascii="Times New Roman" w:hAnsi="Times New Roman" w:cs="Times New Roman"/>
                <w:iCs/>
                <w:sz w:val="24"/>
                <w:szCs w:val="24"/>
                <w:lang w:eastAsia="lv-LV"/>
              </w:rPr>
              <w:t>.</w:t>
            </w:r>
            <w:r w:rsidRPr="00246588">
              <w:rPr>
                <w:rFonts w:ascii="Times New Roman" w:hAnsi="Times New Roman" w:cs="Times New Roman"/>
                <w:iCs/>
                <w:sz w:val="24"/>
                <w:szCs w:val="24"/>
                <w:lang w:eastAsia="lv-LV"/>
              </w:rPr>
              <w:t xml:space="preserve"> gadam</w:t>
            </w:r>
          </w:p>
        </w:tc>
        <w:tc>
          <w:tcPr>
            <w:tcW w:w="992" w:type="dxa"/>
          </w:tcPr>
          <w:p w14:paraId="352A44DF" w14:textId="77777777" w:rsidR="00842AD1" w:rsidRPr="00246588" w:rsidRDefault="005540F4" w:rsidP="00842AD1">
            <w:pPr>
              <w:pStyle w:val="NoSpacing"/>
              <w:jc w:val="both"/>
              <w:rPr>
                <w:rFonts w:ascii="Times New Roman" w:hAnsi="Times New Roman" w:cs="Times New Roman"/>
                <w:iCs/>
                <w:sz w:val="24"/>
                <w:szCs w:val="24"/>
                <w:lang w:eastAsia="lv-LV"/>
              </w:rPr>
            </w:pPr>
            <w:r w:rsidRPr="00246588">
              <w:rPr>
                <w:rFonts w:ascii="Times New Roman" w:hAnsi="Times New Roman" w:cs="Times New Roman"/>
                <w:iCs/>
                <w:sz w:val="24"/>
                <w:szCs w:val="24"/>
                <w:lang w:eastAsia="lv-LV"/>
              </w:rPr>
              <w:t>saskaņā ar vidēja termiņa budžeta ietvaru</w:t>
            </w:r>
          </w:p>
        </w:tc>
        <w:tc>
          <w:tcPr>
            <w:tcW w:w="992" w:type="dxa"/>
          </w:tcPr>
          <w:p w14:paraId="31A0EB11" w14:textId="77777777" w:rsidR="00037CA6" w:rsidRPr="00246588" w:rsidRDefault="005540F4" w:rsidP="00842AD1">
            <w:pPr>
              <w:pStyle w:val="NoSpacing"/>
              <w:jc w:val="both"/>
              <w:rPr>
                <w:rFonts w:ascii="Times New Roman" w:hAnsi="Times New Roman" w:cs="Times New Roman"/>
                <w:iCs/>
                <w:sz w:val="24"/>
                <w:szCs w:val="24"/>
                <w:lang w:eastAsia="lv-LV"/>
              </w:rPr>
            </w:pPr>
            <w:proofErr w:type="spellStart"/>
            <w:r w:rsidRPr="00246588">
              <w:rPr>
                <w:rFonts w:ascii="Times New Roman" w:hAnsi="Times New Roman" w:cs="Times New Roman"/>
                <w:iCs/>
                <w:sz w:val="24"/>
                <w:szCs w:val="24"/>
                <w:lang w:eastAsia="lv-LV"/>
              </w:rPr>
              <w:t>I</w:t>
            </w:r>
            <w:r w:rsidR="00842AD1" w:rsidRPr="00246588">
              <w:rPr>
                <w:rFonts w:ascii="Times New Roman" w:hAnsi="Times New Roman" w:cs="Times New Roman"/>
                <w:iCs/>
                <w:sz w:val="24"/>
                <w:szCs w:val="24"/>
                <w:lang w:eastAsia="lv-LV"/>
              </w:rPr>
              <w:t>zmai</w:t>
            </w:r>
            <w:r w:rsidRPr="00246588">
              <w:rPr>
                <w:rFonts w:ascii="Times New Roman" w:hAnsi="Times New Roman" w:cs="Times New Roman"/>
                <w:iCs/>
                <w:sz w:val="24"/>
                <w:szCs w:val="24"/>
                <w:lang w:eastAsia="lv-LV"/>
              </w:rPr>
              <w:t>-</w:t>
            </w:r>
            <w:proofErr w:type="spellEnd"/>
          </w:p>
          <w:p w14:paraId="0566ACAB" w14:textId="77777777" w:rsidR="006E71F7" w:rsidRPr="00246588" w:rsidRDefault="005540F4" w:rsidP="00842AD1">
            <w:pPr>
              <w:pStyle w:val="NoSpacing"/>
              <w:jc w:val="both"/>
              <w:rPr>
                <w:rFonts w:ascii="Times New Roman" w:hAnsi="Times New Roman" w:cs="Times New Roman"/>
                <w:iCs/>
                <w:sz w:val="24"/>
                <w:szCs w:val="24"/>
                <w:lang w:eastAsia="lv-LV"/>
              </w:rPr>
            </w:pPr>
            <w:proofErr w:type="spellStart"/>
            <w:r w:rsidRPr="00246588">
              <w:rPr>
                <w:rFonts w:ascii="Times New Roman" w:hAnsi="Times New Roman" w:cs="Times New Roman"/>
                <w:iCs/>
                <w:sz w:val="24"/>
                <w:szCs w:val="24"/>
                <w:lang w:eastAsia="lv-LV"/>
              </w:rPr>
              <w:t>ņas</w:t>
            </w:r>
            <w:proofErr w:type="spellEnd"/>
            <w:r w:rsidRPr="00246588">
              <w:rPr>
                <w:rFonts w:ascii="Times New Roman" w:hAnsi="Times New Roman" w:cs="Times New Roman"/>
                <w:iCs/>
                <w:sz w:val="24"/>
                <w:szCs w:val="24"/>
                <w:lang w:eastAsia="lv-LV"/>
              </w:rPr>
              <w:t>, salīdzi-</w:t>
            </w:r>
          </w:p>
          <w:p w14:paraId="4EFAC628" w14:textId="255C9984" w:rsidR="00842AD1" w:rsidRPr="00246588" w:rsidRDefault="005540F4" w:rsidP="00F64D6A">
            <w:pPr>
              <w:pStyle w:val="NoSpacing"/>
              <w:jc w:val="both"/>
              <w:rPr>
                <w:rFonts w:ascii="Times New Roman" w:hAnsi="Times New Roman" w:cs="Times New Roman"/>
                <w:iCs/>
                <w:sz w:val="24"/>
                <w:szCs w:val="24"/>
                <w:lang w:eastAsia="lv-LV"/>
              </w:rPr>
            </w:pPr>
            <w:proofErr w:type="spellStart"/>
            <w:r w:rsidRPr="00246588">
              <w:rPr>
                <w:rFonts w:ascii="Times New Roman" w:hAnsi="Times New Roman" w:cs="Times New Roman"/>
                <w:iCs/>
                <w:sz w:val="24"/>
                <w:szCs w:val="24"/>
                <w:lang w:eastAsia="lv-LV"/>
              </w:rPr>
              <w:t>not</w:t>
            </w:r>
            <w:proofErr w:type="spellEnd"/>
            <w:r w:rsidRPr="00246588">
              <w:rPr>
                <w:rFonts w:ascii="Times New Roman" w:hAnsi="Times New Roman" w:cs="Times New Roman"/>
                <w:iCs/>
                <w:sz w:val="24"/>
                <w:szCs w:val="24"/>
                <w:lang w:eastAsia="lv-LV"/>
              </w:rPr>
              <w:t xml:space="preserve"> ar vidēja termiņa budžeta ietvaru </w:t>
            </w:r>
            <w:r w:rsidR="00037CA6" w:rsidRPr="00246588">
              <w:rPr>
                <w:rFonts w:ascii="Times New Roman" w:hAnsi="Times New Roman" w:cs="Times New Roman"/>
                <w:iCs/>
                <w:sz w:val="24"/>
                <w:szCs w:val="24"/>
                <w:lang w:eastAsia="lv-LV"/>
              </w:rPr>
              <w:t>202</w:t>
            </w:r>
            <w:r w:rsidR="00F64D6A" w:rsidRPr="00246588">
              <w:rPr>
                <w:rFonts w:ascii="Times New Roman" w:hAnsi="Times New Roman" w:cs="Times New Roman"/>
                <w:iCs/>
                <w:sz w:val="24"/>
                <w:szCs w:val="24"/>
                <w:lang w:eastAsia="lv-LV"/>
              </w:rPr>
              <w:t>2</w:t>
            </w:r>
            <w:r w:rsidR="00037CA6" w:rsidRPr="00246588">
              <w:rPr>
                <w:rFonts w:ascii="Times New Roman" w:hAnsi="Times New Roman" w:cs="Times New Roman"/>
                <w:iCs/>
                <w:sz w:val="24"/>
                <w:szCs w:val="24"/>
                <w:lang w:eastAsia="lv-LV"/>
              </w:rPr>
              <w:t>.</w:t>
            </w:r>
            <w:r w:rsidRPr="00246588">
              <w:rPr>
                <w:rFonts w:ascii="Times New Roman" w:hAnsi="Times New Roman" w:cs="Times New Roman"/>
                <w:iCs/>
                <w:sz w:val="24"/>
                <w:szCs w:val="24"/>
                <w:lang w:eastAsia="lv-LV"/>
              </w:rPr>
              <w:t xml:space="preserve"> gadam</w:t>
            </w:r>
          </w:p>
        </w:tc>
        <w:tc>
          <w:tcPr>
            <w:tcW w:w="1276" w:type="dxa"/>
          </w:tcPr>
          <w:p w14:paraId="0590C28E" w14:textId="77777777" w:rsidR="006E71F7" w:rsidRPr="00246588" w:rsidRDefault="005540F4" w:rsidP="00842AD1">
            <w:pPr>
              <w:pStyle w:val="NoSpacing"/>
              <w:jc w:val="both"/>
              <w:rPr>
                <w:rFonts w:ascii="Times New Roman" w:hAnsi="Times New Roman" w:cs="Times New Roman"/>
                <w:iCs/>
                <w:sz w:val="24"/>
                <w:szCs w:val="24"/>
                <w:lang w:eastAsia="lv-LV"/>
              </w:rPr>
            </w:pPr>
            <w:r w:rsidRPr="00246588">
              <w:rPr>
                <w:rFonts w:ascii="Times New Roman" w:hAnsi="Times New Roman" w:cs="Times New Roman"/>
                <w:iCs/>
                <w:sz w:val="24"/>
                <w:szCs w:val="24"/>
                <w:lang w:eastAsia="lv-LV"/>
              </w:rPr>
              <w:t>izmaiņas, salīdzi-</w:t>
            </w:r>
          </w:p>
          <w:p w14:paraId="1D8462C8" w14:textId="234ACCD3" w:rsidR="00842AD1" w:rsidRPr="00246588" w:rsidRDefault="005540F4" w:rsidP="00F64D6A">
            <w:pPr>
              <w:pStyle w:val="NoSpacing"/>
              <w:jc w:val="both"/>
              <w:rPr>
                <w:rFonts w:ascii="Times New Roman" w:hAnsi="Times New Roman" w:cs="Times New Roman"/>
                <w:iCs/>
                <w:sz w:val="24"/>
                <w:szCs w:val="24"/>
                <w:lang w:eastAsia="lv-LV"/>
              </w:rPr>
            </w:pPr>
            <w:proofErr w:type="spellStart"/>
            <w:r w:rsidRPr="00246588">
              <w:rPr>
                <w:rFonts w:ascii="Times New Roman" w:hAnsi="Times New Roman" w:cs="Times New Roman"/>
                <w:iCs/>
                <w:sz w:val="24"/>
                <w:szCs w:val="24"/>
                <w:lang w:eastAsia="lv-LV"/>
              </w:rPr>
              <w:t>not</w:t>
            </w:r>
            <w:proofErr w:type="spellEnd"/>
            <w:r w:rsidRPr="00246588">
              <w:rPr>
                <w:rFonts w:ascii="Times New Roman" w:hAnsi="Times New Roman" w:cs="Times New Roman"/>
                <w:iCs/>
                <w:sz w:val="24"/>
                <w:szCs w:val="24"/>
                <w:lang w:eastAsia="lv-LV"/>
              </w:rPr>
              <w:t xml:space="preserve"> ar vidēja termiņa budžeta ietvaru </w:t>
            </w:r>
            <w:r w:rsidR="00037CA6" w:rsidRPr="00246588">
              <w:rPr>
                <w:rFonts w:ascii="Times New Roman" w:hAnsi="Times New Roman" w:cs="Times New Roman"/>
                <w:iCs/>
                <w:sz w:val="24"/>
                <w:szCs w:val="24"/>
                <w:lang w:eastAsia="lv-LV"/>
              </w:rPr>
              <w:t>202</w:t>
            </w:r>
            <w:r w:rsidR="00F64D6A" w:rsidRPr="00246588">
              <w:rPr>
                <w:rFonts w:ascii="Times New Roman" w:hAnsi="Times New Roman" w:cs="Times New Roman"/>
                <w:iCs/>
                <w:sz w:val="24"/>
                <w:szCs w:val="24"/>
                <w:lang w:eastAsia="lv-LV"/>
              </w:rPr>
              <w:t>2</w:t>
            </w:r>
            <w:r w:rsidR="00037CA6" w:rsidRPr="00246588">
              <w:rPr>
                <w:rFonts w:ascii="Times New Roman" w:hAnsi="Times New Roman" w:cs="Times New Roman"/>
                <w:iCs/>
                <w:sz w:val="24"/>
                <w:szCs w:val="24"/>
                <w:lang w:eastAsia="lv-LV"/>
              </w:rPr>
              <w:t>.</w:t>
            </w:r>
            <w:r w:rsidRPr="00246588">
              <w:rPr>
                <w:rFonts w:ascii="Times New Roman" w:hAnsi="Times New Roman" w:cs="Times New Roman"/>
                <w:iCs/>
                <w:sz w:val="24"/>
                <w:szCs w:val="24"/>
                <w:lang w:eastAsia="lv-LV"/>
              </w:rPr>
              <w:t xml:space="preserve"> gadam</w:t>
            </w:r>
          </w:p>
        </w:tc>
      </w:tr>
      <w:tr w:rsidR="00552A2D" w14:paraId="00FABFB8" w14:textId="77777777" w:rsidTr="002824A8">
        <w:trPr>
          <w:jc w:val="center"/>
        </w:trPr>
        <w:tc>
          <w:tcPr>
            <w:tcW w:w="1702" w:type="dxa"/>
            <w:vAlign w:val="center"/>
          </w:tcPr>
          <w:p w14:paraId="5914591D"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1</w:t>
            </w:r>
          </w:p>
        </w:tc>
        <w:tc>
          <w:tcPr>
            <w:tcW w:w="992" w:type="dxa"/>
            <w:vAlign w:val="center"/>
          </w:tcPr>
          <w:p w14:paraId="7CAB9382"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2</w:t>
            </w:r>
          </w:p>
        </w:tc>
        <w:tc>
          <w:tcPr>
            <w:tcW w:w="1268" w:type="dxa"/>
            <w:vAlign w:val="center"/>
          </w:tcPr>
          <w:p w14:paraId="5D46EA98"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3</w:t>
            </w:r>
          </w:p>
        </w:tc>
        <w:tc>
          <w:tcPr>
            <w:tcW w:w="1000" w:type="dxa"/>
            <w:vAlign w:val="center"/>
          </w:tcPr>
          <w:p w14:paraId="04A2B98A"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4</w:t>
            </w:r>
          </w:p>
        </w:tc>
        <w:tc>
          <w:tcPr>
            <w:tcW w:w="1134" w:type="dxa"/>
            <w:vAlign w:val="center"/>
          </w:tcPr>
          <w:p w14:paraId="71B4A152"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5</w:t>
            </w:r>
          </w:p>
        </w:tc>
        <w:tc>
          <w:tcPr>
            <w:tcW w:w="992" w:type="dxa"/>
            <w:vAlign w:val="center"/>
          </w:tcPr>
          <w:p w14:paraId="399DBDDA"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6</w:t>
            </w:r>
          </w:p>
        </w:tc>
        <w:tc>
          <w:tcPr>
            <w:tcW w:w="992" w:type="dxa"/>
            <w:vAlign w:val="center"/>
          </w:tcPr>
          <w:p w14:paraId="73891FCC"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7</w:t>
            </w:r>
          </w:p>
        </w:tc>
        <w:tc>
          <w:tcPr>
            <w:tcW w:w="1276" w:type="dxa"/>
            <w:vAlign w:val="center"/>
          </w:tcPr>
          <w:p w14:paraId="6E95B983" w14:textId="77777777" w:rsidR="00842AD1" w:rsidRPr="008F0E21" w:rsidRDefault="005540F4" w:rsidP="00842AD1">
            <w:pPr>
              <w:pStyle w:val="NoSpacing"/>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8</w:t>
            </w:r>
          </w:p>
        </w:tc>
      </w:tr>
      <w:tr w:rsidR="00552A2D" w14:paraId="0329FA56" w14:textId="77777777" w:rsidTr="000A1EC2">
        <w:trPr>
          <w:jc w:val="center"/>
        </w:trPr>
        <w:tc>
          <w:tcPr>
            <w:tcW w:w="1702" w:type="dxa"/>
            <w:vAlign w:val="center"/>
          </w:tcPr>
          <w:p w14:paraId="2E99A354" w14:textId="77777777" w:rsidR="000A1EC2" w:rsidRPr="0037797A" w:rsidRDefault="005540F4" w:rsidP="000A1EC2">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1. Budžeta ieņēmumi</w:t>
            </w:r>
          </w:p>
        </w:tc>
        <w:tc>
          <w:tcPr>
            <w:tcW w:w="992" w:type="dxa"/>
            <w:vAlign w:val="center"/>
          </w:tcPr>
          <w:p w14:paraId="571B8ACF" w14:textId="77777777" w:rsidR="000A1EC2" w:rsidRPr="0037797A" w:rsidRDefault="005540F4" w:rsidP="000A1EC2">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268" w:type="dxa"/>
            <w:vAlign w:val="center"/>
          </w:tcPr>
          <w:p w14:paraId="56A8FC81" w14:textId="77777777" w:rsidR="000A1EC2" w:rsidRPr="0037797A" w:rsidRDefault="005540F4" w:rsidP="000A1EC2">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000" w:type="dxa"/>
            <w:vAlign w:val="center"/>
          </w:tcPr>
          <w:p w14:paraId="2BEBC62B" w14:textId="77777777" w:rsidR="000A1EC2" w:rsidRPr="0037797A" w:rsidRDefault="005540F4" w:rsidP="000A1EC2">
            <w:pPr>
              <w:rPr>
                <w:sz w:val="20"/>
                <w:szCs w:val="20"/>
              </w:rPr>
            </w:pPr>
            <w:r w:rsidRPr="0037797A">
              <w:rPr>
                <w:iCs/>
                <w:sz w:val="20"/>
                <w:szCs w:val="20"/>
              </w:rPr>
              <w:t>0</w:t>
            </w:r>
          </w:p>
        </w:tc>
        <w:tc>
          <w:tcPr>
            <w:tcW w:w="1134" w:type="dxa"/>
            <w:vAlign w:val="center"/>
          </w:tcPr>
          <w:p w14:paraId="0F1E2947" w14:textId="77777777" w:rsidR="000A1EC2" w:rsidRPr="0037797A" w:rsidRDefault="005540F4" w:rsidP="000A1EC2">
            <w:pPr>
              <w:rPr>
                <w:sz w:val="20"/>
                <w:szCs w:val="20"/>
              </w:rPr>
            </w:pPr>
            <w:r w:rsidRPr="0037797A">
              <w:rPr>
                <w:iCs/>
                <w:sz w:val="20"/>
                <w:szCs w:val="20"/>
              </w:rPr>
              <w:t>0</w:t>
            </w:r>
          </w:p>
        </w:tc>
        <w:tc>
          <w:tcPr>
            <w:tcW w:w="992" w:type="dxa"/>
            <w:vAlign w:val="center"/>
          </w:tcPr>
          <w:p w14:paraId="1322517A" w14:textId="77777777" w:rsidR="000A1EC2" w:rsidRPr="0037797A" w:rsidRDefault="005540F4" w:rsidP="000A1EC2">
            <w:pPr>
              <w:rPr>
                <w:sz w:val="20"/>
                <w:szCs w:val="20"/>
              </w:rPr>
            </w:pPr>
            <w:r w:rsidRPr="0037797A">
              <w:rPr>
                <w:iCs/>
                <w:sz w:val="20"/>
                <w:szCs w:val="20"/>
              </w:rPr>
              <w:t>0</w:t>
            </w:r>
          </w:p>
        </w:tc>
        <w:tc>
          <w:tcPr>
            <w:tcW w:w="992" w:type="dxa"/>
            <w:vAlign w:val="center"/>
          </w:tcPr>
          <w:p w14:paraId="269C7024" w14:textId="77777777" w:rsidR="000A1EC2" w:rsidRPr="0037797A" w:rsidRDefault="005540F4" w:rsidP="000A1EC2">
            <w:pPr>
              <w:rPr>
                <w:sz w:val="20"/>
                <w:szCs w:val="20"/>
              </w:rPr>
            </w:pPr>
            <w:r w:rsidRPr="0037797A">
              <w:rPr>
                <w:iCs/>
                <w:sz w:val="20"/>
                <w:szCs w:val="20"/>
              </w:rPr>
              <w:t>0</w:t>
            </w:r>
          </w:p>
        </w:tc>
        <w:tc>
          <w:tcPr>
            <w:tcW w:w="1276" w:type="dxa"/>
            <w:vAlign w:val="center"/>
          </w:tcPr>
          <w:p w14:paraId="5A86DF1B" w14:textId="77777777" w:rsidR="000A1EC2" w:rsidRPr="0037797A" w:rsidRDefault="005540F4" w:rsidP="000A1EC2">
            <w:pPr>
              <w:rPr>
                <w:sz w:val="20"/>
                <w:szCs w:val="20"/>
              </w:rPr>
            </w:pPr>
            <w:r w:rsidRPr="0037797A">
              <w:rPr>
                <w:iCs/>
                <w:sz w:val="20"/>
                <w:szCs w:val="20"/>
              </w:rPr>
              <w:t>0</w:t>
            </w:r>
          </w:p>
        </w:tc>
      </w:tr>
      <w:tr w:rsidR="00552A2D" w14:paraId="35DC6D59" w14:textId="77777777" w:rsidTr="000A1EC2">
        <w:trPr>
          <w:jc w:val="center"/>
        </w:trPr>
        <w:tc>
          <w:tcPr>
            <w:tcW w:w="1702" w:type="dxa"/>
            <w:vAlign w:val="center"/>
          </w:tcPr>
          <w:p w14:paraId="7C755B74" w14:textId="77777777" w:rsidR="000A1EC2" w:rsidRPr="0037797A" w:rsidRDefault="005540F4" w:rsidP="000A1EC2">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1.1. valsts pamatbudžets, tai skaitā ieņēmumi no maksas pakalpojumiem un citi pašu ieņēmumi</w:t>
            </w:r>
          </w:p>
        </w:tc>
        <w:tc>
          <w:tcPr>
            <w:tcW w:w="992" w:type="dxa"/>
            <w:vAlign w:val="center"/>
          </w:tcPr>
          <w:p w14:paraId="3D426369" w14:textId="77777777" w:rsidR="000A1EC2" w:rsidRPr="0037797A" w:rsidRDefault="005540F4" w:rsidP="000A1EC2">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268" w:type="dxa"/>
            <w:vAlign w:val="center"/>
          </w:tcPr>
          <w:p w14:paraId="36EC7DB3" w14:textId="77777777" w:rsidR="000A1EC2" w:rsidRPr="0037797A" w:rsidRDefault="005540F4" w:rsidP="000A1EC2">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000" w:type="dxa"/>
            <w:vAlign w:val="center"/>
          </w:tcPr>
          <w:p w14:paraId="299F0B9A" w14:textId="77777777" w:rsidR="000A1EC2" w:rsidRPr="0037797A" w:rsidRDefault="005540F4" w:rsidP="000A1EC2">
            <w:pPr>
              <w:rPr>
                <w:sz w:val="20"/>
                <w:szCs w:val="20"/>
              </w:rPr>
            </w:pPr>
            <w:r w:rsidRPr="0037797A">
              <w:rPr>
                <w:iCs/>
                <w:sz w:val="20"/>
                <w:szCs w:val="20"/>
              </w:rPr>
              <w:t>0</w:t>
            </w:r>
          </w:p>
        </w:tc>
        <w:tc>
          <w:tcPr>
            <w:tcW w:w="1134" w:type="dxa"/>
            <w:vAlign w:val="center"/>
          </w:tcPr>
          <w:p w14:paraId="558CE909" w14:textId="77777777" w:rsidR="000A1EC2" w:rsidRPr="0037797A" w:rsidRDefault="005540F4" w:rsidP="000A1EC2">
            <w:pPr>
              <w:rPr>
                <w:sz w:val="20"/>
                <w:szCs w:val="20"/>
              </w:rPr>
            </w:pPr>
            <w:r w:rsidRPr="0037797A">
              <w:rPr>
                <w:iCs/>
                <w:sz w:val="20"/>
                <w:szCs w:val="20"/>
              </w:rPr>
              <w:t>0</w:t>
            </w:r>
          </w:p>
        </w:tc>
        <w:tc>
          <w:tcPr>
            <w:tcW w:w="992" w:type="dxa"/>
            <w:vAlign w:val="center"/>
          </w:tcPr>
          <w:p w14:paraId="19D4F329" w14:textId="77777777" w:rsidR="000A1EC2" w:rsidRPr="0037797A" w:rsidRDefault="005540F4" w:rsidP="000A1EC2">
            <w:pPr>
              <w:rPr>
                <w:sz w:val="20"/>
                <w:szCs w:val="20"/>
              </w:rPr>
            </w:pPr>
            <w:r w:rsidRPr="0037797A">
              <w:rPr>
                <w:iCs/>
                <w:sz w:val="20"/>
                <w:szCs w:val="20"/>
              </w:rPr>
              <w:t>0</w:t>
            </w:r>
          </w:p>
        </w:tc>
        <w:tc>
          <w:tcPr>
            <w:tcW w:w="992" w:type="dxa"/>
            <w:vAlign w:val="center"/>
          </w:tcPr>
          <w:p w14:paraId="19812D29" w14:textId="77777777" w:rsidR="000A1EC2" w:rsidRPr="0037797A" w:rsidRDefault="005540F4" w:rsidP="000A1EC2">
            <w:pPr>
              <w:rPr>
                <w:sz w:val="20"/>
                <w:szCs w:val="20"/>
              </w:rPr>
            </w:pPr>
            <w:r w:rsidRPr="0037797A">
              <w:rPr>
                <w:iCs/>
                <w:sz w:val="20"/>
                <w:szCs w:val="20"/>
              </w:rPr>
              <w:t>0</w:t>
            </w:r>
          </w:p>
        </w:tc>
        <w:tc>
          <w:tcPr>
            <w:tcW w:w="1276" w:type="dxa"/>
            <w:vAlign w:val="center"/>
          </w:tcPr>
          <w:p w14:paraId="0BAE3964" w14:textId="77777777" w:rsidR="000A1EC2" w:rsidRPr="0037797A" w:rsidRDefault="005540F4" w:rsidP="000A1EC2">
            <w:pPr>
              <w:rPr>
                <w:sz w:val="20"/>
                <w:szCs w:val="20"/>
              </w:rPr>
            </w:pPr>
            <w:r w:rsidRPr="0037797A">
              <w:rPr>
                <w:iCs/>
                <w:sz w:val="20"/>
                <w:szCs w:val="20"/>
              </w:rPr>
              <w:t>0</w:t>
            </w:r>
          </w:p>
        </w:tc>
      </w:tr>
      <w:tr w:rsidR="00552A2D" w14:paraId="1BD0EB76" w14:textId="77777777" w:rsidTr="000A1EC2">
        <w:trPr>
          <w:jc w:val="center"/>
        </w:trPr>
        <w:tc>
          <w:tcPr>
            <w:tcW w:w="1702" w:type="dxa"/>
            <w:vAlign w:val="center"/>
          </w:tcPr>
          <w:p w14:paraId="645BB5C3" w14:textId="77777777" w:rsidR="000A1EC2" w:rsidRPr="0037797A" w:rsidRDefault="005540F4" w:rsidP="000A1EC2">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1.2. valsts speciālais budžets</w:t>
            </w:r>
          </w:p>
        </w:tc>
        <w:tc>
          <w:tcPr>
            <w:tcW w:w="992" w:type="dxa"/>
            <w:vAlign w:val="center"/>
          </w:tcPr>
          <w:p w14:paraId="2D58F027" w14:textId="77777777" w:rsidR="000A1EC2" w:rsidRPr="0037797A" w:rsidRDefault="005540F4" w:rsidP="000A1EC2">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268" w:type="dxa"/>
            <w:vAlign w:val="center"/>
          </w:tcPr>
          <w:p w14:paraId="4801DABD" w14:textId="77777777" w:rsidR="000A1EC2" w:rsidRPr="0037797A" w:rsidRDefault="005540F4" w:rsidP="000A1EC2">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000" w:type="dxa"/>
            <w:vAlign w:val="center"/>
          </w:tcPr>
          <w:p w14:paraId="0A3164F2" w14:textId="77777777" w:rsidR="000A1EC2" w:rsidRPr="0037797A" w:rsidRDefault="005540F4" w:rsidP="000A1EC2">
            <w:pPr>
              <w:rPr>
                <w:sz w:val="20"/>
                <w:szCs w:val="20"/>
              </w:rPr>
            </w:pPr>
            <w:r w:rsidRPr="0037797A">
              <w:rPr>
                <w:iCs/>
                <w:sz w:val="20"/>
                <w:szCs w:val="20"/>
              </w:rPr>
              <w:t>0</w:t>
            </w:r>
          </w:p>
        </w:tc>
        <w:tc>
          <w:tcPr>
            <w:tcW w:w="1134" w:type="dxa"/>
            <w:vAlign w:val="center"/>
          </w:tcPr>
          <w:p w14:paraId="23FA5B0D" w14:textId="77777777" w:rsidR="000A1EC2" w:rsidRPr="0037797A" w:rsidRDefault="005540F4" w:rsidP="000A1EC2">
            <w:pPr>
              <w:rPr>
                <w:sz w:val="20"/>
                <w:szCs w:val="20"/>
              </w:rPr>
            </w:pPr>
            <w:r w:rsidRPr="0037797A">
              <w:rPr>
                <w:iCs/>
                <w:sz w:val="20"/>
                <w:szCs w:val="20"/>
              </w:rPr>
              <w:t>0</w:t>
            </w:r>
          </w:p>
        </w:tc>
        <w:tc>
          <w:tcPr>
            <w:tcW w:w="992" w:type="dxa"/>
            <w:vAlign w:val="center"/>
          </w:tcPr>
          <w:p w14:paraId="5683D1F8" w14:textId="77777777" w:rsidR="000A1EC2" w:rsidRPr="0037797A" w:rsidRDefault="005540F4" w:rsidP="000A1EC2">
            <w:pPr>
              <w:rPr>
                <w:sz w:val="20"/>
                <w:szCs w:val="20"/>
              </w:rPr>
            </w:pPr>
            <w:r w:rsidRPr="0037797A">
              <w:rPr>
                <w:iCs/>
                <w:sz w:val="20"/>
                <w:szCs w:val="20"/>
              </w:rPr>
              <w:t>0</w:t>
            </w:r>
          </w:p>
        </w:tc>
        <w:tc>
          <w:tcPr>
            <w:tcW w:w="992" w:type="dxa"/>
            <w:vAlign w:val="center"/>
          </w:tcPr>
          <w:p w14:paraId="1A1B058A" w14:textId="77777777" w:rsidR="000A1EC2" w:rsidRPr="0037797A" w:rsidRDefault="005540F4" w:rsidP="000A1EC2">
            <w:pPr>
              <w:rPr>
                <w:sz w:val="20"/>
                <w:szCs w:val="20"/>
              </w:rPr>
            </w:pPr>
            <w:r w:rsidRPr="0037797A">
              <w:rPr>
                <w:iCs/>
                <w:sz w:val="20"/>
                <w:szCs w:val="20"/>
              </w:rPr>
              <w:t>0</w:t>
            </w:r>
          </w:p>
        </w:tc>
        <w:tc>
          <w:tcPr>
            <w:tcW w:w="1276" w:type="dxa"/>
            <w:vAlign w:val="center"/>
          </w:tcPr>
          <w:p w14:paraId="19B04EEF" w14:textId="77777777" w:rsidR="000A1EC2" w:rsidRPr="0037797A" w:rsidRDefault="005540F4" w:rsidP="000A1EC2">
            <w:pPr>
              <w:rPr>
                <w:sz w:val="20"/>
                <w:szCs w:val="20"/>
              </w:rPr>
            </w:pPr>
            <w:r w:rsidRPr="0037797A">
              <w:rPr>
                <w:iCs/>
                <w:sz w:val="20"/>
                <w:szCs w:val="20"/>
              </w:rPr>
              <w:t>0</w:t>
            </w:r>
          </w:p>
        </w:tc>
      </w:tr>
      <w:tr w:rsidR="00552A2D" w14:paraId="1BB59D17" w14:textId="77777777" w:rsidTr="000A1EC2">
        <w:trPr>
          <w:jc w:val="center"/>
        </w:trPr>
        <w:tc>
          <w:tcPr>
            <w:tcW w:w="1702" w:type="dxa"/>
            <w:vAlign w:val="center"/>
          </w:tcPr>
          <w:p w14:paraId="38E5D008" w14:textId="77777777" w:rsidR="000A1EC2" w:rsidRPr="0037797A" w:rsidRDefault="005540F4" w:rsidP="000A1EC2">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1.3. pašvaldību budžets</w:t>
            </w:r>
          </w:p>
        </w:tc>
        <w:tc>
          <w:tcPr>
            <w:tcW w:w="992" w:type="dxa"/>
            <w:vAlign w:val="center"/>
          </w:tcPr>
          <w:p w14:paraId="636A854A" w14:textId="77777777" w:rsidR="000A1EC2" w:rsidRPr="0037797A" w:rsidRDefault="005540F4" w:rsidP="000A1EC2">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268" w:type="dxa"/>
            <w:vAlign w:val="center"/>
          </w:tcPr>
          <w:p w14:paraId="0888658B" w14:textId="77777777" w:rsidR="000A1EC2" w:rsidRPr="0037797A" w:rsidRDefault="005540F4" w:rsidP="000A1EC2">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000" w:type="dxa"/>
            <w:vAlign w:val="center"/>
          </w:tcPr>
          <w:p w14:paraId="73AC2A0F" w14:textId="77777777" w:rsidR="000A1EC2" w:rsidRPr="0037797A" w:rsidRDefault="005540F4" w:rsidP="000A1EC2">
            <w:pPr>
              <w:rPr>
                <w:sz w:val="20"/>
                <w:szCs w:val="20"/>
              </w:rPr>
            </w:pPr>
            <w:r w:rsidRPr="0037797A">
              <w:rPr>
                <w:iCs/>
                <w:sz w:val="20"/>
                <w:szCs w:val="20"/>
              </w:rPr>
              <w:t>0</w:t>
            </w:r>
          </w:p>
        </w:tc>
        <w:tc>
          <w:tcPr>
            <w:tcW w:w="1134" w:type="dxa"/>
            <w:vAlign w:val="center"/>
          </w:tcPr>
          <w:p w14:paraId="2ED673DE" w14:textId="77777777" w:rsidR="000A1EC2" w:rsidRPr="0037797A" w:rsidRDefault="005540F4" w:rsidP="000A1EC2">
            <w:pPr>
              <w:rPr>
                <w:sz w:val="20"/>
                <w:szCs w:val="20"/>
              </w:rPr>
            </w:pPr>
            <w:r w:rsidRPr="0037797A">
              <w:rPr>
                <w:iCs/>
                <w:sz w:val="20"/>
                <w:szCs w:val="20"/>
              </w:rPr>
              <w:t>0</w:t>
            </w:r>
          </w:p>
        </w:tc>
        <w:tc>
          <w:tcPr>
            <w:tcW w:w="992" w:type="dxa"/>
            <w:vAlign w:val="center"/>
          </w:tcPr>
          <w:p w14:paraId="7427CD35" w14:textId="77777777" w:rsidR="000A1EC2" w:rsidRPr="0037797A" w:rsidRDefault="005540F4" w:rsidP="000A1EC2">
            <w:pPr>
              <w:rPr>
                <w:sz w:val="20"/>
                <w:szCs w:val="20"/>
              </w:rPr>
            </w:pPr>
            <w:r w:rsidRPr="0037797A">
              <w:rPr>
                <w:iCs/>
                <w:sz w:val="20"/>
                <w:szCs w:val="20"/>
              </w:rPr>
              <w:t>0</w:t>
            </w:r>
          </w:p>
        </w:tc>
        <w:tc>
          <w:tcPr>
            <w:tcW w:w="992" w:type="dxa"/>
            <w:vAlign w:val="center"/>
          </w:tcPr>
          <w:p w14:paraId="35F867FC" w14:textId="77777777" w:rsidR="000A1EC2" w:rsidRPr="0037797A" w:rsidRDefault="005540F4" w:rsidP="000A1EC2">
            <w:pPr>
              <w:rPr>
                <w:sz w:val="20"/>
                <w:szCs w:val="20"/>
              </w:rPr>
            </w:pPr>
            <w:r w:rsidRPr="0037797A">
              <w:rPr>
                <w:iCs/>
                <w:sz w:val="20"/>
                <w:szCs w:val="20"/>
              </w:rPr>
              <w:t>0</w:t>
            </w:r>
          </w:p>
        </w:tc>
        <w:tc>
          <w:tcPr>
            <w:tcW w:w="1276" w:type="dxa"/>
            <w:vAlign w:val="center"/>
          </w:tcPr>
          <w:p w14:paraId="15BA0099" w14:textId="77777777" w:rsidR="000A1EC2" w:rsidRPr="0037797A" w:rsidRDefault="005540F4" w:rsidP="000A1EC2">
            <w:pPr>
              <w:rPr>
                <w:sz w:val="20"/>
                <w:szCs w:val="20"/>
              </w:rPr>
            </w:pPr>
            <w:r w:rsidRPr="0037797A">
              <w:rPr>
                <w:iCs/>
                <w:sz w:val="20"/>
                <w:szCs w:val="20"/>
              </w:rPr>
              <w:t>0</w:t>
            </w:r>
          </w:p>
        </w:tc>
      </w:tr>
      <w:tr w:rsidR="00552A2D" w14:paraId="2ED28BCE" w14:textId="77777777" w:rsidTr="000A1EC2">
        <w:trPr>
          <w:jc w:val="center"/>
        </w:trPr>
        <w:tc>
          <w:tcPr>
            <w:tcW w:w="1702" w:type="dxa"/>
            <w:vAlign w:val="center"/>
          </w:tcPr>
          <w:p w14:paraId="215834FA" w14:textId="77777777" w:rsidR="00C03A7C" w:rsidRPr="0037797A" w:rsidRDefault="005540F4" w:rsidP="00C03A7C">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2. Budžeta izdevumi</w:t>
            </w:r>
          </w:p>
        </w:tc>
        <w:tc>
          <w:tcPr>
            <w:tcW w:w="992" w:type="dxa"/>
            <w:vAlign w:val="center"/>
          </w:tcPr>
          <w:p w14:paraId="4FF52872" w14:textId="77777777" w:rsidR="00C03A7C" w:rsidRPr="0037797A" w:rsidRDefault="005540F4" w:rsidP="00C03A7C">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268" w:type="dxa"/>
            <w:vAlign w:val="center"/>
          </w:tcPr>
          <w:p w14:paraId="0B1D7E26" w14:textId="46DFD881" w:rsidR="00C03A7C" w:rsidRPr="0037797A" w:rsidRDefault="00F319E0" w:rsidP="00166DBD">
            <w:pPr>
              <w:pStyle w:val="NoSpacing"/>
              <w:jc w:val="center"/>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80 087</w:t>
            </w:r>
          </w:p>
        </w:tc>
        <w:tc>
          <w:tcPr>
            <w:tcW w:w="1000" w:type="dxa"/>
            <w:vAlign w:val="center"/>
          </w:tcPr>
          <w:p w14:paraId="057D3E64" w14:textId="77777777" w:rsidR="00C03A7C" w:rsidRPr="0037797A" w:rsidRDefault="005540F4" w:rsidP="00C03A7C">
            <w:pPr>
              <w:rPr>
                <w:sz w:val="20"/>
                <w:szCs w:val="20"/>
              </w:rPr>
            </w:pPr>
            <w:r w:rsidRPr="0037797A">
              <w:rPr>
                <w:iCs/>
                <w:sz w:val="20"/>
                <w:szCs w:val="20"/>
              </w:rPr>
              <w:t>0</w:t>
            </w:r>
          </w:p>
        </w:tc>
        <w:tc>
          <w:tcPr>
            <w:tcW w:w="1134" w:type="dxa"/>
            <w:vAlign w:val="center"/>
          </w:tcPr>
          <w:p w14:paraId="30CF39DA" w14:textId="3F055879" w:rsidR="00C03A7C" w:rsidRPr="00246588" w:rsidRDefault="00F64D6A" w:rsidP="00C03A7C">
            <w:pPr>
              <w:rPr>
                <w:sz w:val="20"/>
                <w:szCs w:val="20"/>
              </w:rPr>
            </w:pPr>
            <w:r w:rsidRPr="00246588">
              <w:rPr>
                <w:sz w:val="20"/>
                <w:szCs w:val="20"/>
              </w:rPr>
              <w:t>0</w:t>
            </w:r>
          </w:p>
        </w:tc>
        <w:tc>
          <w:tcPr>
            <w:tcW w:w="992" w:type="dxa"/>
            <w:vAlign w:val="center"/>
          </w:tcPr>
          <w:p w14:paraId="18EB2A87" w14:textId="77777777" w:rsidR="00C03A7C" w:rsidRPr="0037797A" w:rsidRDefault="005540F4" w:rsidP="00C03A7C">
            <w:pPr>
              <w:rPr>
                <w:sz w:val="20"/>
                <w:szCs w:val="20"/>
              </w:rPr>
            </w:pPr>
            <w:r w:rsidRPr="0037797A">
              <w:rPr>
                <w:iCs/>
                <w:sz w:val="20"/>
                <w:szCs w:val="20"/>
              </w:rPr>
              <w:t>0</w:t>
            </w:r>
          </w:p>
        </w:tc>
        <w:tc>
          <w:tcPr>
            <w:tcW w:w="992" w:type="dxa"/>
            <w:vAlign w:val="center"/>
          </w:tcPr>
          <w:p w14:paraId="10CB37B7" w14:textId="77777777" w:rsidR="00C03A7C" w:rsidRPr="0037797A" w:rsidRDefault="005540F4" w:rsidP="00C03A7C">
            <w:pPr>
              <w:rPr>
                <w:sz w:val="20"/>
                <w:szCs w:val="20"/>
              </w:rPr>
            </w:pPr>
            <w:r w:rsidRPr="0037797A">
              <w:rPr>
                <w:iCs/>
                <w:sz w:val="20"/>
                <w:szCs w:val="20"/>
              </w:rPr>
              <w:t>0</w:t>
            </w:r>
          </w:p>
        </w:tc>
        <w:tc>
          <w:tcPr>
            <w:tcW w:w="1276" w:type="dxa"/>
            <w:vAlign w:val="center"/>
          </w:tcPr>
          <w:p w14:paraId="5F252392" w14:textId="77777777" w:rsidR="00C03A7C" w:rsidRPr="0037797A" w:rsidRDefault="005540F4" w:rsidP="00C03A7C">
            <w:pPr>
              <w:rPr>
                <w:sz w:val="20"/>
                <w:szCs w:val="20"/>
              </w:rPr>
            </w:pPr>
            <w:r w:rsidRPr="0037797A">
              <w:rPr>
                <w:iCs/>
                <w:sz w:val="20"/>
                <w:szCs w:val="20"/>
              </w:rPr>
              <w:t>0</w:t>
            </w:r>
          </w:p>
        </w:tc>
      </w:tr>
      <w:tr w:rsidR="00914470" w14:paraId="5BFAE408" w14:textId="77777777" w:rsidTr="000A1EC2">
        <w:trPr>
          <w:jc w:val="center"/>
        </w:trPr>
        <w:tc>
          <w:tcPr>
            <w:tcW w:w="1702" w:type="dxa"/>
            <w:vAlign w:val="center"/>
          </w:tcPr>
          <w:p w14:paraId="5E4A29A9" w14:textId="77777777" w:rsidR="00914470" w:rsidRPr="0037797A" w:rsidRDefault="00914470" w:rsidP="00914470">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2.1. valsts pamatbudžets</w:t>
            </w:r>
          </w:p>
        </w:tc>
        <w:tc>
          <w:tcPr>
            <w:tcW w:w="992" w:type="dxa"/>
            <w:vAlign w:val="center"/>
          </w:tcPr>
          <w:p w14:paraId="5E2D31B4" w14:textId="77777777" w:rsidR="00914470" w:rsidRPr="0037797A" w:rsidRDefault="00914470" w:rsidP="00914470">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268" w:type="dxa"/>
            <w:vAlign w:val="center"/>
          </w:tcPr>
          <w:p w14:paraId="06D8A328" w14:textId="6A782202" w:rsidR="00914470" w:rsidRPr="0037797A" w:rsidRDefault="00914470" w:rsidP="00914470">
            <w:pPr>
              <w:pStyle w:val="NoSpacing"/>
              <w:jc w:val="center"/>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80 087</w:t>
            </w:r>
          </w:p>
        </w:tc>
        <w:tc>
          <w:tcPr>
            <w:tcW w:w="1000" w:type="dxa"/>
            <w:vAlign w:val="center"/>
          </w:tcPr>
          <w:p w14:paraId="3FF7E410" w14:textId="77777777" w:rsidR="00914470" w:rsidRPr="0037797A" w:rsidRDefault="00914470" w:rsidP="00914470">
            <w:pPr>
              <w:rPr>
                <w:sz w:val="20"/>
                <w:szCs w:val="20"/>
              </w:rPr>
            </w:pPr>
            <w:r w:rsidRPr="0037797A">
              <w:rPr>
                <w:iCs/>
                <w:sz w:val="20"/>
                <w:szCs w:val="20"/>
              </w:rPr>
              <w:t>0</w:t>
            </w:r>
          </w:p>
        </w:tc>
        <w:tc>
          <w:tcPr>
            <w:tcW w:w="1134" w:type="dxa"/>
            <w:vAlign w:val="center"/>
          </w:tcPr>
          <w:p w14:paraId="23F50BF0" w14:textId="4B1FECAD" w:rsidR="00914470" w:rsidRPr="00246588" w:rsidRDefault="00F64D6A" w:rsidP="00914470">
            <w:pPr>
              <w:rPr>
                <w:sz w:val="20"/>
                <w:szCs w:val="20"/>
              </w:rPr>
            </w:pPr>
            <w:r w:rsidRPr="00246588">
              <w:rPr>
                <w:sz w:val="20"/>
                <w:szCs w:val="20"/>
              </w:rPr>
              <w:t>0</w:t>
            </w:r>
          </w:p>
        </w:tc>
        <w:tc>
          <w:tcPr>
            <w:tcW w:w="992" w:type="dxa"/>
            <w:vAlign w:val="center"/>
          </w:tcPr>
          <w:p w14:paraId="0AD7ACAA" w14:textId="77777777" w:rsidR="00914470" w:rsidRPr="0037797A" w:rsidRDefault="00914470" w:rsidP="00914470">
            <w:pPr>
              <w:rPr>
                <w:sz w:val="20"/>
                <w:szCs w:val="20"/>
              </w:rPr>
            </w:pPr>
            <w:r w:rsidRPr="0037797A">
              <w:rPr>
                <w:iCs/>
                <w:sz w:val="20"/>
                <w:szCs w:val="20"/>
              </w:rPr>
              <w:t>0</w:t>
            </w:r>
          </w:p>
        </w:tc>
        <w:tc>
          <w:tcPr>
            <w:tcW w:w="992" w:type="dxa"/>
            <w:vAlign w:val="center"/>
          </w:tcPr>
          <w:p w14:paraId="0F07AB43" w14:textId="77777777" w:rsidR="00914470" w:rsidRPr="0037797A" w:rsidRDefault="00914470" w:rsidP="00914470">
            <w:pPr>
              <w:rPr>
                <w:sz w:val="20"/>
                <w:szCs w:val="20"/>
              </w:rPr>
            </w:pPr>
            <w:r w:rsidRPr="0037797A">
              <w:rPr>
                <w:iCs/>
                <w:sz w:val="20"/>
                <w:szCs w:val="20"/>
              </w:rPr>
              <w:t>0</w:t>
            </w:r>
          </w:p>
        </w:tc>
        <w:tc>
          <w:tcPr>
            <w:tcW w:w="1276" w:type="dxa"/>
            <w:vAlign w:val="center"/>
          </w:tcPr>
          <w:p w14:paraId="3441D0FA" w14:textId="77777777" w:rsidR="00914470" w:rsidRPr="0037797A" w:rsidRDefault="00914470" w:rsidP="00914470">
            <w:pPr>
              <w:rPr>
                <w:sz w:val="20"/>
                <w:szCs w:val="20"/>
              </w:rPr>
            </w:pPr>
            <w:r w:rsidRPr="0037797A">
              <w:rPr>
                <w:iCs/>
                <w:sz w:val="20"/>
                <w:szCs w:val="20"/>
              </w:rPr>
              <w:t>0</w:t>
            </w:r>
          </w:p>
        </w:tc>
      </w:tr>
      <w:tr w:rsidR="00914470" w14:paraId="21A85097" w14:textId="77777777" w:rsidTr="000A1EC2">
        <w:trPr>
          <w:jc w:val="center"/>
        </w:trPr>
        <w:tc>
          <w:tcPr>
            <w:tcW w:w="1702" w:type="dxa"/>
            <w:vAlign w:val="center"/>
          </w:tcPr>
          <w:p w14:paraId="430ADF3F" w14:textId="77777777" w:rsidR="00914470" w:rsidRPr="0037797A" w:rsidRDefault="00914470" w:rsidP="00914470">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2.2. valsts speciālais budžets</w:t>
            </w:r>
          </w:p>
        </w:tc>
        <w:tc>
          <w:tcPr>
            <w:tcW w:w="992" w:type="dxa"/>
            <w:vAlign w:val="center"/>
          </w:tcPr>
          <w:p w14:paraId="132353A6" w14:textId="77777777" w:rsidR="00914470" w:rsidRPr="0037797A" w:rsidRDefault="00914470" w:rsidP="00914470">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268" w:type="dxa"/>
            <w:vAlign w:val="center"/>
          </w:tcPr>
          <w:p w14:paraId="4D4CC006" w14:textId="77777777" w:rsidR="00914470" w:rsidRPr="0037797A" w:rsidRDefault="00914470" w:rsidP="00914470">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000" w:type="dxa"/>
            <w:vAlign w:val="center"/>
          </w:tcPr>
          <w:p w14:paraId="146F9347" w14:textId="77777777" w:rsidR="00914470" w:rsidRPr="0037797A" w:rsidRDefault="00914470" w:rsidP="00914470">
            <w:pPr>
              <w:rPr>
                <w:sz w:val="20"/>
                <w:szCs w:val="20"/>
              </w:rPr>
            </w:pPr>
            <w:r w:rsidRPr="0037797A">
              <w:rPr>
                <w:iCs/>
                <w:sz w:val="20"/>
                <w:szCs w:val="20"/>
              </w:rPr>
              <w:t>0</w:t>
            </w:r>
          </w:p>
        </w:tc>
        <w:tc>
          <w:tcPr>
            <w:tcW w:w="1134" w:type="dxa"/>
            <w:vAlign w:val="center"/>
          </w:tcPr>
          <w:p w14:paraId="1771D041" w14:textId="77777777" w:rsidR="00914470" w:rsidRPr="00246588" w:rsidRDefault="00914470" w:rsidP="00914470">
            <w:pPr>
              <w:rPr>
                <w:sz w:val="20"/>
                <w:szCs w:val="20"/>
              </w:rPr>
            </w:pPr>
            <w:r w:rsidRPr="00246588">
              <w:rPr>
                <w:iCs/>
                <w:sz w:val="20"/>
                <w:szCs w:val="20"/>
              </w:rPr>
              <w:t>0</w:t>
            </w:r>
          </w:p>
        </w:tc>
        <w:tc>
          <w:tcPr>
            <w:tcW w:w="992" w:type="dxa"/>
            <w:vAlign w:val="center"/>
          </w:tcPr>
          <w:p w14:paraId="044F0FB4" w14:textId="77777777" w:rsidR="00914470" w:rsidRPr="0037797A" w:rsidRDefault="00914470" w:rsidP="00914470">
            <w:pPr>
              <w:rPr>
                <w:sz w:val="20"/>
                <w:szCs w:val="20"/>
              </w:rPr>
            </w:pPr>
            <w:r w:rsidRPr="0037797A">
              <w:rPr>
                <w:iCs/>
                <w:sz w:val="20"/>
                <w:szCs w:val="20"/>
              </w:rPr>
              <w:t>0</w:t>
            </w:r>
          </w:p>
        </w:tc>
        <w:tc>
          <w:tcPr>
            <w:tcW w:w="992" w:type="dxa"/>
            <w:vAlign w:val="center"/>
          </w:tcPr>
          <w:p w14:paraId="681A27CF" w14:textId="77777777" w:rsidR="00914470" w:rsidRPr="0037797A" w:rsidRDefault="00914470" w:rsidP="00914470">
            <w:pPr>
              <w:rPr>
                <w:sz w:val="20"/>
                <w:szCs w:val="20"/>
              </w:rPr>
            </w:pPr>
            <w:r w:rsidRPr="0037797A">
              <w:rPr>
                <w:iCs/>
                <w:sz w:val="20"/>
                <w:szCs w:val="20"/>
              </w:rPr>
              <w:t>0</w:t>
            </w:r>
          </w:p>
        </w:tc>
        <w:tc>
          <w:tcPr>
            <w:tcW w:w="1276" w:type="dxa"/>
            <w:vAlign w:val="center"/>
          </w:tcPr>
          <w:p w14:paraId="4E760B9C" w14:textId="77777777" w:rsidR="00914470" w:rsidRPr="0037797A" w:rsidRDefault="00914470" w:rsidP="00914470">
            <w:pPr>
              <w:rPr>
                <w:sz w:val="20"/>
                <w:szCs w:val="20"/>
              </w:rPr>
            </w:pPr>
            <w:r w:rsidRPr="0037797A">
              <w:rPr>
                <w:iCs/>
                <w:sz w:val="20"/>
                <w:szCs w:val="20"/>
              </w:rPr>
              <w:t>0</w:t>
            </w:r>
          </w:p>
        </w:tc>
      </w:tr>
      <w:tr w:rsidR="00914470" w14:paraId="73AE1B61" w14:textId="77777777" w:rsidTr="000A1EC2">
        <w:trPr>
          <w:jc w:val="center"/>
        </w:trPr>
        <w:tc>
          <w:tcPr>
            <w:tcW w:w="1702" w:type="dxa"/>
            <w:vAlign w:val="center"/>
          </w:tcPr>
          <w:p w14:paraId="5128806E" w14:textId="77777777" w:rsidR="00914470" w:rsidRPr="0037797A" w:rsidRDefault="00914470" w:rsidP="00914470">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2.3. pašvaldību budžets</w:t>
            </w:r>
          </w:p>
        </w:tc>
        <w:tc>
          <w:tcPr>
            <w:tcW w:w="992" w:type="dxa"/>
            <w:vAlign w:val="center"/>
          </w:tcPr>
          <w:p w14:paraId="19D3D20E" w14:textId="77777777" w:rsidR="00914470" w:rsidRPr="0037797A" w:rsidRDefault="00914470" w:rsidP="00914470">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268" w:type="dxa"/>
            <w:vAlign w:val="center"/>
          </w:tcPr>
          <w:p w14:paraId="6E2E319C" w14:textId="77777777" w:rsidR="00914470" w:rsidRPr="0037797A" w:rsidRDefault="00914470" w:rsidP="00914470">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000" w:type="dxa"/>
            <w:vAlign w:val="center"/>
          </w:tcPr>
          <w:p w14:paraId="7D32154B" w14:textId="77777777" w:rsidR="00914470" w:rsidRPr="0037797A" w:rsidRDefault="00914470" w:rsidP="00914470">
            <w:pPr>
              <w:rPr>
                <w:sz w:val="20"/>
                <w:szCs w:val="20"/>
              </w:rPr>
            </w:pPr>
            <w:r w:rsidRPr="0037797A">
              <w:rPr>
                <w:iCs/>
                <w:sz w:val="20"/>
                <w:szCs w:val="20"/>
              </w:rPr>
              <w:t>0</w:t>
            </w:r>
          </w:p>
        </w:tc>
        <w:tc>
          <w:tcPr>
            <w:tcW w:w="1134" w:type="dxa"/>
            <w:vAlign w:val="center"/>
          </w:tcPr>
          <w:p w14:paraId="0567E68B" w14:textId="77777777" w:rsidR="00914470" w:rsidRPr="00246588" w:rsidRDefault="00914470" w:rsidP="00914470">
            <w:pPr>
              <w:rPr>
                <w:sz w:val="20"/>
                <w:szCs w:val="20"/>
              </w:rPr>
            </w:pPr>
            <w:r w:rsidRPr="00246588">
              <w:rPr>
                <w:iCs/>
                <w:sz w:val="20"/>
                <w:szCs w:val="20"/>
              </w:rPr>
              <w:t>0</w:t>
            </w:r>
          </w:p>
        </w:tc>
        <w:tc>
          <w:tcPr>
            <w:tcW w:w="992" w:type="dxa"/>
            <w:vAlign w:val="center"/>
          </w:tcPr>
          <w:p w14:paraId="7E04258E" w14:textId="77777777" w:rsidR="00914470" w:rsidRPr="0037797A" w:rsidRDefault="00914470" w:rsidP="00914470">
            <w:pPr>
              <w:rPr>
                <w:sz w:val="20"/>
                <w:szCs w:val="20"/>
              </w:rPr>
            </w:pPr>
            <w:r w:rsidRPr="0037797A">
              <w:rPr>
                <w:iCs/>
                <w:sz w:val="20"/>
                <w:szCs w:val="20"/>
              </w:rPr>
              <w:t>0</w:t>
            </w:r>
          </w:p>
        </w:tc>
        <w:tc>
          <w:tcPr>
            <w:tcW w:w="992" w:type="dxa"/>
            <w:vAlign w:val="center"/>
          </w:tcPr>
          <w:p w14:paraId="0021A83C" w14:textId="77777777" w:rsidR="00914470" w:rsidRPr="0037797A" w:rsidRDefault="00914470" w:rsidP="00914470">
            <w:pPr>
              <w:rPr>
                <w:sz w:val="20"/>
                <w:szCs w:val="20"/>
              </w:rPr>
            </w:pPr>
            <w:r w:rsidRPr="0037797A">
              <w:rPr>
                <w:iCs/>
                <w:sz w:val="20"/>
                <w:szCs w:val="20"/>
              </w:rPr>
              <w:t>0</w:t>
            </w:r>
          </w:p>
        </w:tc>
        <w:tc>
          <w:tcPr>
            <w:tcW w:w="1276" w:type="dxa"/>
            <w:vAlign w:val="center"/>
          </w:tcPr>
          <w:p w14:paraId="263FABCA" w14:textId="77777777" w:rsidR="00914470" w:rsidRPr="0037797A" w:rsidRDefault="00914470" w:rsidP="00914470">
            <w:pPr>
              <w:rPr>
                <w:sz w:val="20"/>
                <w:szCs w:val="20"/>
              </w:rPr>
            </w:pPr>
            <w:r w:rsidRPr="0037797A">
              <w:rPr>
                <w:iCs/>
                <w:sz w:val="20"/>
                <w:szCs w:val="20"/>
              </w:rPr>
              <w:t>0</w:t>
            </w:r>
          </w:p>
        </w:tc>
      </w:tr>
      <w:tr w:rsidR="00914470" w14:paraId="10E9EBB5" w14:textId="77777777" w:rsidTr="000A1EC2">
        <w:trPr>
          <w:jc w:val="center"/>
        </w:trPr>
        <w:tc>
          <w:tcPr>
            <w:tcW w:w="1702" w:type="dxa"/>
            <w:vAlign w:val="center"/>
          </w:tcPr>
          <w:p w14:paraId="795D4CE6" w14:textId="77777777" w:rsidR="00914470" w:rsidRPr="0037797A" w:rsidRDefault="00914470" w:rsidP="00914470">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3. Finansiālā ietekme</w:t>
            </w:r>
          </w:p>
        </w:tc>
        <w:tc>
          <w:tcPr>
            <w:tcW w:w="992" w:type="dxa"/>
            <w:vAlign w:val="center"/>
          </w:tcPr>
          <w:p w14:paraId="0B5C0CB8" w14:textId="77777777" w:rsidR="00914470" w:rsidRPr="0037797A" w:rsidRDefault="00914470" w:rsidP="00914470">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268" w:type="dxa"/>
            <w:vAlign w:val="center"/>
          </w:tcPr>
          <w:p w14:paraId="65609761" w14:textId="6B0EC1E9" w:rsidR="00914470" w:rsidRPr="0037797A" w:rsidRDefault="00914470" w:rsidP="00914470">
            <w:pPr>
              <w:pStyle w:val="NoSpacing"/>
              <w:jc w:val="center"/>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-80 087</w:t>
            </w:r>
          </w:p>
        </w:tc>
        <w:tc>
          <w:tcPr>
            <w:tcW w:w="1000" w:type="dxa"/>
            <w:vAlign w:val="center"/>
          </w:tcPr>
          <w:p w14:paraId="459C4858" w14:textId="77777777" w:rsidR="00914470" w:rsidRPr="0037797A" w:rsidRDefault="00914470" w:rsidP="00914470">
            <w:pPr>
              <w:rPr>
                <w:sz w:val="20"/>
                <w:szCs w:val="20"/>
              </w:rPr>
            </w:pPr>
            <w:r w:rsidRPr="0037797A">
              <w:rPr>
                <w:iCs/>
                <w:sz w:val="20"/>
                <w:szCs w:val="20"/>
              </w:rPr>
              <w:t>0</w:t>
            </w:r>
          </w:p>
        </w:tc>
        <w:tc>
          <w:tcPr>
            <w:tcW w:w="1134" w:type="dxa"/>
            <w:vAlign w:val="center"/>
          </w:tcPr>
          <w:p w14:paraId="17902539" w14:textId="0C169B53" w:rsidR="00914470" w:rsidRPr="00246588" w:rsidRDefault="00F64D6A" w:rsidP="00914470">
            <w:pPr>
              <w:rPr>
                <w:sz w:val="20"/>
                <w:szCs w:val="20"/>
              </w:rPr>
            </w:pPr>
            <w:r w:rsidRPr="00246588">
              <w:rPr>
                <w:sz w:val="20"/>
                <w:szCs w:val="20"/>
              </w:rPr>
              <w:t>0</w:t>
            </w:r>
          </w:p>
        </w:tc>
        <w:tc>
          <w:tcPr>
            <w:tcW w:w="992" w:type="dxa"/>
            <w:vAlign w:val="center"/>
          </w:tcPr>
          <w:p w14:paraId="0FF0B99A" w14:textId="77777777" w:rsidR="00914470" w:rsidRPr="0037797A" w:rsidRDefault="00914470" w:rsidP="00914470">
            <w:pPr>
              <w:rPr>
                <w:sz w:val="20"/>
                <w:szCs w:val="20"/>
              </w:rPr>
            </w:pPr>
            <w:r w:rsidRPr="0037797A">
              <w:rPr>
                <w:iCs/>
                <w:sz w:val="20"/>
                <w:szCs w:val="20"/>
              </w:rPr>
              <w:t>0</w:t>
            </w:r>
          </w:p>
        </w:tc>
        <w:tc>
          <w:tcPr>
            <w:tcW w:w="992" w:type="dxa"/>
            <w:vAlign w:val="center"/>
          </w:tcPr>
          <w:p w14:paraId="210CFDC6" w14:textId="77777777" w:rsidR="00914470" w:rsidRPr="0037797A" w:rsidRDefault="00914470" w:rsidP="00914470">
            <w:pPr>
              <w:rPr>
                <w:sz w:val="20"/>
                <w:szCs w:val="20"/>
              </w:rPr>
            </w:pPr>
            <w:r w:rsidRPr="0037797A">
              <w:rPr>
                <w:iCs/>
                <w:sz w:val="20"/>
                <w:szCs w:val="20"/>
              </w:rPr>
              <w:t>0</w:t>
            </w:r>
          </w:p>
        </w:tc>
        <w:tc>
          <w:tcPr>
            <w:tcW w:w="1276" w:type="dxa"/>
            <w:vAlign w:val="center"/>
          </w:tcPr>
          <w:p w14:paraId="0A704A95" w14:textId="77777777" w:rsidR="00914470" w:rsidRPr="0037797A" w:rsidRDefault="00914470" w:rsidP="00914470">
            <w:pPr>
              <w:rPr>
                <w:sz w:val="20"/>
                <w:szCs w:val="20"/>
              </w:rPr>
            </w:pPr>
            <w:r w:rsidRPr="0037797A">
              <w:rPr>
                <w:iCs/>
                <w:sz w:val="20"/>
                <w:szCs w:val="20"/>
              </w:rPr>
              <w:t>0</w:t>
            </w:r>
          </w:p>
        </w:tc>
      </w:tr>
      <w:tr w:rsidR="00914470" w14:paraId="7B118AD2" w14:textId="77777777" w:rsidTr="000A1EC2">
        <w:trPr>
          <w:jc w:val="center"/>
        </w:trPr>
        <w:tc>
          <w:tcPr>
            <w:tcW w:w="1702" w:type="dxa"/>
            <w:vAlign w:val="center"/>
          </w:tcPr>
          <w:p w14:paraId="79042D5B" w14:textId="77777777" w:rsidR="00914470" w:rsidRPr="0037797A" w:rsidRDefault="00914470" w:rsidP="00914470">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3.1. valsts pamatbudžets</w:t>
            </w:r>
          </w:p>
        </w:tc>
        <w:tc>
          <w:tcPr>
            <w:tcW w:w="992" w:type="dxa"/>
            <w:vAlign w:val="center"/>
          </w:tcPr>
          <w:p w14:paraId="304CFB83" w14:textId="77777777" w:rsidR="00914470" w:rsidRPr="0037797A" w:rsidRDefault="00914470" w:rsidP="00914470">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268" w:type="dxa"/>
            <w:vAlign w:val="center"/>
          </w:tcPr>
          <w:p w14:paraId="1459A962" w14:textId="592085A4" w:rsidR="00914470" w:rsidRPr="0037797A" w:rsidRDefault="00914470" w:rsidP="00914470">
            <w:pPr>
              <w:pStyle w:val="NoSpacing"/>
              <w:jc w:val="center"/>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-80 087</w:t>
            </w:r>
          </w:p>
        </w:tc>
        <w:tc>
          <w:tcPr>
            <w:tcW w:w="1000" w:type="dxa"/>
            <w:vAlign w:val="center"/>
          </w:tcPr>
          <w:p w14:paraId="4EC3D171" w14:textId="77777777" w:rsidR="00914470" w:rsidRPr="0037797A" w:rsidRDefault="00914470" w:rsidP="00914470">
            <w:pPr>
              <w:rPr>
                <w:sz w:val="20"/>
                <w:szCs w:val="20"/>
              </w:rPr>
            </w:pPr>
            <w:r w:rsidRPr="0037797A">
              <w:rPr>
                <w:iCs/>
                <w:sz w:val="20"/>
                <w:szCs w:val="20"/>
              </w:rPr>
              <w:t>0</w:t>
            </w:r>
          </w:p>
        </w:tc>
        <w:tc>
          <w:tcPr>
            <w:tcW w:w="1134" w:type="dxa"/>
            <w:vAlign w:val="center"/>
          </w:tcPr>
          <w:p w14:paraId="4946C8C6" w14:textId="5A518030" w:rsidR="00914470" w:rsidRPr="00246588" w:rsidRDefault="00F64D6A" w:rsidP="00914470">
            <w:pPr>
              <w:rPr>
                <w:sz w:val="20"/>
                <w:szCs w:val="20"/>
              </w:rPr>
            </w:pPr>
            <w:r w:rsidRPr="00246588">
              <w:rPr>
                <w:sz w:val="20"/>
                <w:szCs w:val="20"/>
              </w:rPr>
              <w:t>0</w:t>
            </w:r>
          </w:p>
        </w:tc>
        <w:tc>
          <w:tcPr>
            <w:tcW w:w="992" w:type="dxa"/>
            <w:vAlign w:val="center"/>
          </w:tcPr>
          <w:p w14:paraId="3B911CE9" w14:textId="77777777" w:rsidR="00914470" w:rsidRPr="0037797A" w:rsidRDefault="00914470" w:rsidP="00914470">
            <w:pPr>
              <w:rPr>
                <w:sz w:val="20"/>
                <w:szCs w:val="20"/>
              </w:rPr>
            </w:pPr>
            <w:r w:rsidRPr="0037797A">
              <w:rPr>
                <w:iCs/>
                <w:sz w:val="20"/>
                <w:szCs w:val="20"/>
              </w:rPr>
              <w:t>0</w:t>
            </w:r>
          </w:p>
        </w:tc>
        <w:tc>
          <w:tcPr>
            <w:tcW w:w="992" w:type="dxa"/>
            <w:vAlign w:val="center"/>
          </w:tcPr>
          <w:p w14:paraId="490EED56" w14:textId="77777777" w:rsidR="00914470" w:rsidRPr="0037797A" w:rsidRDefault="00914470" w:rsidP="00914470">
            <w:pPr>
              <w:rPr>
                <w:sz w:val="20"/>
                <w:szCs w:val="20"/>
              </w:rPr>
            </w:pPr>
            <w:r w:rsidRPr="0037797A">
              <w:rPr>
                <w:iCs/>
                <w:sz w:val="20"/>
                <w:szCs w:val="20"/>
              </w:rPr>
              <w:t>0</w:t>
            </w:r>
          </w:p>
        </w:tc>
        <w:tc>
          <w:tcPr>
            <w:tcW w:w="1276" w:type="dxa"/>
            <w:vAlign w:val="center"/>
          </w:tcPr>
          <w:p w14:paraId="5CB3DC26" w14:textId="77777777" w:rsidR="00914470" w:rsidRPr="0037797A" w:rsidRDefault="00914470" w:rsidP="00914470">
            <w:pPr>
              <w:rPr>
                <w:sz w:val="20"/>
                <w:szCs w:val="20"/>
              </w:rPr>
            </w:pPr>
            <w:r w:rsidRPr="0037797A">
              <w:rPr>
                <w:iCs/>
                <w:sz w:val="20"/>
                <w:szCs w:val="20"/>
              </w:rPr>
              <w:t>0</w:t>
            </w:r>
          </w:p>
        </w:tc>
      </w:tr>
      <w:tr w:rsidR="00914470" w14:paraId="2E874BF3" w14:textId="77777777" w:rsidTr="000A1EC2">
        <w:trPr>
          <w:jc w:val="center"/>
        </w:trPr>
        <w:tc>
          <w:tcPr>
            <w:tcW w:w="1702" w:type="dxa"/>
            <w:vAlign w:val="center"/>
          </w:tcPr>
          <w:p w14:paraId="6B07A581" w14:textId="77777777" w:rsidR="00914470" w:rsidRPr="0037797A" w:rsidRDefault="00914470" w:rsidP="00914470">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3.2. speciālais budžets</w:t>
            </w:r>
          </w:p>
        </w:tc>
        <w:tc>
          <w:tcPr>
            <w:tcW w:w="992" w:type="dxa"/>
            <w:vAlign w:val="center"/>
          </w:tcPr>
          <w:p w14:paraId="1F653296" w14:textId="77777777" w:rsidR="00914470" w:rsidRPr="0037797A" w:rsidRDefault="00914470" w:rsidP="00914470">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268" w:type="dxa"/>
            <w:vAlign w:val="center"/>
          </w:tcPr>
          <w:p w14:paraId="08526D8D" w14:textId="77777777" w:rsidR="00914470" w:rsidRPr="0037797A" w:rsidRDefault="00914470" w:rsidP="00914470">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000" w:type="dxa"/>
            <w:vAlign w:val="center"/>
          </w:tcPr>
          <w:p w14:paraId="5D417185" w14:textId="77777777" w:rsidR="00914470" w:rsidRPr="0037797A" w:rsidRDefault="00914470" w:rsidP="00914470">
            <w:pPr>
              <w:rPr>
                <w:sz w:val="20"/>
                <w:szCs w:val="20"/>
              </w:rPr>
            </w:pPr>
            <w:r w:rsidRPr="0037797A">
              <w:rPr>
                <w:iCs/>
                <w:sz w:val="20"/>
                <w:szCs w:val="20"/>
              </w:rPr>
              <w:t>0</w:t>
            </w:r>
          </w:p>
        </w:tc>
        <w:tc>
          <w:tcPr>
            <w:tcW w:w="1134" w:type="dxa"/>
            <w:vAlign w:val="center"/>
          </w:tcPr>
          <w:p w14:paraId="32ACD71B" w14:textId="77777777" w:rsidR="00914470" w:rsidRPr="00246588" w:rsidRDefault="00914470" w:rsidP="00914470">
            <w:pPr>
              <w:rPr>
                <w:sz w:val="20"/>
                <w:szCs w:val="20"/>
              </w:rPr>
            </w:pPr>
            <w:r w:rsidRPr="00246588">
              <w:rPr>
                <w:iCs/>
                <w:sz w:val="20"/>
                <w:szCs w:val="20"/>
              </w:rPr>
              <w:t>0</w:t>
            </w:r>
          </w:p>
        </w:tc>
        <w:tc>
          <w:tcPr>
            <w:tcW w:w="992" w:type="dxa"/>
            <w:vAlign w:val="center"/>
          </w:tcPr>
          <w:p w14:paraId="2BC4EDD8" w14:textId="77777777" w:rsidR="00914470" w:rsidRPr="0037797A" w:rsidRDefault="00914470" w:rsidP="00914470">
            <w:pPr>
              <w:rPr>
                <w:sz w:val="20"/>
                <w:szCs w:val="20"/>
              </w:rPr>
            </w:pPr>
            <w:r w:rsidRPr="0037797A">
              <w:rPr>
                <w:iCs/>
                <w:sz w:val="20"/>
                <w:szCs w:val="20"/>
              </w:rPr>
              <w:t>0</w:t>
            </w:r>
          </w:p>
        </w:tc>
        <w:tc>
          <w:tcPr>
            <w:tcW w:w="992" w:type="dxa"/>
            <w:vAlign w:val="center"/>
          </w:tcPr>
          <w:p w14:paraId="3CE53270" w14:textId="77777777" w:rsidR="00914470" w:rsidRPr="0037797A" w:rsidRDefault="00914470" w:rsidP="00914470">
            <w:pPr>
              <w:rPr>
                <w:sz w:val="20"/>
                <w:szCs w:val="20"/>
              </w:rPr>
            </w:pPr>
            <w:r w:rsidRPr="0037797A">
              <w:rPr>
                <w:iCs/>
                <w:sz w:val="20"/>
                <w:szCs w:val="20"/>
              </w:rPr>
              <w:t>0</w:t>
            </w:r>
          </w:p>
        </w:tc>
        <w:tc>
          <w:tcPr>
            <w:tcW w:w="1276" w:type="dxa"/>
            <w:vAlign w:val="center"/>
          </w:tcPr>
          <w:p w14:paraId="3FCCCAA7" w14:textId="77777777" w:rsidR="00914470" w:rsidRPr="0037797A" w:rsidRDefault="00914470" w:rsidP="00914470">
            <w:pPr>
              <w:rPr>
                <w:sz w:val="20"/>
                <w:szCs w:val="20"/>
              </w:rPr>
            </w:pPr>
            <w:r w:rsidRPr="0037797A">
              <w:rPr>
                <w:iCs/>
                <w:sz w:val="20"/>
                <w:szCs w:val="20"/>
              </w:rPr>
              <w:t>0</w:t>
            </w:r>
          </w:p>
        </w:tc>
      </w:tr>
      <w:tr w:rsidR="00914470" w14:paraId="118C796D" w14:textId="77777777" w:rsidTr="000A1EC2">
        <w:trPr>
          <w:jc w:val="center"/>
        </w:trPr>
        <w:tc>
          <w:tcPr>
            <w:tcW w:w="1702" w:type="dxa"/>
            <w:vAlign w:val="center"/>
          </w:tcPr>
          <w:p w14:paraId="1779769B" w14:textId="77777777" w:rsidR="00914470" w:rsidRPr="0037797A" w:rsidRDefault="00914470" w:rsidP="00914470">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3.3. pašvaldību budžets</w:t>
            </w:r>
          </w:p>
        </w:tc>
        <w:tc>
          <w:tcPr>
            <w:tcW w:w="992" w:type="dxa"/>
            <w:vAlign w:val="center"/>
          </w:tcPr>
          <w:p w14:paraId="29C7DD2B" w14:textId="77777777" w:rsidR="00914470" w:rsidRPr="0037797A" w:rsidRDefault="00914470" w:rsidP="00914470">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268" w:type="dxa"/>
            <w:vAlign w:val="center"/>
          </w:tcPr>
          <w:p w14:paraId="737C91AF" w14:textId="77777777" w:rsidR="00914470" w:rsidRPr="0037797A" w:rsidRDefault="00914470" w:rsidP="00914470">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0</w:t>
            </w:r>
          </w:p>
        </w:tc>
        <w:tc>
          <w:tcPr>
            <w:tcW w:w="1000" w:type="dxa"/>
            <w:vAlign w:val="center"/>
          </w:tcPr>
          <w:p w14:paraId="0CEDE954" w14:textId="77777777" w:rsidR="00914470" w:rsidRPr="0037797A" w:rsidRDefault="00914470" w:rsidP="00914470">
            <w:pPr>
              <w:rPr>
                <w:sz w:val="20"/>
                <w:szCs w:val="20"/>
              </w:rPr>
            </w:pPr>
            <w:r w:rsidRPr="0037797A">
              <w:rPr>
                <w:iCs/>
                <w:sz w:val="20"/>
                <w:szCs w:val="20"/>
              </w:rPr>
              <w:t>0</w:t>
            </w:r>
          </w:p>
        </w:tc>
        <w:tc>
          <w:tcPr>
            <w:tcW w:w="1134" w:type="dxa"/>
            <w:vAlign w:val="center"/>
          </w:tcPr>
          <w:p w14:paraId="1E1CEDA5" w14:textId="77777777" w:rsidR="00914470" w:rsidRPr="00246588" w:rsidRDefault="00914470" w:rsidP="00914470">
            <w:pPr>
              <w:rPr>
                <w:sz w:val="20"/>
                <w:szCs w:val="20"/>
              </w:rPr>
            </w:pPr>
            <w:r w:rsidRPr="00246588">
              <w:rPr>
                <w:iCs/>
                <w:sz w:val="20"/>
                <w:szCs w:val="20"/>
              </w:rPr>
              <w:t>0</w:t>
            </w:r>
          </w:p>
        </w:tc>
        <w:tc>
          <w:tcPr>
            <w:tcW w:w="992" w:type="dxa"/>
            <w:vAlign w:val="center"/>
          </w:tcPr>
          <w:p w14:paraId="56D59A46" w14:textId="77777777" w:rsidR="00914470" w:rsidRPr="0037797A" w:rsidRDefault="00914470" w:rsidP="00914470">
            <w:pPr>
              <w:rPr>
                <w:sz w:val="20"/>
                <w:szCs w:val="20"/>
              </w:rPr>
            </w:pPr>
            <w:r w:rsidRPr="0037797A">
              <w:rPr>
                <w:iCs/>
                <w:sz w:val="20"/>
                <w:szCs w:val="20"/>
              </w:rPr>
              <w:t>0</w:t>
            </w:r>
          </w:p>
        </w:tc>
        <w:tc>
          <w:tcPr>
            <w:tcW w:w="992" w:type="dxa"/>
            <w:vAlign w:val="center"/>
          </w:tcPr>
          <w:p w14:paraId="5B8C4645" w14:textId="77777777" w:rsidR="00914470" w:rsidRPr="0037797A" w:rsidRDefault="00914470" w:rsidP="00914470">
            <w:pPr>
              <w:rPr>
                <w:sz w:val="20"/>
                <w:szCs w:val="20"/>
              </w:rPr>
            </w:pPr>
            <w:r w:rsidRPr="0037797A">
              <w:rPr>
                <w:iCs/>
                <w:sz w:val="20"/>
                <w:szCs w:val="20"/>
              </w:rPr>
              <w:t>0</w:t>
            </w:r>
          </w:p>
        </w:tc>
        <w:tc>
          <w:tcPr>
            <w:tcW w:w="1276" w:type="dxa"/>
            <w:vAlign w:val="center"/>
          </w:tcPr>
          <w:p w14:paraId="2F70B2EA" w14:textId="77777777" w:rsidR="00914470" w:rsidRPr="0037797A" w:rsidRDefault="00914470" w:rsidP="00914470">
            <w:pPr>
              <w:rPr>
                <w:sz w:val="20"/>
                <w:szCs w:val="20"/>
              </w:rPr>
            </w:pPr>
            <w:r w:rsidRPr="0037797A">
              <w:rPr>
                <w:iCs/>
                <w:sz w:val="20"/>
                <w:szCs w:val="20"/>
              </w:rPr>
              <w:t>0</w:t>
            </w:r>
          </w:p>
        </w:tc>
      </w:tr>
      <w:tr w:rsidR="00914470" w14:paraId="4CF884A2" w14:textId="77777777" w:rsidTr="000A1EC2">
        <w:trPr>
          <w:jc w:val="center"/>
        </w:trPr>
        <w:tc>
          <w:tcPr>
            <w:tcW w:w="1702" w:type="dxa"/>
            <w:vAlign w:val="center"/>
          </w:tcPr>
          <w:p w14:paraId="551B09D6" w14:textId="77777777" w:rsidR="00914470" w:rsidRPr="0037797A" w:rsidRDefault="00914470" w:rsidP="00914470">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4. Finanšu līdzekļi papildu izdevumu finansēšanai (kompensējošu izdevumu samazinājumu norāda ar "+" zīmi)</w:t>
            </w:r>
          </w:p>
        </w:tc>
        <w:tc>
          <w:tcPr>
            <w:tcW w:w="992" w:type="dxa"/>
            <w:vAlign w:val="center"/>
          </w:tcPr>
          <w:p w14:paraId="09553C46" w14:textId="77777777" w:rsidR="00914470" w:rsidRPr="0037797A" w:rsidRDefault="00914470" w:rsidP="00914470">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X</w:t>
            </w:r>
          </w:p>
        </w:tc>
        <w:tc>
          <w:tcPr>
            <w:tcW w:w="1268" w:type="dxa"/>
            <w:vAlign w:val="center"/>
          </w:tcPr>
          <w:p w14:paraId="25F601A1" w14:textId="5C6C22A1" w:rsidR="00914470" w:rsidRPr="0037797A" w:rsidRDefault="00914470" w:rsidP="00914470">
            <w:pPr>
              <w:pStyle w:val="NoSpacing"/>
              <w:jc w:val="center"/>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80 087</w:t>
            </w:r>
          </w:p>
        </w:tc>
        <w:tc>
          <w:tcPr>
            <w:tcW w:w="1000" w:type="dxa"/>
            <w:vAlign w:val="center"/>
          </w:tcPr>
          <w:p w14:paraId="69A939CE" w14:textId="77777777" w:rsidR="00914470" w:rsidRPr="0037797A" w:rsidRDefault="00914470" w:rsidP="00914470">
            <w:pPr>
              <w:rPr>
                <w:sz w:val="20"/>
                <w:szCs w:val="20"/>
              </w:rPr>
            </w:pPr>
            <w:r w:rsidRPr="0037797A">
              <w:rPr>
                <w:iCs/>
                <w:sz w:val="20"/>
                <w:szCs w:val="20"/>
              </w:rPr>
              <w:t>0</w:t>
            </w:r>
          </w:p>
        </w:tc>
        <w:tc>
          <w:tcPr>
            <w:tcW w:w="1134" w:type="dxa"/>
            <w:vAlign w:val="center"/>
          </w:tcPr>
          <w:p w14:paraId="1C1B7625" w14:textId="77777777" w:rsidR="00914470" w:rsidRPr="00246588" w:rsidRDefault="00914470" w:rsidP="00914470">
            <w:pPr>
              <w:rPr>
                <w:sz w:val="20"/>
                <w:szCs w:val="20"/>
              </w:rPr>
            </w:pPr>
            <w:r w:rsidRPr="00246588">
              <w:rPr>
                <w:iCs/>
                <w:sz w:val="20"/>
                <w:szCs w:val="20"/>
              </w:rPr>
              <w:t>0</w:t>
            </w:r>
          </w:p>
        </w:tc>
        <w:tc>
          <w:tcPr>
            <w:tcW w:w="992" w:type="dxa"/>
            <w:vAlign w:val="center"/>
          </w:tcPr>
          <w:p w14:paraId="649028E7" w14:textId="77777777" w:rsidR="00914470" w:rsidRPr="0037797A" w:rsidRDefault="00914470" w:rsidP="00914470">
            <w:pPr>
              <w:rPr>
                <w:sz w:val="20"/>
                <w:szCs w:val="20"/>
              </w:rPr>
            </w:pPr>
            <w:r w:rsidRPr="0037797A">
              <w:rPr>
                <w:iCs/>
                <w:sz w:val="20"/>
                <w:szCs w:val="20"/>
              </w:rPr>
              <w:t>0</w:t>
            </w:r>
          </w:p>
        </w:tc>
        <w:tc>
          <w:tcPr>
            <w:tcW w:w="992" w:type="dxa"/>
            <w:vAlign w:val="center"/>
          </w:tcPr>
          <w:p w14:paraId="097E205B" w14:textId="77777777" w:rsidR="00914470" w:rsidRPr="0037797A" w:rsidRDefault="00914470" w:rsidP="00914470">
            <w:pPr>
              <w:rPr>
                <w:sz w:val="20"/>
                <w:szCs w:val="20"/>
              </w:rPr>
            </w:pPr>
            <w:r w:rsidRPr="0037797A">
              <w:rPr>
                <w:iCs/>
                <w:sz w:val="20"/>
                <w:szCs w:val="20"/>
              </w:rPr>
              <w:t>0</w:t>
            </w:r>
          </w:p>
        </w:tc>
        <w:tc>
          <w:tcPr>
            <w:tcW w:w="1276" w:type="dxa"/>
            <w:vAlign w:val="center"/>
          </w:tcPr>
          <w:p w14:paraId="46ABEEE4" w14:textId="77777777" w:rsidR="00914470" w:rsidRPr="0037797A" w:rsidRDefault="00914470" w:rsidP="00914470">
            <w:pPr>
              <w:rPr>
                <w:sz w:val="20"/>
                <w:szCs w:val="20"/>
              </w:rPr>
            </w:pPr>
            <w:r w:rsidRPr="0037797A">
              <w:rPr>
                <w:iCs/>
                <w:sz w:val="20"/>
                <w:szCs w:val="20"/>
              </w:rPr>
              <w:t>0</w:t>
            </w:r>
          </w:p>
        </w:tc>
      </w:tr>
      <w:tr w:rsidR="00914470" w14:paraId="3C3B7DB6" w14:textId="77777777" w:rsidTr="000A1EC2">
        <w:trPr>
          <w:jc w:val="center"/>
        </w:trPr>
        <w:tc>
          <w:tcPr>
            <w:tcW w:w="1702" w:type="dxa"/>
            <w:vAlign w:val="center"/>
          </w:tcPr>
          <w:p w14:paraId="75051297" w14:textId="77777777" w:rsidR="00914470" w:rsidRPr="0037797A" w:rsidRDefault="00914470" w:rsidP="00914470">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5. Precizēta finansiālā ietekme</w:t>
            </w:r>
          </w:p>
        </w:tc>
        <w:tc>
          <w:tcPr>
            <w:tcW w:w="992" w:type="dxa"/>
            <w:vMerge w:val="restart"/>
            <w:vAlign w:val="center"/>
          </w:tcPr>
          <w:p w14:paraId="5EA71F98" w14:textId="77777777" w:rsidR="00914470" w:rsidRPr="0037797A" w:rsidRDefault="00914470" w:rsidP="00914470">
            <w:pPr>
              <w:pStyle w:val="NoSpacing"/>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X</w:t>
            </w:r>
          </w:p>
        </w:tc>
        <w:tc>
          <w:tcPr>
            <w:tcW w:w="1268" w:type="dxa"/>
            <w:vAlign w:val="center"/>
          </w:tcPr>
          <w:p w14:paraId="4C73E40F" w14:textId="77777777" w:rsidR="00914470" w:rsidRPr="0037797A" w:rsidRDefault="00914470" w:rsidP="00914470">
            <w:pPr>
              <w:rPr>
                <w:sz w:val="20"/>
                <w:szCs w:val="20"/>
              </w:rPr>
            </w:pPr>
            <w:r w:rsidRPr="0037797A">
              <w:rPr>
                <w:iCs/>
                <w:sz w:val="20"/>
                <w:szCs w:val="20"/>
              </w:rPr>
              <w:t>0</w:t>
            </w:r>
          </w:p>
        </w:tc>
        <w:tc>
          <w:tcPr>
            <w:tcW w:w="1000" w:type="dxa"/>
            <w:vMerge w:val="restart"/>
            <w:vAlign w:val="center"/>
          </w:tcPr>
          <w:p w14:paraId="1500E520" w14:textId="77777777" w:rsidR="00914470" w:rsidRPr="0037797A" w:rsidRDefault="00914470" w:rsidP="00914470">
            <w:pPr>
              <w:rPr>
                <w:sz w:val="20"/>
                <w:szCs w:val="20"/>
              </w:rPr>
            </w:pPr>
            <w:r w:rsidRPr="0037797A">
              <w:rPr>
                <w:iCs/>
                <w:sz w:val="20"/>
                <w:szCs w:val="20"/>
              </w:rPr>
              <w:t>0</w:t>
            </w:r>
          </w:p>
        </w:tc>
        <w:tc>
          <w:tcPr>
            <w:tcW w:w="1134" w:type="dxa"/>
            <w:vAlign w:val="center"/>
          </w:tcPr>
          <w:p w14:paraId="5E62AFA6" w14:textId="3B26DB24" w:rsidR="00914470" w:rsidRPr="00246588" w:rsidRDefault="006924F7" w:rsidP="00914470">
            <w:pPr>
              <w:rPr>
                <w:sz w:val="20"/>
                <w:szCs w:val="20"/>
              </w:rPr>
            </w:pPr>
            <w:r w:rsidRPr="00246588">
              <w:rPr>
                <w:sz w:val="20"/>
                <w:szCs w:val="20"/>
              </w:rPr>
              <w:t>0</w:t>
            </w:r>
          </w:p>
        </w:tc>
        <w:tc>
          <w:tcPr>
            <w:tcW w:w="992" w:type="dxa"/>
            <w:vMerge w:val="restart"/>
            <w:vAlign w:val="center"/>
          </w:tcPr>
          <w:p w14:paraId="0AF967E6" w14:textId="77777777" w:rsidR="00914470" w:rsidRPr="0037797A" w:rsidRDefault="00914470" w:rsidP="00914470">
            <w:pPr>
              <w:rPr>
                <w:sz w:val="20"/>
                <w:szCs w:val="20"/>
              </w:rPr>
            </w:pPr>
            <w:r w:rsidRPr="0037797A">
              <w:rPr>
                <w:iCs/>
                <w:sz w:val="20"/>
                <w:szCs w:val="20"/>
              </w:rPr>
              <w:t>0</w:t>
            </w:r>
          </w:p>
        </w:tc>
        <w:tc>
          <w:tcPr>
            <w:tcW w:w="992" w:type="dxa"/>
            <w:vAlign w:val="center"/>
          </w:tcPr>
          <w:p w14:paraId="1D1387F2" w14:textId="77777777" w:rsidR="00914470" w:rsidRPr="0037797A" w:rsidRDefault="00914470" w:rsidP="00914470">
            <w:pPr>
              <w:rPr>
                <w:sz w:val="20"/>
                <w:szCs w:val="20"/>
              </w:rPr>
            </w:pPr>
            <w:r w:rsidRPr="0037797A">
              <w:rPr>
                <w:iCs/>
                <w:sz w:val="20"/>
                <w:szCs w:val="20"/>
              </w:rPr>
              <w:t>0</w:t>
            </w:r>
          </w:p>
        </w:tc>
        <w:tc>
          <w:tcPr>
            <w:tcW w:w="1276" w:type="dxa"/>
            <w:vAlign w:val="center"/>
          </w:tcPr>
          <w:p w14:paraId="11531AE5" w14:textId="77777777" w:rsidR="00914470" w:rsidRPr="0037797A" w:rsidRDefault="00914470" w:rsidP="00914470">
            <w:pPr>
              <w:rPr>
                <w:sz w:val="20"/>
                <w:szCs w:val="20"/>
              </w:rPr>
            </w:pPr>
            <w:r w:rsidRPr="0037797A">
              <w:rPr>
                <w:iCs/>
                <w:sz w:val="20"/>
                <w:szCs w:val="20"/>
              </w:rPr>
              <w:t>0</w:t>
            </w:r>
          </w:p>
        </w:tc>
      </w:tr>
      <w:tr w:rsidR="00914470" w14:paraId="3589B1D5" w14:textId="77777777" w:rsidTr="000A1EC2">
        <w:trPr>
          <w:jc w:val="center"/>
        </w:trPr>
        <w:tc>
          <w:tcPr>
            <w:tcW w:w="1702" w:type="dxa"/>
            <w:vAlign w:val="center"/>
          </w:tcPr>
          <w:p w14:paraId="515283A3" w14:textId="77777777" w:rsidR="00914470" w:rsidRPr="0037797A" w:rsidRDefault="00914470" w:rsidP="00914470">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5.1. valsts pamatbudžets</w:t>
            </w:r>
          </w:p>
        </w:tc>
        <w:tc>
          <w:tcPr>
            <w:tcW w:w="992" w:type="dxa"/>
            <w:vMerge/>
            <w:vAlign w:val="center"/>
          </w:tcPr>
          <w:p w14:paraId="6590D9DB" w14:textId="77777777" w:rsidR="00914470" w:rsidRPr="0037797A" w:rsidRDefault="00914470" w:rsidP="00914470">
            <w:pPr>
              <w:pStyle w:val="NoSpacing"/>
              <w:rPr>
                <w:rFonts w:ascii="Times New Roman" w:hAnsi="Times New Roman" w:cs="Times New Roman"/>
                <w:iCs/>
                <w:sz w:val="20"/>
                <w:szCs w:val="20"/>
                <w:lang w:eastAsia="lv-LV"/>
              </w:rPr>
            </w:pPr>
          </w:p>
        </w:tc>
        <w:tc>
          <w:tcPr>
            <w:tcW w:w="1268" w:type="dxa"/>
            <w:vAlign w:val="center"/>
          </w:tcPr>
          <w:p w14:paraId="01029801" w14:textId="77777777" w:rsidR="00914470" w:rsidRPr="0037797A" w:rsidRDefault="00914470" w:rsidP="00914470">
            <w:pPr>
              <w:rPr>
                <w:sz w:val="20"/>
                <w:szCs w:val="20"/>
              </w:rPr>
            </w:pPr>
            <w:r w:rsidRPr="0037797A">
              <w:rPr>
                <w:iCs/>
                <w:sz w:val="20"/>
                <w:szCs w:val="20"/>
              </w:rPr>
              <w:t>0</w:t>
            </w:r>
          </w:p>
        </w:tc>
        <w:tc>
          <w:tcPr>
            <w:tcW w:w="1000" w:type="dxa"/>
            <w:vMerge/>
            <w:vAlign w:val="center"/>
          </w:tcPr>
          <w:p w14:paraId="5B8E11FD" w14:textId="77777777" w:rsidR="00914470" w:rsidRPr="0037797A" w:rsidRDefault="00914470" w:rsidP="00914470">
            <w:pPr>
              <w:pStyle w:val="NoSpacing"/>
              <w:rPr>
                <w:rFonts w:ascii="Times New Roman" w:hAnsi="Times New Roman" w:cs="Times New Roman"/>
                <w:iCs/>
                <w:sz w:val="20"/>
                <w:szCs w:val="20"/>
                <w:lang w:eastAsia="lv-LV"/>
              </w:rPr>
            </w:pPr>
          </w:p>
        </w:tc>
        <w:tc>
          <w:tcPr>
            <w:tcW w:w="1134" w:type="dxa"/>
            <w:vAlign w:val="center"/>
          </w:tcPr>
          <w:p w14:paraId="7454F684" w14:textId="5CB1BA96" w:rsidR="00914470" w:rsidRPr="00246588" w:rsidRDefault="006924F7" w:rsidP="00914470">
            <w:pPr>
              <w:rPr>
                <w:sz w:val="20"/>
                <w:szCs w:val="20"/>
              </w:rPr>
            </w:pPr>
            <w:r w:rsidRPr="00246588">
              <w:rPr>
                <w:sz w:val="20"/>
                <w:szCs w:val="20"/>
              </w:rPr>
              <w:t>0</w:t>
            </w:r>
          </w:p>
        </w:tc>
        <w:tc>
          <w:tcPr>
            <w:tcW w:w="992" w:type="dxa"/>
            <w:vMerge/>
            <w:vAlign w:val="center"/>
          </w:tcPr>
          <w:p w14:paraId="7A8228ED" w14:textId="77777777" w:rsidR="00914470" w:rsidRPr="0037797A" w:rsidRDefault="00914470" w:rsidP="00914470">
            <w:pPr>
              <w:pStyle w:val="NoSpacing"/>
              <w:rPr>
                <w:rFonts w:ascii="Times New Roman" w:hAnsi="Times New Roman" w:cs="Times New Roman"/>
                <w:iCs/>
                <w:sz w:val="20"/>
                <w:szCs w:val="20"/>
                <w:lang w:eastAsia="lv-LV"/>
              </w:rPr>
            </w:pPr>
          </w:p>
        </w:tc>
        <w:tc>
          <w:tcPr>
            <w:tcW w:w="992" w:type="dxa"/>
            <w:vAlign w:val="center"/>
          </w:tcPr>
          <w:p w14:paraId="6E68F96A" w14:textId="77777777" w:rsidR="00914470" w:rsidRPr="0037797A" w:rsidRDefault="00914470" w:rsidP="00914470">
            <w:pPr>
              <w:rPr>
                <w:sz w:val="20"/>
                <w:szCs w:val="20"/>
              </w:rPr>
            </w:pPr>
            <w:r w:rsidRPr="0037797A">
              <w:rPr>
                <w:iCs/>
                <w:sz w:val="20"/>
                <w:szCs w:val="20"/>
              </w:rPr>
              <w:t>0</w:t>
            </w:r>
          </w:p>
        </w:tc>
        <w:tc>
          <w:tcPr>
            <w:tcW w:w="1276" w:type="dxa"/>
            <w:vAlign w:val="center"/>
          </w:tcPr>
          <w:p w14:paraId="4C35584F" w14:textId="77777777" w:rsidR="00914470" w:rsidRPr="0037797A" w:rsidRDefault="00914470" w:rsidP="00914470">
            <w:pPr>
              <w:rPr>
                <w:sz w:val="20"/>
                <w:szCs w:val="20"/>
              </w:rPr>
            </w:pPr>
            <w:r w:rsidRPr="0037797A">
              <w:rPr>
                <w:iCs/>
                <w:sz w:val="20"/>
                <w:szCs w:val="20"/>
              </w:rPr>
              <w:t>0</w:t>
            </w:r>
          </w:p>
        </w:tc>
      </w:tr>
      <w:tr w:rsidR="00914470" w14:paraId="47615B2A" w14:textId="77777777" w:rsidTr="000A1EC2">
        <w:trPr>
          <w:jc w:val="center"/>
        </w:trPr>
        <w:tc>
          <w:tcPr>
            <w:tcW w:w="1702" w:type="dxa"/>
            <w:vAlign w:val="center"/>
          </w:tcPr>
          <w:p w14:paraId="7E77F7C4" w14:textId="77777777" w:rsidR="00914470" w:rsidRPr="0037797A" w:rsidRDefault="00914470" w:rsidP="00914470">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5.2. speciālais budžets</w:t>
            </w:r>
          </w:p>
        </w:tc>
        <w:tc>
          <w:tcPr>
            <w:tcW w:w="992" w:type="dxa"/>
            <w:vMerge/>
            <w:vAlign w:val="center"/>
          </w:tcPr>
          <w:p w14:paraId="5B690DAB" w14:textId="77777777" w:rsidR="00914470" w:rsidRPr="0037797A" w:rsidRDefault="00914470" w:rsidP="00914470">
            <w:pPr>
              <w:pStyle w:val="NoSpacing"/>
              <w:rPr>
                <w:rFonts w:ascii="Times New Roman" w:hAnsi="Times New Roman" w:cs="Times New Roman"/>
                <w:iCs/>
                <w:sz w:val="20"/>
                <w:szCs w:val="20"/>
                <w:lang w:eastAsia="lv-LV"/>
              </w:rPr>
            </w:pPr>
          </w:p>
        </w:tc>
        <w:tc>
          <w:tcPr>
            <w:tcW w:w="1268" w:type="dxa"/>
            <w:vAlign w:val="center"/>
          </w:tcPr>
          <w:p w14:paraId="683E2F83" w14:textId="77777777" w:rsidR="00914470" w:rsidRPr="0037797A" w:rsidRDefault="00914470" w:rsidP="00914470">
            <w:pPr>
              <w:rPr>
                <w:sz w:val="20"/>
                <w:szCs w:val="20"/>
              </w:rPr>
            </w:pPr>
            <w:r w:rsidRPr="0037797A">
              <w:rPr>
                <w:iCs/>
                <w:sz w:val="20"/>
                <w:szCs w:val="20"/>
              </w:rPr>
              <w:t>0</w:t>
            </w:r>
          </w:p>
        </w:tc>
        <w:tc>
          <w:tcPr>
            <w:tcW w:w="1000" w:type="dxa"/>
            <w:vMerge/>
            <w:vAlign w:val="center"/>
          </w:tcPr>
          <w:p w14:paraId="34B19EFD" w14:textId="77777777" w:rsidR="00914470" w:rsidRPr="0037797A" w:rsidRDefault="00914470" w:rsidP="00914470">
            <w:pPr>
              <w:pStyle w:val="NoSpacing"/>
              <w:rPr>
                <w:rFonts w:ascii="Times New Roman" w:hAnsi="Times New Roman" w:cs="Times New Roman"/>
                <w:iCs/>
                <w:sz w:val="20"/>
                <w:szCs w:val="20"/>
                <w:lang w:eastAsia="lv-LV"/>
              </w:rPr>
            </w:pPr>
          </w:p>
        </w:tc>
        <w:tc>
          <w:tcPr>
            <w:tcW w:w="1134" w:type="dxa"/>
            <w:vAlign w:val="center"/>
          </w:tcPr>
          <w:p w14:paraId="1D2D270E" w14:textId="77777777" w:rsidR="00914470" w:rsidRPr="00246588" w:rsidRDefault="00914470" w:rsidP="00914470">
            <w:pPr>
              <w:rPr>
                <w:sz w:val="20"/>
                <w:szCs w:val="20"/>
              </w:rPr>
            </w:pPr>
            <w:r w:rsidRPr="00246588">
              <w:rPr>
                <w:iCs/>
                <w:sz w:val="20"/>
                <w:szCs w:val="20"/>
              </w:rPr>
              <w:t>0</w:t>
            </w:r>
          </w:p>
        </w:tc>
        <w:tc>
          <w:tcPr>
            <w:tcW w:w="992" w:type="dxa"/>
            <w:vMerge/>
            <w:vAlign w:val="center"/>
          </w:tcPr>
          <w:p w14:paraId="68400113" w14:textId="77777777" w:rsidR="00914470" w:rsidRPr="0037797A" w:rsidRDefault="00914470" w:rsidP="00914470">
            <w:pPr>
              <w:pStyle w:val="NoSpacing"/>
              <w:rPr>
                <w:rFonts w:ascii="Times New Roman" w:hAnsi="Times New Roman" w:cs="Times New Roman"/>
                <w:iCs/>
                <w:sz w:val="20"/>
                <w:szCs w:val="20"/>
                <w:lang w:eastAsia="lv-LV"/>
              </w:rPr>
            </w:pPr>
          </w:p>
        </w:tc>
        <w:tc>
          <w:tcPr>
            <w:tcW w:w="992" w:type="dxa"/>
            <w:vAlign w:val="center"/>
          </w:tcPr>
          <w:p w14:paraId="7A76308F" w14:textId="77777777" w:rsidR="00914470" w:rsidRPr="0037797A" w:rsidRDefault="00914470" w:rsidP="00914470">
            <w:pPr>
              <w:rPr>
                <w:sz w:val="20"/>
                <w:szCs w:val="20"/>
              </w:rPr>
            </w:pPr>
            <w:r w:rsidRPr="0037797A">
              <w:rPr>
                <w:iCs/>
                <w:sz w:val="20"/>
                <w:szCs w:val="20"/>
              </w:rPr>
              <w:t>0</w:t>
            </w:r>
          </w:p>
        </w:tc>
        <w:tc>
          <w:tcPr>
            <w:tcW w:w="1276" w:type="dxa"/>
            <w:vAlign w:val="center"/>
          </w:tcPr>
          <w:p w14:paraId="2331C50D" w14:textId="77777777" w:rsidR="00914470" w:rsidRPr="0037797A" w:rsidRDefault="00914470" w:rsidP="00914470">
            <w:pPr>
              <w:rPr>
                <w:sz w:val="20"/>
                <w:szCs w:val="20"/>
              </w:rPr>
            </w:pPr>
            <w:r w:rsidRPr="0037797A">
              <w:rPr>
                <w:iCs/>
                <w:sz w:val="20"/>
                <w:szCs w:val="20"/>
              </w:rPr>
              <w:t>0</w:t>
            </w:r>
          </w:p>
        </w:tc>
      </w:tr>
      <w:tr w:rsidR="00914470" w14:paraId="758E88B5" w14:textId="77777777" w:rsidTr="000A1EC2">
        <w:trPr>
          <w:jc w:val="center"/>
        </w:trPr>
        <w:tc>
          <w:tcPr>
            <w:tcW w:w="1702" w:type="dxa"/>
            <w:vAlign w:val="center"/>
          </w:tcPr>
          <w:p w14:paraId="7CF3331F" w14:textId="77777777" w:rsidR="00914470" w:rsidRPr="0037797A" w:rsidRDefault="00914470" w:rsidP="00914470">
            <w:pPr>
              <w:pStyle w:val="NoSpacing"/>
              <w:jc w:val="both"/>
              <w:rPr>
                <w:rFonts w:ascii="Times New Roman" w:hAnsi="Times New Roman" w:cs="Times New Roman"/>
                <w:iCs/>
                <w:sz w:val="20"/>
                <w:szCs w:val="20"/>
                <w:lang w:eastAsia="lv-LV"/>
              </w:rPr>
            </w:pPr>
            <w:r w:rsidRPr="0037797A">
              <w:rPr>
                <w:rFonts w:ascii="Times New Roman" w:hAnsi="Times New Roman" w:cs="Times New Roman"/>
                <w:iCs/>
                <w:sz w:val="20"/>
                <w:szCs w:val="20"/>
                <w:lang w:eastAsia="lv-LV"/>
              </w:rPr>
              <w:t>5.3. pašvaldību budžets</w:t>
            </w:r>
          </w:p>
        </w:tc>
        <w:tc>
          <w:tcPr>
            <w:tcW w:w="992" w:type="dxa"/>
            <w:vMerge/>
            <w:vAlign w:val="center"/>
          </w:tcPr>
          <w:p w14:paraId="18FD1670" w14:textId="77777777" w:rsidR="00914470" w:rsidRPr="0037797A" w:rsidRDefault="00914470" w:rsidP="00914470">
            <w:pPr>
              <w:pStyle w:val="NoSpacing"/>
              <w:rPr>
                <w:rFonts w:ascii="Times New Roman" w:hAnsi="Times New Roman" w:cs="Times New Roman"/>
                <w:iCs/>
                <w:sz w:val="20"/>
                <w:szCs w:val="20"/>
                <w:lang w:eastAsia="lv-LV"/>
              </w:rPr>
            </w:pPr>
          </w:p>
        </w:tc>
        <w:tc>
          <w:tcPr>
            <w:tcW w:w="1268" w:type="dxa"/>
            <w:vAlign w:val="center"/>
          </w:tcPr>
          <w:p w14:paraId="40528900" w14:textId="77777777" w:rsidR="00914470" w:rsidRPr="0037797A" w:rsidRDefault="00914470" w:rsidP="00914470">
            <w:pPr>
              <w:rPr>
                <w:sz w:val="20"/>
                <w:szCs w:val="20"/>
              </w:rPr>
            </w:pPr>
            <w:r w:rsidRPr="0037797A">
              <w:rPr>
                <w:iCs/>
                <w:sz w:val="20"/>
                <w:szCs w:val="20"/>
              </w:rPr>
              <w:t>0</w:t>
            </w:r>
          </w:p>
        </w:tc>
        <w:tc>
          <w:tcPr>
            <w:tcW w:w="1000" w:type="dxa"/>
            <w:vMerge/>
            <w:vAlign w:val="center"/>
          </w:tcPr>
          <w:p w14:paraId="395E9553" w14:textId="77777777" w:rsidR="00914470" w:rsidRPr="0037797A" w:rsidRDefault="00914470" w:rsidP="00914470">
            <w:pPr>
              <w:pStyle w:val="NoSpacing"/>
              <w:rPr>
                <w:rFonts w:ascii="Times New Roman" w:hAnsi="Times New Roman" w:cs="Times New Roman"/>
                <w:iCs/>
                <w:sz w:val="20"/>
                <w:szCs w:val="20"/>
                <w:lang w:eastAsia="lv-LV"/>
              </w:rPr>
            </w:pPr>
          </w:p>
        </w:tc>
        <w:tc>
          <w:tcPr>
            <w:tcW w:w="1134" w:type="dxa"/>
            <w:vAlign w:val="center"/>
          </w:tcPr>
          <w:p w14:paraId="7C936033" w14:textId="77777777" w:rsidR="00914470" w:rsidRPr="0037797A" w:rsidRDefault="00914470" w:rsidP="00914470">
            <w:pPr>
              <w:rPr>
                <w:sz w:val="20"/>
                <w:szCs w:val="20"/>
              </w:rPr>
            </w:pPr>
            <w:r w:rsidRPr="0037797A">
              <w:rPr>
                <w:iCs/>
                <w:sz w:val="20"/>
                <w:szCs w:val="20"/>
              </w:rPr>
              <w:t>0</w:t>
            </w:r>
          </w:p>
        </w:tc>
        <w:tc>
          <w:tcPr>
            <w:tcW w:w="992" w:type="dxa"/>
            <w:vMerge/>
            <w:vAlign w:val="center"/>
          </w:tcPr>
          <w:p w14:paraId="3CDE7692" w14:textId="77777777" w:rsidR="00914470" w:rsidRPr="0037797A" w:rsidRDefault="00914470" w:rsidP="00914470">
            <w:pPr>
              <w:pStyle w:val="NoSpacing"/>
              <w:rPr>
                <w:rFonts w:ascii="Times New Roman" w:hAnsi="Times New Roman" w:cs="Times New Roman"/>
                <w:iCs/>
                <w:sz w:val="20"/>
                <w:szCs w:val="20"/>
                <w:lang w:eastAsia="lv-LV"/>
              </w:rPr>
            </w:pPr>
          </w:p>
        </w:tc>
        <w:tc>
          <w:tcPr>
            <w:tcW w:w="992" w:type="dxa"/>
            <w:vAlign w:val="center"/>
          </w:tcPr>
          <w:p w14:paraId="3D778433" w14:textId="77777777" w:rsidR="00914470" w:rsidRPr="0037797A" w:rsidRDefault="00914470" w:rsidP="00914470">
            <w:pPr>
              <w:rPr>
                <w:sz w:val="20"/>
                <w:szCs w:val="20"/>
              </w:rPr>
            </w:pPr>
            <w:r w:rsidRPr="0037797A">
              <w:rPr>
                <w:iCs/>
                <w:sz w:val="20"/>
                <w:szCs w:val="20"/>
              </w:rPr>
              <w:t>0</w:t>
            </w:r>
          </w:p>
        </w:tc>
        <w:tc>
          <w:tcPr>
            <w:tcW w:w="1276" w:type="dxa"/>
            <w:vAlign w:val="center"/>
          </w:tcPr>
          <w:p w14:paraId="2D17651B" w14:textId="77777777" w:rsidR="00914470" w:rsidRPr="0037797A" w:rsidRDefault="00914470" w:rsidP="00914470">
            <w:pPr>
              <w:rPr>
                <w:sz w:val="20"/>
                <w:szCs w:val="20"/>
              </w:rPr>
            </w:pPr>
            <w:r w:rsidRPr="0037797A">
              <w:rPr>
                <w:iCs/>
                <w:sz w:val="20"/>
                <w:szCs w:val="20"/>
              </w:rPr>
              <w:t>0</w:t>
            </w:r>
          </w:p>
        </w:tc>
      </w:tr>
      <w:tr w:rsidR="00914470" w14:paraId="3156560C" w14:textId="77777777" w:rsidTr="002824A8">
        <w:trPr>
          <w:jc w:val="center"/>
        </w:trPr>
        <w:tc>
          <w:tcPr>
            <w:tcW w:w="1702" w:type="dxa"/>
            <w:vAlign w:val="center"/>
          </w:tcPr>
          <w:p w14:paraId="781F8807" w14:textId="77777777" w:rsidR="00914470" w:rsidRPr="008F0E21" w:rsidRDefault="00914470" w:rsidP="00914470">
            <w:pPr>
              <w:pStyle w:val="NoSpacing"/>
              <w:jc w:val="both"/>
              <w:rPr>
                <w:rFonts w:ascii="Times New Roman" w:hAnsi="Times New Roman" w:cs="Times New Roman"/>
                <w:iCs/>
                <w:sz w:val="24"/>
                <w:szCs w:val="24"/>
                <w:lang w:eastAsia="lv-LV"/>
              </w:rPr>
            </w:pPr>
            <w:r w:rsidRPr="008F0E21">
              <w:rPr>
                <w:rFonts w:ascii="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shd w:val="clear" w:color="auto" w:fill="auto"/>
          </w:tcPr>
          <w:p w14:paraId="15079735" w14:textId="77777777" w:rsidR="00914470" w:rsidRPr="008F0E21" w:rsidRDefault="00914470" w:rsidP="00914470">
            <w:pPr>
              <w:pStyle w:val="tv213"/>
              <w:tabs>
                <w:tab w:val="left" w:pos="709"/>
              </w:tabs>
              <w:spacing w:before="0" w:beforeAutospacing="0" w:after="0" w:afterAutospacing="0"/>
              <w:jc w:val="both"/>
            </w:pPr>
          </w:p>
          <w:p w14:paraId="04C365AF" w14:textId="1B4EEB8C" w:rsidR="00914470" w:rsidRPr="007E4970" w:rsidRDefault="00914470" w:rsidP="00914470">
            <w:pPr>
              <w:ind w:right="102" w:firstLine="275"/>
              <w:jc w:val="both"/>
              <w:rPr>
                <w:i/>
              </w:rPr>
            </w:pPr>
            <w:r w:rsidRPr="007E4970">
              <w:t xml:space="preserve">Iekšlietu ministrijai (Iekšlietu ministrijas Informācijas centram) </w:t>
            </w:r>
            <w:r>
              <w:t xml:space="preserve">indikatīvi </w:t>
            </w:r>
            <w:r w:rsidRPr="007E4970">
              <w:t xml:space="preserve">papildu nepieciešamais finansējums </w:t>
            </w:r>
            <w:proofErr w:type="gramStart"/>
            <w:r w:rsidRPr="007E4970">
              <w:t>20</w:t>
            </w:r>
            <w:r>
              <w:t>20.gadā</w:t>
            </w:r>
            <w:proofErr w:type="gramEnd"/>
            <w:r>
              <w:t xml:space="preserve">  – 80 087</w:t>
            </w:r>
            <w:r w:rsidRPr="007E4970">
              <w:t> </w:t>
            </w:r>
            <w:proofErr w:type="spellStart"/>
            <w:r w:rsidRPr="007E4970">
              <w:rPr>
                <w:i/>
              </w:rPr>
              <w:t>euro</w:t>
            </w:r>
            <w:proofErr w:type="spellEnd"/>
            <w:r w:rsidRPr="007E4970">
              <w:t xml:space="preserve">, </w:t>
            </w:r>
            <w:r w:rsidRPr="00166DBD">
              <w:t xml:space="preserve">lai nodrošinātu </w:t>
            </w:r>
            <w:proofErr w:type="spellStart"/>
            <w:r w:rsidRPr="00A5162A">
              <w:t>Covid-19</w:t>
            </w:r>
            <w:proofErr w:type="spellEnd"/>
            <w:r w:rsidRPr="00A5162A">
              <w:t xml:space="preserve"> krīzes pārvar</w:t>
            </w:r>
            <w:r>
              <w:t>ēšanas un ekonomikas atlabšanas pasākuma “</w:t>
            </w:r>
            <w:r w:rsidRPr="009054A3">
              <w:t xml:space="preserve">Inovatīvu tehnoloģiju ilgtspējīga attīstība </w:t>
            </w:r>
            <w:r>
              <w:t xml:space="preserve">Iekšlietu ministrijas </w:t>
            </w:r>
            <w:r w:rsidRPr="009054A3">
              <w:t>resorā</w:t>
            </w:r>
            <w:r>
              <w:t>” īstenošanu. 2020.gadā tiks uzsāktas šādas aktivitātes</w:t>
            </w:r>
            <w:r w:rsidRPr="00166DBD">
              <w:t>:</w:t>
            </w:r>
          </w:p>
          <w:p w14:paraId="1CDE6151" w14:textId="1F41D4CB" w:rsidR="00914470" w:rsidRDefault="00914470" w:rsidP="00914470">
            <w:pPr>
              <w:pStyle w:val="FootnoteText"/>
              <w:numPr>
                <w:ilvl w:val="0"/>
                <w:numId w:val="8"/>
              </w:numPr>
              <w:jc w:val="both"/>
              <w:rPr>
                <w:rFonts w:ascii="Times New Roman" w:hAnsi="Times New Roman" w:cs="Times New Roman"/>
                <w:sz w:val="24"/>
                <w:szCs w:val="24"/>
              </w:rPr>
            </w:pPr>
            <w:r w:rsidRPr="00F319E0">
              <w:rPr>
                <w:rFonts w:ascii="Times New Roman" w:hAnsi="Times New Roman" w:cs="Times New Roman"/>
                <w:sz w:val="24"/>
                <w:szCs w:val="24"/>
              </w:rPr>
              <w:t>Runas atpazīšanas tehnoloģij</w:t>
            </w:r>
            <w:r>
              <w:rPr>
                <w:rFonts w:ascii="Times New Roman" w:hAnsi="Times New Roman" w:cs="Times New Roman"/>
                <w:sz w:val="24"/>
                <w:szCs w:val="24"/>
              </w:rPr>
              <w:t xml:space="preserve">u un mašīntulkošanas platformas pieejamības attīstīšana - 55 000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p>
          <w:p w14:paraId="7A20B65D" w14:textId="014BBAA6" w:rsidR="00914470" w:rsidRDefault="00914470" w:rsidP="00914470">
            <w:pPr>
              <w:pStyle w:val="FootnoteText"/>
              <w:ind w:left="654"/>
              <w:jc w:val="both"/>
              <w:rPr>
                <w:rFonts w:ascii="Times New Roman" w:hAnsi="Times New Roman" w:cs="Times New Roman"/>
                <w:sz w:val="24"/>
                <w:szCs w:val="24"/>
              </w:rPr>
            </w:pPr>
            <w:r>
              <w:rPr>
                <w:rFonts w:ascii="Times New Roman" w:hAnsi="Times New Roman" w:cs="Times New Roman"/>
                <w:sz w:val="24"/>
                <w:szCs w:val="24"/>
              </w:rPr>
              <w:t>Kopējās izmaksas sastāda 422,01</w:t>
            </w:r>
            <w:r w:rsidRPr="002B124F">
              <w:rPr>
                <w:rFonts w:ascii="Times New Roman" w:hAnsi="Times New Roman" w:cs="Times New Roman"/>
                <w:sz w:val="24"/>
                <w:szCs w:val="24"/>
              </w:rPr>
              <w:t xml:space="preserve">¹ cilvēkdienas x 418,12² </w:t>
            </w:r>
            <w:proofErr w:type="spellStart"/>
            <w:r>
              <w:rPr>
                <w:rFonts w:ascii="Times New Roman" w:hAnsi="Times New Roman" w:cs="Times New Roman"/>
                <w:i/>
                <w:sz w:val="24"/>
                <w:szCs w:val="24"/>
              </w:rPr>
              <w:t>euro</w:t>
            </w:r>
            <w:proofErr w:type="spellEnd"/>
            <w:r w:rsidRPr="002B124F">
              <w:rPr>
                <w:rFonts w:ascii="Times New Roman" w:hAnsi="Times New Roman" w:cs="Times New Roman"/>
                <w:sz w:val="24"/>
                <w:szCs w:val="24"/>
              </w:rPr>
              <w:t xml:space="preserve"> = </w:t>
            </w:r>
            <w:r>
              <w:rPr>
                <w:rFonts w:ascii="Times New Roman" w:hAnsi="Times New Roman" w:cs="Times New Roman"/>
                <w:sz w:val="24"/>
                <w:szCs w:val="24"/>
              </w:rPr>
              <w:t>176 452</w:t>
            </w:r>
            <w:r w:rsidRPr="002B124F">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(EKK 5140</w:t>
            </w:r>
            <w:r w:rsidRPr="00B27F8C">
              <w:t xml:space="preserve"> </w:t>
            </w:r>
            <w:r>
              <w:t>“</w:t>
            </w:r>
            <w:r w:rsidRPr="002B124F">
              <w:rPr>
                <w:rFonts w:ascii="Times New Roman" w:hAnsi="Times New Roman" w:cs="Times New Roman"/>
                <w:sz w:val="24"/>
                <w:szCs w:val="24"/>
              </w:rPr>
              <w:t>Nemateriālo ieguldījumu izveidošana</w:t>
            </w:r>
            <w:r>
              <w:rPr>
                <w:rFonts w:ascii="Times New Roman" w:hAnsi="Times New Roman" w:cs="Times New Roman"/>
                <w:sz w:val="24"/>
                <w:szCs w:val="24"/>
              </w:rPr>
              <w:t xml:space="preserve">”), no kā plānots </w:t>
            </w:r>
            <w:proofErr w:type="gramStart"/>
            <w:r>
              <w:rPr>
                <w:rFonts w:ascii="Times New Roman" w:hAnsi="Times New Roman" w:cs="Times New Roman"/>
                <w:sz w:val="24"/>
                <w:szCs w:val="24"/>
              </w:rPr>
              <w:t>2020.gadā</w:t>
            </w:r>
            <w:proofErr w:type="gramEnd"/>
            <w:r>
              <w:rPr>
                <w:rFonts w:ascii="Times New Roman" w:hAnsi="Times New Roman" w:cs="Times New Roman"/>
                <w:sz w:val="24"/>
                <w:szCs w:val="24"/>
              </w:rPr>
              <w:t xml:space="preserve"> veikt maksājumu ne vairāk kā 55 000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apmērā;</w:t>
            </w:r>
          </w:p>
          <w:p w14:paraId="2D91899A" w14:textId="46168A37" w:rsidR="00914470" w:rsidRDefault="00914470" w:rsidP="00914470">
            <w:pPr>
              <w:pStyle w:val="FootnoteText"/>
              <w:numPr>
                <w:ilvl w:val="0"/>
                <w:numId w:val="8"/>
              </w:numPr>
              <w:jc w:val="both"/>
              <w:rPr>
                <w:rFonts w:ascii="Times New Roman" w:hAnsi="Times New Roman" w:cs="Times New Roman"/>
                <w:sz w:val="24"/>
                <w:szCs w:val="24"/>
              </w:rPr>
            </w:pPr>
            <w:r w:rsidRPr="00F319E0">
              <w:rPr>
                <w:rFonts w:ascii="Times New Roman" w:hAnsi="Times New Roman" w:cs="Times New Roman"/>
                <w:sz w:val="24"/>
                <w:szCs w:val="24"/>
              </w:rPr>
              <w:t xml:space="preserve">Mākslīgā intelekta tehnoloģiju izmantošana </w:t>
            </w:r>
            <w:proofErr w:type="spellStart"/>
            <w:r w:rsidRPr="00F319E0">
              <w:rPr>
                <w:rFonts w:ascii="Times New Roman" w:hAnsi="Times New Roman" w:cs="Times New Roman"/>
                <w:sz w:val="24"/>
                <w:szCs w:val="24"/>
              </w:rPr>
              <w:t>mašīnmācāma</w:t>
            </w:r>
            <w:proofErr w:type="spellEnd"/>
            <w:r w:rsidRPr="00F319E0">
              <w:rPr>
                <w:rFonts w:ascii="Times New Roman" w:hAnsi="Times New Roman" w:cs="Times New Roman"/>
                <w:sz w:val="24"/>
                <w:szCs w:val="24"/>
              </w:rPr>
              <w:t xml:space="preserve"> modeļa izstrādei noziedzīgu nodarījumu prognozēšanā un </w:t>
            </w:r>
            <w:proofErr w:type="spellStart"/>
            <w:r w:rsidRPr="00F319E0">
              <w:rPr>
                <w:rFonts w:ascii="Times New Roman" w:hAnsi="Times New Roman" w:cs="Times New Roman"/>
                <w:sz w:val="24"/>
                <w:szCs w:val="24"/>
              </w:rPr>
              <w:t>prediktīvās</w:t>
            </w:r>
            <w:proofErr w:type="spellEnd"/>
            <w:r w:rsidRPr="00F319E0">
              <w:rPr>
                <w:rFonts w:ascii="Times New Roman" w:hAnsi="Times New Roman" w:cs="Times New Roman"/>
                <w:sz w:val="24"/>
                <w:szCs w:val="24"/>
              </w:rPr>
              <w:t xml:space="preserve"> analītikas attīstībā attiecībā uz noziedzības līmeņa samazināšanu un ugunsdrošības paaugstināšanu valstī </w:t>
            </w:r>
            <w:r w:rsidRPr="00A75A45">
              <w:rPr>
                <w:rFonts w:ascii="Times New Roman" w:hAnsi="Times New Roman" w:cs="Times New Roman"/>
                <w:sz w:val="24"/>
                <w:szCs w:val="24"/>
              </w:rPr>
              <w:t xml:space="preserve">- </w:t>
            </w:r>
            <w:r>
              <w:rPr>
                <w:rFonts w:ascii="Times New Roman" w:hAnsi="Times New Roman" w:cs="Times New Roman"/>
                <w:sz w:val="24"/>
                <w:szCs w:val="24"/>
              </w:rPr>
              <w:t>25 087</w:t>
            </w:r>
            <w:proofErr w:type="gramStart"/>
            <w:r w:rsidRPr="00A75A45">
              <w:rPr>
                <w:rFonts w:ascii="Times New Roman" w:hAnsi="Times New Roman" w:cs="Times New Roman"/>
                <w:sz w:val="24"/>
                <w:szCs w:val="24"/>
              </w:rPr>
              <w:t xml:space="preserve">  </w:t>
            </w:r>
            <w:proofErr w:type="spellStart"/>
            <w:proofErr w:type="gramEnd"/>
            <w:r w:rsidRPr="00F319E0">
              <w:rPr>
                <w:rFonts w:ascii="Times New Roman" w:hAnsi="Times New Roman" w:cs="Times New Roman"/>
                <w:i/>
                <w:sz w:val="24"/>
                <w:szCs w:val="24"/>
              </w:rPr>
              <w:t>euro</w:t>
            </w:r>
            <w:proofErr w:type="spellEnd"/>
          </w:p>
          <w:p w14:paraId="7DC329D8" w14:textId="2BF9315B" w:rsidR="00914470" w:rsidRPr="00C30810" w:rsidRDefault="00914470" w:rsidP="00914470">
            <w:pPr>
              <w:pStyle w:val="FootnoteText"/>
              <w:ind w:left="595"/>
              <w:jc w:val="both"/>
              <w:rPr>
                <w:rFonts w:ascii="Times New Roman" w:hAnsi="Times New Roman" w:cs="Times New Roman"/>
                <w:sz w:val="24"/>
                <w:szCs w:val="24"/>
              </w:rPr>
            </w:pPr>
            <w:r>
              <w:rPr>
                <w:rFonts w:ascii="Times New Roman" w:hAnsi="Times New Roman" w:cs="Times New Roman"/>
                <w:sz w:val="24"/>
                <w:szCs w:val="24"/>
              </w:rPr>
              <w:t>Datu moduļa izstrāde 120</w:t>
            </w:r>
            <w:r w:rsidRPr="002B124F">
              <w:rPr>
                <w:rFonts w:ascii="Times New Roman" w:hAnsi="Times New Roman" w:cs="Times New Roman"/>
                <w:sz w:val="24"/>
                <w:szCs w:val="24"/>
              </w:rPr>
              <w:t>¹ cilvēkdienas</w:t>
            </w:r>
            <w:r w:rsidRPr="00C30810">
              <w:rPr>
                <w:rFonts w:ascii="Times New Roman" w:hAnsi="Times New Roman" w:cs="Times New Roman"/>
                <w:sz w:val="24"/>
                <w:szCs w:val="24"/>
              </w:rPr>
              <w:t xml:space="preserve"> x </w:t>
            </w:r>
            <w:r>
              <w:rPr>
                <w:rFonts w:ascii="Times New Roman" w:hAnsi="Times New Roman" w:cs="Times New Roman"/>
                <w:sz w:val="24"/>
                <w:szCs w:val="24"/>
              </w:rPr>
              <w:t>418,12</w:t>
            </w:r>
            <w:r w:rsidRPr="00C30810">
              <w:rPr>
                <w:rFonts w:ascii="Times New Roman" w:hAnsi="Times New Roman" w:cs="Times New Roman"/>
                <w:sz w:val="24"/>
                <w:szCs w:val="24"/>
              </w:rPr>
              <w:t xml:space="preserve"> </w:t>
            </w:r>
            <w:r w:rsidRPr="00C30810">
              <w:rPr>
                <w:rFonts w:ascii="Times New Roman" w:hAnsi="Times New Roman" w:cs="Times New Roman"/>
                <w:i/>
                <w:sz w:val="24"/>
                <w:szCs w:val="24"/>
              </w:rPr>
              <w:t>euro</w:t>
            </w:r>
            <w:r w:rsidRPr="00C30810">
              <w:rPr>
                <w:rFonts w:ascii="Times New Roman" w:hAnsi="Times New Roman" w:cs="Times New Roman"/>
                <w:sz w:val="24"/>
                <w:szCs w:val="24"/>
                <w:vertAlign w:val="superscript"/>
              </w:rPr>
              <w:t>1</w:t>
            </w:r>
            <w:r w:rsidRPr="00C30810">
              <w:rPr>
                <w:rFonts w:ascii="Times New Roman" w:hAnsi="Times New Roman" w:cs="Times New Roman"/>
                <w:i/>
                <w:sz w:val="24"/>
                <w:szCs w:val="24"/>
              </w:rPr>
              <w:t xml:space="preserve"> = </w:t>
            </w:r>
            <w:r>
              <w:rPr>
                <w:rFonts w:ascii="Times New Roman" w:hAnsi="Times New Roman" w:cs="Times New Roman"/>
                <w:sz w:val="24"/>
                <w:szCs w:val="24"/>
              </w:rPr>
              <w:t>50 174</w:t>
            </w:r>
            <w:r w:rsidRPr="00C30810">
              <w:rPr>
                <w:rFonts w:ascii="Times New Roman" w:hAnsi="Times New Roman" w:cs="Times New Roman"/>
                <w:sz w:val="24"/>
                <w:szCs w:val="24"/>
              </w:rPr>
              <w:t xml:space="preserve"> </w:t>
            </w:r>
            <w:proofErr w:type="spellStart"/>
            <w:r w:rsidRPr="00C30810">
              <w:rPr>
                <w:rFonts w:ascii="Times New Roman" w:hAnsi="Times New Roman" w:cs="Times New Roman"/>
                <w:i/>
                <w:sz w:val="24"/>
                <w:szCs w:val="24"/>
              </w:rPr>
              <w:t>euro</w:t>
            </w:r>
            <w:proofErr w:type="spellEnd"/>
            <w:r w:rsidRPr="00C30810">
              <w:rPr>
                <w:rFonts w:ascii="Times New Roman" w:hAnsi="Times New Roman" w:cs="Times New Roman"/>
                <w:i/>
                <w:sz w:val="24"/>
                <w:szCs w:val="24"/>
              </w:rPr>
              <w:t xml:space="preserve"> </w:t>
            </w:r>
            <w:r w:rsidRPr="00C30810">
              <w:rPr>
                <w:rFonts w:ascii="Times New Roman" w:hAnsi="Times New Roman" w:cs="Times New Roman"/>
                <w:sz w:val="24"/>
                <w:szCs w:val="24"/>
              </w:rPr>
              <w:t>(EKK 51</w:t>
            </w:r>
            <w:r>
              <w:rPr>
                <w:rFonts w:ascii="Times New Roman" w:hAnsi="Times New Roman" w:cs="Times New Roman"/>
                <w:sz w:val="24"/>
                <w:szCs w:val="24"/>
              </w:rPr>
              <w:t>40</w:t>
            </w:r>
            <w:r w:rsidRPr="00C30810">
              <w:rPr>
                <w:rFonts w:ascii="Times New Roman" w:hAnsi="Times New Roman" w:cs="Times New Roman"/>
                <w:sz w:val="24"/>
                <w:szCs w:val="24"/>
              </w:rPr>
              <w:t xml:space="preserve"> “</w:t>
            </w:r>
            <w:r w:rsidRPr="002B124F">
              <w:rPr>
                <w:rFonts w:ascii="Times New Roman" w:hAnsi="Times New Roman" w:cs="Times New Roman"/>
                <w:sz w:val="24"/>
                <w:szCs w:val="24"/>
              </w:rPr>
              <w:t>Nemateriālo ieguldījumu izveidošana</w:t>
            </w:r>
            <w:r w:rsidRPr="00C30810">
              <w:rPr>
                <w:rFonts w:ascii="Times New Roman" w:hAnsi="Times New Roman" w:cs="Times New Roman"/>
                <w:sz w:val="24"/>
                <w:szCs w:val="24"/>
              </w:rPr>
              <w:t>”)</w:t>
            </w:r>
            <w:r>
              <w:rPr>
                <w:rFonts w:ascii="Times New Roman" w:hAnsi="Times New Roman" w:cs="Times New Roman"/>
                <w:sz w:val="24"/>
                <w:szCs w:val="24"/>
              </w:rPr>
              <w:t xml:space="preserve">, no kā plānots </w:t>
            </w:r>
            <w:proofErr w:type="gramStart"/>
            <w:r>
              <w:rPr>
                <w:rFonts w:ascii="Times New Roman" w:hAnsi="Times New Roman" w:cs="Times New Roman"/>
                <w:sz w:val="24"/>
                <w:szCs w:val="24"/>
              </w:rPr>
              <w:t>2020.gadā</w:t>
            </w:r>
            <w:proofErr w:type="gramEnd"/>
            <w:r>
              <w:rPr>
                <w:rFonts w:ascii="Times New Roman" w:hAnsi="Times New Roman" w:cs="Times New Roman"/>
                <w:sz w:val="24"/>
                <w:szCs w:val="24"/>
              </w:rPr>
              <w:t xml:space="preserve"> veikt maksājumu ne vairāk kā 25 087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apmērā.</w:t>
            </w:r>
          </w:p>
          <w:p w14:paraId="5CD974F1" w14:textId="11E732E6" w:rsidR="00914470" w:rsidRPr="00F319E0" w:rsidRDefault="00914470" w:rsidP="00914470">
            <w:pPr>
              <w:pStyle w:val="FootnoteText"/>
              <w:tabs>
                <w:tab w:val="left" w:pos="170"/>
              </w:tabs>
              <w:ind w:left="170"/>
              <w:jc w:val="both"/>
              <w:rPr>
                <w:rFonts w:ascii="Times New Roman" w:hAnsi="Times New Roman" w:cs="Times New Roman"/>
                <w:szCs w:val="24"/>
              </w:rPr>
            </w:pPr>
            <w:r w:rsidRPr="00F319E0">
              <w:rPr>
                <w:rFonts w:ascii="Times New Roman" w:hAnsi="Times New Roman" w:cs="Times New Roman"/>
                <w:sz w:val="24"/>
                <w:szCs w:val="24"/>
              </w:rPr>
              <w:t>¹</w:t>
            </w:r>
            <w:r w:rsidRPr="00F319E0">
              <w:rPr>
                <w:rFonts w:ascii="Times New Roman" w:hAnsi="Times New Roman" w:cs="Times New Roman"/>
                <w:szCs w:val="24"/>
              </w:rPr>
              <w:t>Cilvēkdienu skaits aprēķināts, pamatojoties uz līdzīgu sistēmu izveides veikšanā ieguldīto cilvēkdienu skaitu.</w:t>
            </w:r>
          </w:p>
          <w:p w14:paraId="7135A05F" w14:textId="19C6A6EF" w:rsidR="00914470" w:rsidRPr="008F0E21" w:rsidRDefault="00914470" w:rsidP="00393A2D">
            <w:pPr>
              <w:pStyle w:val="FootnoteText"/>
              <w:tabs>
                <w:tab w:val="left" w:pos="170"/>
              </w:tabs>
              <w:ind w:left="170"/>
              <w:jc w:val="both"/>
              <w:rPr>
                <w:bCs/>
              </w:rPr>
            </w:pPr>
            <w:r w:rsidRPr="00F319E0">
              <w:rPr>
                <w:rFonts w:ascii="Times New Roman" w:hAnsi="Times New Roman" w:cs="Times New Roman"/>
                <w:szCs w:val="24"/>
              </w:rPr>
              <w:t xml:space="preserve">²Vienas cilvēkdienas izmaksas </w:t>
            </w:r>
            <w:proofErr w:type="spellStart"/>
            <w:r w:rsidRPr="00F319E0">
              <w:rPr>
                <w:rFonts w:ascii="Times New Roman" w:hAnsi="Times New Roman" w:cs="Times New Roman"/>
                <w:szCs w:val="24"/>
              </w:rPr>
              <w:t>balstī</w:t>
            </w:r>
            <w:r w:rsidR="00393A2D">
              <w:rPr>
                <w:rFonts w:ascii="Times New Roman" w:hAnsi="Times New Roman" w:cs="Times New Roman"/>
                <w:szCs w:val="24"/>
              </w:rPr>
              <w:t>ta</w:t>
            </w:r>
            <w:r w:rsidRPr="00F319E0">
              <w:rPr>
                <w:rFonts w:ascii="Times New Roman" w:hAnsi="Times New Roman" w:cs="Times New Roman"/>
                <w:szCs w:val="24"/>
              </w:rPr>
              <w:t>ts</w:t>
            </w:r>
            <w:proofErr w:type="spellEnd"/>
            <w:r w:rsidRPr="00F319E0">
              <w:rPr>
                <w:rFonts w:ascii="Times New Roman" w:hAnsi="Times New Roman" w:cs="Times New Roman"/>
                <w:szCs w:val="24"/>
              </w:rPr>
              <w:t xml:space="preserve"> uz </w:t>
            </w:r>
            <w:r w:rsidR="00393A2D">
              <w:rPr>
                <w:rFonts w:ascii="Times New Roman" w:hAnsi="Times New Roman" w:cs="Times New Roman"/>
                <w:szCs w:val="24"/>
              </w:rPr>
              <w:t xml:space="preserve">pašreizējām </w:t>
            </w:r>
            <w:r w:rsidRPr="00F319E0">
              <w:rPr>
                <w:rFonts w:ascii="Times New Roman" w:hAnsi="Times New Roman" w:cs="Times New Roman"/>
                <w:szCs w:val="24"/>
              </w:rPr>
              <w:t>tirg</w:t>
            </w:r>
            <w:r w:rsidR="00393A2D">
              <w:rPr>
                <w:rFonts w:ascii="Times New Roman" w:hAnsi="Times New Roman" w:cs="Times New Roman"/>
                <w:szCs w:val="24"/>
              </w:rPr>
              <w:t>us</w:t>
            </w:r>
            <w:r w:rsidRPr="00F319E0">
              <w:rPr>
                <w:rFonts w:ascii="Times New Roman" w:hAnsi="Times New Roman" w:cs="Times New Roman"/>
                <w:szCs w:val="24"/>
              </w:rPr>
              <w:t xml:space="preserve"> </w:t>
            </w:r>
            <w:r w:rsidR="00393A2D">
              <w:rPr>
                <w:rFonts w:ascii="Times New Roman" w:hAnsi="Times New Roman" w:cs="Times New Roman"/>
                <w:szCs w:val="24"/>
              </w:rPr>
              <w:t>cenām</w:t>
            </w:r>
            <w:r w:rsidRPr="00F319E0">
              <w:rPr>
                <w:rFonts w:ascii="Times New Roman" w:hAnsi="Times New Roman" w:cs="Times New Roman"/>
                <w:szCs w:val="24"/>
              </w:rPr>
              <w:t>, līdz ar to t</w:t>
            </w:r>
            <w:r w:rsidR="00393A2D">
              <w:rPr>
                <w:rFonts w:ascii="Times New Roman" w:hAnsi="Times New Roman" w:cs="Times New Roman"/>
                <w:szCs w:val="24"/>
              </w:rPr>
              <w:t>ā</w:t>
            </w:r>
            <w:r w:rsidRPr="00F319E0">
              <w:rPr>
                <w:rFonts w:ascii="Times New Roman" w:hAnsi="Times New Roman" w:cs="Times New Roman"/>
                <w:szCs w:val="24"/>
              </w:rPr>
              <w:t>s var mainīties atbilstoši tirgus cenām kārtējā gadā.</w:t>
            </w:r>
          </w:p>
        </w:tc>
      </w:tr>
      <w:tr w:rsidR="00914470" w14:paraId="7B25F4E8" w14:textId="77777777" w:rsidTr="002824A8">
        <w:trPr>
          <w:jc w:val="center"/>
        </w:trPr>
        <w:tc>
          <w:tcPr>
            <w:tcW w:w="1702" w:type="dxa"/>
            <w:vAlign w:val="center"/>
          </w:tcPr>
          <w:p w14:paraId="582FD5D0" w14:textId="6CEF998E" w:rsidR="00914470" w:rsidRPr="00EC6E12" w:rsidRDefault="00914470" w:rsidP="0091447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6.1. detalizēts ieņēmumu aprēķins</w:t>
            </w:r>
          </w:p>
        </w:tc>
        <w:tc>
          <w:tcPr>
            <w:tcW w:w="7654" w:type="dxa"/>
            <w:gridSpan w:val="7"/>
            <w:vMerge/>
            <w:shd w:val="clear" w:color="auto" w:fill="auto"/>
            <w:vAlign w:val="center"/>
          </w:tcPr>
          <w:p w14:paraId="3E2A6308" w14:textId="77777777" w:rsidR="00914470" w:rsidRPr="00EC6E12" w:rsidRDefault="00914470" w:rsidP="00914470">
            <w:pPr>
              <w:pStyle w:val="NoSpacing"/>
              <w:rPr>
                <w:rFonts w:ascii="Times New Roman" w:hAnsi="Times New Roman" w:cs="Times New Roman"/>
                <w:iCs/>
                <w:sz w:val="24"/>
                <w:szCs w:val="24"/>
                <w:lang w:eastAsia="lv-LV"/>
              </w:rPr>
            </w:pPr>
          </w:p>
        </w:tc>
      </w:tr>
      <w:tr w:rsidR="00914470" w14:paraId="6E3F7E41" w14:textId="77777777" w:rsidTr="002824A8">
        <w:trPr>
          <w:jc w:val="center"/>
        </w:trPr>
        <w:tc>
          <w:tcPr>
            <w:tcW w:w="1702" w:type="dxa"/>
            <w:vAlign w:val="center"/>
          </w:tcPr>
          <w:p w14:paraId="7A3161A9" w14:textId="77777777" w:rsidR="00914470" w:rsidRPr="00EC6E12" w:rsidRDefault="00914470" w:rsidP="0091447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6.2. detalizēts izdevumu aprēķins</w:t>
            </w:r>
          </w:p>
        </w:tc>
        <w:tc>
          <w:tcPr>
            <w:tcW w:w="7654" w:type="dxa"/>
            <w:gridSpan w:val="7"/>
            <w:vMerge/>
            <w:shd w:val="clear" w:color="auto" w:fill="auto"/>
            <w:vAlign w:val="center"/>
          </w:tcPr>
          <w:p w14:paraId="537C9A7D" w14:textId="77777777" w:rsidR="00914470" w:rsidRPr="00EC6E12" w:rsidRDefault="00914470" w:rsidP="00914470">
            <w:pPr>
              <w:pStyle w:val="NoSpacing"/>
              <w:rPr>
                <w:rFonts w:ascii="Times New Roman" w:hAnsi="Times New Roman" w:cs="Times New Roman"/>
                <w:iCs/>
                <w:sz w:val="24"/>
                <w:szCs w:val="24"/>
                <w:lang w:eastAsia="lv-LV"/>
              </w:rPr>
            </w:pPr>
          </w:p>
        </w:tc>
      </w:tr>
      <w:tr w:rsidR="00914470" w14:paraId="0D150743" w14:textId="77777777" w:rsidTr="002824A8">
        <w:trPr>
          <w:jc w:val="center"/>
        </w:trPr>
        <w:tc>
          <w:tcPr>
            <w:tcW w:w="1702" w:type="dxa"/>
            <w:vAlign w:val="center"/>
          </w:tcPr>
          <w:p w14:paraId="14DB8372" w14:textId="77777777" w:rsidR="00914470" w:rsidRPr="00EC6E12" w:rsidRDefault="00914470" w:rsidP="00914470">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7. Amata vietu skaita izmaiņas</w:t>
            </w:r>
          </w:p>
        </w:tc>
        <w:tc>
          <w:tcPr>
            <w:tcW w:w="7654" w:type="dxa"/>
            <w:gridSpan w:val="7"/>
            <w:vAlign w:val="center"/>
          </w:tcPr>
          <w:p w14:paraId="444E5B65" w14:textId="77777777" w:rsidR="00914470" w:rsidRPr="00EC6E12" w:rsidRDefault="00914470" w:rsidP="00914470">
            <w:pPr>
              <w:pStyle w:val="NoSpacing"/>
              <w:rPr>
                <w:rFonts w:ascii="Times New Roman" w:hAnsi="Times New Roman" w:cs="Times New Roman"/>
                <w:iCs/>
                <w:sz w:val="24"/>
                <w:szCs w:val="24"/>
                <w:lang w:eastAsia="lv-LV"/>
              </w:rPr>
            </w:pPr>
            <w:r w:rsidRPr="0039467E">
              <w:rPr>
                <w:rFonts w:ascii="Times New Roman" w:hAnsi="Times New Roman" w:cs="Times New Roman"/>
                <w:sz w:val="24"/>
              </w:rPr>
              <w:t>Projekts šo jomu neskar.</w:t>
            </w:r>
          </w:p>
        </w:tc>
      </w:tr>
      <w:tr w:rsidR="00914470" w14:paraId="779A9A7B" w14:textId="77777777" w:rsidTr="002824A8">
        <w:trPr>
          <w:jc w:val="center"/>
        </w:trPr>
        <w:tc>
          <w:tcPr>
            <w:tcW w:w="1702" w:type="dxa"/>
            <w:vAlign w:val="center"/>
          </w:tcPr>
          <w:p w14:paraId="7AC45972" w14:textId="3A52CD2C" w:rsidR="00914470" w:rsidRPr="00EC6E12" w:rsidRDefault="00914470" w:rsidP="00914470">
            <w:pPr>
              <w:pStyle w:val="NoSpacing"/>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8.</w:t>
            </w:r>
            <w:r w:rsidRPr="00EC6E12">
              <w:rPr>
                <w:rFonts w:ascii="Times New Roman" w:hAnsi="Times New Roman" w:cs="Times New Roman"/>
                <w:iCs/>
                <w:sz w:val="24"/>
                <w:szCs w:val="24"/>
                <w:lang w:eastAsia="lv-LV"/>
              </w:rPr>
              <w:t>Cita informācija</w:t>
            </w:r>
          </w:p>
        </w:tc>
        <w:tc>
          <w:tcPr>
            <w:tcW w:w="7654" w:type="dxa"/>
            <w:gridSpan w:val="7"/>
            <w:vAlign w:val="center"/>
          </w:tcPr>
          <w:p w14:paraId="413C1FFF" w14:textId="77777777" w:rsidR="006924F7" w:rsidRDefault="00914470" w:rsidP="006924F7">
            <w:pPr>
              <w:pStyle w:val="NoSpacing"/>
              <w:ind w:firstLine="312"/>
              <w:jc w:val="both"/>
              <w:rPr>
                <w:rFonts w:ascii="Times New Roman" w:hAnsi="Times New Roman" w:cs="Times New Roman"/>
                <w:sz w:val="24"/>
                <w:szCs w:val="24"/>
              </w:rPr>
            </w:pPr>
            <w:r w:rsidRPr="00857324">
              <w:rPr>
                <w:rFonts w:ascii="Times New Roman" w:hAnsi="Times New Roman" w:cs="Times New Roman"/>
                <w:sz w:val="24"/>
                <w:szCs w:val="24"/>
              </w:rPr>
              <w:t xml:space="preserve">Izdevumi tiks veikti Iekšlietu ministrijas pamatbudžeta programmas 99.00.00 “Līdzekļu neparedzētiem gadījumiem izlietojums” ietvaros, līdzekļus pārdalot no 74.resora „Gadskārtējā valsts budžeta izpildes procesā pārdalāmais finansējums” programmas 02.00.00 „Līdzekļi neparedzētiem gadījumiem”. </w:t>
            </w:r>
          </w:p>
          <w:tbl>
            <w:tblPr>
              <w:tblW w:w="5000" w:type="pct"/>
              <w:tblCellSpacing w:w="0" w:type="dxa"/>
              <w:tblLayout w:type="fixed"/>
              <w:tblCellMar>
                <w:left w:w="0" w:type="dxa"/>
                <w:right w:w="0" w:type="dxa"/>
              </w:tblCellMar>
              <w:tblLook w:val="04A0" w:firstRow="1" w:lastRow="0" w:firstColumn="1" w:lastColumn="0" w:noHBand="0" w:noVBand="1"/>
            </w:tblPr>
            <w:tblGrid>
              <w:gridCol w:w="7438"/>
            </w:tblGrid>
            <w:tr w:rsidR="006D61BC" w:rsidRPr="006D61BC" w14:paraId="371ECDC3" w14:textId="77777777" w:rsidTr="006924F7">
              <w:trPr>
                <w:tblCellSpacing w:w="0" w:type="dxa"/>
              </w:trPr>
              <w:tc>
                <w:tcPr>
                  <w:tcW w:w="7438" w:type="dxa"/>
                  <w:vAlign w:val="center"/>
                </w:tcPr>
                <w:p w14:paraId="5F4A0E98" w14:textId="5B41C430" w:rsidR="006D61BC" w:rsidRPr="006D61BC" w:rsidRDefault="006924F7" w:rsidP="006924F7">
                  <w:pPr>
                    <w:jc w:val="both"/>
                  </w:pPr>
                  <w:r w:rsidRPr="00246588">
                    <w:t xml:space="preserve">Saskaņā ar Ministru kabineta 2020. gada </w:t>
                  </w:r>
                  <w:proofErr w:type="gramStart"/>
                  <w:r w:rsidRPr="00246588">
                    <w:t>2.septembra</w:t>
                  </w:r>
                  <w:proofErr w:type="gramEnd"/>
                  <w:r w:rsidRPr="00246588">
                    <w:t xml:space="preserve"> sēdes </w:t>
                  </w:r>
                  <w:proofErr w:type="spellStart"/>
                  <w:r w:rsidRPr="00246588">
                    <w:t>protokollēmuma</w:t>
                  </w:r>
                  <w:proofErr w:type="spellEnd"/>
                  <w:r w:rsidRPr="00246588">
                    <w:t xml:space="preserve">  (prot. Nr.51 55.§ “Informatīvais ziņojums “Par pasākumiem </w:t>
                  </w:r>
                  <w:proofErr w:type="spellStart"/>
                  <w:r w:rsidRPr="00246588">
                    <w:t>Covid-19</w:t>
                  </w:r>
                  <w:proofErr w:type="spellEnd"/>
                  <w:r w:rsidRPr="00246588">
                    <w:t xml:space="preserve"> krīzes pārvarēšanai un ekonomikas atlabšanai 2020. un 2021.gadam””) 2.punktu atbalstīta </w:t>
                  </w:r>
                  <w:r w:rsidR="006D61BC" w:rsidRPr="00246588">
                    <w:t>finansējuma piešķiršana</w:t>
                  </w:r>
                  <w:r w:rsidRPr="00246588">
                    <w:t xml:space="preserve"> pasākuma “Inovatīvu tehnoloģiju ilgtspējīga attīstība Iekšlietu ministrijas resorā” īstenošanai 2021.gadā 1 419 913 </w:t>
                  </w:r>
                  <w:proofErr w:type="spellStart"/>
                  <w:r w:rsidRPr="00246588">
                    <w:rPr>
                      <w:i/>
                    </w:rPr>
                    <w:t>euro</w:t>
                  </w:r>
                  <w:proofErr w:type="spellEnd"/>
                  <w:r w:rsidRPr="00246588">
                    <w:t xml:space="preserve"> apmērā</w:t>
                  </w:r>
                  <w:r w:rsidR="006D61BC" w:rsidRPr="00246588">
                    <w:t>.</w:t>
                  </w:r>
                </w:p>
              </w:tc>
            </w:tr>
            <w:tr w:rsidR="006D61BC" w:rsidRPr="006D61BC" w14:paraId="2EA0AF86" w14:textId="77777777" w:rsidTr="00246588">
              <w:trPr>
                <w:trHeight w:val="83"/>
                <w:tblCellSpacing w:w="0" w:type="dxa"/>
              </w:trPr>
              <w:tc>
                <w:tcPr>
                  <w:tcW w:w="7438" w:type="dxa"/>
                  <w:vAlign w:val="center"/>
                </w:tcPr>
                <w:p w14:paraId="33C884F0" w14:textId="0ACD27C6" w:rsidR="006D61BC" w:rsidRPr="006D61BC" w:rsidRDefault="006D61BC" w:rsidP="006D61BC">
                  <w:pPr>
                    <w:jc w:val="center"/>
                  </w:pPr>
                </w:p>
              </w:tc>
            </w:tr>
          </w:tbl>
          <w:p w14:paraId="40BB96F2" w14:textId="7FC11490" w:rsidR="00914470" w:rsidRPr="00857324" w:rsidRDefault="00914470" w:rsidP="00914470">
            <w:pPr>
              <w:pStyle w:val="NoSpacing"/>
              <w:ind w:firstLine="312"/>
              <w:jc w:val="both"/>
              <w:rPr>
                <w:rFonts w:ascii="Times New Roman" w:hAnsi="Times New Roman" w:cs="Times New Roman"/>
                <w:sz w:val="24"/>
                <w:szCs w:val="24"/>
              </w:rPr>
            </w:pPr>
          </w:p>
        </w:tc>
      </w:tr>
    </w:tbl>
    <w:p w14:paraId="012545FE" w14:textId="77777777" w:rsidR="00E5323B" w:rsidRDefault="00E5323B"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552A2D" w14:paraId="6853B75B" w14:textId="77777777" w:rsidTr="006936E5">
        <w:tc>
          <w:tcPr>
            <w:tcW w:w="9356" w:type="dxa"/>
          </w:tcPr>
          <w:p w14:paraId="0DFAC491" w14:textId="77777777" w:rsidR="007F6F87" w:rsidRPr="007F6F87" w:rsidRDefault="005540F4"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IV. Tiesību akta projekta ietekme uz spēkā esošo tiesību normu sistēmu</w:t>
            </w:r>
          </w:p>
        </w:tc>
      </w:tr>
      <w:tr w:rsidR="00552A2D" w14:paraId="25DEF3BE" w14:textId="77777777" w:rsidTr="006936E5">
        <w:tc>
          <w:tcPr>
            <w:tcW w:w="9356" w:type="dxa"/>
          </w:tcPr>
          <w:p w14:paraId="6EAE0ABD" w14:textId="77777777" w:rsidR="007F6F87" w:rsidRDefault="005540F4"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753975E5"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552A2D" w14:paraId="3F82F906" w14:textId="77777777" w:rsidTr="006936E5">
        <w:tc>
          <w:tcPr>
            <w:tcW w:w="9356" w:type="dxa"/>
          </w:tcPr>
          <w:p w14:paraId="386CC309" w14:textId="77777777" w:rsidR="007F6F87" w:rsidRPr="007F6F87" w:rsidRDefault="005540F4"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 Tiesību akta projekta atbilstība Latvijas Republikas starptautiskajām saistībām</w:t>
            </w:r>
          </w:p>
        </w:tc>
      </w:tr>
      <w:tr w:rsidR="00552A2D" w14:paraId="525BD9C9" w14:textId="77777777" w:rsidTr="006936E5">
        <w:tc>
          <w:tcPr>
            <w:tcW w:w="9356" w:type="dxa"/>
          </w:tcPr>
          <w:p w14:paraId="1E984355" w14:textId="77777777" w:rsidR="007F6F87" w:rsidRDefault="005540F4"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8BEDFEB"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356" w:type="dxa"/>
        <w:tblInd w:w="-147" w:type="dxa"/>
        <w:tblLook w:val="04A0" w:firstRow="1" w:lastRow="0" w:firstColumn="1" w:lastColumn="0" w:noHBand="0" w:noVBand="1"/>
      </w:tblPr>
      <w:tblGrid>
        <w:gridCol w:w="9356"/>
      </w:tblGrid>
      <w:tr w:rsidR="00552A2D" w14:paraId="650D4A42" w14:textId="77777777" w:rsidTr="006936E5">
        <w:tc>
          <w:tcPr>
            <w:tcW w:w="9356" w:type="dxa"/>
          </w:tcPr>
          <w:p w14:paraId="3DA1036D" w14:textId="77777777" w:rsidR="007F6F87" w:rsidRPr="007F6F87" w:rsidRDefault="005540F4" w:rsidP="003903BF">
            <w:pPr>
              <w:pStyle w:val="NoSpacing"/>
              <w:jc w:val="center"/>
              <w:rPr>
                <w:rFonts w:ascii="Times New Roman" w:hAnsi="Times New Roman" w:cs="Times New Roman"/>
                <w:b/>
                <w:sz w:val="24"/>
                <w:szCs w:val="24"/>
                <w:lang w:eastAsia="lv-LV"/>
              </w:rPr>
            </w:pPr>
            <w:r w:rsidRPr="007F6F87">
              <w:rPr>
                <w:rFonts w:ascii="Times New Roman" w:hAnsi="Times New Roman" w:cs="Times New Roman"/>
                <w:b/>
                <w:iCs/>
                <w:sz w:val="24"/>
                <w:szCs w:val="24"/>
                <w:lang w:eastAsia="lv-LV"/>
              </w:rPr>
              <w:t>VI. Sabiedrības līdzdalība un komunikācijas aktivitātes</w:t>
            </w:r>
          </w:p>
        </w:tc>
      </w:tr>
      <w:tr w:rsidR="00552A2D" w14:paraId="2FD8A33D" w14:textId="77777777" w:rsidTr="006936E5">
        <w:tc>
          <w:tcPr>
            <w:tcW w:w="9356" w:type="dxa"/>
          </w:tcPr>
          <w:p w14:paraId="49E6A1C3" w14:textId="77777777" w:rsidR="007F6F87" w:rsidRDefault="005540F4" w:rsidP="003903BF">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r w:rsidR="007272A8">
              <w:rPr>
                <w:rFonts w:ascii="Times New Roman" w:hAnsi="Times New Roman" w:cs="Times New Roman"/>
                <w:sz w:val="24"/>
                <w:szCs w:val="24"/>
                <w:lang w:eastAsia="lv-LV"/>
              </w:rPr>
              <w:t>.</w:t>
            </w:r>
          </w:p>
        </w:tc>
      </w:tr>
    </w:tbl>
    <w:p w14:paraId="24FB1621" w14:textId="77777777" w:rsidR="007F6F87" w:rsidRPr="00EC6E12" w:rsidRDefault="005540F4"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356" w:type="dxa"/>
        <w:tblInd w:w="-147" w:type="dxa"/>
        <w:tblLook w:val="04A0" w:firstRow="1" w:lastRow="0" w:firstColumn="1" w:lastColumn="0" w:noHBand="0" w:noVBand="1"/>
      </w:tblPr>
      <w:tblGrid>
        <w:gridCol w:w="568"/>
        <w:gridCol w:w="2976"/>
        <w:gridCol w:w="5812"/>
      </w:tblGrid>
      <w:tr w:rsidR="00552A2D" w14:paraId="66DFBEEB" w14:textId="77777777" w:rsidTr="006936E5">
        <w:tc>
          <w:tcPr>
            <w:tcW w:w="9356" w:type="dxa"/>
            <w:gridSpan w:val="3"/>
          </w:tcPr>
          <w:p w14:paraId="4F8CC7F4" w14:textId="77777777" w:rsidR="007F6F87" w:rsidRPr="00CB0786" w:rsidRDefault="005540F4" w:rsidP="003903BF">
            <w:pPr>
              <w:pStyle w:val="NoSpacing"/>
              <w:jc w:val="center"/>
              <w:rPr>
                <w:rFonts w:ascii="Times New Roman" w:hAnsi="Times New Roman" w:cs="Times New Roman"/>
                <w:b/>
                <w:sz w:val="24"/>
                <w:szCs w:val="24"/>
                <w:lang w:eastAsia="lv-LV"/>
              </w:rPr>
            </w:pPr>
            <w:r w:rsidRPr="00CB0786">
              <w:rPr>
                <w:rFonts w:ascii="Times New Roman" w:hAnsi="Times New Roman" w:cs="Times New Roman"/>
                <w:b/>
                <w:iCs/>
                <w:sz w:val="24"/>
                <w:szCs w:val="24"/>
                <w:lang w:eastAsia="lv-LV"/>
              </w:rPr>
              <w:t>VII. Tiesību akta projekta izpildes nodrošināšana un tās ietekme uz institūcijām</w:t>
            </w:r>
          </w:p>
        </w:tc>
      </w:tr>
      <w:tr w:rsidR="00552A2D" w14:paraId="5705F59C" w14:textId="77777777" w:rsidTr="00901E6D">
        <w:tc>
          <w:tcPr>
            <w:tcW w:w="568" w:type="dxa"/>
          </w:tcPr>
          <w:p w14:paraId="30AC3110" w14:textId="77777777" w:rsidR="0049601C" w:rsidRDefault="005540F4"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1.</w:t>
            </w:r>
          </w:p>
        </w:tc>
        <w:tc>
          <w:tcPr>
            <w:tcW w:w="2976" w:type="dxa"/>
          </w:tcPr>
          <w:p w14:paraId="58E2F7AC" w14:textId="77777777" w:rsidR="0049601C" w:rsidRPr="00EC6E12" w:rsidRDefault="005540F4"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izpildē iesaistītās institūcijas</w:t>
            </w:r>
          </w:p>
        </w:tc>
        <w:tc>
          <w:tcPr>
            <w:tcW w:w="5812" w:type="dxa"/>
          </w:tcPr>
          <w:p w14:paraId="1644588E" w14:textId="2B6E7563" w:rsidR="0049601C" w:rsidRPr="00AD4E6F" w:rsidRDefault="002B4E62" w:rsidP="00A15BAF">
            <w:pPr>
              <w:jc w:val="both"/>
            </w:pPr>
            <w:r>
              <w:t>Nav</w:t>
            </w:r>
          </w:p>
        </w:tc>
      </w:tr>
      <w:tr w:rsidR="00552A2D" w14:paraId="5C57C94E" w14:textId="77777777" w:rsidTr="00901E6D">
        <w:tc>
          <w:tcPr>
            <w:tcW w:w="568" w:type="dxa"/>
          </w:tcPr>
          <w:p w14:paraId="1AAC3A17" w14:textId="77777777" w:rsidR="0049601C" w:rsidRDefault="005540F4"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2.</w:t>
            </w:r>
          </w:p>
        </w:tc>
        <w:tc>
          <w:tcPr>
            <w:tcW w:w="2976" w:type="dxa"/>
          </w:tcPr>
          <w:p w14:paraId="5C3D44B8" w14:textId="77777777" w:rsidR="0049601C" w:rsidRPr="00EC6E12" w:rsidRDefault="005540F4" w:rsidP="0049601C">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Projekta izpildes ietekme uz pārvaldes funkcijām un institucionālo struktūru.</w:t>
            </w:r>
            <w:r w:rsidRPr="00EC6E12">
              <w:rPr>
                <w:rFonts w:ascii="Times New Roman" w:hAnsi="Times New Roman" w:cs="Times New Roman"/>
                <w:iCs/>
                <w:sz w:val="24"/>
                <w:szCs w:val="24"/>
                <w:lang w:eastAsia="lv-LV"/>
              </w:rPr>
              <w:br/>
              <w:t>Jaunu institūciju izveide, esošu institūciju likvidācija vai reorganizācija, to ietekme uz institūcijas cilvēkresursiem</w:t>
            </w:r>
          </w:p>
        </w:tc>
        <w:tc>
          <w:tcPr>
            <w:tcW w:w="5812" w:type="dxa"/>
          </w:tcPr>
          <w:p w14:paraId="358221CF" w14:textId="3FC23D51" w:rsidR="0049601C" w:rsidRPr="00D65792" w:rsidRDefault="002B4E62" w:rsidP="0049601C">
            <w:r w:rsidRPr="00C930A2">
              <w:t>Projekta izpildes rezultātā nav paredzēta esošu institūciju likvidācija vai reorganizācija.</w:t>
            </w:r>
          </w:p>
        </w:tc>
      </w:tr>
      <w:tr w:rsidR="00552A2D" w14:paraId="5AC4A69D" w14:textId="77777777" w:rsidTr="00901E6D">
        <w:tc>
          <w:tcPr>
            <w:tcW w:w="568" w:type="dxa"/>
          </w:tcPr>
          <w:p w14:paraId="2ED29DA3" w14:textId="77777777" w:rsidR="0049601C" w:rsidRDefault="005540F4" w:rsidP="0049601C">
            <w:pPr>
              <w:pStyle w:val="No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3.</w:t>
            </w:r>
          </w:p>
        </w:tc>
        <w:tc>
          <w:tcPr>
            <w:tcW w:w="2976" w:type="dxa"/>
          </w:tcPr>
          <w:p w14:paraId="60F64A0F" w14:textId="77777777" w:rsidR="0049601C" w:rsidRPr="00EC6E12" w:rsidRDefault="005540F4" w:rsidP="0049601C">
            <w:pPr>
              <w:pStyle w:val="NoSpacing"/>
              <w:jc w:val="both"/>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Cita informācija</w:t>
            </w:r>
          </w:p>
        </w:tc>
        <w:tc>
          <w:tcPr>
            <w:tcW w:w="5812" w:type="dxa"/>
          </w:tcPr>
          <w:p w14:paraId="6384051A" w14:textId="1F0AD57E" w:rsidR="0049601C" w:rsidRDefault="002B4E62" w:rsidP="0046784C">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Nav</w:t>
            </w:r>
          </w:p>
        </w:tc>
      </w:tr>
    </w:tbl>
    <w:p w14:paraId="4538ABA7" w14:textId="77777777" w:rsidR="008B37B7" w:rsidRDefault="005540F4"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5BBD7173" w14:textId="77777777" w:rsidR="00890FCA" w:rsidRDefault="00890FCA" w:rsidP="0020467A">
      <w:pPr>
        <w:ind w:right="-765"/>
        <w:rPr>
          <w:rFonts w:eastAsia="Calibri"/>
          <w:color w:val="000000" w:themeColor="text1"/>
          <w:sz w:val="28"/>
          <w:szCs w:val="28"/>
        </w:rPr>
      </w:pPr>
    </w:p>
    <w:p w14:paraId="20F306B5" w14:textId="269FC2B1" w:rsidR="00DF461F" w:rsidRDefault="007E4970" w:rsidP="005243A3">
      <w:pPr>
        <w:ind w:right="140"/>
        <w:jc w:val="both"/>
        <w:rPr>
          <w:rFonts w:eastAsiaTheme="minorHAnsi"/>
          <w:sz w:val="28"/>
          <w:szCs w:val="28"/>
        </w:rPr>
      </w:pPr>
      <w:r>
        <w:rPr>
          <w:rFonts w:eastAsia="Calibri"/>
          <w:color w:val="000000" w:themeColor="text1"/>
          <w:sz w:val="28"/>
          <w:szCs w:val="28"/>
        </w:rPr>
        <w:t>Iekšlietu</w:t>
      </w:r>
      <w:r w:rsidR="00E06B02">
        <w:rPr>
          <w:rFonts w:eastAsia="Calibri"/>
          <w:color w:val="000000" w:themeColor="text1"/>
          <w:sz w:val="28"/>
          <w:szCs w:val="28"/>
        </w:rPr>
        <w:t xml:space="preserve"> ministr</w:t>
      </w:r>
      <w:r>
        <w:rPr>
          <w:rFonts w:eastAsia="Calibri"/>
          <w:color w:val="000000" w:themeColor="text1"/>
          <w:sz w:val="28"/>
          <w:szCs w:val="28"/>
        </w:rPr>
        <w:t>s</w:t>
      </w:r>
      <w:r w:rsidR="00E06B02">
        <w:rPr>
          <w:rFonts w:eastAsia="Calibri"/>
          <w:color w:val="000000" w:themeColor="text1"/>
          <w:sz w:val="28"/>
          <w:szCs w:val="28"/>
        </w:rPr>
        <w:t xml:space="preserve">         </w:t>
      </w:r>
      <w:r w:rsidR="00E06B02">
        <w:rPr>
          <w:rFonts w:eastAsia="Calibri"/>
          <w:color w:val="000000" w:themeColor="text1"/>
          <w:sz w:val="28"/>
          <w:szCs w:val="28"/>
        </w:rPr>
        <w:tab/>
      </w:r>
      <w:r w:rsidR="00E06B02">
        <w:rPr>
          <w:rFonts w:eastAsia="Calibri"/>
          <w:color w:val="000000" w:themeColor="text1"/>
          <w:sz w:val="28"/>
          <w:szCs w:val="28"/>
        </w:rPr>
        <w:tab/>
      </w:r>
      <w:r w:rsidR="00E06B02">
        <w:rPr>
          <w:rFonts w:eastAsia="Calibri"/>
          <w:color w:val="000000" w:themeColor="text1"/>
          <w:sz w:val="28"/>
          <w:szCs w:val="28"/>
        </w:rPr>
        <w:tab/>
      </w:r>
      <w:r>
        <w:rPr>
          <w:rFonts w:eastAsia="Calibri"/>
          <w:color w:val="000000" w:themeColor="text1"/>
          <w:sz w:val="28"/>
          <w:szCs w:val="28"/>
        </w:rPr>
        <w:t xml:space="preserve">   </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r w:rsidR="005243A3">
        <w:rPr>
          <w:rFonts w:eastAsia="Calibri"/>
          <w:color w:val="000000" w:themeColor="text1"/>
          <w:sz w:val="28"/>
          <w:szCs w:val="28"/>
        </w:rPr>
        <w:t xml:space="preserve">     </w:t>
      </w:r>
      <w:r w:rsidR="005243A3">
        <w:rPr>
          <w:rFonts w:eastAsia="Calibri"/>
          <w:sz w:val="28"/>
          <w:szCs w:val="28"/>
          <w:lang w:eastAsia="en-US"/>
        </w:rPr>
        <w:t xml:space="preserve">Sandis </w:t>
      </w:r>
      <w:proofErr w:type="spellStart"/>
      <w:r w:rsidR="005243A3">
        <w:rPr>
          <w:rFonts w:eastAsia="Calibri"/>
          <w:sz w:val="28"/>
          <w:szCs w:val="28"/>
          <w:lang w:eastAsia="en-US"/>
        </w:rPr>
        <w:t>Ģirģens</w:t>
      </w:r>
      <w:proofErr w:type="spellEnd"/>
      <w:r w:rsidR="00E06B02">
        <w:rPr>
          <w:sz w:val="28"/>
          <w:szCs w:val="28"/>
        </w:rPr>
        <w:tab/>
      </w:r>
    </w:p>
    <w:p w14:paraId="26551D68" w14:textId="77777777" w:rsidR="00DF461F" w:rsidRDefault="00DF461F" w:rsidP="00DF461F">
      <w:pPr>
        <w:ind w:right="-765"/>
        <w:rPr>
          <w:rFonts w:eastAsia="Calibri"/>
          <w:color w:val="000000" w:themeColor="text1"/>
          <w:sz w:val="28"/>
          <w:szCs w:val="28"/>
        </w:rPr>
      </w:pPr>
    </w:p>
    <w:p w14:paraId="2A55D57B" w14:textId="76C244E7" w:rsidR="00155578" w:rsidRPr="00181467" w:rsidRDefault="005540F4" w:rsidP="00DF461F">
      <w:pPr>
        <w:pStyle w:val="NormalWeb"/>
        <w:spacing w:before="0" w:beforeAutospacing="0" w:after="0" w:afterAutospacing="0"/>
        <w:rPr>
          <w:sz w:val="20"/>
          <w:szCs w:val="20"/>
        </w:rPr>
      </w:pPr>
      <w:r>
        <w:rPr>
          <w:rFonts w:eastAsia="Calibri"/>
          <w:color w:val="000000" w:themeColor="text1"/>
          <w:sz w:val="28"/>
          <w:szCs w:val="28"/>
        </w:rPr>
        <w:t>Vīza: Valsts sekretārs</w:t>
      </w:r>
      <w:r>
        <w:rPr>
          <w:rFonts w:eastAsia="Calibri"/>
          <w:color w:val="000000" w:themeColor="text1"/>
          <w:sz w:val="28"/>
          <w:szCs w:val="28"/>
        </w:rPr>
        <w:tab/>
      </w:r>
      <w:r>
        <w:rPr>
          <w:rFonts w:eastAsia="Calibri"/>
          <w:color w:val="000000" w:themeColor="text1"/>
          <w:sz w:val="28"/>
          <w:szCs w:val="28"/>
        </w:rPr>
        <w:tab/>
      </w:r>
      <w:r>
        <w:rPr>
          <w:rFonts w:eastAsia="Calibri"/>
          <w:color w:val="000000" w:themeColor="text1"/>
          <w:sz w:val="28"/>
          <w:szCs w:val="28"/>
        </w:rPr>
        <w:tab/>
      </w:r>
      <w:proofErr w:type="gramStart"/>
      <w:r w:rsidR="0037797A">
        <w:rPr>
          <w:rFonts w:eastAsia="Calibri"/>
          <w:color w:val="000000" w:themeColor="text1"/>
          <w:sz w:val="28"/>
          <w:szCs w:val="28"/>
        </w:rPr>
        <w:t xml:space="preserve">             </w:t>
      </w:r>
      <w:proofErr w:type="gramEnd"/>
      <w:r>
        <w:rPr>
          <w:rFonts w:eastAsia="Calibri"/>
          <w:color w:val="000000" w:themeColor="text1"/>
          <w:sz w:val="28"/>
          <w:szCs w:val="28"/>
        </w:rPr>
        <w:tab/>
      </w:r>
      <w:r w:rsidR="007E4970">
        <w:rPr>
          <w:rFonts w:eastAsia="Calibri"/>
          <w:color w:val="000000" w:themeColor="text1"/>
          <w:sz w:val="28"/>
          <w:szCs w:val="28"/>
        </w:rPr>
        <w:t xml:space="preserve">     </w:t>
      </w:r>
      <w:r w:rsidR="000D23B1">
        <w:rPr>
          <w:rFonts w:eastAsia="Calibri"/>
          <w:color w:val="000000" w:themeColor="text1"/>
          <w:sz w:val="28"/>
          <w:szCs w:val="28"/>
        </w:rPr>
        <w:t xml:space="preserve">    </w:t>
      </w:r>
      <w:proofErr w:type="spellStart"/>
      <w:r w:rsidR="007E4970">
        <w:rPr>
          <w:rFonts w:eastAsia="Calibri"/>
          <w:color w:val="000000" w:themeColor="text1"/>
          <w:sz w:val="28"/>
          <w:szCs w:val="28"/>
        </w:rPr>
        <w:t>D</w:t>
      </w:r>
      <w:r w:rsidR="008B3796">
        <w:rPr>
          <w:rFonts w:eastAsia="Calibri"/>
          <w:color w:val="000000" w:themeColor="text1"/>
          <w:sz w:val="28"/>
          <w:szCs w:val="28"/>
        </w:rPr>
        <w:t>i</w:t>
      </w:r>
      <w:r w:rsidR="007E4970">
        <w:rPr>
          <w:rFonts w:eastAsia="Calibri"/>
          <w:color w:val="000000" w:themeColor="text1"/>
          <w:sz w:val="28"/>
          <w:szCs w:val="28"/>
        </w:rPr>
        <w:t>mitrijs</w:t>
      </w:r>
      <w:proofErr w:type="spellEnd"/>
      <w:r w:rsidR="007E4970">
        <w:rPr>
          <w:rFonts w:eastAsia="Calibri"/>
          <w:color w:val="000000" w:themeColor="text1"/>
          <w:sz w:val="28"/>
          <w:szCs w:val="28"/>
        </w:rPr>
        <w:t xml:space="preserve"> </w:t>
      </w:r>
      <w:proofErr w:type="spellStart"/>
      <w:r w:rsidR="007E4970">
        <w:rPr>
          <w:rFonts w:eastAsia="Calibri"/>
          <w:color w:val="000000" w:themeColor="text1"/>
          <w:sz w:val="28"/>
          <w:szCs w:val="28"/>
        </w:rPr>
        <w:t>Trofimovs</w:t>
      </w:r>
      <w:proofErr w:type="spellEnd"/>
    </w:p>
    <w:p w14:paraId="143EB322" w14:textId="4F136F5D" w:rsidR="00890FCA" w:rsidRDefault="00890FCA" w:rsidP="00155578">
      <w:pPr>
        <w:pStyle w:val="NormalWeb"/>
        <w:spacing w:before="0" w:beforeAutospacing="0" w:after="0" w:afterAutospacing="0"/>
      </w:pPr>
    </w:p>
    <w:p w14:paraId="446AD78C" w14:textId="77777777" w:rsidR="00890FCA" w:rsidRDefault="00890FCA" w:rsidP="00155578">
      <w:pPr>
        <w:pStyle w:val="NormalWeb"/>
        <w:spacing w:before="0" w:beforeAutospacing="0" w:after="0" w:afterAutospacing="0"/>
      </w:pPr>
    </w:p>
    <w:p w14:paraId="51DBF88A" w14:textId="77777777" w:rsidR="00890FCA" w:rsidRDefault="00890FCA" w:rsidP="00155578">
      <w:pPr>
        <w:pStyle w:val="NormalWeb"/>
        <w:spacing w:before="0" w:beforeAutospacing="0" w:after="0" w:afterAutospacing="0"/>
      </w:pPr>
    </w:p>
    <w:p w14:paraId="2F101F3B" w14:textId="77777777" w:rsidR="00274B26" w:rsidRDefault="00274B26" w:rsidP="00155578">
      <w:pPr>
        <w:pStyle w:val="NormalWeb"/>
        <w:spacing w:before="0" w:beforeAutospacing="0" w:after="0" w:afterAutospacing="0"/>
      </w:pPr>
    </w:p>
    <w:p w14:paraId="188AE1B1" w14:textId="77777777" w:rsidR="00274B26" w:rsidRDefault="00274B26" w:rsidP="00155578">
      <w:pPr>
        <w:pStyle w:val="NormalWeb"/>
        <w:spacing w:before="0" w:beforeAutospacing="0" w:after="0" w:afterAutospacing="0"/>
      </w:pPr>
    </w:p>
    <w:p w14:paraId="2301132D" w14:textId="77777777" w:rsidR="00274B26" w:rsidRDefault="00274B26" w:rsidP="00155578">
      <w:pPr>
        <w:pStyle w:val="NormalWeb"/>
        <w:spacing w:before="0" w:beforeAutospacing="0" w:after="0" w:afterAutospacing="0"/>
      </w:pPr>
    </w:p>
    <w:p w14:paraId="7B4970F2" w14:textId="77777777" w:rsidR="00274B26" w:rsidRDefault="00274B26" w:rsidP="00155578">
      <w:pPr>
        <w:pStyle w:val="NormalWeb"/>
        <w:spacing w:before="0" w:beforeAutospacing="0" w:after="0" w:afterAutospacing="0"/>
      </w:pPr>
    </w:p>
    <w:p w14:paraId="4B7EFEAE" w14:textId="77777777" w:rsidR="00274B26" w:rsidRDefault="00274B26" w:rsidP="00155578">
      <w:pPr>
        <w:pStyle w:val="NormalWeb"/>
        <w:spacing w:before="0" w:beforeAutospacing="0" w:after="0" w:afterAutospacing="0"/>
      </w:pPr>
    </w:p>
    <w:p w14:paraId="61FD4255" w14:textId="77777777" w:rsidR="00274B26" w:rsidRDefault="00274B26" w:rsidP="00155578">
      <w:pPr>
        <w:pStyle w:val="NormalWeb"/>
        <w:spacing w:before="0" w:beforeAutospacing="0" w:after="0" w:afterAutospacing="0"/>
      </w:pPr>
    </w:p>
    <w:p w14:paraId="4BE6B103" w14:textId="77777777" w:rsidR="00274B26" w:rsidRDefault="00274B26" w:rsidP="00155578">
      <w:pPr>
        <w:pStyle w:val="NormalWeb"/>
        <w:spacing w:before="0" w:beforeAutospacing="0" w:after="0" w:afterAutospacing="0"/>
      </w:pPr>
    </w:p>
    <w:p w14:paraId="6C219CC6" w14:textId="77777777" w:rsidR="00274B26" w:rsidRDefault="00274B26" w:rsidP="00155578">
      <w:pPr>
        <w:pStyle w:val="NormalWeb"/>
        <w:spacing w:before="0" w:beforeAutospacing="0" w:after="0" w:afterAutospacing="0"/>
      </w:pPr>
    </w:p>
    <w:p w14:paraId="60884C37" w14:textId="77777777" w:rsidR="00274B26" w:rsidRDefault="00274B26" w:rsidP="00155578">
      <w:pPr>
        <w:pStyle w:val="NormalWeb"/>
        <w:spacing w:before="0" w:beforeAutospacing="0" w:after="0" w:afterAutospacing="0"/>
      </w:pPr>
    </w:p>
    <w:p w14:paraId="67E0D696" w14:textId="77777777" w:rsidR="00274B26" w:rsidRDefault="00274B26" w:rsidP="00155578">
      <w:pPr>
        <w:pStyle w:val="NormalWeb"/>
        <w:spacing w:before="0" w:beforeAutospacing="0" w:after="0" w:afterAutospacing="0"/>
      </w:pPr>
    </w:p>
    <w:p w14:paraId="379514F4" w14:textId="77777777" w:rsidR="00274B26" w:rsidRDefault="00274B26" w:rsidP="00155578">
      <w:pPr>
        <w:pStyle w:val="NormalWeb"/>
        <w:spacing w:before="0" w:beforeAutospacing="0" w:after="0" w:afterAutospacing="0"/>
      </w:pPr>
    </w:p>
    <w:p w14:paraId="6D51B406" w14:textId="77777777" w:rsidR="00274B26" w:rsidRDefault="00274B26" w:rsidP="00155578">
      <w:pPr>
        <w:pStyle w:val="NormalWeb"/>
        <w:spacing w:before="0" w:beforeAutospacing="0" w:after="0" w:afterAutospacing="0"/>
      </w:pPr>
    </w:p>
    <w:p w14:paraId="72742CC8" w14:textId="77777777" w:rsidR="00274B26" w:rsidRDefault="00274B26" w:rsidP="00155578">
      <w:pPr>
        <w:pStyle w:val="NormalWeb"/>
        <w:spacing w:before="0" w:beforeAutospacing="0" w:after="0" w:afterAutospacing="0"/>
      </w:pPr>
    </w:p>
    <w:p w14:paraId="6DE6F65B" w14:textId="77777777" w:rsidR="00274B26" w:rsidRDefault="00274B26" w:rsidP="00155578">
      <w:pPr>
        <w:pStyle w:val="NormalWeb"/>
        <w:spacing w:before="0" w:beforeAutospacing="0" w:after="0" w:afterAutospacing="0"/>
      </w:pPr>
    </w:p>
    <w:p w14:paraId="5085EB15" w14:textId="77777777" w:rsidR="00274B26" w:rsidRDefault="00274B26" w:rsidP="00155578">
      <w:pPr>
        <w:pStyle w:val="NormalWeb"/>
        <w:spacing w:before="0" w:beforeAutospacing="0" w:after="0" w:afterAutospacing="0"/>
      </w:pPr>
    </w:p>
    <w:p w14:paraId="3C985F5E" w14:textId="77777777" w:rsidR="00274B26" w:rsidRDefault="00274B26" w:rsidP="00155578">
      <w:pPr>
        <w:pStyle w:val="NormalWeb"/>
        <w:spacing w:before="0" w:beforeAutospacing="0" w:after="0" w:afterAutospacing="0"/>
      </w:pPr>
    </w:p>
    <w:p w14:paraId="3C8F71B7" w14:textId="77777777" w:rsidR="00274B26" w:rsidRDefault="00274B26" w:rsidP="00155578">
      <w:pPr>
        <w:pStyle w:val="NormalWeb"/>
        <w:spacing w:before="0" w:beforeAutospacing="0" w:after="0" w:afterAutospacing="0"/>
      </w:pPr>
    </w:p>
    <w:p w14:paraId="660A47C7" w14:textId="77777777" w:rsidR="00274B26" w:rsidRDefault="00274B26" w:rsidP="00155578">
      <w:pPr>
        <w:pStyle w:val="NormalWeb"/>
        <w:spacing w:before="0" w:beforeAutospacing="0" w:after="0" w:afterAutospacing="0"/>
      </w:pPr>
    </w:p>
    <w:p w14:paraId="33709661" w14:textId="77777777" w:rsidR="00274B26" w:rsidRDefault="00274B26" w:rsidP="00155578">
      <w:pPr>
        <w:pStyle w:val="NormalWeb"/>
        <w:spacing w:before="0" w:beforeAutospacing="0" w:after="0" w:afterAutospacing="0"/>
      </w:pPr>
    </w:p>
    <w:p w14:paraId="0145CF19" w14:textId="77777777" w:rsidR="00274B26" w:rsidRDefault="00274B26" w:rsidP="00155578">
      <w:pPr>
        <w:pStyle w:val="NormalWeb"/>
        <w:spacing w:before="0" w:beforeAutospacing="0" w:after="0" w:afterAutospacing="0"/>
      </w:pPr>
    </w:p>
    <w:p w14:paraId="6E26ACF9" w14:textId="77777777" w:rsidR="00274B26" w:rsidRDefault="00274B26" w:rsidP="00155578">
      <w:pPr>
        <w:pStyle w:val="NormalWeb"/>
        <w:spacing w:before="0" w:beforeAutospacing="0" w:after="0" w:afterAutospacing="0"/>
      </w:pPr>
    </w:p>
    <w:p w14:paraId="3C72BA19" w14:textId="72B6E0A1" w:rsidR="00890FCA" w:rsidRDefault="00890FCA" w:rsidP="00155578">
      <w:pPr>
        <w:pStyle w:val="NormalWeb"/>
        <w:spacing w:before="0" w:beforeAutospacing="0" w:after="0" w:afterAutospacing="0"/>
      </w:pPr>
    </w:p>
    <w:p w14:paraId="185A2A40" w14:textId="77777777" w:rsidR="00890FCA" w:rsidRDefault="00890FCA" w:rsidP="00155578">
      <w:pPr>
        <w:pStyle w:val="NormalWeb"/>
        <w:spacing w:before="0" w:beforeAutospacing="0" w:after="0" w:afterAutospacing="0"/>
      </w:pPr>
    </w:p>
    <w:p w14:paraId="5E27B0B0" w14:textId="77777777" w:rsidR="00015759" w:rsidRPr="004948D4" w:rsidRDefault="00015759" w:rsidP="00015759">
      <w:r w:rsidRPr="004948D4">
        <w:rPr>
          <w:sz w:val="20"/>
          <w:szCs w:val="20"/>
        </w:rPr>
        <w:fldChar w:fldCharType="begin"/>
      </w:r>
      <w:r w:rsidRPr="004948D4">
        <w:rPr>
          <w:sz w:val="20"/>
          <w:szCs w:val="20"/>
        </w:rPr>
        <w:instrText xml:space="preserve"> DATE \@ "dd'.'MM'.'yyyy'. 'H':'mm" </w:instrText>
      </w:r>
      <w:r w:rsidRPr="004948D4">
        <w:rPr>
          <w:sz w:val="20"/>
          <w:szCs w:val="20"/>
        </w:rPr>
        <w:fldChar w:fldCharType="separate"/>
      </w:r>
      <w:r w:rsidR="001E56EB">
        <w:rPr>
          <w:noProof/>
          <w:sz w:val="20"/>
          <w:szCs w:val="20"/>
        </w:rPr>
        <w:t>15.09.2020. 8:27</w:t>
      </w:r>
      <w:r w:rsidRPr="004948D4">
        <w:rPr>
          <w:sz w:val="20"/>
          <w:szCs w:val="20"/>
        </w:rPr>
        <w:fldChar w:fldCharType="end"/>
      </w:r>
    </w:p>
    <w:p w14:paraId="50E02A76" w14:textId="47D2CEE5" w:rsidR="00015759" w:rsidRDefault="00015759" w:rsidP="00015759">
      <w:pPr>
        <w:rPr>
          <w:noProof/>
          <w:sz w:val="20"/>
          <w:szCs w:val="20"/>
        </w:rPr>
      </w:pPr>
      <w:r>
        <w:rPr>
          <w:noProof/>
          <w:sz w:val="20"/>
          <w:szCs w:val="20"/>
        </w:rPr>
        <w:t>12</w:t>
      </w:r>
      <w:r w:rsidR="00984143">
        <w:rPr>
          <w:noProof/>
          <w:sz w:val="20"/>
          <w:szCs w:val="20"/>
        </w:rPr>
        <w:t>69</w:t>
      </w:r>
    </w:p>
    <w:p w14:paraId="54D9EA63" w14:textId="6A29045C" w:rsidR="00015759" w:rsidRPr="007720FB" w:rsidRDefault="00015759" w:rsidP="00015759">
      <w:pPr>
        <w:rPr>
          <w:noProof/>
          <w:sz w:val="20"/>
          <w:szCs w:val="20"/>
        </w:rPr>
      </w:pPr>
      <w:r w:rsidRPr="007720FB">
        <w:rPr>
          <w:noProof/>
          <w:sz w:val="20"/>
          <w:szCs w:val="20"/>
        </w:rPr>
        <w:t>A.Kronberga,</w:t>
      </w:r>
      <w:r w:rsidR="008B3796" w:rsidRPr="008B3796">
        <w:rPr>
          <w:noProof/>
          <w:sz w:val="20"/>
          <w:szCs w:val="20"/>
        </w:rPr>
        <w:t xml:space="preserve"> </w:t>
      </w:r>
      <w:r w:rsidR="008B3796">
        <w:rPr>
          <w:noProof/>
          <w:sz w:val="20"/>
          <w:szCs w:val="20"/>
        </w:rPr>
        <w:t>67208712</w:t>
      </w:r>
    </w:p>
    <w:p w14:paraId="4701B853" w14:textId="77777777" w:rsidR="00015759" w:rsidRDefault="001E56EB" w:rsidP="00015759">
      <w:pPr>
        <w:rPr>
          <w:noProof/>
          <w:sz w:val="20"/>
          <w:szCs w:val="20"/>
        </w:rPr>
      </w:pPr>
      <w:hyperlink r:id="rId8" w:history="1">
        <w:r w:rsidR="00015759" w:rsidRPr="007720FB">
          <w:rPr>
            <w:noProof/>
            <w:sz w:val="20"/>
            <w:szCs w:val="20"/>
          </w:rPr>
          <w:t>arta.kronberga@ic.iem.gov.lv</w:t>
        </w:r>
      </w:hyperlink>
      <w:r w:rsidR="00015759" w:rsidRPr="007720FB">
        <w:rPr>
          <w:noProof/>
          <w:sz w:val="20"/>
          <w:szCs w:val="20"/>
        </w:rPr>
        <w:t xml:space="preserve"> </w:t>
      </w:r>
    </w:p>
    <w:p w14:paraId="28091242" w14:textId="77777777" w:rsidR="00015759" w:rsidRDefault="00015759" w:rsidP="00015759">
      <w:pPr>
        <w:rPr>
          <w:noProof/>
          <w:sz w:val="20"/>
          <w:szCs w:val="20"/>
        </w:rPr>
      </w:pPr>
      <w:r>
        <w:rPr>
          <w:noProof/>
          <w:sz w:val="20"/>
          <w:szCs w:val="20"/>
        </w:rPr>
        <w:t>A.Strode, 67219602</w:t>
      </w:r>
    </w:p>
    <w:p w14:paraId="47EAC328" w14:textId="7F0E3A1A" w:rsidR="00CB0786" w:rsidRDefault="001E56EB" w:rsidP="00015759">
      <w:pPr>
        <w:pStyle w:val="NormalWeb"/>
        <w:spacing w:before="0" w:beforeAutospacing="0" w:after="0" w:afterAutospacing="0"/>
      </w:pPr>
      <w:hyperlink r:id="rId9" w:history="1">
        <w:r w:rsidR="00015759" w:rsidRPr="005C278E">
          <w:rPr>
            <w:rStyle w:val="Hyperlink"/>
            <w:noProof/>
            <w:sz w:val="20"/>
            <w:szCs w:val="20"/>
          </w:rPr>
          <w:t>alda.strode@iem.gov.lv</w:t>
        </w:r>
      </w:hyperlink>
    </w:p>
    <w:sectPr w:rsidR="00CB0786"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CC13D" w14:textId="77777777" w:rsidR="004D7BC3" w:rsidRDefault="004D7BC3">
      <w:r>
        <w:separator/>
      </w:r>
    </w:p>
  </w:endnote>
  <w:endnote w:type="continuationSeparator" w:id="0">
    <w:p w14:paraId="5E956DF9" w14:textId="77777777" w:rsidR="004D7BC3" w:rsidRDefault="004D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ACB63" w14:textId="213DC149" w:rsidR="007E1421" w:rsidRPr="00155578" w:rsidRDefault="007E1421" w:rsidP="007E1421">
    <w:pPr>
      <w:pStyle w:val="Footer"/>
    </w:pPr>
    <w:bookmarkStart w:id="1" w:name="_Hlk508203706"/>
    <w:bookmarkStart w:id="2" w:name="_Hlk508203707"/>
    <w:bookmarkStart w:id="3" w:name="_Hlk508203708"/>
    <w:r>
      <w:rPr>
        <w:rFonts w:ascii="Times New Roman" w:hAnsi="Times New Roman" w:cs="Times New Roman"/>
        <w:sz w:val="20"/>
        <w:szCs w:val="20"/>
      </w:rPr>
      <w:t>IEManot</w:t>
    </w:r>
    <w:r>
      <w:rPr>
        <w:rFonts w:ascii="Times New Roman" w:hAnsi="Times New Roman" w:cs="Times New Roman"/>
        <w:sz w:val="20"/>
        <w:szCs w:val="20"/>
      </w:rPr>
      <w:softHyphen/>
      <w:t>_</w:t>
    </w:r>
    <w:r w:rsidR="00274B26">
      <w:rPr>
        <w:rFonts w:ascii="Times New Roman" w:hAnsi="Times New Roman" w:cs="Times New Roman"/>
        <w:sz w:val="20"/>
        <w:szCs w:val="20"/>
      </w:rPr>
      <w:t>14</w:t>
    </w:r>
    <w:r>
      <w:rPr>
        <w:rFonts w:ascii="Times New Roman" w:hAnsi="Times New Roman" w:cs="Times New Roman"/>
        <w:sz w:val="20"/>
        <w:szCs w:val="20"/>
      </w:rPr>
      <w:t>0920_LNG_IC</w:t>
    </w:r>
  </w:p>
  <w:bookmarkEnd w:id="1"/>
  <w:bookmarkEnd w:id="2"/>
  <w:bookmarkEnd w:id="3"/>
  <w:p w14:paraId="30D35F58" w14:textId="2FA3E172" w:rsidR="00091A80" w:rsidRPr="00894C55" w:rsidRDefault="00091A80">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B4F1" w14:textId="28A67DC3" w:rsidR="00091A80" w:rsidRPr="00155578" w:rsidRDefault="007E1421" w:rsidP="00155578">
    <w:pPr>
      <w:pStyle w:val="Footer"/>
    </w:pPr>
    <w:r>
      <w:rPr>
        <w:rFonts w:ascii="Times New Roman" w:hAnsi="Times New Roman" w:cs="Times New Roman"/>
        <w:sz w:val="20"/>
        <w:szCs w:val="20"/>
      </w:rPr>
      <w:t>IEManot</w:t>
    </w:r>
    <w:r>
      <w:rPr>
        <w:rFonts w:ascii="Times New Roman" w:hAnsi="Times New Roman" w:cs="Times New Roman"/>
        <w:sz w:val="20"/>
        <w:szCs w:val="20"/>
      </w:rPr>
      <w:softHyphen/>
      <w:t>_</w:t>
    </w:r>
    <w:r w:rsidR="00274B26">
      <w:rPr>
        <w:rFonts w:ascii="Times New Roman" w:hAnsi="Times New Roman" w:cs="Times New Roman"/>
        <w:sz w:val="20"/>
        <w:szCs w:val="20"/>
      </w:rPr>
      <w:t>14</w:t>
    </w:r>
    <w:r>
      <w:rPr>
        <w:rFonts w:ascii="Times New Roman" w:hAnsi="Times New Roman" w:cs="Times New Roman"/>
        <w:sz w:val="20"/>
        <w:szCs w:val="20"/>
      </w:rPr>
      <w:t>0920_LNG_IC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DD36A" w14:textId="77777777" w:rsidR="004D7BC3" w:rsidRDefault="004D7BC3">
      <w:r>
        <w:separator/>
      </w:r>
    </w:p>
  </w:footnote>
  <w:footnote w:type="continuationSeparator" w:id="0">
    <w:p w14:paraId="4BEFBF98" w14:textId="77777777" w:rsidR="004D7BC3" w:rsidRDefault="004D7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478792"/>
      <w:docPartObj>
        <w:docPartGallery w:val="Page Numbers (Top of Page)"/>
        <w:docPartUnique/>
      </w:docPartObj>
    </w:sdtPr>
    <w:sdtEndPr>
      <w:rPr>
        <w:rFonts w:ascii="Times New Roman" w:hAnsi="Times New Roman" w:cs="Times New Roman"/>
        <w:noProof/>
        <w:sz w:val="24"/>
        <w:szCs w:val="20"/>
      </w:rPr>
    </w:sdtEndPr>
    <w:sdtContent>
      <w:p w14:paraId="52B5E9EA" w14:textId="764F1592" w:rsidR="00091A80" w:rsidRPr="00C25B49" w:rsidRDefault="005540F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E56EB">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0952"/>
    <w:multiLevelType w:val="multilevel"/>
    <w:tmpl w:val="63EA6654"/>
    <w:lvl w:ilvl="0">
      <w:start w:val="1"/>
      <w:numFmt w:val="decimal"/>
      <w:lvlText w:val="%1"/>
      <w:lvlJc w:val="left"/>
      <w:pPr>
        <w:ind w:left="484" w:hanging="484"/>
      </w:pPr>
      <w:rPr>
        <w:rFonts w:hint="default"/>
      </w:rPr>
    </w:lvl>
    <w:lvl w:ilvl="1">
      <w:start w:val="1"/>
      <w:numFmt w:val="decimal"/>
      <w:lvlText w:val="%1.%2"/>
      <w:lvlJc w:val="left"/>
      <w:pPr>
        <w:ind w:left="654" w:hanging="484"/>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2" w15:restartNumberingAfterBreak="0">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5E047E"/>
    <w:multiLevelType w:val="hybridMultilevel"/>
    <w:tmpl w:val="8EFA99D4"/>
    <w:lvl w:ilvl="0" w:tplc="4E545666">
      <w:start w:val="1"/>
      <w:numFmt w:val="decimal"/>
      <w:lvlText w:val="%1."/>
      <w:lvlJc w:val="left"/>
      <w:pPr>
        <w:ind w:left="720" w:hanging="360"/>
      </w:pPr>
      <w:rPr>
        <w:rFonts w:hint="default"/>
      </w:rPr>
    </w:lvl>
    <w:lvl w:ilvl="1" w:tplc="E6A293B8" w:tentative="1">
      <w:start w:val="1"/>
      <w:numFmt w:val="lowerLetter"/>
      <w:lvlText w:val="%2."/>
      <w:lvlJc w:val="left"/>
      <w:pPr>
        <w:ind w:left="1440" w:hanging="360"/>
      </w:pPr>
    </w:lvl>
    <w:lvl w:ilvl="2" w:tplc="71506F9E" w:tentative="1">
      <w:start w:val="1"/>
      <w:numFmt w:val="lowerRoman"/>
      <w:lvlText w:val="%3."/>
      <w:lvlJc w:val="right"/>
      <w:pPr>
        <w:ind w:left="2160" w:hanging="180"/>
      </w:pPr>
    </w:lvl>
    <w:lvl w:ilvl="3" w:tplc="A1526778" w:tentative="1">
      <w:start w:val="1"/>
      <w:numFmt w:val="decimal"/>
      <w:lvlText w:val="%4."/>
      <w:lvlJc w:val="left"/>
      <w:pPr>
        <w:ind w:left="2880" w:hanging="360"/>
      </w:pPr>
    </w:lvl>
    <w:lvl w:ilvl="4" w:tplc="D0F6F2C8" w:tentative="1">
      <w:start w:val="1"/>
      <w:numFmt w:val="lowerLetter"/>
      <w:lvlText w:val="%5."/>
      <w:lvlJc w:val="left"/>
      <w:pPr>
        <w:ind w:left="3600" w:hanging="360"/>
      </w:pPr>
    </w:lvl>
    <w:lvl w:ilvl="5" w:tplc="98DEF03A" w:tentative="1">
      <w:start w:val="1"/>
      <w:numFmt w:val="lowerRoman"/>
      <w:lvlText w:val="%6."/>
      <w:lvlJc w:val="right"/>
      <w:pPr>
        <w:ind w:left="4320" w:hanging="180"/>
      </w:pPr>
    </w:lvl>
    <w:lvl w:ilvl="6" w:tplc="A5C649C4" w:tentative="1">
      <w:start w:val="1"/>
      <w:numFmt w:val="decimal"/>
      <w:lvlText w:val="%7."/>
      <w:lvlJc w:val="left"/>
      <w:pPr>
        <w:ind w:left="5040" w:hanging="360"/>
      </w:pPr>
    </w:lvl>
    <w:lvl w:ilvl="7" w:tplc="6518B9A0" w:tentative="1">
      <w:start w:val="1"/>
      <w:numFmt w:val="lowerLetter"/>
      <w:lvlText w:val="%8."/>
      <w:lvlJc w:val="left"/>
      <w:pPr>
        <w:ind w:left="5760" w:hanging="360"/>
      </w:pPr>
    </w:lvl>
    <w:lvl w:ilvl="8" w:tplc="D7161C9A" w:tentative="1">
      <w:start w:val="1"/>
      <w:numFmt w:val="lowerRoman"/>
      <w:lvlText w:val="%9."/>
      <w:lvlJc w:val="right"/>
      <w:pPr>
        <w:ind w:left="6480" w:hanging="180"/>
      </w:pPr>
    </w:lvl>
  </w:abstractNum>
  <w:abstractNum w:abstractNumId="4" w15:restartNumberingAfterBreak="0">
    <w:nsid w:val="5FBF66A3"/>
    <w:multiLevelType w:val="hybridMultilevel"/>
    <w:tmpl w:val="54A259DA"/>
    <w:lvl w:ilvl="0" w:tplc="C344A0CE">
      <w:start w:val="1"/>
      <w:numFmt w:val="decimal"/>
      <w:lvlText w:val="%1)"/>
      <w:lvlJc w:val="left"/>
      <w:pPr>
        <w:ind w:left="720" w:hanging="360"/>
      </w:pPr>
      <w:rPr>
        <w:rFonts w:hint="default"/>
      </w:rPr>
    </w:lvl>
    <w:lvl w:ilvl="1" w:tplc="A54E2F76" w:tentative="1">
      <w:start w:val="1"/>
      <w:numFmt w:val="lowerLetter"/>
      <w:lvlText w:val="%2."/>
      <w:lvlJc w:val="left"/>
      <w:pPr>
        <w:ind w:left="1440" w:hanging="360"/>
      </w:pPr>
    </w:lvl>
    <w:lvl w:ilvl="2" w:tplc="293AE64A" w:tentative="1">
      <w:start w:val="1"/>
      <w:numFmt w:val="lowerRoman"/>
      <w:lvlText w:val="%3."/>
      <w:lvlJc w:val="right"/>
      <w:pPr>
        <w:ind w:left="2160" w:hanging="180"/>
      </w:pPr>
    </w:lvl>
    <w:lvl w:ilvl="3" w:tplc="44747B42" w:tentative="1">
      <w:start w:val="1"/>
      <w:numFmt w:val="decimal"/>
      <w:lvlText w:val="%4."/>
      <w:lvlJc w:val="left"/>
      <w:pPr>
        <w:ind w:left="2880" w:hanging="360"/>
      </w:pPr>
    </w:lvl>
    <w:lvl w:ilvl="4" w:tplc="1EE6C4F0" w:tentative="1">
      <w:start w:val="1"/>
      <w:numFmt w:val="lowerLetter"/>
      <w:lvlText w:val="%5."/>
      <w:lvlJc w:val="left"/>
      <w:pPr>
        <w:ind w:left="3600" w:hanging="360"/>
      </w:pPr>
    </w:lvl>
    <w:lvl w:ilvl="5" w:tplc="B36CB432" w:tentative="1">
      <w:start w:val="1"/>
      <w:numFmt w:val="lowerRoman"/>
      <w:lvlText w:val="%6."/>
      <w:lvlJc w:val="right"/>
      <w:pPr>
        <w:ind w:left="4320" w:hanging="180"/>
      </w:pPr>
    </w:lvl>
    <w:lvl w:ilvl="6" w:tplc="63A4F752" w:tentative="1">
      <w:start w:val="1"/>
      <w:numFmt w:val="decimal"/>
      <w:lvlText w:val="%7."/>
      <w:lvlJc w:val="left"/>
      <w:pPr>
        <w:ind w:left="5040" w:hanging="360"/>
      </w:pPr>
    </w:lvl>
    <w:lvl w:ilvl="7" w:tplc="8FB82300" w:tentative="1">
      <w:start w:val="1"/>
      <w:numFmt w:val="lowerLetter"/>
      <w:lvlText w:val="%8."/>
      <w:lvlJc w:val="left"/>
      <w:pPr>
        <w:ind w:left="5760" w:hanging="360"/>
      </w:pPr>
    </w:lvl>
    <w:lvl w:ilvl="8" w:tplc="0512DDA6" w:tentative="1">
      <w:start w:val="1"/>
      <w:numFmt w:val="lowerRoman"/>
      <w:lvlText w:val="%9."/>
      <w:lvlJc w:val="right"/>
      <w:pPr>
        <w:ind w:left="6480" w:hanging="180"/>
      </w:pPr>
    </w:lvl>
  </w:abstractNum>
  <w:abstractNum w:abstractNumId="5" w15:restartNumberingAfterBreak="0">
    <w:nsid w:val="60B01AA0"/>
    <w:multiLevelType w:val="hybridMultilevel"/>
    <w:tmpl w:val="17EAD664"/>
    <w:lvl w:ilvl="0" w:tplc="75745942">
      <w:start w:val="1"/>
      <w:numFmt w:val="decimal"/>
      <w:lvlText w:val="%1."/>
      <w:lvlJc w:val="left"/>
      <w:pPr>
        <w:ind w:left="928" w:hanging="360"/>
      </w:pPr>
      <w:rPr>
        <w:rFonts w:hint="default"/>
      </w:rPr>
    </w:lvl>
    <w:lvl w:ilvl="1" w:tplc="CFAA4D10" w:tentative="1">
      <w:start w:val="1"/>
      <w:numFmt w:val="lowerLetter"/>
      <w:lvlText w:val="%2."/>
      <w:lvlJc w:val="left"/>
      <w:pPr>
        <w:ind w:left="1647" w:hanging="360"/>
      </w:pPr>
    </w:lvl>
    <w:lvl w:ilvl="2" w:tplc="EABA648C" w:tentative="1">
      <w:start w:val="1"/>
      <w:numFmt w:val="lowerRoman"/>
      <w:lvlText w:val="%3."/>
      <w:lvlJc w:val="right"/>
      <w:pPr>
        <w:ind w:left="2367" w:hanging="180"/>
      </w:pPr>
    </w:lvl>
    <w:lvl w:ilvl="3" w:tplc="B8D07EEA" w:tentative="1">
      <w:start w:val="1"/>
      <w:numFmt w:val="decimal"/>
      <w:lvlText w:val="%4."/>
      <w:lvlJc w:val="left"/>
      <w:pPr>
        <w:ind w:left="3087" w:hanging="360"/>
      </w:pPr>
    </w:lvl>
    <w:lvl w:ilvl="4" w:tplc="76844702" w:tentative="1">
      <w:start w:val="1"/>
      <w:numFmt w:val="lowerLetter"/>
      <w:lvlText w:val="%5."/>
      <w:lvlJc w:val="left"/>
      <w:pPr>
        <w:ind w:left="3807" w:hanging="360"/>
      </w:pPr>
    </w:lvl>
    <w:lvl w:ilvl="5" w:tplc="7A2C6266" w:tentative="1">
      <w:start w:val="1"/>
      <w:numFmt w:val="lowerRoman"/>
      <w:lvlText w:val="%6."/>
      <w:lvlJc w:val="right"/>
      <w:pPr>
        <w:ind w:left="4527" w:hanging="180"/>
      </w:pPr>
    </w:lvl>
    <w:lvl w:ilvl="6" w:tplc="48D81616" w:tentative="1">
      <w:start w:val="1"/>
      <w:numFmt w:val="decimal"/>
      <w:lvlText w:val="%7."/>
      <w:lvlJc w:val="left"/>
      <w:pPr>
        <w:ind w:left="5247" w:hanging="360"/>
      </w:pPr>
    </w:lvl>
    <w:lvl w:ilvl="7" w:tplc="8996A150" w:tentative="1">
      <w:start w:val="1"/>
      <w:numFmt w:val="lowerLetter"/>
      <w:lvlText w:val="%8."/>
      <w:lvlJc w:val="left"/>
      <w:pPr>
        <w:ind w:left="5967" w:hanging="360"/>
      </w:pPr>
    </w:lvl>
    <w:lvl w:ilvl="8" w:tplc="1384EB6C" w:tentative="1">
      <w:start w:val="1"/>
      <w:numFmt w:val="lowerRoman"/>
      <w:lvlText w:val="%9."/>
      <w:lvlJc w:val="right"/>
      <w:pPr>
        <w:ind w:left="6687" w:hanging="180"/>
      </w:pPr>
    </w:lvl>
  </w:abstractNum>
  <w:abstractNum w:abstractNumId="6" w15:restartNumberingAfterBreak="0">
    <w:nsid w:val="6323747F"/>
    <w:multiLevelType w:val="multilevel"/>
    <w:tmpl w:val="76007422"/>
    <w:lvl w:ilvl="0">
      <w:start w:val="1"/>
      <w:numFmt w:val="decimal"/>
      <w:lvlText w:val="%1."/>
      <w:lvlJc w:val="left"/>
      <w:pPr>
        <w:ind w:left="720" w:hanging="360"/>
      </w:pPr>
    </w:lvl>
    <w:lvl w:ilvl="1">
      <w:start w:val="1"/>
      <w:numFmt w:val="decimal"/>
      <w:isLgl/>
      <w:lvlText w:val="%1.%2."/>
      <w:lvlJc w:val="left"/>
      <w:pPr>
        <w:ind w:left="1076" w:hanging="3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7942290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1"/>
  </w:num>
  <w:num w:numId="4">
    <w:abstractNumId w:val="8"/>
  </w:num>
  <w:num w:numId="5">
    <w:abstractNumId w:val="3"/>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29D"/>
    <w:rsid w:val="00015759"/>
    <w:rsid w:val="00016F70"/>
    <w:rsid w:val="000273BD"/>
    <w:rsid w:val="00033256"/>
    <w:rsid w:val="00037CA6"/>
    <w:rsid w:val="00071489"/>
    <w:rsid w:val="00072E2A"/>
    <w:rsid w:val="00073948"/>
    <w:rsid w:val="0008249D"/>
    <w:rsid w:val="00085D2B"/>
    <w:rsid w:val="000866E2"/>
    <w:rsid w:val="00091A80"/>
    <w:rsid w:val="00097FF1"/>
    <w:rsid w:val="000A1EC2"/>
    <w:rsid w:val="000B127C"/>
    <w:rsid w:val="000B623F"/>
    <w:rsid w:val="000B7351"/>
    <w:rsid w:val="000C780D"/>
    <w:rsid w:val="000D23B1"/>
    <w:rsid w:val="000D359B"/>
    <w:rsid w:val="000E7FA7"/>
    <w:rsid w:val="00123FCA"/>
    <w:rsid w:val="00130487"/>
    <w:rsid w:val="001311CC"/>
    <w:rsid w:val="00140644"/>
    <w:rsid w:val="00150EB8"/>
    <w:rsid w:val="00152501"/>
    <w:rsid w:val="001525D7"/>
    <w:rsid w:val="001545F3"/>
    <w:rsid w:val="00154A6D"/>
    <w:rsid w:val="00155578"/>
    <w:rsid w:val="00156493"/>
    <w:rsid w:val="00166DBD"/>
    <w:rsid w:val="00175D0A"/>
    <w:rsid w:val="00176EA7"/>
    <w:rsid w:val="00181467"/>
    <w:rsid w:val="0019313F"/>
    <w:rsid w:val="001A45FC"/>
    <w:rsid w:val="001B6C59"/>
    <w:rsid w:val="001C768D"/>
    <w:rsid w:val="001D66EB"/>
    <w:rsid w:val="001E56EB"/>
    <w:rsid w:val="001E7EAF"/>
    <w:rsid w:val="00203E44"/>
    <w:rsid w:val="0020467A"/>
    <w:rsid w:val="00207825"/>
    <w:rsid w:val="00220DCC"/>
    <w:rsid w:val="0022405E"/>
    <w:rsid w:val="00243426"/>
    <w:rsid w:val="00246588"/>
    <w:rsid w:val="00274B26"/>
    <w:rsid w:val="002824A8"/>
    <w:rsid w:val="002936E4"/>
    <w:rsid w:val="00297507"/>
    <w:rsid w:val="002A216F"/>
    <w:rsid w:val="002B124F"/>
    <w:rsid w:val="002B4E62"/>
    <w:rsid w:val="002C02D6"/>
    <w:rsid w:val="002D09AE"/>
    <w:rsid w:val="002D1E95"/>
    <w:rsid w:val="002D5462"/>
    <w:rsid w:val="002E1C05"/>
    <w:rsid w:val="002E3BB2"/>
    <w:rsid w:val="002E7CEE"/>
    <w:rsid w:val="003074CE"/>
    <w:rsid w:val="003243B6"/>
    <w:rsid w:val="0033391F"/>
    <w:rsid w:val="0034308F"/>
    <w:rsid w:val="003523F6"/>
    <w:rsid w:val="00354A29"/>
    <w:rsid w:val="0037797A"/>
    <w:rsid w:val="003903BF"/>
    <w:rsid w:val="00393A2D"/>
    <w:rsid w:val="0039467E"/>
    <w:rsid w:val="003B0BF9"/>
    <w:rsid w:val="003B7AFB"/>
    <w:rsid w:val="003D545A"/>
    <w:rsid w:val="003D762C"/>
    <w:rsid w:val="003E0791"/>
    <w:rsid w:val="003F28AC"/>
    <w:rsid w:val="00406874"/>
    <w:rsid w:val="00407963"/>
    <w:rsid w:val="00412238"/>
    <w:rsid w:val="00416E18"/>
    <w:rsid w:val="0041724B"/>
    <w:rsid w:val="00424D9E"/>
    <w:rsid w:val="00425BF4"/>
    <w:rsid w:val="0043038B"/>
    <w:rsid w:val="00430592"/>
    <w:rsid w:val="00441DBA"/>
    <w:rsid w:val="004454FE"/>
    <w:rsid w:val="00452B9E"/>
    <w:rsid w:val="00456E40"/>
    <w:rsid w:val="00466F00"/>
    <w:rsid w:val="0046784C"/>
    <w:rsid w:val="00467EED"/>
    <w:rsid w:val="00471F27"/>
    <w:rsid w:val="0049101C"/>
    <w:rsid w:val="0049601C"/>
    <w:rsid w:val="004B5A63"/>
    <w:rsid w:val="004C6D82"/>
    <w:rsid w:val="004D4DB7"/>
    <w:rsid w:val="004D7BC3"/>
    <w:rsid w:val="004E1BA2"/>
    <w:rsid w:val="004E29AE"/>
    <w:rsid w:val="0050178F"/>
    <w:rsid w:val="00506259"/>
    <w:rsid w:val="005105EB"/>
    <w:rsid w:val="005243A3"/>
    <w:rsid w:val="00534272"/>
    <w:rsid w:val="00550635"/>
    <w:rsid w:val="005522AF"/>
    <w:rsid w:val="00552A2D"/>
    <w:rsid w:val="005540F4"/>
    <w:rsid w:val="00560FB1"/>
    <w:rsid w:val="00562D78"/>
    <w:rsid w:val="00573469"/>
    <w:rsid w:val="005856D9"/>
    <w:rsid w:val="005B004C"/>
    <w:rsid w:val="005C5EE0"/>
    <w:rsid w:val="005D500F"/>
    <w:rsid w:val="005F7BA4"/>
    <w:rsid w:val="005F7F97"/>
    <w:rsid w:val="00614053"/>
    <w:rsid w:val="00623839"/>
    <w:rsid w:val="006335C0"/>
    <w:rsid w:val="00647B3D"/>
    <w:rsid w:val="00655F2C"/>
    <w:rsid w:val="0067254E"/>
    <w:rsid w:val="00681F74"/>
    <w:rsid w:val="006924F7"/>
    <w:rsid w:val="006936E5"/>
    <w:rsid w:val="006A31D0"/>
    <w:rsid w:val="006B2ED4"/>
    <w:rsid w:val="006D61BC"/>
    <w:rsid w:val="006E1081"/>
    <w:rsid w:val="006E71F7"/>
    <w:rsid w:val="007003C3"/>
    <w:rsid w:val="00715D80"/>
    <w:rsid w:val="00720585"/>
    <w:rsid w:val="00725263"/>
    <w:rsid w:val="00726131"/>
    <w:rsid w:val="007272A8"/>
    <w:rsid w:val="00735351"/>
    <w:rsid w:val="00751304"/>
    <w:rsid w:val="007606BC"/>
    <w:rsid w:val="0076501F"/>
    <w:rsid w:val="00773AF6"/>
    <w:rsid w:val="00773EC6"/>
    <w:rsid w:val="00777C2E"/>
    <w:rsid w:val="00781317"/>
    <w:rsid w:val="0078722D"/>
    <w:rsid w:val="00787C3C"/>
    <w:rsid w:val="00787E27"/>
    <w:rsid w:val="0079260F"/>
    <w:rsid w:val="00792724"/>
    <w:rsid w:val="0079316C"/>
    <w:rsid w:val="00795F71"/>
    <w:rsid w:val="007D20BC"/>
    <w:rsid w:val="007E1421"/>
    <w:rsid w:val="007E3BCE"/>
    <w:rsid w:val="007E4970"/>
    <w:rsid w:val="007E5F7A"/>
    <w:rsid w:val="007E73AB"/>
    <w:rsid w:val="007F0AE7"/>
    <w:rsid w:val="007F6F87"/>
    <w:rsid w:val="00801A5B"/>
    <w:rsid w:val="008046B7"/>
    <w:rsid w:val="00816C11"/>
    <w:rsid w:val="00817876"/>
    <w:rsid w:val="00842AD1"/>
    <w:rsid w:val="00857324"/>
    <w:rsid w:val="00866119"/>
    <w:rsid w:val="008666DA"/>
    <w:rsid w:val="00884B36"/>
    <w:rsid w:val="00890FCA"/>
    <w:rsid w:val="00894C55"/>
    <w:rsid w:val="00896AEE"/>
    <w:rsid w:val="008B3796"/>
    <w:rsid w:val="008B37B7"/>
    <w:rsid w:val="008B393D"/>
    <w:rsid w:val="008B5D99"/>
    <w:rsid w:val="008C1794"/>
    <w:rsid w:val="008D7458"/>
    <w:rsid w:val="008F0E21"/>
    <w:rsid w:val="00901E6D"/>
    <w:rsid w:val="009054A3"/>
    <w:rsid w:val="00914470"/>
    <w:rsid w:val="00927822"/>
    <w:rsid w:val="00930356"/>
    <w:rsid w:val="009547D2"/>
    <w:rsid w:val="00955786"/>
    <w:rsid w:val="009574AB"/>
    <w:rsid w:val="00972EC8"/>
    <w:rsid w:val="00980238"/>
    <w:rsid w:val="00984143"/>
    <w:rsid w:val="009A0660"/>
    <w:rsid w:val="009A2654"/>
    <w:rsid w:val="009A6D75"/>
    <w:rsid w:val="009B3D37"/>
    <w:rsid w:val="009B61EE"/>
    <w:rsid w:val="009E0605"/>
    <w:rsid w:val="009E47B9"/>
    <w:rsid w:val="009F25E7"/>
    <w:rsid w:val="00A0417B"/>
    <w:rsid w:val="00A10FC3"/>
    <w:rsid w:val="00A1496F"/>
    <w:rsid w:val="00A15BAF"/>
    <w:rsid w:val="00A25B73"/>
    <w:rsid w:val="00A6073E"/>
    <w:rsid w:val="00A65E3E"/>
    <w:rsid w:val="00A66343"/>
    <w:rsid w:val="00A75A45"/>
    <w:rsid w:val="00A772AD"/>
    <w:rsid w:val="00A83331"/>
    <w:rsid w:val="00A935DA"/>
    <w:rsid w:val="00AA174E"/>
    <w:rsid w:val="00AA4209"/>
    <w:rsid w:val="00AB1A1E"/>
    <w:rsid w:val="00AC0295"/>
    <w:rsid w:val="00AD43C4"/>
    <w:rsid w:val="00AD4E6F"/>
    <w:rsid w:val="00AD5992"/>
    <w:rsid w:val="00AE5567"/>
    <w:rsid w:val="00AF1239"/>
    <w:rsid w:val="00AF6CE9"/>
    <w:rsid w:val="00AF781F"/>
    <w:rsid w:val="00B0257C"/>
    <w:rsid w:val="00B12AA2"/>
    <w:rsid w:val="00B12D61"/>
    <w:rsid w:val="00B16480"/>
    <w:rsid w:val="00B2165C"/>
    <w:rsid w:val="00B24C87"/>
    <w:rsid w:val="00B34AA1"/>
    <w:rsid w:val="00B4382F"/>
    <w:rsid w:val="00B5050A"/>
    <w:rsid w:val="00B52623"/>
    <w:rsid w:val="00B5357D"/>
    <w:rsid w:val="00B563E1"/>
    <w:rsid w:val="00B67377"/>
    <w:rsid w:val="00B756AE"/>
    <w:rsid w:val="00B879FC"/>
    <w:rsid w:val="00BA1231"/>
    <w:rsid w:val="00BA20AA"/>
    <w:rsid w:val="00BB2000"/>
    <w:rsid w:val="00BB79BA"/>
    <w:rsid w:val="00BC229D"/>
    <w:rsid w:val="00BC5A27"/>
    <w:rsid w:val="00BD4425"/>
    <w:rsid w:val="00BD7F5E"/>
    <w:rsid w:val="00BE4AD4"/>
    <w:rsid w:val="00BF04F5"/>
    <w:rsid w:val="00BF4D97"/>
    <w:rsid w:val="00BF78FE"/>
    <w:rsid w:val="00C03A7C"/>
    <w:rsid w:val="00C07D36"/>
    <w:rsid w:val="00C10270"/>
    <w:rsid w:val="00C227AE"/>
    <w:rsid w:val="00C25B49"/>
    <w:rsid w:val="00C3058A"/>
    <w:rsid w:val="00C30810"/>
    <w:rsid w:val="00C30F18"/>
    <w:rsid w:val="00C333BB"/>
    <w:rsid w:val="00C348FC"/>
    <w:rsid w:val="00C34C9C"/>
    <w:rsid w:val="00C378EC"/>
    <w:rsid w:val="00C42475"/>
    <w:rsid w:val="00C55A9E"/>
    <w:rsid w:val="00C65974"/>
    <w:rsid w:val="00C863E1"/>
    <w:rsid w:val="00C9396D"/>
    <w:rsid w:val="00CA2965"/>
    <w:rsid w:val="00CB0786"/>
    <w:rsid w:val="00CB1CED"/>
    <w:rsid w:val="00CC0D2D"/>
    <w:rsid w:val="00CE30E7"/>
    <w:rsid w:val="00CE5657"/>
    <w:rsid w:val="00CE77BF"/>
    <w:rsid w:val="00D133F8"/>
    <w:rsid w:val="00D14A3E"/>
    <w:rsid w:val="00D22281"/>
    <w:rsid w:val="00D24501"/>
    <w:rsid w:val="00D65792"/>
    <w:rsid w:val="00D67AF2"/>
    <w:rsid w:val="00D82B53"/>
    <w:rsid w:val="00D85B61"/>
    <w:rsid w:val="00D911EE"/>
    <w:rsid w:val="00DE07F2"/>
    <w:rsid w:val="00DE3C0B"/>
    <w:rsid w:val="00DF461F"/>
    <w:rsid w:val="00DF68F8"/>
    <w:rsid w:val="00E04F96"/>
    <w:rsid w:val="00E065D5"/>
    <w:rsid w:val="00E06B02"/>
    <w:rsid w:val="00E25682"/>
    <w:rsid w:val="00E32710"/>
    <w:rsid w:val="00E35CB0"/>
    <w:rsid w:val="00E3716B"/>
    <w:rsid w:val="00E44B77"/>
    <w:rsid w:val="00E50667"/>
    <w:rsid w:val="00E5323B"/>
    <w:rsid w:val="00E75EA8"/>
    <w:rsid w:val="00E8749E"/>
    <w:rsid w:val="00E90C01"/>
    <w:rsid w:val="00E9413A"/>
    <w:rsid w:val="00EA0908"/>
    <w:rsid w:val="00EA372F"/>
    <w:rsid w:val="00EA486E"/>
    <w:rsid w:val="00EA4880"/>
    <w:rsid w:val="00EB5548"/>
    <w:rsid w:val="00EC6E12"/>
    <w:rsid w:val="00EC766A"/>
    <w:rsid w:val="00ED2D2F"/>
    <w:rsid w:val="00ED33F6"/>
    <w:rsid w:val="00EE2F62"/>
    <w:rsid w:val="00EF7C70"/>
    <w:rsid w:val="00F17D3F"/>
    <w:rsid w:val="00F319E0"/>
    <w:rsid w:val="00F4443C"/>
    <w:rsid w:val="00F57B0C"/>
    <w:rsid w:val="00F64D6A"/>
    <w:rsid w:val="00F71615"/>
    <w:rsid w:val="00F7559D"/>
    <w:rsid w:val="00F82318"/>
    <w:rsid w:val="00FC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5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styleId="FootnoteText">
    <w:name w:val="footnote text"/>
    <w:aliases w:val="fn,Footnote,Fußnote"/>
    <w:basedOn w:val="Normal"/>
    <w:link w:val="FootnoteTextChar"/>
    <w:uiPriority w:val="99"/>
    <w:unhideWhenUsed/>
    <w:qFormat/>
    <w:rsid w:val="00BF04F5"/>
    <w:rPr>
      <w:rFonts w:asciiTheme="minorHAnsi" w:eastAsiaTheme="minorHAnsi" w:hAnsiTheme="minorHAnsi" w:cstheme="minorBidi"/>
      <w:sz w:val="20"/>
      <w:szCs w:val="20"/>
      <w:lang w:eastAsia="en-US"/>
    </w:rPr>
  </w:style>
  <w:style w:type="character" w:customStyle="1" w:styleId="FootnoteTextChar">
    <w:name w:val="Footnote Text Char"/>
    <w:aliases w:val="fn Char,Footnote Char,Fußnote Char"/>
    <w:basedOn w:val="DefaultParagraphFont"/>
    <w:link w:val="FootnoteText"/>
    <w:uiPriority w:val="99"/>
    <w:qFormat/>
    <w:rsid w:val="00BF04F5"/>
    <w:rPr>
      <w:sz w:val="20"/>
      <w:szCs w:val="20"/>
    </w:rPr>
  </w:style>
  <w:style w:type="character" w:styleId="FootnoteReference">
    <w:name w:val="footnote reference"/>
    <w:basedOn w:val="DefaultParagraphFont"/>
    <w:semiHidden/>
    <w:unhideWhenUsed/>
    <w:rsid w:val="00BF04F5"/>
    <w:rPr>
      <w:vertAlign w:val="superscript"/>
    </w:rPr>
  </w:style>
  <w:style w:type="character" w:customStyle="1" w:styleId="UnresolvedMention1">
    <w:name w:val="Unresolved Mention1"/>
    <w:basedOn w:val="DefaultParagraphFont"/>
    <w:uiPriority w:val="99"/>
    <w:rsid w:val="00BF04F5"/>
    <w:rPr>
      <w:color w:val="808080"/>
      <w:shd w:val="clear" w:color="auto" w:fill="E6E6E6"/>
    </w:rPr>
  </w:style>
  <w:style w:type="paragraph" w:customStyle="1" w:styleId="tv213">
    <w:name w:val="tv213"/>
    <w:basedOn w:val="Normal"/>
    <w:rsid w:val="000A1EC2"/>
    <w:pPr>
      <w:spacing w:before="100" w:beforeAutospacing="1" w:after="100" w:afterAutospacing="1"/>
    </w:pPr>
  </w:style>
  <w:style w:type="character" w:styleId="CommentReference">
    <w:name w:val="annotation reference"/>
    <w:basedOn w:val="DefaultParagraphFont"/>
    <w:uiPriority w:val="99"/>
    <w:semiHidden/>
    <w:unhideWhenUsed/>
    <w:rsid w:val="0049101C"/>
    <w:rPr>
      <w:sz w:val="16"/>
      <w:szCs w:val="16"/>
    </w:rPr>
  </w:style>
  <w:style w:type="paragraph" w:styleId="CommentText">
    <w:name w:val="annotation text"/>
    <w:basedOn w:val="Normal"/>
    <w:link w:val="CommentTextChar"/>
    <w:uiPriority w:val="99"/>
    <w:semiHidden/>
    <w:unhideWhenUsed/>
    <w:rsid w:val="0049101C"/>
    <w:rPr>
      <w:sz w:val="20"/>
      <w:szCs w:val="20"/>
    </w:rPr>
  </w:style>
  <w:style w:type="character" w:customStyle="1" w:styleId="CommentTextChar">
    <w:name w:val="Comment Text Char"/>
    <w:basedOn w:val="DefaultParagraphFont"/>
    <w:link w:val="CommentText"/>
    <w:uiPriority w:val="99"/>
    <w:semiHidden/>
    <w:rsid w:val="0049101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9101C"/>
    <w:rPr>
      <w:b/>
      <w:bCs/>
    </w:rPr>
  </w:style>
  <w:style w:type="character" w:customStyle="1" w:styleId="CommentSubjectChar">
    <w:name w:val="Comment Subject Char"/>
    <w:basedOn w:val="CommentTextChar"/>
    <w:link w:val="CommentSubject"/>
    <w:uiPriority w:val="99"/>
    <w:semiHidden/>
    <w:rsid w:val="0049101C"/>
    <w:rPr>
      <w:rFonts w:ascii="Times New Roman" w:eastAsia="Times New Roman" w:hAnsi="Times New Roman" w:cs="Times New Roman"/>
      <w:b/>
      <w:bCs/>
      <w:sz w:val="20"/>
      <w:szCs w:val="20"/>
      <w:lang w:eastAsia="lv-LV"/>
    </w:rPr>
  </w:style>
  <w:style w:type="paragraph" w:customStyle="1" w:styleId="xmsonormal">
    <w:name w:val="x_msonormal"/>
    <w:basedOn w:val="Normal"/>
    <w:rsid w:val="00726131"/>
    <w:pPr>
      <w:spacing w:before="100" w:beforeAutospacing="1" w:after="100" w:afterAutospacing="1"/>
    </w:pPr>
  </w:style>
  <w:style w:type="paragraph" w:styleId="BodyText2">
    <w:name w:val="Body Text 2"/>
    <w:basedOn w:val="Normal"/>
    <w:link w:val="BodyText2Char"/>
    <w:rsid w:val="00726131"/>
    <w:pPr>
      <w:jc w:val="both"/>
    </w:pPr>
    <w:rPr>
      <w:sz w:val="28"/>
      <w:szCs w:val="20"/>
      <w:lang w:eastAsia="en-US"/>
    </w:rPr>
  </w:style>
  <w:style w:type="character" w:customStyle="1" w:styleId="BodyText2Char">
    <w:name w:val="Body Text 2 Char"/>
    <w:basedOn w:val="DefaultParagraphFont"/>
    <w:link w:val="BodyText2"/>
    <w:rsid w:val="00726131"/>
    <w:rPr>
      <w:rFonts w:ascii="Times New Roman" w:eastAsia="Times New Roman" w:hAnsi="Times New Roman" w:cs="Times New Roman"/>
      <w:sz w:val="28"/>
      <w:szCs w:val="20"/>
    </w:rPr>
  </w:style>
  <w:style w:type="paragraph" w:customStyle="1" w:styleId="pamattekststabul">
    <w:name w:val="pamattekststabul"/>
    <w:basedOn w:val="Normal"/>
    <w:rsid w:val="00091A80"/>
    <w:pPr>
      <w:spacing w:before="100" w:beforeAutospacing="1" w:after="100" w:afterAutospacing="1"/>
    </w:pPr>
    <w:rPr>
      <w:lang w:val="en-US" w:eastAsia="en-US"/>
    </w:rPr>
  </w:style>
  <w:style w:type="paragraph" w:styleId="Revision">
    <w:name w:val="Revision"/>
    <w:hidden/>
    <w:uiPriority w:val="99"/>
    <w:semiHidden/>
    <w:rsid w:val="00393A2D"/>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821065">
      <w:bodyDiv w:val="1"/>
      <w:marLeft w:val="0"/>
      <w:marRight w:val="0"/>
      <w:marTop w:val="0"/>
      <w:marBottom w:val="0"/>
      <w:divBdr>
        <w:top w:val="none" w:sz="0" w:space="0" w:color="auto"/>
        <w:left w:val="none" w:sz="0" w:space="0" w:color="auto"/>
        <w:bottom w:val="none" w:sz="0" w:space="0" w:color="auto"/>
        <w:right w:val="none" w:sz="0" w:space="0" w:color="auto"/>
      </w:divBdr>
    </w:div>
    <w:div w:id="19612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a.kronberga@ic.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da.strode@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C6C8-A193-4627-B78E-A2ADC2A0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6464</Words>
  <Characters>3685</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Company>Iekšlietu ministrija</Company>
  <LinksUpToDate>false</LinksUpToDate>
  <CharactersWithSpaces>10129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Sarmite Klementjeva</dc:creator>
  <dc:description/>
  <cp:lastModifiedBy>Alda Strode</cp:lastModifiedBy>
  <cp:revision>6</cp:revision>
  <cp:lastPrinted>2020-09-15T05:24:00Z</cp:lastPrinted>
  <dcterms:created xsi:type="dcterms:W3CDTF">2020-09-14T06:48:00Z</dcterms:created>
  <dcterms:modified xsi:type="dcterms:W3CDTF">2020-09-15T05:29:00Z</dcterms:modified>
</cp:coreProperties>
</file>