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9D7A" w14:textId="58A28C2E" w:rsidR="000115B5" w:rsidRPr="0045389A" w:rsidRDefault="00B51894" w:rsidP="005B5585">
      <w:pPr>
        <w:pStyle w:val="Style1"/>
        <w:numPr>
          <w:ilvl w:val="0"/>
          <w:numId w:val="0"/>
        </w:numPr>
        <w:ind w:left="360" w:hanging="360"/>
        <w:jc w:val="center"/>
        <w:rPr>
          <w:b/>
          <w:sz w:val="24"/>
        </w:rPr>
      </w:pPr>
      <w:bookmarkStart w:id="0" w:name="_GoBack"/>
      <w:bookmarkEnd w:id="0"/>
      <w:r w:rsidRPr="0045389A">
        <w:rPr>
          <w:b/>
          <w:sz w:val="24"/>
        </w:rPr>
        <w:t xml:space="preserve">Ministru </w:t>
      </w:r>
      <w:r w:rsidRPr="003B438C">
        <w:rPr>
          <w:b/>
          <w:sz w:val="24"/>
        </w:rPr>
        <w:t xml:space="preserve">kabineta </w:t>
      </w:r>
      <w:r w:rsidR="003B438C">
        <w:rPr>
          <w:b/>
          <w:sz w:val="24"/>
          <w:szCs w:val="24"/>
        </w:rPr>
        <w:t>rīkojuma projekta “Grozījumi Ministru kabineta 2018. gada 22. </w:t>
      </w:r>
      <w:r w:rsidR="003B438C" w:rsidRPr="003B438C">
        <w:rPr>
          <w:b/>
          <w:sz w:val="24"/>
          <w:szCs w:val="24"/>
        </w:rPr>
        <w:t>oktobra rīkojumā Nr. 535</w:t>
      </w:r>
      <w:r w:rsidRPr="003B438C">
        <w:rPr>
          <w:b/>
          <w:sz w:val="24"/>
        </w:rPr>
        <w:t xml:space="preserve"> </w:t>
      </w:r>
      <w:r w:rsidR="007B3D26" w:rsidRPr="003B438C">
        <w:rPr>
          <w:b/>
          <w:sz w:val="24"/>
        </w:rPr>
        <w:t>“</w:t>
      </w:r>
      <w:r w:rsidR="00961B16" w:rsidRPr="003B438C">
        <w:rPr>
          <w:b/>
          <w:sz w:val="24"/>
        </w:rPr>
        <w:t>Par informācijas sabiedrības attīstības pamatnostādņu ieviešanu publiskās</w:t>
      </w:r>
      <w:r w:rsidR="00961B16" w:rsidRPr="0045389A">
        <w:rPr>
          <w:b/>
          <w:sz w:val="24"/>
        </w:rPr>
        <w:t xml:space="preserve"> pārvaldes informācijas sistēmu jomā (</w:t>
      </w:r>
      <w:proofErr w:type="spellStart"/>
      <w:r w:rsidR="00961B16" w:rsidRPr="0045389A">
        <w:rPr>
          <w:b/>
          <w:sz w:val="24"/>
        </w:rPr>
        <w:t>mērķarhitektūras</w:t>
      </w:r>
      <w:proofErr w:type="spellEnd"/>
      <w:r w:rsidR="00961B16" w:rsidRPr="0045389A">
        <w:rPr>
          <w:b/>
          <w:sz w:val="24"/>
        </w:rPr>
        <w:t xml:space="preserve"> </w:t>
      </w:r>
      <w:r w:rsidR="002F481A" w:rsidRPr="0045389A">
        <w:rPr>
          <w:b/>
          <w:sz w:val="24"/>
        </w:rPr>
        <w:t>4</w:t>
      </w:r>
      <w:r w:rsidR="00DA6420" w:rsidRPr="0045389A">
        <w:rPr>
          <w:b/>
          <w:sz w:val="24"/>
        </w:rPr>
        <w:t>3</w:t>
      </w:r>
      <w:r w:rsidR="00961B16" w:rsidRPr="0045389A">
        <w:rPr>
          <w:b/>
          <w:sz w:val="24"/>
        </w:rPr>
        <w:t>.0</w:t>
      </w:r>
      <w:r w:rsidR="00CD5E66" w:rsidRPr="0045389A">
        <w:rPr>
          <w:b/>
          <w:sz w:val="24"/>
        </w:rPr>
        <w:t>.</w:t>
      </w:r>
      <w:r w:rsidR="00C24406" w:rsidRPr="0045389A">
        <w:rPr>
          <w:b/>
          <w:sz w:val="24"/>
        </w:rPr>
        <w:t xml:space="preserve"> </w:t>
      </w:r>
      <w:r w:rsidR="00961B16" w:rsidRPr="0045389A">
        <w:rPr>
          <w:b/>
          <w:sz w:val="24"/>
        </w:rPr>
        <w:t>versija</w:t>
      </w:r>
      <w:r w:rsidR="000E317C" w:rsidRPr="0045389A">
        <w:rPr>
          <w:b/>
          <w:sz w:val="24"/>
        </w:rPr>
        <w:t>)</w:t>
      </w:r>
      <w:r w:rsidR="003B438C">
        <w:rPr>
          <w:b/>
          <w:sz w:val="24"/>
        </w:rPr>
        <w:t>””</w:t>
      </w:r>
      <w:r w:rsidR="001D19C2" w:rsidRPr="0045389A">
        <w:rPr>
          <w:b/>
          <w:sz w:val="24"/>
        </w:rPr>
        <w:t xml:space="preserve"> sākotnējās ietekmes novērtējuma ziņojums (anotācija)</w:t>
      </w:r>
    </w:p>
    <w:p w14:paraId="098F9D7B" w14:textId="77777777" w:rsidR="005148E7" w:rsidRPr="0045389A" w:rsidRDefault="005148E7" w:rsidP="008948F1">
      <w:pPr>
        <w:spacing w:before="120" w:after="120"/>
        <w:jc w:val="center"/>
        <w:rPr>
          <w:lang w:eastAsia="en-US"/>
        </w:rPr>
      </w:pPr>
    </w:p>
    <w:tbl>
      <w:tblPr>
        <w:tblW w:w="5618" w:type="pct"/>
        <w:tblInd w:w="-460" w:type="dxa"/>
        <w:tblBorders>
          <w:top w:val="single" w:sz="2" w:space="0" w:color="414142"/>
          <w:left w:val="single" w:sz="2" w:space="0" w:color="414142"/>
          <w:bottom w:val="single" w:sz="2" w:space="0" w:color="414142"/>
          <w:right w:val="single" w:sz="2" w:space="0" w:color="414142"/>
          <w:insideH w:val="single" w:sz="2" w:space="0" w:color="414142"/>
          <w:insideV w:val="single" w:sz="2" w:space="0" w:color="414142"/>
        </w:tblBorders>
        <w:tblCellMar>
          <w:top w:w="30" w:type="dxa"/>
          <w:left w:w="30" w:type="dxa"/>
          <w:bottom w:w="30" w:type="dxa"/>
          <w:right w:w="30" w:type="dxa"/>
        </w:tblCellMar>
        <w:tblLook w:val="04A0" w:firstRow="1" w:lastRow="0" w:firstColumn="1" w:lastColumn="0" w:noHBand="0" w:noVBand="1"/>
      </w:tblPr>
      <w:tblGrid>
        <w:gridCol w:w="3264"/>
        <w:gridCol w:w="6923"/>
      </w:tblGrid>
      <w:tr w:rsidR="00B451A7" w:rsidRPr="0045389A" w14:paraId="098F9D7D" w14:textId="77777777" w:rsidTr="008B3F52">
        <w:trPr>
          <w:trHeight w:val="405"/>
        </w:trPr>
        <w:tc>
          <w:tcPr>
            <w:tcW w:w="5000" w:type="pct"/>
            <w:gridSpan w:val="2"/>
            <w:vAlign w:val="center"/>
            <w:hideMark/>
          </w:tcPr>
          <w:p w14:paraId="098F9D7C" w14:textId="77777777" w:rsidR="00B451A7" w:rsidRPr="0045389A" w:rsidRDefault="00B451A7" w:rsidP="00A85586">
            <w:pPr>
              <w:spacing w:before="100" w:beforeAutospacing="1" w:after="100" w:afterAutospacing="1" w:line="293" w:lineRule="atLeast"/>
              <w:jc w:val="center"/>
              <w:rPr>
                <w:b/>
                <w:bCs/>
              </w:rPr>
            </w:pPr>
            <w:r w:rsidRPr="0045389A">
              <w:rPr>
                <w:b/>
                <w:bCs/>
              </w:rPr>
              <w:t>Tiesību akta projekta anotācijas kopsavilkums</w:t>
            </w:r>
          </w:p>
        </w:tc>
      </w:tr>
      <w:tr w:rsidR="001168CB" w:rsidRPr="0045389A" w14:paraId="098F9D80" w14:textId="77777777" w:rsidTr="008B3F52">
        <w:trPr>
          <w:trHeight w:val="405"/>
        </w:trPr>
        <w:tc>
          <w:tcPr>
            <w:tcW w:w="1602" w:type="pct"/>
            <w:hideMark/>
          </w:tcPr>
          <w:p w14:paraId="098F9D7E" w14:textId="77777777" w:rsidR="00B451A7" w:rsidRPr="0045389A" w:rsidRDefault="00B451A7" w:rsidP="00A85586">
            <w:pPr>
              <w:spacing w:before="100" w:beforeAutospacing="1" w:after="100" w:afterAutospacing="1" w:line="293" w:lineRule="atLeast"/>
            </w:pPr>
            <w:r w:rsidRPr="0045389A">
              <w:t>Mērķis, risinājums un projekta spēkā stāšanās laiks (500 zīmes bez atstarpēm)</w:t>
            </w:r>
          </w:p>
        </w:tc>
        <w:tc>
          <w:tcPr>
            <w:tcW w:w="3398" w:type="pct"/>
            <w:hideMark/>
          </w:tcPr>
          <w:p w14:paraId="69539C76" w14:textId="3C4123A1" w:rsidR="00ED4370" w:rsidRDefault="00ED4370" w:rsidP="00ED4370">
            <w:pPr>
              <w:tabs>
                <w:tab w:val="left" w:pos="323"/>
              </w:tabs>
              <w:jc w:val="both"/>
            </w:pPr>
            <w:r>
              <w:t xml:space="preserve">Rīkojuma projekta </w:t>
            </w:r>
            <w:r w:rsidR="000B31AB" w:rsidRPr="0045389A">
              <w:t>mērķis</w:t>
            </w:r>
            <w:r w:rsidR="00EF6690">
              <w:t xml:space="preserve">, lai sasniegtu </w:t>
            </w:r>
            <w:r w:rsidRPr="0045389A">
              <w:t>projekt</w:t>
            </w:r>
            <w:r w:rsidR="00EF6690">
              <w:t>a</w:t>
            </w:r>
            <w:r w:rsidRPr="0045389A">
              <w:t xml:space="preserve"> “Valsts pārbaudījumu organizēšanas pilnveide”</w:t>
            </w:r>
            <w:r>
              <w:t xml:space="preserve"> (turpmāk – Projekts) plānotos rezultatīvos rādītājus</w:t>
            </w:r>
            <w:r w:rsidR="00EF6690">
              <w:t>, noteikt Projekta īstenošanu 36 mēnešus, t.i. līdz 2022.gada 2.augustam.</w:t>
            </w:r>
          </w:p>
          <w:p w14:paraId="0198147A" w14:textId="77777777" w:rsidR="00ED4370" w:rsidRDefault="00ED4370" w:rsidP="00ED4370">
            <w:pPr>
              <w:tabs>
                <w:tab w:val="left" w:pos="323"/>
              </w:tabs>
              <w:jc w:val="both"/>
            </w:pPr>
          </w:p>
          <w:p w14:paraId="7420D93A" w14:textId="146BAB52" w:rsidR="00ED4370" w:rsidRDefault="00ED4370" w:rsidP="00ED4370">
            <w:pPr>
              <w:tabs>
                <w:tab w:val="left" w:pos="323"/>
              </w:tabs>
              <w:jc w:val="both"/>
            </w:pPr>
            <w:r w:rsidRPr="00AC1608">
              <w:t>Rīkojums stājas spēkā tā parakstīšanas brīdī.</w:t>
            </w:r>
          </w:p>
          <w:p w14:paraId="098F9D7F" w14:textId="17210899" w:rsidR="00ED4370" w:rsidRPr="0045389A" w:rsidRDefault="00ED4370" w:rsidP="00ED4370">
            <w:pPr>
              <w:tabs>
                <w:tab w:val="left" w:pos="323"/>
              </w:tabs>
              <w:jc w:val="both"/>
            </w:pPr>
          </w:p>
        </w:tc>
      </w:tr>
    </w:tbl>
    <w:p w14:paraId="098F9D81" w14:textId="42FCA660" w:rsidR="00655D74" w:rsidRPr="0045389A" w:rsidRDefault="00655D74" w:rsidP="008948F1">
      <w:pPr>
        <w:spacing w:before="120" w:after="120"/>
        <w:jc w:val="center"/>
        <w:rPr>
          <w:lang w:eastAsia="en-US"/>
        </w:rPr>
      </w:pPr>
    </w:p>
    <w:tbl>
      <w:tblPr>
        <w:tblW w:w="10227" w:type="dxa"/>
        <w:tblCellSpacing w:w="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2"/>
        <w:gridCol w:w="1986"/>
        <w:gridCol w:w="7479"/>
      </w:tblGrid>
      <w:tr w:rsidR="000115B5" w:rsidRPr="0045389A" w14:paraId="098F9D83" w14:textId="77777777" w:rsidTr="008B3F52">
        <w:trPr>
          <w:trHeight w:val="557"/>
          <w:tblCellSpacing w:w="0" w:type="dxa"/>
        </w:trPr>
        <w:tc>
          <w:tcPr>
            <w:tcW w:w="10227" w:type="dxa"/>
            <w:gridSpan w:val="3"/>
            <w:vAlign w:val="center"/>
          </w:tcPr>
          <w:p w14:paraId="098F9D82" w14:textId="77777777" w:rsidR="000115B5" w:rsidRPr="0045389A" w:rsidRDefault="000115B5" w:rsidP="008948F1">
            <w:pPr>
              <w:spacing w:before="120" w:after="120"/>
              <w:jc w:val="center"/>
              <w:rPr>
                <w:lang w:eastAsia="en-US"/>
              </w:rPr>
            </w:pPr>
            <w:r w:rsidRPr="0045389A">
              <w:rPr>
                <w:b/>
                <w:bCs/>
                <w:lang w:eastAsia="en-US"/>
              </w:rPr>
              <w:t xml:space="preserve"> I. </w:t>
            </w:r>
            <w:r w:rsidR="00E211A8" w:rsidRPr="0045389A">
              <w:rPr>
                <w:b/>
                <w:bCs/>
                <w:lang w:eastAsia="en-US"/>
              </w:rPr>
              <w:t>Tiesību akta</w:t>
            </w:r>
            <w:r w:rsidRPr="0045389A">
              <w:rPr>
                <w:b/>
                <w:bCs/>
                <w:lang w:eastAsia="en-US"/>
              </w:rPr>
              <w:t xml:space="preserve"> </w:t>
            </w:r>
            <w:r w:rsidR="001741F3" w:rsidRPr="0045389A">
              <w:rPr>
                <w:b/>
                <w:bCs/>
                <w:lang w:eastAsia="en-US"/>
              </w:rPr>
              <w:t xml:space="preserve">projekta </w:t>
            </w:r>
            <w:r w:rsidRPr="0045389A">
              <w:rPr>
                <w:b/>
                <w:bCs/>
                <w:lang w:eastAsia="en-US"/>
              </w:rPr>
              <w:t>izstrādes nepieciešamība</w:t>
            </w:r>
          </w:p>
        </w:tc>
      </w:tr>
      <w:tr w:rsidR="001168CB" w:rsidRPr="0045389A" w14:paraId="098F9D8A" w14:textId="77777777" w:rsidTr="008B3F52">
        <w:trPr>
          <w:trHeight w:val="271"/>
          <w:tblCellSpacing w:w="0" w:type="dxa"/>
        </w:trPr>
        <w:tc>
          <w:tcPr>
            <w:tcW w:w="762" w:type="dxa"/>
          </w:tcPr>
          <w:p w14:paraId="098F9D84" w14:textId="77777777" w:rsidR="000115B5" w:rsidRPr="0045389A" w:rsidRDefault="000115B5" w:rsidP="008948F1">
            <w:pPr>
              <w:spacing w:before="120" w:after="120"/>
              <w:rPr>
                <w:lang w:eastAsia="en-US"/>
              </w:rPr>
            </w:pPr>
            <w:r w:rsidRPr="0045389A">
              <w:rPr>
                <w:lang w:eastAsia="en-US"/>
              </w:rPr>
              <w:t> 1.</w:t>
            </w:r>
          </w:p>
        </w:tc>
        <w:tc>
          <w:tcPr>
            <w:tcW w:w="1986" w:type="dxa"/>
          </w:tcPr>
          <w:p w14:paraId="098F9D85" w14:textId="77777777" w:rsidR="000115B5" w:rsidRPr="0045389A" w:rsidRDefault="000115B5" w:rsidP="008948F1">
            <w:pPr>
              <w:spacing w:before="120" w:after="120"/>
              <w:rPr>
                <w:lang w:eastAsia="en-US"/>
              </w:rPr>
            </w:pPr>
            <w:r w:rsidRPr="0045389A">
              <w:rPr>
                <w:lang w:eastAsia="en-US"/>
              </w:rPr>
              <w:t>Pamatojums</w:t>
            </w:r>
          </w:p>
        </w:tc>
        <w:tc>
          <w:tcPr>
            <w:tcW w:w="7479" w:type="dxa"/>
          </w:tcPr>
          <w:p w14:paraId="2BEF4EF5" w14:textId="77777777" w:rsidR="00C325C7" w:rsidRDefault="005452DF" w:rsidP="004E7E2E">
            <w:pPr>
              <w:suppressAutoHyphens/>
              <w:ind w:right="210"/>
              <w:jc w:val="both"/>
            </w:pPr>
            <w:r w:rsidRPr="0045389A">
              <w:t xml:space="preserve">Ņemot vērā </w:t>
            </w:r>
            <w:r w:rsidR="009425CB">
              <w:t xml:space="preserve">to, ka </w:t>
            </w:r>
            <w:r w:rsidR="00EF6690">
              <w:t>P</w:t>
            </w:r>
            <w:r w:rsidR="009425CB">
              <w:t xml:space="preserve">rojekta saskaņošanas process </w:t>
            </w:r>
            <w:r w:rsidR="00EF6690">
              <w:t>līdz tā apstiprināšanai</w:t>
            </w:r>
            <w:r w:rsidR="009425CB">
              <w:t xml:space="preserve"> ir ildzis gandrīz gadu</w:t>
            </w:r>
            <w:r w:rsidR="00EF6690">
              <w:t xml:space="preserve">, t.i., no </w:t>
            </w:r>
            <w:r w:rsidRPr="0045389A">
              <w:t>22.10.2018.-02</w:t>
            </w:r>
            <w:r w:rsidR="00EF6690">
              <w:t>.08.2019.</w:t>
            </w:r>
            <w:r w:rsidR="00C325C7">
              <w:t xml:space="preserve">, kas ietver </w:t>
            </w:r>
            <w:r w:rsidR="00C325C7" w:rsidRPr="00D305D9">
              <w:rPr>
                <w:szCs w:val="26"/>
              </w:rPr>
              <w:t>laik</w:t>
            </w:r>
            <w:r w:rsidR="00C325C7">
              <w:rPr>
                <w:szCs w:val="26"/>
              </w:rPr>
              <w:t>u</w:t>
            </w:r>
            <w:r w:rsidR="00C325C7" w:rsidRPr="00D305D9">
              <w:rPr>
                <w:szCs w:val="26"/>
              </w:rPr>
              <w:t xml:space="preserve"> no MK rīkojuma apstiprināšanas līdz projekta iesnieguma iesniegšanai</w:t>
            </w:r>
            <w:r w:rsidR="009425CB">
              <w:t xml:space="preserve"> un Vienošanās</w:t>
            </w:r>
            <w:r w:rsidR="00C325C7">
              <w:t xml:space="preserve"> noslēgšanu</w:t>
            </w:r>
            <w:r w:rsidR="009425CB">
              <w:t xml:space="preserve"> </w:t>
            </w:r>
            <w:r w:rsidR="009425CB" w:rsidRPr="0045389A">
              <w:t>ar Centrālo finanšu un līgumu aģe</w:t>
            </w:r>
            <w:r w:rsidR="009425CB">
              <w:t xml:space="preserve">ntūru par finansējuma saņemšanu, nav iespējams sekmīgi īstenot Projektu  </w:t>
            </w:r>
            <w:r w:rsidR="00EF6690" w:rsidRPr="00EF6690">
              <w:t>Ministru kabineta 2018. gada 22. </w:t>
            </w:r>
            <w:r w:rsidR="009425CB">
              <w:t>oktobra rīkojuma</w:t>
            </w:r>
            <w:r w:rsidR="00EF6690" w:rsidRPr="00EF6690">
              <w:t xml:space="preserve"> Nr. 535 “Par informācijas sabiedrības attīstības pamatnostādņu ieviešanu publiskās pārvaldes informācijas sistēmu jomā (</w:t>
            </w:r>
            <w:proofErr w:type="spellStart"/>
            <w:r w:rsidR="00EF6690" w:rsidRPr="00EF6690">
              <w:t>mērķarhitektūras</w:t>
            </w:r>
            <w:proofErr w:type="spellEnd"/>
            <w:r w:rsidR="00EF6690" w:rsidRPr="00EF6690">
              <w:t xml:space="preserve"> 43.0. versija)”</w:t>
            </w:r>
            <w:r w:rsidRPr="0045389A">
              <w:t xml:space="preserve"> </w:t>
            </w:r>
            <w:r w:rsidR="004E7E2E">
              <w:t xml:space="preserve">(turpmāk – MK rīkojums Nr. 535” </w:t>
            </w:r>
            <w:r w:rsidR="00EF6690" w:rsidRPr="00C30BEC">
              <w:t xml:space="preserve">pielikuma “Projekta apraksts” (kopsavilkums) </w:t>
            </w:r>
            <w:r w:rsidR="00EF6690">
              <w:t>V</w:t>
            </w:r>
            <w:r w:rsidR="009425CB">
              <w:t>.</w:t>
            </w:r>
            <w:r w:rsidR="004E7E2E">
              <w:t> </w:t>
            </w:r>
            <w:r w:rsidR="009425CB">
              <w:t>n</w:t>
            </w:r>
            <w:r w:rsidR="00EF6690" w:rsidRPr="00C30BEC">
              <w:t>odaļ</w:t>
            </w:r>
            <w:r w:rsidR="00EF6690">
              <w:t>ā</w:t>
            </w:r>
            <w:r w:rsidR="009425CB">
              <w:t xml:space="preserve"> norādītajā Projekta īstenošanas beigu termiņā - līdz 2021.gada septembrim.</w:t>
            </w:r>
          </w:p>
          <w:p w14:paraId="69A0D912" w14:textId="7B06F3AE" w:rsidR="00EF6690" w:rsidRDefault="00C325C7" w:rsidP="004E7E2E">
            <w:pPr>
              <w:suppressAutoHyphens/>
              <w:ind w:right="210"/>
              <w:jc w:val="both"/>
            </w:pPr>
            <w:r>
              <w:t xml:space="preserve">Papildus jāņem vērā arī </w:t>
            </w:r>
            <w:r w:rsidRPr="009F346D">
              <w:rPr>
                <w:bCs/>
              </w:rPr>
              <w:t>optimālā biznesa procesa saskaņošanas proces</w:t>
            </w:r>
            <w:r>
              <w:rPr>
                <w:bCs/>
              </w:rPr>
              <w:t>s</w:t>
            </w:r>
            <w:r w:rsidRPr="009F346D">
              <w:rPr>
                <w:bCs/>
              </w:rPr>
              <w:t xml:space="preserve"> ar visām iesaistītajām pusēm, kā arī papildus</w:t>
            </w:r>
            <w:r>
              <w:rPr>
                <w:bCs/>
              </w:rPr>
              <w:t xml:space="preserve"> </w:t>
            </w:r>
            <w:r w:rsidRPr="009F346D">
              <w:rPr>
                <w:bCs/>
              </w:rPr>
              <w:t>identificētos darbus tehniskās specifikācijas pilnīgai izstrādei</w:t>
            </w:r>
            <w:r>
              <w:rPr>
                <w:bCs/>
              </w:rPr>
              <w:t>, kā arī</w:t>
            </w:r>
            <w:r w:rsidRPr="009F346D">
              <w:rPr>
                <w:bCs/>
              </w:rPr>
              <w:t xml:space="preserve"> ņemot vērā Ārkārtējās situācijas ietekmi saistībā ar </w:t>
            </w:r>
            <w:proofErr w:type="spellStart"/>
            <w:r w:rsidRPr="009F346D">
              <w:rPr>
                <w:bCs/>
              </w:rPr>
              <w:t>Covid-19,</w:t>
            </w:r>
            <w:proofErr w:type="spellEnd"/>
            <w:r w:rsidRPr="009F346D">
              <w:rPr>
                <w:bCs/>
              </w:rPr>
              <w:t xml:space="preserve"> jo sākotnēji daudzas iesaistītās puses tika iesaistītas krīzes novēršanā saistībā ar attālināto mācību nodrošināšanu, kā arī bija jāpārorientē plānotās intervijas ar konsultantiem elektroniskā formātā, kas prasīja papildus laiku</w:t>
            </w:r>
            <w:r>
              <w:rPr>
                <w:bCs/>
              </w:rPr>
              <w:t>. Nosaukto iemeslu dēļ, i</w:t>
            </w:r>
            <w:r w:rsidR="009425CB">
              <w:t>r nepieciešams grozīt Projekta īstenošanas termiņu līdz 2022.gada 2.augustam.</w:t>
            </w:r>
            <w:r w:rsidR="00EF6690" w:rsidRPr="0045389A">
              <w:t xml:space="preserve"> </w:t>
            </w:r>
          </w:p>
          <w:p w14:paraId="2C599D2B" w14:textId="74DE2E60" w:rsidR="009425CB" w:rsidRDefault="009425CB" w:rsidP="004E7E2E">
            <w:pPr>
              <w:suppressAutoHyphens/>
              <w:ind w:right="210"/>
              <w:jc w:val="both"/>
              <w:rPr>
                <w:szCs w:val="28"/>
              </w:rPr>
            </w:pPr>
            <w:r>
              <w:t>Ņemot vērā P</w:t>
            </w:r>
            <w:r w:rsidR="005452DF" w:rsidRPr="0045389A">
              <w:t xml:space="preserve">rojekta </w:t>
            </w:r>
            <w:r>
              <w:t>īstenošanas</w:t>
            </w:r>
            <w:r w:rsidR="005452DF" w:rsidRPr="0045389A">
              <w:t xml:space="preserve"> gaitā iespējam</w:t>
            </w:r>
            <w:r>
              <w:t>ās</w:t>
            </w:r>
            <w:r w:rsidR="005452DF" w:rsidRPr="0045389A">
              <w:t xml:space="preserve"> izmaiņas</w:t>
            </w:r>
            <w:r>
              <w:t xml:space="preserve"> pakalpojumu sniegšanas kārtībā, ar Rīkojum</w:t>
            </w:r>
            <w:r w:rsidR="004E7E2E">
              <w:t>a</w:t>
            </w:r>
            <w:r>
              <w:t xml:space="preserve"> projektu tiek </w:t>
            </w:r>
            <w:r w:rsidR="004E7E2E">
              <w:t xml:space="preserve">papildināts Projekta apraksta kopsavilkums attiecībā uz Projektā iesaistītajām iestādēm, t.i., uz Valsts sociālās apdrošināšanas aģentūru un Nodarbinātības valsts aģentūru saistībā ar datu sniegšanas kārtību, nosakot, ka dati tiks sniegti </w:t>
            </w:r>
            <w:r w:rsidR="004E7E2E">
              <w:rPr>
                <w:szCs w:val="28"/>
              </w:rPr>
              <w:t>atbilstoši projekta laikā izvērtētajām prasībām un to risinājumiem, atbilstoši projekta laikā izvērtētajām prasībām un to risinājumiem.</w:t>
            </w:r>
          </w:p>
          <w:p w14:paraId="098F9D89" w14:textId="2B9BE547" w:rsidR="00511C65" w:rsidRPr="00B23149" w:rsidRDefault="004E7E2E" w:rsidP="004E7E2E">
            <w:pPr>
              <w:tabs>
                <w:tab w:val="center" w:pos="4320"/>
                <w:tab w:val="right" w:pos="8640"/>
              </w:tabs>
              <w:suppressAutoHyphens/>
              <w:autoSpaceDE w:val="0"/>
              <w:snapToGrid w:val="0"/>
              <w:rPr>
                <w:lang w:eastAsia="zh-CN"/>
              </w:rPr>
            </w:pPr>
            <w:r>
              <w:t xml:space="preserve">Papildus norādām, ka Projekta uzraudzības padome 2020. gada 22. aprīļa sēdē </w:t>
            </w:r>
            <w:r w:rsidR="00511C65">
              <w:t xml:space="preserve">atbalstīja </w:t>
            </w:r>
            <w:r w:rsidR="00511C65" w:rsidRPr="00301817">
              <w:rPr>
                <w:lang w:eastAsia="zh-CN"/>
              </w:rPr>
              <w:t xml:space="preserve">priekšlikumu </w:t>
            </w:r>
            <w:r w:rsidR="00511C65">
              <w:rPr>
                <w:lang w:eastAsia="zh-CN"/>
              </w:rPr>
              <w:t xml:space="preserve">uzsākt projekta grozījumu sagatavošanu un virzīšanu par </w:t>
            </w:r>
            <w:r w:rsidR="00511C65" w:rsidRPr="00301817">
              <w:rPr>
                <w:lang w:eastAsia="zh-CN"/>
              </w:rPr>
              <w:t>gala termiņa pagarināšanu līdz 2022.gada 2.augustam (kopā 36 mēneši projekta īstenošanai).</w:t>
            </w:r>
          </w:p>
        </w:tc>
      </w:tr>
      <w:tr w:rsidR="001168CB" w:rsidRPr="0045389A" w14:paraId="098F9DA3" w14:textId="77777777" w:rsidTr="00674600">
        <w:trPr>
          <w:trHeight w:val="693"/>
          <w:tblCellSpacing w:w="0" w:type="dxa"/>
        </w:trPr>
        <w:tc>
          <w:tcPr>
            <w:tcW w:w="762" w:type="dxa"/>
          </w:tcPr>
          <w:p w14:paraId="098F9D8B" w14:textId="1D3DD96A" w:rsidR="000115B5" w:rsidRPr="0045389A" w:rsidRDefault="000115B5" w:rsidP="008948F1">
            <w:pPr>
              <w:spacing w:before="120" w:after="120"/>
              <w:rPr>
                <w:lang w:eastAsia="en-US"/>
              </w:rPr>
            </w:pPr>
            <w:r w:rsidRPr="0045389A">
              <w:rPr>
                <w:lang w:eastAsia="en-US"/>
              </w:rPr>
              <w:t> 2.</w:t>
            </w:r>
          </w:p>
        </w:tc>
        <w:tc>
          <w:tcPr>
            <w:tcW w:w="1986" w:type="dxa"/>
          </w:tcPr>
          <w:p w14:paraId="6FE3E8F5" w14:textId="77777777" w:rsidR="000115B5" w:rsidRDefault="000115B5" w:rsidP="008948F1">
            <w:pPr>
              <w:spacing w:before="120" w:after="120"/>
              <w:rPr>
                <w:lang w:eastAsia="en-US"/>
              </w:rPr>
            </w:pPr>
            <w:r w:rsidRPr="0045389A">
              <w:rPr>
                <w:lang w:eastAsia="en-US"/>
              </w:rPr>
              <w:t>Pašreizējā situācija un problēmas</w:t>
            </w:r>
            <w:r w:rsidR="00681198" w:rsidRPr="0045389A">
              <w:rPr>
                <w:lang w:eastAsia="en-US"/>
              </w:rPr>
              <w:t xml:space="preserve">, </w:t>
            </w:r>
            <w:r w:rsidR="00681198" w:rsidRPr="0045389A">
              <w:rPr>
                <w:lang w:eastAsia="en-US"/>
              </w:rPr>
              <w:lastRenderedPageBreak/>
              <w:t>kuru risināšanai tiesību akta projekts izstrādāts, tiesiskā regulējuma mērķis un būtība</w:t>
            </w:r>
          </w:p>
          <w:p w14:paraId="10651324" w14:textId="77777777" w:rsidR="007C5209" w:rsidRPr="007C5209" w:rsidRDefault="007C5209" w:rsidP="007C5209">
            <w:pPr>
              <w:rPr>
                <w:lang w:eastAsia="en-US"/>
              </w:rPr>
            </w:pPr>
          </w:p>
          <w:p w14:paraId="4CCFCEF0" w14:textId="77777777" w:rsidR="007C5209" w:rsidRPr="007C5209" w:rsidRDefault="007C5209" w:rsidP="007C5209">
            <w:pPr>
              <w:rPr>
                <w:lang w:eastAsia="en-US"/>
              </w:rPr>
            </w:pPr>
          </w:p>
          <w:p w14:paraId="269E6E43" w14:textId="77777777" w:rsidR="007C5209" w:rsidRPr="007C5209" w:rsidRDefault="007C5209" w:rsidP="007C5209">
            <w:pPr>
              <w:rPr>
                <w:lang w:eastAsia="en-US"/>
              </w:rPr>
            </w:pPr>
          </w:p>
          <w:p w14:paraId="2F1CBED5" w14:textId="77777777" w:rsidR="007C5209" w:rsidRPr="007C5209" w:rsidRDefault="007C5209" w:rsidP="007C5209">
            <w:pPr>
              <w:rPr>
                <w:lang w:eastAsia="en-US"/>
              </w:rPr>
            </w:pPr>
          </w:p>
          <w:p w14:paraId="12E78923" w14:textId="77777777" w:rsidR="007C5209" w:rsidRPr="007C5209" w:rsidRDefault="007C5209" w:rsidP="007C5209">
            <w:pPr>
              <w:rPr>
                <w:lang w:eastAsia="en-US"/>
              </w:rPr>
            </w:pPr>
          </w:p>
          <w:p w14:paraId="1B1291DA" w14:textId="77777777" w:rsidR="007C5209" w:rsidRPr="007C5209" w:rsidRDefault="007C5209" w:rsidP="007C5209">
            <w:pPr>
              <w:rPr>
                <w:lang w:eastAsia="en-US"/>
              </w:rPr>
            </w:pPr>
          </w:p>
          <w:p w14:paraId="5F3334C1" w14:textId="77777777" w:rsidR="007C5209" w:rsidRPr="007C5209" w:rsidRDefault="007C5209" w:rsidP="007C5209">
            <w:pPr>
              <w:rPr>
                <w:lang w:eastAsia="en-US"/>
              </w:rPr>
            </w:pPr>
          </w:p>
          <w:p w14:paraId="07952BE6" w14:textId="77777777" w:rsidR="007C5209" w:rsidRPr="007C5209" w:rsidRDefault="007C5209" w:rsidP="007C5209">
            <w:pPr>
              <w:rPr>
                <w:lang w:eastAsia="en-US"/>
              </w:rPr>
            </w:pPr>
          </w:p>
          <w:p w14:paraId="26AC985B" w14:textId="77777777" w:rsidR="007C5209" w:rsidRPr="007C5209" w:rsidRDefault="007C5209" w:rsidP="007C5209">
            <w:pPr>
              <w:rPr>
                <w:lang w:eastAsia="en-US"/>
              </w:rPr>
            </w:pPr>
          </w:p>
          <w:p w14:paraId="0F2EEF91" w14:textId="77777777" w:rsidR="007C5209" w:rsidRPr="007C5209" w:rsidRDefault="007C5209" w:rsidP="007C5209">
            <w:pPr>
              <w:rPr>
                <w:lang w:eastAsia="en-US"/>
              </w:rPr>
            </w:pPr>
          </w:p>
          <w:p w14:paraId="75B9AC66" w14:textId="77777777" w:rsidR="007C5209" w:rsidRPr="007C5209" w:rsidRDefault="007C5209" w:rsidP="007C5209">
            <w:pPr>
              <w:rPr>
                <w:lang w:eastAsia="en-US"/>
              </w:rPr>
            </w:pPr>
          </w:p>
          <w:p w14:paraId="7BB580CA" w14:textId="77777777" w:rsidR="007C5209" w:rsidRPr="007C5209" w:rsidRDefault="007C5209" w:rsidP="007C5209">
            <w:pPr>
              <w:rPr>
                <w:lang w:eastAsia="en-US"/>
              </w:rPr>
            </w:pPr>
          </w:p>
          <w:p w14:paraId="06CA60DD" w14:textId="77777777" w:rsidR="007C5209" w:rsidRPr="007C5209" w:rsidRDefault="007C5209" w:rsidP="007C5209">
            <w:pPr>
              <w:rPr>
                <w:lang w:eastAsia="en-US"/>
              </w:rPr>
            </w:pPr>
          </w:p>
          <w:p w14:paraId="26A2CB9E" w14:textId="77777777" w:rsidR="007C5209" w:rsidRPr="007C5209" w:rsidRDefault="007C5209" w:rsidP="007C5209">
            <w:pPr>
              <w:rPr>
                <w:lang w:eastAsia="en-US"/>
              </w:rPr>
            </w:pPr>
          </w:p>
          <w:p w14:paraId="58F0DF10" w14:textId="77777777" w:rsidR="007C5209" w:rsidRPr="007C5209" w:rsidRDefault="007C5209" w:rsidP="007C5209">
            <w:pPr>
              <w:rPr>
                <w:lang w:eastAsia="en-US"/>
              </w:rPr>
            </w:pPr>
          </w:p>
          <w:p w14:paraId="3EDFC5ED" w14:textId="77777777" w:rsidR="007C5209" w:rsidRPr="007C5209" w:rsidRDefault="007C5209" w:rsidP="007C5209">
            <w:pPr>
              <w:rPr>
                <w:lang w:eastAsia="en-US"/>
              </w:rPr>
            </w:pPr>
          </w:p>
          <w:p w14:paraId="34D61454" w14:textId="77777777" w:rsidR="007C5209" w:rsidRPr="007C5209" w:rsidRDefault="007C5209" w:rsidP="007C5209">
            <w:pPr>
              <w:rPr>
                <w:lang w:eastAsia="en-US"/>
              </w:rPr>
            </w:pPr>
          </w:p>
          <w:p w14:paraId="2DC964A1" w14:textId="77777777" w:rsidR="007C5209" w:rsidRPr="007C5209" w:rsidRDefault="007C5209" w:rsidP="007C5209">
            <w:pPr>
              <w:rPr>
                <w:lang w:eastAsia="en-US"/>
              </w:rPr>
            </w:pPr>
          </w:p>
          <w:p w14:paraId="31DA06B9" w14:textId="77777777" w:rsidR="007C5209" w:rsidRPr="007C5209" w:rsidRDefault="007C5209" w:rsidP="007C5209">
            <w:pPr>
              <w:rPr>
                <w:lang w:eastAsia="en-US"/>
              </w:rPr>
            </w:pPr>
          </w:p>
          <w:p w14:paraId="13ADB5DC" w14:textId="77777777" w:rsidR="007C5209" w:rsidRPr="007C5209" w:rsidRDefault="007C5209" w:rsidP="007C5209">
            <w:pPr>
              <w:rPr>
                <w:lang w:eastAsia="en-US"/>
              </w:rPr>
            </w:pPr>
          </w:p>
          <w:p w14:paraId="0312E8F3" w14:textId="77777777" w:rsidR="007C5209" w:rsidRPr="007C5209" w:rsidRDefault="007C5209" w:rsidP="007C5209">
            <w:pPr>
              <w:rPr>
                <w:lang w:eastAsia="en-US"/>
              </w:rPr>
            </w:pPr>
          </w:p>
          <w:p w14:paraId="3D35F160" w14:textId="77777777" w:rsidR="007C5209" w:rsidRPr="007C5209" w:rsidRDefault="007C5209" w:rsidP="007C5209">
            <w:pPr>
              <w:rPr>
                <w:lang w:eastAsia="en-US"/>
              </w:rPr>
            </w:pPr>
          </w:p>
          <w:p w14:paraId="2EB7D89A" w14:textId="77777777" w:rsidR="007C5209" w:rsidRPr="007C5209" w:rsidRDefault="007C5209" w:rsidP="007C5209">
            <w:pPr>
              <w:rPr>
                <w:lang w:eastAsia="en-US"/>
              </w:rPr>
            </w:pPr>
          </w:p>
          <w:p w14:paraId="59F7E711" w14:textId="77777777" w:rsidR="007C5209" w:rsidRPr="007C5209" w:rsidRDefault="007C5209" w:rsidP="007C5209">
            <w:pPr>
              <w:rPr>
                <w:lang w:eastAsia="en-US"/>
              </w:rPr>
            </w:pPr>
          </w:p>
          <w:p w14:paraId="3B29B5ED" w14:textId="77777777" w:rsidR="007C5209" w:rsidRPr="007C5209" w:rsidRDefault="007C5209" w:rsidP="007C5209">
            <w:pPr>
              <w:rPr>
                <w:lang w:eastAsia="en-US"/>
              </w:rPr>
            </w:pPr>
          </w:p>
          <w:p w14:paraId="73DF441F" w14:textId="77777777" w:rsidR="007C5209" w:rsidRPr="007C5209" w:rsidRDefault="007C5209" w:rsidP="007C5209">
            <w:pPr>
              <w:rPr>
                <w:lang w:eastAsia="en-US"/>
              </w:rPr>
            </w:pPr>
          </w:p>
          <w:p w14:paraId="1AF0571F" w14:textId="77777777" w:rsidR="007C5209" w:rsidRPr="007C5209" w:rsidRDefault="007C5209" w:rsidP="007C5209">
            <w:pPr>
              <w:rPr>
                <w:lang w:eastAsia="en-US"/>
              </w:rPr>
            </w:pPr>
          </w:p>
          <w:p w14:paraId="03898A6E" w14:textId="77777777" w:rsidR="007C5209" w:rsidRPr="007C5209" w:rsidRDefault="007C5209" w:rsidP="007C5209">
            <w:pPr>
              <w:rPr>
                <w:lang w:eastAsia="en-US"/>
              </w:rPr>
            </w:pPr>
          </w:p>
          <w:p w14:paraId="12ECD7B7" w14:textId="77777777" w:rsidR="007C5209" w:rsidRPr="007C5209" w:rsidRDefault="007C5209" w:rsidP="007C5209">
            <w:pPr>
              <w:rPr>
                <w:lang w:eastAsia="en-US"/>
              </w:rPr>
            </w:pPr>
          </w:p>
          <w:p w14:paraId="0D003B53" w14:textId="77777777" w:rsidR="007C5209" w:rsidRPr="007C5209" w:rsidRDefault="007C5209" w:rsidP="007C5209">
            <w:pPr>
              <w:rPr>
                <w:lang w:eastAsia="en-US"/>
              </w:rPr>
            </w:pPr>
          </w:p>
          <w:p w14:paraId="173B3960" w14:textId="77777777" w:rsidR="007C5209" w:rsidRPr="007C5209" w:rsidRDefault="007C5209" w:rsidP="007C5209">
            <w:pPr>
              <w:rPr>
                <w:lang w:eastAsia="en-US"/>
              </w:rPr>
            </w:pPr>
          </w:p>
          <w:p w14:paraId="77512749" w14:textId="77777777" w:rsidR="007C5209" w:rsidRPr="007C5209" w:rsidRDefault="007C5209" w:rsidP="007C5209">
            <w:pPr>
              <w:rPr>
                <w:lang w:eastAsia="en-US"/>
              </w:rPr>
            </w:pPr>
          </w:p>
          <w:p w14:paraId="31A43DE4" w14:textId="77777777" w:rsidR="007C5209" w:rsidRPr="007C5209" w:rsidRDefault="007C5209" w:rsidP="007C5209">
            <w:pPr>
              <w:rPr>
                <w:lang w:eastAsia="en-US"/>
              </w:rPr>
            </w:pPr>
          </w:p>
          <w:p w14:paraId="2FE777CD" w14:textId="77777777" w:rsidR="007C5209" w:rsidRPr="007C5209" w:rsidRDefault="007C5209" w:rsidP="007C5209">
            <w:pPr>
              <w:rPr>
                <w:lang w:eastAsia="en-US"/>
              </w:rPr>
            </w:pPr>
          </w:p>
          <w:p w14:paraId="3692B161" w14:textId="77777777" w:rsidR="007C5209" w:rsidRPr="007C5209" w:rsidRDefault="007C5209" w:rsidP="007C5209">
            <w:pPr>
              <w:rPr>
                <w:lang w:eastAsia="en-US"/>
              </w:rPr>
            </w:pPr>
          </w:p>
          <w:p w14:paraId="3721DCDF" w14:textId="77777777" w:rsidR="007C5209" w:rsidRPr="007C5209" w:rsidRDefault="007C5209" w:rsidP="007C5209">
            <w:pPr>
              <w:rPr>
                <w:lang w:eastAsia="en-US"/>
              </w:rPr>
            </w:pPr>
          </w:p>
          <w:p w14:paraId="472FA031" w14:textId="77777777" w:rsidR="007C5209" w:rsidRPr="007C5209" w:rsidRDefault="007C5209" w:rsidP="007C5209">
            <w:pPr>
              <w:rPr>
                <w:lang w:eastAsia="en-US"/>
              </w:rPr>
            </w:pPr>
          </w:p>
          <w:p w14:paraId="60EC33BA" w14:textId="77777777" w:rsidR="007C5209" w:rsidRPr="007C5209" w:rsidRDefault="007C5209" w:rsidP="007C5209">
            <w:pPr>
              <w:rPr>
                <w:lang w:eastAsia="en-US"/>
              </w:rPr>
            </w:pPr>
          </w:p>
          <w:p w14:paraId="1021E3A9" w14:textId="77777777" w:rsidR="007C5209" w:rsidRPr="007C5209" w:rsidRDefault="007C5209" w:rsidP="007C5209">
            <w:pPr>
              <w:rPr>
                <w:lang w:eastAsia="en-US"/>
              </w:rPr>
            </w:pPr>
          </w:p>
          <w:p w14:paraId="28E6A7C1" w14:textId="77777777" w:rsidR="007C5209" w:rsidRPr="007C5209" w:rsidRDefault="007C5209" w:rsidP="007C5209">
            <w:pPr>
              <w:rPr>
                <w:lang w:eastAsia="en-US"/>
              </w:rPr>
            </w:pPr>
          </w:p>
          <w:p w14:paraId="2A56A574" w14:textId="77777777" w:rsidR="007C5209" w:rsidRPr="007C5209" w:rsidRDefault="007C5209" w:rsidP="007C5209">
            <w:pPr>
              <w:rPr>
                <w:lang w:eastAsia="en-US"/>
              </w:rPr>
            </w:pPr>
          </w:p>
          <w:p w14:paraId="4221B25B" w14:textId="77777777" w:rsidR="007C5209" w:rsidRDefault="007C5209" w:rsidP="007C5209">
            <w:pPr>
              <w:rPr>
                <w:lang w:eastAsia="en-US"/>
              </w:rPr>
            </w:pPr>
          </w:p>
          <w:p w14:paraId="7E5708BD" w14:textId="77777777" w:rsidR="007C5209" w:rsidRPr="007C5209" w:rsidRDefault="007C5209" w:rsidP="007C5209">
            <w:pPr>
              <w:rPr>
                <w:lang w:eastAsia="en-US"/>
              </w:rPr>
            </w:pPr>
          </w:p>
          <w:p w14:paraId="065AC4E2" w14:textId="77777777" w:rsidR="007C5209" w:rsidRPr="007C5209" w:rsidRDefault="007C5209" w:rsidP="007C5209">
            <w:pPr>
              <w:rPr>
                <w:lang w:eastAsia="en-US"/>
              </w:rPr>
            </w:pPr>
          </w:p>
          <w:p w14:paraId="098F9D8C" w14:textId="6BF73936" w:rsidR="007C5209" w:rsidRPr="007C5209" w:rsidRDefault="007C5209" w:rsidP="007C5209">
            <w:pPr>
              <w:rPr>
                <w:lang w:eastAsia="en-US"/>
              </w:rPr>
            </w:pPr>
          </w:p>
        </w:tc>
        <w:tc>
          <w:tcPr>
            <w:tcW w:w="7479" w:type="dxa"/>
          </w:tcPr>
          <w:p w14:paraId="3F32DEA8" w14:textId="0DDCC390" w:rsidR="00D471E0" w:rsidRPr="0045389A" w:rsidRDefault="004E7E2E" w:rsidP="004E7E2E">
            <w:pPr>
              <w:pStyle w:val="VPBody"/>
              <w:spacing w:after="0" w:line="240" w:lineRule="auto"/>
              <w:jc w:val="both"/>
            </w:pPr>
            <w:r>
              <w:rPr>
                <w:szCs w:val="24"/>
              </w:rPr>
              <w:lastRenderedPageBreak/>
              <w:t>MK</w:t>
            </w:r>
            <w:r w:rsidR="00D471E0" w:rsidRPr="0045389A">
              <w:rPr>
                <w:szCs w:val="24"/>
              </w:rPr>
              <w:t xml:space="preserve"> rīkojums Nr. 535 nosaka, ka </w:t>
            </w:r>
            <w:r w:rsidR="00D471E0" w:rsidRPr="0045389A">
              <w:t xml:space="preserve"> Projekts tiek īstenots darbības programmas „Izaugsme un nodarbinātība” 2.2.1. specifiskā atbalsta mērķa „Nodrošināt </w:t>
            </w:r>
            <w:r w:rsidR="00D471E0" w:rsidRPr="0045389A">
              <w:lastRenderedPageBreak/>
              <w:t>publisko datu atkalizmantošanas pieaugumu un efektīvu publiskās pārvaldes un privātā sektora mijiedarbību” 2.2.1.1. pasākuma „Centralizētu publiskās pārvaldes IKT platformu izveide, publiskās pārvaldes procesu optimizēšana un attīstība” ietvaros.</w:t>
            </w:r>
          </w:p>
          <w:p w14:paraId="1D94B26B" w14:textId="77777777" w:rsidR="00D471E0" w:rsidRPr="0045389A" w:rsidRDefault="00D471E0" w:rsidP="00D471E0">
            <w:pPr>
              <w:spacing w:before="120" w:after="120"/>
              <w:contextualSpacing/>
              <w:jc w:val="both"/>
              <w:rPr>
                <w:bCs/>
              </w:rPr>
            </w:pPr>
            <w:r w:rsidRPr="0045389A">
              <w:rPr>
                <w:bCs/>
              </w:rPr>
              <w:t xml:space="preserve">Projekta realizētājs ir Latvijas Republikas Izglītības un zinātnes ministrija. Projekts tiek realizēts sadarbībā ar projekta partneriem – Valsts izglītības un satura centru (turpmāk – VISC) un Valsts valodas centru (turpmāk – VVC). Projekta īstenošanā tiks iesaistītas: pašvaldības kā izglītības iestāžu dibinātājas un kā iesaistītās puses centralizēto eksāmenu un diagnosticējošo darbu un eksāmenu (turpmāk abi kopā – necentralizētie valsts pārbaudījumi) organizēšanas procesos; izglītības iestādes kā iesaistītās puses valsts pārbaudījumu, tai skaitā profesionālās kvalifikācijas eksāmenu organizēšanas procesos; Ārlietu ministrija (turpmāk – ĀM) kā puse, kuras telpās tiks attālināti kārtoti valsts valodas pārbaudījumi ārvalstīs; Valsts reģionālās attīstības aģentūra (turpmāk – VRAA) kā koplietošanas infrastruktūras (valsts informācijas sistēmu savietotājs, valsts pārvaldes pakalpojumu portāls </w:t>
            </w:r>
            <w:proofErr w:type="spellStart"/>
            <w:r w:rsidRPr="0045389A">
              <w:rPr>
                <w:bCs/>
              </w:rPr>
              <w:t>www.latvija.lv</w:t>
            </w:r>
            <w:proofErr w:type="spellEnd"/>
            <w:r w:rsidRPr="0045389A">
              <w:rPr>
                <w:bCs/>
              </w:rPr>
              <w:t>, Latvijas atvērto datu portāls (https://data.gov.lv) u.c.) turētājs; Valsts sociālās apdrošināšanas aģentūra (turpmāk – VSAA) un Nodarbinātības valsts aģentūra (turpmāk – NVA) kā datu par bezdarbnieka statusu devēji.</w:t>
            </w:r>
          </w:p>
          <w:p w14:paraId="6C8D6F1C" w14:textId="77777777" w:rsidR="00D471E0" w:rsidRPr="0045389A" w:rsidRDefault="00D471E0" w:rsidP="00D471E0">
            <w:pPr>
              <w:spacing w:before="120" w:after="120"/>
              <w:contextualSpacing/>
              <w:jc w:val="both"/>
              <w:rPr>
                <w:bCs/>
              </w:rPr>
            </w:pPr>
            <w:r w:rsidRPr="0045389A">
              <w:rPr>
                <w:bCs/>
              </w:rPr>
              <w:t xml:space="preserve">Projekta iznākuma rādītāji paredz, ka Projekta rezultātā tiks pilnveidoti 20 publiskās pārvaldes pamatdarbības procesi, tiks pilnveidoti 3 publiskās pārvaldes pakalpojumi (no tiem viens izveidots no jauna)  un publicētas 12 atvērto datu kopas. </w:t>
            </w:r>
          </w:p>
          <w:p w14:paraId="08EC86E0" w14:textId="77777777" w:rsidR="00D471E0" w:rsidRPr="0045389A" w:rsidRDefault="00D471E0" w:rsidP="00D471E0">
            <w:pPr>
              <w:spacing w:before="120" w:after="120"/>
              <w:contextualSpacing/>
              <w:jc w:val="both"/>
              <w:rPr>
                <w:szCs w:val="28"/>
              </w:rPr>
            </w:pPr>
            <w:r w:rsidRPr="0045389A">
              <w:rPr>
                <w:szCs w:val="28"/>
              </w:rPr>
              <w:t>Projekta virsmērķis ir veicināt darbības programmas „Izaugsme un nodarbinātība” specifiskā atbalsta mērķa 2.2.1. pasākuma definēto rezultātu rādītāju sasniegšanu.</w:t>
            </w:r>
          </w:p>
          <w:p w14:paraId="74FF0308" w14:textId="77777777" w:rsidR="00D471E0" w:rsidRPr="0045389A" w:rsidRDefault="00D471E0" w:rsidP="00D471E0">
            <w:pPr>
              <w:spacing w:before="120" w:after="120"/>
              <w:contextualSpacing/>
              <w:jc w:val="both"/>
              <w:rPr>
                <w:bCs/>
                <w:sz w:val="20"/>
              </w:rPr>
            </w:pPr>
          </w:p>
          <w:p w14:paraId="76244AEE" w14:textId="77777777" w:rsidR="00D471E0" w:rsidRPr="0045389A" w:rsidRDefault="00D471E0" w:rsidP="00D471E0">
            <w:pPr>
              <w:spacing w:before="120" w:after="120"/>
              <w:contextualSpacing/>
              <w:jc w:val="both"/>
              <w:rPr>
                <w:b/>
                <w:bCs/>
              </w:rPr>
            </w:pPr>
            <w:r w:rsidRPr="0045389A">
              <w:rPr>
                <w:b/>
                <w:bCs/>
                <w:u w:val="single"/>
              </w:rPr>
              <w:t>Projekta mērķi</w:t>
            </w:r>
            <w:r w:rsidRPr="0045389A">
              <w:rPr>
                <w:b/>
                <w:bCs/>
              </w:rPr>
              <w:t>:</w:t>
            </w:r>
          </w:p>
          <w:p w14:paraId="695B8492" w14:textId="77777777" w:rsidR="00D471E0" w:rsidRPr="0045389A" w:rsidRDefault="00D471E0" w:rsidP="00700BAB">
            <w:pPr>
              <w:overflowPunct w:val="0"/>
              <w:autoSpaceDE w:val="0"/>
              <w:autoSpaceDN w:val="0"/>
              <w:jc w:val="both"/>
              <w:textAlignment w:val="baseline"/>
              <w:rPr>
                <w:kern w:val="12"/>
              </w:rPr>
            </w:pPr>
            <w:r w:rsidRPr="0045389A">
              <w:t>Projekts ir vērsts uz centralizēto eksāmenu un necentralizēto valsts pārbaudījumu, profesionālās kvalifikācijas eksāmenu un valsts valodas pārbaudījumu (turpmāk visi kopā – valsts pārbaudījumi) organizēšanas procesu pilnveidi, uzsākot virzību uz valsts pārbaudījumu kārtošanu elektroniski (turpmāk – e-vidē)</w:t>
            </w:r>
            <w:r w:rsidRPr="0045389A">
              <w:rPr>
                <w:rStyle w:val="CommentReference"/>
              </w:rPr>
              <w:t xml:space="preserve">, </w:t>
            </w:r>
            <w:r w:rsidRPr="0045389A">
              <w:t xml:space="preserve">un </w:t>
            </w:r>
            <w:r w:rsidRPr="0045389A">
              <w:rPr>
                <w:kern w:val="12"/>
              </w:rPr>
              <w:t>sekmēs šādu trīs būtiskāko mērķu sasniegšanu:</w:t>
            </w:r>
          </w:p>
          <w:p w14:paraId="76F9B578" w14:textId="77777777" w:rsidR="00D471E0" w:rsidRPr="0045389A" w:rsidRDefault="00D471E0" w:rsidP="00D471E0">
            <w:pPr>
              <w:overflowPunct w:val="0"/>
              <w:autoSpaceDE w:val="0"/>
              <w:autoSpaceDN w:val="0"/>
              <w:ind w:firstLine="720"/>
              <w:jc w:val="both"/>
              <w:textAlignment w:val="baseline"/>
            </w:pPr>
            <w:r w:rsidRPr="0045389A">
              <w:rPr>
                <w:kern w:val="12"/>
              </w:rPr>
              <w:t>1) valsts pārbaudījumu organizēšanas procesu optimizācija, attīstot</w:t>
            </w:r>
            <w:r w:rsidRPr="0045389A">
              <w:t xml:space="preserve"> efektīvus un modernus risinājumus valsts pārbaudījumu organizēšanas procesu atbalstam, tai skaitā nodrošinot iespēju valsts pārbaudījumus vai to daļas kārtot e-vidē, uzlabojot informācijas apmaiņas un datu apstrādes iespējas;</w:t>
            </w:r>
          </w:p>
          <w:p w14:paraId="64B3B407" w14:textId="77777777" w:rsidR="00D471E0" w:rsidRPr="0045389A" w:rsidRDefault="00D471E0" w:rsidP="00D471E0">
            <w:pPr>
              <w:overflowPunct w:val="0"/>
              <w:autoSpaceDE w:val="0"/>
              <w:autoSpaceDN w:val="0"/>
              <w:ind w:firstLine="720"/>
              <w:jc w:val="both"/>
              <w:textAlignment w:val="baseline"/>
            </w:pPr>
            <w:r w:rsidRPr="0045389A">
              <w:t>2) publiskās pārvaldes pakalpojumu pilnveidošana, attīstot lietotājiem draudzīgus e-pakalpojumus;</w:t>
            </w:r>
          </w:p>
          <w:p w14:paraId="5D0E5F10" w14:textId="6EFFCBF9" w:rsidR="00D471E0" w:rsidRPr="0045389A" w:rsidRDefault="00D471E0" w:rsidP="00D471E0">
            <w:pPr>
              <w:overflowPunct w:val="0"/>
              <w:autoSpaceDE w:val="0"/>
              <w:autoSpaceDN w:val="0"/>
              <w:ind w:firstLine="720"/>
              <w:jc w:val="both"/>
              <w:textAlignment w:val="baseline"/>
              <w:rPr>
                <w:kern w:val="12"/>
              </w:rPr>
            </w:pPr>
            <w:r w:rsidRPr="0045389A">
              <w:t xml:space="preserve">3) </w:t>
            </w:r>
            <w:r w:rsidRPr="0045389A">
              <w:rPr>
                <w:kern w:val="12"/>
              </w:rPr>
              <w:t>informācijas noplūdes risku samazināšana, attīstot risinājumus, kas ierobežotu cilvēcisko faktoru valsts pārbaudījumu satura noplūdē valsts pārbaudījumu organizēšanas procesos.</w:t>
            </w:r>
          </w:p>
          <w:p w14:paraId="23F14B30" w14:textId="77777777" w:rsidR="00D471E0" w:rsidRPr="0045389A" w:rsidRDefault="00D471E0" w:rsidP="00D471E0">
            <w:pPr>
              <w:overflowPunct w:val="0"/>
              <w:autoSpaceDE w:val="0"/>
              <w:autoSpaceDN w:val="0"/>
              <w:jc w:val="both"/>
              <w:textAlignment w:val="baseline"/>
            </w:pPr>
          </w:p>
          <w:p w14:paraId="098F9DA2" w14:textId="1D3E808B" w:rsidR="00051BFA" w:rsidRPr="0045389A" w:rsidRDefault="00700BAB" w:rsidP="00700BAB">
            <w:pPr>
              <w:overflowPunct w:val="0"/>
              <w:autoSpaceDE w:val="0"/>
              <w:autoSpaceDN w:val="0"/>
              <w:jc w:val="both"/>
              <w:textAlignment w:val="baseline"/>
            </w:pPr>
            <w:r>
              <w:t>Rīkojuma projekts, paredz</w:t>
            </w:r>
            <w:r w:rsidR="00D471E0" w:rsidRPr="0045389A">
              <w:t xml:space="preserve"> 36 mēnešus aktivitāšu īstenošanai Projektā,</w:t>
            </w:r>
            <w:r>
              <w:t xml:space="preserve"> kas</w:t>
            </w:r>
            <w:r w:rsidR="00D471E0" w:rsidRPr="0045389A">
              <w:t xml:space="preserve"> neietekmēs tā sasniedzamos mērķus un iznākuma rādītājus, kā arī kopējo finansējuma apjomu.</w:t>
            </w:r>
          </w:p>
        </w:tc>
      </w:tr>
      <w:tr w:rsidR="000115B5" w:rsidRPr="0045389A" w14:paraId="098F9DA8" w14:textId="77777777" w:rsidTr="00E2556E">
        <w:trPr>
          <w:trHeight w:val="1000"/>
          <w:tblCellSpacing w:w="0" w:type="dxa"/>
        </w:trPr>
        <w:tc>
          <w:tcPr>
            <w:tcW w:w="762" w:type="dxa"/>
          </w:tcPr>
          <w:p w14:paraId="098F9DA4" w14:textId="18B7EC49" w:rsidR="000115B5" w:rsidRPr="0045389A" w:rsidRDefault="00681198" w:rsidP="008948F1">
            <w:pPr>
              <w:spacing w:before="120" w:after="120"/>
              <w:rPr>
                <w:lang w:eastAsia="en-US"/>
              </w:rPr>
            </w:pPr>
            <w:r w:rsidRPr="0045389A">
              <w:rPr>
                <w:lang w:eastAsia="en-US"/>
              </w:rPr>
              <w:lastRenderedPageBreak/>
              <w:t> 3.</w:t>
            </w:r>
          </w:p>
        </w:tc>
        <w:tc>
          <w:tcPr>
            <w:tcW w:w="1986" w:type="dxa"/>
          </w:tcPr>
          <w:p w14:paraId="098F9DA5" w14:textId="77777777" w:rsidR="000115B5" w:rsidRPr="0045389A" w:rsidRDefault="000115B5" w:rsidP="008948F1">
            <w:pPr>
              <w:spacing w:before="120" w:after="120"/>
              <w:rPr>
                <w:lang w:eastAsia="en-US"/>
              </w:rPr>
            </w:pPr>
            <w:r w:rsidRPr="0045389A">
              <w:rPr>
                <w:lang w:eastAsia="en-US"/>
              </w:rPr>
              <w:t>Projekta izstrādē iesaistītās institūcijas</w:t>
            </w:r>
          </w:p>
        </w:tc>
        <w:tc>
          <w:tcPr>
            <w:tcW w:w="7479" w:type="dxa"/>
          </w:tcPr>
          <w:p w14:paraId="098F9DA6" w14:textId="7DEA2326" w:rsidR="00AC1CF3" w:rsidRPr="0045389A" w:rsidRDefault="004E7E2E" w:rsidP="004E7E2E">
            <w:pPr>
              <w:spacing w:after="160" w:line="259" w:lineRule="auto"/>
              <w:contextualSpacing/>
              <w:jc w:val="both"/>
              <w:rPr>
                <w:rFonts w:eastAsia="PMingLiU"/>
              </w:rPr>
            </w:pPr>
            <w:r>
              <w:rPr>
                <w:rFonts w:eastAsia="PMingLiU"/>
              </w:rPr>
              <w:t>VARAM, FM, TM, LPS, LLPA</w:t>
            </w:r>
          </w:p>
          <w:p w14:paraId="098F9DA7" w14:textId="77777777" w:rsidR="00AC1CF3" w:rsidRPr="0045389A" w:rsidRDefault="00AC1CF3" w:rsidP="00FA7669">
            <w:pPr>
              <w:spacing w:before="120" w:after="120"/>
              <w:jc w:val="both"/>
            </w:pPr>
          </w:p>
        </w:tc>
      </w:tr>
      <w:tr w:rsidR="000115B5" w:rsidRPr="0045389A" w14:paraId="098F9DAE" w14:textId="77777777" w:rsidTr="008B3F52">
        <w:trPr>
          <w:tblCellSpacing w:w="0" w:type="dxa"/>
        </w:trPr>
        <w:tc>
          <w:tcPr>
            <w:tcW w:w="762" w:type="dxa"/>
          </w:tcPr>
          <w:p w14:paraId="098F9DA9" w14:textId="77777777" w:rsidR="000115B5" w:rsidRPr="0045389A" w:rsidRDefault="00681198" w:rsidP="008948F1">
            <w:pPr>
              <w:spacing w:before="120" w:after="120"/>
              <w:rPr>
                <w:lang w:eastAsia="en-US"/>
              </w:rPr>
            </w:pPr>
            <w:bookmarkStart w:id="1" w:name="_Hlk490484710"/>
            <w:r w:rsidRPr="0045389A">
              <w:rPr>
                <w:lang w:eastAsia="en-US"/>
              </w:rPr>
              <w:t> 4.</w:t>
            </w:r>
          </w:p>
        </w:tc>
        <w:tc>
          <w:tcPr>
            <w:tcW w:w="1986" w:type="dxa"/>
          </w:tcPr>
          <w:p w14:paraId="098F9DAA" w14:textId="77777777" w:rsidR="000115B5" w:rsidRPr="0045389A" w:rsidRDefault="000115B5" w:rsidP="008948F1">
            <w:pPr>
              <w:spacing w:before="120" w:after="120"/>
              <w:rPr>
                <w:lang w:eastAsia="en-US"/>
              </w:rPr>
            </w:pPr>
            <w:r w:rsidRPr="0045389A">
              <w:rPr>
                <w:lang w:eastAsia="en-US"/>
              </w:rPr>
              <w:t> Cita informācija</w:t>
            </w:r>
          </w:p>
        </w:tc>
        <w:tc>
          <w:tcPr>
            <w:tcW w:w="7479" w:type="dxa"/>
          </w:tcPr>
          <w:p w14:paraId="098F9DAB" w14:textId="77777777" w:rsidR="00C50AA1" w:rsidRPr="0045389A" w:rsidRDefault="00C50AA1" w:rsidP="00700BAB">
            <w:pPr>
              <w:tabs>
                <w:tab w:val="left" w:pos="0"/>
              </w:tabs>
              <w:jc w:val="both"/>
              <w:rPr>
                <w:szCs w:val="28"/>
              </w:rPr>
            </w:pPr>
            <w:r w:rsidRPr="0045389A">
              <w:rPr>
                <w:szCs w:val="28"/>
              </w:rPr>
              <w:t xml:space="preserve">Projekta ietvaros īstenotie pasākumi turpina </w:t>
            </w:r>
            <w:r w:rsidRPr="0045389A">
              <w:rPr>
                <w:sz w:val="20"/>
              </w:rPr>
              <w:t xml:space="preserve"> </w:t>
            </w:r>
            <w:r w:rsidRPr="0045389A">
              <w:rPr>
                <w:szCs w:val="28"/>
              </w:rPr>
              <w:t>projekta “Valsts pārbaudījumu informācijas sistēmas 2. kārta” (</w:t>
            </w:r>
            <w:r w:rsidR="009D23D8" w:rsidRPr="0045389A">
              <w:rPr>
                <w:szCs w:val="28"/>
              </w:rPr>
              <w:t xml:space="preserve">Eiropas Reģionālās attīstības </w:t>
            </w:r>
            <w:r w:rsidRPr="0045389A">
              <w:rPr>
                <w:szCs w:val="28"/>
              </w:rPr>
              <w:t>fonda darbības programmas “Infrastruktūra un pakalpojumi” papildinājuma 3.2.2.1.1. apakšaktivitātes “Informācijas sistēmu un elektronisko pakalpojumu attīstība” projekta “Valsts pārbaudījumu informācijas sistēmas 2. kārta”) ietvaros (</w:t>
            </w:r>
            <w:r w:rsidR="00C57137" w:rsidRPr="0045389A">
              <w:rPr>
                <w:szCs w:val="28"/>
              </w:rPr>
              <w:t>projekta Nr. 3DP/3.2.2.1.1/0</w:t>
            </w:r>
            <w:r w:rsidRPr="0045389A">
              <w:rPr>
                <w:szCs w:val="28"/>
              </w:rPr>
              <w:t>9/IPIA/IUMEPLS/020) ietvaros veiktos pasākumus, sniedzot šādu ieguldījumu specifiskā atbalsta mērķa rezultāta rādītājos:</w:t>
            </w:r>
          </w:p>
          <w:p w14:paraId="098F9DAC" w14:textId="77777777" w:rsidR="00C50AA1" w:rsidRPr="0045389A" w:rsidRDefault="00C50AA1" w:rsidP="00700BAB">
            <w:pPr>
              <w:tabs>
                <w:tab w:val="left" w:pos="0"/>
              </w:tabs>
              <w:jc w:val="both"/>
              <w:rPr>
                <w:szCs w:val="28"/>
              </w:rPr>
            </w:pPr>
            <w:r w:rsidRPr="0045389A">
              <w:rPr>
                <w:szCs w:val="28"/>
              </w:rPr>
              <w:t xml:space="preserve">Tiks palielināts iedzīvotāju, kas izmanto e-pakalpojumus sadarbībai ar valsts institūcijām un iesniedz veidlapas elektroniski, īpatsvars. Projekta ietvaros tiks izstrādāti e-pakalpojumi, kas ļaus iedzīvotājiem valsts pārvaldes pakalpojumu portālā </w:t>
            </w:r>
            <w:proofErr w:type="spellStart"/>
            <w:r w:rsidRPr="0045389A">
              <w:rPr>
                <w:szCs w:val="28"/>
              </w:rPr>
              <w:t>www.latvija.lv</w:t>
            </w:r>
            <w:proofErr w:type="spellEnd"/>
            <w:r w:rsidRPr="0045389A">
              <w:rPr>
                <w:szCs w:val="28"/>
              </w:rPr>
              <w:t xml:space="preserve"> pieteikties valsts valodas pārbaudījumu kārtošanai un apliecības par valsts valodas pārbaudījuma nokārtošanu, tai skaitā minētās apliecības dublikāta saņemšanai, veicot arī pakalpojuma apmaksu elektroniski, kā arī nodrošinās iespēju iegūt informāciju par valsts valodas pārbaudījumu rezultātiem. Atbilstoši rezultāta rādītājiem, ir plānots elektronisko iesniegumu īpatsvaru palielināt no pašlaik esošajiem 0% uz 50%.</w:t>
            </w:r>
          </w:p>
          <w:p w14:paraId="098F9DAD" w14:textId="77777777" w:rsidR="00D86AF3" w:rsidRPr="0045389A" w:rsidRDefault="00C50AA1" w:rsidP="00700BAB">
            <w:pPr>
              <w:tabs>
                <w:tab w:val="left" w:pos="0"/>
              </w:tabs>
              <w:jc w:val="both"/>
            </w:pPr>
            <w:r w:rsidRPr="0045389A">
              <w:rPr>
                <w:szCs w:val="28"/>
              </w:rPr>
              <w:t xml:space="preserve">Tiks sniegts ieguldījums Latvijas reitinga Eiropas Komisijas Komunikācijas tīklu, satura un tehnoloģiju ģenerāldirektorāta atbalstītās iniciatīvas </w:t>
            </w:r>
            <w:proofErr w:type="spellStart"/>
            <w:r w:rsidRPr="0045389A">
              <w:rPr>
                <w:i/>
                <w:iCs/>
                <w:szCs w:val="28"/>
              </w:rPr>
              <w:t>ePSIplatform</w:t>
            </w:r>
            <w:proofErr w:type="spellEnd"/>
            <w:r w:rsidRPr="0045389A">
              <w:rPr>
                <w:szCs w:val="28"/>
              </w:rPr>
              <w:t xml:space="preserve"> ietvaros veidotajā atkalizmantošanas indeksā </w:t>
            </w:r>
            <w:r w:rsidRPr="0045389A">
              <w:rPr>
                <w:i/>
                <w:iCs/>
                <w:szCs w:val="28"/>
              </w:rPr>
              <w:t xml:space="preserve">PSI </w:t>
            </w:r>
            <w:proofErr w:type="spellStart"/>
            <w:r w:rsidRPr="0045389A">
              <w:rPr>
                <w:i/>
                <w:iCs/>
                <w:szCs w:val="28"/>
              </w:rPr>
              <w:t>Scoreboard</w:t>
            </w:r>
            <w:proofErr w:type="spellEnd"/>
            <w:r w:rsidRPr="0045389A">
              <w:rPr>
                <w:szCs w:val="28"/>
              </w:rPr>
              <w:t xml:space="preserve"> – Projekta ietvaros Latvijas atvērto datu portālā </w:t>
            </w:r>
            <w:r w:rsidRPr="0045389A">
              <w:rPr>
                <w:rFonts w:eastAsia="PMingLiU"/>
                <w:szCs w:val="28"/>
              </w:rPr>
              <w:t xml:space="preserve">tiks publicētas 12 atvērto, </w:t>
            </w:r>
            <w:proofErr w:type="spellStart"/>
            <w:r w:rsidRPr="0045389A">
              <w:rPr>
                <w:rFonts w:eastAsia="PMingLiU"/>
                <w:szCs w:val="28"/>
              </w:rPr>
              <w:t>atkalizmantojamo</w:t>
            </w:r>
            <w:proofErr w:type="spellEnd"/>
            <w:r w:rsidRPr="0045389A">
              <w:rPr>
                <w:rFonts w:eastAsia="PMingLiU"/>
                <w:szCs w:val="28"/>
              </w:rPr>
              <w:t>, datu kopas.</w:t>
            </w:r>
          </w:p>
        </w:tc>
      </w:tr>
    </w:tbl>
    <w:bookmarkEnd w:id="1"/>
    <w:p w14:paraId="098F9DAF" w14:textId="77777777" w:rsidR="000115B5" w:rsidRPr="0045389A" w:rsidRDefault="000115B5" w:rsidP="008948F1">
      <w:pPr>
        <w:spacing w:before="120" w:after="120"/>
        <w:jc w:val="both"/>
        <w:rPr>
          <w:lang w:eastAsia="en-US"/>
        </w:rPr>
      </w:pPr>
      <w:r w:rsidRPr="0045389A">
        <w:rPr>
          <w:lang w:eastAsia="en-US"/>
        </w:rPr>
        <w:t> </w:t>
      </w:r>
    </w:p>
    <w:tbl>
      <w:tblPr>
        <w:tblW w:w="10246" w:type="dxa"/>
        <w:tblCellSpacing w:w="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2694"/>
        <w:gridCol w:w="6789"/>
      </w:tblGrid>
      <w:tr w:rsidR="00C04349" w:rsidRPr="0045389A" w14:paraId="098F9DB1" w14:textId="77777777" w:rsidTr="00FE7B2E">
        <w:trPr>
          <w:trHeight w:val="585"/>
          <w:tblCellSpacing w:w="0" w:type="dxa"/>
        </w:trPr>
        <w:tc>
          <w:tcPr>
            <w:tcW w:w="10246" w:type="dxa"/>
            <w:gridSpan w:val="3"/>
            <w:vAlign w:val="center"/>
          </w:tcPr>
          <w:p w14:paraId="098F9DB0" w14:textId="77777777" w:rsidR="00C04349" w:rsidRPr="0045389A" w:rsidRDefault="00C04349" w:rsidP="00FF1066">
            <w:pPr>
              <w:spacing w:before="120" w:after="120"/>
              <w:jc w:val="center"/>
              <w:rPr>
                <w:b/>
                <w:bCs/>
              </w:rPr>
            </w:pPr>
            <w:r w:rsidRPr="0045389A">
              <w:rPr>
                <w:b/>
                <w:bCs/>
              </w:rPr>
              <w:t xml:space="preserve"> II. Tiesību akta projekta ietekme uz sabiedrību, tautsaimniecības attīstību un administratīvo slogu </w:t>
            </w:r>
          </w:p>
        </w:tc>
      </w:tr>
      <w:tr w:rsidR="00C04349" w:rsidRPr="0045389A" w14:paraId="098F9DB5" w14:textId="77777777" w:rsidTr="00674DC3">
        <w:tblPrEx>
          <w:tblCellMar>
            <w:left w:w="57" w:type="dxa"/>
            <w:right w:w="57" w:type="dxa"/>
          </w:tblCellMar>
        </w:tblPrEx>
        <w:trPr>
          <w:trHeight w:val="1009"/>
          <w:tblCellSpacing w:w="0" w:type="dxa"/>
        </w:trPr>
        <w:tc>
          <w:tcPr>
            <w:tcW w:w="763" w:type="dxa"/>
            <w:shd w:val="clear" w:color="auto" w:fill="auto"/>
          </w:tcPr>
          <w:p w14:paraId="098F9DB2" w14:textId="77777777" w:rsidR="00C04349" w:rsidRPr="0045389A" w:rsidRDefault="00C04349" w:rsidP="00FF1066">
            <w:pPr>
              <w:spacing w:before="120" w:after="120"/>
              <w:rPr>
                <w:lang w:eastAsia="en-US"/>
              </w:rPr>
            </w:pPr>
            <w:r w:rsidRPr="0045389A">
              <w:rPr>
                <w:lang w:eastAsia="en-US"/>
              </w:rPr>
              <w:t>1.</w:t>
            </w:r>
          </w:p>
        </w:tc>
        <w:tc>
          <w:tcPr>
            <w:tcW w:w="2694" w:type="dxa"/>
            <w:shd w:val="clear" w:color="auto" w:fill="FFFFFF"/>
          </w:tcPr>
          <w:p w14:paraId="098F9DB3" w14:textId="77777777" w:rsidR="00C04349" w:rsidRPr="0045389A" w:rsidRDefault="00C04349" w:rsidP="00FF1066">
            <w:pPr>
              <w:spacing w:before="120" w:after="120"/>
              <w:rPr>
                <w:lang w:eastAsia="en-US"/>
              </w:rPr>
            </w:pPr>
            <w:r w:rsidRPr="0045389A">
              <w:rPr>
                <w:lang w:eastAsia="en-US"/>
              </w:rPr>
              <w:t>Sabiedrības mērķgrupas, kuras tiesiskais regulējums ietekmē vai varētu ietekmēt</w:t>
            </w:r>
          </w:p>
        </w:tc>
        <w:tc>
          <w:tcPr>
            <w:tcW w:w="6789" w:type="dxa"/>
            <w:shd w:val="clear" w:color="auto" w:fill="FFFFFF"/>
          </w:tcPr>
          <w:p w14:paraId="098F9DB4" w14:textId="77777777" w:rsidR="00C04349" w:rsidRPr="0045389A" w:rsidRDefault="00C04349" w:rsidP="00FF1066">
            <w:pPr>
              <w:pStyle w:val="naiskr"/>
              <w:spacing w:before="120" w:after="120"/>
              <w:jc w:val="both"/>
              <w:rPr>
                <w:lang w:eastAsia="en-US"/>
              </w:rPr>
            </w:pPr>
            <w:r w:rsidRPr="0045389A">
              <w:rPr>
                <w:shd w:val="clear" w:color="auto" w:fill="FFFFFF"/>
                <w:lang w:eastAsia="en-US"/>
              </w:rPr>
              <w:t>Iedzīvotāji, izglītojamie, pašvaldības</w:t>
            </w:r>
            <w:r w:rsidRPr="0045389A">
              <w:rPr>
                <w:lang w:eastAsia="en-US"/>
              </w:rPr>
              <w:t>.</w:t>
            </w:r>
          </w:p>
        </w:tc>
      </w:tr>
      <w:tr w:rsidR="00C04349" w:rsidRPr="0045389A" w14:paraId="098F9DB9" w14:textId="77777777" w:rsidTr="00FE7B2E">
        <w:tblPrEx>
          <w:tblCellMar>
            <w:left w:w="57" w:type="dxa"/>
            <w:right w:w="57" w:type="dxa"/>
          </w:tblCellMar>
        </w:tblPrEx>
        <w:trPr>
          <w:trHeight w:val="628"/>
          <w:tblCellSpacing w:w="0" w:type="dxa"/>
        </w:trPr>
        <w:tc>
          <w:tcPr>
            <w:tcW w:w="763" w:type="dxa"/>
          </w:tcPr>
          <w:p w14:paraId="098F9DB6" w14:textId="77777777" w:rsidR="00C04349" w:rsidRPr="0045389A" w:rsidRDefault="00C04349" w:rsidP="00FF1066">
            <w:pPr>
              <w:spacing w:before="120" w:after="120"/>
              <w:rPr>
                <w:lang w:eastAsia="en-US"/>
              </w:rPr>
            </w:pPr>
            <w:r w:rsidRPr="0045389A">
              <w:rPr>
                <w:lang w:eastAsia="en-US"/>
              </w:rPr>
              <w:t>2.</w:t>
            </w:r>
          </w:p>
        </w:tc>
        <w:tc>
          <w:tcPr>
            <w:tcW w:w="2694" w:type="dxa"/>
          </w:tcPr>
          <w:p w14:paraId="098F9DB7" w14:textId="77777777" w:rsidR="00C04349" w:rsidRPr="0045389A" w:rsidRDefault="00C04349" w:rsidP="00FF1066">
            <w:pPr>
              <w:spacing w:before="120" w:after="120"/>
              <w:rPr>
                <w:lang w:eastAsia="en-US"/>
              </w:rPr>
            </w:pPr>
            <w:r w:rsidRPr="0045389A">
              <w:rPr>
                <w:lang w:eastAsia="en-US"/>
              </w:rPr>
              <w:t>Tiesiskā regulējuma ietekme uz tautsaimniecību un administratīvo slogu</w:t>
            </w:r>
          </w:p>
        </w:tc>
        <w:tc>
          <w:tcPr>
            <w:tcW w:w="6789" w:type="dxa"/>
          </w:tcPr>
          <w:p w14:paraId="098F9DB8" w14:textId="77777777" w:rsidR="00C04349" w:rsidRPr="0045389A" w:rsidRDefault="00C04349" w:rsidP="00FF1066">
            <w:pPr>
              <w:pStyle w:val="VPNumbered"/>
              <w:numPr>
                <w:ilvl w:val="0"/>
                <w:numId w:val="0"/>
              </w:numPr>
              <w:tabs>
                <w:tab w:val="clear" w:pos="709"/>
                <w:tab w:val="left" w:pos="71"/>
              </w:tabs>
            </w:pPr>
            <w:r w:rsidRPr="0045389A">
              <w:t xml:space="preserve">Projekta īstenošanas rezultātā tiks veicināta valsts pārvaldes efektivitāte, pilnveidojot Izglītības un zinātnes ministrijas resora pamatdarbības procesus valsts pārbaudījumu organizēšanas procesā, piemēram, centralizēto eksāmenu, diagnosticējošo darbu, valsts valodas pārbaudījumu norises nodrošināšanā un to rezultātu pieejamības nodrošināšanā. </w:t>
            </w:r>
          </w:p>
        </w:tc>
      </w:tr>
      <w:tr w:rsidR="00C04349" w:rsidRPr="0045389A" w14:paraId="098F9DBD" w14:textId="77777777" w:rsidTr="00FE7B2E">
        <w:tblPrEx>
          <w:tblCellMar>
            <w:left w:w="57" w:type="dxa"/>
            <w:right w:w="57" w:type="dxa"/>
          </w:tblCellMar>
        </w:tblPrEx>
        <w:trPr>
          <w:tblCellSpacing w:w="0" w:type="dxa"/>
        </w:trPr>
        <w:tc>
          <w:tcPr>
            <w:tcW w:w="763" w:type="dxa"/>
          </w:tcPr>
          <w:p w14:paraId="098F9DBA" w14:textId="77777777" w:rsidR="00C04349" w:rsidRPr="0045389A" w:rsidRDefault="00C04349" w:rsidP="00FF1066">
            <w:pPr>
              <w:spacing w:before="120" w:after="120"/>
              <w:rPr>
                <w:lang w:eastAsia="en-US"/>
              </w:rPr>
            </w:pPr>
            <w:r w:rsidRPr="0045389A">
              <w:rPr>
                <w:lang w:eastAsia="en-US"/>
              </w:rPr>
              <w:t>3.</w:t>
            </w:r>
          </w:p>
        </w:tc>
        <w:tc>
          <w:tcPr>
            <w:tcW w:w="2694" w:type="dxa"/>
          </w:tcPr>
          <w:p w14:paraId="098F9DBB" w14:textId="77777777" w:rsidR="00C04349" w:rsidRPr="0045389A" w:rsidRDefault="00C04349" w:rsidP="00FF1066">
            <w:pPr>
              <w:spacing w:before="120" w:after="120"/>
              <w:rPr>
                <w:lang w:eastAsia="en-US"/>
              </w:rPr>
            </w:pPr>
            <w:r w:rsidRPr="0045389A">
              <w:rPr>
                <w:lang w:eastAsia="en-US"/>
              </w:rPr>
              <w:t>Administratīvo izmaksu monetārais novērtējums</w:t>
            </w:r>
          </w:p>
        </w:tc>
        <w:tc>
          <w:tcPr>
            <w:tcW w:w="6789" w:type="dxa"/>
          </w:tcPr>
          <w:p w14:paraId="098F9DBC" w14:textId="77777777" w:rsidR="00C04349" w:rsidRPr="0045389A" w:rsidRDefault="00C04349" w:rsidP="00FF1066">
            <w:pPr>
              <w:jc w:val="both"/>
              <w:rPr>
                <w:lang w:eastAsia="en-US"/>
              </w:rPr>
            </w:pPr>
            <w:r w:rsidRPr="0045389A">
              <w:t>Rīkojuma projekts šo jomu neskar.</w:t>
            </w:r>
          </w:p>
        </w:tc>
      </w:tr>
      <w:tr w:rsidR="00EE34B5" w:rsidRPr="0045389A" w14:paraId="098F9DC1" w14:textId="77777777" w:rsidTr="00FE7B2E">
        <w:tblPrEx>
          <w:tblCellMar>
            <w:left w:w="57" w:type="dxa"/>
            <w:right w:w="57" w:type="dxa"/>
          </w:tblCellMar>
        </w:tblPrEx>
        <w:trPr>
          <w:tblCellSpacing w:w="0" w:type="dxa"/>
        </w:trPr>
        <w:tc>
          <w:tcPr>
            <w:tcW w:w="763" w:type="dxa"/>
          </w:tcPr>
          <w:p w14:paraId="098F9DBE" w14:textId="77777777" w:rsidR="00EE34B5" w:rsidRPr="0045389A" w:rsidRDefault="00EE34B5" w:rsidP="00FF1066">
            <w:pPr>
              <w:spacing w:before="120" w:after="120"/>
              <w:rPr>
                <w:lang w:eastAsia="en-US"/>
              </w:rPr>
            </w:pPr>
            <w:r w:rsidRPr="0045389A">
              <w:rPr>
                <w:lang w:eastAsia="en-US"/>
              </w:rPr>
              <w:t>4.</w:t>
            </w:r>
          </w:p>
        </w:tc>
        <w:tc>
          <w:tcPr>
            <w:tcW w:w="2694" w:type="dxa"/>
          </w:tcPr>
          <w:p w14:paraId="098F9DBF" w14:textId="77777777" w:rsidR="00EE34B5" w:rsidRPr="0045389A" w:rsidRDefault="00920C8C" w:rsidP="00FF1066">
            <w:pPr>
              <w:spacing w:before="120" w:after="120"/>
              <w:rPr>
                <w:lang w:eastAsia="en-US"/>
              </w:rPr>
            </w:pPr>
            <w:r w:rsidRPr="0045389A">
              <w:rPr>
                <w:lang w:eastAsia="en-US"/>
              </w:rPr>
              <w:t>Atbilstības izmaksu monetārs novērtējums</w:t>
            </w:r>
          </w:p>
        </w:tc>
        <w:tc>
          <w:tcPr>
            <w:tcW w:w="6789" w:type="dxa"/>
          </w:tcPr>
          <w:p w14:paraId="098F9DC0" w14:textId="77777777" w:rsidR="00EE34B5" w:rsidRPr="0045389A" w:rsidRDefault="00920C8C" w:rsidP="00FF1066">
            <w:pPr>
              <w:jc w:val="both"/>
              <w:rPr>
                <w:lang w:eastAsia="en-US"/>
              </w:rPr>
            </w:pPr>
            <w:r w:rsidRPr="0045389A">
              <w:t>Rīkojuma projekts šo jomu neskar.</w:t>
            </w:r>
          </w:p>
        </w:tc>
      </w:tr>
      <w:tr w:rsidR="00C04349" w:rsidRPr="0045389A" w14:paraId="098F9DC5" w14:textId="77777777" w:rsidTr="00FE7B2E">
        <w:tblPrEx>
          <w:tblCellMar>
            <w:left w:w="57" w:type="dxa"/>
            <w:right w:w="57" w:type="dxa"/>
          </w:tblCellMar>
        </w:tblPrEx>
        <w:trPr>
          <w:tblCellSpacing w:w="0" w:type="dxa"/>
        </w:trPr>
        <w:tc>
          <w:tcPr>
            <w:tcW w:w="763" w:type="dxa"/>
          </w:tcPr>
          <w:p w14:paraId="098F9DC2" w14:textId="77777777" w:rsidR="00C04349" w:rsidRPr="0045389A" w:rsidRDefault="00EE34B5" w:rsidP="00FF1066">
            <w:pPr>
              <w:spacing w:before="120" w:after="120"/>
              <w:rPr>
                <w:lang w:eastAsia="en-US"/>
              </w:rPr>
            </w:pPr>
            <w:r w:rsidRPr="0045389A">
              <w:rPr>
                <w:lang w:eastAsia="en-US"/>
              </w:rPr>
              <w:t>5</w:t>
            </w:r>
            <w:r w:rsidR="00C04349" w:rsidRPr="0045389A">
              <w:rPr>
                <w:lang w:eastAsia="en-US"/>
              </w:rPr>
              <w:t>.</w:t>
            </w:r>
          </w:p>
        </w:tc>
        <w:tc>
          <w:tcPr>
            <w:tcW w:w="2694" w:type="dxa"/>
          </w:tcPr>
          <w:p w14:paraId="098F9DC3" w14:textId="77777777" w:rsidR="00C04349" w:rsidRPr="0045389A" w:rsidRDefault="00C04349" w:rsidP="00FF1066">
            <w:pPr>
              <w:spacing w:before="120" w:after="120"/>
              <w:rPr>
                <w:lang w:eastAsia="en-US"/>
              </w:rPr>
            </w:pPr>
            <w:r w:rsidRPr="0045389A">
              <w:rPr>
                <w:lang w:eastAsia="en-US"/>
              </w:rPr>
              <w:t>Cita informācija</w:t>
            </w:r>
          </w:p>
        </w:tc>
        <w:tc>
          <w:tcPr>
            <w:tcW w:w="6789" w:type="dxa"/>
          </w:tcPr>
          <w:p w14:paraId="098F9DC4" w14:textId="77777777" w:rsidR="00C04349" w:rsidRPr="0045389A" w:rsidRDefault="00C04349" w:rsidP="00FF1066">
            <w:pPr>
              <w:jc w:val="both"/>
              <w:rPr>
                <w:lang w:eastAsia="en-US"/>
              </w:rPr>
            </w:pPr>
            <w:r w:rsidRPr="0045389A">
              <w:rPr>
                <w:lang w:eastAsia="en-US"/>
              </w:rPr>
              <w:t xml:space="preserve">Nav. </w:t>
            </w:r>
          </w:p>
        </w:tc>
      </w:tr>
    </w:tbl>
    <w:p w14:paraId="098F9DC6" w14:textId="77777777" w:rsidR="00C04349" w:rsidRPr="0045389A" w:rsidRDefault="00C04349" w:rsidP="008948F1">
      <w:pPr>
        <w:spacing w:before="120" w:after="120"/>
        <w:jc w:val="both"/>
        <w:rPr>
          <w:lang w:eastAsia="en-US"/>
        </w:rPr>
      </w:pPr>
    </w:p>
    <w:p w14:paraId="098F9DC7" w14:textId="77777777" w:rsidR="00A85586" w:rsidRPr="0045389A" w:rsidRDefault="00A85586" w:rsidP="00A85586">
      <w:pPr>
        <w:rPr>
          <w:vanish/>
        </w:rPr>
      </w:pPr>
    </w:p>
    <w:tbl>
      <w:tblPr>
        <w:tblW w:w="57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2"/>
        <w:gridCol w:w="1215"/>
        <w:gridCol w:w="1457"/>
        <w:gridCol w:w="45"/>
        <w:gridCol w:w="919"/>
        <w:gridCol w:w="1457"/>
        <w:gridCol w:w="53"/>
        <w:gridCol w:w="1404"/>
        <w:gridCol w:w="29"/>
      </w:tblGrid>
      <w:tr w:rsidR="00A30BAC" w:rsidRPr="0045389A" w14:paraId="098F9DC9" w14:textId="77777777" w:rsidTr="00E228DC">
        <w:tc>
          <w:tcPr>
            <w:tcW w:w="5000" w:type="pct"/>
            <w:gridSpan w:val="11"/>
            <w:shd w:val="clear" w:color="auto" w:fill="auto"/>
            <w:hideMark/>
          </w:tcPr>
          <w:p w14:paraId="098F9DC8" w14:textId="77777777" w:rsidR="00A30BAC" w:rsidRPr="0045389A" w:rsidRDefault="003D3669" w:rsidP="00A85586">
            <w:pPr>
              <w:spacing w:before="120"/>
              <w:rPr>
                <w:b/>
                <w:bCs/>
                <w:iCs/>
              </w:rPr>
            </w:pPr>
            <w:r w:rsidRPr="0045389A">
              <w:br w:type="page"/>
            </w:r>
            <w:r w:rsidR="00A30BAC" w:rsidRPr="0045389A">
              <w:t> </w:t>
            </w:r>
            <w:r w:rsidR="00A30BAC" w:rsidRPr="0045389A">
              <w:rPr>
                <w:b/>
                <w:bCs/>
                <w:iCs/>
              </w:rPr>
              <w:t>III. Tiesību akta projekta ietekme uz valsts budžetu un pašvaldību budžetiem</w:t>
            </w:r>
          </w:p>
        </w:tc>
      </w:tr>
      <w:tr w:rsidR="00A30BAC" w:rsidRPr="0045389A" w14:paraId="098F9DCD" w14:textId="77777777" w:rsidTr="00E228DC">
        <w:tc>
          <w:tcPr>
            <w:tcW w:w="814" w:type="pct"/>
            <w:vMerge w:val="restart"/>
            <w:shd w:val="clear" w:color="auto" w:fill="auto"/>
            <w:hideMark/>
          </w:tcPr>
          <w:p w14:paraId="098F9DCA" w14:textId="77777777" w:rsidR="00A30BAC" w:rsidRPr="0045389A" w:rsidRDefault="00A30BAC" w:rsidP="00A85586">
            <w:pPr>
              <w:spacing w:before="120"/>
              <w:rPr>
                <w:iCs/>
              </w:rPr>
            </w:pPr>
            <w:r w:rsidRPr="0045389A">
              <w:rPr>
                <w:iCs/>
              </w:rPr>
              <w:t>Rādītāji</w:t>
            </w:r>
          </w:p>
        </w:tc>
        <w:tc>
          <w:tcPr>
            <w:tcW w:w="1052" w:type="pct"/>
            <w:gridSpan w:val="2"/>
            <w:vMerge w:val="restart"/>
            <w:shd w:val="clear" w:color="auto" w:fill="auto"/>
            <w:hideMark/>
          </w:tcPr>
          <w:p w14:paraId="098F9DCB" w14:textId="1172F89E" w:rsidR="00A30BAC" w:rsidRPr="0045389A" w:rsidRDefault="00A30BAC" w:rsidP="00A85586">
            <w:pPr>
              <w:spacing w:before="120"/>
              <w:rPr>
                <w:iCs/>
              </w:rPr>
            </w:pPr>
            <w:r w:rsidRPr="0045389A">
              <w:rPr>
                <w:iCs/>
              </w:rPr>
              <w:t>20</w:t>
            </w:r>
            <w:r w:rsidR="00143468">
              <w:rPr>
                <w:iCs/>
              </w:rPr>
              <w:t>20</w:t>
            </w:r>
            <w:r w:rsidRPr="0045389A">
              <w:rPr>
                <w:iCs/>
              </w:rPr>
              <w:t>. gads</w:t>
            </w:r>
          </w:p>
        </w:tc>
        <w:tc>
          <w:tcPr>
            <w:tcW w:w="3130" w:type="pct"/>
            <w:gridSpan w:val="8"/>
            <w:shd w:val="clear" w:color="auto" w:fill="auto"/>
            <w:hideMark/>
          </w:tcPr>
          <w:p w14:paraId="098F9DCC" w14:textId="77777777" w:rsidR="00A30BAC" w:rsidRPr="0045389A" w:rsidRDefault="00A30BAC" w:rsidP="00A85586">
            <w:pPr>
              <w:spacing w:before="120"/>
              <w:rPr>
                <w:iCs/>
              </w:rPr>
            </w:pPr>
            <w:r w:rsidRPr="0045389A">
              <w:rPr>
                <w:iCs/>
              </w:rPr>
              <w:t>Turpmākie trīs gadi (</w:t>
            </w:r>
            <w:proofErr w:type="spellStart"/>
            <w:r w:rsidRPr="0045389A">
              <w:rPr>
                <w:i/>
                <w:iCs/>
              </w:rPr>
              <w:t>euro</w:t>
            </w:r>
            <w:proofErr w:type="spellEnd"/>
            <w:r w:rsidRPr="0045389A">
              <w:rPr>
                <w:iCs/>
              </w:rPr>
              <w:t>)</w:t>
            </w:r>
          </w:p>
        </w:tc>
      </w:tr>
      <w:tr w:rsidR="00A30BAC" w:rsidRPr="0045389A" w14:paraId="098F9DD3" w14:textId="77777777" w:rsidTr="00E228DC">
        <w:tc>
          <w:tcPr>
            <w:tcW w:w="814" w:type="pct"/>
            <w:vMerge/>
            <w:shd w:val="clear" w:color="auto" w:fill="auto"/>
            <w:hideMark/>
          </w:tcPr>
          <w:p w14:paraId="098F9DCE" w14:textId="77777777" w:rsidR="00A30BAC" w:rsidRPr="0045389A" w:rsidRDefault="00A30BAC" w:rsidP="00A85586">
            <w:pPr>
              <w:spacing w:before="120"/>
              <w:rPr>
                <w:iCs/>
              </w:rPr>
            </w:pPr>
          </w:p>
        </w:tc>
        <w:tc>
          <w:tcPr>
            <w:tcW w:w="1052" w:type="pct"/>
            <w:gridSpan w:val="2"/>
            <w:vMerge/>
            <w:shd w:val="clear" w:color="auto" w:fill="auto"/>
            <w:hideMark/>
          </w:tcPr>
          <w:p w14:paraId="098F9DCF" w14:textId="77777777" w:rsidR="00A30BAC" w:rsidRPr="0045389A" w:rsidRDefault="00A30BAC" w:rsidP="00A85586">
            <w:pPr>
              <w:spacing w:before="120"/>
              <w:rPr>
                <w:iCs/>
              </w:rPr>
            </w:pPr>
          </w:p>
        </w:tc>
        <w:tc>
          <w:tcPr>
            <w:tcW w:w="1294" w:type="pct"/>
            <w:gridSpan w:val="3"/>
            <w:shd w:val="clear" w:color="auto" w:fill="auto"/>
            <w:hideMark/>
          </w:tcPr>
          <w:p w14:paraId="098F9DD0" w14:textId="13C6F247" w:rsidR="00A30BAC" w:rsidRPr="0045389A" w:rsidRDefault="00A30BAC" w:rsidP="00A85586">
            <w:pPr>
              <w:spacing w:before="120"/>
              <w:rPr>
                <w:iCs/>
              </w:rPr>
            </w:pPr>
            <w:r w:rsidRPr="0045389A">
              <w:rPr>
                <w:iCs/>
              </w:rPr>
              <w:t>20</w:t>
            </w:r>
            <w:r w:rsidR="004E220A" w:rsidRPr="0045389A">
              <w:rPr>
                <w:iCs/>
              </w:rPr>
              <w:t>2</w:t>
            </w:r>
            <w:r w:rsidR="00143468">
              <w:rPr>
                <w:iCs/>
              </w:rPr>
              <w:t>1</w:t>
            </w:r>
            <w:r w:rsidRPr="0045389A">
              <w:rPr>
                <w:iCs/>
              </w:rPr>
              <w:t>. gads</w:t>
            </w:r>
          </w:p>
        </w:tc>
        <w:tc>
          <w:tcPr>
            <w:tcW w:w="1157" w:type="pct"/>
            <w:gridSpan w:val="3"/>
            <w:shd w:val="clear" w:color="auto" w:fill="auto"/>
            <w:hideMark/>
          </w:tcPr>
          <w:p w14:paraId="098F9DD1" w14:textId="635BF791" w:rsidR="00A30BAC" w:rsidRPr="0045389A" w:rsidRDefault="00A30BAC" w:rsidP="00A85586">
            <w:pPr>
              <w:spacing w:before="120"/>
              <w:rPr>
                <w:iCs/>
              </w:rPr>
            </w:pPr>
            <w:r w:rsidRPr="0045389A">
              <w:rPr>
                <w:iCs/>
              </w:rPr>
              <w:t>202</w:t>
            </w:r>
            <w:r w:rsidR="00143468">
              <w:rPr>
                <w:iCs/>
              </w:rPr>
              <w:t>2</w:t>
            </w:r>
            <w:r w:rsidRPr="0045389A">
              <w:rPr>
                <w:iCs/>
              </w:rPr>
              <w:t>. gads</w:t>
            </w:r>
          </w:p>
        </w:tc>
        <w:tc>
          <w:tcPr>
            <w:tcW w:w="679" w:type="pct"/>
            <w:gridSpan w:val="2"/>
            <w:shd w:val="clear" w:color="auto" w:fill="auto"/>
            <w:hideMark/>
          </w:tcPr>
          <w:p w14:paraId="098F9DD2" w14:textId="2F9D5B7C" w:rsidR="00A30BAC" w:rsidRPr="0045389A" w:rsidRDefault="00A30BAC" w:rsidP="00A85586">
            <w:pPr>
              <w:spacing w:before="120"/>
              <w:rPr>
                <w:iCs/>
              </w:rPr>
            </w:pPr>
            <w:r w:rsidRPr="0045389A">
              <w:rPr>
                <w:iCs/>
              </w:rPr>
              <w:t>202</w:t>
            </w:r>
            <w:r w:rsidR="00143468">
              <w:rPr>
                <w:iCs/>
              </w:rPr>
              <w:t>3</w:t>
            </w:r>
            <w:r w:rsidRPr="0045389A">
              <w:rPr>
                <w:iCs/>
              </w:rPr>
              <w:t>. gads</w:t>
            </w:r>
          </w:p>
        </w:tc>
      </w:tr>
      <w:tr w:rsidR="00E228DC" w:rsidRPr="0045389A" w14:paraId="098F9DDC" w14:textId="77777777" w:rsidTr="00E228DC">
        <w:trPr>
          <w:gridAfter w:val="1"/>
          <w:wAfter w:w="14" w:type="pct"/>
        </w:trPr>
        <w:tc>
          <w:tcPr>
            <w:tcW w:w="814" w:type="pct"/>
            <w:vMerge/>
            <w:shd w:val="clear" w:color="auto" w:fill="auto"/>
            <w:hideMark/>
          </w:tcPr>
          <w:p w14:paraId="098F9DD4" w14:textId="77777777" w:rsidR="00A30BAC" w:rsidRPr="0045389A" w:rsidRDefault="00A30BAC" w:rsidP="00A85586">
            <w:pPr>
              <w:spacing w:before="120"/>
              <w:rPr>
                <w:iCs/>
              </w:rPr>
            </w:pPr>
          </w:p>
        </w:tc>
        <w:tc>
          <w:tcPr>
            <w:tcW w:w="503" w:type="pct"/>
            <w:shd w:val="clear" w:color="auto" w:fill="auto"/>
            <w:hideMark/>
          </w:tcPr>
          <w:p w14:paraId="098F9DD5" w14:textId="77777777" w:rsidR="00A30BAC" w:rsidRPr="0045389A" w:rsidRDefault="00A30BAC" w:rsidP="00A85586">
            <w:pPr>
              <w:spacing w:before="120"/>
              <w:rPr>
                <w:iCs/>
              </w:rPr>
            </w:pPr>
            <w:r w:rsidRPr="0045389A">
              <w:rPr>
                <w:iCs/>
              </w:rPr>
              <w:t>saskaņā ar valsts budžetu kārtējam gadam</w:t>
            </w:r>
          </w:p>
        </w:tc>
        <w:tc>
          <w:tcPr>
            <w:tcW w:w="549" w:type="pct"/>
            <w:shd w:val="clear" w:color="auto" w:fill="auto"/>
            <w:hideMark/>
          </w:tcPr>
          <w:p w14:paraId="098F9DD6" w14:textId="77777777" w:rsidR="00A30BAC" w:rsidRPr="0045389A" w:rsidRDefault="00A30BAC" w:rsidP="00A85586">
            <w:pPr>
              <w:spacing w:before="120"/>
              <w:rPr>
                <w:iCs/>
              </w:rPr>
            </w:pPr>
            <w:r w:rsidRPr="0045389A">
              <w:rPr>
                <w:iCs/>
              </w:rPr>
              <w:t>izmaiņas kārtējā gadā, salīdzinot ar valsts budžetu kārtējam gadam</w:t>
            </w:r>
          </w:p>
        </w:tc>
        <w:tc>
          <w:tcPr>
            <w:tcW w:w="579" w:type="pct"/>
            <w:shd w:val="clear" w:color="auto" w:fill="auto"/>
            <w:hideMark/>
          </w:tcPr>
          <w:p w14:paraId="098F9DD7" w14:textId="77777777" w:rsidR="00A30BAC" w:rsidRPr="0045389A" w:rsidRDefault="00A30BAC" w:rsidP="00A85586">
            <w:pPr>
              <w:spacing w:before="120"/>
              <w:rPr>
                <w:iCs/>
              </w:rPr>
            </w:pPr>
            <w:r w:rsidRPr="0045389A">
              <w:rPr>
                <w:iCs/>
              </w:rPr>
              <w:t>saskaņā ar vidēja termiņa budžeta ietvaru</w:t>
            </w:r>
          </w:p>
        </w:tc>
        <w:tc>
          <w:tcPr>
            <w:tcW w:w="694" w:type="pct"/>
            <w:shd w:val="clear" w:color="auto" w:fill="auto"/>
            <w:hideMark/>
          </w:tcPr>
          <w:p w14:paraId="098F9DD8" w14:textId="21AA0A3B" w:rsidR="00A30BAC" w:rsidRPr="0045389A" w:rsidRDefault="00A30BAC" w:rsidP="00A85586">
            <w:pPr>
              <w:spacing w:before="120"/>
              <w:rPr>
                <w:iCs/>
              </w:rPr>
            </w:pPr>
            <w:r w:rsidRPr="0045389A">
              <w:rPr>
                <w:iCs/>
              </w:rPr>
              <w:t>izmaiņas, salīdzinot ar vidēja termiņa budžeta ietvaru 20</w:t>
            </w:r>
            <w:r w:rsidR="004E220A" w:rsidRPr="0045389A">
              <w:rPr>
                <w:iCs/>
              </w:rPr>
              <w:t>2</w:t>
            </w:r>
            <w:r w:rsidR="00143468">
              <w:rPr>
                <w:iCs/>
              </w:rPr>
              <w:t>1</w:t>
            </w:r>
            <w:r w:rsidRPr="0045389A">
              <w:rPr>
                <w:iCs/>
              </w:rPr>
              <w:t>.</w:t>
            </w:r>
            <w:r w:rsidR="00FD0694" w:rsidRPr="0045389A">
              <w:rPr>
                <w:iCs/>
              </w:rPr>
              <w:t> </w:t>
            </w:r>
            <w:r w:rsidRPr="0045389A">
              <w:rPr>
                <w:iCs/>
              </w:rPr>
              <w:t>gadam</w:t>
            </w:r>
          </w:p>
        </w:tc>
        <w:tc>
          <w:tcPr>
            <w:tcW w:w="459" w:type="pct"/>
            <w:gridSpan w:val="2"/>
            <w:shd w:val="clear" w:color="auto" w:fill="auto"/>
            <w:hideMark/>
          </w:tcPr>
          <w:p w14:paraId="098F9DD9" w14:textId="77777777" w:rsidR="00A30BAC" w:rsidRPr="0045389A" w:rsidRDefault="00A30BAC" w:rsidP="00A85586">
            <w:pPr>
              <w:spacing w:before="120"/>
              <w:rPr>
                <w:iCs/>
              </w:rPr>
            </w:pPr>
            <w:r w:rsidRPr="0045389A">
              <w:rPr>
                <w:iCs/>
              </w:rPr>
              <w:t>saskaņā ar vidēja termiņa budžeta ietvaru</w:t>
            </w:r>
          </w:p>
        </w:tc>
        <w:tc>
          <w:tcPr>
            <w:tcW w:w="694" w:type="pct"/>
            <w:shd w:val="clear" w:color="auto" w:fill="auto"/>
            <w:hideMark/>
          </w:tcPr>
          <w:p w14:paraId="098F9DDA" w14:textId="17B81AE4" w:rsidR="00A30BAC" w:rsidRPr="0045389A" w:rsidRDefault="00A30BAC" w:rsidP="00A85586">
            <w:pPr>
              <w:spacing w:before="120"/>
              <w:rPr>
                <w:iCs/>
              </w:rPr>
            </w:pPr>
            <w:r w:rsidRPr="0045389A">
              <w:rPr>
                <w:iCs/>
              </w:rPr>
              <w:t>izmaiņas, salīdzinot ar vidēja termiņa budžeta ietvaru 202</w:t>
            </w:r>
            <w:r w:rsidR="00143468">
              <w:rPr>
                <w:iCs/>
              </w:rPr>
              <w:t>2</w:t>
            </w:r>
            <w:r w:rsidRPr="0045389A">
              <w:rPr>
                <w:iCs/>
              </w:rPr>
              <w:t>.</w:t>
            </w:r>
            <w:r w:rsidR="00FD0694" w:rsidRPr="0045389A">
              <w:rPr>
                <w:iCs/>
              </w:rPr>
              <w:t> </w:t>
            </w:r>
            <w:r w:rsidRPr="0045389A">
              <w:rPr>
                <w:iCs/>
              </w:rPr>
              <w:t>gadam</w:t>
            </w:r>
          </w:p>
        </w:tc>
        <w:tc>
          <w:tcPr>
            <w:tcW w:w="694" w:type="pct"/>
            <w:gridSpan w:val="2"/>
            <w:shd w:val="clear" w:color="auto" w:fill="auto"/>
            <w:hideMark/>
          </w:tcPr>
          <w:p w14:paraId="098F9DDB" w14:textId="11336CA7" w:rsidR="00A30BAC" w:rsidRPr="0045389A" w:rsidRDefault="00A30BAC" w:rsidP="00634ABC">
            <w:pPr>
              <w:spacing w:before="120"/>
              <w:rPr>
                <w:iCs/>
              </w:rPr>
            </w:pPr>
            <w:r w:rsidRPr="0045389A">
              <w:rPr>
                <w:iCs/>
              </w:rPr>
              <w:t>izmaiņas, salīdzinot ar vidēja termiņa budžeta ietvaru 202</w:t>
            </w:r>
            <w:r w:rsidR="00634ABC">
              <w:rPr>
                <w:iCs/>
              </w:rPr>
              <w:t>2</w:t>
            </w:r>
            <w:r w:rsidRPr="0045389A">
              <w:rPr>
                <w:iCs/>
              </w:rPr>
              <w:t>.</w:t>
            </w:r>
            <w:r w:rsidR="00FD0694" w:rsidRPr="0045389A">
              <w:rPr>
                <w:iCs/>
              </w:rPr>
              <w:t> </w:t>
            </w:r>
            <w:r w:rsidRPr="0045389A">
              <w:rPr>
                <w:iCs/>
              </w:rPr>
              <w:t>gadam</w:t>
            </w:r>
          </w:p>
        </w:tc>
      </w:tr>
      <w:tr w:rsidR="00E228DC" w:rsidRPr="0045389A" w14:paraId="098F9DE5" w14:textId="77777777" w:rsidTr="00E228DC">
        <w:trPr>
          <w:gridAfter w:val="1"/>
          <w:wAfter w:w="14" w:type="pct"/>
        </w:trPr>
        <w:tc>
          <w:tcPr>
            <w:tcW w:w="814" w:type="pct"/>
            <w:shd w:val="clear" w:color="auto" w:fill="auto"/>
            <w:hideMark/>
          </w:tcPr>
          <w:p w14:paraId="098F9DDD" w14:textId="77777777" w:rsidR="00A30BAC" w:rsidRPr="0045389A" w:rsidRDefault="00A30BAC" w:rsidP="00501284">
            <w:pPr>
              <w:spacing w:before="120"/>
              <w:jc w:val="center"/>
              <w:rPr>
                <w:iCs/>
              </w:rPr>
            </w:pPr>
            <w:r w:rsidRPr="0045389A">
              <w:rPr>
                <w:iCs/>
              </w:rPr>
              <w:t>1</w:t>
            </w:r>
          </w:p>
        </w:tc>
        <w:tc>
          <w:tcPr>
            <w:tcW w:w="503" w:type="pct"/>
            <w:shd w:val="clear" w:color="auto" w:fill="auto"/>
            <w:hideMark/>
          </w:tcPr>
          <w:p w14:paraId="098F9DDE" w14:textId="77777777" w:rsidR="00A30BAC" w:rsidRPr="0045389A" w:rsidRDefault="00A30BAC" w:rsidP="00501284">
            <w:pPr>
              <w:spacing w:before="120"/>
              <w:jc w:val="center"/>
              <w:rPr>
                <w:iCs/>
              </w:rPr>
            </w:pPr>
            <w:r w:rsidRPr="0045389A">
              <w:rPr>
                <w:iCs/>
              </w:rPr>
              <w:t>2</w:t>
            </w:r>
          </w:p>
        </w:tc>
        <w:tc>
          <w:tcPr>
            <w:tcW w:w="549" w:type="pct"/>
            <w:shd w:val="clear" w:color="auto" w:fill="auto"/>
            <w:hideMark/>
          </w:tcPr>
          <w:p w14:paraId="098F9DDF" w14:textId="77777777" w:rsidR="00A30BAC" w:rsidRPr="0045389A" w:rsidRDefault="00A30BAC" w:rsidP="00501284">
            <w:pPr>
              <w:spacing w:before="120"/>
              <w:jc w:val="center"/>
              <w:rPr>
                <w:iCs/>
              </w:rPr>
            </w:pPr>
            <w:r w:rsidRPr="0045389A">
              <w:rPr>
                <w:iCs/>
              </w:rPr>
              <w:t>3</w:t>
            </w:r>
          </w:p>
        </w:tc>
        <w:tc>
          <w:tcPr>
            <w:tcW w:w="579" w:type="pct"/>
            <w:shd w:val="clear" w:color="auto" w:fill="auto"/>
            <w:hideMark/>
          </w:tcPr>
          <w:p w14:paraId="098F9DE0" w14:textId="77777777" w:rsidR="00A30BAC" w:rsidRPr="0045389A" w:rsidRDefault="00A30BAC" w:rsidP="00501284">
            <w:pPr>
              <w:spacing w:before="120"/>
              <w:jc w:val="center"/>
              <w:rPr>
                <w:iCs/>
              </w:rPr>
            </w:pPr>
            <w:r w:rsidRPr="0045389A">
              <w:rPr>
                <w:iCs/>
              </w:rPr>
              <w:t>4</w:t>
            </w:r>
          </w:p>
        </w:tc>
        <w:tc>
          <w:tcPr>
            <w:tcW w:w="694" w:type="pct"/>
            <w:shd w:val="clear" w:color="auto" w:fill="auto"/>
            <w:hideMark/>
          </w:tcPr>
          <w:p w14:paraId="098F9DE1" w14:textId="77777777" w:rsidR="00A30BAC" w:rsidRPr="0045389A" w:rsidRDefault="00A30BAC" w:rsidP="00501284">
            <w:pPr>
              <w:spacing w:before="120"/>
              <w:jc w:val="center"/>
              <w:rPr>
                <w:iCs/>
              </w:rPr>
            </w:pPr>
            <w:r w:rsidRPr="0045389A">
              <w:rPr>
                <w:iCs/>
              </w:rPr>
              <w:t>5</w:t>
            </w:r>
          </w:p>
        </w:tc>
        <w:tc>
          <w:tcPr>
            <w:tcW w:w="459" w:type="pct"/>
            <w:gridSpan w:val="2"/>
            <w:shd w:val="clear" w:color="auto" w:fill="auto"/>
            <w:hideMark/>
          </w:tcPr>
          <w:p w14:paraId="098F9DE2" w14:textId="77777777" w:rsidR="00A30BAC" w:rsidRPr="0045389A" w:rsidRDefault="00A30BAC" w:rsidP="00501284">
            <w:pPr>
              <w:spacing w:before="120"/>
              <w:jc w:val="center"/>
              <w:rPr>
                <w:iCs/>
              </w:rPr>
            </w:pPr>
            <w:r w:rsidRPr="0045389A">
              <w:rPr>
                <w:iCs/>
              </w:rPr>
              <w:t>6</w:t>
            </w:r>
          </w:p>
        </w:tc>
        <w:tc>
          <w:tcPr>
            <w:tcW w:w="694" w:type="pct"/>
            <w:shd w:val="clear" w:color="auto" w:fill="auto"/>
            <w:hideMark/>
          </w:tcPr>
          <w:p w14:paraId="098F9DE3" w14:textId="77777777" w:rsidR="00A30BAC" w:rsidRPr="0045389A" w:rsidRDefault="00A30BAC" w:rsidP="00501284">
            <w:pPr>
              <w:spacing w:before="120"/>
              <w:jc w:val="center"/>
              <w:rPr>
                <w:iCs/>
              </w:rPr>
            </w:pPr>
            <w:r w:rsidRPr="0045389A">
              <w:rPr>
                <w:iCs/>
              </w:rPr>
              <w:t>7</w:t>
            </w:r>
          </w:p>
        </w:tc>
        <w:tc>
          <w:tcPr>
            <w:tcW w:w="694" w:type="pct"/>
            <w:gridSpan w:val="2"/>
            <w:shd w:val="clear" w:color="auto" w:fill="auto"/>
            <w:hideMark/>
          </w:tcPr>
          <w:p w14:paraId="098F9DE4" w14:textId="77777777" w:rsidR="00A30BAC" w:rsidRPr="0045389A" w:rsidRDefault="00A30BAC" w:rsidP="00501284">
            <w:pPr>
              <w:spacing w:before="120"/>
              <w:jc w:val="center"/>
              <w:rPr>
                <w:iCs/>
              </w:rPr>
            </w:pPr>
            <w:r w:rsidRPr="0045389A">
              <w:rPr>
                <w:iCs/>
              </w:rPr>
              <w:t>8</w:t>
            </w:r>
          </w:p>
        </w:tc>
      </w:tr>
      <w:tr w:rsidR="00E228DC" w:rsidRPr="0045389A" w14:paraId="098F9DEE" w14:textId="77777777" w:rsidTr="00E228DC">
        <w:trPr>
          <w:gridAfter w:val="1"/>
          <w:wAfter w:w="14" w:type="pct"/>
        </w:trPr>
        <w:tc>
          <w:tcPr>
            <w:tcW w:w="814" w:type="pct"/>
            <w:shd w:val="clear" w:color="auto" w:fill="auto"/>
            <w:hideMark/>
          </w:tcPr>
          <w:p w14:paraId="098F9DE6" w14:textId="77777777" w:rsidR="00501284" w:rsidRPr="0045389A" w:rsidRDefault="00501284" w:rsidP="00501284">
            <w:pPr>
              <w:spacing w:before="120"/>
              <w:rPr>
                <w:iCs/>
              </w:rPr>
            </w:pPr>
            <w:r w:rsidRPr="0045389A">
              <w:rPr>
                <w:iCs/>
              </w:rPr>
              <w:t>1. Budžeta ieņēmumi</w:t>
            </w:r>
          </w:p>
        </w:tc>
        <w:tc>
          <w:tcPr>
            <w:tcW w:w="503" w:type="pct"/>
            <w:shd w:val="clear" w:color="auto" w:fill="auto"/>
          </w:tcPr>
          <w:p w14:paraId="098F9DE7" w14:textId="7FA8A392" w:rsidR="00501284" w:rsidRPr="00E228DC" w:rsidRDefault="00E228DC" w:rsidP="00E228DC">
            <w:pPr>
              <w:spacing w:before="120"/>
              <w:jc w:val="center"/>
              <w:rPr>
                <w:iCs/>
                <w:sz w:val="22"/>
                <w:szCs w:val="22"/>
              </w:rPr>
            </w:pPr>
            <w:r w:rsidRPr="00E228DC">
              <w:rPr>
                <w:iCs/>
                <w:sz w:val="22"/>
                <w:szCs w:val="22"/>
              </w:rPr>
              <w:t>168 768</w:t>
            </w:r>
          </w:p>
        </w:tc>
        <w:tc>
          <w:tcPr>
            <w:tcW w:w="549" w:type="pct"/>
            <w:shd w:val="clear" w:color="auto" w:fill="auto"/>
          </w:tcPr>
          <w:p w14:paraId="098F9DE8" w14:textId="593BBD51" w:rsidR="00501284" w:rsidRPr="00E228DC" w:rsidRDefault="00E228DC" w:rsidP="00E228DC">
            <w:pPr>
              <w:spacing w:before="120"/>
              <w:rPr>
                <w:bCs/>
                <w:sz w:val="22"/>
                <w:szCs w:val="22"/>
              </w:rPr>
            </w:pPr>
            <w:r w:rsidRPr="00E228DC">
              <w:rPr>
                <w:bCs/>
                <w:sz w:val="22"/>
                <w:szCs w:val="22"/>
              </w:rPr>
              <w:t>-40 915</w:t>
            </w:r>
          </w:p>
        </w:tc>
        <w:tc>
          <w:tcPr>
            <w:tcW w:w="579" w:type="pct"/>
            <w:shd w:val="clear" w:color="auto" w:fill="auto"/>
          </w:tcPr>
          <w:p w14:paraId="098F9DE9" w14:textId="62817352" w:rsidR="00501284" w:rsidRPr="00E228DC" w:rsidRDefault="00E228DC" w:rsidP="00501284">
            <w:pPr>
              <w:spacing w:before="120"/>
              <w:jc w:val="center"/>
              <w:rPr>
                <w:iCs/>
                <w:sz w:val="22"/>
                <w:szCs w:val="22"/>
              </w:rPr>
            </w:pPr>
            <w:r w:rsidRPr="00E228DC">
              <w:rPr>
                <w:iCs/>
                <w:sz w:val="22"/>
                <w:szCs w:val="22"/>
              </w:rPr>
              <w:t>1 812 038</w:t>
            </w:r>
          </w:p>
        </w:tc>
        <w:tc>
          <w:tcPr>
            <w:tcW w:w="694" w:type="pct"/>
            <w:shd w:val="clear" w:color="auto" w:fill="auto"/>
          </w:tcPr>
          <w:p w14:paraId="098F9DEA" w14:textId="71A9A863" w:rsidR="00501284" w:rsidRPr="00E228DC" w:rsidRDefault="00E228DC" w:rsidP="00501284">
            <w:pPr>
              <w:spacing w:before="120"/>
              <w:jc w:val="center"/>
              <w:rPr>
                <w:bCs/>
                <w:sz w:val="22"/>
                <w:szCs w:val="22"/>
              </w:rPr>
            </w:pPr>
            <w:r>
              <w:rPr>
                <w:bCs/>
                <w:sz w:val="22"/>
                <w:szCs w:val="22"/>
              </w:rPr>
              <w:t>-767 074</w:t>
            </w:r>
          </w:p>
        </w:tc>
        <w:tc>
          <w:tcPr>
            <w:tcW w:w="459" w:type="pct"/>
            <w:gridSpan w:val="2"/>
            <w:shd w:val="clear" w:color="auto" w:fill="auto"/>
          </w:tcPr>
          <w:p w14:paraId="098F9DEB" w14:textId="77777777" w:rsidR="00501284" w:rsidRPr="00E228DC" w:rsidRDefault="00501284" w:rsidP="00501284">
            <w:pPr>
              <w:spacing w:before="120"/>
              <w:jc w:val="center"/>
              <w:rPr>
                <w:iCs/>
                <w:sz w:val="22"/>
                <w:szCs w:val="22"/>
              </w:rPr>
            </w:pPr>
            <w:r w:rsidRPr="00E228DC">
              <w:rPr>
                <w:iCs/>
                <w:sz w:val="22"/>
                <w:szCs w:val="22"/>
              </w:rPr>
              <w:t>0</w:t>
            </w:r>
          </w:p>
        </w:tc>
        <w:tc>
          <w:tcPr>
            <w:tcW w:w="694" w:type="pct"/>
            <w:shd w:val="clear" w:color="auto" w:fill="auto"/>
          </w:tcPr>
          <w:p w14:paraId="098F9DEC" w14:textId="3BD862A8" w:rsidR="00501284" w:rsidRPr="00E228DC" w:rsidRDefault="00143468" w:rsidP="00501284">
            <w:pPr>
              <w:spacing w:before="120"/>
              <w:jc w:val="center"/>
              <w:rPr>
                <w:bCs/>
                <w:sz w:val="22"/>
                <w:szCs w:val="22"/>
              </w:rPr>
            </w:pPr>
            <w:r w:rsidRPr="00E228DC">
              <w:rPr>
                <w:bCs/>
                <w:sz w:val="22"/>
                <w:szCs w:val="22"/>
              </w:rPr>
              <w:t>1 798 048</w:t>
            </w:r>
          </w:p>
        </w:tc>
        <w:tc>
          <w:tcPr>
            <w:tcW w:w="694" w:type="pct"/>
            <w:gridSpan w:val="2"/>
            <w:shd w:val="clear" w:color="auto" w:fill="auto"/>
          </w:tcPr>
          <w:p w14:paraId="098F9DED" w14:textId="40538970" w:rsidR="00501284" w:rsidRPr="00E228DC" w:rsidRDefault="00521F2D" w:rsidP="00501284">
            <w:pPr>
              <w:spacing w:before="120"/>
              <w:jc w:val="center"/>
              <w:rPr>
                <w:bCs/>
                <w:sz w:val="22"/>
                <w:szCs w:val="22"/>
              </w:rPr>
            </w:pPr>
            <w:r w:rsidRPr="00E228DC">
              <w:rPr>
                <w:bCs/>
                <w:sz w:val="22"/>
                <w:szCs w:val="22"/>
              </w:rPr>
              <w:t>80 000</w:t>
            </w:r>
          </w:p>
        </w:tc>
      </w:tr>
      <w:tr w:rsidR="00E228DC" w:rsidRPr="0045389A" w14:paraId="098F9DF7" w14:textId="77777777" w:rsidTr="00E228DC">
        <w:trPr>
          <w:gridAfter w:val="1"/>
          <w:wAfter w:w="14" w:type="pct"/>
        </w:trPr>
        <w:tc>
          <w:tcPr>
            <w:tcW w:w="814" w:type="pct"/>
            <w:shd w:val="clear" w:color="auto" w:fill="auto"/>
            <w:hideMark/>
          </w:tcPr>
          <w:p w14:paraId="098F9DEF" w14:textId="77777777" w:rsidR="00E228DC" w:rsidRPr="0045389A" w:rsidRDefault="00E228DC" w:rsidP="00E228DC">
            <w:pPr>
              <w:spacing w:before="120"/>
              <w:rPr>
                <w:iCs/>
              </w:rPr>
            </w:pPr>
            <w:r w:rsidRPr="0045389A">
              <w:rPr>
                <w:iCs/>
              </w:rPr>
              <w:t>1.1. valsts pamatbudžets, tai skaitā ieņēmumi no maksas pakalpojumiem un citi pašu ieņēmumi</w:t>
            </w:r>
          </w:p>
        </w:tc>
        <w:tc>
          <w:tcPr>
            <w:tcW w:w="503" w:type="pct"/>
            <w:shd w:val="clear" w:color="auto" w:fill="auto"/>
          </w:tcPr>
          <w:p w14:paraId="098F9DF0" w14:textId="1CA0E5A0" w:rsidR="00E228DC" w:rsidRPr="00E228DC" w:rsidRDefault="00E228DC" w:rsidP="00E228DC">
            <w:pPr>
              <w:spacing w:before="120"/>
              <w:jc w:val="center"/>
              <w:rPr>
                <w:iCs/>
                <w:sz w:val="22"/>
                <w:szCs w:val="22"/>
              </w:rPr>
            </w:pPr>
            <w:r w:rsidRPr="00E228DC">
              <w:rPr>
                <w:iCs/>
                <w:sz w:val="22"/>
                <w:szCs w:val="22"/>
              </w:rPr>
              <w:t>168 768</w:t>
            </w:r>
          </w:p>
        </w:tc>
        <w:tc>
          <w:tcPr>
            <w:tcW w:w="549" w:type="pct"/>
            <w:shd w:val="clear" w:color="auto" w:fill="auto"/>
          </w:tcPr>
          <w:p w14:paraId="098F9DF1" w14:textId="0B3AE581" w:rsidR="00E228DC" w:rsidRPr="00E228DC" w:rsidRDefault="00E228DC" w:rsidP="00E228DC">
            <w:pPr>
              <w:spacing w:before="120"/>
              <w:rPr>
                <w:iCs/>
                <w:sz w:val="22"/>
                <w:szCs w:val="22"/>
              </w:rPr>
            </w:pPr>
            <w:r w:rsidRPr="00E228DC">
              <w:rPr>
                <w:bCs/>
                <w:sz w:val="22"/>
                <w:szCs w:val="22"/>
              </w:rPr>
              <w:t>-40 915</w:t>
            </w:r>
          </w:p>
        </w:tc>
        <w:tc>
          <w:tcPr>
            <w:tcW w:w="579" w:type="pct"/>
            <w:shd w:val="clear" w:color="auto" w:fill="auto"/>
          </w:tcPr>
          <w:p w14:paraId="098F9DF2" w14:textId="72EFEA9B" w:rsidR="00E228DC" w:rsidRPr="00E228DC" w:rsidRDefault="00E228DC" w:rsidP="00E228DC">
            <w:pPr>
              <w:spacing w:before="120"/>
              <w:jc w:val="center"/>
              <w:rPr>
                <w:iCs/>
                <w:sz w:val="22"/>
                <w:szCs w:val="22"/>
              </w:rPr>
            </w:pPr>
            <w:r w:rsidRPr="00E228DC">
              <w:rPr>
                <w:iCs/>
                <w:sz w:val="22"/>
                <w:szCs w:val="22"/>
              </w:rPr>
              <w:t>1 812 038</w:t>
            </w:r>
          </w:p>
        </w:tc>
        <w:tc>
          <w:tcPr>
            <w:tcW w:w="694" w:type="pct"/>
            <w:shd w:val="clear" w:color="auto" w:fill="auto"/>
          </w:tcPr>
          <w:p w14:paraId="098F9DF3" w14:textId="087912DD" w:rsidR="00E228DC" w:rsidRPr="00E228DC" w:rsidRDefault="00E228DC" w:rsidP="00E228DC">
            <w:pPr>
              <w:spacing w:before="120"/>
              <w:jc w:val="center"/>
              <w:rPr>
                <w:bCs/>
                <w:sz w:val="22"/>
                <w:szCs w:val="22"/>
              </w:rPr>
            </w:pPr>
            <w:r>
              <w:rPr>
                <w:bCs/>
                <w:sz w:val="22"/>
                <w:szCs w:val="22"/>
              </w:rPr>
              <w:t>-767 074</w:t>
            </w:r>
          </w:p>
        </w:tc>
        <w:tc>
          <w:tcPr>
            <w:tcW w:w="459" w:type="pct"/>
            <w:gridSpan w:val="2"/>
            <w:shd w:val="clear" w:color="auto" w:fill="auto"/>
          </w:tcPr>
          <w:p w14:paraId="098F9DF4"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DF5" w14:textId="7E2AF9F8" w:rsidR="00E228DC" w:rsidRPr="00E228DC" w:rsidRDefault="00E228DC" w:rsidP="00E228DC">
            <w:pPr>
              <w:spacing w:before="120"/>
              <w:jc w:val="center"/>
              <w:rPr>
                <w:bCs/>
                <w:sz w:val="22"/>
                <w:szCs w:val="22"/>
              </w:rPr>
            </w:pPr>
            <w:r w:rsidRPr="00E228DC">
              <w:rPr>
                <w:bCs/>
                <w:sz w:val="22"/>
                <w:szCs w:val="22"/>
              </w:rPr>
              <w:t>1 798 048</w:t>
            </w:r>
          </w:p>
        </w:tc>
        <w:tc>
          <w:tcPr>
            <w:tcW w:w="694" w:type="pct"/>
            <w:gridSpan w:val="2"/>
            <w:shd w:val="clear" w:color="auto" w:fill="auto"/>
          </w:tcPr>
          <w:p w14:paraId="098F9DF6" w14:textId="5A33C94F" w:rsidR="00E228DC" w:rsidRPr="00E228DC" w:rsidRDefault="00E228DC" w:rsidP="00E228DC">
            <w:pPr>
              <w:spacing w:before="120"/>
              <w:jc w:val="center"/>
              <w:rPr>
                <w:bCs/>
                <w:sz w:val="22"/>
                <w:szCs w:val="22"/>
              </w:rPr>
            </w:pPr>
            <w:r w:rsidRPr="00E228DC">
              <w:rPr>
                <w:bCs/>
                <w:sz w:val="22"/>
                <w:szCs w:val="22"/>
              </w:rPr>
              <w:t>80 000</w:t>
            </w:r>
          </w:p>
        </w:tc>
      </w:tr>
      <w:tr w:rsidR="00E228DC" w:rsidRPr="0045389A" w14:paraId="098F9E00" w14:textId="77777777" w:rsidTr="00E228DC">
        <w:trPr>
          <w:gridAfter w:val="1"/>
          <w:wAfter w:w="14" w:type="pct"/>
        </w:trPr>
        <w:tc>
          <w:tcPr>
            <w:tcW w:w="814" w:type="pct"/>
            <w:shd w:val="clear" w:color="auto" w:fill="auto"/>
            <w:hideMark/>
          </w:tcPr>
          <w:p w14:paraId="098F9DF8" w14:textId="77777777" w:rsidR="00E228DC" w:rsidRPr="0045389A" w:rsidRDefault="00E228DC" w:rsidP="00E228DC">
            <w:pPr>
              <w:spacing w:before="120"/>
              <w:rPr>
                <w:iCs/>
              </w:rPr>
            </w:pPr>
            <w:r w:rsidRPr="0045389A">
              <w:rPr>
                <w:iCs/>
              </w:rPr>
              <w:t>1.2. valsts speciālais budžets</w:t>
            </w:r>
          </w:p>
        </w:tc>
        <w:tc>
          <w:tcPr>
            <w:tcW w:w="503" w:type="pct"/>
            <w:shd w:val="clear" w:color="auto" w:fill="auto"/>
          </w:tcPr>
          <w:p w14:paraId="098F9DF9" w14:textId="77777777" w:rsidR="00E228DC" w:rsidRPr="00E228DC" w:rsidRDefault="00E228DC" w:rsidP="00E228DC">
            <w:pPr>
              <w:spacing w:before="120"/>
              <w:jc w:val="center"/>
              <w:rPr>
                <w:iCs/>
                <w:sz w:val="22"/>
                <w:szCs w:val="22"/>
              </w:rPr>
            </w:pPr>
            <w:r w:rsidRPr="00E228DC">
              <w:rPr>
                <w:iCs/>
                <w:sz w:val="22"/>
                <w:szCs w:val="22"/>
              </w:rPr>
              <w:t>0</w:t>
            </w:r>
          </w:p>
        </w:tc>
        <w:tc>
          <w:tcPr>
            <w:tcW w:w="549" w:type="pct"/>
            <w:shd w:val="clear" w:color="auto" w:fill="auto"/>
          </w:tcPr>
          <w:p w14:paraId="098F9DFA" w14:textId="77777777" w:rsidR="00E228DC" w:rsidRPr="00E228DC" w:rsidRDefault="00E228DC" w:rsidP="00E228DC">
            <w:pPr>
              <w:spacing w:before="120"/>
              <w:jc w:val="center"/>
              <w:rPr>
                <w:iCs/>
                <w:sz w:val="22"/>
                <w:szCs w:val="22"/>
              </w:rPr>
            </w:pPr>
            <w:r w:rsidRPr="00E228DC">
              <w:rPr>
                <w:iCs/>
                <w:sz w:val="22"/>
                <w:szCs w:val="22"/>
              </w:rPr>
              <w:t>0</w:t>
            </w:r>
          </w:p>
        </w:tc>
        <w:tc>
          <w:tcPr>
            <w:tcW w:w="579" w:type="pct"/>
            <w:shd w:val="clear" w:color="auto" w:fill="auto"/>
          </w:tcPr>
          <w:p w14:paraId="098F9DFB"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DFC"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shd w:val="clear" w:color="auto" w:fill="auto"/>
          </w:tcPr>
          <w:p w14:paraId="098F9DFD"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DFE"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DFF"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09" w14:textId="77777777" w:rsidTr="00E228DC">
        <w:trPr>
          <w:gridAfter w:val="1"/>
          <w:wAfter w:w="14" w:type="pct"/>
        </w:trPr>
        <w:tc>
          <w:tcPr>
            <w:tcW w:w="814" w:type="pct"/>
            <w:shd w:val="clear" w:color="auto" w:fill="auto"/>
            <w:hideMark/>
          </w:tcPr>
          <w:p w14:paraId="098F9E01" w14:textId="77777777" w:rsidR="00E228DC" w:rsidRPr="0045389A" w:rsidRDefault="00E228DC" w:rsidP="00E228DC">
            <w:pPr>
              <w:spacing w:before="120"/>
              <w:rPr>
                <w:iCs/>
              </w:rPr>
            </w:pPr>
            <w:r w:rsidRPr="0045389A">
              <w:rPr>
                <w:iCs/>
              </w:rPr>
              <w:t>1.3. pašvaldību budžets</w:t>
            </w:r>
          </w:p>
        </w:tc>
        <w:tc>
          <w:tcPr>
            <w:tcW w:w="503" w:type="pct"/>
            <w:shd w:val="clear" w:color="auto" w:fill="auto"/>
          </w:tcPr>
          <w:p w14:paraId="098F9E02" w14:textId="77777777" w:rsidR="00E228DC" w:rsidRPr="00E228DC" w:rsidRDefault="00E228DC" w:rsidP="00E228DC">
            <w:pPr>
              <w:spacing w:before="120"/>
              <w:jc w:val="center"/>
              <w:rPr>
                <w:iCs/>
                <w:sz w:val="22"/>
                <w:szCs w:val="22"/>
              </w:rPr>
            </w:pPr>
            <w:r w:rsidRPr="00E228DC">
              <w:rPr>
                <w:iCs/>
                <w:sz w:val="22"/>
                <w:szCs w:val="22"/>
              </w:rPr>
              <w:t>0</w:t>
            </w:r>
          </w:p>
        </w:tc>
        <w:tc>
          <w:tcPr>
            <w:tcW w:w="549" w:type="pct"/>
            <w:shd w:val="clear" w:color="auto" w:fill="auto"/>
          </w:tcPr>
          <w:p w14:paraId="098F9E03" w14:textId="77777777" w:rsidR="00E228DC" w:rsidRPr="00E228DC" w:rsidRDefault="00E228DC" w:rsidP="00E228DC">
            <w:pPr>
              <w:spacing w:before="120"/>
              <w:jc w:val="center"/>
              <w:rPr>
                <w:iCs/>
                <w:sz w:val="22"/>
                <w:szCs w:val="22"/>
              </w:rPr>
            </w:pPr>
            <w:r w:rsidRPr="00E228DC">
              <w:rPr>
                <w:iCs/>
                <w:sz w:val="22"/>
                <w:szCs w:val="22"/>
              </w:rPr>
              <w:t>0</w:t>
            </w:r>
          </w:p>
        </w:tc>
        <w:tc>
          <w:tcPr>
            <w:tcW w:w="579" w:type="pct"/>
            <w:shd w:val="clear" w:color="auto" w:fill="auto"/>
          </w:tcPr>
          <w:p w14:paraId="098F9E04"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05"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shd w:val="clear" w:color="auto" w:fill="auto"/>
          </w:tcPr>
          <w:p w14:paraId="098F9E06"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07"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08"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12" w14:textId="77777777" w:rsidTr="00E228DC">
        <w:trPr>
          <w:gridAfter w:val="1"/>
          <w:wAfter w:w="14" w:type="pct"/>
        </w:trPr>
        <w:tc>
          <w:tcPr>
            <w:tcW w:w="814" w:type="pct"/>
            <w:shd w:val="clear" w:color="auto" w:fill="auto"/>
            <w:hideMark/>
          </w:tcPr>
          <w:p w14:paraId="098F9E0A" w14:textId="77777777" w:rsidR="00E228DC" w:rsidRPr="0045389A" w:rsidRDefault="00E228DC" w:rsidP="00E228DC">
            <w:pPr>
              <w:spacing w:before="120"/>
              <w:rPr>
                <w:iCs/>
              </w:rPr>
            </w:pPr>
            <w:r w:rsidRPr="0045389A">
              <w:rPr>
                <w:iCs/>
              </w:rPr>
              <w:t>2. Budžeta izdevumi</w:t>
            </w:r>
          </w:p>
        </w:tc>
        <w:tc>
          <w:tcPr>
            <w:tcW w:w="503" w:type="pct"/>
            <w:shd w:val="clear" w:color="auto" w:fill="auto"/>
          </w:tcPr>
          <w:p w14:paraId="098F9E0B" w14:textId="7E3730BD" w:rsidR="00E228DC" w:rsidRPr="00E228DC" w:rsidRDefault="00E228DC" w:rsidP="00E228DC">
            <w:pPr>
              <w:spacing w:before="120"/>
              <w:jc w:val="center"/>
              <w:rPr>
                <w:iCs/>
                <w:sz w:val="22"/>
                <w:szCs w:val="22"/>
              </w:rPr>
            </w:pPr>
            <w:r w:rsidRPr="00E228DC">
              <w:rPr>
                <w:iCs/>
                <w:sz w:val="22"/>
                <w:szCs w:val="22"/>
              </w:rPr>
              <w:t>198 551</w:t>
            </w:r>
          </w:p>
        </w:tc>
        <w:tc>
          <w:tcPr>
            <w:tcW w:w="549" w:type="pct"/>
            <w:shd w:val="clear" w:color="auto" w:fill="auto"/>
          </w:tcPr>
          <w:p w14:paraId="098F9E0C" w14:textId="27D468BA" w:rsidR="00E228DC" w:rsidRPr="00E228DC" w:rsidRDefault="00E228DC" w:rsidP="00E228DC">
            <w:pPr>
              <w:spacing w:before="120"/>
              <w:jc w:val="center"/>
              <w:rPr>
                <w:bCs/>
                <w:sz w:val="22"/>
                <w:szCs w:val="22"/>
              </w:rPr>
            </w:pPr>
            <w:r w:rsidRPr="00E228DC">
              <w:rPr>
                <w:sz w:val="22"/>
                <w:szCs w:val="22"/>
              </w:rPr>
              <w:t>-48 136</w:t>
            </w:r>
          </w:p>
        </w:tc>
        <w:tc>
          <w:tcPr>
            <w:tcW w:w="579" w:type="pct"/>
            <w:shd w:val="clear" w:color="auto" w:fill="auto"/>
          </w:tcPr>
          <w:p w14:paraId="098F9E0D" w14:textId="01DDE057" w:rsidR="00E228DC" w:rsidRPr="00E228DC" w:rsidRDefault="00E228DC" w:rsidP="00E228DC">
            <w:pPr>
              <w:spacing w:before="120"/>
              <w:jc w:val="center"/>
              <w:rPr>
                <w:iCs/>
                <w:sz w:val="22"/>
                <w:szCs w:val="22"/>
              </w:rPr>
            </w:pPr>
            <w:r>
              <w:rPr>
                <w:iCs/>
                <w:sz w:val="22"/>
                <w:szCs w:val="22"/>
              </w:rPr>
              <w:t>2 131 810</w:t>
            </w:r>
          </w:p>
        </w:tc>
        <w:tc>
          <w:tcPr>
            <w:tcW w:w="694" w:type="pct"/>
            <w:shd w:val="clear" w:color="auto" w:fill="auto"/>
          </w:tcPr>
          <w:p w14:paraId="098F9E0E" w14:textId="76DFFA12" w:rsidR="00E228DC" w:rsidRPr="00E228DC" w:rsidRDefault="00E228DC" w:rsidP="00E228DC">
            <w:pPr>
              <w:spacing w:before="120"/>
              <w:jc w:val="center"/>
              <w:rPr>
                <w:sz w:val="22"/>
                <w:szCs w:val="22"/>
              </w:rPr>
            </w:pPr>
            <w:r>
              <w:rPr>
                <w:sz w:val="22"/>
                <w:szCs w:val="22"/>
              </w:rPr>
              <w:t>-902 441</w:t>
            </w:r>
          </w:p>
        </w:tc>
        <w:tc>
          <w:tcPr>
            <w:tcW w:w="459" w:type="pct"/>
            <w:gridSpan w:val="2"/>
            <w:shd w:val="clear" w:color="auto" w:fill="auto"/>
          </w:tcPr>
          <w:p w14:paraId="098F9E0F"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10" w14:textId="0E8BFA93" w:rsidR="00E228DC" w:rsidRPr="00E228DC" w:rsidRDefault="00E228DC" w:rsidP="00E228DC">
            <w:pPr>
              <w:spacing w:before="120"/>
              <w:jc w:val="center"/>
              <w:rPr>
                <w:sz w:val="22"/>
                <w:szCs w:val="22"/>
              </w:rPr>
            </w:pPr>
            <w:r w:rsidRPr="00E228DC">
              <w:rPr>
                <w:bCs/>
                <w:sz w:val="22"/>
                <w:szCs w:val="22"/>
              </w:rPr>
              <w:t>2 115 351</w:t>
            </w:r>
          </w:p>
        </w:tc>
        <w:tc>
          <w:tcPr>
            <w:tcW w:w="694" w:type="pct"/>
            <w:gridSpan w:val="2"/>
            <w:shd w:val="clear" w:color="auto" w:fill="auto"/>
          </w:tcPr>
          <w:p w14:paraId="098F9E11" w14:textId="24CB70D9" w:rsidR="00E228DC" w:rsidRPr="00E228DC" w:rsidRDefault="00E228DC" w:rsidP="00E228DC">
            <w:pPr>
              <w:spacing w:before="120"/>
              <w:jc w:val="center"/>
              <w:rPr>
                <w:bCs/>
                <w:sz w:val="22"/>
                <w:szCs w:val="22"/>
              </w:rPr>
            </w:pPr>
            <w:r w:rsidRPr="00E228DC">
              <w:rPr>
                <w:bCs/>
                <w:sz w:val="22"/>
                <w:szCs w:val="22"/>
              </w:rPr>
              <w:t>120 000</w:t>
            </w:r>
          </w:p>
        </w:tc>
      </w:tr>
      <w:tr w:rsidR="00E228DC" w:rsidRPr="0045389A" w14:paraId="098F9E1B" w14:textId="77777777" w:rsidTr="00E228DC">
        <w:trPr>
          <w:gridAfter w:val="1"/>
          <w:wAfter w:w="14" w:type="pct"/>
        </w:trPr>
        <w:tc>
          <w:tcPr>
            <w:tcW w:w="814" w:type="pct"/>
            <w:shd w:val="clear" w:color="auto" w:fill="auto"/>
            <w:hideMark/>
          </w:tcPr>
          <w:p w14:paraId="098F9E13" w14:textId="77777777" w:rsidR="00E228DC" w:rsidRPr="0045389A" w:rsidRDefault="00E228DC" w:rsidP="00E228DC">
            <w:pPr>
              <w:spacing w:before="120"/>
              <w:rPr>
                <w:iCs/>
              </w:rPr>
            </w:pPr>
            <w:r w:rsidRPr="0045389A">
              <w:rPr>
                <w:iCs/>
              </w:rPr>
              <w:t>2.1. valsts pamatbudžets</w:t>
            </w:r>
          </w:p>
        </w:tc>
        <w:tc>
          <w:tcPr>
            <w:tcW w:w="503" w:type="pct"/>
            <w:shd w:val="clear" w:color="auto" w:fill="auto"/>
          </w:tcPr>
          <w:p w14:paraId="098F9E14" w14:textId="6A2CE6BB" w:rsidR="00E228DC" w:rsidRPr="00E228DC" w:rsidRDefault="00E228DC" w:rsidP="00E228DC">
            <w:pPr>
              <w:spacing w:before="120"/>
              <w:jc w:val="center"/>
              <w:rPr>
                <w:iCs/>
                <w:sz w:val="22"/>
                <w:szCs w:val="22"/>
              </w:rPr>
            </w:pPr>
            <w:r w:rsidRPr="00E228DC">
              <w:rPr>
                <w:iCs/>
                <w:sz w:val="22"/>
                <w:szCs w:val="22"/>
              </w:rPr>
              <w:t>198 551</w:t>
            </w:r>
          </w:p>
        </w:tc>
        <w:tc>
          <w:tcPr>
            <w:tcW w:w="549" w:type="pct"/>
            <w:shd w:val="clear" w:color="auto" w:fill="auto"/>
          </w:tcPr>
          <w:p w14:paraId="098F9E15" w14:textId="517906A4" w:rsidR="00E228DC" w:rsidRPr="00E228DC" w:rsidRDefault="00E228DC" w:rsidP="00E228DC">
            <w:pPr>
              <w:spacing w:before="120"/>
              <w:jc w:val="center"/>
              <w:rPr>
                <w:bCs/>
                <w:sz w:val="22"/>
                <w:szCs w:val="22"/>
              </w:rPr>
            </w:pPr>
            <w:r w:rsidRPr="00E228DC">
              <w:rPr>
                <w:sz w:val="22"/>
                <w:szCs w:val="22"/>
              </w:rPr>
              <w:t>-48 136</w:t>
            </w:r>
          </w:p>
        </w:tc>
        <w:tc>
          <w:tcPr>
            <w:tcW w:w="579" w:type="pct"/>
            <w:shd w:val="clear" w:color="auto" w:fill="auto"/>
          </w:tcPr>
          <w:p w14:paraId="098F9E16" w14:textId="618308E6" w:rsidR="00E228DC" w:rsidRPr="00E228DC" w:rsidRDefault="00E228DC" w:rsidP="00E228DC">
            <w:pPr>
              <w:spacing w:before="120"/>
              <w:jc w:val="center"/>
              <w:rPr>
                <w:iCs/>
                <w:sz w:val="22"/>
                <w:szCs w:val="22"/>
              </w:rPr>
            </w:pPr>
            <w:r>
              <w:rPr>
                <w:iCs/>
                <w:sz w:val="22"/>
                <w:szCs w:val="22"/>
              </w:rPr>
              <w:t>2 131 810</w:t>
            </w:r>
          </w:p>
        </w:tc>
        <w:tc>
          <w:tcPr>
            <w:tcW w:w="694" w:type="pct"/>
            <w:shd w:val="clear" w:color="auto" w:fill="auto"/>
          </w:tcPr>
          <w:p w14:paraId="098F9E17" w14:textId="21A38A2D" w:rsidR="00E228DC" w:rsidRPr="00E228DC" w:rsidRDefault="00A6261D" w:rsidP="00E228DC">
            <w:pPr>
              <w:spacing w:before="120"/>
              <w:jc w:val="center"/>
              <w:rPr>
                <w:bCs/>
                <w:sz w:val="22"/>
                <w:szCs w:val="22"/>
              </w:rPr>
            </w:pPr>
            <w:r>
              <w:rPr>
                <w:sz w:val="22"/>
                <w:szCs w:val="22"/>
              </w:rPr>
              <w:t>-902 441</w:t>
            </w:r>
          </w:p>
        </w:tc>
        <w:tc>
          <w:tcPr>
            <w:tcW w:w="459" w:type="pct"/>
            <w:gridSpan w:val="2"/>
            <w:shd w:val="clear" w:color="auto" w:fill="auto"/>
          </w:tcPr>
          <w:p w14:paraId="098F9E18"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19" w14:textId="671DEE34" w:rsidR="00E228DC" w:rsidRPr="00E228DC" w:rsidRDefault="00E228DC" w:rsidP="00E228DC">
            <w:pPr>
              <w:spacing w:before="120"/>
              <w:jc w:val="center"/>
              <w:rPr>
                <w:bCs/>
                <w:sz w:val="22"/>
                <w:szCs w:val="22"/>
              </w:rPr>
            </w:pPr>
            <w:r w:rsidRPr="00E228DC">
              <w:rPr>
                <w:bCs/>
                <w:sz w:val="22"/>
                <w:szCs w:val="22"/>
              </w:rPr>
              <w:t>2 115 351</w:t>
            </w:r>
          </w:p>
        </w:tc>
        <w:tc>
          <w:tcPr>
            <w:tcW w:w="694" w:type="pct"/>
            <w:gridSpan w:val="2"/>
            <w:shd w:val="clear" w:color="auto" w:fill="auto"/>
          </w:tcPr>
          <w:p w14:paraId="098F9E1A" w14:textId="2F30F903" w:rsidR="00E228DC" w:rsidRPr="00E228DC" w:rsidRDefault="00E228DC" w:rsidP="00E228DC">
            <w:pPr>
              <w:spacing w:before="120"/>
              <w:jc w:val="center"/>
              <w:rPr>
                <w:bCs/>
                <w:sz w:val="22"/>
                <w:szCs w:val="22"/>
              </w:rPr>
            </w:pPr>
            <w:r w:rsidRPr="00E228DC">
              <w:rPr>
                <w:bCs/>
                <w:sz w:val="22"/>
                <w:szCs w:val="22"/>
              </w:rPr>
              <w:t>120 000</w:t>
            </w:r>
          </w:p>
        </w:tc>
      </w:tr>
      <w:tr w:rsidR="00E228DC" w:rsidRPr="0045389A" w14:paraId="098F9E24" w14:textId="77777777" w:rsidTr="00E228DC">
        <w:trPr>
          <w:gridAfter w:val="1"/>
          <w:wAfter w:w="14" w:type="pct"/>
        </w:trPr>
        <w:tc>
          <w:tcPr>
            <w:tcW w:w="814" w:type="pct"/>
            <w:shd w:val="clear" w:color="auto" w:fill="auto"/>
            <w:hideMark/>
          </w:tcPr>
          <w:p w14:paraId="098F9E1C" w14:textId="77777777" w:rsidR="00E228DC" w:rsidRPr="0045389A" w:rsidRDefault="00E228DC" w:rsidP="00E228DC">
            <w:pPr>
              <w:spacing w:before="120"/>
              <w:rPr>
                <w:iCs/>
              </w:rPr>
            </w:pPr>
            <w:r w:rsidRPr="0045389A">
              <w:rPr>
                <w:iCs/>
              </w:rPr>
              <w:t>2.2. valsts speciālais budžets</w:t>
            </w:r>
          </w:p>
        </w:tc>
        <w:tc>
          <w:tcPr>
            <w:tcW w:w="503" w:type="pct"/>
            <w:shd w:val="clear" w:color="auto" w:fill="auto"/>
          </w:tcPr>
          <w:p w14:paraId="098F9E1D" w14:textId="77777777" w:rsidR="00E228DC" w:rsidRPr="00E228DC" w:rsidRDefault="00E228DC" w:rsidP="00E228DC">
            <w:pPr>
              <w:spacing w:before="120"/>
              <w:jc w:val="center"/>
              <w:rPr>
                <w:iCs/>
                <w:sz w:val="22"/>
                <w:szCs w:val="22"/>
              </w:rPr>
            </w:pPr>
            <w:r w:rsidRPr="00E228DC">
              <w:rPr>
                <w:iCs/>
                <w:sz w:val="22"/>
                <w:szCs w:val="22"/>
              </w:rPr>
              <w:t>0</w:t>
            </w:r>
          </w:p>
        </w:tc>
        <w:tc>
          <w:tcPr>
            <w:tcW w:w="549" w:type="pct"/>
            <w:shd w:val="clear" w:color="auto" w:fill="auto"/>
          </w:tcPr>
          <w:p w14:paraId="098F9E1E" w14:textId="77777777" w:rsidR="00E228DC" w:rsidRPr="00E228DC" w:rsidRDefault="00E228DC" w:rsidP="00E228DC">
            <w:pPr>
              <w:spacing w:before="120"/>
              <w:jc w:val="center"/>
              <w:rPr>
                <w:iCs/>
                <w:sz w:val="22"/>
                <w:szCs w:val="22"/>
              </w:rPr>
            </w:pPr>
            <w:r w:rsidRPr="00E228DC">
              <w:rPr>
                <w:iCs/>
                <w:sz w:val="22"/>
                <w:szCs w:val="22"/>
              </w:rPr>
              <w:t>0</w:t>
            </w:r>
          </w:p>
        </w:tc>
        <w:tc>
          <w:tcPr>
            <w:tcW w:w="579" w:type="pct"/>
            <w:shd w:val="clear" w:color="auto" w:fill="auto"/>
          </w:tcPr>
          <w:p w14:paraId="098F9E1F"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20"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shd w:val="clear" w:color="auto" w:fill="auto"/>
          </w:tcPr>
          <w:p w14:paraId="098F9E21"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22"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23"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2D" w14:textId="77777777" w:rsidTr="00E228DC">
        <w:trPr>
          <w:gridAfter w:val="1"/>
          <w:wAfter w:w="14" w:type="pct"/>
        </w:trPr>
        <w:tc>
          <w:tcPr>
            <w:tcW w:w="814" w:type="pct"/>
            <w:shd w:val="clear" w:color="auto" w:fill="auto"/>
            <w:hideMark/>
          </w:tcPr>
          <w:p w14:paraId="098F9E25" w14:textId="77777777" w:rsidR="00E228DC" w:rsidRPr="0045389A" w:rsidRDefault="00E228DC" w:rsidP="00E228DC">
            <w:pPr>
              <w:spacing w:before="120"/>
              <w:rPr>
                <w:iCs/>
              </w:rPr>
            </w:pPr>
            <w:r w:rsidRPr="0045389A">
              <w:rPr>
                <w:iCs/>
              </w:rPr>
              <w:t>2.3. pašvaldību budžets</w:t>
            </w:r>
          </w:p>
        </w:tc>
        <w:tc>
          <w:tcPr>
            <w:tcW w:w="503" w:type="pct"/>
            <w:shd w:val="clear" w:color="auto" w:fill="auto"/>
          </w:tcPr>
          <w:p w14:paraId="098F9E26" w14:textId="77777777" w:rsidR="00E228DC" w:rsidRPr="00E228DC" w:rsidRDefault="00E228DC" w:rsidP="00E228DC">
            <w:pPr>
              <w:spacing w:before="120"/>
              <w:jc w:val="center"/>
              <w:rPr>
                <w:iCs/>
                <w:sz w:val="22"/>
                <w:szCs w:val="22"/>
              </w:rPr>
            </w:pPr>
            <w:r w:rsidRPr="00E228DC">
              <w:rPr>
                <w:iCs/>
                <w:sz w:val="22"/>
                <w:szCs w:val="22"/>
              </w:rPr>
              <w:t>0</w:t>
            </w:r>
          </w:p>
        </w:tc>
        <w:tc>
          <w:tcPr>
            <w:tcW w:w="549" w:type="pct"/>
            <w:shd w:val="clear" w:color="auto" w:fill="auto"/>
          </w:tcPr>
          <w:p w14:paraId="098F9E27" w14:textId="77777777" w:rsidR="00E228DC" w:rsidRPr="00E228DC" w:rsidRDefault="00E228DC" w:rsidP="00E228DC">
            <w:pPr>
              <w:spacing w:before="120"/>
              <w:jc w:val="center"/>
              <w:rPr>
                <w:iCs/>
                <w:sz w:val="22"/>
                <w:szCs w:val="22"/>
              </w:rPr>
            </w:pPr>
            <w:r w:rsidRPr="00E228DC">
              <w:rPr>
                <w:iCs/>
                <w:sz w:val="22"/>
                <w:szCs w:val="22"/>
              </w:rPr>
              <w:t>0</w:t>
            </w:r>
          </w:p>
        </w:tc>
        <w:tc>
          <w:tcPr>
            <w:tcW w:w="579" w:type="pct"/>
            <w:shd w:val="clear" w:color="auto" w:fill="auto"/>
          </w:tcPr>
          <w:p w14:paraId="098F9E28"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29"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shd w:val="clear" w:color="auto" w:fill="auto"/>
          </w:tcPr>
          <w:p w14:paraId="098F9E2A"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2B"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2C"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36" w14:textId="77777777" w:rsidTr="00E228DC">
        <w:trPr>
          <w:gridAfter w:val="1"/>
          <w:wAfter w:w="14" w:type="pct"/>
        </w:trPr>
        <w:tc>
          <w:tcPr>
            <w:tcW w:w="814" w:type="pct"/>
            <w:shd w:val="clear" w:color="auto" w:fill="auto"/>
            <w:hideMark/>
          </w:tcPr>
          <w:p w14:paraId="098F9E2E" w14:textId="77777777" w:rsidR="00E228DC" w:rsidRPr="0045389A" w:rsidRDefault="00E228DC" w:rsidP="00E228DC">
            <w:pPr>
              <w:spacing w:before="120"/>
              <w:rPr>
                <w:iCs/>
              </w:rPr>
            </w:pPr>
            <w:r w:rsidRPr="0045389A">
              <w:rPr>
                <w:iCs/>
              </w:rPr>
              <w:t>3. Finansiālā ietekme</w:t>
            </w:r>
          </w:p>
        </w:tc>
        <w:tc>
          <w:tcPr>
            <w:tcW w:w="503" w:type="pct"/>
            <w:shd w:val="clear" w:color="auto" w:fill="auto"/>
          </w:tcPr>
          <w:p w14:paraId="098F9E2F" w14:textId="168710DE" w:rsidR="00E228DC" w:rsidRPr="00E228DC" w:rsidRDefault="00A6261D" w:rsidP="00E228DC">
            <w:pPr>
              <w:spacing w:before="120"/>
              <w:jc w:val="center"/>
              <w:rPr>
                <w:iCs/>
                <w:sz w:val="22"/>
                <w:szCs w:val="22"/>
              </w:rPr>
            </w:pPr>
            <w:r>
              <w:rPr>
                <w:iCs/>
                <w:sz w:val="22"/>
                <w:szCs w:val="22"/>
              </w:rPr>
              <w:t>-29 783</w:t>
            </w:r>
          </w:p>
        </w:tc>
        <w:tc>
          <w:tcPr>
            <w:tcW w:w="549" w:type="pct"/>
            <w:shd w:val="clear" w:color="auto" w:fill="auto"/>
          </w:tcPr>
          <w:p w14:paraId="098F9E30" w14:textId="4284A1B1" w:rsidR="00E228DC" w:rsidRPr="00E228DC" w:rsidRDefault="007C5209" w:rsidP="00E228DC">
            <w:pPr>
              <w:spacing w:before="120"/>
              <w:jc w:val="center"/>
              <w:rPr>
                <w:sz w:val="22"/>
                <w:szCs w:val="22"/>
              </w:rPr>
            </w:pPr>
            <w:r>
              <w:rPr>
                <w:sz w:val="22"/>
                <w:szCs w:val="22"/>
              </w:rPr>
              <w:t>-7 221</w:t>
            </w:r>
          </w:p>
        </w:tc>
        <w:tc>
          <w:tcPr>
            <w:tcW w:w="579" w:type="pct"/>
            <w:shd w:val="clear" w:color="auto" w:fill="auto"/>
          </w:tcPr>
          <w:p w14:paraId="098F9E31" w14:textId="7CDBF4B7" w:rsidR="00E228DC" w:rsidRPr="00E228DC" w:rsidRDefault="007C5209" w:rsidP="00A55E74">
            <w:pPr>
              <w:spacing w:before="120"/>
              <w:jc w:val="center"/>
              <w:rPr>
                <w:sz w:val="22"/>
                <w:szCs w:val="22"/>
              </w:rPr>
            </w:pPr>
            <w:r>
              <w:rPr>
                <w:sz w:val="22"/>
                <w:szCs w:val="22"/>
              </w:rPr>
              <w:t xml:space="preserve">-319 </w:t>
            </w:r>
            <w:r w:rsidR="00A55E74">
              <w:rPr>
                <w:sz w:val="22"/>
                <w:szCs w:val="22"/>
              </w:rPr>
              <w:t>772</w:t>
            </w:r>
          </w:p>
        </w:tc>
        <w:tc>
          <w:tcPr>
            <w:tcW w:w="694" w:type="pct"/>
            <w:shd w:val="clear" w:color="auto" w:fill="auto"/>
          </w:tcPr>
          <w:p w14:paraId="098F9E32" w14:textId="1D481D93" w:rsidR="00E228DC" w:rsidRPr="00E228DC" w:rsidRDefault="00E228DC" w:rsidP="00A55E74">
            <w:pPr>
              <w:spacing w:before="120"/>
              <w:jc w:val="center"/>
              <w:rPr>
                <w:sz w:val="22"/>
                <w:szCs w:val="22"/>
              </w:rPr>
            </w:pPr>
            <w:r w:rsidRPr="00E228DC">
              <w:rPr>
                <w:iCs/>
                <w:sz w:val="22"/>
                <w:szCs w:val="22"/>
              </w:rPr>
              <w:t>-</w:t>
            </w:r>
            <w:r w:rsidR="007C5209">
              <w:rPr>
                <w:iCs/>
                <w:sz w:val="22"/>
                <w:szCs w:val="22"/>
              </w:rPr>
              <w:t xml:space="preserve">135 </w:t>
            </w:r>
            <w:r w:rsidR="00A55E74">
              <w:rPr>
                <w:iCs/>
                <w:sz w:val="22"/>
                <w:szCs w:val="22"/>
              </w:rPr>
              <w:t>367</w:t>
            </w:r>
          </w:p>
        </w:tc>
        <w:tc>
          <w:tcPr>
            <w:tcW w:w="459" w:type="pct"/>
            <w:gridSpan w:val="2"/>
            <w:shd w:val="clear" w:color="auto" w:fill="auto"/>
          </w:tcPr>
          <w:p w14:paraId="098F9E33" w14:textId="77777777" w:rsidR="00E228DC" w:rsidRPr="00E228DC" w:rsidRDefault="00E228DC" w:rsidP="00E228DC">
            <w:pPr>
              <w:spacing w:before="120"/>
              <w:jc w:val="center"/>
              <w:rPr>
                <w:sz w:val="22"/>
                <w:szCs w:val="22"/>
              </w:rPr>
            </w:pPr>
            <w:r w:rsidRPr="00E228DC">
              <w:rPr>
                <w:sz w:val="22"/>
                <w:szCs w:val="22"/>
              </w:rPr>
              <w:t>0</w:t>
            </w:r>
          </w:p>
        </w:tc>
        <w:tc>
          <w:tcPr>
            <w:tcW w:w="694" w:type="pct"/>
            <w:shd w:val="clear" w:color="auto" w:fill="auto"/>
          </w:tcPr>
          <w:p w14:paraId="098F9E34" w14:textId="65F210E2" w:rsidR="00E228DC" w:rsidRPr="00E228DC" w:rsidRDefault="00E228DC" w:rsidP="00E228DC">
            <w:pPr>
              <w:spacing w:before="120"/>
              <w:jc w:val="center"/>
              <w:rPr>
                <w:sz w:val="22"/>
                <w:szCs w:val="22"/>
              </w:rPr>
            </w:pPr>
            <w:r w:rsidRPr="00E228DC">
              <w:rPr>
                <w:sz w:val="22"/>
                <w:szCs w:val="22"/>
              </w:rPr>
              <w:t>-317 303</w:t>
            </w:r>
          </w:p>
        </w:tc>
        <w:tc>
          <w:tcPr>
            <w:tcW w:w="694" w:type="pct"/>
            <w:gridSpan w:val="2"/>
            <w:shd w:val="clear" w:color="auto" w:fill="auto"/>
          </w:tcPr>
          <w:p w14:paraId="098F9E35" w14:textId="7B023E7E" w:rsidR="00E228DC" w:rsidRPr="00E228DC" w:rsidRDefault="00E228DC" w:rsidP="00E228DC">
            <w:pPr>
              <w:spacing w:before="120"/>
              <w:jc w:val="center"/>
              <w:rPr>
                <w:sz w:val="22"/>
                <w:szCs w:val="22"/>
              </w:rPr>
            </w:pPr>
            <w:r w:rsidRPr="00E228DC">
              <w:rPr>
                <w:sz w:val="22"/>
                <w:szCs w:val="22"/>
              </w:rPr>
              <w:t>-40 000</w:t>
            </w:r>
          </w:p>
        </w:tc>
      </w:tr>
      <w:tr w:rsidR="00E228DC" w:rsidRPr="0045389A" w14:paraId="098F9E3F" w14:textId="77777777" w:rsidTr="00E228DC">
        <w:trPr>
          <w:gridAfter w:val="1"/>
          <w:wAfter w:w="14" w:type="pct"/>
        </w:trPr>
        <w:tc>
          <w:tcPr>
            <w:tcW w:w="814" w:type="pct"/>
            <w:shd w:val="clear" w:color="auto" w:fill="auto"/>
            <w:hideMark/>
          </w:tcPr>
          <w:p w14:paraId="098F9E37" w14:textId="77777777" w:rsidR="00E228DC" w:rsidRPr="0045389A" w:rsidRDefault="00E228DC" w:rsidP="00E228DC">
            <w:pPr>
              <w:spacing w:before="120"/>
              <w:rPr>
                <w:iCs/>
              </w:rPr>
            </w:pPr>
            <w:r w:rsidRPr="0045389A">
              <w:rPr>
                <w:iCs/>
              </w:rPr>
              <w:t>3.1. valsts pamatbudžets</w:t>
            </w:r>
          </w:p>
        </w:tc>
        <w:tc>
          <w:tcPr>
            <w:tcW w:w="503" w:type="pct"/>
            <w:shd w:val="clear" w:color="auto" w:fill="auto"/>
          </w:tcPr>
          <w:p w14:paraId="098F9E38" w14:textId="41EA9123" w:rsidR="00E228DC" w:rsidRPr="00E228DC" w:rsidRDefault="00A6261D" w:rsidP="00E228DC">
            <w:pPr>
              <w:spacing w:before="120"/>
              <w:jc w:val="center"/>
              <w:rPr>
                <w:iCs/>
                <w:sz w:val="22"/>
                <w:szCs w:val="22"/>
              </w:rPr>
            </w:pPr>
            <w:r>
              <w:rPr>
                <w:iCs/>
                <w:sz w:val="22"/>
                <w:szCs w:val="22"/>
              </w:rPr>
              <w:t>-29 783</w:t>
            </w:r>
          </w:p>
        </w:tc>
        <w:tc>
          <w:tcPr>
            <w:tcW w:w="549" w:type="pct"/>
            <w:shd w:val="clear" w:color="auto" w:fill="auto"/>
          </w:tcPr>
          <w:p w14:paraId="098F9E39" w14:textId="33033B50" w:rsidR="00E228DC" w:rsidRPr="00E228DC" w:rsidRDefault="007C5209" w:rsidP="00E228DC">
            <w:pPr>
              <w:spacing w:before="120"/>
              <w:jc w:val="center"/>
              <w:rPr>
                <w:sz w:val="22"/>
                <w:szCs w:val="22"/>
              </w:rPr>
            </w:pPr>
            <w:r>
              <w:rPr>
                <w:sz w:val="22"/>
                <w:szCs w:val="22"/>
              </w:rPr>
              <w:t>-7 221</w:t>
            </w:r>
          </w:p>
        </w:tc>
        <w:tc>
          <w:tcPr>
            <w:tcW w:w="579" w:type="pct"/>
            <w:shd w:val="clear" w:color="auto" w:fill="auto"/>
          </w:tcPr>
          <w:p w14:paraId="098F9E3A" w14:textId="72A34513" w:rsidR="00E228DC" w:rsidRPr="00E228DC" w:rsidRDefault="007C5209" w:rsidP="00A55E74">
            <w:pPr>
              <w:spacing w:before="120"/>
              <w:jc w:val="center"/>
              <w:rPr>
                <w:sz w:val="22"/>
                <w:szCs w:val="22"/>
              </w:rPr>
            </w:pPr>
            <w:r>
              <w:rPr>
                <w:sz w:val="22"/>
                <w:szCs w:val="22"/>
              </w:rPr>
              <w:t xml:space="preserve">-319 </w:t>
            </w:r>
            <w:r w:rsidR="00A55E74">
              <w:rPr>
                <w:sz w:val="22"/>
                <w:szCs w:val="22"/>
              </w:rPr>
              <w:t>772</w:t>
            </w:r>
          </w:p>
        </w:tc>
        <w:tc>
          <w:tcPr>
            <w:tcW w:w="694" w:type="pct"/>
            <w:shd w:val="clear" w:color="auto" w:fill="auto"/>
          </w:tcPr>
          <w:p w14:paraId="098F9E3B" w14:textId="7C9DDE56" w:rsidR="00E228DC" w:rsidRPr="00E228DC" w:rsidRDefault="00E228DC" w:rsidP="00A55E74">
            <w:pPr>
              <w:spacing w:before="120"/>
              <w:jc w:val="center"/>
              <w:rPr>
                <w:sz w:val="22"/>
                <w:szCs w:val="22"/>
              </w:rPr>
            </w:pPr>
            <w:r w:rsidRPr="00E228DC">
              <w:rPr>
                <w:iCs/>
                <w:sz w:val="22"/>
                <w:szCs w:val="22"/>
              </w:rPr>
              <w:t>-</w:t>
            </w:r>
            <w:r w:rsidR="007C5209">
              <w:rPr>
                <w:iCs/>
                <w:sz w:val="22"/>
                <w:szCs w:val="22"/>
              </w:rPr>
              <w:t xml:space="preserve">135 </w:t>
            </w:r>
            <w:r w:rsidR="00A55E74">
              <w:rPr>
                <w:iCs/>
                <w:sz w:val="22"/>
                <w:szCs w:val="22"/>
              </w:rPr>
              <w:t>367</w:t>
            </w:r>
          </w:p>
        </w:tc>
        <w:tc>
          <w:tcPr>
            <w:tcW w:w="459" w:type="pct"/>
            <w:gridSpan w:val="2"/>
            <w:shd w:val="clear" w:color="auto" w:fill="auto"/>
          </w:tcPr>
          <w:p w14:paraId="098F9E3C" w14:textId="77777777" w:rsidR="00E228DC" w:rsidRPr="00E228DC" w:rsidRDefault="00E228DC" w:rsidP="00E228DC">
            <w:pPr>
              <w:spacing w:before="120"/>
              <w:jc w:val="center"/>
              <w:rPr>
                <w:sz w:val="22"/>
                <w:szCs w:val="22"/>
              </w:rPr>
            </w:pPr>
            <w:r w:rsidRPr="00E228DC">
              <w:rPr>
                <w:sz w:val="22"/>
                <w:szCs w:val="22"/>
              </w:rPr>
              <w:t>0</w:t>
            </w:r>
          </w:p>
        </w:tc>
        <w:tc>
          <w:tcPr>
            <w:tcW w:w="694" w:type="pct"/>
            <w:shd w:val="clear" w:color="auto" w:fill="auto"/>
          </w:tcPr>
          <w:p w14:paraId="098F9E3D" w14:textId="1F5F4A1E" w:rsidR="00E228DC" w:rsidRPr="00E228DC" w:rsidRDefault="00E228DC" w:rsidP="00E228DC">
            <w:pPr>
              <w:spacing w:before="120"/>
              <w:jc w:val="center"/>
              <w:rPr>
                <w:sz w:val="22"/>
                <w:szCs w:val="22"/>
              </w:rPr>
            </w:pPr>
            <w:r w:rsidRPr="00E228DC">
              <w:rPr>
                <w:sz w:val="22"/>
                <w:szCs w:val="22"/>
              </w:rPr>
              <w:t>-317 303</w:t>
            </w:r>
          </w:p>
        </w:tc>
        <w:tc>
          <w:tcPr>
            <w:tcW w:w="694" w:type="pct"/>
            <w:gridSpan w:val="2"/>
            <w:shd w:val="clear" w:color="auto" w:fill="auto"/>
          </w:tcPr>
          <w:p w14:paraId="098F9E3E" w14:textId="79C39E18" w:rsidR="00E228DC" w:rsidRPr="00E228DC" w:rsidRDefault="00E228DC" w:rsidP="00E228DC">
            <w:pPr>
              <w:spacing w:before="120"/>
              <w:jc w:val="center"/>
              <w:rPr>
                <w:sz w:val="22"/>
                <w:szCs w:val="22"/>
              </w:rPr>
            </w:pPr>
            <w:r w:rsidRPr="00E228DC">
              <w:rPr>
                <w:sz w:val="22"/>
                <w:szCs w:val="22"/>
              </w:rPr>
              <w:t>-40 000</w:t>
            </w:r>
          </w:p>
        </w:tc>
      </w:tr>
      <w:tr w:rsidR="00E228DC" w:rsidRPr="0045389A" w14:paraId="098F9E48" w14:textId="77777777" w:rsidTr="00E228DC">
        <w:trPr>
          <w:gridAfter w:val="1"/>
          <w:wAfter w:w="14" w:type="pct"/>
        </w:trPr>
        <w:tc>
          <w:tcPr>
            <w:tcW w:w="814" w:type="pct"/>
            <w:shd w:val="clear" w:color="auto" w:fill="auto"/>
            <w:hideMark/>
          </w:tcPr>
          <w:p w14:paraId="098F9E40" w14:textId="77777777" w:rsidR="00E228DC" w:rsidRPr="0045389A" w:rsidRDefault="00E228DC" w:rsidP="00E228DC">
            <w:pPr>
              <w:spacing w:before="120"/>
              <w:rPr>
                <w:iCs/>
              </w:rPr>
            </w:pPr>
            <w:r w:rsidRPr="0045389A">
              <w:rPr>
                <w:iCs/>
              </w:rPr>
              <w:t>3.2. speciālais budžets</w:t>
            </w:r>
          </w:p>
        </w:tc>
        <w:tc>
          <w:tcPr>
            <w:tcW w:w="503" w:type="pct"/>
            <w:shd w:val="clear" w:color="auto" w:fill="auto"/>
          </w:tcPr>
          <w:p w14:paraId="098F9E41" w14:textId="77777777" w:rsidR="00E228DC" w:rsidRPr="00E228DC" w:rsidRDefault="00E228DC" w:rsidP="00E228DC">
            <w:pPr>
              <w:spacing w:before="120"/>
              <w:jc w:val="center"/>
              <w:rPr>
                <w:iCs/>
                <w:sz w:val="22"/>
                <w:szCs w:val="22"/>
              </w:rPr>
            </w:pPr>
            <w:r w:rsidRPr="00E228DC">
              <w:rPr>
                <w:iCs/>
                <w:sz w:val="22"/>
                <w:szCs w:val="22"/>
              </w:rPr>
              <w:t>0</w:t>
            </w:r>
          </w:p>
        </w:tc>
        <w:tc>
          <w:tcPr>
            <w:tcW w:w="549" w:type="pct"/>
            <w:shd w:val="clear" w:color="auto" w:fill="auto"/>
          </w:tcPr>
          <w:p w14:paraId="098F9E42" w14:textId="77777777" w:rsidR="00E228DC" w:rsidRPr="00E228DC" w:rsidRDefault="00E228DC" w:rsidP="00E228DC">
            <w:pPr>
              <w:spacing w:before="120"/>
              <w:jc w:val="center"/>
              <w:rPr>
                <w:iCs/>
                <w:sz w:val="22"/>
                <w:szCs w:val="22"/>
              </w:rPr>
            </w:pPr>
            <w:r w:rsidRPr="00E228DC">
              <w:rPr>
                <w:iCs/>
                <w:sz w:val="22"/>
                <w:szCs w:val="22"/>
              </w:rPr>
              <w:t>0</w:t>
            </w:r>
          </w:p>
        </w:tc>
        <w:tc>
          <w:tcPr>
            <w:tcW w:w="579" w:type="pct"/>
            <w:shd w:val="clear" w:color="auto" w:fill="auto"/>
          </w:tcPr>
          <w:p w14:paraId="098F9E43"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44"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shd w:val="clear" w:color="auto" w:fill="auto"/>
          </w:tcPr>
          <w:p w14:paraId="098F9E45"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46"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47"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51" w14:textId="77777777" w:rsidTr="00E228DC">
        <w:trPr>
          <w:gridAfter w:val="1"/>
          <w:wAfter w:w="14" w:type="pct"/>
        </w:trPr>
        <w:tc>
          <w:tcPr>
            <w:tcW w:w="814" w:type="pct"/>
            <w:shd w:val="clear" w:color="auto" w:fill="auto"/>
            <w:hideMark/>
          </w:tcPr>
          <w:p w14:paraId="098F9E49" w14:textId="77777777" w:rsidR="00E228DC" w:rsidRPr="0045389A" w:rsidRDefault="00E228DC" w:rsidP="00E228DC">
            <w:pPr>
              <w:spacing w:before="120"/>
              <w:rPr>
                <w:iCs/>
              </w:rPr>
            </w:pPr>
            <w:r w:rsidRPr="0045389A">
              <w:rPr>
                <w:iCs/>
              </w:rPr>
              <w:lastRenderedPageBreak/>
              <w:t>3.3. pašvaldību budžets</w:t>
            </w:r>
          </w:p>
        </w:tc>
        <w:tc>
          <w:tcPr>
            <w:tcW w:w="503" w:type="pct"/>
            <w:shd w:val="clear" w:color="auto" w:fill="auto"/>
          </w:tcPr>
          <w:p w14:paraId="098F9E4A" w14:textId="77777777" w:rsidR="00E228DC" w:rsidRPr="00E228DC" w:rsidRDefault="00E228DC" w:rsidP="00E228DC">
            <w:pPr>
              <w:spacing w:before="120"/>
              <w:jc w:val="center"/>
              <w:rPr>
                <w:iCs/>
                <w:sz w:val="22"/>
                <w:szCs w:val="22"/>
              </w:rPr>
            </w:pPr>
            <w:r w:rsidRPr="00E228DC">
              <w:rPr>
                <w:iCs/>
                <w:sz w:val="22"/>
                <w:szCs w:val="22"/>
              </w:rPr>
              <w:t>0</w:t>
            </w:r>
          </w:p>
        </w:tc>
        <w:tc>
          <w:tcPr>
            <w:tcW w:w="549" w:type="pct"/>
            <w:shd w:val="clear" w:color="auto" w:fill="auto"/>
          </w:tcPr>
          <w:p w14:paraId="098F9E4B" w14:textId="77777777" w:rsidR="00E228DC" w:rsidRPr="00E228DC" w:rsidRDefault="00E228DC" w:rsidP="00E228DC">
            <w:pPr>
              <w:spacing w:before="120"/>
              <w:jc w:val="center"/>
              <w:rPr>
                <w:iCs/>
                <w:sz w:val="22"/>
                <w:szCs w:val="22"/>
              </w:rPr>
            </w:pPr>
            <w:r w:rsidRPr="00E228DC">
              <w:rPr>
                <w:iCs/>
                <w:sz w:val="22"/>
                <w:szCs w:val="22"/>
              </w:rPr>
              <w:t>0</w:t>
            </w:r>
          </w:p>
        </w:tc>
        <w:tc>
          <w:tcPr>
            <w:tcW w:w="579" w:type="pct"/>
            <w:shd w:val="clear" w:color="auto" w:fill="auto"/>
          </w:tcPr>
          <w:p w14:paraId="098F9E4C"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4D"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shd w:val="clear" w:color="auto" w:fill="auto"/>
          </w:tcPr>
          <w:p w14:paraId="098F9E4E"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4F"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50"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5A" w14:textId="77777777" w:rsidTr="00E228DC">
        <w:trPr>
          <w:gridAfter w:val="1"/>
          <w:wAfter w:w="14" w:type="pct"/>
        </w:trPr>
        <w:tc>
          <w:tcPr>
            <w:tcW w:w="814" w:type="pct"/>
            <w:shd w:val="clear" w:color="auto" w:fill="auto"/>
            <w:hideMark/>
          </w:tcPr>
          <w:p w14:paraId="098F9E52" w14:textId="77777777" w:rsidR="00E228DC" w:rsidRPr="0045389A" w:rsidRDefault="00E228DC" w:rsidP="00E228DC">
            <w:pPr>
              <w:spacing w:before="120"/>
              <w:rPr>
                <w:iCs/>
              </w:rPr>
            </w:pPr>
            <w:r w:rsidRPr="0045389A">
              <w:rPr>
                <w:iCs/>
              </w:rPr>
              <w:t>4. Finanšu līdzekļi papildu izdevumu finansēšanai (kompensējošu izdevumu samazinājumu norāda ar "+" zīmi)</w:t>
            </w:r>
          </w:p>
        </w:tc>
        <w:tc>
          <w:tcPr>
            <w:tcW w:w="503" w:type="pct"/>
            <w:shd w:val="clear" w:color="auto" w:fill="auto"/>
          </w:tcPr>
          <w:p w14:paraId="098F9E53" w14:textId="4F6793EF" w:rsidR="00E228DC" w:rsidRPr="00E228DC" w:rsidRDefault="00634ABC" w:rsidP="00E228DC">
            <w:pPr>
              <w:spacing w:before="120"/>
              <w:jc w:val="center"/>
              <w:rPr>
                <w:iCs/>
                <w:sz w:val="22"/>
                <w:szCs w:val="22"/>
              </w:rPr>
            </w:pPr>
            <w:r>
              <w:rPr>
                <w:iCs/>
                <w:sz w:val="22"/>
                <w:szCs w:val="22"/>
              </w:rPr>
              <w:t>+</w:t>
            </w:r>
            <w:r w:rsidR="007C5209">
              <w:rPr>
                <w:iCs/>
                <w:sz w:val="22"/>
                <w:szCs w:val="22"/>
              </w:rPr>
              <w:t>29 783</w:t>
            </w:r>
          </w:p>
        </w:tc>
        <w:tc>
          <w:tcPr>
            <w:tcW w:w="549" w:type="pct"/>
            <w:shd w:val="clear" w:color="auto" w:fill="auto"/>
          </w:tcPr>
          <w:p w14:paraId="098F9E54" w14:textId="2CFA100B" w:rsidR="00E228DC" w:rsidRPr="00E228DC" w:rsidRDefault="007C5209" w:rsidP="00E228DC">
            <w:pPr>
              <w:spacing w:before="120"/>
              <w:jc w:val="center"/>
              <w:rPr>
                <w:iCs/>
                <w:sz w:val="22"/>
                <w:szCs w:val="22"/>
              </w:rPr>
            </w:pPr>
            <w:r>
              <w:rPr>
                <w:iCs/>
                <w:sz w:val="22"/>
                <w:szCs w:val="22"/>
              </w:rPr>
              <w:t>+7 221</w:t>
            </w:r>
          </w:p>
        </w:tc>
        <w:tc>
          <w:tcPr>
            <w:tcW w:w="579" w:type="pct"/>
            <w:shd w:val="clear" w:color="auto" w:fill="auto"/>
          </w:tcPr>
          <w:p w14:paraId="098F9E55" w14:textId="332B69F2" w:rsidR="00E228DC" w:rsidRPr="00E228DC" w:rsidRDefault="00634ABC" w:rsidP="00A55E74">
            <w:pPr>
              <w:spacing w:before="120"/>
              <w:jc w:val="center"/>
              <w:rPr>
                <w:iCs/>
                <w:sz w:val="22"/>
                <w:szCs w:val="22"/>
              </w:rPr>
            </w:pPr>
            <w:r>
              <w:rPr>
                <w:sz w:val="22"/>
                <w:szCs w:val="22"/>
              </w:rPr>
              <w:t>+</w:t>
            </w:r>
            <w:r w:rsidR="007C5209">
              <w:rPr>
                <w:sz w:val="22"/>
                <w:szCs w:val="22"/>
              </w:rPr>
              <w:t xml:space="preserve">319 </w:t>
            </w:r>
            <w:r w:rsidR="00A55E74">
              <w:rPr>
                <w:sz w:val="22"/>
                <w:szCs w:val="22"/>
              </w:rPr>
              <w:t>772</w:t>
            </w:r>
          </w:p>
        </w:tc>
        <w:tc>
          <w:tcPr>
            <w:tcW w:w="694" w:type="pct"/>
            <w:shd w:val="clear" w:color="auto" w:fill="auto"/>
          </w:tcPr>
          <w:p w14:paraId="098F9E56" w14:textId="238C411B" w:rsidR="00E228DC" w:rsidRPr="00E228DC" w:rsidRDefault="007C5209" w:rsidP="00A55E74">
            <w:pPr>
              <w:spacing w:before="120"/>
              <w:jc w:val="center"/>
              <w:rPr>
                <w:iCs/>
                <w:sz w:val="22"/>
                <w:szCs w:val="22"/>
              </w:rPr>
            </w:pPr>
            <w:r>
              <w:rPr>
                <w:iCs/>
                <w:sz w:val="22"/>
                <w:szCs w:val="22"/>
              </w:rPr>
              <w:t xml:space="preserve">+135 </w:t>
            </w:r>
            <w:r w:rsidR="00A55E74">
              <w:rPr>
                <w:iCs/>
                <w:sz w:val="22"/>
                <w:szCs w:val="22"/>
              </w:rPr>
              <w:t>367</w:t>
            </w:r>
          </w:p>
        </w:tc>
        <w:tc>
          <w:tcPr>
            <w:tcW w:w="459" w:type="pct"/>
            <w:gridSpan w:val="2"/>
            <w:shd w:val="clear" w:color="auto" w:fill="auto"/>
          </w:tcPr>
          <w:p w14:paraId="098F9E57" w14:textId="77777777" w:rsidR="00E228DC" w:rsidRPr="00E228DC" w:rsidRDefault="00E228DC" w:rsidP="00E228DC">
            <w:pPr>
              <w:spacing w:before="120"/>
              <w:jc w:val="center"/>
              <w:rPr>
                <w:iCs/>
                <w:sz w:val="22"/>
                <w:szCs w:val="22"/>
              </w:rPr>
            </w:pPr>
            <w:r w:rsidRPr="00E228DC">
              <w:rPr>
                <w:iCs/>
                <w:sz w:val="22"/>
                <w:szCs w:val="22"/>
              </w:rPr>
              <w:t>0</w:t>
            </w:r>
          </w:p>
        </w:tc>
        <w:tc>
          <w:tcPr>
            <w:tcW w:w="694" w:type="pct"/>
            <w:shd w:val="clear" w:color="auto" w:fill="auto"/>
          </w:tcPr>
          <w:p w14:paraId="098F9E58" w14:textId="56AA7AA1" w:rsidR="00E228DC" w:rsidRPr="00E228DC" w:rsidRDefault="00634ABC" w:rsidP="00E228DC">
            <w:pPr>
              <w:spacing w:before="120"/>
              <w:jc w:val="center"/>
              <w:rPr>
                <w:iCs/>
                <w:sz w:val="22"/>
                <w:szCs w:val="22"/>
              </w:rPr>
            </w:pPr>
            <w:r>
              <w:rPr>
                <w:iCs/>
                <w:sz w:val="22"/>
                <w:szCs w:val="22"/>
              </w:rPr>
              <w:t>+</w:t>
            </w:r>
            <w:r w:rsidR="007C5209" w:rsidRPr="00E228DC">
              <w:rPr>
                <w:sz w:val="22"/>
                <w:szCs w:val="22"/>
              </w:rPr>
              <w:t>317 303</w:t>
            </w:r>
          </w:p>
        </w:tc>
        <w:tc>
          <w:tcPr>
            <w:tcW w:w="694" w:type="pct"/>
            <w:gridSpan w:val="2"/>
            <w:shd w:val="clear" w:color="auto" w:fill="auto"/>
          </w:tcPr>
          <w:p w14:paraId="098F9E59" w14:textId="652F59D0" w:rsidR="00E228DC" w:rsidRPr="00E228DC" w:rsidRDefault="00634ABC" w:rsidP="00E228DC">
            <w:pPr>
              <w:spacing w:before="120"/>
              <w:jc w:val="center"/>
              <w:rPr>
                <w:iCs/>
                <w:sz w:val="22"/>
                <w:szCs w:val="22"/>
              </w:rPr>
            </w:pPr>
            <w:r>
              <w:rPr>
                <w:iCs/>
                <w:sz w:val="22"/>
                <w:szCs w:val="22"/>
              </w:rPr>
              <w:t>+</w:t>
            </w:r>
            <w:r w:rsidR="007C5209">
              <w:rPr>
                <w:iCs/>
                <w:sz w:val="22"/>
                <w:szCs w:val="22"/>
              </w:rPr>
              <w:t>40 000</w:t>
            </w:r>
          </w:p>
        </w:tc>
      </w:tr>
      <w:tr w:rsidR="00E228DC" w:rsidRPr="0045389A" w14:paraId="098F9E63" w14:textId="77777777" w:rsidTr="00E228DC">
        <w:trPr>
          <w:gridAfter w:val="1"/>
          <w:wAfter w:w="14" w:type="pct"/>
        </w:trPr>
        <w:tc>
          <w:tcPr>
            <w:tcW w:w="814" w:type="pct"/>
            <w:shd w:val="clear" w:color="auto" w:fill="auto"/>
            <w:hideMark/>
          </w:tcPr>
          <w:p w14:paraId="098F9E5B" w14:textId="77777777" w:rsidR="00E228DC" w:rsidRPr="0045389A" w:rsidRDefault="00E228DC" w:rsidP="00E228DC">
            <w:pPr>
              <w:spacing w:before="120"/>
              <w:rPr>
                <w:iCs/>
              </w:rPr>
            </w:pPr>
            <w:r w:rsidRPr="0045389A">
              <w:rPr>
                <w:iCs/>
              </w:rPr>
              <w:t>5. Precizēta finansiālā ietekme</w:t>
            </w:r>
          </w:p>
        </w:tc>
        <w:tc>
          <w:tcPr>
            <w:tcW w:w="503" w:type="pct"/>
            <w:vMerge w:val="restart"/>
            <w:shd w:val="clear" w:color="auto" w:fill="auto"/>
          </w:tcPr>
          <w:p w14:paraId="098F9E5C" w14:textId="77777777" w:rsidR="00E228DC" w:rsidRPr="00E228DC" w:rsidRDefault="00E228DC" w:rsidP="00E228DC">
            <w:pPr>
              <w:spacing w:before="120"/>
              <w:jc w:val="center"/>
              <w:rPr>
                <w:iCs/>
                <w:sz w:val="22"/>
                <w:szCs w:val="22"/>
              </w:rPr>
            </w:pPr>
            <w:r w:rsidRPr="00E228DC">
              <w:rPr>
                <w:iCs/>
                <w:sz w:val="22"/>
                <w:szCs w:val="22"/>
              </w:rPr>
              <w:t>X</w:t>
            </w:r>
          </w:p>
        </w:tc>
        <w:tc>
          <w:tcPr>
            <w:tcW w:w="549" w:type="pct"/>
            <w:shd w:val="clear" w:color="auto" w:fill="auto"/>
            <w:vAlign w:val="center"/>
          </w:tcPr>
          <w:p w14:paraId="098F9E5D" w14:textId="537FF325" w:rsidR="00E228DC" w:rsidRPr="00E228DC" w:rsidRDefault="00634ABC" w:rsidP="00E228DC">
            <w:pPr>
              <w:spacing w:before="120"/>
              <w:jc w:val="center"/>
              <w:rPr>
                <w:iCs/>
                <w:sz w:val="22"/>
                <w:szCs w:val="22"/>
              </w:rPr>
            </w:pPr>
            <w:r>
              <w:rPr>
                <w:sz w:val="22"/>
                <w:szCs w:val="22"/>
              </w:rPr>
              <w:t>0</w:t>
            </w:r>
          </w:p>
        </w:tc>
        <w:tc>
          <w:tcPr>
            <w:tcW w:w="579" w:type="pct"/>
            <w:vMerge w:val="restart"/>
            <w:shd w:val="clear" w:color="auto" w:fill="auto"/>
          </w:tcPr>
          <w:p w14:paraId="098F9E5E" w14:textId="77777777" w:rsidR="00E228DC" w:rsidRPr="00E228DC" w:rsidRDefault="00E228DC" w:rsidP="00E228DC">
            <w:pPr>
              <w:spacing w:before="120"/>
              <w:jc w:val="center"/>
              <w:rPr>
                <w:iCs/>
                <w:sz w:val="22"/>
                <w:szCs w:val="22"/>
              </w:rPr>
            </w:pPr>
            <w:r w:rsidRPr="00E228DC">
              <w:rPr>
                <w:iCs/>
                <w:sz w:val="22"/>
                <w:szCs w:val="22"/>
              </w:rPr>
              <w:t>X</w:t>
            </w:r>
          </w:p>
        </w:tc>
        <w:tc>
          <w:tcPr>
            <w:tcW w:w="694" w:type="pct"/>
            <w:shd w:val="clear" w:color="auto" w:fill="auto"/>
            <w:vAlign w:val="center"/>
          </w:tcPr>
          <w:p w14:paraId="098F9E5F" w14:textId="6E9FBDBC" w:rsidR="00E228DC" w:rsidRPr="00E228DC" w:rsidRDefault="00634ABC" w:rsidP="00E228DC">
            <w:pPr>
              <w:spacing w:before="120"/>
              <w:jc w:val="center"/>
              <w:rPr>
                <w:iCs/>
                <w:sz w:val="22"/>
                <w:szCs w:val="22"/>
              </w:rPr>
            </w:pPr>
            <w:r>
              <w:rPr>
                <w:iCs/>
                <w:sz w:val="22"/>
                <w:szCs w:val="22"/>
              </w:rPr>
              <w:t>0</w:t>
            </w:r>
          </w:p>
        </w:tc>
        <w:tc>
          <w:tcPr>
            <w:tcW w:w="459" w:type="pct"/>
            <w:gridSpan w:val="2"/>
            <w:vMerge w:val="restart"/>
            <w:shd w:val="clear" w:color="auto" w:fill="auto"/>
          </w:tcPr>
          <w:p w14:paraId="098F9E60" w14:textId="77777777" w:rsidR="00E228DC" w:rsidRPr="00E228DC" w:rsidRDefault="00E228DC" w:rsidP="00E228DC">
            <w:pPr>
              <w:spacing w:before="120"/>
              <w:jc w:val="center"/>
              <w:rPr>
                <w:iCs/>
                <w:sz w:val="22"/>
                <w:szCs w:val="22"/>
              </w:rPr>
            </w:pPr>
          </w:p>
        </w:tc>
        <w:tc>
          <w:tcPr>
            <w:tcW w:w="694" w:type="pct"/>
            <w:shd w:val="clear" w:color="auto" w:fill="auto"/>
            <w:vAlign w:val="center"/>
          </w:tcPr>
          <w:p w14:paraId="098F9E61" w14:textId="013ED9B3" w:rsidR="00E228DC" w:rsidRPr="00E228DC" w:rsidRDefault="00634ABC" w:rsidP="00E228DC">
            <w:pPr>
              <w:jc w:val="center"/>
              <w:rPr>
                <w:sz w:val="22"/>
                <w:szCs w:val="22"/>
              </w:rPr>
            </w:pPr>
            <w:r>
              <w:rPr>
                <w:sz w:val="22"/>
                <w:szCs w:val="22"/>
              </w:rPr>
              <w:t>0</w:t>
            </w:r>
          </w:p>
        </w:tc>
        <w:tc>
          <w:tcPr>
            <w:tcW w:w="694" w:type="pct"/>
            <w:gridSpan w:val="2"/>
            <w:shd w:val="clear" w:color="auto" w:fill="auto"/>
            <w:vAlign w:val="center"/>
          </w:tcPr>
          <w:p w14:paraId="098F9E62" w14:textId="63325A01" w:rsidR="00E228DC" w:rsidRPr="00E228DC" w:rsidRDefault="00634ABC" w:rsidP="00E228DC">
            <w:pPr>
              <w:jc w:val="center"/>
              <w:rPr>
                <w:sz w:val="22"/>
                <w:szCs w:val="22"/>
              </w:rPr>
            </w:pPr>
            <w:r>
              <w:rPr>
                <w:sz w:val="22"/>
                <w:szCs w:val="22"/>
              </w:rPr>
              <w:t>0</w:t>
            </w:r>
          </w:p>
        </w:tc>
      </w:tr>
      <w:tr w:rsidR="00E228DC" w:rsidRPr="0045389A" w14:paraId="098F9E6C" w14:textId="77777777" w:rsidTr="00E228DC">
        <w:trPr>
          <w:gridAfter w:val="1"/>
          <w:wAfter w:w="14" w:type="pct"/>
        </w:trPr>
        <w:tc>
          <w:tcPr>
            <w:tcW w:w="814" w:type="pct"/>
            <w:shd w:val="clear" w:color="auto" w:fill="auto"/>
            <w:hideMark/>
          </w:tcPr>
          <w:p w14:paraId="098F9E64" w14:textId="77777777" w:rsidR="00E228DC" w:rsidRPr="0045389A" w:rsidRDefault="00E228DC" w:rsidP="00E228DC">
            <w:pPr>
              <w:spacing w:before="120"/>
              <w:rPr>
                <w:iCs/>
              </w:rPr>
            </w:pPr>
            <w:r w:rsidRPr="0045389A">
              <w:rPr>
                <w:iCs/>
              </w:rPr>
              <w:t>5.1. valsts pamatbudžets</w:t>
            </w:r>
          </w:p>
        </w:tc>
        <w:tc>
          <w:tcPr>
            <w:tcW w:w="0" w:type="auto"/>
            <w:vMerge/>
            <w:shd w:val="clear" w:color="auto" w:fill="auto"/>
          </w:tcPr>
          <w:p w14:paraId="098F9E65" w14:textId="77777777" w:rsidR="00E228DC" w:rsidRPr="00E228DC" w:rsidRDefault="00E228DC" w:rsidP="00E228DC">
            <w:pPr>
              <w:spacing w:before="120"/>
              <w:rPr>
                <w:iCs/>
                <w:sz w:val="22"/>
                <w:szCs w:val="22"/>
              </w:rPr>
            </w:pPr>
          </w:p>
        </w:tc>
        <w:tc>
          <w:tcPr>
            <w:tcW w:w="549" w:type="pct"/>
            <w:shd w:val="clear" w:color="auto" w:fill="auto"/>
            <w:vAlign w:val="center"/>
          </w:tcPr>
          <w:p w14:paraId="098F9E66" w14:textId="1DB3B820" w:rsidR="00E228DC" w:rsidRPr="00E228DC" w:rsidRDefault="00634ABC" w:rsidP="00E228DC">
            <w:pPr>
              <w:spacing w:before="120"/>
              <w:jc w:val="center"/>
              <w:rPr>
                <w:iCs/>
                <w:sz w:val="22"/>
                <w:szCs w:val="22"/>
              </w:rPr>
            </w:pPr>
            <w:r>
              <w:rPr>
                <w:sz w:val="22"/>
                <w:szCs w:val="22"/>
              </w:rPr>
              <w:t>0</w:t>
            </w:r>
          </w:p>
        </w:tc>
        <w:tc>
          <w:tcPr>
            <w:tcW w:w="579" w:type="pct"/>
            <w:vMerge/>
            <w:shd w:val="clear" w:color="auto" w:fill="auto"/>
          </w:tcPr>
          <w:p w14:paraId="098F9E67" w14:textId="77777777" w:rsidR="00E228DC" w:rsidRPr="00E228DC" w:rsidRDefault="00E228DC" w:rsidP="00E228DC">
            <w:pPr>
              <w:spacing w:before="120"/>
              <w:rPr>
                <w:iCs/>
                <w:sz w:val="22"/>
                <w:szCs w:val="22"/>
              </w:rPr>
            </w:pPr>
          </w:p>
        </w:tc>
        <w:tc>
          <w:tcPr>
            <w:tcW w:w="694" w:type="pct"/>
            <w:shd w:val="clear" w:color="auto" w:fill="auto"/>
            <w:vAlign w:val="center"/>
          </w:tcPr>
          <w:p w14:paraId="098F9E68" w14:textId="12AB67D0" w:rsidR="00E228DC" w:rsidRPr="00E228DC" w:rsidRDefault="00634ABC" w:rsidP="00E228DC">
            <w:pPr>
              <w:spacing w:before="120"/>
              <w:jc w:val="center"/>
              <w:rPr>
                <w:iCs/>
                <w:sz w:val="22"/>
                <w:szCs w:val="22"/>
              </w:rPr>
            </w:pPr>
            <w:r>
              <w:rPr>
                <w:iCs/>
                <w:sz w:val="22"/>
                <w:szCs w:val="22"/>
              </w:rPr>
              <w:t>0</w:t>
            </w:r>
          </w:p>
        </w:tc>
        <w:tc>
          <w:tcPr>
            <w:tcW w:w="459" w:type="pct"/>
            <w:gridSpan w:val="2"/>
            <w:vMerge/>
            <w:shd w:val="clear" w:color="auto" w:fill="auto"/>
          </w:tcPr>
          <w:p w14:paraId="098F9E69" w14:textId="77777777" w:rsidR="00E228DC" w:rsidRPr="00E228DC" w:rsidRDefault="00E228DC" w:rsidP="00E228DC">
            <w:pPr>
              <w:spacing w:before="120"/>
              <w:rPr>
                <w:iCs/>
                <w:sz w:val="22"/>
                <w:szCs w:val="22"/>
              </w:rPr>
            </w:pPr>
          </w:p>
        </w:tc>
        <w:tc>
          <w:tcPr>
            <w:tcW w:w="694" w:type="pct"/>
            <w:shd w:val="clear" w:color="auto" w:fill="auto"/>
            <w:vAlign w:val="center"/>
          </w:tcPr>
          <w:p w14:paraId="098F9E6A" w14:textId="54BA5547" w:rsidR="00E228DC" w:rsidRPr="00E228DC" w:rsidRDefault="00634ABC" w:rsidP="00E228DC">
            <w:pPr>
              <w:spacing w:before="120"/>
              <w:jc w:val="center"/>
              <w:rPr>
                <w:iCs/>
                <w:sz w:val="22"/>
                <w:szCs w:val="22"/>
              </w:rPr>
            </w:pPr>
            <w:r>
              <w:rPr>
                <w:sz w:val="22"/>
                <w:szCs w:val="22"/>
              </w:rPr>
              <w:t>0</w:t>
            </w:r>
          </w:p>
        </w:tc>
        <w:tc>
          <w:tcPr>
            <w:tcW w:w="694" w:type="pct"/>
            <w:gridSpan w:val="2"/>
            <w:shd w:val="clear" w:color="auto" w:fill="auto"/>
            <w:vAlign w:val="center"/>
          </w:tcPr>
          <w:p w14:paraId="098F9E6B" w14:textId="0B665FE9" w:rsidR="00E228DC" w:rsidRPr="00E228DC" w:rsidRDefault="00634ABC" w:rsidP="00E228DC">
            <w:pPr>
              <w:spacing w:before="120"/>
              <w:jc w:val="center"/>
              <w:rPr>
                <w:iCs/>
                <w:sz w:val="22"/>
                <w:szCs w:val="22"/>
              </w:rPr>
            </w:pPr>
            <w:r>
              <w:rPr>
                <w:sz w:val="22"/>
                <w:szCs w:val="22"/>
              </w:rPr>
              <w:t>0</w:t>
            </w:r>
          </w:p>
        </w:tc>
      </w:tr>
      <w:tr w:rsidR="00E228DC" w:rsidRPr="0045389A" w14:paraId="098F9E75" w14:textId="77777777" w:rsidTr="00E228DC">
        <w:trPr>
          <w:gridAfter w:val="1"/>
          <w:wAfter w:w="14" w:type="pct"/>
        </w:trPr>
        <w:tc>
          <w:tcPr>
            <w:tcW w:w="814" w:type="pct"/>
            <w:shd w:val="clear" w:color="auto" w:fill="auto"/>
            <w:hideMark/>
          </w:tcPr>
          <w:p w14:paraId="098F9E6D" w14:textId="77777777" w:rsidR="00E228DC" w:rsidRPr="0045389A" w:rsidRDefault="00E228DC" w:rsidP="00E228DC">
            <w:pPr>
              <w:spacing w:before="120"/>
              <w:rPr>
                <w:iCs/>
              </w:rPr>
            </w:pPr>
            <w:r w:rsidRPr="0045389A">
              <w:rPr>
                <w:iCs/>
              </w:rPr>
              <w:t>5.2. speciālais budžets</w:t>
            </w:r>
          </w:p>
        </w:tc>
        <w:tc>
          <w:tcPr>
            <w:tcW w:w="0" w:type="auto"/>
            <w:vMerge/>
            <w:shd w:val="clear" w:color="auto" w:fill="auto"/>
          </w:tcPr>
          <w:p w14:paraId="098F9E6E" w14:textId="77777777" w:rsidR="00E228DC" w:rsidRPr="00E228DC" w:rsidRDefault="00E228DC" w:rsidP="00E228DC">
            <w:pPr>
              <w:spacing w:before="120"/>
              <w:rPr>
                <w:iCs/>
                <w:sz w:val="22"/>
                <w:szCs w:val="22"/>
              </w:rPr>
            </w:pPr>
          </w:p>
        </w:tc>
        <w:tc>
          <w:tcPr>
            <w:tcW w:w="549" w:type="pct"/>
            <w:shd w:val="clear" w:color="auto" w:fill="auto"/>
          </w:tcPr>
          <w:p w14:paraId="098F9E6F" w14:textId="77777777" w:rsidR="00E228DC" w:rsidRPr="00E228DC" w:rsidRDefault="00E228DC" w:rsidP="00E228DC">
            <w:pPr>
              <w:spacing w:before="120"/>
              <w:jc w:val="center"/>
              <w:rPr>
                <w:iCs/>
                <w:sz w:val="22"/>
                <w:szCs w:val="22"/>
              </w:rPr>
            </w:pPr>
            <w:r w:rsidRPr="00E228DC">
              <w:rPr>
                <w:iCs/>
                <w:sz w:val="22"/>
                <w:szCs w:val="22"/>
              </w:rPr>
              <w:t>0</w:t>
            </w:r>
          </w:p>
        </w:tc>
        <w:tc>
          <w:tcPr>
            <w:tcW w:w="579" w:type="pct"/>
            <w:vMerge/>
            <w:shd w:val="clear" w:color="auto" w:fill="auto"/>
          </w:tcPr>
          <w:p w14:paraId="098F9E70" w14:textId="77777777" w:rsidR="00E228DC" w:rsidRPr="00E228DC" w:rsidRDefault="00E228DC" w:rsidP="00E228DC">
            <w:pPr>
              <w:spacing w:before="120"/>
              <w:jc w:val="center"/>
              <w:rPr>
                <w:iCs/>
                <w:sz w:val="22"/>
                <w:szCs w:val="22"/>
              </w:rPr>
            </w:pPr>
          </w:p>
        </w:tc>
        <w:tc>
          <w:tcPr>
            <w:tcW w:w="694" w:type="pct"/>
            <w:shd w:val="clear" w:color="auto" w:fill="auto"/>
          </w:tcPr>
          <w:p w14:paraId="098F9E71"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vMerge/>
            <w:shd w:val="clear" w:color="auto" w:fill="auto"/>
          </w:tcPr>
          <w:p w14:paraId="098F9E72" w14:textId="77777777" w:rsidR="00E228DC" w:rsidRPr="00E228DC" w:rsidRDefault="00E228DC" w:rsidP="00E228DC">
            <w:pPr>
              <w:spacing w:before="120"/>
              <w:jc w:val="center"/>
              <w:rPr>
                <w:iCs/>
                <w:sz w:val="22"/>
                <w:szCs w:val="22"/>
              </w:rPr>
            </w:pPr>
          </w:p>
        </w:tc>
        <w:tc>
          <w:tcPr>
            <w:tcW w:w="694" w:type="pct"/>
            <w:shd w:val="clear" w:color="auto" w:fill="auto"/>
          </w:tcPr>
          <w:p w14:paraId="098F9E73"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74"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7E" w14:textId="77777777" w:rsidTr="00E228DC">
        <w:trPr>
          <w:gridAfter w:val="1"/>
          <w:wAfter w:w="14" w:type="pct"/>
        </w:trPr>
        <w:tc>
          <w:tcPr>
            <w:tcW w:w="814" w:type="pct"/>
            <w:shd w:val="clear" w:color="auto" w:fill="auto"/>
            <w:hideMark/>
          </w:tcPr>
          <w:p w14:paraId="098F9E76" w14:textId="77777777" w:rsidR="00E228DC" w:rsidRPr="0045389A" w:rsidRDefault="00E228DC" w:rsidP="00E228DC">
            <w:pPr>
              <w:spacing w:before="120"/>
              <w:rPr>
                <w:iCs/>
              </w:rPr>
            </w:pPr>
            <w:r w:rsidRPr="0045389A">
              <w:rPr>
                <w:iCs/>
              </w:rPr>
              <w:t>5.3. pašvaldību budžets</w:t>
            </w:r>
          </w:p>
        </w:tc>
        <w:tc>
          <w:tcPr>
            <w:tcW w:w="0" w:type="auto"/>
            <w:vMerge/>
            <w:shd w:val="clear" w:color="auto" w:fill="auto"/>
          </w:tcPr>
          <w:p w14:paraId="098F9E77" w14:textId="77777777" w:rsidR="00E228DC" w:rsidRPr="00E228DC" w:rsidRDefault="00E228DC" w:rsidP="00E228DC">
            <w:pPr>
              <w:spacing w:before="120"/>
              <w:rPr>
                <w:iCs/>
                <w:sz w:val="22"/>
                <w:szCs w:val="22"/>
              </w:rPr>
            </w:pPr>
          </w:p>
        </w:tc>
        <w:tc>
          <w:tcPr>
            <w:tcW w:w="549" w:type="pct"/>
            <w:shd w:val="clear" w:color="auto" w:fill="auto"/>
          </w:tcPr>
          <w:p w14:paraId="098F9E78" w14:textId="77777777" w:rsidR="00E228DC" w:rsidRPr="00E228DC" w:rsidRDefault="00E228DC" w:rsidP="00E228DC">
            <w:pPr>
              <w:spacing w:before="120"/>
              <w:jc w:val="center"/>
              <w:rPr>
                <w:iCs/>
                <w:sz w:val="22"/>
                <w:szCs w:val="22"/>
              </w:rPr>
            </w:pPr>
            <w:r w:rsidRPr="00E228DC">
              <w:rPr>
                <w:iCs/>
                <w:sz w:val="22"/>
                <w:szCs w:val="22"/>
              </w:rPr>
              <w:t>0</w:t>
            </w:r>
          </w:p>
        </w:tc>
        <w:tc>
          <w:tcPr>
            <w:tcW w:w="579" w:type="pct"/>
            <w:vMerge/>
            <w:shd w:val="clear" w:color="auto" w:fill="auto"/>
          </w:tcPr>
          <w:p w14:paraId="098F9E79" w14:textId="77777777" w:rsidR="00E228DC" w:rsidRPr="00E228DC" w:rsidRDefault="00E228DC" w:rsidP="00E228DC">
            <w:pPr>
              <w:spacing w:before="120"/>
              <w:jc w:val="center"/>
              <w:rPr>
                <w:iCs/>
                <w:sz w:val="22"/>
                <w:szCs w:val="22"/>
              </w:rPr>
            </w:pPr>
          </w:p>
        </w:tc>
        <w:tc>
          <w:tcPr>
            <w:tcW w:w="694" w:type="pct"/>
            <w:shd w:val="clear" w:color="auto" w:fill="auto"/>
          </w:tcPr>
          <w:p w14:paraId="098F9E7A" w14:textId="77777777" w:rsidR="00E228DC" w:rsidRPr="00E228DC" w:rsidRDefault="00E228DC" w:rsidP="00E228DC">
            <w:pPr>
              <w:spacing w:before="120"/>
              <w:jc w:val="center"/>
              <w:rPr>
                <w:iCs/>
                <w:sz w:val="22"/>
                <w:szCs w:val="22"/>
              </w:rPr>
            </w:pPr>
            <w:r w:rsidRPr="00E228DC">
              <w:rPr>
                <w:iCs/>
                <w:sz w:val="22"/>
                <w:szCs w:val="22"/>
              </w:rPr>
              <w:t>0</w:t>
            </w:r>
          </w:p>
        </w:tc>
        <w:tc>
          <w:tcPr>
            <w:tcW w:w="459" w:type="pct"/>
            <w:gridSpan w:val="2"/>
            <w:vMerge/>
            <w:shd w:val="clear" w:color="auto" w:fill="auto"/>
          </w:tcPr>
          <w:p w14:paraId="098F9E7B" w14:textId="77777777" w:rsidR="00E228DC" w:rsidRPr="00E228DC" w:rsidRDefault="00E228DC" w:rsidP="00E228DC">
            <w:pPr>
              <w:spacing w:before="120"/>
              <w:jc w:val="center"/>
              <w:rPr>
                <w:iCs/>
                <w:sz w:val="22"/>
                <w:szCs w:val="22"/>
              </w:rPr>
            </w:pPr>
          </w:p>
        </w:tc>
        <w:tc>
          <w:tcPr>
            <w:tcW w:w="694" w:type="pct"/>
            <w:shd w:val="clear" w:color="auto" w:fill="auto"/>
          </w:tcPr>
          <w:p w14:paraId="098F9E7C" w14:textId="77777777" w:rsidR="00E228DC" w:rsidRPr="00E228DC" w:rsidRDefault="00E228DC" w:rsidP="00E228DC">
            <w:pPr>
              <w:spacing w:before="120"/>
              <w:jc w:val="center"/>
              <w:rPr>
                <w:iCs/>
                <w:sz w:val="22"/>
                <w:szCs w:val="22"/>
              </w:rPr>
            </w:pPr>
            <w:r w:rsidRPr="00E228DC">
              <w:rPr>
                <w:iCs/>
                <w:sz w:val="22"/>
                <w:szCs w:val="22"/>
              </w:rPr>
              <w:t>0</w:t>
            </w:r>
          </w:p>
        </w:tc>
        <w:tc>
          <w:tcPr>
            <w:tcW w:w="694" w:type="pct"/>
            <w:gridSpan w:val="2"/>
            <w:shd w:val="clear" w:color="auto" w:fill="auto"/>
          </w:tcPr>
          <w:p w14:paraId="098F9E7D" w14:textId="77777777" w:rsidR="00E228DC" w:rsidRPr="00E228DC" w:rsidRDefault="00E228DC" w:rsidP="00E228DC">
            <w:pPr>
              <w:spacing w:before="120"/>
              <w:jc w:val="center"/>
              <w:rPr>
                <w:iCs/>
                <w:sz w:val="22"/>
                <w:szCs w:val="22"/>
              </w:rPr>
            </w:pPr>
            <w:r w:rsidRPr="00E228DC">
              <w:rPr>
                <w:iCs/>
                <w:sz w:val="22"/>
                <w:szCs w:val="22"/>
              </w:rPr>
              <w:t>0</w:t>
            </w:r>
          </w:p>
        </w:tc>
      </w:tr>
      <w:tr w:rsidR="00E228DC" w:rsidRPr="0045389A" w14:paraId="098F9E88" w14:textId="77777777" w:rsidTr="00E228DC">
        <w:tc>
          <w:tcPr>
            <w:tcW w:w="814" w:type="pct"/>
            <w:shd w:val="clear" w:color="auto" w:fill="auto"/>
            <w:hideMark/>
          </w:tcPr>
          <w:p w14:paraId="098F9E7F" w14:textId="77777777" w:rsidR="00E228DC" w:rsidRPr="0045389A" w:rsidRDefault="00E228DC" w:rsidP="00E228DC">
            <w:pPr>
              <w:spacing w:before="120"/>
              <w:rPr>
                <w:iCs/>
              </w:rPr>
            </w:pPr>
            <w:r w:rsidRPr="0045389A">
              <w:rPr>
                <w:iCs/>
              </w:rPr>
              <w:t>6. Detalizēts ieņēmumu un izdevumu aprēķins (ja nepieciešams, detalizētu ieņēmumu un izdevumu aprēķinu var pievienot anotācijas pielikumā)</w:t>
            </w:r>
          </w:p>
        </w:tc>
        <w:tc>
          <w:tcPr>
            <w:tcW w:w="4186" w:type="pct"/>
            <w:gridSpan w:val="10"/>
            <w:vMerge w:val="restart"/>
            <w:shd w:val="clear" w:color="auto" w:fill="auto"/>
          </w:tcPr>
          <w:p w14:paraId="098F9E80" w14:textId="77777777" w:rsidR="00E228DC" w:rsidRPr="0045389A" w:rsidRDefault="00E228DC" w:rsidP="00E228DC">
            <w:pPr>
              <w:spacing w:before="120" w:after="120"/>
              <w:jc w:val="both"/>
              <w:rPr>
                <w:rFonts w:eastAsia="Calibri"/>
                <w:lang w:eastAsia="en-US"/>
              </w:rPr>
            </w:pPr>
            <w:r w:rsidRPr="0045389A">
              <w:rPr>
                <w:rFonts w:eastAsia="Calibri"/>
                <w:lang w:eastAsia="en-US"/>
              </w:rPr>
              <w:t xml:space="preserve">Projekta kopējās izmaksas: </w:t>
            </w:r>
          </w:p>
          <w:p w14:paraId="098F9E81" w14:textId="35648968" w:rsidR="00E228DC" w:rsidRPr="0045389A" w:rsidRDefault="00E228DC" w:rsidP="00E228DC">
            <w:pPr>
              <w:spacing w:before="120" w:after="120"/>
              <w:jc w:val="both"/>
              <w:rPr>
                <w:rFonts w:eastAsia="Calibri"/>
                <w:lang w:eastAsia="en-US"/>
              </w:rPr>
            </w:pPr>
            <w:r w:rsidRPr="0045389A">
              <w:rPr>
                <w:rFonts w:eastAsia="Calibri"/>
                <w:lang w:eastAsia="en-US"/>
              </w:rPr>
              <w:t xml:space="preserve">Atbilstoši Projekta plānotajām izmaksām Sistēmas izstrādes izmaksas ir 3,5 milj. </w:t>
            </w:r>
            <w:proofErr w:type="spellStart"/>
            <w:r w:rsidRPr="0045389A">
              <w:rPr>
                <w:rFonts w:eastAsia="Calibri"/>
                <w:i/>
                <w:lang w:eastAsia="en-US"/>
              </w:rPr>
              <w:t>euro</w:t>
            </w:r>
            <w:proofErr w:type="spellEnd"/>
            <w:r>
              <w:rPr>
                <w:rFonts w:eastAsia="Calibri"/>
                <w:lang w:eastAsia="en-US"/>
              </w:rPr>
              <w:t xml:space="preserve">, </w:t>
            </w:r>
            <w:r w:rsidRPr="0045389A">
              <w:rPr>
                <w:rFonts w:eastAsia="Calibri"/>
                <w:lang w:eastAsia="en-US"/>
              </w:rPr>
              <w:t xml:space="preserve">no tā 2019. gadā – </w:t>
            </w:r>
            <w:r w:rsidRPr="0045389A">
              <w:rPr>
                <w:bCs/>
              </w:rPr>
              <w:t>4 865</w:t>
            </w:r>
            <w:r w:rsidRPr="0045389A">
              <w:rPr>
                <w:rFonts w:eastAsia="Calibri"/>
                <w:lang w:eastAsia="en-US"/>
              </w:rPr>
              <w:t xml:space="preserve"> </w:t>
            </w:r>
            <w:proofErr w:type="spellStart"/>
            <w:r w:rsidRPr="0045389A">
              <w:rPr>
                <w:rFonts w:eastAsia="Calibri"/>
                <w:i/>
                <w:lang w:eastAsia="en-US"/>
              </w:rPr>
              <w:t>euro</w:t>
            </w:r>
            <w:proofErr w:type="spellEnd"/>
            <w:r w:rsidRPr="0045389A">
              <w:rPr>
                <w:rFonts w:eastAsia="Calibri"/>
                <w:lang w:eastAsia="en-US"/>
              </w:rPr>
              <w:t xml:space="preserve">, 2020. gadā – </w:t>
            </w:r>
            <w:r w:rsidRPr="0045389A">
              <w:rPr>
                <w:bCs/>
              </w:rPr>
              <w:t>150 415</w:t>
            </w:r>
            <w:r w:rsidRPr="0045389A">
              <w:rPr>
                <w:rFonts w:eastAsia="Calibri"/>
                <w:lang w:eastAsia="en-US"/>
              </w:rPr>
              <w:t xml:space="preserve"> </w:t>
            </w:r>
            <w:proofErr w:type="spellStart"/>
            <w:r w:rsidRPr="0045389A">
              <w:rPr>
                <w:rFonts w:eastAsia="Calibri"/>
                <w:i/>
                <w:lang w:eastAsia="en-US"/>
              </w:rPr>
              <w:t>euro</w:t>
            </w:r>
            <w:proofErr w:type="spellEnd"/>
            <w:r w:rsidRPr="0045389A">
              <w:rPr>
                <w:rFonts w:eastAsia="Calibri"/>
                <w:i/>
                <w:lang w:eastAsia="en-US"/>
              </w:rPr>
              <w:t>,</w:t>
            </w:r>
            <w:r w:rsidRPr="0045389A">
              <w:rPr>
                <w:rFonts w:eastAsia="Calibri"/>
                <w:lang w:eastAsia="en-US"/>
              </w:rPr>
              <w:t xml:space="preserve"> 2021. gadā – </w:t>
            </w:r>
            <w:r w:rsidRPr="0045389A">
              <w:rPr>
                <w:bCs/>
              </w:rPr>
              <w:t xml:space="preserve">1 229 369 </w:t>
            </w:r>
            <w:proofErr w:type="spellStart"/>
            <w:r w:rsidRPr="0045389A">
              <w:rPr>
                <w:rFonts w:eastAsia="Calibri"/>
                <w:i/>
                <w:lang w:eastAsia="en-US"/>
              </w:rPr>
              <w:t>euro</w:t>
            </w:r>
            <w:proofErr w:type="spellEnd"/>
            <w:r w:rsidRPr="0045389A">
              <w:rPr>
                <w:rFonts w:eastAsia="Calibri"/>
                <w:lang w:eastAsia="en-US"/>
              </w:rPr>
              <w:t>, 2022. gadā –</w:t>
            </w:r>
            <w:r w:rsidRPr="0045389A">
              <w:rPr>
                <w:bCs/>
              </w:rPr>
              <w:t xml:space="preserve"> 2 115 351 </w:t>
            </w:r>
            <w:proofErr w:type="spellStart"/>
            <w:r w:rsidRPr="0045389A">
              <w:rPr>
                <w:rFonts w:eastAsia="Calibri"/>
                <w:i/>
                <w:lang w:eastAsia="en-US"/>
              </w:rPr>
              <w:t>euro</w:t>
            </w:r>
            <w:proofErr w:type="spellEnd"/>
            <w:r w:rsidRPr="0045389A">
              <w:rPr>
                <w:rFonts w:eastAsia="Calibri"/>
                <w:lang w:eastAsia="en-US"/>
              </w:rPr>
              <w:t xml:space="preserve">,  tai skaitā 2 975 000 </w:t>
            </w:r>
            <w:proofErr w:type="spellStart"/>
            <w:r w:rsidRPr="0045389A">
              <w:rPr>
                <w:rFonts w:eastAsia="Calibri"/>
                <w:i/>
                <w:lang w:eastAsia="en-US"/>
              </w:rPr>
              <w:t>euro</w:t>
            </w:r>
            <w:proofErr w:type="spellEnd"/>
            <w:r w:rsidRPr="0045389A">
              <w:rPr>
                <w:rFonts w:eastAsia="Calibri"/>
                <w:lang w:eastAsia="en-US"/>
              </w:rPr>
              <w:t xml:space="preserve"> tiks finansēti no Eiropas Reģionālās attīstības fonda līdzekļiem, no tiem 2019.gadā – </w:t>
            </w:r>
            <w:r w:rsidRPr="0045389A">
              <w:rPr>
                <w:bCs/>
              </w:rPr>
              <w:t xml:space="preserve">4 135 </w:t>
            </w:r>
            <w:proofErr w:type="spellStart"/>
            <w:r w:rsidRPr="0045389A">
              <w:rPr>
                <w:rFonts w:eastAsia="Calibri"/>
                <w:i/>
                <w:lang w:eastAsia="en-US"/>
              </w:rPr>
              <w:t>euro</w:t>
            </w:r>
            <w:proofErr w:type="spellEnd"/>
            <w:r w:rsidRPr="0045389A">
              <w:rPr>
                <w:rFonts w:eastAsia="Calibri"/>
                <w:i/>
                <w:lang w:eastAsia="en-US"/>
              </w:rPr>
              <w:t xml:space="preserve">, </w:t>
            </w:r>
            <w:r w:rsidRPr="0045389A">
              <w:rPr>
                <w:rFonts w:eastAsia="Calibri"/>
                <w:lang w:eastAsia="en-US"/>
              </w:rPr>
              <w:t xml:space="preserve">2020. gadā – </w:t>
            </w:r>
            <w:r w:rsidRPr="0045389A">
              <w:rPr>
                <w:bCs/>
              </w:rPr>
              <w:t xml:space="preserve">127 853 </w:t>
            </w:r>
            <w:proofErr w:type="spellStart"/>
            <w:r w:rsidRPr="0045389A">
              <w:rPr>
                <w:rFonts w:eastAsia="Calibri"/>
                <w:i/>
                <w:lang w:eastAsia="en-US"/>
              </w:rPr>
              <w:t>euro</w:t>
            </w:r>
            <w:proofErr w:type="spellEnd"/>
            <w:r w:rsidRPr="0045389A">
              <w:rPr>
                <w:rFonts w:eastAsia="Calibri"/>
                <w:i/>
                <w:lang w:eastAsia="en-US"/>
              </w:rPr>
              <w:t xml:space="preserve"> </w:t>
            </w:r>
            <w:r w:rsidRPr="0045389A">
              <w:rPr>
                <w:rFonts w:eastAsia="Calibri"/>
                <w:lang w:eastAsia="en-US"/>
              </w:rPr>
              <w:t>un 2021.gadā –  </w:t>
            </w:r>
            <w:r w:rsidRPr="0045389A">
              <w:rPr>
                <w:bCs/>
              </w:rPr>
              <w:t xml:space="preserve">1 044 964 </w:t>
            </w:r>
            <w:proofErr w:type="spellStart"/>
            <w:r w:rsidRPr="0045389A">
              <w:rPr>
                <w:rFonts w:eastAsia="Calibri"/>
                <w:i/>
                <w:lang w:eastAsia="en-US"/>
              </w:rPr>
              <w:t>euro</w:t>
            </w:r>
            <w:proofErr w:type="spellEnd"/>
            <w:r w:rsidRPr="0045389A">
              <w:rPr>
                <w:rFonts w:eastAsia="Calibri"/>
                <w:lang w:eastAsia="en-US"/>
              </w:rPr>
              <w:t xml:space="preserve">, 2022. gadā – </w:t>
            </w:r>
            <w:r w:rsidRPr="0045389A">
              <w:rPr>
                <w:bCs/>
              </w:rPr>
              <w:t xml:space="preserve">1 798 048 </w:t>
            </w:r>
            <w:proofErr w:type="spellStart"/>
            <w:r w:rsidRPr="0045389A">
              <w:rPr>
                <w:rFonts w:eastAsia="Calibri"/>
                <w:i/>
                <w:lang w:eastAsia="en-US"/>
              </w:rPr>
              <w:t>euro</w:t>
            </w:r>
            <w:proofErr w:type="spellEnd"/>
            <w:r w:rsidRPr="0045389A">
              <w:rPr>
                <w:rFonts w:eastAsia="Calibri"/>
                <w:i/>
                <w:lang w:eastAsia="en-US"/>
              </w:rPr>
              <w:t>.</w:t>
            </w:r>
          </w:p>
          <w:p w14:paraId="098F9E82" w14:textId="7722949E" w:rsidR="00E228DC" w:rsidRPr="0045389A" w:rsidRDefault="00E228DC" w:rsidP="00E228DC">
            <w:pPr>
              <w:spacing w:before="120"/>
              <w:jc w:val="both"/>
              <w:rPr>
                <w:rFonts w:eastAsia="Calibri"/>
                <w:lang w:eastAsia="en-US"/>
              </w:rPr>
            </w:pPr>
            <w:r w:rsidRPr="0045389A">
              <w:rPr>
                <w:rFonts w:eastAsia="Calibri"/>
                <w:lang w:eastAsia="en-US"/>
              </w:rPr>
              <w:t xml:space="preserve">Valsts budžeta finansējums 525 000 </w:t>
            </w:r>
            <w:proofErr w:type="spellStart"/>
            <w:r w:rsidRPr="0045389A">
              <w:rPr>
                <w:rFonts w:eastAsia="Calibri"/>
                <w:i/>
                <w:lang w:eastAsia="en-US"/>
              </w:rPr>
              <w:t>euro</w:t>
            </w:r>
            <w:proofErr w:type="spellEnd"/>
            <w:r w:rsidRPr="0045389A">
              <w:rPr>
                <w:rFonts w:eastAsia="Calibri"/>
                <w:i/>
                <w:lang w:eastAsia="en-US"/>
              </w:rPr>
              <w:t xml:space="preserve">, </w:t>
            </w:r>
            <w:r w:rsidRPr="0045389A">
              <w:rPr>
                <w:rFonts w:eastAsia="Calibri"/>
                <w:lang w:eastAsia="en-US"/>
              </w:rPr>
              <w:t xml:space="preserve">no tiem 2019. gadā – </w:t>
            </w:r>
            <w:r w:rsidRPr="0045389A">
              <w:rPr>
                <w:lang w:eastAsia="en-US"/>
              </w:rPr>
              <w:t xml:space="preserve">730 </w:t>
            </w:r>
            <w:r w:rsidRPr="0045389A">
              <w:rPr>
                <w:rFonts w:eastAsia="Calibri"/>
                <w:lang w:eastAsia="en-US"/>
              </w:rPr>
              <w:t> </w:t>
            </w:r>
            <w:proofErr w:type="spellStart"/>
            <w:r w:rsidRPr="0045389A">
              <w:rPr>
                <w:rFonts w:eastAsia="Calibri"/>
                <w:i/>
                <w:lang w:eastAsia="en-US"/>
              </w:rPr>
              <w:t>euro</w:t>
            </w:r>
            <w:proofErr w:type="spellEnd"/>
            <w:r w:rsidRPr="0045389A">
              <w:rPr>
                <w:rFonts w:eastAsia="Calibri"/>
                <w:i/>
                <w:lang w:eastAsia="en-US"/>
              </w:rPr>
              <w:t xml:space="preserve">, </w:t>
            </w:r>
            <w:r w:rsidRPr="0045389A">
              <w:rPr>
                <w:rFonts w:eastAsia="Calibri"/>
                <w:lang w:eastAsia="en-US"/>
              </w:rPr>
              <w:t xml:space="preserve">2020. gadā – </w:t>
            </w:r>
            <w:r w:rsidRPr="0045389A">
              <w:t>22 562</w:t>
            </w:r>
            <w:r w:rsidRPr="0045389A">
              <w:rPr>
                <w:rFonts w:eastAsia="Calibri"/>
                <w:lang w:eastAsia="en-US"/>
              </w:rPr>
              <w:t xml:space="preserve"> </w:t>
            </w:r>
            <w:proofErr w:type="spellStart"/>
            <w:r w:rsidRPr="0045389A">
              <w:rPr>
                <w:rFonts w:eastAsia="Calibri"/>
                <w:i/>
                <w:lang w:eastAsia="en-US"/>
              </w:rPr>
              <w:t>euro</w:t>
            </w:r>
            <w:proofErr w:type="spellEnd"/>
            <w:r w:rsidRPr="0045389A">
              <w:rPr>
                <w:rFonts w:eastAsia="Calibri"/>
                <w:lang w:eastAsia="en-US"/>
              </w:rPr>
              <w:t xml:space="preserve">, 2021. gadā – 184 405 </w:t>
            </w:r>
            <w:proofErr w:type="spellStart"/>
            <w:r w:rsidRPr="0045389A">
              <w:rPr>
                <w:rFonts w:eastAsia="Calibri"/>
                <w:i/>
                <w:lang w:eastAsia="en-US"/>
              </w:rPr>
              <w:t>euro</w:t>
            </w:r>
            <w:proofErr w:type="spellEnd"/>
            <w:r w:rsidRPr="0045389A">
              <w:rPr>
                <w:rFonts w:eastAsia="Calibri"/>
                <w:lang w:eastAsia="en-US"/>
              </w:rPr>
              <w:t xml:space="preserve">, 2022. gadā – </w:t>
            </w:r>
            <w:r w:rsidRPr="0045389A">
              <w:t>317 303</w:t>
            </w:r>
            <w:r w:rsidRPr="0045389A">
              <w:rPr>
                <w:rFonts w:eastAsia="Calibri"/>
                <w:lang w:eastAsia="en-US"/>
              </w:rPr>
              <w:t xml:space="preserve"> </w:t>
            </w:r>
            <w:proofErr w:type="spellStart"/>
            <w:r w:rsidRPr="0045389A">
              <w:rPr>
                <w:rFonts w:eastAsia="Calibri"/>
                <w:i/>
                <w:lang w:eastAsia="en-US"/>
              </w:rPr>
              <w:t>euro</w:t>
            </w:r>
            <w:proofErr w:type="spellEnd"/>
            <w:r w:rsidRPr="0045389A">
              <w:rPr>
                <w:rFonts w:eastAsia="Calibri"/>
                <w:lang w:eastAsia="en-US"/>
              </w:rPr>
              <w:t>.</w:t>
            </w:r>
          </w:p>
          <w:p w14:paraId="098F9E83" w14:textId="77777777" w:rsidR="00E228DC" w:rsidRPr="0045389A" w:rsidRDefault="00E228DC" w:rsidP="00E228DC">
            <w:pPr>
              <w:spacing w:before="120"/>
              <w:jc w:val="both"/>
              <w:rPr>
                <w:rFonts w:eastAsia="Calibri"/>
                <w:lang w:eastAsia="en-US"/>
              </w:rPr>
            </w:pPr>
            <w:r w:rsidRPr="0045389A">
              <w:rPr>
                <w:rFonts w:eastAsia="Calibri"/>
                <w:lang w:eastAsia="en-US"/>
              </w:rPr>
              <w:t>Lai nodrošinātu Projekta ietvaros izstrādāto un ieviesto IKT risinājumu ilgtspēju, pēc Projekta beigām ir plānojamas to uzturēšanas izmaksas.</w:t>
            </w:r>
          </w:p>
          <w:p w14:paraId="098F9E84" w14:textId="62F15C55" w:rsidR="00E228DC" w:rsidRPr="0045389A" w:rsidRDefault="00E228DC" w:rsidP="00E228DC">
            <w:pPr>
              <w:pStyle w:val="ListParagraph"/>
              <w:spacing w:before="120" w:after="160" w:line="259" w:lineRule="auto"/>
              <w:ind w:left="0"/>
              <w:jc w:val="both"/>
              <w:rPr>
                <w:rFonts w:eastAsia="Calibri"/>
              </w:rPr>
            </w:pPr>
            <w:r w:rsidRPr="0045389A">
              <w:rPr>
                <w:rFonts w:eastAsia="Calibri"/>
              </w:rPr>
              <w:t xml:space="preserve">Pēc Projekta pabeigšanas, sākot ar 2023. gadu, ir plānots, ka kopējās Projekta ietvaros izstrādātās Sistēmas funkcionalitātes uzturēšanas izmaksas būs 120 000,00 </w:t>
            </w:r>
            <w:proofErr w:type="spellStart"/>
            <w:r w:rsidRPr="0045389A">
              <w:rPr>
                <w:rFonts w:eastAsia="Calibri"/>
                <w:i/>
              </w:rPr>
              <w:t>euro</w:t>
            </w:r>
            <w:proofErr w:type="spellEnd"/>
            <w:r w:rsidRPr="0045389A">
              <w:rPr>
                <w:rFonts w:eastAsia="Calibri"/>
              </w:rPr>
              <w:t xml:space="preserve"> gadā, tai skaitā:</w:t>
            </w:r>
          </w:p>
          <w:p w14:paraId="098F9E85" w14:textId="77777777" w:rsidR="00E228DC" w:rsidRPr="0045389A" w:rsidRDefault="00E228DC" w:rsidP="00E228DC">
            <w:pPr>
              <w:pStyle w:val="ListParagraph"/>
              <w:numPr>
                <w:ilvl w:val="0"/>
                <w:numId w:val="29"/>
              </w:numPr>
              <w:spacing w:before="120" w:after="160" w:line="259" w:lineRule="auto"/>
              <w:jc w:val="both"/>
              <w:rPr>
                <w:rFonts w:eastAsia="Calibri"/>
              </w:rPr>
            </w:pPr>
            <w:r w:rsidRPr="0045389A">
              <w:rPr>
                <w:rFonts w:eastAsia="Calibri"/>
              </w:rPr>
              <w:t xml:space="preserve">80 000,00 </w:t>
            </w:r>
            <w:proofErr w:type="spellStart"/>
            <w:r w:rsidRPr="0045389A">
              <w:rPr>
                <w:rFonts w:eastAsia="Calibri"/>
                <w:i/>
              </w:rPr>
              <w:t>euro</w:t>
            </w:r>
            <w:proofErr w:type="spellEnd"/>
            <w:r w:rsidRPr="0045389A">
              <w:rPr>
                <w:rFonts w:eastAsia="Calibri"/>
                <w:i/>
              </w:rPr>
              <w:t xml:space="preserve">, </w:t>
            </w:r>
            <w:r w:rsidRPr="0045389A">
              <w:rPr>
                <w:rFonts w:eastAsia="Calibri"/>
              </w:rPr>
              <w:t>kurus plānots segt no Izglītības un zinātnes ministrijas budžeta programmas 07.00.00. “Informācijas un komunikācijas tehnoloģiju uzturēšana un attīstība” pieejamajiem līdzekļiem;</w:t>
            </w:r>
          </w:p>
          <w:p w14:paraId="098F9E86" w14:textId="77777777" w:rsidR="00E228DC" w:rsidRPr="0045389A" w:rsidRDefault="00E228DC" w:rsidP="00E228DC">
            <w:pPr>
              <w:pStyle w:val="ListParagraph"/>
              <w:numPr>
                <w:ilvl w:val="0"/>
                <w:numId w:val="29"/>
              </w:numPr>
              <w:spacing w:before="120" w:after="160" w:line="259" w:lineRule="auto"/>
              <w:jc w:val="both"/>
              <w:rPr>
                <w:rFonts w:eastAsia="Calibri"/>
              </w:rPr>
            </w:pPr>
            <w:r w:rsidRPr="0045389A">
              <w:rPr>
                <w:rFonts w:eastAsia="Calibri"/>
              </w:rPr>
              <w:t xml:space="preserve">40 000,00 </w:t>
            </w:r>
            <w:proofErr w:type="spellStart"/>
            <w:r w:rsidRPr="0045389A">
              <w:rPr>
                <w:rFonts w:eastAsia="Calibri"/>
                <w:i/>
              </w:rPr>
              <w:t>euro</w:t>
            </w:r>
            <w:proofErr w:type="spellEnd"/>
            <w:r w:rsidRPr="0045389A">
              <w:rPr>
                <w:rFonts w:eastAsia="Calibri"/>
              </w:rPr>
              <w:t>, kurus plānots normatīvajos aktos noteiktajā kārtībā pieprasīt papildus.</w:t>
            </w:r>
          </w:p>
          <w:p w14:paraId="098F9E87" w14:textId="7301B63D" w:rsidR="00E228DC" w:rsidRPr="0045389A" w:rsidRDefault="00E228DC" w:rsidP="00E228DC">
            <w:pPr>
              <w:spacing w:before="120" w:after="160" w:line="259" w:lineRule="auto"/>
              <w:jc w:val="both"/>
              <w:rPr>
                <w:rFonts w:eastAsia="Calibri"/>
              </w:rPr>
            </w:pPr>
            <w:r w:rsidRPr="0045389A">
              <w:rPr>
                <w:rFonts w:eastAsia="Calibri"/>
              </w:rPr>
              <w:t xml:space="preserve">Minētās izmaksas ir aprēķinātas balstoties uz uzturēšanas izmaksām Valsts pārbaudījumu informācijas sistēmas pašreizējai versijai (60 000 EUR gadā uzturēšanai, plus finansējums izmaiņu pieprasījumu ieviešanai, atkarībā no pieejamā finansējuma apjoma un nepieciešamības pēc izmaiņu pieprasījumu ieviešanas, vidēji 80 000 EUR gadā), kas izstrādāta Eiropas Reģionālās attīstības fonda darbības programmas "Infrastruktūra un pakalpojumi" papildinājuma 3.2.2.1.1. apakšaktivitātes "Informācijas sistēmu un elektronisko pakalpojumu attīstība" projekta "Valsts pārbaudījumu informācijas sistēmas </w:t>
            </w:r>
            <w:r w:rsidRPr="0045389A">
              <w:rPr>
                <w:rFonts w:eastAsia="Calibri"/>
              </w:rPr>
              <w:lastRenderedPageBreak/>
              <w:t xml:space="preserve">2.kārta” ietvaros, un pārrēķinot to proporcionāli abu projektu finansējuma apmēram. Pēc šādas metodikas iegūts, ka uzturēšanas izmaksas ir 120 000 EUR gadā, no kuriem 80 000 EUR plānots segt no Izglītības un zinātnes ministrijas budžeta programmas 07.00.00. “Informācijas un komunikācijas tehnoloģiju uzturēšana un attīstība” pieejamajiem līdzekļiem, jo šādu summu vidēji Izglītības un zinātnes ministrija izmanto sistēmas pašreizējai uzturēšanai. Aprēķinātās projekta “Valsts pārbaudījumu organizēšanas procesa pilnveide” uzturēšanas izmaksas ietver maksājumi par programmatūras licencēm un maksājumi infrastruktūras darbības nodrošināšanai. </w:t>
            </w:r>
          </w:p>
        </w:tc>
      </w:tr>
      <w:tr w:rsidR="00E228DC" w:rsidRPr="0045389A" w14:paraId="098F9E8B" w14:textId="77777777" w:rsidTr="00E228DC">
        <w:tc>
          <w:tcPr>
            <w:tcW w:w="814" w:type="pct"/>
            <w:shd w:val="clear" w:color="auto" w:fill="auto"/>
            <w:hideMark/>
          </w:tcPr>
          <w:p w14:paraId="098F9E89" w14:textId="77777777" w:rsidR="00E228DC" w:rsidRPr="0045389A" w:rsidRDefault="00E228DC" w:rsidP="00E228DC">
            <w:pPr>
              <w:spacing w:before="120"/>
              <w:rPr>
                <w:iCs/>
              </w:rPr>
            </w:pPr>
            <w:r w:rsidRPr="0045389A">
              <w:rPr>
                <w:iCs/>
              </w:rPr>
              <w:t>6.1. detalizēts ieņēmumu aprēķins</w:t>
            </w:r>
          </w:p>
        </w:tc>
        <w:tc>
          <w:tcPr>
            <w:tcW w:w="4186" w:type="pct"/>
            <w:gridSpan w:val="10"/>
            <w:vMerge/>
            <w:shd w:val="clear" w:color="auto" w:fill="auto"/>
          </w:tcPr>
          <w:p w14:paraId="098F9E8A" w14:textId="77777777" w:rsidR="00E228DC" w:rsidRPr="0045389A" w:rsidRDefault="00E228DC" w:rsidP="00E228DC">
            <w:pPr>
              <w:spacing w:before="120"/>
              <w:rPr>
                <w:iCs/>
              </w:rPr>
            </w:pPr>
          </w:p>
        </w:tc>
      </w:tr>
      <w:tr w:rsidR="00E228DC" w:rsidRPr="0045389A" w14:paraId="098F9E8E" w14:textId="77777777" w:rsidTr="00E228DC">
        <w:tc>
          <w:tcPr>
            <w:tcW w:w="814" w:type="pct"/>
            <w:shd w:val="clear" w:color="auto" w:fill="auto"/>
            <w:hideMark/>
          </w:tcPr>
          <w:p w14:paraId="098F9E8C" w14:textId="77777777" w:rsidR="00E228DC" w:rsidRPr="0045389A" w:rsidRDefault="00E228DC" w:rsidP="00E228DC">
            <w:pPr>
              <w:spacing w:before="120"/>
              <w:rPr>
                <w:iCs/>
              </w:rPr>
            </w:pPr>
            <w:r w:rsidRPr="0045389A">
              <w:rPr>
                <w:iCs/>
              </w:rPr>
              <w:t>6.2. detalizēts izdevumu aprēķins</w:t>
            </w:r>
          </w:p>
        </w:tc>
        <w:tc>
          <w:tcPr>
            <w:tcW w:w="4186" w:type="pct"/>
            <w:gridSpan w:val="10"/>
            <w:vMerge/>
            <w:shd w:val="clear" w:color="auto" w:fill="auto"/>
          </w:tcPr>
          <w:p w14:paraId="098F9E8D" w14:textId="77777777" w:rsidR="00E228DC" w:rsidRPr="0045389A" w:rsidRDefault="00E228DC" w:rsidP="00E228DC">
            <w:pPr>
              <w:spacing w:before="120"/>
              <w:rPr>
                <w:iCs/>
              </w:rPr>
            </w:pPr>
          </w:p>
        </w:tc>
      </w:tr>
      <w:tr w:rsidR="00E228DC" w:rsidRPr="0045389A" w14:paraId="098F9E91" w14:textId="77777777" w:rsidTr="00E228DC">
        <w:tc>
          <w:tcPr>
            <w:tcW w:w="814" w:type="pct"/>
            <w:shd w:val="clear" w:color="auto" w:fill="auto"/>
            <w:hideMark/>
          </w:tcPr>
          <w:p w14:paraId="098F9E8F" w14:textId="77777777" w:rsidR="00E228DC" w:rsidRPr="0045389A" w:rsidRDefault="00E228DC" w:rsidP="00E228DC">
            <w:pPr>
              <w:spacing w:before="120"/>
              <w:rPr>
                <w:iCs/>
              </w:rPr>
            </w:pPr>
            <w:r w:rsidRPr="0045389A">
              <w:rPr>
                <w:iCs/>
              </w:rPr>
              <w:t>7. Amata vietu skaita izmaiņas</w:t>
            </w:r>
          </w:p>
        </w:tc>
        <w:tc>
          <w:tcPr>
            <w:tcW w:w="4186" w:type="pct"/>
            <w:gridSpan w:val="10"/>
            <w:shd w:val="clear" w:color="auto" w:fill="auto"/>
            <w:hideMark/>
          </w:tcPr>
          <w:p w14:paraId="098F9E90" w14:textId="77777777" w:rsidR="00E228DC" w:rsidRPr="0045389A" w:rsidRDefault="00E228DC" w:rsidP="00E228DC">
            <w:pPr>
              <w:spacing w:before="120"/>
              <w:rPr>
                <w:iCs/>
              </w:rPr>
            </w:pPr>
            <w:r w:rsidRPr="0045389A">
              <w:rPr>
                <w:iCs/>
              </w:rPr>
              <w:t>Nav.</w:t>
            </w:r>
          </w:p>
        </w:tc>
      </w:tr>
      <w:tr w:rsidR="00E228DC" w:rsidRPr="0045389A" w14:paraId="098F9E94" w14:textId="77777777" w:rsidTr="00E228DC">
        <w:tc>
          <w:tcPr>
            <w:tcW w:w="814" w:type="pct"/>
            <w:shd w:val="clear" w:color="auto" w:fill="auto"/>
            <w:hideMark/>
          </w:tcPr>
          <w:p w14:paraId="098F9E92" w14:textId="77777777" w:rsidR="00E228DC" w:rsidRPr="0045389A" w:rsidRDefault="00E228DC" w:rsidP="00E228DC">
            <w:pPr>
              <w:spacing w:before="120"/>
              <w:rPr>
                <w:iCs/>
              </w:rPr>
            </w:pPr>
            <w:r w:rsidRPr="0045389A">
              <w:rPr>
                <w:iCs/>
              </w:rPr>
              <w:t>8. Cita informācija</w:t>
            </w:r>
          </w:p>
        </w:tc>
        <w:tc>
          <w:tcPr>
            <w:tcW w:w="4186" w:type="pct"/>
            <w:gridSpan w:val="10"/>
            <w:shd w:val="clear" w:color="auto" w:fill="auto"/>
            <w:hideMark/>
          </w:tcPr>
          <w:p w14:paraId="098F9E93" w14:textId="77777777" w:rsidR="00E228DC" w:rsidRPr="0045389A" w:rsidRDefault="00E228DC" w:rsidP="00E228DC">
            <w:pPr>
              <w:spacing w:before="120" w:after="120"/>
              <w:jc w:val="both"/>
            </w:pPr>
            <w:r w:rsidRPr="0045389A">
              <w:t xml:space="preserve">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tc>
      </w:tr>
    </w:tbl>
    <w:p w14:paraId="098F9E95" w14:textId="77777777" w:rsidR="003D3669" w:rsidRPr="0045389A" w:rsidRDefault="003D3669"/>
    <w:p w14:paraId="098F9E96" w14:textId="77777777" w:rsidR="006367BC" w:rsidRPr="0045389A" w:rsidRDefault="006367BC"/>
    <w:tbl>
      <w:tblPr>
        <w:tblW w:w="102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39"/>
      </w:tblGrid>
      <w:tr w:rsidR="006367BC" w:rsidRPr="0045389A" w14:paraId="098F9E98" w14:textId="77777777" w:rsidTr="00511C65">
        <w:tc>
          <w:tcPr>
            <w:tcW w:w="10239" w:type="dxa"/>
            <w:tcBorders>
              <w:top w:val="single" w:sz="4" w:space="0" w:color="auto"/>
              <w:bottom w:val="single" w:sz="4" w:space="0" w:color="auto"/>
            </w:tcBorders>
            <w:tcMar>
              <w:top w:w="57" w:type="dxa"/>
              <w:left w:w="57" w:type="dxa"/>
              <w:bottom w:w="57" w:type="dxa"/>
              <w:right w:w="57" w:type="dxa"/>
            </w:tcMar>
          </w:tcPr>
          <w:p w14:paraId="098F9E97" w14:textId="77777777" w:rsidR="006367BC" w:rsidRPr="0045389A" w:rsidRDefault="006367BC" w:rsidP="00511C65">
            <w:pPr>
              <w:pStyle w:val="naisnod"/>
              <w:spacing w:before="120" w:after="120"/>
              <w:ind w:left="57" w:right="57"/>
            </w:pPr>
            <w:r w:rsidRPr="0045389A">
              <w:t>IV. Tiesību akta projekta ietekme uz spēkā esošo tiesību normu sistēmu</w:t>
            </w:r>
          </w:p>
        </w:tc>
      </w:tr>
      <w:tr w:rsidR="006367BC" w:rsidRPr="0045389A" w14:paraId="098F9E9A" w14:textId="77777777" w:rsidTr="00511C65">
        <w:tc>
          <w:tcPr>
            <w:tcW w:w="10239" w:type="dxa"/>
            <w:tcBorders>
              <w:top w:val="single" w:sz="4" w:space="0" w:color="auto"/>
            </w:tcBorders>
            <w:tcMar>
              <w:top w:w="57" w:type="dxa"/>
              <w:left w:w="57" w:type="dxa"/>
              <w:bottom w:w="57" w:type="dxa"/>
              <w:right w:w="57" w:type="dxa"/>
            </w:tcMar>
          </w:tcPr>
          <w:p w14:paraId="098F9E99" w14:textId="77777777" w:rsidR="006367BC" w:rsidRPr="0045389A" w:rsidRDefault="006367BC" w:rsidP="00511C65">
            <w:pPr>
              <w:pStyle w:val="naisnod"/>
              <w:spacing w:before="120" w:after="120"/>
              <w:ind w:left="57" w:right="57"/>
              <w:rPr>
                <w:b w:val="0"/>
              </w:rPr>
            </w:pPr>
            <w:r w:rsidRPr="0045389A">
              <w:rPr>
                <w:b w:val="0"/>
              </w:rPr>
              <w:t>Rīkojuma projekts šo jomu neskar.</w:t>
            </w:r>
          </w:p>
        </w:tc>
      </w:tr>
    </w:tbl>
    <w:p w14:paraId="098F9E9B" w14:textId="77777777" w:rsidR="006367BC" w:rsidRPr="0045389A" w:rsidRDefault="006367BC"/>
    <w:p w14:paraId="098F9E9C" w14:textId="77777777" w:rsidR="006367BC" w:rsidRPr="0045389A" w:rsidRDefault="006367BC"/>
    <w:tbl>
      <w:tblPr>
        <w:tblW w:w="102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39"/>
      </w:tblGrid>
      <w:tr w:rsidR="00A50E45" w:rsidRPr="0045389A" w14:paraId="098F9E9E" w14:textId="77777777" w:rsidTr="00FE7B2E">
        <w:tc>
          <w:tcPr>
            <w:tcW w:w="10239" w:type="dxa"/>
            <w:tcBorders>
              <w:top w:val="single" w:sz="4" w:space="0" w:color="auto"/>
              <w:bottom w:val="single" w:sz="4" w:space="0" w:color="auto"/>
            </w:tcBorders>
            <w:tcMar>
              <w:top w:w="57" w:type="dxa"/>
              <w:left w:w="57" w:type="dxa"/>
              <w:bottom w:w="57" w:type="dxa"/>
              <w:right w:w="57" w:type="dxa"/>
            </w:tcMar>
          </w:tcPr>
          <w:p w14:paraId="098F9E9D" w14:textId="77777777" w:rsidR="00A50E45" w:rsidRPr="0045389A" w:rsidRDefault="00A50E45" w:rsidP="00CF5158">
            <w:pPr>
              <w:pStyle w:val="naisnod"/>
              <w:spacing w:before="120" w:after="120"/>
              <w:ind w:left="57" w:right="57"/>
            </w:pPr>
            <w:r w:rsidRPr="0045389A">
              <w:t xml:space="preserve">V. </w:t>
            </w:r>
            <w:r w:rsidRPr="0045389A">
              <w:rPr>
                <w:bCs w:val="0"/>
                <w:szCs w:val="20"/>
                <w:shd w:val="clear" w:color="auto" w:fill="FFFFFF"/>
              </w:rPr>
              <w:t>Tiesību akta projekta atbilstība Latvijas Republikas starptautiskajām saistībām</w:t>
            </w:r>
          </w:p>
        </w:tc>
      </w:tr>
      <w:tr w:rsidR="00A50E45" w:rsidRPr="0045389A" w14:paraId="098F9EA0" w14:textId="77777777" w:rsidTr="00FE7B2E">
        <w:tc>
          <w:tcPr>
            <w:tcW w:w="10239" w:type="dxa"/>
            <w:tcBorders>
              <w:top w:val="single" w:sz="4" w:space="0" w:color="auto"/>
            </w:tcBorders>
            <w:tcMar>
              <w:top w:w="57" w:type="dxa"/>
              <w:left w:w="57" w:type="dxa"/>
              <w:bottom w:w="57" w:type="dxa"/>
              <w:right w:w="57" w:type="dxa"/>
            </w:tcMar>
          </w:tcPr>
          <w:p w14:paraId="098F9E9F" w14:textId="77777777" w:rsidR="00A50E45" w:rsidRPr="0045389A" w:rsidRDefault="0090547D" w:rsidP="00CF5158">
            <w:pPr>
              <w:pStyle w:val="naisnod"/>
              <w:spacing w:before="120" w:after="120"/>
              <w:ind w:left="57" w:right="57"/>
              <w:rPr>
                <w:b w:val="0"/>
              </w:rPr>
            </w:pPr>
            <w:r w:rsidRPr="0045389A">
              <w:rPr>
                <w:b w:val="0"/>
              </w:rPr>
              <w:t>Rīkojuma projekts šo jomu neskar</w:t>
            </w:r>
            <w:r w:rsidR="00F938B3" w:rsidRPr="0045389A">
              <w:rPr>
                <w:b w:val="0"/>
              </w:rPr>
              <w:t>.</w:t>
            </w:r>
          </w:p>
        </w:tc>
      </w:tr>
    </w:tbl>
    <w:p w14:paraId="098F9EA1" w14:textId="77777777" w:rsidR="00A50E45" w:rsidRPr="0045389A" w:rsidRDefault="00A50E45" w:rsidP="008948F1">
      <w:pPr>
        <w:spacing w:before="120" w:after="120"/>
        <w:rPr>
          <w:iCs/>
          <w:lang w:eastAsia="en-US"/>
        </w:rPr>
      </w:pPr>
    </w:p>
    <w:tbl>
      <w:tblPr>
        <w:tblW w:w="102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39"/>
      </w:tblGrid>
      <w:tr w:rsidR="00B53A77" w:rsidRPr="0045389A" w14:paraId="098F9EA3" w14:textId="77777777" w:rsidTr="00FE7B2E">
        <w:tc>
          <w:tcPr>
            <w:tcW w:w="10239" w:type="dxa"/>
            <w:tcBorders>
              <w:top w:val="single" w:sz="4" w:space="0" w:color="auto"/>
              <w:bottom w:val="single" w:sz="4" w:space="0" w:color="auto"/>
            </w:tcBorders>
            <w:tcMar>
              <w:top w:w="57" w:type="dxa"/>
              <w:left w:w="57" w:type="dxa"/>
              <w:bottom w:w="57" w:type="dxa"/>
              <w:right w:w="57" w:type="dxa"/>
            </w:tcMar>
          </w:tcPr>
          <w:p w14:paraId="098F9EA2" w14:textId="77777777" w:rsidR="00B53A77" w:rsidRPr="0045389A" w:rsidRDefault="00B53A77" w:rsidP="00FF1066">
            <w:pPr>
              <w:pStyle w:val="naisnod"/>
              <w:spacing w:before="120" w:after="120"/>
              <w:ind w:left="57" w:right="57"/>
            </w:pPr>
            <w:r w:rsidRPr="0045389A">
              <w:t>VI. Sabiedrības līdzdalība un komunikācijas aktivitātes</w:t>
            </w:r>
          </w:p>
        </w:tc>
      </w:tr>
      <w:tr w:rsidR="00B53A77" w:rsidRPr="0045389A" w14:paraId="098F9EA5" w14:textId="77777777" w:rsidTr="00FE7B2E">
        <w:tc>
          <w:tcPr>
            <w:tcW w:w="10239" w:type="dxa"/>
            <w:tcBorders>
              <w:top w:val="single" w:sz="4" w:space="0" w:color="auto"/>
            </w:tcBorders>
            <w:tcMar>
              <w:top w:w="57" w:type="dxa"/>
              <w:left w:w="57" w:type="dxa"/>
              <w:bottom w:w="57" w:type="dxa"/>
              <w:right w:w="57" w:type="dxa"/>
            </w:tcMar>
          </w:tcPr>
          <w:p w14:paraId="098F9EA4" w14:textId="77777777" w:rsidR="00B53A77" w:rsidRPr="0045389A" w:rsidRDefault="00B53A77" w:rsidP="00FF1066">
            <w:pPr>
              <w:pStyle w:val="naisnod"/>
              <w:spacing w:before="120" w:after="120"/>
              <w:ind w:left="57" w:right="57"/>
              <w:rPr>
                <w:b w:val="0"/>
              </w:rPr>
            </w:pPr>
            <w:r w:rsidRPr="0045389A">
              <w:rPr>
                <w:b w:val="0"/>
              </w:rPr>
              <w:t xml:space="preserve">Rīkojuma projekts šo jomu neskar. </w:t>
            </w:r>
          </w:p>
        </w:tc>
      </w:tr>
    </w:tbl>
    <w:p w14:paraId="098F9EA6" w14:textId="77777777" w:rsidR="00B53A77" w:rsidRPr="0045389A" w:rsidRDefault="00B53A77" w:rsidP="008948F1">
      <w:pPr>
        <w:spacing w:before="120" w:after="120"/>
        <w:rPr>
          <w:iCs/>
          <w:lang w:eastAsia="en-US"/>
        </w:rPr>
      </w:pPr>
    </w:p>
    <w:tbl>
      <w:tblPr>
        <w:tblW w:w="1022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5169"/>
      </w:tblGrid>
      <w:tr w:rsidR="007018E8" w:rsidRPr="0045389A" w14:paraId="098F9EA8" w14:textId="77777777" w:rsidTr="00FE7B2E">
        <w:tc>
          <w:tcPr>
            <w:tcW w:w="10225" w:type="dxa"/>
            <w:gridSpan w:val="3"/>
            <w:tcBorders>
              <w:top w:val="single" w:sz="4" w:space="0" w:color="auto"/>
            </w:tcBorders>
            <w:tcMar>
              <w:top w:w="57" w:type="dxa"/>
              <w:left w:w="57" w:type="dxa"/>
              <w:bottom w:w="57" w:type="dxa"/>
              <w:right w:w="57" w:type="dxa"/>
            </w:tcMar>
          </w:tcPr>
          <w:p w14:paraId="098F9EA7" w14:textId="77777777" w:rsidR="007018E8" w:rsidRPr="0045389A" w:rsidRDefault="007018E8" w:rsidP="008948F1">
            <w:pPr>
              <w:pStyle w:val="naisnod"/>
              <w:spacing w:before="120" w:after="120"/>
              <w:ind w:left="57" w:right="57"/>
            </w:pPr>
            <w:r w:rsidRPr="0045389A">
              <w:t>VII. Tiesību akta projekta izpildes nodrošināšana un tās ietekme uz institūcijām</w:t>
            </w:r>
          </w:p>
        </w:tc>
      </w:tr>
      <w:tr w:rsidR="007018E8" w:rsidRPr="0045389A" w14:paraId="098F9EAC" w14:textId="77777777" w:rsidTr="00FE7B2E">
        <w:trPr>
          <w:trHeight w:val="427"/>
        </w:trPr>
        <w:tc>
          <w:tcPr>
            <w:tcW w:w="680" w:type="dxa"/>
            <w:tcMar>
              <w:top w:w="57" w:type="dxa"/>
              <w:left w:w="57" w:type="dxa"/>
              <w:bottom w:w="57" w:type="dxa"/>
              <w:right w:w="57" w:type="dxa"/>
            </w:tcMar>
          </w:tcPr>
          <w:p w14:paraId="098F9EA9" w14:textId="77777777" w:rsidR="007018E8" w:rsidRPr="0045389A" w:rsidRDefault="007018E8" w:rsidP="008948F1">
            <w:pPr>
              <w:pStyle w:val="naisnod"/>
              <w:spacing w:before="120" w:after="120"/>
              <w:ind w:left="57" w:right="57"/>
              <w:jc w:val="left"/>
              <w:rPr>
                <w:b w:val="0"/>
              </w:rPr>
            </w:pPr>
            <w:r w:rsidRPr="0045389A">
              <w:rPr>
                <w:b w:val="0"/>
              </w:rPr>
              <w:t>1.</w:t>
            </w:r>
          </w:p>
        </w:tc>
        <w:tc>
          <w:tcPr>
            <w:tcW w:w="4376" w:type="dxa"/>
            <w:tcMar>
              <w:top w:w="57" w:type="dxa"/>
              <w:left w:w="57" w:type="dxa"/>
              <w:bottom w:w="57" w:type="dxa"/>
              <w:right w:w="57" w:type="dxa"/>
            </w:tcMar>
          </w:tcPr>
          <w:p w14:paraId="098F9EAA" w14:textId="77777777" w:rsidR="007018E8" w:rsidRPr="0045389A" w:rsidRDefault="007018E8" w:rsidP="008948F1">
            <w:pPr>
              <w:pStyle w:val="naisf"/>
              <w:spacing w:before="120" w:after="120"/>
              <w:ind w:left="57" w:right="57" w:firstLine="0"/>
              <w:jc w:val="left"/>
            </w:pPr>
            <w:r w:rsidRPr="0045389A">
              <w:t xml:space="preserve">Projekta izpildē iesaistītās institūcijas </w:t>
            </w:r>
          </w:p>
        </w:tc>
        <w:tc>
          <w:tcPr>
            <w:tcW w:w="5169" w:type="dxa"/>
            <w:tcMar>
              <w:top w:w="57" w:type="dxa"/>
              <w:left w:w="57" w:type="dxa"/>
              <w:bottom w:w="57" w:type="dxa"/>
              <w:right w:w="57" w:type="dxa"/>
            </w:tcMar>
          </w:tcPr>
          <w:p w14:paraId="098F9EAB" w14:textId="519E4AC5" w:rsidR="00155EFC" w:rsidRPr="0045389A" w:rsidRDefault="00700BAB" w:rsidP="00FA49CF">
            <w:pPr>
              <w:spacing w:before="120" w:after="120"/>
              <w:contextualSpacing/>
              <w:jc w:val="both"/>
            </w:pPr>
            <w:r>
              <w:t xml:space="preserve">IZM, </w:t>
            </w:r>
            <w:r w:rsidR="00FA49CF" w:rsidRPr="0045389A">
              <w:t xml:space="preserve">VISC, </w:t>
            </w:r>
            <w:r w:rsidR="0019162B" w:rsidRPr="0045389A">
              <w:t>VVC, ĀM, VRAA, VSAA, NVA, izglītības iestādes</w:t>
            </w:r>
            <w:r w:rsidR="00421299" w:rsidRPr="0045389A">
              <w:t>.</w:t>
            </w:r>
          </w:p>
        </w:tc>
      </w:tr>
      <w:tr w:rsidR="007018E8" w:rsidRPr="0045389A" w14:paraId="098F9EB0" w14:textId="77777777" w:rsidTr="00FE7B2E">
        <w:trPr>
          <w:trHeight w:val="463"/>
        </w:trPr>
        <w:tc>
          <w:tcPr>
            <w:tcW w:w="680" w:type="dxa"/>
            <w:tcMar>
              <w:top w:w="57" w:type="dxa"/>
              <w:left w:w="57" w:type="dxa"/>
              <w:bottom w:w="57" w:type="dxa"/>
              <w:right w:w="57" w:type="dxa"/>
            </w:tcMar>
          </w:tcPr>
          <w:p w14:paraId="098F9EAD" w14:textId="77777777" w:rsidR="007018E8" w:rsidRPr="0045389A" w:rsidRDefault="007018E8" w:rsidP="008948F1">
            <w:pPr>
              <w:pStyle w:val="naisnod"/>
              <w:spacing w:before="120" w:after="120"/>
              <w:ind w:left="57" w:right="57"/>
              <w:jc w:val="left"/>
              <w:rPr>
                <w:b w:val="0"/>
              </w:rPr>
            </w:pPr>
            <w:r w:rsidRPr="0045389A">
              <w:rPr>
                <w:b w:val="0"/>
              </w:rPr>
              <w:t>2.</w:t>
            </w:r>
          </w:p>
        </w:tc>
        <w:tc>
          <w:tcPr>
            <w:tcW w:w="4376" w:type="dxa"/>
            <w:tcMar>
              <w:top w:w="57" w:type="dxa"/>
              <w:left w:w="57" w:type="dxa"/>
              <w:bottom w:w="57" w:type="dxa"/>
              <w:right w:w="57" w:type="dxa"/>
            </w:tcMar>
          </w:tcPr>
          <w:p w14:paraId="098F9EAE" w14:textId="77777777" w:rsidR="007018E8" w:rsidRPr="0045389A" w:rsidRDefault="007018E8" w:rsidP="008948F1">
            <w:pPr>
              <w:pStyle w:val="naisf"/>
              <w:spacing w:before="120" w:after="120"/>
              <w:ind w:left="57" w:right="57" w:firstLine="0"/>
              <w:jc w:val="left"/>
            </w:pPr>
            <w:r w:rsidRPr="0045389A">
              <w:t>Projekta izpildes ietekme uz pārvaldes funkcijām un institucionālo struktūru</w:t>
            </w:r>
          </w:p>
        </w:tc>
        <w:tc>
          <w:tcPr>
            <w:tcW w:w="5169" w:type="dxa"/>
            <w:tcMar>
              <w:top w:w="57" w:type="dxa"/>
              <w:left w:w="57" w:type="dxa"/>
              <w:bottom w:w="57" w:type="dxa"/>
              <w:right w:w="57" w:type="dxa"/>
            </w:tcMar>
          </w:tcPr>
          <w:p w14:paraId="098F9EAF" w14:textId="38514352" w:rsidR="00700BAB" w:rsidRPr="00700BAB" w:rsidRDefault="00700BAB" w:rsidP="00700BAB">
            <w:pPr>
              <w:jc w:val="both"/>
            </w:pPr>
            <w:r w:rsidRPr="00AC1608">
              <w:t xml:space="preserve">Rīkojuma projekta prasību izpildei nav nepieciešams veidot jaunas institūcijas, likvidēt vai reorganizēt esošās institūcijas. </w:t>
            </w:r>
          </w:p>
        </w:tc>
      </w:tr>
      <w:tr w:rsidR="007018E8" w:rsidRPr="0045389A" w14:paraId="098F9EB4" w14:textId="77777777" w:rsidTr="00FE7B2E">
        <w:trPr>
          <w:trHeight w:val="476"/>
        </w:trPr>
        <w:tc>
          <w:tcPr>
            <w:tcW w:w="680" w:type="dxa"/>
            <w:tcMar>
              <w:top w:w="57" w:type="dxa"/>
              <w:left w:w="57" w:type="dxa"/>
              <w:bottom w:w="57" w:type="dxa"/>
              <w:right w:w="57" w:type="dxa"/>
            </w:tcMar>
          </w:tcPr>
          <w:p w14:paraId="098F9EB1" w14:textId="77777777" w:rsidR="007018E8" w:rsidRPr="0045389A" w:rsidRDefault="007018E8" w:rsidP="008948F1">
            <w:pPr>
              <w:pStyle w:val="naiskr"/>
              <w:spacing w:before="120" w:after="120"/>
              <w:ind w:left="57" w:right="57"/>
            </w:pPr>
            <w:r w:rsidRPr="0045389A">
              <w:t>3.</w:t>
            </w:r>
          </w:p>
        </w:tc>
        <w:tc>
          <w:tcPr>
            <w:tcW w:w="4376" w:type="dxa"/>
            <w:tcMar>
              <w:top w:w="57" w:type="dxa"/>
              <w:left w:w="57" w:type="dxa"/>
              <w:bottom w:w="57" w:type="dxa"/>
              <w:right w:w="57" w:type="dxa"/>
            </w:tcMar>
          </w:tcPr>
          <w:p w14:paraId="098F9EB2" w14:textId="77777777" w:rsidR="007018E8" w:rsidRPr="0045389A" w:rsidRDefault="007018E8" w:rsidP="008948F1">
            <w:pPr>
              <w:pStyle w:val="naiskr"/>
              <w:spacing w:before="120" w:after="120"/>
              <w:ind w:left="57" w:right="57"/>
            </w:pPr>
            <w:r w:rsidRPr="0045389A">
              <w:t>Cita informācija</w:t>
            </w:r>
          </w:p>
        </w:tc>
        <w:tc>
          <w:tcPr>
            <w:tcW w:w="5169" w:type="dxa"/>
            <w:tcMar>
              <w:top w:w="57" w:type="dxa"/>
              <w:left w:w="57" w:type="dxa"/>
              <w:bottom w:w="57" w:type="dxa"/>
              <w:right w:w="57" w:type="dxa"/>
            </w:tcMar>
          </w:tcPr>
          <w:p w14:paraId="098F9EB3" w14:textId="52209914" w:rsidR="007018E8" w:rsidRPr="0045389A" w:rsidRDefault="0045389A" w:rsidP="00DA6420">
            <w:pPr>
              <w:pStyle w:val="naiskr"/>
              <w:spacing w:before="120" w:after="120"/>
              <w:ind w:left="57" w:right="57"/>
              <w:jc w:val="both"/>
            </w:pPr>
            <w:r>
              <w:t>Nav.</w:t>
            </w:r>
          </w:p>
        </w:tc>
      </w:tr>
    </w:tbl>
    <w:p w14:paraId="098F9EB5" w14:textId="77777777" w:rsidR="00155FC4" w:rsidRPr="0045389A" w:rsidRDefault="00155FC4" w:rsidP="00FD0376">
      <w:pPr>
        <w:spacing w:before="120" w:after="120"/>
        <w:jc w:val="both"/>
      </w:pPr>
    </w:p>
    <w:p w14:paraId="098F9EB6" w14:textId="7B13D717" w:rsidR="002635DD" w:rsidRPr="0045389A" w:rsidRDefault="004E0BAA" w:rsidP="00FD0376">
      <w:pPr>
        <w:jc w:val="both"/>
        <w:rPr>
          <w:rStyle w:val="Strong"/>
          <w:b w:val="0"/>
          <w:bCs w:val="0"/>
        </w:rPr>
      </w:pPr>
      <w:r w:rsidRPr="0045389A">
        <w:t>Izglītības un zinātnes ministr</w:t>
      </w:r>
      <w:r w:rsidR="0045389A">
        <w:t>e</w:t>
      </w:r>
      <w:r w:rsidR="008D6DBC" w:rsidRPr="0045389A">
        <w:tab/>
      </w:r>
      <w:r w:rsidR="0045389A">
        <w:tab/>
      </w:r>
      <w:r w:rsidR="0045389A">
        <w:tab/>
      </w:r>
      <w:r w:rsidR="0045389A">
        <w:tab/>
      </w:r>
      <w:r w:rsidR="0045389A">
        <w:tab/>
        <w:t xml:space="preserve">Ilga </w:t>
      </w:r>
      <w:proofErr w:type="spellStart"/>
      <w:r w:rsidR="0045389A">
        <w:t>Šuplinska</w:t>
      </w:r>
      <w:proofErr w:type="spellEnd"/>
      <w:r w:rsidR="007812C0" w:rsidRPr="0045389A">
        <w:t xml:space="preserve"> </w:t>
      </w:r>
    </w:p>
    <w:p w14:paraId="098F9EB7" w14:textId="77777777" w:rsidR="00C24406" w:rsidRPr="0045389A" w:rsidRDefault="00C24406" w:rsidP="00FD0376"/>
    <w:p w14:paraId="098F9EB8" w14:textId="77777777" w:rsidR="00A565E8" w:rsidRPr="0045389A" w:rsidRDefault="00A565E8" w:rsidP="00FD0376">
      <w:r w:rsidRPr="0045389A">
        <w:t>Vīza:</w:t>
      </w:r>
    </w:p>
    <w:p w14:paraId="098F9EB9" w14:textId="77777777" w:rsidR="00192746" w:rsidRPr="0045389A" w:rsidRDefault="007812C0" w:rsidP="00FD0376">
      <w:r w:rsidRPr="0045389A">
        <w:t>V</w:t>
      </w:r>
      <w:r w:rsidR="005E24F2" w:rsidRPr="0045389A">
        <w:t>alsts sekretā</w:t>
      </w:r>
      <w:r w:rsidR="00DB4B2A" w:rsidRPr="0045389A">
        <w:t>re</w:t>
      </w:r>
      <w:r w:rsidR="005E24F2" w:rsidRPr="0045389A">
        <w:t xml:space="preserve">                                                                                          </w:t>
      </w:r>
      <w:r w:rsidR="004E76ED" w:rsidRPr="0045389A">
        <w:t>Līga</w:t>
      </w:r>
      <w:r w:rsidR="005149FD" w:rsidRPr="0045389A">
        <w:t xml:space="preserve"> </w:t>
      </w:r>
      <w:r w:rsidRPr="0045389A">
        <w:t>Lejiņa</w:t>
      </w:r>
    </w:p>
    <w:p w14:paraId="098F9EBA" w14:textId="77777777" w:rsidR="00F745FD" w:rsidRPr="0045389A" w:rsidRDefault="00F745FD" w:rsidP="00FD0376">
      <w:pPr>
        <w:rPr>
          <w:sz w:val="20"/>
          <w:szCs w:val="20"/>
        </w:rPr>
      </w:pPr>
    </w:p>
    <w:p w14:paraId="098F9EBB" w14:textId="77777777" w:rsidR="005149FD" w:rsidRPr="0045389A" w:rsidRDefault="005149FD" w:rsidP="00FD0376">
      <w:pPr>
        <w:rPr>
          <w:sz w:val="20"/>
          <w:szCs w:val="20"/>
        </w:rPr>
      </w:pPr>
    </w:p>
    <w:p w14:paraId="175F3231" w14:textId="5C2E5A5A" w:rsidR="00E25F96" w:rsidRPr="0045389A" w:rsidRDefault="00E25F96" w:rsidP="00B30BAD">
      <w:pPr>
        <w:rPr>
          <w:sz w:val="20"/>
          <w:szCs w:val="20"/>
        </w:rPr>
      </w:pPr>
      <w:proofErr w:type="spellStart"/>
      <w:r w:rsidRPr="0045389A">
        <w:rPr>
          <w:sz w:val="20"/>
          <w:szCs w:val="20"/>
        </w:rPr>
        <w:t>A.Jeste</w:t>
      </w:r>
      <w:proofErr w:type="spellEnd"/>
    </w:p>
    <w:p w14:paraId="794D0C0E" w14:textId="1A24FD43" w:rsidR="00E25F96" w:rsidRPr="0045389A" w:rsidRDefault="00E25F96" w:rsidP="00B30BAD">
      <w:pPr>
        <w:rPr>
          <w:sz w:val="20"/>
          <w:szCs w:val="20"/>
        </w:rPr>
      </w:pPr>
      <w:r w:rsidRPr="0045389A">
        <w:rPr>
          <w:sz w:val="20"/>
          <w:szCs w:val="20"/>
        </w:rPr>
        <w:t>Anna.jeste@izm.gov.lv</w:t>
      </w:r>
    </w:p>
    <w:p w14:paraId="098F9EBC" w14:textId="7B8423D2" w:rsidR="00E873AB" w:rsidRPr="0045389A" w:rsidRDefault="00C16264" w:rsidP="00B30BAD">
      <w:pPr>
        <w:rPr>
          <w:sz w:val="20"/>
          <w:szCs w:val="20"/>
        </w:rPr>
      </w:pPr>
      <w:r w:rsidRPr="0045389A">
        <w:rPr>
          <w:sz w:val="20"/>
          <w:szCs w:val="20"/>
        </w:rPr>
        <w:t>K.Veldre</w:t>
      </w:r>
    </w:p>
    <w:p w14:paraId="098F9EBD" w14:textId="77777777" w:rsidR="00801456" w:rsidRPr="001168CB" w:rsidRDefault="00C16264" w:rsidP="009F0460">
      <w:r w:rsidRPr="0045389A">
        <w:rPr>
          <w:sz w:val="20"/>
          <w:szCs w:val="20"/>
        </w:rPr>
        <w:t>kaspars.veldre</w:t>
      </w:r>
      <w:r w:rsidR="00B30BAD" w:rsidRPr="0045389A">
        <w:rPr>
          <w:sz w:val="20"/>
          <w:szCs w:val="20"/>
        </w:rPr>
        <w:t>@izm.gov.lv</w:t>
      </w:r>
    </w:p>
    <w:sectPr w:rsidR="00801456" w:rsidRPr="001168CB" w:rsidSect="001168CB">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10C3" w14:textId="77777777" w:rsidR="00E722BF" w:rsidRDefault="00E722BF" w:rsidP="006003E3">
      <w:r>
        <w:separator/>
      </w:r>
    </w:p>
  </w:endnote>
  <w:endnote w:type="continuationSeparator" w:id="0">
    <w:p w14:paraId="662A9417" w14:textId="77777777" w:rsidR="00E722BF" w:rsidRDefault="00E722BF" w:rsidP="006003E3">
      <w:r>
        <w:continuationSeparator/>
      </w:r>
    </w:p>
  </w:endnote>
  <w:endnote w:type="continuationNotice" w:id="1">
    <w:p w14:paraId="717537BE" w14:textId="77777777" w:rsidR="00E722BF" w:rsidRDefault="00E7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20E1" w14:textId="77777777" w:rsidR="00777026" w:rsidRDefault="0077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9EC6" w14:textId="21CACC28" w:rsidR="00521F2D" w:rsidRPr="003A6401" w:rsidRDefault="00777026" w:rsidP="003A6401">
    <w:pPr>
      <w:pStyle w:val="Footer"/>
    </w:pPr>
    <w:bookmarkStart w:id="2" w:name="_Hlk48131493"/>
    <w:bookmarkStart w:id="3" w:name="_Hlk48131494"/>
    <w:bookmarkStart w:id="4" w:name="_Hlk48131495"/>
    <w:bookmarkStart w:id="5" w:name="_Hlk48131496"/>
    <w:r w:rsidRPr="00CA1554">
      <w:rPr>
        <w:sz w:val="20"/>
        <w:szCs w:val="20"/>
      </w:rPr>
      <w:t>IZMAnot_</w:t>
    </w:r>
    <w:r>
      <w:rPr>
        <w:sz w:val="20"/>
        <w:szCs w:val="20"/>
      </w:rPr>
      <w:t>31</w:t>
    </w:r>
    <w:r w:rsidRPr="00CA1554">
      <w:rPr>
        <w:sz w:val="20"/>
        <w:szCs w:val="20"/>
      </w:rPr>
      <w:t>0820_groz535</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9EC7" w14:textId="30BA3F1E" w:rsidR="00521F2D" w:rsidRPr="007C5209" w:rsidRDefault="00CA1554" w:rsidP="007C5209">
    <w:pPr>
      <w:pStyle w:val="Footer"/>
    </w:pPr>
    <w:r w:rsidRPr="00CA1554">
      <w:rPr>
        <w:sz w:val="20"/>
        <w:szCs w:val="20"/>
      </w:rPr>
      <w:t>IZMAnot_</w:t>
    </w:r>
    <w:r w:rsidR="00777026">
      <w:rPr>
        <w:sz w:val="20"/>
        <w:szCs w:val="20"/>
      </w:rPr>
      <w:t>31</w:t>
    </w:r>
    <w:r w:rsidRPr="00CA1554">
      <w:rPr>
        <w:sz w:val="20"/>
        <w:szCs w:val="20"/>
      </w:rPr>
      <w:t>0820_groz535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4806" w14:textId="77777777" w:rsidR="00E722BF" w:rsidRDefault="00E722BF" w:rsidP="006003E3">
      <w:r>
        <w:separator/>
      </w:r>
    </w:p>
  </w:footnote>
  <w:footnote w:type="continuationSeparator" w:id="0">
    <w:p w14:paraId="1A384A6F" w14:textId="77777777" w:rsidR="00E722BF" w:rsidRDefault="00E722BF" w:rsidP="006003E3">
      <w:r>
        <w:continuationSeparator/>
      </w:r>
    </w:p>
  </w:footnote>
  <w:footnote w:type="continuationNotice" w:id="1">
    <w:p w14:paraId="2A9EA123" w14:textId="77777777" w:rsidR="00E722BF" w:rsidRDefault="00E72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AA2D" w14:textId="77777777" w:rsidR="00777026" w:rsidRDefault="0077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9EC4" w14:textId="5D9D37F7" w:rsidR="00521F2D" w:rsidRPr="001168CB" w:rsidRDefault="00521F2D">
    <w:pPr>
      <w:pStyle w:val="Header"/>
      <w:jc w:val="center"/>
      <w:rPr>
        <w:sz w:val="28"/>
        <w:szCs w:val="28"/>
      </w:rPr>
    </w:pPr>
    <w:r w:rsidRPr="001168CB">
      <w:rPr>
        <w:sz w:val="28"/>
        <w:szCs w:val="28"/>
      </w:rPr>
      <w:fldChar w:fldCharType="begin"/>
    </w:r>
    <w:r w:rsidRPr="001168CB">
      <w:rPr>
        <w:sz w:val="28"/>
        <w:szCs w:val="28"/>
      </w:rPr>
      <w:instrText xml:space="preserve"> PAGE   \* MERGEFORMAT </w:instrText>
    </w:r>
    <w:r w:rsidRPr="001168CB">
      <w:rPr>
        <w:sz w:val="28"/>
        <w:szCs w:val="28"/>
      </w:rPr>
      <w:fldChar w:fldCharType="separate"/>
    </w:r>
    <w:r w:rsidR="00A55E74">
      <w:rPr>
        <w:noProof/>
        <w:sz w:val="28"/>
        <w:szCs w:val="28"/>
      </w:rPr>
      <w:t>6</w:t>
    </w:r>
    <w:r w:rsidRPr="001168CB">
      <w:rPr>
        <w:sz w:val="28"/>
        <w:szCs w:val="28"/>
      </w:rPr>
      <w:fldChar w:fldCharType="end"/>
    </w:r>
  </w:p>
  <w:p w14:paraId="098F9EC5" w14:textId="77777777" w:rsidR="00521F2D" w:rsidRDefault="00521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FC16" w14:textId="77777777" w:rsidR="00777026" w:rsidRDefault="0077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A9"/>
    <w:multiLevelType w:val="hybridMultilevel"/>
    <w:tmpl w:val="0100DE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A40707A"/>
    <w:multiLevelType w:val="hybridMultilevel"/>
    <w:tmpl w:val="9F168ACE"/>
    <w:lvl w:ilvl="0" w:tplc="1BCEFBD4">
      <w:start w:val="1"/>
      <w:numFmt w:val="decimal"/>
      <w:lvlText w:val="%1."/>
      <w:lvlJc w:val="left"/>
      <w:pPr>
        <w:ind w:left="720" w:hanging="360"/>
      </w:pPr>
      <w:rPr>
        <w:rFonts w:ascii="Times New Roman" w:eastAsia="Times New Roman" w:hAnsi="Times New Roman" w:cs="Times New Roman" w:hint="default"/>
      </w:rPr>
    </w:lvl>
    <w:lvl w:ilvl="1" w:tplc="A610651C">
      <w:start w:val="1"/>
      <w:numFmt w:val="lowerLetter"/>
      <w:lvlText w:val="%2."/>
      <w:lvlJc w:val="left"/>
      <w:pPr>
        <w:ind w:left="1440" w:hanging="360"/>
      </w:pPr>
    </w:lvl>
    <w:lvl w:ilvl="2" w:tplc="6050767A">
      <w:start w:val="1"/>
      <w:numFmt w:val="lowerRoman"/>
      <w:lvlText w:val="%3."/>
      <w:lvlJc w:val="right"/>
      <w:pPr>
        <w:ind w:left="2160" w:hanging="180"/>
      </w:pPr>
    </w:lvl>
    <w:lvl w:ilvl="3" w:tplc="AB4E643E">
      <w:start w:val="1"/>
      <w:numFmt w:val="decimal"/>
      <w:lvlText w:val="%4."/>
      <w:lvlJc w:val="left"/>
      <w:pPr>
        <w:ind w:left="2880" w:hanging="360"/>
      </w:pPr>
    </w:lvl>
    <w:lvl w:ilvl="4" w:tplc="1FD6D514">
      <w:start w:val="1"/>
      <w:numFmt w:val="lowerLetter"/>
      <w:lvlText w:val="%5."/>
      <w:lvlJc w:val="left"/>
      <w:pPr>
        <w:ind w:left="3600" w:hanging="360"/>
      </w:pPr>
    </w:lvl>
    <w:lvl w:ilvl="5" w:tplc="029C78B0">
      <w:start w:val="1"/>
      <w:numFmt w:val="lowerRoman"/>
      <w:lvlText w:val="%6."/>
      <w:lvlJc w:val="right"/>
      <w:pPr>
        <w:ind w:left="4320" w:hanging="180"/>
      </w:pPr>
    </w:lvl>
    <w:lvl w:ilvl="6" w:tplc="9B56DECA">
      <w:start w:val="1"/>
      <w:numFmt w:val="decimal"/>
      <w:lvlText w:val="%7."/>
      <w:lvlJc w:val="left"/>
      <w:pPr>
        <w:ind w:left="5040" w:hanging="360"/>
      </w:pPr>
    </w:lvl>
    <w:lvl w:ilvl="7" w:tplc="903AA4FE">
      <w:start w:val="1"/>
      <w:numFmt w:val="lowerLetter"/>
      <w:lvlText w:val="%8."/>
      <w:lvlJc w:val="left"/>
      <w:pPr>
        <w:ind w:left="5760" w:hanging="360"/>
      </w:pPr>
    </w:lvl>
    <w:lvl w:ilvl="8" w:tplc="4678CEE0">
      <w:start w:val="1"/>
      <w:numFmt w:val="lowerRoman"/>
      <w:lvlText w:val="%9."/>
      <w:lvlJc w:val="right"/>
      <w:pPr>
        <w:ind w:left="6480" w:hanging="180"/>
      </w:pPr>
    </w:lvl>
  </w:abstractNum>
  <w:abstractNum w:abstractNumId="4" w15:restartNumberingAfterBreak="0">
    <w:nsid w:val="14007AA7"/>
    <w:multiLevelType w:val="hybridMultilevel"/>
    <w:tmpl w:val="247854C6"/>
    <w:lvl w:ilvl="0" w:tplc="7F289EEA">
      <w:start w:val="3"/>
      <w:numFmt w:val="decimal"/>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43F6F58"/>
    <w:multiLevelType w:val="hybridMultilevel"/>
    <w:tmpl w:val="16A86D20"/>
    <w:lvl w:ilvl="0" w:tplc="01161C1E">
      <w:start w:val="1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15B02F1F"/>
    <w:multiLevelType w:val="hybridMultilevel"/>
    <w:tmpl w:val="B0B0DD70"/>
    <w:lvl w:ilvl="0" w:tplc="9E74642A">
      <w:start w:val="1"/>
      <w:numFmt w:val="decimal"/>
      <w:lvlText w:val="%1)"/>
      <w:lvlJc w:val="left"/>
      <w:pPr>
        <w:ind w:left="360" w:hanging="360"/>
      </w:pPr>
      <w:rPr>
        <w:rFonts w:ascii="Times New Roman" w:eastAsia="Calibri" w:hAnsi="Times New Roman" w:cs="Times New Roman"/>
      </w:rPr>
    </w:lvl>
    <w:lvl w:ilvl="1" w:tplc="634CDCE8" w:tentative="1">
      <w:start w:val="1"/>
      <w:numFmt w:val="lowerLetter"/>
      <w:lvlText w:val="%2."/>
      <w:lvlJc w:val="left"/>
      <w:pPr>
        <w:ind w:left="1080" w:hanging="360"/>
      </w:pPr>
    </w:lvl>
    <w:lvl w:ilvl="2" w:tplc="4BDE159E" w:tentative="1">
      <w:start w:val="1"/>
      <w:numFmt w:val="lowerRoman"/>
      <w:lvlText w:val="%3."/>
      <w:lvlJc w:val="right"/>
      <w:pPr>
        <w:ind w:left="1800" w:hanging="180"/>
      </w:pPr>
    </w:lvl>
    <w:lvl w:ilvl="3" w:tplc="D0A6ED0C" w:tentative="1">
      <w:start w:val="1"/>
      <w:numFmt w:val="decimal"/>
      <w:lvlText w:val="%4."/>
      <w:lvlJc w:val="left"/>
      <w:pPr>
        <w:ind w:left="2520" w:hanging="360"/>
      </w:pPr>
    </w:lvl>
    <w:lvl w:ilvl="4" w:tplc="84BECCEA" w:tentative="1">
      <w:start w:val="1"/>
      <w:numFmt w:val="lowerLetter"/>
      <w:lvlText w:val="%5."/>
      <w:lvlJc w:val="left"/>
      <w:pPr>
        <w:ind w:left="3240" w:hanging="360"/>
      </w:pPr>
    </w:lvl>
    <w:lvl w:ilvl="5" w:tplc="D8DAAED8" w:tentative="1">
      <w:start w:val="1"/>
      <w:numFmt w:val="lowerRoman"/>
      <w:lvlText w:val="%6."/>
      <w:lvlJc w:val="right"/>
      <w:pPr>
        <w:ind w:left="3960" w:hanging="180"/>
      </w:pPr>
    </w:lvl>
    <w:lvl w:ilvl="6" w:tplc="3136602E" w:tentative="1">
      <w:start w:val="1"/>
      <w:numFmt w:val="decimal"/>
      <w:lvlText w:val="%7."/>
      <w:lvlJc w:val="left"/>
      <w:pPr>
        <w:ind w:left="4680" w:hanging="360"/>
      </w:pPr>
    </w:lvl>
    <w:lvl w:ilvl="7" w:tplc="2E80675E" w:tentative="1">
      <w:start w:val="1"/>
      <w:numFmt w:val="lowerLetter"/>
      <w:lvlText w:val="%8."/>
      <w:lvlJc w:val="left"/>
      <w:pPr>
        <w:ind w:left="5400" w:hanging="360"/>
      </w:pPr>
    </w:lvl>
    <w:lvl w:ilvl="8" w:tplc="1360CF68" w:tentative="1">
      <w:start w:val="1"/>
      <w:numFmt w:val="lowerRoman"/>
      <w:lvlText w:val="%9."/>
      <w:lvlJc w:val="right"/>
      <w:pPr>
        <w:ind w:left="6120" w:hanging="180"/>
      </w:pPr>
    </w:lvl>
  </w:abstractNum>
  <w:abstractNum w:abstractNumId="7" w15:restartNumberingAfterBreak="1">
    <w:nsid w:val="1EBF4DA3"/>
    <w:multiLevelType w:val="hybridMultilevel"/>
    <w:tmpl w:val="6B2631BC"/>
    <w:lvl w:ilvl="0" w:tplc="4DECB944">
      <w:start w:val="1"/>
      <w:numFmt w:val="bullet"/>
      <w:lvlText w:val=""/>
      <w:lvlJc w:val="left"/>
      <w:pPr>
        <w:ind w:left="720" w:hanging="360"/>
      </w:pPr>
      <w:rPr>
        <w:rFonts w:ascii="Symbol" w:hAnsi="Symbol" w:cs="Symbol" w:hint="default"/>
        <w:color w:val="auto"/>
      </w:rPr>
    </w:lvl>
    <w:lvl w:ilvl="1" w:tplc="020E523E" w:tentative="1">
      <w:start w:val="1"/>
      <w:numFmt w:val="bullet"/>
      <w:lvlText w:val="o"/>
      <w:lvlJc w:val="left"/>
      <w:pPr>
        <w:ind w:left="1440" w:hanging="360"/>
      </w:pPr>
      <w:rPr>
        <w:rFonts w:ascii="Courier New" w:hAnsi="Courier New" w:cs="Courier New" w:hint="default"/>
      </w:rPr>
    </w:lvl>
    <w:lvl w:ilvl="2" w:tplc="7BEED07E" w:tentative="1">
      <w:start w:val="1"/>
      <w:numFmt w:val="bullet"/>
      <w:lvlText w:val=""/>
      <w:lvlJc w:val="left"/>
      <w:pPr>
        <w:ind w:left="2160" w:hanging="360"/>
      </w:pPr>
      <w:rPr>
        <w:rFonts w:ascii="Wingdings" w:hAnsi="Wingdings" w:hint="default"/>
      </w:rPr>
    </w:lvl>
    <w:lvl w:ilvl="3" w:tplc="29925340" w:tentative="1">
      <w:start w:val="1"/>
      <w:numFmt w:val="bullet"/>
      <w:lvlText w:val=""/>
      <w:lvlJc w:val="left"/>
      <w:pPr>
        <w:ind w:left="2880" w:hanging="360"/>
      </w:pPr>
      <w:rPr>
        <w:rFonts w:ascii="Symbol" w:hAnsi="Symbol" w:hint="default"/>
      </w:rPr>
    </w:lvl>
    <w:lvl w:ilvl="4" w:tplc="435EDBD4" w:tentative="1">
      <w:start w:val="1"/>
      <w:numFmt w:val="bullet"/>
      <w:lvlText w:val="o"/>
      <w:lvlJc w:val="left"/>
      <w:pPr>
        <w:ind w:left="3600" w:hanging="360"/>
      </w:pPr>
      <w:rPr>
        <w:rFonts w:ascii="Courier New" w:hAnsi="Courier New" w:cs="Courier New" w:hint="default"/>
      </w:rPr>
    </w:lvl>
    <w:lvl w:ilvl="5" w:tplc="D6B4725A" w:tentative="1">
      <w:start w:val="1"/>
      <w:numFmt w:val="bullet"/>
      <w:lvlText w:val=""/>
      <w:lvlJc w:val="left"/>
      <w:pPr>
        <w:ind w:left="4320" w:hanging="360"/>
      </w:pPr>
      <w:rPr>
        <w:rFonts w:ascii="Wingdings" w:hAnsi="Wingdings" w:hint="default"/>
      </w:rPr>
    </w:lvl>
    <w:lvl w:ilvl="6" w:tplc="5B845414" w:tentative="1">
      <w:start w:val="1"/>
      <w:numFmt w:val="bullet"/>
      <w:lvlText w:val=""/>
      <w:lvlJc w:val="left"/>
      <w:pPr>
        <w:ind w:left="5040" w:hanging="360"/>
      </w:pPr>
      <w:rPr>
        <w:rFonts w:ascii="Symbol" w:hAnsi="Symbol" w:hint="default"/>
      </w:rPr>
    </w:lvl>
    <w:lvl w:ilvl="7" w:tplc="175208FC" w:tentative="1">
      <w:start w:val="1"/>
      <w:numFmt w:val="bullet"/>
      <w:lvlText w:val="o"/>
      <w:lvlJc w:val="left"/>
      <w:pPr>
        <w:ind w:left="5760" w:hanging="360"/>
      </w:pPr>
      <w:rPr>
        <w:rFonts w:ascii="Courier New" w:hAnsi="Courier New" w:cs="Courier New" w:hint="default"/>
      </w:rPr>
    </w:lvl>
    <w:lvl w:ilvl="8" w:tplc="2ED867A2" w:tentative="1">
      <w:start w:val="1"/>
      <w:numFmt w:val="bullet"/>
      <w:lvlText w:val=""/>
      <w:lvlJc w:val="left"/>
      <w:pPr>
        <w:ind w:left="6480" w:hanging="360"/>
      </w:pPr>
      <w:rPr>
        <w:rFonts w:ascii="Wingdings" w:hAnsi="Wingdings" w:hint="default"/>
      </w:rPr>
    </w:lvl>
  </w:abstractNum>
  <w:abstractNum w:abstractNumId="8" w15:restartNumberingAfterBreak="0">
    <w:nsid w:val="20836CC1"/>
    <w:multiLevelType w:val="multilevel"/>
    <w:tmpl w:val="D5EA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137EA"/>
    <w:multiLevelType w:val="hybridMultilevel"/>
    <w:tmpl w:val="61183F1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A05ED"/>
    <w:multiLevelType w:val="hybridMultilevel"/>
    <w:tmpl w:val="D5AA5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51AF9"/>
    <w:multiLevelType w:val="hybridMultilevel"/>
    <w:tmpl w:val="CC54635C"/>
    <w:lvl w:ilvl="0" w:tplc="1D84CA0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67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C6834"/>
    <w:multiLevelType w:val="multilevel"/>
    <w:tmpl w:val="1AF22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1050E8F"/>
    <w:multiLevelType w:val="hybridMultilevel"/>
    <w:tmpl w:val="F40861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0F71D8"/>
    <w:multiLevelType w:val="hybridMultilevel"/>
    <w:tmpl w:val="6A4E948E"/>
    <w:lvl w:ilvl="0" w:tplc="4C548FC2">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4A166DB2"/>
    <w:multiLevelType w:val="hybridMultilevel"/>
    <w:tmpl w:val="1BCE1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B5660B0"/>
    <w:multiLevelType w:val="multilevel"/>
    <w:tmpl w:val="0854D900"/>
    <w:lvl w:ilvl="0">
      <w:start w:val="1"/>
      <w:numFmt w:val="decimal"/>
      <w:pStyle w:val="VPBullet"/>
      <w:lvlText w:val="%1."/>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D8778F5"/>
    <w:multiLevelType w:val="hybridMultilevel"/>
    <w:tmpl w:val="6834F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ED1403"/>
    <w:multiLevelType w:val="hybridMultilevel"/>
    <w:tmpl w:val="CCD48282"/>
    <w:lvl w:ilvl="0" w:tplc="F1EEFBFE">
      <w:start w:val="1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65F0B"/>
    <w:multiLevelType w:val="hybridMultilevel"/>
    <w:tmpl w:val="61183F1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AC47B4"/>
    <w:multiLevelType w:val="hybridMultilevel"/>
    <w:tmpl w:val="C76AD0D6"/>
    <w:lvl w:ilvl="0" w:tplc="671272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FB3FE0"/>
    <w:multiLevelType w:val="hybridMultilevel"/>
    <w:tmpl w:val="48C2AFD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4EF73A0"/>
    <w:multiLevelType w:val="hybridMultilevel"/>
    <w:tmpl w:val="0C30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871CC"/>
    <w:multiLevelType w:val="hybridMultilevel"/>
    <w:tmpl w:val="393A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9198B"/>
    <w:multiLevelType w:val="hybridMultilevel"/>
    <w:tmpl w:val="4C8641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B634FE"/>
    <w:multiLevelType w:val="hybridMultilevel"/>
    <w:tmpl w:val="63D09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72E17D06"/>
    <w:multiLevelType w:val="hybridMultilevel"/>
    <w:tmpl w:val="418E5C50"/>
    <w:lvl w:ilvl="0" w:tplc="F468C7E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1">
    <w:nsid w:val="74B752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E722A8"/>
    <w:multiLevelType w:val="hybridMultilevel"/>
    <w:tmpl w:val="DBAE666C"/>
    <w:lvl w:ilvl="0" w:tplc="7A385D0A">
      <w:start w:val="1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1065E0"/>
    <w:multiLevelType w:val="hybridMultilevel"/>
    <w:tmpl w:val="B4021D8A"/>
    <w:lvl w:ilvl="0" w:tplc="1DBAD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0"/>
  </w:num>
  <w:num w:numId="3">
    <w:abstractNumId w:val="9"/>
  </w:num>
  <w:num w:numId="4">
    <w:abstractNumId w:val="31"/>
  </w:num>
  <w:num w:numId="5">
    <w:abstractNumId w:val="2"/>
  </w:num>
  <w:num w:numId="6">
    <w:abstractNumId w:val="12"/>
  </w:num>
  <w:num w:numId="7">
    <w:abstractNumId w:val="27"/>
  </w:num>
  <w:num w:numId="8">
    <w:abstractNumId w:val="28"/>
  </w:num>
  <w:num w:numId="9">
    <w:abstractNumId w:val="25"/>
  </w:num>
  <w:num w:numId="10">
    <w:abstractNumId w:val="20"/>
  </w:num>
  <w:num w:numId="11">
    <w:abstractNumId w:val="0"/>
  </w:num>
  <w:num w:numId="12">
    <w:abstractNumId w:val="23"/>
  </w:num>
  <w:num w:numId="13">
    <w:abstractNumId w:val="36"/>
  </w:num>
  <w:num w:numId="14">
    <w:abstractNumId w:val="16"/>
  </w:num>
  <w:num w:numId="15">
    <w:abstractNumId w:val="24"/>
  </w:num>
  <w:num w:numId="16">
    <w:abstractNumId w:val="32"/>
  </w:num>
  <w:num w:numId="17">
    <w:abstractNumId w:val="4"/>
  </w:num>
  <w:num w:numId="18">
    <w:abstractNumId w:val="18"/>
  </w:num>
  <w:num w:numId="19">
    <w:abstractNumId w:val="30"/>
  </w:num>
  <w:num w:numId="20">
    <w:abstractNumId w:val="17"/>
  </w:num>
  <w:num w:numId="21">
    <w:abstractNumId w:val="11"/>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6"/>
  </w:num>
  <w:num w:numId="26">
    <w:abstractNumId w:val="33"/>
  </w:num>
  <w:num w:numId="27">
    <w:abstractNumId w:val="7"/>
  </w:num>
  <w:num w:numId="28">
    <w:abstractNumId w:val="2"/>
  </w:num>
  <w:num w:numId="29">
    <w:abstractNumId w:val="15"/>
  </w:num>
  <w:num w:numId="30">
    <w:abstractNumId w:val="8"/>
  </w:num>
  <w:num w:numId="31">
    <w:abstractNumId w:val="21"/>
  </w:num>
  <w:num w:numId="32">
    <w:abstractNumId w:val="19"/>
  </w:num>
  <w:num w:numId="33">
    <w:abstractNumId w:val="26"/>
  </w:num>
  <w:num w:numId="34">
    <w:abstractNumId w:val="13"/>
  </w:num>
  <w:num w:numId="35">
    <w:abstractNumId w:val="14"/>
  </w:num>
  <w:num w:numId="36">
    <w:abstractNumId w:val="34"/>
  </w:num>
  <w:num w:numId="37">
    <w:abstractNumId w:val="22"/>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E8"/>
    <w:rsid w:val="00000F11"/>
    <w:rsid w:val="00002457"/>
    <w:rsid w:val="00002470"/>
    <w:rsid w:val="00003F5C"/>
    <w:rsid w:val="0000532F"/>
    <w:rsid w:val="00005D22"/>
    <w:rsid w:val="00006D90"/>
    <w:rsid w:val="00010F6F"/>
    <w:rsid w:val="000115B5"/>
    <w:rsid w:val="00016B50"/>
    <w:rsid w:val="00020DC3"/>
    <w:rsid w:val="00021338"/>
    <w:rsid w:val="00021701"/>
    <w:rsid w:val="0002284A"/>
    <w:rsid w:val="00023A03"/>
    <w:rsid w:val="00024B0A"/>
    <w:rsid w:val="00025AD8"/>
    <w:rsid w:val="0002669B"/>
    <w:rsid w:val="00027571"/>
    <w:rsid w:val="0003005F"/>
    <w:rsid w:val="00031459"/>
    <w:rsid w:val="00031522"/>
    <w:rsid w:val="00032AA8"/>
    <w:rsid w:val="00033EF5"/>
    <w:rsid w:val="0003612E"/>
    <w:rsid w:val="0003644B"/>
    <w:rsid w:val="0003659A"/>
    <w:rsid w:val="00043B9C"/>
    <w:rsid w:val="0004545A"/>
    <w:rsid w:val="00045571"/>
    <w:rsid w:val="00045CFF"/>
    <w:rsid w:val="00047BD8"/>
    <w:rsid w:val="00050DCB"/>
    <w:rsid w:val="00050DE6"/>
    <w:rsid w:val="00050E0B"/>
    <w:rsid w:val="00051170"/>
    <w:rsid w:val="000514FC"/>
    <w:rsid w:val="00051BA4"/>
    <w:rsid w:val="00051BFA"/>
    <w:rsid w:val="00051F34"/>
    <w:rsid w:val="000521A1"/>
    <w:rsid w:val="000523FB"/>
    <w:rsid w:val="000533F3"/>
    <w:rsid w:val="000539DF"/>
    <w:rsid w:val="00054AC6"/>
    <w:rsid w:val="00054EAA"/>
    <w:rsid w:val="00060180"/>
    <w:rsid w:val="000612AA"/>
    <w:rsid w:val="000613B0"/>
    <w:rsid w:val="000626AB"/>
    <w:rsid w:val="00062F9F"/>
    <w:rsid w:val="0006361C"/>
    <w:rsid w:val="00063C53"/>
    <w:rsid w:val="00064EFD"/>
    <w:rsid w:val="00067812"/>
    <w:rsid w:val="0007149C"/>
    <w:rsid w:val="0007155F"/>
    <w:rsid w:val="00074328"/>
    <w:rsid w:val="0007433E"/>
    <w:rsid w:val="0007470E"/>
    <w:rsid w:val="00074A22"/>
    <w:rsid w:val="00075B36"/>
    <w:rsid w:val="00076AE4"/>
    <w:rsid w:val="000842F2"/>
    <w:rsid w:val="00084862"/>
    <w:rsid w:val="00090216"/>
    <w:rsid w:val="000902B7"/>
    <w:rsid w:val="00092118"/>
    <w:rsid w:val="00092240"/>
    <w:rsid w:val="00092D55"/>
    <w:rsid w:val="0009350E"/>
    <w:rsid w:val="000935C0"/>
    <w:rsid w:val="00094F92"/>
    <w:rsid w:val="00097456"/>
    <w:rsid w:val="000978F2"/>
    <w:rsid w:val="000A089B"/>
    <w:rsid w:val="000A0C78"/>
    <w:rsid w:val="000A15C7"/>
    <w:rsid w:val="000A1F14"/>
    <w:rsid w:val="000A2692"/>
    <w:rsid w:val="000A2CB4"/>
    <w:rsid w:val="000A38C1"/>
    <w:rsid w:val="000A5900"/>
    <w:rsid w:val="000A5A0B"/>
    <w:rsid w:val="000A5EBC"/>
    <w:rsid w:val="000A7D2D"/>
    <w:rsid w:val="000B0CAA"/>
    <w:rsid w:val="000B21FF"/>
    <w:rsid w:val="000B22EF"/>
    <w:rsid w:val="000B31AB"/>
    <w:rsid w:val="000B3D95"/>
    <w:rsid w:val="000B5BD8"/>
    <w:rsid w:val="000B613E"/>
    <w:rsid w:val="000B61A3"/>
    <w:rsid w:val="000C085F"/>
    <w:rsid w:val="000C10FB"/>
    <w:rsid w:val="000C2D68"/>
    <w:rsid w:val="000C2E55"/>
    <w:rsid w:val="000C325B"/>
    <w:rsid w:val="000C4562"/>
    <w:rsid w:val="000C4D86"/>
    <w:rsid w:val="000C771E"/>
    <w:rsid w:val="000D0978"/>
    <w:rsid w:val="000D0F03"/>
    <w:rsid w:val="000D0F56"/>
    <w:rsid w:val="000D17C5"/>
    <w:rsid w:val="000D19D0"/>
    <w:rsid w:val="000D2EF6"/>
    <w:rsid w:val="000D300B"/>
    <w:rsid w:val="000D5525"/>
    <w:rsid w:val="000D553C"/>
    <w:rsid w:val="000D5B35"/>
    <w:rsid w:val="000D5DD7"/>
    <w:rsid w:val="000E2EB6"/>
    <w:rsid w:val="000E317C"/>
    <w:rsid w:val="000E3C2D"/>
    <w:rsid w:val="000E3ED7"/>
    <w:rsid w:val="000E56AB"/>
    <w:rsid w:val="000E61D3"/>
    <w:rsid w:val="000E7240"/>
    <w:rsid w:val="000E7F98"/>
    <w:rsid w:val="000F02F6"/>
    <w:rsid w:val="000F1A94"/>
    <w:rsid w:val="000F1C19"/>
    <w:rsid w:val="000F250D"/>
    <w:rsid w:val="000F4451"/>
    <w:rsid w:val="000F5956"/>
    <w:rsid w:val="000F5C7E"/>
    <w:rsid w:val="000F5DB3"/>
    <w:rsid w:val="000F64E1"/>
    <w:rsid w:val="000F6BF9"/>
    <w:rsid w:val="000F79D8"/>
    <w:rsid w:val="001002C1"/>
    <w:rsid w:val="0010097F"/>
    <w:rsid w:val="00101181"/>
    <w:rsid w:val="00101D63"/>
    <w:rsid w:val="00104A04"/>
    <w:rsid w:val="00105459"/>
    <w:rsid w:val="00111CC3"/>
    <w:rsid w:val="00112A34"/>
    <w:rsid w:val="00115588"/>
    <w:rsid w:val="00115DF8"/>
    <w:rsid w:val="001161CF"/>
    <w:rsid w:val="001168CB"/>
    <w:rsid w:val="00116903"/>
    <w:rsid w:val="001208AA"/>
    <w:rsid w:val="00122A08"/>
    <w:rsid w:val="00124A21"/>
    <w:rsid w:val="00125157"/>
    <w:rsid w:val="001265A2"/>
    <w:rsid w:val="00126E45"/>
    <w:rsid w:val="00126ECC"/>
    <w:rsid w:val="00133BBF"/>
    <w:rsid w:val="00134B00"/>
    <w:rsid w:val="00135725"/>
    <w:rsid w:val="0013584E"/>
    <w:rsid w:val="001371C9"/>
    <w:rsid w:val="00141470"/>
    <w:rsid w:val="001419FA"/>
    <w:rsid w:val="001423B7"/>
    <w:rsid w:val="00143468"/>
    <w:rsid w:val="00143EE5"/>
    <w:rsid w:val="001456B5"/>
    <w:rsid w:val="00147976"/>
    <w:rsid w:val="00150012"/>
    <w:rsid w:val="00150342"/>
    <w:rsid w:val="00152253"/>
    <w:rsid w:val="001526E2"/>
    <w:rsid w:val="001528BF"/>
    <w:rsid w:val="00153E62"/>
    <w:rsid w:val="001549CE"/>
    <w:rsid w:val="00154ABC"/>
    <w:rsid w:val="00154B1B"/>
    <w:rsid w:val="00155EFC"/>
    <w:rsid w:val="00155FC4"/>
    <w:rsid w:val="00156423"/>
    <w:rsid w:val="0015679D"/>
    <w:rsid w:val="00156A96"/>
    <w:rsid w:val="00157CF5"/>
    <w:rsid w:val="001605CE"/>
    <w:rsid w:val="00160B0E"/>
    <w:rsid w:val="001615FD"/>
    <w:rsid w:val="00161B5D"/>
    <w:rsid w:val="00161DA7"/>
    <w:rsid w:val="0016287C"/>
    <w:rsid w:val="00162BA3"/>
    <w:rsid w:val="0016560B"/>
    <w:rsid w:val="00167BEA"/>
    <w:rsid w:val="0017092D"/>
    <w:rsid w:val="001709DD"/>
    <w:rsid w:val="00172186"/>
    <w:rsid w:val="00172A78"/>
    <w:rsid w:val="001730DF"/>
    <w:rsid w:val="00173237"/>
    <w:rsid w:val="001741F3"/>
    <w:rsid w:val="001744E1"/>
    <w:rsid w:val="0017584B"/>
    <w:rsid w:val="001774F8"/>
    <w:rsid w:val="001776DA"/>
    <w:rsid w:val="00177D39"/>
    <w:rsid w:val="00180511"/>
    <w:rsid w:val="001846AF"/>
    <w:rsid w:val="001849F0"/>
    <w:rsid w:val="00185799"/>
    <w:rsid w:val="00186DF7"/>
    <w:rsid w:val="001875B7"/>
    <w:rsid w:val="0019121D"/>
    <w:rsid w:val="0019150B"/>
    <w:rsid w:val="001915B0"/>
    <w:rsid w:val="0019162B"/>
    <w:rsid w:val="00191A4B"/>
    <w:rsid w:val="00192532"/>
    <w:rsid w:val="00192746"/>
    <w:rsid w:val="00192A57"/>
    <w:rsid w:val="00194168"/>
    <w:rsid w:val="001947EF"/>
    <w:rsid w:val="001959B7"/>
    <w:rsid w:val="001A1418"/>
    <w:rsid w:val="001A1468"/>
    <w:rsid w:val="001A163E"/>
    <w:rsid w:val="001A19F1"/>
    <w:rsid w:val="001A1F58"/>
    <w:rsid w:val="001A26D2"/>
    <w:rsid w:val="001A320E"/>
    <w:rsid w:val="001A4B81"/>
    <w:rsid w:val="001A4CB4"/>
    <w:rsid w:val="001A6A19"/>
    <w:rsid w:val="001A728F"/>
    <w:rsid w:val="001A7D46"/>
    <w:rsid w:val="001A7E70"/>
    <w:rsid w:val="001B0DD7"/>
    <w:rsid w:val="001B1193"/>
    <w:rsid w:val="001B57B0"/>
    <w:rsid w:val="001B7F80"/>
    <w:rsid w:val="001B7FAC"/>
    <w:rsid w:val="001C142F"/>
    <w:rsid w:val="001C2319"/>
    <w:rsid w:val="001C3EC6"/>
    <w:rsid w:val="001C57F1"/>
    <w:rsid w:val="001C68A8"/>
    <w:rsid w:val="001C6F2C"/>
    <w:rsid w:val="001C7616"/>
    <w:rsid w:val="001D0C30"/>
    <w:rsid w:val="001D167C"/>
    <w:rsid w:val="001D19C2"/>
    <w:rsid w:val="001D26C0"/>
    <w:rsid w:val="001D5140"/>
    <w:rsid w:val="001D58A6"/>
    <w:rsid w:val="001D67CD"/>
    <w:rsid w:val="001D73C8"/>
    <w:rsid w:val="001D7407"/>
    <w:rsid w:val="001E09C2"/>
    <w:rsid w:val="001E1731"/>
    <w:rsid w:val="001E1CCE"/>
    <w:rsid w:val="001E1FA4"/>
    <w:rsid w:val="001E28D1"/>
    <w:rsid w:val="001E4DF6"/>
    <w:rsid w:val="001E5281"/>
    <w:rsid w:val="001E5F70"/>
    <w:rsid w:val="001E6828"/>
    <w:rsid w:val="001E6D75"/>
    <w:rsid w:val="001E6F87"/>
    <w:rsid w:val="001F0508"/>
    <w:rsid w:val="001F0D69"/>
    <w:rsid w:val="001F24B1"/>
    <w:rsid w:val="001F2F62"/>
    <w:rsid w:val="001F313D"/>
    <w:rsid w:val="001F3328"/>
    <w:rsid w:val="001F3A04"/>
    <w:rsid w:val="001F5F63"/>
    <w:rsid w:val="001F7159"/>
    <w:rsid w:val="001F746B"/>
    <w:rsid w:val="002008CD"/>
    <w:rsid w:val="00200C4C"/>
    <w:rsid w:val="00201F5D"/>
    <w:rsid w:val="0020211C"/>
    <w:rsid w:val="002030B7"/>
    <w:rsid w:val="002032A5"/>
    <w:rsid w:val="0020461C"/>
    <w:rsid w:val="00205EE7"/>
    <w:rsid w:val="00206A3D"/>
    <w:rsid w:val="00207EE6"/>
    <w:rsid w:val="002109AB"/>
    <w:rsid w:val="00210BD4"/>
    <w:rsid w:val="00211E76"/>
    <w:rsid w:val="00213AD8"/>
    <w:rsid w:val="00213B97"/>
    <w:rsid w:val="002140B6"/>
    <w:rsid w:val="002142D2"/>
    <w:rsid w:val="00215A10"/>
    <w:rsid w:val="00216776"/>
    <w:rsid w:val="00216B88"/>
    <w:rsid w:val="0021712F"/>
    <w:rsid w:val="00217A17"/>
    <w:rsid w:val="0022008B"/>
    <w:rsid w:val="00220CDE"/>
    <w:rsid w:val="0022151E"/>
    <w:rsid w:val="00221A63"/>
    <w:rsid w:val="00222707"/>
    <w:rsid w:val="00222785"/>
    <w:rsid w:val="00226E8D"/>
    <w:rsid w:val="002278B1"/>
    <w:rsid w:val="00230C4A"/>
    <w:rsid w:val="00232632"/>
    <w:rsid w:val="00232B75"/>
    <w:rsid w:val="00234E4D"/>
    <w:rsid w:val="00235050"/>
    <w:rsid w:val="002363A3"/>
    <w:rsid w:val="0023720F"/>
    <w:rsid w:val="002425DD"/>
    <w:rsid w:val="002437C7"/>
    <w:rsid w:val="002438DE"/>
    <w:rsid w:val="002456F7"/>
    <w:rsid w:val="00246565"/>
    <w:rsid w:val="0024678F"/>
    <w:rsid w:val="00247CE0"/>
    <w:rsid w:val="00250448"/>
    <w:rsid w:val="00251A6C"/>
    <w:rsid w:val="00254343"/>
    <w:rsid w:val="00255897"/>
    <w:rsid w:val="00256916"/>
    <w:rsid w:val="00257808"/>
    <w:rsid w:val="00260455"/>
    <w:rsid w:val="00261807"/>
    <w:rsid w:val="002626CB"/>
    <w:rsid w:val="002635DD"/>
    <w:rsid w:val="0026395B"/>
    <w:rsid w:val="00264148"/>
    <w:rsid w:val="002642EF"/>
    <w:rsid w:val="002658A9"/>
    <w:rsid w:val="002671B5"/>
    <w:rsid w:val="00267422"/>
    <w:rsid w:val="002719D4"/>
    <w:rsid w:val="00271D04"/>
    <w:rsid w:val="002725CA"/>
    <w:rsid w:val="00274C16"/>
    <w:rsid w:val="00274D7F"/>
    <w:rsid w:val="00277B6E"/>
    <w:rsid w:val="0028133E"/>
    <w:rsid w:val="00281452"/>
    <w:rsid w:val="002814AE"/>
    <w:rsid w:val="00281DB4"/>
    <w:rsid w:val="002821A9"/>
    <w:rsid w:val="00282259"/>
    <w:rsid w:val="0028481B"/>
    <w:rsid w:val="0028561A"/>
    <w:rsid w:val="00287A1F"/>
    <w:rsid w:val="00290785"/>
    <w:rsid w:val="00290AA7"/>
    <w:rsid w:val="0029162D"/>
    <w:rsid w:val="002922BC"/>
    <w:rsid w:val="00293105"/>
    <w:rsid w:val="002941DA"/>
    <w:rsid w:val="00294712"/>
    <w:rsid w:val="00294E2D"/>
    <w:rsid w:val="00295ECD"/>
    <w:rsid w:val="0029696A"/>
    <w:rsid w:val="002A0766"/>
    <w:rsid w:val="002A0983"/>
    <w:rsid w:val="002A1983"/>
    <w:rsid w:val="002A2379"/>
    <w:rsid w:val="002A2D54"/>
    <w:rsid w:val="002A4B27"/>
    <w:rsid w:val="002A55A4"/>
    <w:rsid w:val="002A56AC"/>
    <w:rsid w:val="002B261A"/>
    <w:rsid w:val="002B275D"/>
    <w:rsid w:val="002B2A5E"/>
    <w:rsid w:val="002B3463"/>
    <w:rsid w:val="002B3EF2"/>
    <w:rsid w:val="002B3EF5"/>
    <w:rsid w:val="002B3FA2"/>
    <w:rsid w:val="002B48CA"/>
    <w:rsid w:val="002B5011"/>
    <w:rsid w:val="002B6524"/>
    <w:rsid w:val="002B6829"/>
    <w:rsid w:val="002B693F"/>
    <w:rsid w:val="002B7C68"/>
    <w:rsid w:val="002C17A0"/>
    <w:rsid w:val="002C1CD7"/>
    <w:rsid w:val="002C284E"/>
    <w:rsid w:val="002C28DA"/>
    <w:rsid w:val="002C2A27"/>
    <w:rsid w:val="002C2BF8"/>
    <w:rsid w:val="002C3969"/>
    <w:rsid w:val="002C3E3B"/>
    <w:rsid w:val="002C3E3E"/>
    <w:rsid w:val="002C57B6"/>
    <w:rsid w:val="002C6FFF"/>
    <w:rsid w:val="002D1083"/>
    <w:rsid w:val="002D35FA"/>
    <w:rsid w:val="002D4D2A"/>
    <w:rsid w:val="002D578B"/>
    <w:rsid w:val="002D5805"/>
    <w:rsid w:val="002D6699"/>
    <w:rsid w:val="002D68F9"/>
    <w:rsid w:val="002D75C3"/>
    <w:rsid w:val="002D7C40"/>
    <w:rsid w:val="002E00FA"/>
    <w:rsid w:val="002E2EE2"/>
    <w:rsid w:val="002E5EEF"/>
    <w:rsid w:val="002E77D9"/>
    <w:rsid w:val="002E78C2"/>
    <w:rsid w:val="002E78FA"/>
    <w:rsid w:val="002E7AAE"/>
    <w:rsid w:val="002E7ECA"/>
    <w:rsid w:val="002F0FE6"/>
    <w:rsid w:val="002F171B"/>
    <w:rsid w:val="002F2F44"/>
    <w:rsid w:val="002F46ED"/>
    <w:rsid w:val="002F481A"/>
    <w:rsid w:val="002F5AA3"/>
    <w:rsid w:val="002F5B1C"/>
    <w:rsid w:val="002F613E"/>
    <w:rsid w:val="002F6AFE"/>
    <w:rsid w:val="002F7340"/>
    <w:rsid w:val="0030033B"/>
    <w:rsid w:val="00300723"/>
    <w:rsid w:val="003011D5"/>
    <w:rsid w:val="003048BE"/>
    <w:rsid w:val="003078D5"/>
    <w:rsid w:val="00307925"/>
    <w:rsid w:val="00307CF7"/>
    <w:rsid w:val="00311D6F"/>
    <w:rsid w:val="00315638"/>
    <w:rsid w:val="00317991"/>
    <w:rsid w:val="00317BF8"/>
    <w:rsid w:val="00320D21"/>
    <w:rsid w:val="0032117E"/>
    <w:rsid w:val="00322098"/>
    <w:rsid w:val="00322573"/>
    <w:rsid w:val="0032453C"/>
    <w:rsid w:val="00325007"/>
    <w:rsid w:val="0032670D"/>
    <w:rsid w:val="00327902"/>
    <w:rsid w:val="00332078"/>
    <w:rsid w:val="00335FCF"/>
    <w:rsid w:val="003364E2"/>
    <w:rsid w:val="00336945"/>
    <w:rsid w:val="00337A32"/>
    <w:rsid w:val="00340C1B"/>
    <w:rsid w:val="00340E28"/>
    <w:rsid w:val="00341BE9"/>
    <w:rsid w:val="00342251"/>
    <w:rsid w:val="003428C3"/>
    <w:rsid w:val="00344805"/>
    <w:rsid w:val="003452A8"/>
    <w:rsid w:val="00345A9E"/>
    <w:rsid w:val="003470D9"/>
    <w:rsid w:val="00347579"/>
    <w:rsid w:val="00350515"/>
    <w:rsid w:val="00350620"/>
    <w:rsid w:val="00350695"/>
    <w:rsid w:val="0035099C"/>
    <w:rsid w:val="00350D84"/>
    <w:rsid w:val="00353E1D"/>
    <w:rsid w:val="0035581C"/>
    <w:rsid w:val="00356AB6"/>
    <w:rsid w:val="003577F3"/>
    <w:rsid w:val="00360549"/>
    <w:rsid w:val="00360612"/>
    <w:rsid w:val="00360873"/>
    <w:rsid w:val="00362C2C"/>
    <w:rsid w:val="0036728F"/>
    <w:rsid w:val="003679A1"/>
    <w:rsid w:val="00370730"/>
    <w:rsid w:val="00371613"/>
    <w:rsid w:val="00372238"/>
    <w:rsid w:val="00372E4E"/>
    <w:rsid w:val="0037545F"/>
    <w:rsid w:val="0037556E"/>
    <w:rsid w:val="003759FC"/>
    <w:rsid w:val="00377872"/>
    <w:rsid w:val="00381CAE"/>
    <w:rsid w:val="00383F77"/>
    <w:rsid w:val="003849C4"/>
    <w:rsid w:val="00385B2E"/>
    <w:rsid w:val="0038654D"/>
    <w:rsid w:val="00392AAB"/>
    <w:rsid w:val="00393C88"/>
    <w:rsid w:val="00394B3A"/>
    <w:rsid w:val="003A018D"/>
    <w:rsid w:val="003A13BA"/>
    <w:rsid w:val="003A4191"/>
    <w:rsid w:val="003A4D40"/>
    <w:rsid w:val="003A6401"/>
    <w:rsid w:val="003A6552"/>
    <w:rsid w:val="003A7305"/>
    <w:rsid w:val="003B24A4"/>
    <w:rsid w:val="003B36C4"/>
    <w:rsid w:val="003B3DDE"/>
    <w:rsid w:val="003B3EE6"/>
    <w:rsid w:val="003B438C"/>
    <w:rsid w:val="003B48B4"/>
    <w:rsid w:val="003B6B29"/>
    <w:rsid w:val="003B7028"/>
    <w:rsid w:val="003B7BE5"/>
    <w:rsid w:val="003C07EF"/>
    <w:rsid w:val="003C0A80"/>
    <w:rsid w:val="003C0AE0"/>
    <w:rsid w:val="003C111A"/>
    <w:rsid w:val="003C32E9"/>
    <w:rsid w:val="003C50EB"/>
    <w:rsid w:val="003D01F8"/>
    <w:rsid w:val="003D0F7B"/>
    <w:rsid w:val="003D2B37"/>
    <w:rsid w:val="003D32DC"/>
    <w:rsid w:val="003D3669"/>
    <w:rsid w:val="003D52F1"/>
    <w:rsid w:val="003D5B57"/>
    <w:rsid w:val="003D732B"/>
    <w:rsid w:val="003E01A6"/>
    <w:rsid w:val="003E1F15"/>
    <w:rsid w:val="003E3B32"/>
    <w:rsid w:val="003E3EAD"/>
    <w:rsid w:val="003E4C60"/>
    <w:rsid w:val="003E4CBC"/>
    <w:rsid w:val="003E52BB"/>
    <w:rsid w:val="003E6703"/>
    <w:rsid w:val="003F0881"/>
    <w:rsid w:val="003F15B8"/>
    <w:rsid w:val="003F1767"/>
    <w:rsid w:val="003F49D0"/>
    <w:rsid w:val="003F4DFC"/>
    <w:rsid w:val="003F5743"/>
    <w:rsid w:val="00401F6A"/>
    <w:rsid w:val="00403750"/>
    <w:rsid w:val="004049B6"/>
    <w:rsid w:val="00405914"/>
    <w:rsid w:val="0040687A"/>
    <w:rsid w:val="00406AB0"/>
    <w:rsid w:val="0040736B"/>
    <w:rsid w:val="00410BB0"/>
    <w:rsid w:val="00411CEA"/>
    <w:rsid w:val="00412F05"/>
    <w:rsid w:val="00413303"/>
    <w:rsid w:val="00413353"/>
    <w:rsid w:val="0041441B"/>
    <w:rsid w:val="004146C5"/>
    <w:rsid w:val="00414AF0"/>
    <w:rsid w:val="00415AD8"/>
    <w:rsid w:val="0041753B"/>
    <w:rsid w:val="00417AAC"/>
    <w:rsid w:val="00421299"/>
    <w:rsid w:val="004225F6"/>
    <w:rsid w:val="00422F2E"/>
    <w:rsid w:val="00424BF9"/>
    <w:rsid w:val="00426235"/>
    <w:rsid w:val="004264C9"/>
    <w:rsid w:val="004266FC"/>
    <w:rsid w:val="00426EE1"/>
    <w:rsid w:val="004275A1"/>
    <w:rsid w:val="00432745"/>
    <w:rsid w:val="0043321D"/>
    <w:rsid w:val="00434D3E"/>
    <w:rsid w:val="0043701A"/>
    <w:rsid w:val="00437947"/>
    <w:rsid w:val="00440838"/>
    <w:rsid w:val="00440947"/>
    <w:rsid w:val="00442BD8"/>
    <w:rsid w:val="00442FA7"/>
    <w:rsid w:val="00443261"/>
    <w:rsid w:val="00444686"/>
    <w:rsid w:val="00445306"/>
    <w:rsid w:val="00446111"/>
    <w:rsid w:val="00446376"/>
    <w:rsid w:val="004467C7"/>
    <w:rsid w:val="0044740E"/>
    <w:rsid w:val="0045034C"/>
    <w:rsid w:val="004525DA"/>
    <w:rsid w:val="00453300"/>
    <w:rsid w:val="0045389A"/>
    <w:rsid w:val="00453BC5"/>
    <w:rsid w:val="00454AE2"/>
    <w:rsid w:val="004558D6"/>
    <w:rsid w:val="00456FE3"/>
    <w:rsid w:val="004633A5"/>
    <w:rsid w:val="00463506"/>
    <w:rsid w:val="00463A14"/>
    <w:rsid w:val="00463D23"/>
    <w:rsid w:val="0046456F"/>
    <w:rsid w:val="00464CC0"/>
    <w:rsid w:val="00465AE4"/>
    <w:rsid w:val="004663DE"/>
    <w:rsid w:val="0047218D"/>
    <w:rsid w:val="00474955"/>
    <w:rsid w:val="00474ED1"/>
    <w:rsid w:val="004757A6"/>
    <w:rsid w:val="00475D36"/>
    <w:rsid w:val="0047693C"/>
    <w:rsid w:val="004770EA"/>
    <w:rsid w:val="00483362"/>
    <w:rsid w:val="00485248"/>
    <w:rsid w:val="00485E1D"/>
    <w:rsid w:val="00486032"/>
    <w:rsid w:val="0048669C"/>
    <w:rsid w:val="00487F79"/>
    <w:rsid w:val="0049564E"/>
    <w:rsid w:val="00496A73"/>
    <w:rsid w:val="00496C8B"/>
    <w:rsid w:val="00497E79"/>
    <w:rsid w:val="00497EC5"/>
    <w:rsid w:val="00497F3C"/>
    <w:rsid w:val="004A016E"/>
    <w:rsid w:val="004A0179"/>
    <w:rsid w:val="004A0CBB"/>
    <w:rsid w:val="004A0D9A"/>
    <w:rsid w:val="004A360C"/>
    <w:rsid w:val="004A39DB"/>
    <w:rsid w:val="004A40F7"/>
    <w:rsid w:val="004A4336"/>
    <w:rsid w:val="004A4C66"/>
    <w:rsid w:val="004A67CB"/>
    <w:rsid w:val="004B00AB"/>
    <w:rsid w:val="004B45CE"/>
    <w:rsid w:val="004B61B8"/>
    <w:rsid w:val="004B7000"/>
    <w:rsid w:val="004B72FD"/>
    <w:rsid w:val="004B7AD0"/>
    <w:rsid w:val="004C04FF"/>
    <w:rsid w:val="004C0F38"/>
    <w:rsid w:val="004C2C83"/>
    <w:rsid w:val="004C31DA"/>
    <w:rsid w:val="004C3708"/>
    <w:rsid w:val="004C50ED"/>
    <w:rsid w:val="004C6428"/>
    <w:rsid w:val="004C6F07"/>
    <w:rsid w:val="004D0754"/>
    <w:rsid w:val="004D0CAA"/>
    <w:rsid w:val="004D1146"/>
    <w:rsid w:val="004D1422"/>
    <w:rsid w:val="004D37BB"/>
    <w:rsid w:val="004D407C"/>
    <w:rsid w:val="004D4604"/>
    <w:rsid w:val="004D4E57"/>
    <w:rsid w:val="004D5D4B"/>
    <w:rsid w:val="004D7537"/>
    <w:rsid w:val="004D7678"/>
    <w:rsid w:val="004D7BB8"/>
    <w:rsid w:val="004E0148"/>
    <w:rsid w:val="004E0BAA"/>
    <w:rsid w:val="004E1B81"/>
    <w:rsid w:val="004E201C"/>
    <w:rsid w:val="004E220A"/>
    <w:rsid w:val="004E3DC9"/>
    <w:rsid w:val="004E580C"/>
    <w:rsid w:val="004E6145"/>
    <w:rsid w:val="004E70C7"/>
    <w:rsid w:val="004E76ED"/>
    <w:rsid w:val="004E7CCF"/>
    <w:rsid w:val="004E7E2E"/>
    <w:rsid w:val="004F055A"/>
    <w:rsid w:val="004F1306"/>
    <w:rsid w:val="004F1DD5"/>
    <w:rsid w:val="004F3ECC"/>
    <w:rsid w:val="004F5212"/>
    <w:rsid w:val="004F5DCB"/>
    <w:rsid w:val="004F5E7D"/>
    <w:rsid w:val="004F626E"/>
    <w:rsid w:val="00500CF0"/>
    <w:rsid w:val="00500D4F"/>
    <w:rsid w:val="00501284"/>
    <w:rsid w:val="00503C89"/>
    <w:rsid w:val="0050534F"/>
    <w:rsid w:val="00505DE9"/>
    <w:rsid w:val="00505F26"/>
    <w:rsid w:val="00506405"/>
    <w:rsid w:val="005065DD"/>
    <w:rsid w:val="00511314"/>
    <w:rsid w:val="00511455"/>
    <w:rsid w:val="00511C65"/>
    <w:rsid w:val="00512219"/>
    <w:rsid w:val="00513362"/>
    <w:rsid w:val="005148E7"/>
    <w:rsid w:val="005149FD"/>
    <w:rsid w:val="00515275"/>
    <w:rsid w:val="005158E7"/>
    <w:rsid w:val="00515CBA"/>
    <w:rsid w:val="00517451"/>
    <w:rsid w:val="005202FE"/>
    <w:rsid w:val="005208F8"/>
    <w:rsid w:val="00521F2D"/>
    <w:rsid w:val="00523462"/>
    <w:rsid w:val="00523D9B"/>
    <w:rsid w:val="00523F44"/>
    <w:rsid w:val="00524DA5"/>
    <w:rsid w:val="0052587B"/>
    <w:rsid w:val="00527CFB"/>
    <w:rsid w:val="00527EE0"/>
    <w:rsid w:val="00527FB1"/>
    <w:rsid w:val="0053095B"/>
    <w:rsid w:val="00530CFE"/>
    <w:rsid w:val="00531AD4"/>
    <w:rsid w:val="00533B5B"/>
    <w:rsid w:val="00534B9F"/>
    <w:rsid w:val="005362FD"/>
    <w:rsid w:val="005363A5"/>
    <w:rsid w:val="00536555"/>
    <w:rsid w:val="00537972"/>
    <w:rsid w:val="0054289A"/>
    <w:rsid w:val="00542935"/>
    <w:rsid w:val="00543571"/>
    <w:rsid w:val="00544DBF"/>
    <w:rsid w:val="005452DF"/>
    <w:rsid w:val="00545D8D"/>
    <w:rsid w:val="00551D47"/>
    <w:rsid w:val="0055284C"/>
    <w:rsid w:val="005537AF"/>
    <w:rsid w:val="00554673"/>
    <w:rsid w:val="00554728"/>
    <w:rsid w:val="00554D8E"/>
    <w:rsid w:val="005602B8"/>
    <w:rsid w:val="00560825"/>
    <w:rsid w:val="00560D43"/>
    <w:rsid w:val="00562744"/>
    <w:rsid w:val="005654DC"/>
    <w:rsid w:val="005667B6"/>
    <w:rsid w:val="00566E9D"/>
    <w:rsid w:val="005707F3"/>
    <w:rsid w:val="00571147"/>
    <w:rsid w:val="0057121A"/>
    <w:rsid w:val="005712FC"/>
    <w:rsid w:val="00571534"/>
    <w:rsid w:val="00572BD5"/>
    <w:rsid w:val="0057549E"/>
    <w:rsid w:val="00580DEC"/>
    <w:rsid w:val="00581E3B"/>
    <w:rsid w:val="00582875"/>
    <w:rsid w:val="00582B22"/>
    <w:rsid w:val="00582C67"/>
    <w:rsid w:val="0058368D"/>
    <w:rsid w:val="00583FFD"/>
    <w:rsid w:val="00584847"/>
    <w:rsid w:val="00585F8F"/>
    <w:rsid w:val="005866ED"/>
    <w:rsid w:val="00586F3D"/>
    <w:rsid w:val="00592807"/>
    <w:rsid w:val="00594871"/>
    <w:rsid w:val="00594BA2"/>
    <w:rsid w:val="00596F7A"/>
    <w:rsid w:val="00597FBA"/>
    <w:rsid w:val="005A095E"/>
    <w:rsid w:val="005A0D0A"/>
    <w:rsid w:val="005A2598"/>
    <w:rsid w:val="005A2A6E"/>
    <w:rsid w:val="005A4878"/>
    <w:rsid w:val="005A5566"/>
    <w:rsid w:val="005A73FB"/>
    <w:rsid w:val="005B07BC"/>
    <w:rsid w:val="005B1461"/>
    <w:rsid w:val="005B1748"/>
    <w:rsid w:val="005B208D"/>
    <w:rsid w:val="005B263A"/>
    <w:rsid w:val="005B2658"/>
    <w:rsid w:val="005B282B"/>
    <w:rsid w:val="005B3EEB"/>
    <w:rsid w:val="005B431E"/>
    <w:rsid w:val="005B477E"/>
    <w:rsid w:val="005B53D7"/>
    <w:rsid w:val="005B5585"/>
    <w:rsid w:val="005C04C9"/>
    <w:rsid w:val="005C2490"/>
    <w:rsid w:val="005C3079"/>
    <w:rsid w:val="005C3B68"/>
    <w:rsid w:val="005C43AD"/>
    <w:rsid w:val="005C500C"/>
    <w:rsid w:val="005C573B"/>
    <w:rsid w:val="005C6BDF"/>
    <w:rsid w:val="005C722E"/>
    <w:rsid w:val="005C72A4"/>
    <w:rsid w:val="005C72F4"/>
    <w:rsid w:val="005D02D3"/>
    <w:rsid w:val="005D279F"/>
    <w:rsid w:val="005D3235"/>
    <w:rsid w:val="005D33E8"/>
    <w:rsid w:val="005D3E0F"/>
    <w:rsid w:val="005D3FEE"/>
    <w:rsid w:val="005D56FB"/>
    <w:rsid w:val="005D7904"/>
    <w:rsid w:val="005D7DB9"/>
    <w:rsid w:val="005E0196"/>
    <w:rsid w:val="005E022D"/>
    <w:rsid w:val="005E22B2"/>
    <w:rsid w:val="005E24F2"/>
    <w:rsid w:val="005E3B28"/>
    <w:rsid w:val="005E42FA"/>
    <w:rsid w:val="005E5B4B"/>
    <w:rsid w:val="005E64FC"/>
    <w:rsid w:val="005E6D08"/>
    <w:rsid w:val="005E7648"/>
    <w:rsid w:val="005E7AF2"/>
    <w:rsid w:val="005F18D5"/>
    <w:rsid w:val="005F222E"/>
    <w:rsid w:val="005F246D"/>
    <w:rsid w:val="005F2FFC"/>
    <w:rsid w:val="005F4EC2"/>
    <w:rsid w:val="005F55BA"/>
    <w:rsid w:val="005F69BB"/>
    <w:rsid w:val="006003E3"/>
    <w:rsid w:val="00600FEC"/>
    <w:rsid w:val="00601082"/>
    <w:rsid w:val="00601437"/>
    <w:rsid w:val="0060405A"/>
    <w:rsid w:val="00612EDD"/>
    <w:rsid w:val="00613B64"/>
    <w:rsid w:val="00613E05"/>
    <w:rsid w:val="0061538B"/>
    <w:rsid w:val="00615982"/>
    <w:rsid w:val="00616536"/>
    <w:rsid w:val="006174D6"/>
    <w:rsid w:val="00617B4F"/>
    <w:rsid w:val="00620E14"/>
    <w:rsid w:val="00622034"/>
    <w:rsid w:val="006221C9"/>
    <w:rsid w:val="00624D85"/>
    <w:rsid w:val="00625258"/>
    <w:rsid w:val="006256E1"/>
    <w:rsid w:val="00625B35"/>
    <w:rsid w:val="0062665E"/>
    <w:rsid w:val="006308DC"/>
    <w:rsid w:val="00631D12"/>
    <w:rsid w:val="00632560"/>
    <w:rsid w:val="00634084"/>
    <w:rsid w:val="00634ABC"/>
    <w:rsid w:val="00634C0A"/>
    <w:rsid w:val="0063568F"/>
    <w:rsid w:val="00635E8C"/>
    <w:rsid w:val="00636068"/>
    <w:rsid w:val="006367BC"/>
    <w:rsid w:val="006372D0"/>
    <w:rsid w:val="0063748D"/>
    <w:rsid w:val="006374F9"/>
    <w:rsid w:val="0064116B"/>
    <w:rsid w:val="00641802"/>
    <w:rsid w:val="00641A38"/>
    <w:rsid w:val="00641CD4"/>
    <w:rsid w:val="00644401"/>
    <w:rsid w:val="00644AB9"/>
    <w:rsid w:val="00645A22"/>
    <w:rsid w:val="00646D1C"/>
    <w:rsid w:val="006478C3"/>
    <w:rsid w:val="0065102F"/>
    <w:rsid w:val="00652136"/>
    <w:rsid w:val="006524B0"/>
    <w:rsid w:val="00654BC3"/>
    <w:rsid w:val="00654E7C"/>
    <w:rsid w:val="00655571"/>
    <w:rsid w:val="00655D74"/>
    <w:rsid w:val="00656204"/>
    <w:rsid w:val="006565DE"/>
    <w:rsid w:val="00657E6E"/>
    <w:rsid w:val="0066023F"/>
    <w:rsid w:val="006719A5"/>
    <w:rsid w:val="00671CD1"/>
    <w:rsid w:val="006727C0"/>
    <w:rsid w:val="00672B88"/>
    <w:rsid w:val="00672D54"/>
    <w:rsid w:val="006742F3"/>
    <w:rsid w:val="00674600"/>
    <w:rsid w:val="00674DC3"/>
    <w:rsid w:val="006772DA"/>
    <w:rsid w:val="00677441"/>
    <w:rsid w:val="006778EB"/>
    <w:rsid w:val="00677BCD"/>
    <w:rsid w:val="0068111B"/>
    <w:rsid w:val="00681198"/>
    <w:rsid w:val="00681869"/>
    <w:rsid w:val="00681DEB"/>
    <w:rsid w:val="00685056"/>
    <w:rsid w:val="006870EC"/>
    <w:rsid w:val="0069022B"/>
    <w:rsid w:val="0069171F"/>
    <w:rsid w:val="006929A1"/>
    <w:rsid w:val="006932BB"/>
    <w:rsid w:val="00693F46"/>
    <w:rsid w:val="0069455B"/>
    <w:rsid w:val="006A108B"/>
    <w:rsid w:val="006A33F9"/>
    <w:rsid w:val="006A3A28"/>
    <w:rsid w:val="006A3E65"/>
    <w:rsid w:val="006A4019"/>
    <w:rsid w:val="006A472D"/>
    <w:rsid w:val="006A4A48"/>
    <w:rsid w:val="006A5F25"/>
    <w:rsid w:val="006A627E"/>
    <w:rsid w:val="006B1FF3"/>
    <w:rsid w:val="006B2E7B"/>
    <w:rsid w:val="006B44EE"/>
    <w:rsid w:val="006B55BA"/>
    <w:rsid w:val="006B6EC3"/>
    <w:rsid w:val="006C0253"/>
    <w:rsid w:val="006C1FFF"/>
    <w:rsid w:val="006C5189"/>
    <w:rsid w:val="006C55D8"/>
    <w:rsid w:val="006D04F1"/>
    <w:rsid w:val="006D116A"/>
    <w:rsid w:val="006D2351"/>
    <w:rsid w:val="006D39CB"/>
    <w:rsid w:val="006D3A5B"/>
    <w:rsid w:val="006D4F51"/>
    <w:rsid w:val="006D5083"/>
    <w:rsid w:val="006D5192"/>
    <w:rsid w:val="006D5E1D"/>
    <w:rsid w:val="006D61F3"/>
    <w:rsid w:val="006D74DA"/>
    <w:rsid w:val="006E0655"/>
    <w:rsid w:val="006E0B82"/>
    <w:rsid w:val="006E2E84"/>
    <w:rsid w:val="006E3241"/>
    <w:rsid w:val="006E7626"/>
    <w:rsid w:val="006F0951"/>
    <w:rsid w:val="006F10C0"/>
    <w:rsid w:val="006F120A"/>
    <w:rsid w:val="006F1D0C"/>
    <w:rsid w:val="006F74E6"/>
    <w:rsid w:val="00700BAB"/>
    <w:rsid w:val="007015BD"/>
    <w:rsid w:val="007018E8"/>
    <w:rsid w:val="0070276B"/>
    <w:rsid w:val="00703571"/>
    <w:rsid w:val="007074F6"/>
    <w:rsid w:val="007109EF"/>
    <w:rsid w:val="00712923"/>
    <w:rsid w:val="00712F17"/>
    <w:rsid w:val="007160E1"/>
    <w:rsid w:val="0071760C"/>
    <w:rsid w:val="0072024D"/>
    <w:rsid w:val="00720505"/>
    <w:rsid w:val="0072057C"/>
    <w:rsid w:val="00720592"/>
    <w:rsid w:val="007206A0"/>
    <w:rsid w:val="00720F44"/>
    <w:rsid w:val="00721957"/>
    <w:rsid w:val="0072218F"/>
    <w:rsid w:val="0072225F"/>
    <w:rsid w:val="00722702"/>
    <w:rsid w:val="007248A5"/>
    <w:rsid w:val="00724D6E"/>
    <w:rsid w:val="007255AB"/>
    <w:rsid w:val="007255C8"/>
    <w:rsid w:val="00727705"/>
    <w:rsid w:val="00727ACA"/>
    <w:rsid w:val="007302DA"/>
    <w:rsid w:val="00730ACB"/>
    <w:rsid w:val="007314BD"/>
    <w:rsid w:val="00733530"/>
    <w:rsid w:val="00734B9C"/>
    <w:rsid w:val="0073531F"/>
    <w:rsid w:val="00736E32"/>
    <w:rsid w:val="0073749B"/>
    <w:rsid w:val="0074007B"/>
    <w:rsid w:val="00740399"/>
    <w:rsid w:val="007425E7"/>
    <w:rsid w:val="007433A6"/>
    <w:rsid w:val="007437AA"/>
    <w:rsid w:val="00744120"/>
    <w:rsid w:val="007446A6"/>
    <w:rsid w:val="0074488A"/>
    <w:rsid w:val="007459A3"/>
    <w:rsid w:val="00745A91"/>
    <w:rsid w:val="00746180"/>
    <w:rsid w:val="007478BC"/>
    <w:rsid w:val="00747CBB"/>
    <w:rsid w:val="007502C5"/>
    <w:rsid w:val="00750390"/>
    <w:rsid w:val="00750C71"/>
    <w:rsid w:val="0075157F"/>
    <w:rsid w:val="007516D1"/>
    <w:rsid w:val="007528F0"/>
    <w:rsid w:val="007547C1"/>
    <w:rsid w:val="00754C48"/>
    <w:rsid w:val="007556F9"/>
    <w:rsid w:val="00755AF6"/>
    <w:rsid w:val="00757381"/>
    <w:rsid w:val="00757558"/>
    <w:rsid w:val="007605E3"/>
    <w:rsid w:val="00760B26"/>
    <w:rsid w:val="00761093"/>
    <w:rsid w:val="00761F37"/>
    <w:rsid w:val="00761F67"/>
    <w:rsid w:val="007627D4"/>
    <w:rsid w:val="00764AD1"/>
    <w:rsid w:val="0076519B"/>
    <w:rsid w:val="00765925"/>
    <w:rsid w:val="00765E43"/>
    <w:rsid w:val="00766FF0"/>
    <w:rsid w:val="0076782E"/>
    <w:rsid w:val="00770386"/>
    <w:rsid w:val="00773A02"/>
    <w:rsid w:val="0077536D"/>
    <w:rsid w:val="00775B2A"/>
    <w:rsid w:val="00777026"/>
    <w:rsid w:val="00780654"/>
    <w:rsid w:val="0078119E"/>
    <w:rsid w:val="007812C0"/>
    <w:rsid w:val="00781D04"/>
    <w:rsid w:val="007835D7"/>
    <w:rsid w:val="00785AE6"/>
    <w:rsid w:val="00786689"/>
    <w:rsid w:val="00792C25"/>
    <w:rsid w:val="007936F9"/>
    <w:rsid w:val="00794232"/>
    <w:rsid w:val="0079504F"/>
    <w:rsid w:val="00795117"/>
    <w:rsid w:val="0079560B"/>
    <w:rsid w:val="0079573D"/>
    <w:rsid w:val="007964BF"/>
    <w:rsid w:val="007974E7"/>
    <w:rsid w:val="007A123B"/>
    <w:rsid w:val="007A25B7"/>
    <w:rsid w:val="007A30B5"/>
    <w:rsid w:val="007A3C10"/>
    <w:rsid w:val="007A4E1E"/>
    <w:rsid w:val="007B090B"/>
    <w:rsid w:val="007B0A67"/>
    <w:rsid w:val="007B0D3B"/>
    <w:rsid w:val="007B138F"/>
    <w:rsid w:val="007B1EAC"/>
    <w:rsid w:val="007B355D"/>
    <w:rsid w:val="007B36D5"/>
    <w:rsid w:val="007B3D26"/>
    <w:rsid w:val="007B3FDE"/>
    <w:rsid w:val="007B4DEE"/>
    <w:rsid w:val="007B626B"/>
    <w:rsid w:val="007B6F81"/>
    <w:rsid w:val="007B7285"/>
    <w:rsid w:val="007C08E5"/>
    <w:rsid w:val="007C0D7E"/>
    <w:rsid w:val="007C1338"/>
    <w:rsid w:val="007C29BB"/>
    <w:rsid w:val="007C2AE6"/>
    <w:rsid w:val="007C48F2"/>
    <w:rsid w:val="007C4BAF"/>
    <w:rsid w:val="007C5209"/>
    <w:rsid w:val="007C6387"/>
    <w:rsid w:val="007C75E7"/>
    <w:rsid w:val="007D0363"/>
    <w:rsid w:val="007D4E2D"/>
    <w:rsid w:val="007D4E7D"/>
    <w:rsid w:val="007D53E6"/>
    <w:rsid w:val="007D5F46"/>
    <w:rsid w:val="007D6C5A"/>
    <w:rsid w:val="007D6F92"/>
    <w:rsid w:val="007D76EE"/>
    <w:rsid w:val="007D7D89"/>
    <w:rsid w:val="007E0F15"/>
    <w:rsid w:val="007E113A"/>
    <w:rsid w:val="007E1178"/>
    <w:rsid w:val="007E2192"/>
    <w:rsid w:val="007E50E0"/>
    <w:rsid w:val="007E57B2"/>
    <w:rsid w:val="007E5EA2"/>
    <w:rsid w:val="007E669F"/>
    <w:rsid w:val="007E743C"/>
    <w:rsid w:val="007F0E6C"/>
    <w:rsid w:val="007F1D00"/>
    <w:rsid w:val="007F249E"/>
    <w:rsid w:val="007F5364"/>
    <w:rsid w:val="007F580A"/>
    <w:rsid w:val="007F7BE8"/>
    <w:rsid w:val="007F7C84"/>
    <w:rsid w:val="007F7DC1"/>
    <w:rsid w:val="00800606"/>
    <w:rsid w:val="008006F1"/>
    <w:rsid w:val="00801456"/>
    <w:rsid w:val="00802607"/>
    <w:rsid w:val="00802EA4"/>
    <w:rsid w:val="00802FFC"/>
    <w:rsid w:val="0080320A"/>
    <w:rsid w:val="008066A0"/>
    <w:rsid w:val="00807936"/>
    <w:rsid w:val="00807AF7"/>
    <w:rsid w:val="00811DBF"/>
    <w:rsid w:val="008120F5"/>
    <w:rsid w:val="008124BF"/>
    <w:rsid w:val="00812CD9"/>
    <w:rsid w:val="00812D19"/>
    <w:rsid w:val="00814EC1"/>
    <w:rsid w:val="00816DAB"/>
    <w:rsid w:val="00817252"/>
    <w:rsid w:val="0081780A"/>
    <w:rsid w:val="00817ED0"/>
    <w:rsid w:val="008201F4"/>
    <w:rsid w:val="00821415"/>
    <w:rsid w:val="00821F5E"/>
    <w:rsid w:val="00823C0C"/>
    <w:rsid w:val="00823FE4"/>
    <w:rsid w:val="00824C8E"/>
    <w:rsid w:val="008253E6"/>
    <w:rsid w:val="0083525B"/>
    <w:rsid w:val="0083781E"/>
    <w:rsid w:val="00840E4A"/>
    <w:rsid w:val="00841284"/>
    <w:rsid w:val="00842207"/>
    <w:rsid w:val="008445FB"/>
    <w:rsid w:val="008516BF"/>
    <w:rsid w:val="0085465B"/>
    <w:rsid w:val="00855199"/>
    <w:rsid w:val="008553A0"/>
    <w:rsid w:val="0085652E"/>
    <w:rsid w:val="008602A2"/>
    <w:rsid w:val="00860C02"/>
    <w:rsid w:val="00860CAA"/>
    <w:rsid w:val="008612A8"/>
    <w:rsid w:val="00862634"/>
    <w:rsid w:val="008640DC"/>
    <w:rsid w:val="0086706A"/>
    <w:rsid w:val="00870910"/>
    <w:rsid w:val="0087275B"/>
    <w:rsid w:val="00874C63"/>
    <w:rsid w:val="00882EA3"/>
    <w:rsid w:val="00883055"/>
    <w:rsid w:val="008837DB"/>
    <w:rsid w:val="00883D0B"/>
    <w:rsid w:val="008855E9"/>
    <w:rsid w:val="00885BF4"/>
    <w:rsid w:val="008870F5"/>
    <w:rsid w:val="00887486"/>
    <w:rsid w:val="008874C9"/>
    <w:rsid w:val="008875DE"/>
    <w:rsid w:val="00892F46"/>
    <w:rsid w:val="008936DA"/>
    <w:rsid w:val="008945E2"/>
    <w:rsid w:val="008948F1"/>
    <w:rsid w:val="00894AB8"/>
    <w:rsid w:val="00897CFE"/>
    <w:rsid w:val="008A13CB"/>
    <w:rsid w:val="008A1E72"/>
    <w:rsid w:val="008A45D2"/>
    <w:rsid w:val="008A5324"/>
    <w:rsid w:val="008A5606"/>
    <w:rsid w:val="008A5709"/>
    <w:rsid w:val="008A713E"/>
    <w:rsid w:val="008B09F0"/>
    <w:rsid w:val="008B0C45"/>
    <w:rsid w:val="008B2086"/>
    <w:rsid w:val="008B2CA9"/>
    <w:rsid w:val="008B2EDB"/>
    <w:rsid w:val="008B3A34"/>
    <w:rsid w:val="008B3F52"/>
    <w:rsid w:val="008B483C"/>
    <w:rsid w:val="008B6A7A"/>
    <w:rsid w:val="008B737F"/>
    <w:rsid w:val="008B7B67"/>
    <w:rsid w:val="008C265D"/>
    <w:rsid w:val="008C4ADB"/>
    <w:rsid w:val="008C4BA2"/>
    <w:rsid w:val="008C76EB"/>
    <w:rsid w:val="008C7E26"/>
    <w:rsid w:val="008C7FF9"/>
    <w:rsid w:val="008D22B6"/>
    <w:rsid w:val="008D27DE"/>
    <w:rsid w:val="008D2D19"/>
    <w:rsid w:val="008D35F7"/>
    <w:rsid w:val="008D38C8"/>
    <w:rsid w:val="008D398E"/>
    <w:rsid w:val="008D42C6"/>
    <w:rsid w:val="008D4581"/>
    <w:rsid w:val="008D51F3"/>
    <w:rsid w:val="008D525E"/>
    <w:rsid w:val="008D5BA3"/>
    <w:rsid w:val="008D6DBC"/>
    <w:rsid w:val="008D7A6E"/>
    <w:rsid w:val="008E0490"/>
    <w:rsid w:val="008E0B4B"/>
    <w:rsid w:val="008E174B"/>
    <w:rsid w:val="008E2594"/>
    <w:rsid w:val="008E31D4"/>
    <w:rsid w:val="008E3633"/>
    <w:rsid w:val="008E3A37"/>
    <w:rsid w:val="008E468F"/>
    <w:rsid w:val="008E5877"/>
    <w:rsid w:val="008E6EE3"/>
    <w:rsid w:val="008E7E14"/>
    <w:rsid w:val="008F146D"/>
    <w:rsid w:val="008F18AF"/>
    <w:rsid w:val="008F3164"/>
    <w:rsid w:val="008F34AE"/>
    <w:rsid w:val="008F3849"/>
    <w:rsid w:val="008F455E"/>
    <w:rsid w:val="008F653E"/>
    <w:rsid w:val="008F6852"/>
    <w:rsid w:val="008F6872"/>
    <w:rsid w:val="008F6AEE"/>
    <w:rsid w:val="009021B2"/>
    <w:rsid w:val="009036AB"/>
    <w:rsid w:val="00903F41"/>
    <w:rsid w:val="00904AA2"/>
    <w:rsid w:val="00904EEA"/>
    <w:rsid w:val="0090547D"/>
    <w:rsid w:val="00905F9D"/>
    <w:rsid w:val="00906652"/>
    <w:rsid w:val="00906FF6"/>
    <w:rsid w:val="00907163"/>
    <w:rsid w:val="009104D2"/>
    <w:rsid w:val="00911839"/>
    <w:rsid w:val="009121E8"/>
    <w:rsid w:val="00912C5F"/>
    <w:rsid w:val="0091312F"/>
    <w:rsid w:val="00913994"/>
    <w:rsid w:val="00913A49"/>
    <w:rsid w:val="009152CF"/>
    <w:rsid w:val="009157C1"/>
    <w:rsid w:val="009162A9"/>
    <w:rsid w:val="0091778F"/>
    <w:rsid w:val="00920346"/>
    <w:rsid w:val="00920C8C"/>
    <w:rsid w:val="00921311"/>
    <w:rsid w:val="009218E2"/>
    <w:rsid w:val="00921F44"/>
    <w:rsid w:val="009227C0"/>
    <w:rsid w:val="00923B83"/>
    <w:rsid w:val="009256AE"/>
    <w:rsid w:val="00926DAD"/>
    <w:rsid w:val="00926EF0"/>
    <w:rsid w:val="00927358"/>
    <w:rsid w:val="00927A7E"/>
    <w:rsid w:val="00931586"/>
    <w:rsid w:val="00932A8B"/>
    <w:rsid w:val="00932D44"/>
    <w:rsid w:val="00933911"/>
    <w:rsid w:val="00934B88"/>
    <w:rsid w:val="00936694"/>
    <w:rsid w:val="00936E5D"/>
    <w:rsid w:val="00937F4A"/>
    <w:rsid w:val="009425CB"/>
    <w:rsid w:val="00944CA5"/>
    <w:rsid w:val="0094588E"/>
    <w:rsid w:val="009463C8"/>
    <w:rsid w:val="00947DF1"/>
    <w:rsid w:val="009526B2"/>
    <w:rsid w:val="009529CF"/>
    <w:rsid w:val="00953636"/>
    <w:rsid w:val="009538EA"/>
    <w:rsid w:val="00954E4D"/>
    <w:rsid w:val="00955F28"/>
    <w:rsid w:val="00956276"/>
    <w:rsid w:val="00957BCA"/>
    <w:rsid w:val="00960AD8"/>
    <w:rsid w:val="009611F4"/>
    <w:rsid w:val="00961791"/>
    <w:rsid w:val="00961B16"/>
    <w:rsid w:val="009622D2"/>
    <w:rsid w:val="00963654"/>
    <w:rsid w:val="009637DD"/>
    <w:rsid w:val="00964003"/>
    <w:rsid w:val="00965F1B"/>
    <w:rsid w:val="00966194"/>
    <w:rsid w:val="00972744"/>
    <w:rsid w:val="00973727"/>
    <w:rsid w:val="00973CA7"/>
    <w:rsid w:val="0097687D"/>
    <w:rsid w:val="00977C01"/>
    <w:rsid w:val="00977FC5"/>
    <w:rsid w:val="0098097E"/>
    <w:rsid w:val="00982602"/>
    <w:rsid w:val="00982EA3"/>
    <w:rsid w:val="009844C8"/>
    <w:rsid w:val="00984B9B"/>
    <w:rsid w:val="00984DA4"/>
    <w:rsid w:val="0098555C"/>
    <w:rsid w:val="00986478"/>
    <w:rsid w:val="00987E80"/>
    <w:rsid w:val="00991243"/>
    <w:rsid w:val="00991E1F"/>
    <w:rsid w:val="00992B65"/>
    <w:rsid w:val="009943BB"/>
    <w:rsid w:val="009948DC"/>
    <w:rsid w:val="00995E92"/>
    <w:rsid w:val="00995E99"/>
    <w:rsid w:val="009974FE"/>
    <w:rsid w:val="009A334F"/>
    <w:rsid w:val="009A3AA4"/>
    <w:rsid w:val="009A46F7"/>
    <w:rsid w:val="009A4B3A"/>
    <w:rsid w:val="009A56DD"/>
    <w:rsid w:val="009A6781"/>
    <w:rsid w:val="009B0E4D"/>
    <w:rsid w:val="009B3650"/>
    <w:rsid w:val="009B3BC2"/>
    <w:rsid w:val="009B3D86"/>
    <w:rsid w:val="009B4056"/>
    <w:rsid w:val="009B5F2F"/>
    <w:rsid w:val="009B6544"/>
    <w:rsid w:val="009B6E41"/>
    <w:rsid w:val="009C1F62"/>
    <w:rsid w:val="009C261E"/>
    <w:rsid w:val="009C320F"/>
    <w:rsid w:val="009C3BA8"/>
    <w:rsid w:val="009C4C6C"/>
    <w:rsid w:val="009C5E1B"/>
    <w:rsid w:val="009D1D6F"/>
    <w:rsid w:val="009D23D8"/>
    <w:rsid w:val="009D3FF7"/>
    <w:rsid w:val="009D4CFE"/>
    <w:rsid w:val="009D6817"/>
    <w:rsid w:val="009D6DA7"/>
    <w:rsid w:val="009D7A24"/>
    <w:rsid w:val="009E0AD3"/>
    <w:rsid w:val="009E3325"/>
    <w:rsid w:val="009E36D3"/>
    <w:rsid w:val="009E48E0"/>
    <w:rsid w:val="009E61AB"/>
    <w:rsid w:val="009E7277"/>
    <w:rsid w:val="009E7471"/>
    <w:rsid w:val="009F0460"/>
    <w:rsid w:val="009F1065"/>
    <w:rsid w:val="009F1BCE"/>
    <w:rsid w:val="009F2693"/>
    <w:rsid w:val="009F34FC"/>
    <w:rsid w:val="009F3AAA"/>
    <w:rsid w:val="009F4105"/>
    <w:rsid w:val="009F4E42"/>
    <w:rsid w:val="009F519B"/>
    <w:rsid w:val="009F687F"/>
    <w:rsid w:val="009F6995"/>
    <w:rsid w:val="009F7615"/>
    <w:rsid w:val="00A01CBF"/>
    <w:rsid w:val="00A04A16"/>
    <w:rsid w:val="00A0582F"/>
    <w:rsid w:val="00A06653"/>
    <w:rsid w:val="00A06C24"/>
    <w:rsid w:val="00A116E8"/>
    <w:rsid w:val="00A11860"/>
    <w:rsid w:val="00A12267"/>
    <w:rsid w:val="00A1295B"/>
    <w:rsid w:val="00A133DC"/>
    <w:rsid w:val="00A14169"/>
    <w:rsid w:val="00A145E3"/>
    <w:rsid w:val="00A14B0F"/>
    <w:rsid w:val="00A159E9"/>
    <w:rsid w:val="00A167D5"/>
    <w:rsid w:val="00A21579"/>
    <w:rsid w:val="00A24B8A"/>
    <w:rsid w:val="00A24C4A"/>
    <w:rsid w:val="00A25A48"/>
    <w:rsid w:val="00A26216"/>
    <w:rsid w:val="00A262BB"/>
    <w:rsid w:val="00A27E50"/>
    <w:rsid w:val="00A3010C"/>
    <w:rsid w:val="00A30878"/>
    <w:rsid w:val="00A30A02"/>
    <w:rsid w:val="00A30BAC"/>
    <w:rsid w:val="00A315D9"/>
    <w:rsid w:val="00A320CE"/>
    <w:rsid w:val="00A329F6"/>
    <w:rsid w:val="00A32D4D"/>
    <w:rsid w:val="00A338F4"/>
    <w:rsid w:val="00A347FE"/>
    <w:rsid w:val="00A3699D"/>
    <w:rsid w:val="00A37A1D"/>
    <w:rsid w:val="00A37B95"/>
    <w:rsid w:val="00A37CEE"/>
    <w:rsid w:val="00A417AE"/>
    <w:rsid w:val="00A43E3D"/>
    <w:rsid w:val="00A44D6E"/>
    <w:rsid w:val="00A45FFF"/>
    <w:rsid w:val="00A472F7"/>
    <w:rsid w:val="00A50365"/>
    <w:rsid w:val="00A50C7B"/>
    <w:rsid w:val="00A50E45"/>
    <w:rsid w:val="00A51226"/>
    <w:rsid w:val="00A517DF"/>
    <w:rsid w:val="00A53A33"/>
    <w:rsid w:val="00A548D2"/>
    <w:rsid w:val="00A55E74"/>
    <w:rsid w:val="00A565E8"/>
    <w:rsid w:val="00A56BA2"/>
    <w:rsid w:val="00A56EA3"/>
    <w:rsid w:val="00A579D4"/>
    <w:rsid w:val="00A60352"/>
    <w:rsid w:val="00A603E8"/>
    <w:rsid w:val="00A60857"/>
    <w:rsid w:val="00A610DF"/>
    <w:rsid w:val="00A6261D"/>
    <w:rsid w:val="00A6443D"/>
    <w:rsid w:val="00A64A80"/>
    <w:rsid w:val="00A653C5"/>
    <w:rsid w:val="00A71757"/>
    <w:rsid w:val="00A724D6"/>
    <w:rsid w:val="00A72A29"/>
    <w:rsid w:val="00A72B58"/>
    <w:rsid w:val="00A733F9"/>
    <w:rsid w:val="00A73F5E"/>
    <w:rsid w:val="00A76A35"/>
    <w:rsid w:val="00A76CB3"/>
    <w:rsid w:val="00A77851"/>
    <w:rsid w:val="00A77D03"/>
    <w:rsid w:val="00A77D45"/>
    <w:rsid w:val="00A8134D"/>
    <w:rsid w:val="00A81E43"/>
    <w:rsid w:val="00A81F24"/>
    <w:rsid w:val="00A833C0"/>
    <w:rsid w:val="00A84F22"/>
    <w:rsid w:val="00A85586"/>
    <w:rsid w:val="00A86138"/>
    <w:rsid w:val="00A86EC4"/>
    <w:rsid w:val="00A925BD"/>
    <w:rsid w:val="00A92E6B"/>
    <w:rsid w:val="00A945D8"/>
    <w:rsid w:val="00A95421"/>
    <w:rsid w:val="00AA07E4"/>
    <w:rsid w:val="00AA094E"/>
    <w:rsid w:val="00AA1C60"/>
    <w:rsid w:val="00AA200F"/>
    <w:rsid w:val="00AA2DF0"/>
    <w:rsid w:val="00AA3E88"/>
    <w:rsid w:val="00AA43FE"/>
    <w:rsid w:val="00AA4703"/>
    <w:rsid w:val="00AA5A1F"/>
    <w:rsid w:val="00AA687B"/>
    <w:rsid w:val="00AA6DEF"/>
    <w:rsid w:val="00AB040F"/>
    <w:rsid w:val="00AB0FB1"/>
    <w:rsid w:val="00AB40E7"/>
    <w:rsid w:val="00AB6600"/>
    <w:rsid w:val="00AC0632"/>
    <w:rsid w:val="00AC1CF3"/>
    <w:rsid w:val="00AC2994"/>
    <w:rsid w:val="00AC3888"/>
    <w:rsid w:val="00AC4C27"/>
    <w:rsid w:val="00AC5E2B"/>
    <w:rsid w:val="00AC723D"/>
    <w:rsid w:val="00AC75F2"/>
    <w:rsid w:val="00AD01D2"/>
    <w:rsid w:val="00AD0452"/>
    <w:rsid w:val="00AD3300"/>
    <w:rsid w:val="00AD535E"/>
    <w:rsid w:val="00AD5C98"/>
    <w:rsid w:val="00AD6D84"/>
    <w:rsid w:val="00AE0440"/>
    <w:rsid w:val="00AE1467"/>
    <w:rsid w:val="00AE189F"/>
    <w:rsid w:val="00AE4833"/>
    <w:rsid w:val="00AE4EF6"/>
    <w:rsid w:val="00AE5241"/>
    <w:rsid w:val="00AE53F6"/>
    <w:rsid w:val="00AE6227"/>
    <w:rsid w:val="00AE6CF2"/>
    <w:rsid w:val="00AE6E28"/>
    <w:rsid w:val="00AE75D0"/>
    <w:rsid w:val="00AF0607"/>
    <w:rsid w:val="00AF0DB2"/>
    <w:rsid w:val="00AF192C"/>
    <w:rsid w:val="00AF24F2"/>
    <w:rsid w:val="00AF3004"/>
    <w:rsid w:val="00AF320C"/>
    <w:rsid w:val="00AF3DE9"/>
    <w:rsid w:val="00AF4C81"/>
    <w:rsid w:val="00AF51BA"/>
    <w:rsid w:val="00AF6D9E"/>
    <w:rsid w:val="00AF6F82"/>
    <w:rsid w:val="00AF773F"/>
    <w:rsid w:val="00B01FAF"/>
    <w:rsid w:val="00B02F7C"/>
    <w:rsid w:val="00B039CC"/>
    <w:rsid w:val="00B0413C"/>
    <w:rsid w:val="00B06856"/>
    <w:rsid w:val="00B06DBD"/>
    <w:rsid w:val="00B0706D"/>
    <w:rsid w:val="00B10EA2"/>
    <w:rsid w:val="00B1269F"/>
    <w:rsid w:val="00B13903"/>
    <w:rsid w:val="00B14B46"/>
    <w:rsid w:val="00B15093"/>
    <w:rsid w:val="00B15314"/>
    <w:rsid w:val="00B15996"/>
    <w:rsid w:val="00B159CE"/>
    <w:rsid w:val="00B2276C"/>
    <w:rsid w:val="00B22BC5"/>
    <w:rsid w:val="00B22C93"/>
    <w:rsid w:val="00B23149"/>
    <w:rsid w:val="00B232C7"/>
    <w:rsid w:val="00B26F08"/>
    <w:rsid w:val="00B2711C"/>
    <w:rsid w:val="00B30BAD"/>
    <w:rsid w:val="00B30C03"/>
    <w:rsid w:val="00B3127D"/>
    <w:rsid w:val="00B330AD"/>
    <w:rsid w:val="00B331C7"/>
    <w:rsid w:val="00B33EE7"/>
    <w:rsid w:val="00B347B9"/>
    <w:rsid w:val="00B36EBE"/>
    <w:rsid w:val="00B4222E"/>
    <w:rsid w:val="00B434BF"/>
    <w:rsid w:val="00B451A7"/>
    <w:rsid w:val="00B45EF2"/>
    <w:rsid w:val="00B47C68"/>
    <w:rsid w:val="00B50A18"/>
    <w:rsid w:val="00B51894"/>
    <w:rsid w:val="00B53687"/>
    <w:rsid w:val="00B53A34"/>
    <w:rsid w:val="00B53A77"/>
    <w:rsid w:val="00B53D59"/>
    <w:rsid w:val="00B543BC"/>
    <w:rsid w:val="00B55F3E"/>
    <w:rsid w:val="00B662D9"/>
    <w:rsid w:val="00B67552"/>
    <w:rsid w:val="00B67895"/>
    <w:rsid w:val="00B71192"/>
    <w:rsid w:val="00B72744"/>
    <w:rsid w:val="00B748B0"/>
    <w:rsid w:val="00B750D9"/>
    <w:rsid w:val="00B75E99"/>
    <w:rsid w:val="00B76EFA"/>
    <w:rsid w:val="00B77391"/>
    <w:rsid w:val="00B77EF6"/>
    <w:rsid w:val="00B8124C"/>
    <w:rsid w:val="00B8304B"/>
    <w:rsid w:val="00B836EF"/>
    <w:rsid w:val="00B84928"/>
    <w:rsid w:val="00B84ACE"/>
    <w:rsid w:val="00B870F9"/>
    <w:rsid w:val="00B90F38"/>
    <w:rsid w:val="00B90FBB"/>
    <w:rsid w:val="00B913DC"/>
    <w:rsid w:val="00B925DA"/>
    <w:rsid w:val="00B92EFD"/>
    <w:rsid w:val="00B9388D"/>
    <w:rsid w:val="00B95D2A"/>
    <w:rsid w:val="00B97501"/>
    <w:rsid w:val="00B97C53"/>
    <w:rsid w:val="00BA1CE6"/>
    <w:rsid w:val="00BA23F8"/>
    <w:rsid w:val="00BA2504"/>
    <w:rsid w:val="00BA3D37"/>
    <w:rsid w:val="00BA51CF"/>
    <w:rsid w:val="00BA5C38"/>
    <w:rsid w:val="00BA6420"/>
    <w:rsid w:val="00BB1303"/>
    <w:rsid w:val="00BB1B74"/>
    <w:rsid w:val="00BB2E76"/>
    <w:rsid w:val="00BB3538"/>
    <w:rsid w:val="00BB3CAD"/>
    <w:rsid w:val="00BB4DB0"/>
    <w:rsid w:val="00BB64CA"/>
    <w:rsid w:val="00BB7C4D"/>
    <w:rsid w:val="00BB7C59"/>
    <w:rsid w:val="00BC15B9"/>
    <w:rsid w:val="00BC1CFB"/>
    <w:rsid w:val="00BC2876"/>
    <w:rsid w:val="00BC3235"/>
    <w:rsid w:val="00BC37B7"/>
    <w:rsid w:val="00BC4925"/>
    <w:rsid w:val="00BC4C73"/>
    <w:rsid w:val="00BC6F8A"/>
    <w:rsid w:val="00BC7767"/>
    <w:rsid w:val="00BC7D6E"/>
    <w:rsid w:val="00BC7DB2"/>
    <w:rsid w:val="00BD0EE4"/>
    <w:rsid w:val="00BD2CEF"/>
    <w:rsid w:val="00BD3183"/>
    <w:rsid w:val="00BD4DEF"/>
    <w:rsid w:val="00BD4E07"/>
    <w:rsid w:val="00BD67BC"/>
    <w:rsid w:val="00BD6944"/>
    <w:rsid w:val="00BE0F38"/>
    <w:rsid w:val="00BE2297"/>
    <w:rsid w:val="00BE2B81"/>
    <w:rsid w:val="00BE389C"/>
    <w:rsid w:val="00BE4409"/>
    <w:rsid w:val="00BE4B28"/>
    <w:rsid w:val="00BF0413"/>
    <w:rsid w:val="00BF0451"/>
    <w:rsid w:val="00BF07B4"/>
    <w:rsid w:val="00BF0EEA"/>
    <w:rsid w:val="00BF14EB"/>
    <w:rsid w:val="00BF214E"/>
    <w:rsid w:val="00BF2ED1"/>
    <w:rsid w:val="00BF4CA1"/>
    <w:rsid w:val="00BF649A"/>
    <w:rsid w:val="00BF6FAD"/>
    <w:rsid w:val="00C00707"/>
    <w:rsid w:val="00C02686"/>
    <w:rsid w:val="00C04349"/>
    <w:rsid w:val="00C045E5"/>
    <w:rsid w:val="00C047B3"/>
    <w:rsid w:val="00C04F7B"/>
    <w:rsid w:val="00C05FAB"/>
    <w:rsid w:val="00C10157"/>
    <w:rsid w:val="00C10610"/>
    <w:rsid w:val="00C11174"/>
    <w:rsid w:val="00C122CB"/>
    <w:rsid w:val="00C13438"/>
    <w:rsid w:val="00C13B4F"/>
    <w:rsid w:val="00C1435D"/>
    <w:rsid w:val="00C16138"/>
    <w:rsid w:val="00C16264"/>
    <w:rsid w:val="00C16317"/>
    <w:rsid w:val="00C1736E"/>
    <w:rsid w:val="00C17657"/>
    <w:rsid w:val="00C17A08"/>
    <w:rsid w:val="00C21A7C"/>
    <w:rsid w:val="00C22373"/>
    <w:rsid w:val="00C22B66"/>
    <w:rsid w:val="00C23DA9"/>
    <w:rsid w:val="00C24406"/>
    <w:rsid w:val="00C25AA9"/>
    <w:rsid w:val="00C26EF6"/>
    <w:rsid w:val="00C3012B"/>
    <w:rsid w:val="00C30153"/>
    <w:rsid w:val="00C3070E"/>
    <w:rsid w:val="00C3148C"/>
    <w:rsid w:val="00C325C7"/>
    <w:rsid w:val="00C32A35"/>
    <w:rsid w:val="00C34BB2"/>
    <w:rsid w:val="00C35C10"/>
    <w:rsid w:val="00C36474"/>
    <w:rsid w:val="00C36DF7"/>
    <w:rsid w:val="00C400DD"/>
    <w:rsid w:val="00C41164"/>
    <w:rsid w:val="00C41249"/>
    <w:rsid w:val="00C41344"/>
    <w:rsid w:val="00C41901"/>
    <w:rsid w:val="00C4214B"/>
    <w:rsid w:val="00C430AB"/>
    <w:rsid w:val="00C43C2C"/>
    <w:rsid w:val="00C45C5B"/>
    <w:rsid w:val="00C4607C"/>
    <w:rsid w:val="00C466CB"/>
    <w:rsid w:val="00C47D54"/>
    <w:rsid w:val="00C50AA1"/>
    <w:rsid w:val="00C532A7"/>
    <w:rsid w:val="00C542E2"/>
    <w:rsid w:val="00C5475A"/>
    <w:rsid w:val="00C54E0D"/>
    <w:rsid w:val="00C55AD9"/>
    <w:rsid w:val="00C567D2"/>
    <w:rsid w:val="00C57137"/>
    <w:rsid w:val="00C60673"/>
    <w:rsid w:val="00C62394"/>
    <w:rsid w:val="00C64292"/>
    <w:rsid w:val="00C65FD7"/>
    <w:rsid w:val="00C66C11"/>
    <w:rsid w:val="00C73478"/>
    <w:rsid w:val="00C73778"/>
    <w:rsid w:val="00C73BCC"/>
    <w:rsid w:val="00C7552F"/>
    <w:rsid w:val="00C779C4"/>
    <w:rsid w:val="00C77B0A"/>
    <w:rsid w:val="00C77F19"/>
    <w:rsid w:val="00C80775"/>
    <w:rsid w:val="00C810F8"/>
    <w:rsid w:val="00C82C55"/>
    <w:rsid w:val="00C82CD1"/>
    <w:rsid w:val="00C8648E"/>
    <w:rsid w:val="00C87951"/>
    <w:rsid w:val="00C9120F"/>
    <w:rsid w:val="00C912EC"/>
    <w:rsid w:val="00C93FA0"/>
    <w:rsid w:val="00C96209"/>
    <w:rsid w:val="00C96A94"/>
    <w:rsid w:val="00C972DB"/>
    <w:rsid w:val="00CA0350"/>
    <w:rsid w:val="00CA1554"/>
    <w:rsid w:val="00CA1B2E"/>
    <w:rsid w:val="00CA4974"/>
    <w:rsid w:val="00CA4A7C"/>
    <w:rsid w:val="00CA4B6A"/>
    <w:rsid w:val="00CA5DBB"/>
    <w:rsid w:val="00CA5ECB"/>
    <w:rsid w:val="00CA6015"/>
    <w:rsid w:val="00CA6177"/>
    <w:rsid w:val="00CA65C6"/>
    <w:rsid w:val="00CA74EC"/>
    <w:rsid w:val="00CB0F76"/>
    <w:rsid w:val="00CB1849"/>
    <w:rsid w:val="00CB1E4D"/>
    <w:rsid w:val="00CB327F"/>
    <w:rsid w:val="00CB4E62"/>
    <w:rsid w:val="00CB4FDA"/>
    <w:rsid w:val="00CB759F"/>
    <w:rsid w:val="00CB795C"/>
    <w:rsid w:val="00CC08F0"/>
    <w:rsid w:val="00CC0931"/>
    <w:rsid w:val="00CC0DD5"/>
    <w:rsid w:val="00CC0E15"/>
    <w:rsid w:val="00CC0F93"/>
    <w:rsid w:val="00CC1640"/>
    <w:rsid w:val="00CC17A2"/>
    <w:rsid w:val="00CC3A98"/>
    <w:rsid w:val="00CC4226"/>
    <w:rsid w:val="00CC4475"/>
    <w:rsid w:val="00CC765E"/>
    <w:rsid w:val="00CD0725"/>
    <w:rsid w:val="00CD2AF0"/>
    <w:rsid w:val="00CD5E66"/>
    <w:rsid w:val="00CD7E8A"/>
    <w:rsid w:val="00CE01B6"/>
    <w:rsid w:val="00CE219A"/>
    <w:rsid w:val="00CE3906"/>
    <w:rsid w:val="00CE5D13"/>
    <w:rsid w:val="00CF2E16"/>
    <w:rsid w:val="00CF3023"/>
    <w:rsid w:val="00CF32FB"/>
    <w:rsid w:val="00CF365F"/>
    <w:rsid w:val="00CF42CC"/>
    <w:rsid w:val="00CF4947"/>
    <w:rsid w:val="00CF4957"/>
    <w:rsid w:val="00CF5158"/>
    <w:rsid w:val="00CF6089"/>
    <w:rsid w:val="00D007A4"/>
    <w:rsid w:val="00D01BEA"/>
    <w:rsid w:val="00D01C0A"/>
    <w:rsid w:val="00D048F4"/>
    <w:rsid w:val="00D05834"/>
    <w:rsid w:val="00D05B0B"/>
    <w:rsid w:val="00D07A39"/>
    <w:rsid w:val="00D11645"/>
    <w:rsid w:val="00D13048"/>
    <w:rsid w:val="00D13F75"/>
    <w:rsid w:val="00D1544F"/>
    <w:rsid w:val="00D163D4"/>
    <w:rsid w:val="00D209CC"/>
    <w:rsid w:val="00D21AD5"/>
    <w:rsid w:val="00D22DD1"/>
    <w:rsid w:val="00D234C6"/>
    <w:rsid w:val="00D23D08"/>
    <w:rsid w:val="00D266FA"/>
    <w:rsid w:val="00D27B6F"/>
    <w:rsid w:val="00D30087"/>
    <w:rsid w:val="00D305B7"/>
    <w:rsid w:val="00D30FCD"/>
    <w:rsid w:val="00D31A9E"/>
    <w:rsid w:val="00D32676"/>
    <w:rsid w:val="00D35030"/>
    <w:rsid w:val="00D3505F"/>
    <w:rsid w:val="00D3666C"/>
    <w:rsid w:val="00D36E9C"/>
    <w:rsid w:val="00D40992"/>
    <w:rsid w:val="00D4106B"/>
    <w:rsid w:val="00D42046"/>
    <w:rsid w:val="00D426FC"/>
    <w:rsid w:val="00D42788"/>
    <w:rsid w:val="00D4297E"/>
    <w:rsid w:val="00D439B5"/>
    <w:rsid w:val="00D44086"/>
    <w:rsid w:val="00D460ED"/>
    <w:rsid w:val="00D46F93"/>
    <w:rsid w:val="00D471E0"/>
    <w:rsid w:val="00D50AF4"/>
    <w:rsid w:val="00D5182A"/>
    <w:rsid w:val="00D52375"/>
    <w:rsid w:val="00D53635"/>
    <w:rsid w:val="00D55AB8"/>
    <w:rsid w:val="00D563F7"/>
    <w:rsid w:val="00D575AA"/>
    <w:rsid w:val="00D60C88"/>
    <w:rsid w:val="00D626F4"/>
    <w:rsid w:val="00D6276F"/>
    <w:rsid w:val="00D63109"/>
    <w:rsid w:val="00D634CA"/>
    <w:rsid w:val="00D635CA"/>
    <w:rsid w:val="00D63A53"/>
    <w:rsid w:val="00D67767"/>
    <w:rsid w:val="00D67880"/>
    <w:rsid w:val="00D67D18"/>
    <w:rsid w:val="00D700CA"/>
    <w:rsid w:val="00D730D2"/>
    <w:rsid w:val="00D733A8"/>
    <w:rsid w:val="00D743BC"/>
    <w:rsid w:val="00D75241"/>
    <w:rsid w:val="00D75ACF"/>
    <w:rsid w:val="00D77070"/>
    <w:rsid w:val="00D771AF"/>
    <w:rsid w:val="00D8265E"/>
    <w:rsid w:val="00D832AB"/>
    <w:rsid w:val="00D84946"/>
    <w:rsid w:val="00D85101"/>
    <w:rsid w:val="00D85278"/>
    <w:rsid w:val="00D86AF3"/>
    <w:rsid w:val="00D87F01"/>
    <w:rsid w:val="00D87F66"/>
    <w:rsid w:val="00D9019F"/>
    <w:rsid w:val="00D92DC2"/>
    <w:rsid w:val="00D9317F"/>
    <w:rsid w:val="00D947A4"/>
    <w:rsid w:val="00D94E94"/>
    <w:rsid w:val="00D962BA"/>
    <w:rsid w:val="00D965AC"/>
    <w:rsid w:val="00D96BD3"/>
    <w:rsid w:val="00D97877"/>
    <w:rsid w:val="00DA1080"/>
    <w:rsid w:val="00DA1FFF"/>
    <w:rsid w:val="00DA2525"/>
    <w:rsid w:val="00DA2F56"/>
    <w:rsid w:val="00DA3336"/>
    <w:rsid w:val="00DA3916"/>
    <w:rsid w:val="00DA3E22"/>
    <w:rsid w:val="00DA41C8"/>
    <w:rsid w:val="00DA41E9"/>
    <w:rsid w:val="00DA4BEF"/>
    <w:rsid w:val="00DA4CD7"/>
    <w:rsid w:val="00DA4D7B"/>
    <w:rsid w:val="00DA5BE2"/>
    <w:rsid w:val="00DA63D7"/>
    <w:rsid w:val="00DA6420"/>
    <w:rsid w:val="00DB0EA5"/>
    <w:rsid w:val="00DB2A43"/>
    <w:rsid w:val="00DB4B2A"/>
    <w:rsid w:val="00DB4D63"/>
    <w:rsid w:val="00DB5230"/>
    <w:rsid w:val="00DB548C"/>
    <w:rsid w:val="00DB5FFD"/>
    <w:rsid w:val="00DB68C1"/>
    <w:rsid w:val="00DC03CA"/>
    <w:rsid w:val="00DC056D"/>
    <w:rsid w:val="00DC0A67"/>
    <w:rsid w:val="00DC2910"/>
    <w:rsid w:val="00DC411C"/>
    <w:rsid w:val="00DC4A60"/>
    <w:rsid w:val="00DC5EA2"/>
    <w:rsid w:val="00DC655A"/>
    <w:rsid w:val="00DD1B7D"/>
    <w:rsid w:val="00DD2139"/>
    <w:rsid w:val="00DD22FA"/>
    <w:rsid w:val="00DD2684"/>
    <w:rsid w:val="00DD4203"/>
    <w:rsid w:val="00DD4903"/>
    <w:rsid w:val="00DD5083"/>
    <w:rsid w:val="00DD7EB7"/>
    <w:rsid w:val="00DE1DD6"/>
    <w:rsid w:val="00DE2491"/>
    <w:rsid w:val="00DE351D"/>
    <w:rsid w:val="00DE4147"/>
    <w:rsid w:val="00DE4A55"/>
    <w:rsid w:val="00DE4AD5"/>
    <w:rsid w:val="00DE618A"/>
    <w:rsid w:val="00DE6CB4"/>
    <w:rsid w:val="00DF16E5"/>
    <w:rsid w:val="00DF1AB5"/>
    <w:rsid w:val="00DF1D6C"/>
    <w:rsid w:val="00DF2A98"/>
    <w:rsid w:val="00DF3CEC"/>
    <w:rsid w:val="00DF3E41"/>
    <w:rsid w:val="00DF4F66"/>
    <w:rsid w:val="00DF51AE"/>
    <w:rsid w:val="00DF57D6"/>
    <w:rsid w:val="00DF612F"/>
    <w:rsid w:val="00DF6762"/>
    <w:rsid w:val="00DF6B0F"/>
    <w:rsid w:val="00E00D9F"/>
    <w:rsid w:val="00E014E6"/>
    <w:rsid w:val="00E01506"/>
    <w:rsid w:val="00E01EC5"/>
    <w:rsid w:val="00E025B0"/>
    <w:rsid w:val="00E02EDF"/>
    <w:rsid w:val="00E05632"/>
    <w:rsid w:val="00E0774B"/>
    <w:rsid w:val="00E07DC8"/>
    <w:rsid w:val="00E10CA0"/>
    <w:rsid w:val="00E110FA"/>
    <w:rsid w:val="00E11DEE"/>
    <w:rsid w:val="00E12128"/>
    <w:rsid w:val="00E122C9"/>
    <w:rsid w:val="00E13636"/>
    <w:rsid w:val="00E148A1"/>
    <w:rsid w:val="00E15B64"/>
    <w:rsid w:val="00E15D6C"/>
    <w:rsid w:val="00E16B63"/>
    <w:rsid w:val="00E16D5D"/>
    <w:rsid w:val="00E17639"/>
    <w:rsid w:val="00E179FC"/>
    <w:rsid w:val="00E20982"/>
    <w:rsid w:val="00E211A8"/>
    <w:rsid w:val="00E21681"/>
    <w:rsid w:val="00E22021"/>
    <w:rsid w:val="00E22476"/>
    <w:rsid w:val="00E228DC"/>
    <w:rsid w:val="00E24A72"/>
    <w:rsid w:val="00E24B6D"/>
    <w:rsid w:val="00E2556E"/>
    <w:rsid w:val="00E2566B"/>
    <w:rsid w:val="00E2585F"/>
    <w:rsid w:val="00E25DE5"/>
    <w:rsid w:val="00E25F96"/>
    <w:rsid w:val="00E26DB1"/>
    <w:rsid w:val="00E279DB"/>
    <w:rsid w:val="00E3090F"/>
    <w:rsid w:val="00E31658"/>
    <w:rsid w:val="00E317A1"/>
    <w:rsid w:val="00E32A3A"/>
    <w:rsid w:val="00E337FC"/>
    <w:rsid w:val="00E33BEA"/>
    <w:rsid w:val="00E3462B"/>
    <w:rsid w:val="00E364E3"/>
    <w:rsid w:val="00E40762"/>
    <w:rsid w:val="00E40A83"/>
    <w:rsid w:val="00E42DD2"/>
    <w:rsid w:val="00E437E4"/>
    <w:rsid w:val="00E43D1D"/>
    <w:rsid w:val="00E44CB1"/>
    <w:rsid w:val="00E4602D"/>
    <w:rsid w:val="00E46643"/>
    <w:rsid w:val="00E50B2E"/>
    <w:rsid w:val="00E53EFF"/>
    <w:rsid w:val="00E547BD"/>
    <w:rsid w:val="00E54DB8"/>
    <w:rsid w:val="00E551D6"/>
    <w:rsid w:val="00E554B9"/>
    <w:rsid w:val="00E55945"/>
    <w:rsid w:val="00E56C4A"/>
    <w:rsid w:val="00E5745C"/>
    <w:rsid w:val="00E578BE"/>
    <w:rsid w:val="00E6076B"/>
    <w:rsid w:val="00E62436"/>
    <w:rsid w:val="00E62478"/>
    <w:rsid w:val="00E625AF"/>
    <w:rsid w:val="00E636EE"/>
    <w:rsid w:val="00E65351"/>
    <w:rsid w:val="00E666CE"/>
    <w:rsid w:val="00E66F34"/>
    <w:rsid w:val="00E67541"/>
    <w:rsid w:val="00E7198F"/>
    <w:rsid w:val="00E7224B"/>
    <w:rsid w:val="00E722BF"/>
    <w:rsid w:val="00E73488"/>
    <w:rsid w:val="00E73DF5"/>
    <w:rsid w:val="00E74555"/>
    <w:rsid w:val="00E746A0"/>
    <w:rsid w:val="00E75306"/>
    <w:rsid w:val="00E775C5"/>
    <w:rsid w:val="00E80585"/>
    <w:rsid w:val="00E81701"/>
    <w:rsid w:val="00E81770"/>
    <w:rsid w:val="00E81E6A"/>
    <w:rsid w:val="00E82050"/>
    <w:rsid w:val="00E82643"/>
    <w:rsid w:val="00E83AB8"/>
    <w:rsid w:val="00E85061"/>
    <w:rsid w:val="00E850EC"/>
    <w:rsid w:val="00E85683"/>
    <w:rsid w:val="00E8601B"/>
    <w:rsid w:val="00E86C99"/>
    <w:rsid w:val="00E873AB"/>
    <w:rsid w:val="00E87EAF"/>
    <w:rsid w:val="00E9211A"/>
    <w:rsid w:val="00E94871"/>
    <w:rsid w:val="00E94C3A"/>
    <w:rsid w:val="00E96A93"/>
    <w:rsid w:val="00E96D86"/>
    <w:rsid w:val="00E97237"/>
    <w:rsid w:val="00E974EF"/>
    <w:rsid w:val="00E97698"/>
    <w:rsid w:val="00EA07A9"/>
    <w:rsid w:val="00EA1199"/>
    <w:rsid w:val="00EA1E55"/>
    <w:rsid w:val="00EA3711"/>
    <w:rsid w:val="00EA503E"/>
    <w:rsid w:val="00EA5122"/>
    <w:rsid w:val="00EA669F"/>
    <w:rsid w:val="00EA6EF7"/>
    <w:rsid w:val="00EA737E"/>
    <w:rsid w:val="00EA76F0"/>
    <w:rsid w:val="00EA7F7F"/>
    <w:rsid w:val="00EB1003"/>
    <w:rsid w:val="00EB1178"/>
    <w:rsid w:val="00EB2229"/>
    <w:rsid w:val="00EB25C8"/>
    <w:rsid w:val="00EB3CA8"/>
    <w:rsid w:val="00EB3E8A"/>
    <w:rsid w:val="00EB42FA"/>
    <w:rsid w:val="00EB43A3"/>
    <w:rsid w:val="00EB454D"/>
    <w:rsid w:val="00EC0CA6"/>
    <w:rsid w:val="00EC21D9"/>
    <w:rsid w:val="00EC2E60"/>
    <w:rsid w:val="00EC59E4"/>
    <w:rsid w:val="00EC5FBE"/>
    <w:rsid w:val="00EC7308"/>
    <w:rsid w:val="00ED20DE"/>
    <w:rsid w:val="00ED368B"/>
    <w:rsid w:val="00ED36FF"/>
    <w:rsid w:val="00ED4370"/>
    <w:rsid w:val="00ED66F3"/>
    <w:rsid w:val="00ED7532"/>
    <w:rsid w:val="00EE15DB"/>
    <w:rsid w:val="00EE34B5"/>
    <w:rsid w:val="00EE4622"/>
    <w:rsid w:val="00EE48CB"/>
    <w:rsid w:val="00EE48E4"/>
    <w:rsid w:val="00EE5911"/>
    <w:rsid w:val="00EE63C6"/>
    <w:rsid w:val="00EE6493"/>
    <w:rsid w:val="00EE6775"/>
    <w:rsid w:val="00EE6BE3"/>
    <w:rsid w:val="00EE7534"/>
    <w:rsid w:val="00EE7E33"/>
    <w:rsid w:val="00EF0316"/>
    <w:rsid w:val="00EF0415"/>
    <w:rsid w:val="00EF1273"/>
    <w:rsid w:val="00EF35C6"/>
    <w:rsid w:val="00EF36BB"/>
    <w:rsid w:val="00EF4C97"/>
    <w:rsid w:val="00EF5640"/>
    <w:rsid w:val="00EF5BFE"/>
    <w:rsid w:val="00EF6690"/>
    <w:rsid w:val="00EF6D32"/>
    <w:rsid w:val="00EF767C"/>
    <w:rsid w:val="00F00AC0"/>
    <w:rsid w:val="00F03ABA"/>
    <w:rsid w:val="00F045B7"/>
    <w:rsid w:val="00F04FD7"/>
    <w:rsid w:val="00F0519B"/>
    <w:rsid w:val="00F063BD"/>
    <w:rsid w:val="00F06970"/>
    <w:rsid w:val="00F06E88"/>
    <w:rsid w:val="00F07B1B"/>
    <w:rsid w:val="00F07BE2"/>
    <w:rsid w:val="00F10394"/>
    <w:rsid w:val="00F10C7C"/>
    <w:rsid w:val="00F11EEC"/>
    <w:rsid w:val="00F11EF4"/>
    <w:rsid w:val="00F12E3A"/>
    <w:rsid w:val="00F158C5"/>
    <w:rsid w:val="00F15CEC"/>
    <w:rsid w:val="00F2129C"/>
    <w:rsid w:val="00F216DC"/>
    <w:rsid w:val="00F232DF"/>
    <w:rsid w:val="00F23435"/>
    <w:rsid w:val="00F2390D"/>
    <w:rsid w:val="00F23A8E"/>
    <w:rsid w:val="00F26F16"/>
    <w:rsid w:val="00F2797F"/>
    <w:rsid w:val="00F27DA1"/>
    <w:rsid w:val="00F31906"/>
    <w:rsid w:val="00F31EC8"/>
    <w:rsid w:val="00F321C0"/>
    <w:rsid w:val="00F32333"/>
    <w:rsid w:val="00F36628"/>
    <w:rsid w:val="00F376DE"/>
    <w:rsid w:val="00F41327"/>
    <w:rsid w:val="00F41E2A"/>
    <w:rsid w:val="00F4253A"/>
    <w:rsid w:val="00F430EC"/>
    <w:rsid w:val="00F44668"/>
    <w:rsid w:val="00F44BAF"/>
    <w:rsid w:val="00F44BB8"/>
    <w:rsid w:val="00F46894"/>
    <w:rsid w:val="00F46AA8"/>
    <w:rsid w:val="00F4742D"/>
    <w:rsid w:val="00F51DA6"/>
    <w:rsid w:val="00F53990"/>
    <w:rsid w:val="00F53AEC"/>
    <w:rsid w:val="00F54799"/>
    <w:rsid w:val="00F565FD"/>
    <w:rsid w:val="00F56FB8"/>
    <w:rsid w:val="00F5723C"/>
    <w:rsid w:val="00F60484"/>
    <w:rsid w:val="00F605CA"/>
    <w:rsid w:val="00F6089D"/>
    <w:rsid w:val="00F62EC6"/>
    <w:rsid w:val="00F672AF"/>
    <w:rsid w:val="00F67668"/>
    <w:rsid w:val="00F70AE3"/>
    <w:rsid w:val="00F72BD5"/>
    <w:rsid w:val="00F7412C"/>
    <w:rsid w:val="00F745FD"/>
    <w:rsid w:val="00F75F6B"/>
    <w:rsid w:val="00F77AC8"/>
    <w:rsid w:val="00F81519"/>
    <w:rsid w:val="00F8236D"/>
    <w:rsid w:val="00F82532"/>
    <w:rsid w:val="00F82C7F"/>
    <w:rsid w:val="00F83314"/>
    <w:rsid w:val="00F8616F"/>
    <w:rsid w:val="00F904A9"/>
    <w:rsid w:val="00F90603"/>
    <w:rsid w:val="00F90A76"/>
    <w:rsid w:val="00F927EA"/>
    <w:rsid w:val="00F93097"/>
    <w:rsid w:val="00F930E5"/>
    <w:rsid w:val="00F938B3"/>
    <w:rsid w:val="00F94881"/>
    <w:rsid w:val="00F969D3"/>
    <w:rsid w:val="00F969FA"/>
    <w:rsid w:val="00F97CB1"/>
    <w:rsid w:val="00FA11CC"/>
    <w:rsid w:val="00FA36C2"/>
    <w:rsid w:val="00FA392F"/>
    <w:rsid w:val="00FA3BB1"/>
    <w:rsid w:val="00FA49CF"/>
    <w:rsid w:val="00FA60EA"/>
    <w:rsid w:val="00FA67C0"/>
    <w:rsid w:val="00FA7669"/>
    <w:rsid w:val="00FA7902"/>
    <w:rsid w:val="00FB22C9"/>
    <w:rsid w:val="00FB5E0C"/>
    <w:rsid w:val="00FC01D2"/>
    <w:rsid w:val="00FC10ED"/>
    <w:rsid w:val="00FC222D"/>
    <w:rsid w:val="00FC553B"/>
    <w:rsid w:val="00FC6261"/>
    <w:rsid w:val="00FC6B2C"/>
    <w:rsid w:val="00FC6B78"/>
    <w:rsid w:val="00FC6EB5"/>
    <w:rsid w:val="00FC75D0"/>
    <w:rsid w:val="00FC765D"/>
    <w:rsid w:val="00FD0376"/>
    <w:rsid w:val="00FD0694"/>
    <w:rsid w:val="00FD1507"/>
    <w:rsid w:val="00FD19CA"/>
    <w:rsid w:val="00FD4D02"/>
    <w:rsid w:val="00FD4FC8"/>
    <w:rsid w:val="00FD59E8"/>
    <w:rsid w:val="00FD679A"/>
    <w:rsid w:val="00FD67F9"/>
    <w:rsid w:val="00FE0260"/>
    <w:rsid w:val="00FE12D4"/>
    <w:rsid w:val="00FE1C4F"/>
    <w:rsid w:val="00FE25AC"/>
    <w:rsid w:val="00FE3089"/>
    <w:rsid w:val="00FE376A"/>
    <w:rsid w:val="00FE46B5"/>
    <w:rsid w:val="00FE491A"/>
    <w:rsid w:val="00FE6B26"/>
    <w:rsid w:val="00FE709C"/>
    <w:rsid w:val="00FE7B2E"/>
    <w:rsid w:val="00FF1066"/>
    <w:rsid w:val="00FF1D7A"/>
    <w:rsid w:val="00FF2E48"/>
    <w:rsid w:val="00FF30A0"/>
    <w:rsid w:val="00FF3E8F"/>
    <w:rsid w:val="00FF6BB5"/>
    <w:rsid w:val="00FF720A"/>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9D7A"/>
  <w15:chartTrackingRefBased/>
  <w15:docId w15:val="{FE10F7D3-4EF1-4B18-A466-19EE1358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9FA"/>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4"/>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4"/>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5"/>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paragraph" w:styleId="DocumentMap">
    <w:name w:val="Document Map"/>
    <w:basedOn w:val="Normal"/>
    <w:link w:val="DocumentMapChar"/>
    <w:uiPriority w:val="99"/>
    <w:semiHidden/>
    <w:unhideWhenUsed/>
    <w:rsid w:val="00031522"/>
    <w:rPr>
      <w:rFonts w:eastAsia="Calibri"/>
      <w:lang w:val="x-none"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paragraph" w:customStyle="1" w:styleId="Default">
    <w:name w:val="Default"/>
    <w:rsid w:val="00C34BB2"/>
    <w:pPr>
      <w:autoSpaceDE w:val="0"/>
      <w:autoSpaceDN w:val="0"/>
      <w:adjustRightInd w:val="0"/>
    </w:pPr>
    <w:rPr>
      <w:rFonts w:ascii="Times New Roman" w:hAnsi="Times New Roman"/>
      <w:color w:val="000000"/>
      <w:sz w:val="24"/>
      <w:szCs w:val="24"/>
      <w:lang w:eastAsia="en-US"/>
    </w:rPr>
  </w:style>
  <w:style w:type="character" w:customStyle="1" w:styleId="VPBodyChar">
    <w:name w:val="VP Body Char"/>
    <w:link w:val="VPBody"/>
    <w:locked/>
    <w:rsid w:val="00622034"/>
    <w:rPr>
      <w:rFonts w:ascii="Times New Roman" w:hAnsi="Times New Roman"/>
      <w:sz w:val="24"/>
      <w:szCs w:val="22"/>
      <w:lang w:val="lv-LV"/>
    </w:rPr>
  </w:style>
  <w:style w:type="paragraph" w:customStyle="1" w:styleId="VPNumbered">
    <w:name w:val="VP Numbered"/>
    <w:basedOn w:val="VPBody"/>
    <w:qFormat/>
    <w:rsid w:val="00622034"/>
    <w:pPr>
      <w:numPr>
        <w:numId w:val="9"/>
      </w:numPr>
      <w:tabs>
        <w:tab w:val="left" w:pos="709"/>
      </w:tabs>
      <w:spacing w:before="80" w:after="80" w:line="240" w:lineRule="auto"/>
      <w:jc w:val="both"/>
    </w:pPr>
    <w:rPr>
      <w:bCs/>
      <w:szCs w:val="24"/>
    </w:rPr>
  </w:style>
  <w:style w:type="paragraph" w:customStyle="1" w:styleId="VPBullet">
    <w:name w:val="VP Bullet"/>
    <w:basedOn w:val="VPBody"/>
    <w:rsid w:val="00613B64"/>
    <w:pPr>
      <w:numPr>
        <w:numId w:val="10"/>
      </w:numPr>
      <w:tabs>
        <w:tab w:val="left" w:pos="0"/>
      </w:tabs>
      <w:spacing w:before="80" w:after="80" w:line="240" w:lineRule="auto"/>
      <w:jc w:val="both"/>
    </w:pPr>
    <w:rPr>
      <w:bCs/>
    </w:rPr>
  </w:style>
  <w:style w:type="paragraph" w:styleId="TOC6">
    <w:name w:val="toc 6"/>
    <w:basedOn w:val="Normal"/>
    <w:next w:val="Normal"/>
    <w:autoRedefine/>
    <w:uiPriority w:val="39"/>
    <w:unhideWhenUsed/>
    <w:rsid w:val="00613B64"/>
    <w:pPr>
      <w:spacing w:after="100" w:line="259" w:lineRule="auto"/>
      <w:ind w:left="1100"/>
    </w:pPr>
    <w:rPr>
      <w:rFonts w:ascii="Calibri" w:hAnsi="Calibri"/>
      <w:sz w:val="22"/>
      <w:szCs w:val="22"/>
      <w:lang w:val="en-US" w:eastAsia="en-US"/>
    </w:rPr>
  </w:style>
  <w:style w:type="paragraph" w:customStyle="1" w:styleId="EYNormal">
    <w:name w:val="EY Normal"/>
    <w:link w:val="EYNormalChar"/>
    <w:qFormat/>
    <w:rsid w:val="003A13BA"/>
    <w:pPr>
      <w:jc w:val="both"/>
    </w:pPr>
    <w:rPr>
      <w:rFonts w:ascii="Arial" w:eastAsia="Times New Roman" w:hAnsi="Arial" w:cs="Arial"/>
      <w:kern w:val="12"/>
      <w:szCs w:val="24"/>
      <w:lang w:eastAsia="en-US"/>
    </w:rPr>
  </w:style>
  <w:style w:type="character" w:customStyle="1" w:styleId="EYNormalChar">
    <w:name w:val="EY Normal Char"/>
    <w:link w:val="EYNormal"/>
    <w:rsid w:val="003A13BA"/>
    <w:rPr>
      <w:rFonts w:ascii="Arial" w:eastAsia="Times New Roman" w:hAnsi="Arial" w:cs="Arial"/>
      <w:kern w:val="1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65736067">
      <w:bodyDiv w:val="1"/>
      <w:marLeft w:val="0"/>
      <w:marRight w:val="0"/>
      <w:marTop w:val="0"/>
      <w:marBottom w:val="0"/>
      <w:divBdr>
        <w:top w:val="none" w:sz="0" w:space="0" w:color="auto"/>
        <w:left w:val="none" w:sz="0" w:space="0" w:color="auto"/>
        <w:bottom w:val="none" w:sz="0" w:space="0" w:color="auto"/>
        <w:right w:val="none" w:sz="0" w:space="0" w:color="auto"/>
      </w:divBdr>
    </w:div>
    <w:div w:id="89082435">
      <w:bodyDiv w:val="1"/>
      <w:marLeft w:val="0"/>
      <w:marRight w:val="0"/>
      <w:marTop w:val="0"/>
      <w:marBottom w:val="0"/>
      <w:divBdr>
        <w:top w:val="none" w:sz="0" w:space="0" w:color="auto"/>
        <w:left w:val="none" w:sz="0" w:space="0" w:color="auto"/>
        <w:bottom w:val="none" w:sz="0" w:space="0" w:color="auto"/>
        <w:right w:val="none" w:sz="0" w:space="0" w:color="auto"/>
      </w:divBdr>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79008499">
      <w:bodyDiv w:val="1"/>
      <w:marLeft w:val="0"/>
      <w:marRight w:val="0"/>
      <w:marTop w:val="0"/>
      <w:marBottom w:val="0"/>
      <w:divBdr>
        <w:top w:val="none" w:sz="0" w:space="0" w:color="auto"/>
        <w:left w:val="none" w:sz="0" w:space="0" w:color="auto"/>
        <w:bottom w:val="none" w:sz="0" w:space="0" w:color="auto"/>
        <w:right w:val="none" w:sz="0" w:space="0" w:color="auto"/>
      </w:divBdr>
    </w:div>
    <w:div w:id="328022282">
      <w:bodyDiv w:val="1"/>
      <w:marLeft w:val="0"/>
      <w:marRight w:val="0"/>
      <w:marTop w:val="0"/>
      <w:marBottom w:val="0"/>
      <w:divBdr>
        <w:top w:val="none" w:sz="0" w:space="0" w:color="auto"/>
        <w:left w:val="none" w:sz="0" w:space="0" w:color="auto"/>
        <w:bottom w:val="none" w:sz="0" w:space="0" w:color="auto"/>
        <w:right w:val="none" w:sz="0" w:space="0" w:color="auto"/>
      </w:divBdr>
      <w:divsChild>
        <w:div w:id="302121304">
          <w:marLeft w:val="0"/>
          <w:marRight w:val="0"/>
          <w:marTop w:val="0"/>
          <w:marBottom w:val="0"/>
          <w:divBdr>
            <w:top w:val="none" w:sz="0" w:space="0" w:color="auto"/>
            <w:left w:val="none" w:sz="0" w:space="0" w:color="auto"/>
            <w:bottom w:val="none" w:sz="0" w:space="0" w:color="auto"/>
            <w:right w:val="none" w:sz="0" w:space="0" w:color="auto"/>
          </w:divBdr>
          <w:divsChild>
            <w:div w:id="904416292">
              <w:marLeft w:val="0"/>
              <w:marRight w:val="0"/>
              <w:marTop w:val="0"/>
              <w:marBottom w:val="0"/>
              <w:divBdr>
                <w:top w:val="none" w:sz="0" w:space="0" w:color="auto"/>
                <w:left w:val="none" w:sz="0" w:space="0" w:color="auto"/>
                <w:bottom w:val="none" w:sz="0" w:space="0" w:color="auto"/>
                <w:right w:val="none" w:sz="0" w:space="0" w:color="auto"/>
              </w:divBdr>
              <w:divsChild>
                <w:div w:id="1870871184">
                  <w:marLeft w:val="0"/>
                  <w:marRight w:val="0"/>
                  <w:marTop w:val="0"/>
                  <w:marBottom w:val="0"/>
                  <w:divBdr>
                    <w:top w:val="none" w:sz="0" w:space="0" w:color="auto"/>
                    <w:left w:val="none" w:sz="0" w:space="0" w:color="auto"/>
                    <w:bottom w:val="none" w:sz="0" w:space="0" w:color="auto"/>
                    <w:right w:val="none" w:sz="0" w:space="0" w:color="auto"/>
                  </w:divBdr>
                  <w:divsChild>
                    <w:div w:id="971131668">
                      <w:marLeft w:val="0"/>
                      <w:marRight w:val="0"/>
                      <w:marTop w:val="0"/>
                      <w:marBottom w:val="0"/>
                      <w:divBdr>
                        <w:top w:val="none" w:sz="0" w:space="0" w:color="auto"/>
                        <w:left w:val="none" w:sz="0" w:space="0" w:color="auto"/>
                        <w:bottom w:val="none" w:sz="0" w:space="0" w:color="auto"/>
                        <w:right w:val="none" w:sz="0" w:space="0" w:color="auto"/>
                      </w:divBdr>
                      <w:divsChild>
                        <w:div w:id="1171724610">
                          <w:marLeft w:val="150"/>
                          <w:marRight w:val="0"/>
                          <w:marTop w:val="0"/>
                          <w:marBottom w:val="0"/>
                          <w:divBdr>
                            <w:top w:val="none" w:sz="0" w:space="0" w:color="auto"/>
                            <w:left w:val="none" w:sz="0" w:space="0" w:color="auto"/>
                            <w:bottom w:val="none" w:sz="0" w:space="0" w:color="auto"/>
                            <w:right w:val="none" w:sz="0" w:space="0" w:color="auto"/>
                          </w:divBdr>
                          <w:divsChild>
                            <w:div w:id="1402100360">
                              <w:marLeft w:val="0"/>
                              <w:marRight w:val="0"/>
                              <w:marTop w:val="0"/>
                              <w:marBottom w:val="0"/>
                              <w:divBdr>
                                <w:top w:val="none" w:sz="0" w:space="0" w:color="auto"/>
                                <w:left w:val="none" w:sz="0" w:space="0" w:color="auto"/>
                                <w:bottom w:val="none" w:sz="0" w:space="0" w:color="auto"/>
                                <w:right w:val="none" w:sz="0" w:space="0" w:color="auto"/>
                              </w:divBdr>
                              <w:divsChild>
                                <w:div w:id="88620605">
                                  <w:marLeft w:val="0"/>
                                  <w:marRight w:val="0"/>
                                  <w:marTop w:val="0"/>
                                  <w:marBottom w:val="0"/>
                                  <w:divBdr>
                                    <w:top w:val="none" w:sz="0" w:space="0" w:color="auto"/>
                                    <w:left w:val="none" w:sz="0" w:space="0" w:color="auto"/>
                                    <w:bottom w:val="none" w:sz="0" w:space="0" w:color="auto"/>
                                    <w:right w:val="none" w:sz="0" w:space="0" w:color="auto"/>
                                  </w:divBdr>
                                  <w:divsChild>
                                    <w:div w:id="1897281940">
                                      <w:marLeft w:val="0"/>
                                      <w:marRight w:val="0"/>
                                      <w:marTop w:val="0"/>
                                      <w:marBottom w:val="0"/>
                                      <w:divBdr>
                                        <w:top w:val="none" w:sz="0" w:space="0" w:color="auto"/>
                                        <w:left w:val="none" w:sz="0" w:space="0" w:color="auto"/>
                                        <w:bottom w:val="none" w:sz="0" w:space="0" w:color="auto"/>
                                        <w:right w:val="none" w:sz="0" w:space="0" w:color="auto"/>
                                      </w:divBdr>
                                      <w:divsChild>
                                        <w:div w:id="538708265">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270"/>
                                              <w:marTop w:val="0"/>
                                              <w:marBottom w:val="0"/>
                                              <w:divBdr>
                                                <w:top w:val="none" w:sz="0" w:space="0" w:color="auto"/>
                                                <w:left w:val="none" w:sz="0" w:space="0" w:color="auto"/>
                                                <w:bottom w:val="none" w:sz="0" w:space="0" w:color="auto"/>
                                                <w:right w:val="none" w:sz="0" w:space="0" w:color="auto"/>
                                              </w:divBdr>
                                              <w:divsChild>
                                                <w:div w:id="243342764">
                                                  <w:marLeft w:val="0"/>
                                                  <w:marRight w:val="0"/>
                                                  <w:marTop w:val="0"/>
                                                  <w:marBottom w:val="0"/>
                                                  <w:divBdr>
                                                    <w:top w:val="none" w:sz="0" w:space="0" w:color="auto"/>
                                                    <w:left w:val="none" w:sz="0" w:space="0" w:color="auto"/>
                                                    <w:bottom w:val="none" w:sz="0" w:space="0" w:color="auto"/>
                                                    <w:right w:val="none" w:sz="0" w:space="0" w:color="auto"/>
                                                  </w:divBdr>
                                                </w:div>
                                                <w:div w:id="518080669">
                                                  <w:marLeft w:val="0"/>
                                                  <w:marRight w:val="0"/>
                                                  <w:marTop w:val="0"/>
                                                  <w:marBottom w:val="0"/>
                                                  <w:divBdr>
                                                    <w:top w:val="none" w:sz="0" w:space="0" w:color="auto"/>
                                                    <w:left w:val="none" w:sz="0" w:space="0" w:color="auto"/>
                                                    <w:bottom w:val="none" w:sz="0" w:space="0" w:color="auto"/>
                                                    <w:right w:val="none" w:sz="0" w:space="0" w:color="auto"/>
                                                  </w:divBdr>
                                                </w:div>
                                                <w:div w:id="607466581">
                                                  <w:marLeft w:val="0"/>
                                                  <w:marRight w:val="0"/>
                                                  <w:marTop w:val="0"/>
                                                  <w:marBottom w:val="0"/>
                                                  <w:divBdr>
                                                    <w:top w:val="none" w:sz="0" w:space="0" w:color="auto"/>
                                                    <w:left w:val="none" w:sz="0" w:space="0" w:color="auto"/>
                                                    <w:bottom w:val="none" w:sz="0" w:space="0" w:color="auto"/>
                                                    <w:right w:val="none" w:sz="0" w:space="0" w:color="auto"/>
                                                  </w:divBdr>
                                                </w:div>
                                                <w:div w:id="874266884">
                                                  <w:marLeft w:val="0"/>
                                                  <w:marRight w:val="0"/>
                                                  <w:marTop w:val="0"/>
                                                  <w:marBottom w:val="0"/>
                                                  <w:divBdr>
                                                    <w:top w:val="none" w:sz="0" w:space="0" w:color="auto"/>
                                                    <w:left w:val="none" w:sz="0" w:space="0" w:color="auto"/>
                                                    <w:bottom w:val="none" w:sz="0" w:space="0" w:color="auto"/>
                                                    <w:right w:val="none" w:sz="0" w:space="0" w:color="auto"/>
                                                  </w:divBdr>
                                                </w:div>
                                                <w:div w:id="1428430712">
                                                  <w:marLeft w:val="0"/>
                                                  <w:marRight w:val="0"/>
                                                  <w:marTop w:val="0"/>
                                                  <w:marBottom w:val="0"/>
                                                  <w:divBdr>
                                                    <w:top w:val="none" w:sz="0" w:space="0" w:color="auto"/>
                                                    <w:left w:val="none" w:sz="0" w:space="0" w:color="auto"/>
                                                    <w:bottom w:val="none" w:sz="0" w:space="0" w:color="auto"/>
                                                    <w:right w:val="none" w:sz="0" w:space="0" w:color="auto"/>
                                                  </w:divBdr>
                                                </w:div>
                                                <w:div w:id="1560822334">
                                                  <w:marLeft w:val="0"/>
                                                  <w:marRight w:val="0"/>
                                                  <w:marTop w:val="0"/>
                                                  <w:marBottom w:val="0"/>
                                                  <w:divBdr>
                                                    <w:top w:val="none" w:sz="0" w:space="0" w:color="auto"/>
                                                    <w:left w:val="none" w:sz="0" w:space="0" w:color="auto"/>
                                                    <w:bottom w:val="none" w:sz="0" w:space="0" w:color="auto"/>
                                                    <w:right w:val="none" w:sz="0" w:space="0" w:color="auto"/>
                                                  </w:divBdr>
                                                </w:div>
                                                <w:div w:id="1660183960">
                                                  <w:marLeft w:val="0"/>
                                                  <w:marRight w:val="0"/>
                                                  <w:marTop w:val="0"/>
                                                  <w:marBottom w:val="0"/>
                                                  <w:divBdr>
                                                    <w:top w:val="none" w:sz="0" w:space="0" w:color="auto"/>
                                                    <w:left w:val="none" w:sz="0" w:space="0" w:color="auto"/>
                                                    <w:bottom w:val="none" w:sz="0" w:space="0" w:color="auto"/>
                                                    <w:right w:val="none" w:sz="0" w:space="0" w:color="auto"/>
                                                  </w:divBdr>
                                                </w:div>
                                                <w:div w:id="1801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51496533">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22147830">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4355">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19050414">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545876280">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686060355">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745956382">
      <w:bodyDiv w:val="1"/>
      <w:marLeft w:val="0"/>
      <w:marRight w:val="0"/>
      <w:marTop w:val="0"/>
      <w:marBottom w:val="0"/>
      <w:divBdr>
        <w:top w:val="none" w:sz="0" w:space="0" w:color="auto"/>
        <w:left w:val="none" w:sz="0" w:space="0" w:color="auto"/>
        <w:bottom w:val="none" w:sz="0" w:space="0" w:color="auto"/>
        <w:right w:val="none" w:sz="0" w:space="0" w:color="auto"/>
      </w:divBdr>
    </w:div>
    <w:div w:id="746074433">
      <w:bodyDiv w:val="1"/>
      <w:marLeft w:val="0"/>
      <w:marRight w:val="0"/>
      <w:marTop w:val="0"/>
      <w:marBottom w:val="0"/>
      <w:divBdr>
        <w:top w:val="none" w:sz="0" w:space="0" w:color="auto"/>
        <w:left w:val="none" w:sz="0" w:space="0" w:color="auto"/>
        <w:bottom w:val="none" w:sz="0" w:space="0" w:color="auto"/>
        <w:right w:val="none" w:sz="0" w:space="0" w:color="auto"/>
      </w:divBdr>
    </w:div>
    <w:div w:id="772287177">
      <w:bodyDiv w:val="1"/>
      <w:marLeft w:val="0"/>
      <w:marRight w:val="0"/>
      <w:marTop w:val="0"/>
      <w:marBottom w:val="0"/>
      <w:divBdr>
        <w:top w:val="none" w:sz="0" w:space="0" w:color="auto"/>
        <w:left w:val="none" w:sz="0" w:space="0" w:color="auto"/>
        <w:bottom w:val="none" w:sz="0" w:space="0" w:color="auto"/>
        <w:right w:val="none" w:sz="0" w:space="0" w:color="auto"/>
      </w:divBdr>
    </w:div>
    <w:div w:id="789279276">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1865307">
      <w:bodyDiv w:val="1"/>
      <w:marLeft w:val="0"/>
      <w:marRight w:val="0"/>
      <w:marTop w:val="0"/>
      <w:marBottom w:val="0"/>
      <w:divBdr>
        <w:top w:val="none" w:sz="0" w:space="0" w:color="auto"/>
        <w:left w:val="none" w:sz="0" w:space="0" w:color="auto"/>
        <w:bottom w:val="none" w:sz="0" w:space="0" w:color="auto"/>
        <w:right w:val="none" w:sz="0" w:space="0" w:color="auto"/>
      </w:divBdr>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32220349">
      <w:bodyDiv w:val="1"/>
      <w:marLeft w:val="0"/>
      <w:marRight w:val="0"/>
      <w:marTop w:val="0"/>
      <w:marBottom w:val="0"/>
      <w:divBdr>
        <w:top w:val="none" w:sz="0" w:space="0" w:color="auto"/>
        <w:left w:val="none" w:sz="0" w:space="0" w:color="auto"/>
        <w:bottom w:val="none" w:sz="0" w:space="0" w:color="auto"/>
        <w:right w:val="none" w:sz="0" w:space="0" w:color="auto"/>
      </w:divBdr>
    </w:div>
    <w:div w:id="1038580438">
      <w:bodyDiv w:val="1"/>
      <w:marLeft w:val="0"/>
      <w:marRight w:val="0"/>
      <w:marTop w:val="0"/>
      <w:marBottom w:val="0"/>
      <w:divBdr>
        <w:top w:val="none" w:sz="0" w:space="0" w:color="auto"/>
        <w:left w:val="none" w:sz="0" w:space="0" w:color="auto"/>
        <w:bottom w:val="none" w:sz="0" w:space="0" w:color="auto"/>
        <w:right w:val="none" w:sz="0" w:space="0" w:color="auto"/>
      </w:divBdr>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074278029">
      <w:bodyDiv w:val="1"/>
      <w:marLeft w:val="0"/>
      <w:marRight w:val="0"/>
      <w:marTop w:val="0"/>
      <w:marBottom w:val="0"/>
      <w:divBdr>
        <w:top w:val="none" w:sz="0" w:space="0" w:color="auto"/>
        <w:left w:val="none" w:sz="0" w:space="0" w:color="auto"/>
        <w:bottom w:val="none" w:sz="0" w:space="0" w:color="auto"/>
        <w:right w:val="none" w:sz="0" w:space="0" w:color="auto"/>
      </w:divBdr>
      <w:divsChild>
        <w:div w:id="56981020">
          <w:marLeft w:val="0"/>
          <w:marRight w:val="0"/>
          <w:marTop w:val="0"/>
          <w:marBottom w:val="0"/>
          <w:divBdr>
            <w:top w:val="none" w:sz="0" w:space="0" w:color="auto"/>
            <w:left w:val="none" w:sz="0" w:space="0" w:color="auto"/>
            <w:bottom w:val="none" w:sz="0" w:space="0" w:color="auto"/>
            <w:right w:val="none" w:sz="0" w:space="0" w:color="auto"/>
          </w:divBdr>
          <w:divsChild>
            <w:div w:id="1407724630">
              <w:marLeft w:val="0"/>
              <w:marRight w:val="0"/>
              <w:marTop w:val="0"/>
              <w:marBottom w:val="0"/>
              <w:divBdr>
                <w:top w:val="none" w:sz="0" w:space="0" w:color="auto"/>
                <w:left w:val="none" w:sz="0" w:space="0" w:color="auto"/>
                <w:bottom w:val="none" w:sz="0" w:space="0" w:color="auto"/>
                <w:right w:val="none" w:sz="0" w:space="0" w:color="auto"/>
              </w:divBdr>
              <w:divsChild>
                <w:div w:id="1711343558">
                  <w:marLeft w:val="0"/>
                  <w:marRight w:val="0"/>
                  <w:marTop w:val="0"/>
                  <w:marBottom w:val="0"/>
                  <w:divBdr>
                    <w:top w:val="none" w:sz="0" w:space="0" w:color="auto"/>
                    <w:left w:val="none" w:sz="0" w:space="0" w:color="auto"/>
                    <w:bottom w:val="none" w:sz="0" w:space="0" w:color="auto"/>
                    <w:right w:val="none" w:sz="0" w:space="0" w:color="auto"/>
                  </w:divBdr>
                  <w:divsChild>
                    <w:div w:id="2070227903">
                      <w:marLeft w:val="0"/>
                      <w:marRight w:val="0"/>
                      <w:marTop w:val="0"/>
                      <w:marBottom w:val="0"/>
                      <w:divBdr>
                        <w:top w:val="none" w:sz="0" w:space="0" w:color="auto"/>
                        <w:left w:val="none" w:sz="0" w:space="0" w:color="auto"/>
                        <w:bottom w:val="none" w:sz="0" w:space="0" w:color="auto"/>
                        <w:right w:val="none" w:sz="0" w:space="0" w:color="auto"/>
                      </w:divBdr>
                      <w:divsChild>
                        <w:div w:id="2047750230">
                          <w:marLeft w:val="0"/>
                          <w:marRight w:val="0"/>
                          <w:marTop w:val="0"/>
                          <w:marBottom w:val="0"/>
                          <w:divBdr>
                            <w:top w:val="none" w:sz="0" w:space="0" w:color="auto"/>
                            <w:left w:val="none" w:sz="0" w:space="0" w:color="auto"/>
                            <w:bottom w:val="none" w:sz="0" w:space="0" w:color="auto"/>
                            <w:right w:val="none" w:sz="0" w:space="0" w:color="auto"/>
                          </w:divBdr>
                          <w:divsChild>
                            <w:div w:id="17323818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793419">
      <w:bodyDiv w:val="1"/>
      <w:marLeft w:val="0"/>
      <w:marRight w:val="0"/>
      <w:marTop w:val="0"/>
      <w:marBottom w:val="0"/>
      <w:divBdr>
        <w:top w:val="none" w:sz="0" w:space="0" w:color="auto"/>
        <w:left w:val="none" w:sz="0" w:space="0" w:color="auto"/>
        <w:bottom w:val="none" w:sz="0" w:space="0" w:color="auto"/>
        <w:right w:val="none" w:sz="0" w:space="0" w:color="auto"/>
      </w:divBdr>
    </w:div>
    <w:div w:id="1121727341">
      <w:bodyDiv w:val="1"/>
      <w:marLeft w:val="0"/>
      <w:marRight w:val="0"/>
      <w:marTop w:val="0"/>
      <w:marBottom w:val="0"/>
      <w:divBdr>
        <w:top w:val="none" w:sz="0" w:space="0" w:color="auto"/>
        <w:left w:val="none" w:sz="0" w:space="0" w:color="auto"/>
        <w:bottom w:val="none" w:sz="0" w:space="0" w:color="auto"/>
        <w:right w:val="none" w:sz="0" w:space="0" w:color="auto"/>
      </w:divBdr>
    </w:div>
    <w:div w:id="1127940433">
      <w:bodyDiv w:val="1"/>
      <w:marLeft w:val="0"/>
      <w:marRight w:val="0"/>
      <w:marTop w:val="0"/>
      <w:marBottom w:val="0"/>
      <w:divBdr>
        <w:top w:val="none" w:sz="0" w:space="0" w:color="auto"/>
        <w:left w:val="none" w:sz="0" w:space="0" w:color="auto"/>
        <w:bottom w:val="none" w:sz="0" w:space="0" w:color="auto"/>
        <w:right w:val="none" w:sz="0" w:space="0" w:color="auto"/>
      </w:divBdr>
    </w:div>
    <w:div w:id="1202859526">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15513834">
      <w:bodyDiv w:val="1"/>
      <w:marLeft w:val="0"/>
      <w:marRight w:val="0"/>
      <w:marTop w:val="0"/>
      <w:marBottom w:val="0"/>
      <w:divBdr>
        <w:top w:val="none" w:sz="0" w:space="0" w:color="auto"/>
        <w:left w:val="none" w:sz="0" w:space="0" w:color="auto"/>
        <w:bottom w:val="none" w:sz="0" w:space="0" w:color="auto"/>
        <w:right w:val="none" w:sz="0" w:space="0" w:color="auto"/>
      </w:divBdr>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42933167">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648242923">
      <w:bodyDiv w:val="1"/>
      <w:marLeft w:val="0"/>
      <w:marRight w:val="0"/>
      <w:marTop w:val="0"/>
      <w:marBottom w:val="0"/>
      <w:divBdr>
        <w:top w:val="none" w:sz="0" w:space="0" w:color="auto"/>
        <w:left w:val="none" w:sz="0" w:space="0" w:color="auto"/>
        <w:bottom w:val="none" w:sz="0" w:space="0" w:color="auto"/>
        <w:right w:val="none" w:sz="0" w:space="0" w:color="auto"/>
      </w:divBdr>
    </w:div>
    <w:div w:id="1666014316">
      <w:bodyDiv w:val="1"/>
      <w:marLeft w:val="0"/>
      <w:marRight w:val="0"/>
      <w:marTop w:val="0"/>
      <w:marBottom w:val="0"/>
      <w:divBdr>
        <w:top w:val="none" w:sz="0" w:space="0" w:color="auto"/>
        <w:left w:val="none" w:sz="0" w:space="0" w:color="auto"/>
        <w:bottom w:val="none" w:sz="0" w:space="0" w:color="auto"/>
        <w:right w:val="none" w:sz="0" w:space="0" w:color="auto"/>
      </w:divBdr>
    </w:div>
    <w:div w:id="1738434756">
      <w:bodyDiv w:val="1"/>
      <w:marLeft w:val="0"/>
      <w:marRight w:val="0"/>
      <w:marTop w:val="0"/>
      <w:marBottom w:val="0"/>
      <w:divBdr>
        <w:top w:val="none" w:sz="0" w:space="0" w:color="auto"/>
        <w:left w:val="none" w:sz="0" w:space="0" w:color="auto"/>
        <w:bottom w:val="none" w:sz="0" w:space="0" w:color="auto"/>
        <w:right w:val="none" w:sz="0" w:space="0" w:color="auto"/>
      </w:divBdr>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1865484634">
      <w:bodyDiv w:val="1"/>
      <w:marLeft w:val="0"/>
      <w:marRight w:val="0"/>
      <w:marTop w:val="0"/>
      <w:marBottom w:val="0"/>
      <w:divBdr>
        <w:top w:val="none" w:sz="0" w:space="0" w:color="auto"/>
        <w:left w:val="none" w:sz="0" w:space="0" w:color="auto"/>
        <w:bottom w:val="none" w:sz="0" w:space="0" w:color="auto"/>
        <w:right w:val="none" w:sz="0" w:space="0" w:color="auto"/>
      </w:divBdr>
    </w:div>
    <w:div w:id="1953779294">
      <w:bodyDiv w:val="1"/>
      <w:marLeft w:val="0"/>
      <w:marRight w:val="0"/>
      <w:marTop w:val="0"/>
      <w:marBottom w:val="0"/>
      <w:divBdr>
        <w:top w:val="none" w:sz="0" w:space="0" w:color="auto"/>
        <w:left w:val="none" w:sz="0" w:space="0" w:color="auto"/>
        <w:bottom w:val="none" w:sz="0" w:space="0" w:color="auto"/>
        <w:right w:val="none" w:sz="0" w:space="0" w:color="auto"/>
      </w:divBdr>
    </w:div>
    <w:div w:id="2000619607">
      <w:bodyDiv w:val="1"/>
      <w:marLeft w:val="0"/>
      <w:marRight w:val="0"/>
      <w:marTop w:val="0"/>
      <w:marBottom w:val="0"/>
      <w:divBdr>
        <w:top w:val="none" w:sz="0" w:space="0" w:color="auto"/>
        <w:left w:val="none" w:sz="0" w:space="0" w:color="auto"/>
        <w:bottom w:val="none" w:sz="0" w:space="0" w:color="auto"/>
        <w:right w:val="none" w:sz="0" w:space="0" w:color="auto"/>
      </w:divBdr>
    </w:div>
    <w:div w:id="2015834498">
      <w:bodyDiv w:val="1"/>
      <w:marLeft w:val="0"/>
      <w:marRight w:val="0"/>
      <w:marTop w:val="0"/>
      <w:marBottom w:val="0"/>
      <w:divBdr>
        <w:top w:val="none" w:sz="0" w:space="0" w:color="auto"/>
        <w:left w:val="none" w:sz="0" w:space="0" w:color="auto"/>
        <w:bottom w:val="none" w:sz="0" w:space="0" w:color="auto"/>
        <w:right w:val="none" w:sz="0" w:space="0" w:color="auto"/>
      </w:divBdr>
    </w:div>
    <w:div w:id="2022851309">
      <w:bodyDiv w:val="1"/>
      <w:marLeft w:val="0"/>
      <w:marRight w:val="0"/>
      <w:marTop w:val="0"/>
      <w:marBottom w:val="0"/>
      <w:divBdr>
        <w:top w:val="none" w:sz="0" w:space="0" w:color="auto"/>
        <w:left w:val="none" w:sz="0" w:space="0" w:color="auto"/>
        <w:bottom w:val="none" w:sz="0" w:space="0" w:color="auto"/>
        <w:right w:val="none" w:sz="0" w:space="0" w:color="auto"/>
      </w:divBdr>
    </w:div>
    <w:div w:id="2038892866">
      <w:bodyDiv w:val="1"/>
      <w:marLeft w:val="0"/>
      <w:marRight w:val="0"/>
      <w:marTop w:val="0"/>
      <w:marBottom w:val="0"/>
      <w:divBdr>
        <w:top w:val="none" w:sz="0" w:space="0" w:color="auto"/>
        <w:left w:val="none" w:sz="0" w:space="0" w:color="auto"/>
        <w:bottom w:val="none" w:sz="0" w:space="0" w:color="auto"/>
        <w:right w:val="none" w:sz="0" w:space="0" w:color="auto"/>
      </w:divBdr>
    </w:div>
    <w:div w:id="2045212459">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48288976">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 w:id="2115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57BE-647E-43D9-BD2D-5E0C387A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9068</Words>
  <Characters>5169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Inguna.Kampane@izm.gov.lv</dc:creator>
  <cp:keywords/>
  <dc:description/>
  <cp:lastModifiedBy>Laimdota Adlere</cp:lastModifiedBy>
  <cp:revision>2</cp:revision>
  <cp:lastPrinted>2020-08-12T09:11:00Z</cp:lastPrinted>
  <dcterms:created xsi:type="dcterms:W3CDTF">2020-09-08T12:48:00Z</dcterms:created>
  <dcterms:modified xsi:type="dcterms:W3CDTF">2020-09-08T12:48:00Z</dcterms:modified>
</cp:coreProperties>
</file>