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CAC0" w14:textId="77777777" w:rsidR="00894C55" w:rsidRPr="009162AC" w:rsidRDefault="0049292E" w:rsidP="003D20F3">
      <w:pPr>
        <w:shd w:val="clear" w:color="auto" w:fill="FFFFFF"/>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7977F8" w:rsidRPr="007977F8">
        <w:rPr>
          <w:rFonts w:ascii="Times New Roman" w:eastAsia="Times New Roman" w:hAnsi="Times New Roman" w:cs="Times New Roman"/>
          <w:b/>
          <w:bCs/>
          <w:sz w:val="28"/>
          <w:szCs w:val="24"/>
          <w:lang w:eastAsia="lv-LV"/>
        </w:rPr>
        <w:t>Grozījumi Valsts un pašvaldību institūciju amatpersonu un darbinieku atlīdzības likumā</w:t>
      </w:r>
      <w:r w:rsidR="003D20F3">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3A8300B1" w14:textId="77777777" w:rsidR="00E5323B" w:rsidRPr="00ED397F" w:rsidRDefault="00E5323B" w:rsidP="00894C55">
      <w:pPr>
        <w:shd w:val="clear" w:color="auto" w:fill="FFFFFF"/>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9292E" w:rsidRPr="009162AC" w14:paraId="763950B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BE5114"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3662DE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B791F" w14:textId="77777777" w:rsidR="00E5323B" w:rsidRPr="005075CE" w:rsidRDefault="00E5323B" w:rsidP="0049292E">
            <w:pPr>
              <w:jc w:val="both"/>
              <w:rPr>
                <w:rFonts w:ascii="Times New Roman" w:eastAsia="Times New Roman" w:hAnsi="Times New Roman" w:cs="Times New Roman"/>
                <w:iCs/>
                <w:sz w:val="24"/>
                <w:szCs w:val="24"/>
                <w:lang w:eastAsia="lv-LV"/>
              </w:rPr>
            </w:pPr>
            <w:r w:rsidRPr="005075CE">
              <w:rPr>
                <w:rFonts w:ascii="Times New Roman" w:eastAsia="Times New Roman" w:hAnsi="Times New Roman" w:cs="Times New Roman"/>
                <w:iCs/>
                <w:sz w:val="24"/>
                <w:szCs w:val="24"/>
                <w:lang w:eastAsia="lv-LV"/>
              </w:rPr>
              <w:t>Mērķis, risinājums un projekta spēkā stāšanās laiks (500</w:t>
            </w:r>
            <w:r w:rsidR="00BA1DB6" w:rsidRPr="005075CE">
              <w:rPr>
                <w:rFonts w:ascii="Times New Roman" w:eastAsia="Times New Roman" w:hAnsi="Times New Roman" w:cs="Times New Roman"/>
                <w:iCs/>
                <w:sz w:val="24"/>
                <w:szCs w:val="24"/>
                <w:lang w:eastAsia="lv-LV"/>
              </w:rPr>
              <w:t> </w:t>
            </w:r>
            <w:r w:rsidRPr="005075CE">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C2438B" w14:textId="77777777" w:rsidR="009E7987" w:rsidRDefault="009E7987" w:rsidP="009E7987">
            <w:pPr>
              <w:jc w:val="both"/>
              <w:rPr>
                <w:rFonts w:ascii="Times New Roman" w:eastAsia="Times New Roman" w:hAnsi="Times New Roman" w:cs="Times New Roman"/>
                <w:iCs/>
                <w:sz w:val="24"/>
                <w:szCs w:val="24"/>
                <w:lang w:eastAsia="lv-LV"/>
              </w:rPr>
            </w:pPr>
            <w:r w:rsidRPr="008D63EC">
              <w:rPr>
                <w:rFonts w:ascii="Times New Roman" w:eastAsia="Times New Roman" w:hAnsi="Times New Roman" w:cs="Times New Roman"/>
                <w:iCs/>
                <w:sz w:val="24"/>
                <w:szCs w:val="24"/>
                <w:lang w:eastAsia="lv-LV"/>
              </w:rPr>
              <w:t>Likumprojekts</w:t>
            </w:r>
            <w:r>
              <w:rPr>
                <w:rFonts w:ascii="Times New Roman" w:eastAsia="Times New Roman" w:hAnsi="Times New Roman" w:cs="Times New Roman"/>
                <w:iCs/>
                <w:sz w:val="24"/>
                <w:szCs w:val="24"/>
                <w:lang w:eastAsia="lv-LV"/>
              </w:rPr>
              <w:t xml:space="preserve"> </w:t>
            </w:r>
            <w:r w:rsidRPr="00D8379D">
              <w:rPr>
                <w:rFonts w:ascii="Times New Roman" w:eastAsia="Times New Roman" w:hAnsi="Times New Roman" w:cs="Times New Roman"/>
                <w:iCs/>
                <w:sz w:val="24"/>
                <w:szCs w:val="24"/>
                <w:lang w:eastAsia="lv-LV"/>
              </w:rPr>
              <w:t>"Grozījumi Valsts un pašvaldību institūciju amatpersonu un darbinieku atlīdzības likumā" (turpmāk – Likumprojekts)</w:t>
            </w:r>
            <w:r w:rsidRPr="008D63EC">
              <w:rPr>
                <w:rFonts w:ascii="Times New Roman" w:eastAsia="Times New Roman" w:hAnsi="Times New Roman" w:cs="Times New Roman"/>
                <w:iCs/>
                <w:sz w:val="24"/>
                <w:szCs w:val="24"/>
                <w:lang w:eastAsia="lv-LV"/>
              </w:rPr>
              <w:t xml:space="preserve"> paredz </w:t>
            </w:r>
            <w:proofErr w:type="gramStart"/>
            <w:r w:rsidRPr="008D63EC">
              <w:rPr>
                <w:rFonts w:ascii="Times New Roman" w:eastAsia="Times New Roman" w:hAnsi="Times New Roman" w:cs="Times New Roman"/>
                <w:iCs/>
                <w:sz w:val="24"/>
                <w:szCs w:val="24"/>
                <w:lang w:eastAsia="lv-LV"/>
              </w:rPr>
              <w:t>jaunu Korupcijas novēršanas un apkarošanas</w:t>
            </w:r>
            <w:proofErr w:type="gramEnd"/>
            <w:r w:rsidRPr="008D63EC">
              <w:rPr>
                <w:rFonts w:ascii="Times New Roman" w:eastAsia="Times New Roman" w:hAnsi="Times New Roman" w:cs="Times New Roman"/>
                <w:iCs/>
                <w:sz w:val="24"/>
                <w:szCs w:val="24"/>
                <w:lang w:eastAsia="lv-LV"/>
              </w:rPr>
              <w:t xml:space="preserve"> biroja (turpmāk – Birojs) amatpersonu (darbinieku) mēnešalgas noteikšanas kārtību, proti, </w:t>
            </w:r>
            <w:r>
              <w:rPr>
                <w:rFonts w:ascii="Times New Roman" w:eastAsia="Times New Roman" w:hAnsi="Times New Roman" w:cs="Times New Roman"/>
                <w:iCs/>
                <w:sz w:val="24"/>
                <w:szCs w:val="24"/>
                <w:lang w:eastAsia="lv-LV"/>
              </w:rPr>
              <w:t xml:space="preserve">Biroja amatpersonu (darbinieku) </w:t>
            </w:r>
            <w:r w:rsidRPr="008D63EC">
              <w:rPr>
                <w:rFonts w:ascii="Times New Roman" w:eastAsia="Times New Roman" w:hAnsi="Times New Roman" w:cs="Times New Roman"/>
                <w:iCs/>
                <w:sz w:val="24"/>
                <w:szCs w:val="24"/>
                <w:lang w:eastAsia="lv-LV"/>
              </w:rPr>
              <w:t>mēnešalgas apmēru</w:t>
            </w:r>
            <w:r>
              <w:rPr>
                <w:rFonts w:ascii="Times New Roman" w:eastAsia="Times New Roman" w:hAnsi="Times New Roman" w:cs="Times New Roman"/>
                <w:iCs/>
                <w:sz w:val="24"/>
                <w:szCs w:val="24"/>
                <w:lang w:eastAsia="lv-LV"/>
              </w:rPr>
              <w:t>, balstoties uz jaunu atlīdzības skalu,</w:t>
            </w:r>
            <w:r w:rsidRPr="008D63EC">
              <w:rPr>
                <w:rFonts w:ascii="Times New Roman" w:eastAsia="Times New Roman" w:hAnsi="Times New Roman" w:cs="Times New Roman"/>
                <w:iCs/>
                <w:sz w:val="24"/>
                <w:szCs w:val="24"/>
                <w:lang w:eastAsia="lv-LV"/>
              </w:rPr>
              <w:t xml:space="preserve"> šīs institūcijas reglamentētajā kārtībā </w:t>
            </w:r>
            <w:r>
              <w:rPr>
                <w:rFonts w:ascii="Times New Roman" w:eastAsia="Times New Roman" w:hAnsi="Times New Roman" w:cs="Times New Roman"/>
                <w:iCs/>
                <w:sz w:val="24"/>
                <w:szCs w:val="24"/>
                <w:lang w:eastAsia="lv-LV"/>
              </w:rPr>
              <w:t>noteiks</w:t>
            </w:r>
            <w:r w:rsidRPr="008D63EC">
              <w:rPr>
                <w:rFonts w:ascii="Times New Roman" w:eastAsia="Times New Roman" w:hAnsi="Times New Roman" w:cs="Times New Roman"/>
                <w:iCs/>
                <w:sz w:val="24"/>
                <w:szCs w:val="24"/>
                <w:lang w:eastAsia="lv-LV"/>
              </w:rPr>
              <w:t xml:space="preserve">, ņemot vērā amata vērtību (atbildības līmeni un sarežģītību), konkrētās amatpersonas (darbinieka) individuālās kvalifikācijas un kompetenču novērtējumu, kā arī bāzes mēnešalgas apmēru. </w:t>
            </w:r>
          </w:p>
          <w:p w14:paraId="44A62EEC" w14:textId="77777777" w:rsidR="00300D34" w:rsidRPr="005075CE" w:rsidRDefault="009E7987" w:rsidP="009E7987">
            <w:pPr>
              <w:jc w:val="both"/>
              <w:rPr>
                <w:rFonts w:ascii="Times New Roman" w:eastAsia="Times New Roman" w:hAnsi="Times New Roman" w:cs="Times New Roman"/>
                <w:iCs/>
                <w:sz w:val="24"/>
                <w:szCs w:val="24"/>
                <w:lang w:eastAsia="lv-LV"/>
              </w:rPr>
            </w:pPr>
            <w:r w:rsidRPr="008D63EC">
              <w:rPr>
                <w:rFonts w:ascii="Times New Roman" w:eastAsia="Times New Roman" w:hAnsi="Times New Roman" w:cs="Times New Roman"/>
                <w:iCs/>
                <w:sz w:val="24"/>
                <w:szCs w:val="24"/>
                <w:lang w:eastAsia="lv-LV"/>
              </w:rPr>
              <w:t xml:space="preserve">Likumprojekta spēkā stāšanās </w:t>
            </w:r>
            <w:r w:rsidRPr="008A358B">
              <w:rPr>
                <w:rFonts w:ascii="Times New Roman" w:eastAsia="Times New Roman" w:hAnsi="Times New Roman" w:cs="Times New Roman"/>
                <w:iCs/>
                <w:sz w:val="24"/>
                <w:szCs w:val="24"/>
                <w:lang w:eastAsia="lv-LV"/>
              </w:rPr>
              <w:t>paredzēta 2021.</w:t>
            </w:r>
            <w:r>
              <w:rPr>
                <w:rFonts w:ascii="Times New Roman" w:eastAsia="Times New Roman" w:hAnsi="Times New Roman" w:cs="Times New Roman"/>
                <w:iCs/>
                <w:sz w:val="24"/>
                <w:szCs w:val="24"/>
                <w:lang w:eastAsia="lv-LV"/>
              </w:rPr>
              <w:t> </w:t>
            </w:r>
            <w:r w:rsidRPr="008A358B">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 </w:t>
            </w:r>
            <w:r w:rsidRPr="008A358B">
              <w:rPr>
                <w:rFonts w:ascii="Times New Roman" w:eastAsia="Times New Roman" w:hAnsi="Times New Roman" w:cs="Times New Roman"/>
                <w:iCs/>
                <w:sz w:val="24"/>
                <w:szCs w:val="24"/>
                <w:lang w:eastAsia="lv-LV"/>
              </w:rPr>
              <w:t>janvārī.</w:t>
            </w:r>
          </w:p>
        </w:tc>
      </w:tr>
    </w:tbl>
    <w:p w14:paraId="09F68C76" w14:textId="77777777" w:rsidR="00E5323B" w:rsidRPr="009162AC"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49292E" w:rsidRPr="009162AC" w14:paraId="430FCE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773A99"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32C165B" w14:textId="77777777" w:rsidTr="005045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2C96F"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78D6892D"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59598C17" w14:textId="77777777" w:rsidR="009E7987" w:rsidRDefault="009E7987" w:rsidP="009E7987">
            <w:pPr>
              <w:jc w:val="both"/>
              <w:rPr>
                <w:rFonts w:ascii="Times New Roman" w:eastAsia="Times New Roman" w:hAnsi="Times New Roman" w:cs="Times New Roman"/>
                <w:iCs/>
                <w:sz w:val="24"/>
                <w:szCs w:val="24"/>
                <w:lang w:eastAsia="lv-LV"/>
              </w:rPr>
            </w:pPr>
            <w:r w:rsidRPr="00D8379D">
              <w:rPr>
                <w:rFonts w:ascii="Times New Roman" w:eastAsia="Times New Roman" w:hAnsi="Times New Roman" w:cs="Times New Roman"/>
                <w:iCs/>
                <w:sz w:val="24"/>
                <w:szCs w:val="24"/>
                <w:lang w:eastAsia="lv-LV"/>
              </w:rPr>
              <w:t>Valdības rīcības plāna Deklarācijas par Artura Krišjāņa Kariņa vadītā Ministru kabineta iecerēto darbību īstenošanai 180.</w:t>
            </w:r>
            <w:r>
              <w:rPr>
                <w:rFonts w:ascii="Times New Roman" w:eastAsia="Times New Roman" w:hAnsi="Times New Roman" w:cs="Times New Roman"/>
                <w:iCs/>
                <w:sz w:val="24"/>
                <w:szCs w:val="24"/>
                <w:lang w:eastAsia="lv-LV"/>
              </w:rPr>
              <w:t> </w:t>
            </w:r>
            <w:r w:rsidRPr="00D8379D">
              <w:rPr>
                <w:rFonts w:ascii="Times New Roman" w:eastAsia="Times New Roman" w:hAnsi="Times New Roman" w:cs="Times New Roman"/>
                <w:iCs/>
                <w:sz w:val="24"/>
                <w:szCs w:val="24"/>
                <w:lang w:eastAsia="lv-LV"/>
              </w:rPr>
              <w:t>uzdevuma 2.</w:t>
            </w:r>
            <w:r>
              <w:rPr>
                <w:rFonts w:ascii="Times New Roman" w:eastAsia="Times New Roman" w:hAnsi="Times New Roman" w:cs="Times New Roman"/>
                <w:iCs/>
                <w:sz w:val="24"/>
                <w:szCs w:val="24"/>
                <w:lang w:eastAsia="lv-LV"/>
              </w:rPr>
              <w:t> </w:t>
            </w:r>
            <w:r w:rsidRPr="00D8379D">
              <w:rPr>
                <w:rFonts w:ascii="Times New Roman" w:eastAsia="Times New Roman" w:hAnsi="Times New Roman" w:cs="Times New Roman"/>
                <w:iCs/>
                <w:sz w:val="24"/>
                <w:szCs w:val="24"/>
                <w:lang w:eastAsia="lv-LV"/>
              </w:rPr>
              <w:t>pasākum</w:t>
            </w:r>
            <w:r>
              <w:rPr>
                <w:rFonts w:ascii="Times New Roman" w:eastAsia="Times New Roman" w:hAnsi="Times New Roman" w:cs="Times New Roman"/>
                <w:iCs/>
                <w:sz w:val="24"/>
                <w:szCs w:val="24"/>
                <w:lang w:eastAsia="lv-LV"/>
              </w:rPr>
              <w:t>s</w:t>
            </w:r>
            <w:r w:rsidRPr="00D8379D">
              <w:rPr>
                <w:rFonts w:ascii="Times New Roman" w:eastAsia="Times New Roman" w:hAnsi="Times New Roman" w:cs="Times New Roman"/>
                <w:iCs/>
                <w:sz w:val="24"/>
                <w:szCs w:val="24"/>
                <w:lang w:eastAsia="lv-LV"/>
              </w:rPr>
              <w:t>, kas paredz stiprināt Biroja kapacitāti gan cilvēkresursu, gan materiālo resursu ziņā</w:t>
            </w:r>
            <w:r>
              <w:rPr>
                <w:rFonts w:ascii="Times New Roman" w:eastAsia="Times New Roman" w:hAnsi="Times New Roman" w:cs="Times New Roman"/>
                <w:iCs/>
                <w:sz w:val="24"/>
                <w:szCs w:val="24"/>
                <w:lang w:eastAsia="lv-LV"/>
              </w:rPr>
              <w:t>.</w:t>
            </w:r>
          </w:p>
          <w:p w14:paraId="5B603B3A" w14:textId="77777777" w:rsidR="009E7987" w:rsidRDefault="009E7987" w:rsidP="009E7987">
            <w:pPr>
              <w:jc w:val="both"/>
              <w:rPr>
                <w:rFonts w:ascii="Times New Roman" w:eastAsia="Times New Roman" w:hAnsi="Times New Roman" w:cs="Times New Roman"/>
                <w:iCs/>
                <w:sz w:val="24"/>
                <w:szCs w:val="24"/>
                <w:lang w:eastAsia="lv-LV"/>
              </w:rPr>
            </w:pPr>
            <w:r w:rsidRPr="00DB4D06">
              <w:rPr>
                <w:rFonts w:ascii="Times New Roman" w:eastAsia="Times New Roman" w:hAnsi="Times New Roman" w:cs="Times New Roman"/>
                <w:iCs/>
                <w:sz w:val="24"/>
                <w:szCs w:val="24"/>
                <w:lang w:eastAsia="lv-LV"/>
              </w:rPr>
              <w:t>Ministru prezidenta 2020.</w:t>
            </w:r>
            <w:r>
              <w:rPr>
                <w:rFonts w:ascii="Times New Roman" w:eastAsia="Times New Roman" w:hAnsi="Times New Roman" w:cs="Times New Roman"/>
                <w:iCs/>
                <w:sz w:val="24"/>
                <w:szCs w:val="24"/>
                <w:lang w:eastAsia="lv-LV"/>
              </w:rPr>
              <w:t> </w:t>
            </w:r>
            <w:r w:rsidRPr="00DB4D06">
              <w:rPr>
                <w:rFonts w:ascii="Times New Roman" w:eastAsia="Times New Roman" w:hAnsi="Times New Roman" w:cs="Times New Roman"/>
                <w:iCs/>
                <w:sz w:val="24"/>
                <w:szCs w:val="24"/>
                <w:lang w:eastAsia="lv-LV"/>
              </w:rPr>
              <w:t>gada 22.</w:t>
            </w:r>
            <w:r>
              <w:rPr>
                <w:rFonts w:ascii="Times New Roman" w:eastAsia="Times New Roman" w:hAnsi="Times New Roman" w:cs="Times New Roman"/>
                <w:iCs/>
                <w:sz w:val="24"/>
                <w:szCs w:val="24"/>
                <w:lang w:eastAsia="lv-LV"/>
              </w:rPr>
              <w:t> </w:t>
            </w:r>
            <w:r w:rsidRPr="00DB4D06">
              <w:rPr>
                <w:rFonts w:ascii="Times New Roman" w:eastAsia="Times New Roman" w:hAnsi="Times New Roman" w:cs="Times New Roman"/>
                <w:iCs/>
                <w:sz w:val="24"/>
                <w:szCs w:val="24"/>
                <w:lang w:eastAsia="lv-LV"/>
              </w:rPr>
              <w:t>maija rezolūcija Nr.</w:t>
            </w:r>
            <w:r>
              <w:rPr>
                <w:rFonts w:ascii="Times New Roman" w:eastAsia="Times New Roman" w:hAnsi="Times New Roman" w:cs="Times New Roman"/>
                <w:iCs/>
                <w:sz w:val="24"/>
                <w:szCs w:val="24"/>
                <w:lang w:eastAsia="lv-LV"/>
              </w:rPr>
              <w:t> </w:t>
            </w:r>
            <w:r w:rsidRPr="00DB4D06">
              <w:rPr>
                <w:rFonts w:ascii="Times New Roman" w:eastAsia="Times New Roman" w:hAnsi="Times New Roman" w:cs="Times New Roman"/>
                <w:iCs/>
                <w:sz w:val="24"/>
                <w:szCs w:val="24"/>
                <w:lang w:eastAsia="lv-LV"/>
              </w:rPr>
              <w:t xml:space="preserve">7.8.5./2020-DOC-1277-977, </w:t>
            </w:r>
            <w:proofErr w:type="gramStart"/>
            <w:r w:rsidRPr="00DB4D06">
              <w:rPr>
                <w:rFonts w:ascii="Times New Roman" w:eastAsia="Times New Roman" w:hAnsi="Times New Roman" w:cs="Times New Roman"/>
                <w:iCs/>
                <w:sz w:val="24"/>
                <w:szCs w:val="24"/>
                <w:lang w:eastAsia="lv-LV"/>
              </w:rPr>
              <w:t>kas uzliek par pienākumu izvērtēt Valsts kontroles</w:t>
            </w:r>
            <w:proofErr w:type="gramEnd"/>
            <w:r w:rsidRPr="00DB4D06">
              <w:rPr>
                <w:rFonts w:ascii="Times New Roman" w:eastAsia="Times New Roman" w:hAnsi="Times New Roman" w:cs="Times New Roman"/>
                <w:iCs/>
                <w:sz w:val="24"/>
                <w:szCs w:val="24"/>
                <w:lang w:eastAsia="lv-LV"/>
              </w:rPr>
              <w:t xml:space="preserve"> revīzijas lietā "Par </w:t>
            </w:r>
            <w:r>
              <w:rPr>
                <w:rFonts w:ascii="Times New Roman" w:eastAsia="Times New Roman" w:hAnsi="Times New Roman" w:cs="Times New Roman"/>
                <w:iCs/>
                <w:sz w:val="24"/>
                <w:szCs w:val="24"/>
                <w:lang w:eastAsia="lv-LV"/>
              </w:rPr>
              <w:t>K</w:t>
            </w:r>
            <w:r w:rsidRPr="00DB4D06">
              <w:rPr>
                <w:rFonts w:ascii="Times New Roman" w:eastAsia="Times New Roman" w:hAnsi="Times New Roman" w:cs="Times New Roman"/>
                <w:iCs/>
                <w:sz w:val="24"/>
                <w:szCs w:val="24"/>
                <w:lang w:eastAsia="lv-LV"/>
              </w:rPr>
              <w:t>orupcijas novēršanas un apkarošanas biroja 2019.</w:t>
            </w:r>
            <w:r>
              <w:rPr>
                <w:rFonts w:ascii="Times New Roman" w:eastAsia="Times New Roman" w:hAnsi="Times New Roman" w:cs="Times New Roman"/>
                <w:iCs/>
                <w:sz w:val="24"/>
                <w:szCs w:val="24"/>
                <w:lang w:eastAsia="lv-LV"/>
              </w:rPr>
              <w:t> </w:t>
            </w:r>
            <w:r w:rsidRPr="00DB4D06">
              <w:rPr>
                <w:rFonts w:ascii="Times New Roman" w:eastAsia="Times New Roman" w:hAnsi="Times New Roman" w:cs="Times New Roman"/>
                <w:iCs/>
                <w:sz w:val="24"/>
                <w:szCs w:val="24"/>
                <w:lang w:eastAsia="lv-LV"/>
              </w:rPr>
              <w:t>gada pārskata sagatavošanas pareizību" minētos ieteikumus un nodrošināt to ieviešanas izpildi</w:t>
            </w:r>
            <w:r>
              <w:rPr>
                <w:rFonts w:ascii="Times New Roman" w:eastAsia="Times New Roman" w:hAnsi="Times New Roman" w:cs="Times New Roman"/>
                <w:iCs/>
                <w:sz w:val="24"/>
                <w:szCs w:val="24"/>
                <w:lang w:eastAsia="lv-LV"/>
              </w:rPr>
              <w:t>.</w:t>
            </w:r>
          </w:p>
          <w:p w14:paraId="15CCF6FD" w14:textId="35691B8D" w:rsidR="00D8379D" w:rsidRPr="00D8379D" w:rsidRDefault="009E7987" w:rsidP="009E7987">
            <w:pPr>
              <w:jc w:val="both"/>
              <w:rPr>
                <w:rFonts w:ascii="Times New Roman" w:eastAsia="Times New Roman" w:hAnsi="Times New Roman" w:cs="Times New Roman"/>
                <w:iCs/>
                <w:sz w:val="24"/>
                <w:szCs w:val="24"/>
                <w:lang w:eastAsia="lv-LV"/>
              </w:rPr>
            </w:pPr>
            <w:r w:rsidRPr="003A6A84">
              <w:rPr>
                <w:rFonts w:ascii="Times New Roman" w:eastAsia="Times New Roman" w:hAnsi="Times New Roman" w:cs="Times New Roman"/>
                <w:iCs/>
                <w:sz w:val="24"/>
                <w:szCs w:val="24"/>
                <w:lang w:eastAsia="lv-LV"/>
              </w:rPr>
              <w:t>Ekonomiskās sadarbības un attīstības organizācijas Kukuļošanas apkarošanas starptautiskajos biznesa darījumos darba grupas 3.</w:t>
            </w:r>
            <w:r>
              <w:rPr>
                <w:rFonts w:ascii="Times New Roman" w:eastAsia="Times New Roman" w:hAnsi="Times New Roman" w:cs="Times New Roman"/>
                <w:iCs/>
                <w:sz w:val="24"/>
                <w:szCs w:val="24"/>
                <w:lang w:eastAsia="lv-LV"/>
              </w:rPr>
              <w:t> </w:t>
            </w:r>
            <w:r w:rsidRPr="003A6A84">
              <w:rPr>
                <w:rFonts w:ascii="Times New Roman" w:eastAsia="Times New Roman" w:hAnsi="Times New Roman" w:cs="Times New Roman"/>
                <w:iCs/>
                <w:sz w:val="24"/>
                <w:szCs w:val="24"/>
                <w:lang w:eastAsia="lv-LV"/>
              </w:rPr>
              <w:t>fāz</w:t>
            </w:r>
            <w:r>
              <w:rPr>
                <w:rFonts w:ascii="Times New Roman" w:eastAsia="Times New Roman" w:hAnsi="Times New Roman" w:cs="Times New Roman"/>
                <w:iCs/>
                <w:sz w:val="24"/>
                <w:szCs w:val="24"/>
                <w:lang w:eastAsia="lv-LV"/>
              </w:rPr>
              <w:t xml:space="preserve">es ziņojumā ietvertā 4 (a) rekomendācija </w:t>
            </w:r>
            <w:proofErr w:type="gramStart"/>
            <w:r>
              <w:rPr>
                <w:rFonts w:ascii="Times New Roman" w:eastAsia="Times New Roman" w:hAnsi="Times New Roman" w:cs="Times New Roman"/>
                <w:iCs/>
                <w:sz w:val="24"/>
                <w:szCs w:val="24"/>
                <w:lang w:eastAsia="lv-LV"/>
              </w:rPr>
              <w:t>(</w:t>
            </w:r>
            <w:proofErr w:type="gramEnd"/>
            <w:r w:rsidRPr="00065F60">
              <w:rPr>
                <w:rFonts w:ascii="Times New Roman" w:eastAsia="Times New Roman" w:hAnsi="Times New Roman" w:cs="Times New Roman"/>
                <w:iCs/>
                <w:sz w:val="24"/>
                <w:szCs w:val="24"/>
                <w:lang w:eastAsia="lv-LV"/>
              </w:rPr>
              <w:t>Informatīvais ziņojums "Par Ekonomiskās sadarbības un attīstības organizācijas Kukuļošanas apkarošanas starptautiskajos biznesa darījumos darba grupas 3.</w:t>
            </w:r>
            <w:r>
              <w:rPr>
                <w:rFonts w:ascii="Times New Roman" w:eastAsia="Times New Roman" w:hAnsi="Times New Roman" w:cs="Times New Roman"/>
                <w:iCs/>
                <w:sz w:val="24"/>
                <w:szCs w:val="24"/>
                <w:lang w:eastAsia="lv-LV"/>
              </w:rPr>
              <w:t> </w:t>
            </w:r>
            <w:r w:rsidRPr="00065F60">
              <w:rPr>
                <w:rFonts w:ascii="Times New Roman" w:eastAsia="Times New Roman" w:hAnsi="Times New Roman" w:cs="Times New Roman"/>
                <w:iCs/>
                <w:sz w:val="24"/>
                <w:szCs w:val="24"/>
                <w:lang w:eastAsia="lv-LV"/>
              </w:rPr>
              <w:t>fāzes Latvijas novērtējuma ziņojumu, tajā izteiktajām rekomendācijām un to izpildes nodrošināšanu"</w:t>
            </w:r>
            <w:r w:rsidR="002A4F0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apstiprināts Ministru kabineta 2020. gada 28. aprīļa sēdē)</w:t>
            </w:r>
            <w:r w:rsidRPr="00D8379D">
              <w:rPr>
                <w:rFonts w:ascii="Times New Roman" w:eastAsia="Times New Roman" w:hAnsi="Times New Roman" w:cs="Times New Roman"/>
                <w:iCs/>
                <w:sz w:val="24"/>
                <w:szCs w:val="24"/>
                <w:lang w:eastAsia="lv-LV"/>
              </w:rPr>
              <w:t>.</w:t>
            </w:r>
          </w:p>
        </w:tc>
      </w:tr>
      <w:tr w:rsidR="0049292E" w:rsidRPr="009162AC" w14:paraId="1FB50E4C" w14:textId="77777777" w:rsidTr="005045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62A813"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CD6ED64" w14:textId="77777777" w:rsidR="00FD3E11" w:rsidRDefault="00E5323B" w:rsidP="00E1737E">
            <w:pPr>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C5E0558" w14:textId="77777777" w:rsidR="00FD3E11" w:rsidRPr="00FD3E11" w:rsidRDefault="00FD3E11" w:rsidP="00FD3E11">
            <w:pPr>
              <w:rPr>
                <w:rFonts w:ascii="Times New Roman" w:eastAsia="Times New Roman" w:hAnsi="Times New Roman" w:cs="Times New Roman"/>
                <w:sz w:val="24"/>
                <w:szCs w:val="24"/>
                <w:lang w:eastAsia="lv-LV"/>
              </w:rPr>
            </w:pPr>
          </w:p>
          <w:p w14:paraId="6DFFF003" w14:textId="77777777" w:rsidR="00E5323B" w:rsidRPr="00FD3E11" w:rsidRDefault="00FD3E11" w:rsidP="00FD3E11">
            <w:pPr>
              <w:tabs>
                <w:tab w:val="left" w:pos="9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23" w:type="pct"/>
            <w:tcBorders>
              <w:top w:val="outset" w:sz="6" w:space="0" w:color="auto"/>
              <w:left w:val="outset" w:sz="6" w:space="0" w:color="auto"/>
              <w:bottom w:val="outset" w:sz="6" w:space="0" w:color="auto"/>
              <w:right w:val="outset" w:sz="6" w:space="0" w:color="auto"/>
            </w:tcBorders>
            <w:hideMark/>
          </w:tcPr>
          <w:p w14:paraId="0EA7846D" w14:textId="77777777" w:rsidR="008D63EC" w:rsidRPr="008D63EC" w:rsidRDefault="00CD6A11" w:rsidP="008D63EC">
            <w:pPr>
              <w:jc w:val="both"/>
              <w:rPr>
                <w:rFonts w:ascii="Times New Roman" w:hAnsi="Times New Roman" w:cs="Times New Roman"/>
                <w:sz w:val="24"/>
                <w:szCs w:val="24"/>
                <w:lang w:eastAsia="lv-LV"/>
              </w:rPr>
            </w:pPr>
            <w:r>
              <w:rPr>
                <w:rFonts w:ascii="Times New Roman" w:hAnsi="Times New Roman" w:cs="Times New Roman"/>
                <w:sz w:val="24"/>
                <w:szCs w:val="24"/>
                <w:lang w:eastAsia="lv-LV"/>
              </w:rPr>
              <w:t>B</w:t>
            </w:r>
            <w:r w:rsidR="008D63EC" w:rsidRPr="008D63EC">
              <w:rPr>
                <w:rFonts w:ascii="Times New Roman" w:hAnsi="Times New Roman" w:cs="Times New Roman"/>
                <w:sz w:val="24"/>
                <w:szCs w:val="24"/>
                <w:lang w:eastAsia="lv-LV"/>
              </w:rPr>
              <w:t xml:space="preserve">irojs ir tiešās pārvaldes iestāde, līdz ar to </w:t>
            </w:r>
            <w:r>
              <w:rPr>
                <w:rFonts w:ascii="Times New Roman" w:hAnsi="Times New Roman" w:cs="Times New Roman"/>
                <w:sz w:val="24"/>
                <w:szCs w:val="24"/>
                <w:lang w:eastAsia="lv-LV"/>
              </w:rPr>
              <w:t>Biroja</w:t>
            </w:r>
            <w:r w:rsidR="008D63EC" w:rsidRPr="008D63EC">
              <w:rPr>
                <w:rFonts w:ascii="Times New Roman" w:hAnsi="Times New Roman" w:cs="Times New Roman"/>
                <w:sz w:val="24"/>
                <w:szCs w:val="24"/>
                <w:lang w:eastAsia="lv-LV"/>
              </w:rPr>
              <w:t xml:space="preserve"> amatpersonām (darbiniekiem) mēnešalga tiek noteikta atbilstoši Valsts un pašvaldību institūciju amatpersonu un darbinieku atlīdzības likuma (turpmāk – Atlīdzības likums) 7. un 7.</w:t>
            </w:r>
            <w:r w:rsidR="008D63EC" w:rsidRPr="008D63EC">
              <w:rPr>
                <w:rFonts w:ascii="Times New Roman" w:hAnsi="Times New Roman" w:cs="Times New Roman"/>
                <w:sz w:val="24"/>
                <w:szCs w:val="24"/>
                <w:vertAlign w:val="superscript"/>
                <w:lang w:eastAsia="lv-LV"/>
              </w:rPr>
              <w:t>1</w:t>
            </w:r>
            <w:r w:rsidR="008D63EC" w:rsidRPr="008D63EC">
              <w:rPr>
                <w:rFonts w:ascii="Times New Roman" w:hAnsi="Times New Roman" w:cs="Times New Roman"/>
                <w:sz w:val="24"/>
                <w:szCs w:val="24"/>
                <w:lang w:eastAsia="lv-LV"/>
              </w:rPr>
              <w:t> pantam. Mēnešalgas apmēru un tās noteikšanas kārtību, ņemot vērā amatam atbilstošo mēnešalgu grupu, reglamentē Ministru kabinets.</w:t>
            </w:r>
          </w:p>
          <w:p w14:paraId="4B8FFB46" w14:textId="0A9250FB" w:rsidR="008D63EC" w:rsidRPr="008D63EC" w:rsidRDefault="008D63EC" w:rsidP="008D63EC">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lastRenderedPageBreak/>
              <w:t xml:space="preserve">Ievērojot minēto, saskaņā ar spēkā esošajiem normatīvajiem aktiem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amatpersonu (darbinieku) mēnešalga tiek noteikta tāpat kā citās tiešās pārvaldes iestādēs. Vienlaikus, atšķirībā no citām tiešās pārvaldes iestādēm, </w:t>
            </w:r>
            <w:r w:rsidR="00CD6A11">
              <w:rPr>
                <w:rFonts w:ascii="Times New Roman" w:hAnsi="Times New Roman" w:cs="Times New Roman"/>
                <w:sz w:val="24"/>
                <w:szCs w:val="24"/>
                <w:lang w:eastAsia="lv-LV"/>
              </w:rPr>
              <w:t>Birojs</w:t>
            </w:r>
            <w:r w:rsidRPr="008D63EC">
              <w:rPr>
                <w:rFonts w:ascii="Times New Roman" w:hAnsi="Times New Roman" w:cs="Times New Roman"/>
                <w:sz w:val="24"/>
                <w:szCs w:val="24"/>
                <w:lang w:eastAsia="lv-LV"/>
              </w:rPr>
              <w:t xml:space="preserve"> saskaņā ar Korupcijas novēršanas un apkarošanas biroja likuma 8.</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pantā minēto funkciju ir arī gan operatīvās darbības subjekts, gan izmeklēšanas iestāde (sk. arī Kriminālprocesa likuma 386.</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panta 6.</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punktu). </w:t>
            </w:r>
            <w:r w:rsidR="00CD6A11">
              <w:rPr>
                <w:rFonts w:ascii="Times New Roman" w:hAnsi="Times New Roman" w:cs="Times New Roman"/>
                <w:sz w:val="24"/>
                <w:szCs w:val="24"/>
                <w:lang w:eastAsia="lv-LV"/>
              </w:rPr>
              <w:t>Birojā</w:t>
            </w:r>
            <w:r w:rsidRPr="008D63EC">
              <w:rPr>
                <w:rFonts w:ascii="Times New Roman" w:hAnsi="Times New Roman" w:cs="Times New Roman"/>
                <w:sz w:val="24"/>
                <w:szCs w:val="24"/>
                <w:lang w:eastAsia="lv-LV"/>
              </w:rPr>
              <w:t xml:space="preserve">, līdzīgi kā iekšlietu sistēmas iestādēs, ir amatpersonas, kuras veic noziedzīgu nodarījumu izmeklēšanu un gatavo pierādījumus apsūdzības celšanai (izmeklēšana un operatīvā darbība), t.sk. īpaši sarežģītās, smagu vai sevišķi smagu starpreģionāla vai starptautiska rakstura noziegumu lietās. </w:t>
            </w:r>
          </w:p>
          <w:p w14:paraId="6DA796AD" w14:textId="77777777" w:rsidR="008D63EC" w:rsidRPr="008D63EC" w:rsidRDefault="008D63EC" w:rsidP="008D63EC">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t xml:space="preserve">Arī Satversmes tiesa, vērtējot līdzīgu institūciju funkcijas, atzinusi, ka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amatpersonas, iekšlietu sistēmas amatpersonas ar speciālajām dienesta pakāpēm un prokurori ir tādas amatpersonas, kas tieši saistītas gan ar izmeklēšanu, gan operatīvo darbību, līdz ar to ir arī savstarpēji salīdzināmas </w:t>
            </w:r>
            <w:proofErr w:type="gramStart"/>
            <w:r w:rsidRPr="008D63EC">
              <w:rPr>
                <w:rFonts w:ascii="Times New Roman" w:hAnsi="Times New Roman" w:cs="Times New Roman"/>
                <w:i/>
                <w:sz w:val="24"/>
                <w:szCs w:val="24"/>
                <w:lang w:eastAsia="lv-LV"/>
              </w:rPr>
              <w:t>(</w:t>
            </w:r>
            <w:proofErr w:type="gramEnd"/>
            <w:r w:rsidRPr="008D63EC">
              <w:rPr>
                <w:rFonts w:ascii="Times New Roman" w:hAnsi="Times New Roman" w:cs="Times New Roman"/>
                <w:i/>
                <w:sz w:val="24"/>
                <w:szCs w:val="24"/>
                <w:lang w:eastAsia="lv-LV"/>
              </w:rPr>
              <w:t>sk. Satversmes tiesas 2013.</w:t>
            </w:r>
            <w:r w:rsidR="001D059E">
              <w:rPr>
                <w:rFonts w:ascii="Times New Roman" w:hAnsi="Times New Roman" w:cs="Times New Roman"/>
                <w:i/>
                <w:sz w:val="24"/>
                <w:szCs w:val="24"/>
                <w:lang w:eastAsia="lv-LV"/>
              </w:rPr>
              <w:t> </w:t>
            </w:r>
            <w:r w:rsidRPr="008D63EC">
              <w:rPr>
                <w:rFonts w:ascii="Times New Roman" w:hAnsi="Times New Roman" w:cs="Times New Roman"/>
                <w:i/>
                <w:sz w:val="24"/>
                <w:szCs w:val="24"/>
                <w:lang w:eastAsia="lv-LV"/>
              </w:rPr>
              <w:t>gada 8.</w:t>
            </w:r>
            <w:r w:rsidR="001D059E">
              <w:rPr>
                <w:rFonts w:ascii="Times New Roman" w:hAnsi="Times New Roman" w:cs="Times New Roman"/>
                <w:i/>
                <w:sz w:val="24"/>
                <w:szCs w:val="24"/>
                <w:lang w:eastAsia="lv-LV"/>
              </w:rPr>
              <w:t> </w:t>
            </w:r>
            <w:r w:rsidRPr="008D63EC">
              <w:rPr>
                <w:rFonts w:ascii="Times New Roman" w:hAnsi="Times New Roman" w:cs="Times New Roman"/>
                <w:i/>
                <w:sz w:val="24"/>
                <w:szCs w:val="24"/>
                <w:lang w:eastAsia="lv-LV"/>
              </w:rPr>
              <w:t>novembra spriedumu lietā Nr. 2013-01-01)</w:t>
            </w:r>
            <w:r w:rsidRPr="008D63EC">
              <w:rPr>
                <w:rFonts w:ascii="Times New Roman" w:hAnsi="Times New Roman" w:cs="Times New Roman"/>
                <w:sz w:val="24"/>
                <w:szCs w:val="24"/>
                <w:lang w:eastAsia="lv-LV"/>
              </w:rPr>
              <w:t>.</w:t>
            </w:r>
          </w:p>
          <w:p w14:paraId="514C5A6A" w14:textId="7712BB7E" w:rsidR="008D63EC" w:rsidRPr="008D63EC" w:rsidRDefault="00ED0920" w:rsidP="008D63EC">
            <w:pPr>
              <w:jc w:val="both"/>
              <w:rPr>
                <w:rFonts w:ascii="Times New Roman" w:hAnsi="Times New Roman" w:cs="Times New Roman"/>
                <w:sz w:val="24"/>
                <w:szCs w:val="24"/>
                <w:lang w:eastAsia="lv-LV"/>
              </w:rPr>
            </w:pPr>
            <w:r w:rsidRPr="00ED0920">
              <w:rPr>
                <w:rFonts w:ascii="Times New Roman" w:hAnsi="Times New Roman" w:cs="Times New Roman"/>
                <w:sz w:val="24"/>
                <w:szCs w:val="24"/>
                <w:lang w:eastAsia="lv-LV"/>
              </w:rPr>
              <w:t xml:space="preserve">Neskatoties uz salīdzināmām funkcijām, </w:t>
            </w:r>
            <w:r>
              <w:rPr>
                <w:rFonts w:ascii="Times New Roman" w:hAnsi="Times New Roman" w:cs="Times New Roman"/>
                <w:sz w:val="24"/>
                <w:szCs w:val="24"/>
                <w:lang w:eastAsia="lv-LV"/>
              </w:rPr>
              <w:t>Birojā</w:t>
            </w:r>
            <w:r w:rsidRPr="00ED0920">
              <w:rPr>
                <w:rFonts w:ascii="Times New Roman" w:hAnsi="Times New Roman" w:cs="Times New Roman"/>
                <w:sz w:val="24"/>
                <w:szCs w:val="24"/>
                <w:lang w:eastAsia="lv-LV"/>
              </w:rPr>
              <w:t xml:space="preserve"> nodarbinātajiem likumā noteiktais maksimālais mēnešalgas apmērs būtiski atšķiras no likumā noteiktā maksimālā mēnešalgas apmēra iekšlietu sistēmas amatpersonām ar speciālajām dienesta pakāpēm.</w:t>
            </w:r>
            <w:r w:rsidR="00081FE7">
              <w:rPr>
                <w:rFonts w:ascii="Times New Roman" w:hAnsi="Times New Roman" w:cs="Times New Roman"/>
                <w:sz w:val="24"/>
                <w:szCs w:val="24"/>
                <w:lang w:eastAsia="lv-LV"/>
              </w:rPr>
              <w:t xml:space="preserve"> </w:t>
            </w:r>
            <w:r w:rsidR="008D63EC" w:rsidRPr="008D63EC">
              <w:rPr>
                <w:rFonts w:ascii="Times New Roman" w:hAnsi="Times New Roman" w:cs="Times New Roman"/>
                <w:sz w:val="24"/>
                <w:szCs w:val="24"/>
                <w:lang w:eastAsia="lv-LV"/>
              </w:rPr>
              <w:t xml:space="preserve"> Iekšlietu sistēmas amatpersonām ar speciālajām dienesta pakāpēm tiek piemērots atšķirīgs amatu katalogs un mēnešalgu grupas (sk. Atlīdzības likuma 7.</w:t>
            </w:r>
            <w:r w:rsidR="008D63EC" w:rsidRPr="008D63EC">
              <w:rPr>
                <w:rFonts w:ascii="Times New Roman" w:hAnsi="Times New Roman" w:cs="Times New Roman"/>
                <w:sz w:val="24"/>
                <w:szCs w:val="24"/>
                <w:vertAlign w:val="superscript"/>
                <w:lang w:eastAsia="lv-LV"/>
              </w:rPr>
              <w:t>2</w:t>
            </w:r>
            <w:r w:rsidR="008D63EC" w:rsidRPr="008D63EC">
              <w:rPr>
                <w:rFonts w:ascii="Times New Roman" w:hAnsi="Times New Roman" w:cs="Times New Roman"/>
                <w:sz w:val="24"/>
                <w:szCs w:val="24"/>
                <w:lang w:eastAsia="lv-LV"/>
              </w:rPr>
              <w:t xml:space="preserve"> un 8.</w:t>
            </w:r>
            <w:r w:rsidR="006D4665">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pantu), kā arī saskaņā ar Atlīdzības likuma 4.</w:t>
            </w:r>
            <w:r w:rsidR="006D4665">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panta divpadsmito daļu iekšlietu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 (2020.</w:t>
            </w:r>
            <w:r w:rsidR="001D059E">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gadā – 2</w:t>
            </w:r>
            <w:r w:rsidR="001D059E">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783</w:t>
            </w:r>
            <w:r w:rsidR="00D7407B">
              <w:rPr>
                <w:rFonts w:ascii="Times New Roman" w:hAnsi="Times New Roman" w:cs="Times New Roman"/>
                <w:sz w:val="24"/>
                <w:szCs w:val="24"/>
                <w:lang w:eastAsia="lv-LV"/>
              </w:rPr>
              <w:t> </w:t>
            </w:r>
            <w:proofErr w:type="spellStart"/>
            <w:r w:rsidR="008D63EC" w:rsidRPr="008D63EC">
              <w:rPr>
                <w:rFonts w:ascii="Times New Roman" w:hAnsi="Times New Roman" w:cs="Times New Roman"/>
                <w:i/>
                <w:sz w:val="24"/>
                <w:szCs w:val="24"/>
                <w:lang w:eastAsia="lv-LV"/>
              </w:rPr>
              <w:t>euro</w:t>
            </w:r>
            <w:proofErr w:type="spellEnd"/>
            <w:r w:rsidR="008D63EC" w:rsidRPr="008D63EC">
              <w:rPr>
                <w:rFonts w:ascii="Times New Roman" w:hAnsi="Times New Roman" w:cs="Times New Roman"/>
                <w:sz w:val="24"/>
                <w:szCs w:val="24"/>
                <w:lang w:eastAsia="lv-LV"/>
              </w:rPr>
              <w:t xml:space="preserve">), taču šis princips saskaņā ar spēkā esošo normatīvo regulējumu nav attiecināms uz </w:t>
            </w:r>
            <w:r w:rsidR="00CD6A11">
              <w:rPr>
                <w:rFonts w:ascii="Times New Roman" w:hAnsi="Times New Roman" w:cs="Times New Roman"/>
                <w:sz w:val="24"/>
                <w:szCs w:val="24"/>
                <w:lang w:eastAsia="lv-LV"/>
              </w:rPr>
              <w:t xml:space="preserve">Biroja </w:t>
            </w:r>
            <w:r w:rsidR="008D63EC" w:rsidRPr="008D63EC">
              <w:rPr>
                <w:rFonts w:ascii="Times New Roman" w:hAnsi="Times New Roman" w:cs="Times New Roman"/>
                <w:sz w:val="24"/>
                <w:szCs w:val="24"/>
                <w:lang w:eastAsia="lv-LV"/>
              </w:rPr>
              <w:t xml:space="preserve">izmeklētājiem, kaut arī </w:t>
            </w:r>
            <w:r w:rsidR="00CD6A11">
              <w:rPr>
                <w:rFonts w:ascii="Times New Roman" w:hAnsi="Times New Roman" w:cs="Times New Roman"/>
                <w:sz w:val="24"/>
                <w:szCs w:val="24"/>
                <w:lang w:eastAsia="lv-LV"/>
              </w:rPr>
              <w:t>Birojam</w:t>
            </w:r>
            <w:r w:rsidR="008D63EC" w:rsidRPr="008D63EC">
              <w:rPr>
                <w:rFonts w:ascii="Times New Roman" w:hAnsi="Times New Roman" w:cs="Times New Roman"/>
                <w:sz w:val="24"/>
                <w:szCs w:val="24"/>
                <w:lang w:eastAsia="lv-LV"/>
              </w:rPr>
              <w:t xml:space="preserve"> ir noteikta ekskluzīva kompetence izm</w:t>
            </w:r>
            <w:r w:rsidR="00AB7961">
              <w:rPr>
                <w:rFonts w:ascii="Times New Roman" w:hAnsi="Times New Roman" w:cs="Times New Roman"/>
                <w:sz w:val="24"/>
                <w:szCs w:val="24"/>
                <w:lang w:eastAsia="lv-LV"/>
              </w:rPr>
              <w:t>eklēt ārvalstu</w:t>
            </w:r>
            <w:r w:rsidR="005B1E5E">
              <w:rPr>
                <w:rFonts w:ascii="Times New Roman" w:hAnsi="Times New Roman" w:cs="Times New Roman"/>
                <w:sz w:val="24"/>
                <w:szCs w:val="24"/>
                <w:lang w:eastAsia="lv-LV"/>
              </w:rPr>
              <w:t xml:space="preserve"> amatpersonu</w:t>
            </w:r>
            <w:r w:rsidR="00AB7961">
              <w:rPr>
                <w:rFonts w:ascii="Times New Roman" w:hAnsi="Times New Roman" w:cs="Times New Roman"/>
                <w:sz w:val="24"/>
                <w:szCs w:val="24"/>
                <w:lang w:eastAsia="lv-LV"/>
              </w:rPr>
              <w:t xml:space="preserve"> kukuļošanas lieta</w:t>
            </w:r>
            <w:r w:rsidR="008D63EC" w:rsidRPr="008D63EC">
              <w:rPr>
                <w:rFonts w:ascii="Times New Roman" w:hAnsi="Times New Roman" w:cs="Times New Roman"/>
                <w:sz w:val="24"/>
                <w:szCs w:val="24"/>
                <w:lang w:eastAsia="lv-LV"/>
              </w:rPr>
              <w:t xml:space="preserve">s. Ievērojot minēto, normatīvajā aktā ietvertā atšķirīgā pieeja mēnešalgas noteikšanā </w:t>
            </w:r>
            <w:r w:rsidR="00CD6A11">
              <w:rPr>
                <w:rFonts w:ascii="Times New Roman" w:hAnsi="Times New Roman" w:cs="Times New Roman"/>
                <w:sz w:val="24"/>
                <w:szCs w:val="24"/>
                <w:lang w:eastAsia="lv-LV"/>
              </w:rPr>
              <w:t>Birojā</w:t>
            </w:r>
            <w:r w:rsidR="008D63EC" w:rsidRPr="008D63EC">
              <w:rPr>
                <w:rFonts w:ascii="Times New Roman" w:hAnsi="Times New Roman" w:cs="Times New Roman"/>
                <w:sz w:val="24"/>
                <w:szCs w:val="24"/>
                <w:lang w:eastAsia="lv-LV"/>
              </w:rPr>
              <w:t xml:space="preserve"> un </w:t>
            </w:r>
            <w:r w:rsidR="000A3161">
              <w:rPr>
                <w:rFonts w:ascii="Times New Roman" w:hAnsi="Times New Roman" w:cs="Times New Roman"/>
                <w:sz w:val="24"/>
                <w:szCs w:val="24"/>
                <w:lang w:eastAsia="lv-LV"/>
              </w:rPr>
              <w:t>I</w:t>
            </w:r>
            <w:r w:rsidR="008D63EC" w:rsidRPr="008D63EC">
              <w:rPr>
                <w:rFonts w:ascii="Times New Roman" w:hAnsi="Times New Roman" w:cs="Times New Roman"/>
                <w:sz w:val="24"/>
                <w:szCs w:val="24"/>
                <w:lang w:eastAsia="lv-LV"/>
              </w:rPr>
              <w:t xml:space="preserve">ekšlietu sistēmas iestādēs - rada aizvien lielāku atšķirību salīdzināmo amatpersonu atlīdzībā. Turklāt rajona (republikas pilsētas) prokurora mēnešalga </w:t>
            </w:r>
            <w:r w:rsidR="00AB7961">
              <w:rPr>
                <w:rFonts w:ascii="Times New Roman" w:hAnsi="Times New Roman" w:cs="Times New Roman"/>
                <w:sz w:val="24"/>
                <w:szCs w:val="24"/>
                <w:lang w:eastAsia="lv-LV"/>
              </w:rPr>
              <w:t xml:space="preserve">jau </w:t>
            </w:r>
            <w:r w:rsidR="008D63EC" w:rsidRPr="008D63EC">
              <w:rPr>
                <w:rFonts w:ascii="Times New Roman" w:hAnsi="Times New Roman" w:cs="Times New Roman"/>
                <w:sz w:val="24"/>
                <w:szCs w:val="24"/>
                <w:lang w:eastAsia="lv-LV"/>
              </w:rPr>
              <w:t>2020.</w:t>
            </w:r>
            <w:r w:rsidR="001D059E">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 xml:space="preserve">gadā par vairāk kā 300 </w:t>
            </w:r>
            <w:proofErr w:type="spellStart"/>
            <w:r w:rsidR="008D63EC" w:rsidRPr="008D63EC">
              <w:rPr>
                <w:rFonts w:ascii="Times New Roman" w:hAnsi="Times New Roman" w:cs="Times New Roman"/>
                <w:i/>
                <w:sz w:val="24"/>
                <w:szCs w:val="24"/>
                <w:lang w:eastAsia="lv-LV"/>
              </w:rPr>
              <w:t>euro</w:t>
            </w:r>
            <w:proofErr w:type="spellEnd"/>
            <w:r w:rsidR="008D63EC" w:rsidRPr="008D63EC">
              <w:rPr>
                <w:rFonts w:ascii="Times New Roman" w:hAnsi="Times New Roman" w:cs="Times New Roman"/>
                <w:sz w:val="24"/>
                <w:szCs w:val="24"/>
                <w:lang w:eastAsia="lv-LV"/>
              </w:rPr>
              <w:t xml:space="preserve"> pārsniedz pat maksimāli iespējamo visu </w:t>
            </w:r>
            <w:r w:rsidR="00CD6A11">
              <w:rPr>
                <w:rFonts w:ascii="Times New Roman" w:hAnsi="Times New Roman" w:cs="Times New Roman"/>
                <w:sz w:val="24"/>
                <w:szCs w:val="24"/>
                <w:lang w:eastAsia="lv-LV"/>
              </w:rPr>
              <w:t>Biroja</w:t>
            </w:r>
            <w:r w:rsidR="008D63EC" w:rsidRPr="008D63EC">
              <w:rPr>
                <w:rFonts w:ascii="Times New Roman" w:hAnsi="Times New Roman" w:cs="Times New Roman"/>
                <w:sz w:val="24"/>
                <w:szCs w:val="24"/>
                <w:lang w:eastAsia="lv-LV"/>
              </w:rPr>
              <w:t xml:space="preserve"> amatpersonu mēnešalgu (16.</w:t>
            </w:r>
            <w:r w:rsidR="001D059E">
              <w:rPr>
                <w:rFonts w:ascii="Times New Roman" w:hAnsi="Times New Roman" w:cs="Times New Roman"/>
                <w:sz w:val="24"/>
                <w:szCs w:val="24"/>
                <w:lang w:eastAsia="lv-LV"/>
              </w:rPr>
              <w:t> </w:t>
            </w:r>
            <w:r w:rsidR="008D63EC" w:rsidRPr="008D63EC">
              <w:rPr>
                <w:rFonts w:ascii="Times New Roman" w:hAnsi="Times New Roman" w:cs="Times New Roman"/>
                <w:sz w:val="24"/>
                <w:szCs w:val="24"/>
                <w:lang w:eastAsia="lv-LV"/>
              </w:rPr>
              <w:t>mēnešalgu grupu, iestādes vadītājs).</w:t>
            </w:r>
          </w:p>
          <w:p w14:paraId="7935802D" w14:textId="77777777" w:rsidR="008D63EC" w:rsidRDefault="008D63EC" w:rsidP="008D63EC">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lastRenderedPageBreak/>
              <w:t xml:space="preserve">Uz būtisko atšķirību atalgojumā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un iekšlietu sistēmas iestādēs norādījusi arī Valsts kontrole revīzijas ziņojumā </w:t>
            </w:r>
            <w:r w:rsidR="00FD3E11" w:rsidRPr="00FD3E11">
              <w:rPr>
                <w:rFonts w:ascii="Times New Roman" w:hAnsi="Times New Roman" w:cs="Times New Roman"/>
                <w:sz w:val="24"/>
                <w:szCs w:val="24"/>
                <w:lang w:eastAsia="lv-LV"/>
              </w:rPr>
              <w:t>"</w:t>
            </w:r>
            <w:r w:rsidRPr="008D63EC">
              <w:rPr>
                <w:rFonts w:ascii="Times New Roman" w:hAnsi="Times New Roman" w:cs="Times New Roman"/>
                <w:sz w:val="24"/>
                <w:szCs w:val="24"/>
                <w:lang w:eastAsia="lv-LV"/>
              </w:rPr>
              <w:t>Par Korupcijas novēršanas un apkarošanas biroja 2019.</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gada pārskatu</w:t>
            </w:r>
            <w:r w:rsidR="00FD3E11" w:rsidRPr="00FD3E11">
              <w:rPr>
                <w:rFonts w:ascii="Times New Roman" w:hAnsi="Times New Roman" w:cs="Times New Roman"/>
                <w:sz w:val="24"/>
                <w:szCs w:val="24"/>
                <w:lang w:eastAsia="lv-LV"/>
              </w:rPr>
              <w:t>"</w:t>
            </w:r>
            <w:r w:rsidRPr="008D63EC">
              <w:rPr>
                <w:rFonts w:ascii="Times New Roman" w:hAnsi="Times New Roman" w:cs="Times New Roman"/>
                <w:sz w:val="24"/>
                <w:szCs w:val="24"/>
                <w:lang w:eastAsia="lv-LV"/>
              </w:rPr>
              <w:t xml:space="preserve"> (turpmāk – revīzijas ziņojums). Revīzijas ziņojumā Valsts kontrole salīdzinājusi </w:t>
            </w:r>
            <w:r w:rsidR="00CD6A11">
              <w:rPr>
                <w:rFonts w:ascii="Times New Roman" w:hAnsi="Times New Roman" w:cs="Times New Roman"/>
                <w:sz w:val="24"/>
                <w:szCs w:val="24"/>
                <w:lang w:eastAsia="lv-LV"/>
              </w:rPr>
              <w:t>Birojā</w:t>
            </w:r>
            <w:r w:rsidRPr="008D63EC">
              <w:rPr>
                <w:rFonts w:ascii="Times New Roman" w:hAnsi="Times New Roman" w:cs="Times New Roman"/>
                <w:sz w:val="24"/>
                <w:szCs w:val="24"/>
                <w:lang w:eastAsia="lv-LV"/>
              </w:rPr>
              <w:t xml:space="preserve"> nodarbināto atlīdzību ar Valsts policijas Galvenās Kriminālpolicijas pārvaldes Ekonomisko noziegumu apkarošanas pārvaldē (turpmāk – ENAP) nodarbinātajiem noteikto atlīdzību, jo arī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atbildībā ir noziedzīgu nodarījumu izmeklēšana ekonomikas un finanšu jomā. Valsts kontrole revīzijas ziņojumā secinājusi, ka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galvenā inspektora ar lielāko noteikto mēnešalgas likmi atalgojums 2019.</w:t>
            </w:r>
            <w:r w:rsidR="001D059E">
              <w:rPr>
                <w:rFonts w:ascii="Times New Roman" w:hAnsi="Times New Roman" w:cs="Times New Roman"/>
                <w:sz w:val="24"/>
                <w:szCs w:val="24"/>
                <w:lang w:eastAsia="lv-LV"/>
              </w:rPr>
              <w:t> gadā ir par 26 </w:t>
            </w:r>
            <w:r w:rsidRPr="008D63EC">
              <w:rPr>
                <w:rFonts w:ascii="Times New Roman" w:hAnsi="Times New Roman" w:cs="Times New Roman"/>
                <w:sz w:val="24"/>
                <w:szCs w:val="24"/>
                <w:lang w:eastAsia="lv-LV"/>
              </w:rPr>
              <w:t xml:space="preserve">% mazāks nekā ENAP. Turklāt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galvenā inspektora a</w:t>
            </w:r>
            <w:r w:rsidR="001D059E">
              <w:rPr>
                <w:rFonts w:ascii="Times New Roman" w:hAnsi="Times New Roman" w:cs="Times New Roman"/>
                <w:sz w:val="24"/>
                <w:szCs w:val="24"/>
                <w:lang w:eastAsia="lv-LV"/>
              </w:rPr>
              <w:t>talgojumā mēnešalga veido 65,58 %, bet ENAP – 52,62 </w:t>
            </w:r>
            <w:r w:rsidRPr="008D63EC">
              <w:rPr>
                <w:rFonts w:ascii="Times New Roman" w:hAnsi="Times New Roman" w:cs="Times New Roman"/>
                <w:sz w:val="24"/>
                <w:szCs w:val="24"/>
                <w:lang w:eastAsia="lv-LV"/>
              </w:rPr>
              <w:t>%. Lai gan revīzijas ziņojums ir par 2019.</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gadu, jāņem vērā, ka 2020.</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gadā atšķirība atalgojumā ir vēl pamanāmāka, ņemot vērā mēnešalgas likmes palielinājumu ENAP. Valsts kontrole norāda, ka, lai gan abu iestāžu amatpersonas veic izmeklēšanu īpaši sarežģītās un liela apjoma lietās, normatīvajos aktos noteiktā </w:t>
            </w:r>
            <w:r w:rsidR="00CD6A11">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un ENAP maksimālā mēnešalga no 2020.</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gada 1.</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janvāra būtiski atšķiras – </w:t>
            </w:r>
            <w:r w:rsidR="00CD6A11">
              <w:rPr>
                <w:rFonts w:ascii="Times New Roman" w:hAnsi="Times New Roman" w:cs="Times New Roman"/>
                <w:sz w:val="24"/>
                <w:szCs w:val="24"/>
                <w:lang w:eastAsia="lv-LV"/>
              </w:rPr>
              <w:t xml:space="preserve">Biroja </w:t>
            </w:r>
            <w:r w:rsidRPr="008D63EC">
              <w:rPr>
                <w:rFonts w:ascii="Times New Roman" w:hAnsi="Times New Roman" w:cs="Times New Roman"/>
                <w:sz w:val="24"/>
                <w:szCs w:val="24"/>
                <w:lang w:eastAsia="lv-LV"/>
              </w:rPr>
              <w:t xml:space="preserve">galvenā inspektora maksimāli iespējamā mēnešalga normatīvo aktu ietvaros </w:t>
            </w:r>
            <w:r w:rsidR="00A252A8">
              <w:rPr>
                <w:rFonts w:ascii="Times New Roman" w:hAnsi="Times New Roman" w:cs="Times New Roman"/>
                <w:sz w:val="24"/>
                <w:szCs w:val="24"/>
                <w:lang w:eastAsia="lv-LV"/>
              </w:rPr>
              <w:t>ir par 436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 xml:space="preserve"> mazāka nekā salīdzināmam amatam ENAP.</w:t>
            </w:r>
          </w:p>
          <w:p w14:paraId="14833F3A" w14:textId="77777777" w:rsidR="00081FE7" w:rsidRPr="008D63EC" w:rsidRDefault="00081FE7" w:rsidP="008D63EC">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Tādējādi konstatējams, ka Birojā esošais atalgojums, kas </w:t>
            </w:r>
            <w:proofErr w:type="gramStart"/>
            <w:r>
              <w:rPr>
                <w:rFonts w:ascii="Times New Roman" w:hAnsi="Times New Roman" w:cs="Times New Roman"/>
                <w:sz w:val="24"/>
                <w:szCs w:val="24"/>
                <w:lang w:eastAsia="lv-LV"/>
              </w:rPr>
              <w:t>noteikts atbilstoši Atlīdzības likumam</w:t>
            </w:r>
            <w:proofErr w:type="gramEnd"/>
            <w:r>
              <w:rPr>
                <w:rFonts w:ascii="Times New Roman" w:hAnsi="Times New Roman" w:cs="Times New Roman"/>
                <w:sz w:val="24"/>
                <w:szCs w:val="24"/>
                <w:lang w:eastAsia="lv-LV"/>
              </w:rPr>
              <w:t xml:space="preserve"> nav konkurētspējīgs, kā rezultātā grūti piesaistīt kvalificētas amatpersonas.</w:t>
            </w:r>
          </w:p>
          <w:p w14:paraId="0A1D57BC" w14:textId="77777777" w:rsidR="00081FE7" w:rsidRDefault="00081FE7" w:rsidP="008D63EC">
            <w:pPr>
              <w:jc w:val="both"/>
              <w:rPr>
                <w:rFonts w:ascii="Times New Roman" w:hAnsi="Times New Roman" w:cs="Times New Roman"/>
                <w:sz w:val="24"/>
                <w:szCs w:val="24"/>
                <w:lang w:eastAsia="lv-LV"/>
              </w:rPr>
            </w:pPr>
          </w:p>
          <w:p w14:paraId="22BB7B99" w14:textId="5B3158D8" w:rsidR="00FA28D4" w:rsidRDefault="00FA28D4" w:rsidP="00FA28D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norādāms, ka 2019.</w:t>
            </w:r>
            <w:r w:rsidR="001D059E">
              <w:rPr>
                <w:rFonts w:ascii="Times New Roman" w:hAnsi="Times New Roman" w:cs="Times New Roman"/>
                <w:sz w:val="24"/>
                <w:szCs w:val="24"/>
                <w:lang w:eastAsia="lv-LV"/>
              </w:rPr>
              <w:t> </w:t>
            </w:r>
            <w:r>
              <w:rPr>
                <w:rFonts w:ascii="Times New Roman" w:hAnsi="Times New Roman" w:cs="Times New Roman"/>
                <w:sz w:val="24"/>
                <w:szCs w:val="24"/>
                <w:lang w:eastAsia="lv-LV"/>
              </w:rPr>
              <w:t>gada 10.</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oktobrī tika apstiprināts Ekonomiskās sadarbības un attīstības organizācijas (turpmāk – OECD) Kukuļošanas apkarošanas starptautiskajos biznesa dar</w:t>
            </w:r>
            <w:r>
              <w:rPr>
                <w:rFonts w:ascii="Times New Roman" w:hAnsi="Times New Roman" w:cs="Times New Roman"/>
                <w:sz w:val="24"/>
                <w:szCs w:val="24"/>
                <w:lang w:eastAsia="lv-LV"/>
              </w:rPr>
              <w:t>ījumos darba grupas 3.</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fāzes ziņojums p</w:t>
            </w:r>
            <w:r>
              <w:rPr>
                <w:rFonts w:ascii="Times New Roman" w:hAnsi="Times New Roman" w:cs="Times New Roman"/>
                <w:sz w:val="24"/>
                <w:szCs w:val="24"/>
                <w:lang w:eastAsia="lv-LV"/>
              </w:rPr>
              <w:t>ar Latviju. OECD darba grupa 3.</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fāzes ziņojumā Latvijai rekomendē veikt </w:t>
            </w:r>
            <w:proofErr w:type="gramStart"/>
            <w:r w:rsidRPr="008D63EC">
              <w:rPr>
                <w:rFonts w:ascii="Times New Roman" w:hAnsi="Times New Roman" w:cs="Times New Roman"/>
                <w:sz w:val="24"/>
                <w:szCs w:val="24"/>
                <w:lang w:eastAsia="lv-LV"/>
              </w:rPr>
              <w:t>noteiktus pasākumu</w:t>
            </w:r>
            <w:proofErr w:type="gramEnd"/>
            <w:r w:rsidRPr="008D63EC">
              <w:rPr>
                <w:rFonts w:ascii="Times New Roman" w:hAnsi="Times New Roman" w:cs="Times New Roman"/>
                <w:sz w:val="24"/>
                <w:szCs w:val="24"/>
                <w:lang w:eastAsia="lv-LV"/>
              </w:rPr>
              <w:t>, lai sasniegtu labākus rezultātus cīņ</w:t>
            </w:r>
            <w:r w:rsidR="0062210A">
              <w:rPr>
                <w:rFonts w:ascii="Times New Roman" w:hAnsi="Times New Roman" w:cs="Times New Roman"/>
                <w:sz w:val="24"/>
                <w:szCs w:val="24"/>
                <w:lang w:eastAsia="lv-LV"/>
              </w:rPr>
              <w:t>ā</w:t>
            </w:r>
            <w:r w:rsidRPr="008D63EC">
              <w:rPr>
                <w:rFonts w:ascii="Times New Roman" w:hAnsi="Times New Roman" w:cs="Times New Roman"/>
                <w:sz w:val="24"/>
                <w:szCs w:val="24"/>
                <w:lang w:eastAsia="lv-LV"/>
              </w:rPr>
              <w:t xml:space="preserve"> ar ārvalstu amatpersonu kukuļošanu un ar to saistīto noziedzīgi iegūto līdzekļu legalizāciju, t.sk. nodrošinot pietiekošus resursus un ekspertīzi atbildīgajām iestādēm, lai tās spētu efektīvi izmeklēt un saukt pie atbildības personas par ārvalstu amatpersonu kukuļošanu un ar to saistīto noziedzīgi iegūto līdzekļu legalizāciju. OECD darba grupas 4</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(a) rekomendācija paredz, ka Latvijai jānodrošina, ka </w:t>
            </w:r>
            <w:r>
              <w:rPr>
                <w:rFonts w:ascii="Times New Roman" w:hAnsi="Times New Roman" w:cs="Times New Roman"/>
                <w:sz w:val="24"/>
                <w:szCs w:val="24"/>
                <w:lang w:eastAsia="lv-LV"/>
              </w:rPr>
              <w:t>Birojam</w:t>
            </w:r>
            <w:r w:rsidRPr="008D63EC">
              <w:rPr>
                <w:rFonts w:ascii="Times New Roman" w:hAnsi="Times New Roman" w:cs="Times New Roman"/>
                <w:sz w:val="24"/>
                <w:szCs w:val="24"/>
                <w:lang w:eastAsia="lv-LV"/>
              </w:rPr>
              <w:t xml:space="preserve"> tiek piešķirti atbilstoši resursi kukuļošanas apkarošanai, un ka </w:t>
            </w:r>
            <w:r>
              <w:rPr>
                <w:rFonts w:ascii="Times New Roman" w:hAnsi="Times New Roman" w:cs="Times New Roman"/>
                <w:sz w:val="24"/>
                <w:szCs w:val="24"/>
                <w:lang w:eastAsia="lv-LV"/>
              </w:rPr>
              <w:t>Birojs</w:t>
            </w:r>
            <w:r w:rsidRPr="008D63EC">
              <w:rPr>
                <w:rFonts w:ascii="Times New Roman" w:hAnsi="Times New Roman" w:cs="Times New Roman"/>
                <w:sz w:val="24"/>
                <w:szCs w:val="24"/>
                <w:lang w:eastAsia="lv-LV"/>
              </w:rPr>
              <w:t xml:space="preserve"> ārvalstu amatpersonu kukuļošanas apkarošanai piešķir prioritāru raksturu.</w:t>
            </w:r>
          </w:p>
          <w:p w14:paraId="0D816E2F" w14:textId="77777777" w:rsidR="00FA28D4" w:rsidRDefault="00FA28D4" w:rsidP="00FA28D4">
            <w:pPr>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Savukārt OECD 2019. </w:t>
            </w:r>
            <w:r w:rsidRPr="00810B14">
              <w:rPr>
                <w:rFonts w:ascii="Times New Roman" w:hAnsi="Times New Roman" w:cs="Times New Roman"/>
                <w:sz w:val="24"/>
                <w:szCs w:val="24"/>
                <w:lang w:eastAsia="lv-LV"/>
              </w:rPr>
              <w:t>gada Latvijas ekonomikas pārskatā</w:t>
            </w:r>
            <w:r>
              <w:rPr>
                <w:rFonts w:ascii="Times New Roman" w:hAnsi="Times New Roman" w:cs="Times New Roman"/>
                <w:sz w:val="24"/>
                <w:szCs w:val="24"/>
                <w:lang w:eastAsia="lv-LV"/>
              </w:rPr>
              <w:t xml:space="preserve"> ī</w:t>
            </w:r>
            <w:r w:rsidRPr="00810B14">
              <w:rPr>
                <w:rFonts w:ascii="Times New Roman" w:hAnsi="Times New Roman" w:cs="Times New Roman"/>
                <w:sz w:val="24"/>
                <w:szCs w:val="24"/>
                <w:lang w:eastAsia="lv-LV"/>
              </w:rPr>
              <w:t>paši uzsvērts, ka Biroja budžeta neatkarība pal</w:t>
            </w:r>
            <w:r>
              <w:rPr>
                <w:rFonts w:ascii="Times New Roman" w:hAnsi="Times New Roman" w:cs="Times New Roman"/>
                <w:sz w:val="24"/>
                <w:szCs w:val="24"/>
                <w:lang w:eastAsia="lv-LV"/>
              </w:rPr>
              <w:t>ielinātu</w:t>
            </w:r>
            <w:r w:rsidRPr="00810B14">
              <w:rPr>
                <w:rFonts w:ascii="Times New Roman" w:hAnsi="Times New Roman" w:cs="Times New Roman"/>
                <w:sz w:val="24"/>
                <w:szCs w:val="24"/>
                <w:lang w:eastAsia="lv-LV"/>
              </w:rPr>
              <w:t xml:space="preserve"> sabiedrības uzticību tā spējai cīnīties ar korupciju valstī.</w:t>
            </w:r>
          </w:p>
          <w:p w14:paraId="396CAD22" w14:textId="77777777" w:rsidR="00FA28D4" w:rsidRDefault="00FA28D4" w:rsidP="00FA28D4">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t>2020.</w:t>
            </w:r>
            <w:r>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gada februārī Finanšu darījumu darba grupa plenārsēdē </w:t>
            </w:r>
            <w:proofErr w:type="gramStart"/>
            <w:r w:rsidRPr="008D63EC">
              <w:rPr>
                <w:rFonts w:ascii="Times New Roman" w:hAnsi="Times New Roman" w:cs="Times New Roman"/>
                <w:sz w:val="24"/>
                <w:szCs w:val="24"/>
                <w:lang w:eastAsia="lv-LV"/>
              </w:rPr>
              <w:t>tika izskatīts</w:t>
            </w:r>
            <w:proofErr w:type="gramEnd"/>
            <w:r w:rsidRPr="008D63EC">
              <w:rPr>
                <w:rFonts w:ascii="Times New Roman" w:hAnsi="Times New Roman" w:cs="Times New Roman"/>
                <w:sz w:val="24"/>
                <w:szCs w:val="24"/>
                <w:lang w:eastAsia="lv-LV"/>
              </w:rPr>
              <w:t xml:space="preserve"> Latvijas iesniegtais efektivitātes progresa ziņojums. Pēc efektivitātes progresa ziņojuma izvērtēšanas eksperti apliecināja, ka Latvija ir spējusi parādīt būtisku un pozitīvu rezultātu, kā arī demonstrējusi apņemšanos cīnīties ar ekonomiskajiem un finanšu noziegumiem, vienlaikus secināts, ka Latvijai jāturpina darbs vairākos rīcības virzienos, t.sk. īpaši uzsverot, ka Latvijai jāpievērš pastiprināta uzmanība un resursi vietējās korupcijas apkarošanai un novēršanai.</w:t>
            </w:r>
          </w:p>
          <w:p w14:paraId="193AC3B3" w14:textId="77777777" w:rsidR="00FA28D4" w:rsidRPr="008D63EC" w:rsidRDefault="00FA28D4" w:rsidP="00FA28D4">
            <w:pPr>
              <w:jc w:val="both"/>
              <w:rPr>
                <w:rFonts w:ascii="Times New Roman" w:hAnsi="Times New Roman" w:cs="Times New Roman"/>
                <w:sz w:val="24"/>
                <w:szCs w:val="24"/>
                <w:lang w:eastAsia="lv-LV"/>
              </w:rPr>
            </w:pPr>
          </w:p>
          <w:p w14:paraId="7E727567" w14:textId="0F2A4E6F" w:rsidR="008D63EC" w:rsidRDefault="00FA28D4" w:rsidP="00FA28D4">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minēto, lai novērstu Valsts kontroles revīzijas ziņojumā konstatēto </w:t>
            </w:r>
            <w:r w:rsidRPr="008D63EC">
              <w:rPr>
                <w:rFonts w:ascii="Times New Roman" w:hAnsi="Times New Roman" w:cs="Times New Roman"/>
                <w:sz w:val="24"/>
                <w:szCs w:val="24"/>
                <w:lang w:eastAsia="lv-LV"/>
              </w:rPr>
              <w:t xml:space="preserve">būtisko atšķirību mēnešalgas apmērā </w:t>
            </w:r>
            <w:r>
              <w:rPr>
                <w:rFonts w:ascii="Times New Roman" w:hAnsi="Times New Roman" w:cs="Times New Roman"/>
                <w:sz w:val="24"/>
                <w:szCs w:val="24"/>
                <w:lang w:eastAsia="lv-LV"/>
              </w:rPr>
              <w:t>Birojā</w:t>
            </w:r>
            <w:r w:rsidRPr="008D63EC">
              <w:rPr>
                <w:rFonts w:ascii="Times New Roman" w:hAnsi="Times New Roman" w:cs="Times New Roman"/>
                <w:sz w:val="24"/>
                <w:szCs w:val="24"/>
                <w:lang w:eastAsia="lv-LV"/>
              </w:rPr>
              <w:t xml:space="preserve"> un iekšlietu sistēmas iestādēs</w:t>
            </w:r>
            <w:r>
              <w:rPr>
                <w:rFonts w:ascii="Times New Roman" w:hAnsi="Times New Roman" w:cs="Times New Roman"/>
                <w:sz w:val="24"/>
                <w:szCs w:val="24"/>
                <w:lang w:eastAsia="lv-LV"/>
              </w:rPr>
              <w:t xml:space="preserve">, </w:t>
            </w:r>
            <w:r w:rsidRPr="008D63EC">
              <w:rPr>
                <w:rFonts w:ascii="Times New Roman" w:hAnsi="Times New Roman" w:cs="Times New Roman"/>
                <w:sz w:val="24"/>
                <w:szCs w:val="24"/>
                <w:lang w:eastAsia="lv-LV"/>
              </w:rPr>
              <w:t>stiprināt</w:t>
            </w:r>
            <w:r>
              <w:rPr>
                <w:rFonts w:ascii="Times New Roman" w:hAnsi="Times New Roman" w:cs="Times New Roman"/>
                <w:sz w:val="24"/>
                <w:szCs w:val="24"/>
                <w:lang w:eastAsia="lv-LV"/>
              </w:rPr>
              <w:t>u</w:t>
            </w:r>
            <w:r w:rsidRPr="008D63E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izmeklēšanas</w:t>
            </w:r>
            <w:r w:rsidR="009F49CD">
              <w:rPr>
                <w:rFonts w:ascii="Times New Roman" w:hAnsi="Times New Roman" w:cs="Times New Roman"/>
                <w:sz w:val="24"/>
                <w:szCs w:val="24"/>
                <w:lang w:eastAsia="lv-LV"/>
              </w:rPr>
              <w:t>,</w:t>
            </w:r>
            <w:r w:rsidRPr="008D63EC">
              <w:rPr>
                <w:rFonts w:ascii="Times New Roman" w:hAnsi="Times New Roman" w:cs="Times New Roman"/>
                <w:sz w:val="24"/>
                <w:szCs w:val="24"/>
                <w:lang w:eastAsia="lv-LV"/>
              </w:rPr>
              <w:t xml:space="preserve"> </w:t>
            </w:r>
            <w:r w:rsidR="009F49CD" w:rsidRPr="008D63EC">
              <w:rPr>
                <w:rFonts w:ascii="Times New Roman" w:hAnsi="Times New Roman" w:cs="Times New Roman"/>
                <w:sz w:val="24"/>
                <w:szCs w:val="24"/>
                <w:lang w:eastAsia="lv-LV"/>
              </w:rPr>
              <w:t>operatīvās un</w:t>
            </w:r>
            <w:r w:rsidR="009F49CD">
              <w:rPr>
                <w:rFonts w:ascii="Times New Roman" w:hAnsi="Times New Roman" w:cs="Times New Roman"/>
                <w:sz w:val="24"/>
                <w:szCs w:val="24"/>
                <w:lang w:eastAsia="lv-LV"/>
              </w:rPr>
              <w:t xml:space="preserve"> analītiskās</w:t>
            </w:r>
            <w:r w:rsidR="009F49CD" w:rsidRPr="008D63EC">
              <w:rPr>
                <w:rFonts w:ascii="Times New Roman" w:hAnsi="Times New Roman" w:cs="Times New Roman"/>
                <w:sz w:val="24"/>
                <w:szCs w:val="24"/>
                <w:lang w:eastAsia="lv-LV"/>
              </w:rPr>
              <w:t xml:space="preserve"> </w:t>
            </w:r>
            <w:r w:rsidRPr="008D63EC">
              <w:rPr>
                <w:rFonts w:ascii="Times New Roman" w:hAnsi="Times New Roman" w:cs="Times New Roman"/>
                <w:sz w:val="24"/>
                <w:szCs w:val="24"/>
                <w:lang w:eastAsia="lv-LV"/>
              </w:rPr>
              <w:t>spējas, novēršot un apkarojot noziedzīgus nodarījumus, tādējādi palielinot arī novērsto un atklāto noziedzīgo nodarījumu skaitu</w:t>
            </w:r>
            <w:r>
              <w:rPr>
                <w:rFonts w:ascii="Times New Roman" w:hAnsi="Times New Roman" w:cs="Times New Roman"/>
                <w:sz w:val="24"/>
                <w:szCs w:val="24"/>
                <w:lang w:eastAsia="lv-LV"/>
              </w:rPr>
              <w:t>,</w:t>
            </w:r>
            <w:proofErr w:type="gramStart"/>
            <w:r>
              <w:rPr>
                <w:rFonts w:ascii="Times New Roman" w:hAnsi="Times New Roman" w:cs="Times New Roman"/>
                <w:sz w:val="24"/>
                <w:szCs w:val="24"/>
                <w:lang w:eastAsia="lv-LV"/>
              </w:rPr>
              <w:t xml:space="preserve">  </w:t>
            </w:r>
            <w:proofErr w:type="gramEnd"/>
            <w:r>
              <w:rPr>
                <w:rFonts w:ascii="Times New Roman" w:hAnsi="Times New Roman" w:cs="Times New Roman"/>
                <w:sz w:val="24"/>
                <w:szCs w:val="24"/>
                <w:lang w:eastAsia="lv-LV"/>
              </w:rPr>
              <w:t>ir būtiski noteikt tādu atalgojumu Biroja amatpersonām (darbiniekiem), kas ir konkurētspējīgs, kā rezultātā Birojs spētu piesaistīt un noturēt labākos nozares speciālistus</w:t>
            </w:r>
            <w:r w:rsidRPr="008D63EC">
              <w:rPr>
                <w:rFonts w:ascii="Times New Roman" w:hAnsi="Times New Roman" w:cs="Times New Roman"/>
                <w:sz w:val="24"/>
                <w:szCs w:val="24"/>
                <w:lang w:eastAsia="lv-LV"/>
              </w:rPr>
              <w:t>.</w:t>
            </w:r>
          </w:p>
          <w:p w14:paraId="080EE649" w14:textId="77777777" w:rsidR="00081FE7" w:rsidRDefault="00081FE7" w:rsidP="00081FE7">
            <w:pPr>
              <w:jc w:val="both"/>
              <w:rPr>
                <w:rFonts w:ascii="Times New Roman" w:hAnsi="Times New Roman" w:cs="Times New Roman"/>
                <w:sz w:val="24"/>
                <w:szCs w:val="24"/>
                <w:lang w:eastAsia="lv-LV"/>
              </w:rPr>
            </w:pPr>
          </w:p>
          <w:p w14:paraId="3EA5275B" w14:textId="544D8EC4" w:rsidR="00081FE7" w:rsidRDefault="00081FE7" w:rsidP="00081FE7">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t xml:space="preserve">Pašlaik maksimāli iespējamais </w:t>
            </w:r>
            <w:r>
              <w:rPr>
                <w:rFonts w:ascii="Times New Roman" w:hAnsi="Times New Roman" w:cs="Times New Roman"/>
                <w:sz w:val="24"/>
                <w:szCs w:val="24"/>
                <w:lang w:eastAsia="lv-LV"/>
              </w:rPr>
              <w:t>Biroja</w:t>
            </w:r>
            <w:r w:rsidRPr="008D63EC">
              <w:rPr>
                <w:rFonts w:ascii="Times New Roman" w:hAnsi="Times New Roman" w:cs="Times New Roman"/>
                <w:sz w:val="24"/>
                <w:szCs w:val="24"/>
                <w:lang w:eastAsia="lv-LV"/>
              </w:rPr>
              <w:t xml:space="preserve"> amatpersonu mēnešalgas apmērs ir 2</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441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 xml:space="preserve"> (16.</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mēnešalgu grupa,</w:t>
            </w:r>
            <w:proofErr w:type="gramStart"/>
            <w:r w:rsidR="009F49CD">
              <w:rPr>
                <w:rFonts w:ascii="Times New Roman" w:hAnsi="Times New Roman" w:cs="Times New Roman"/>
                <w:sz w:val="24"/>
                <w:szCs w:val="24"/>
                <w:lang w:eastAsia="lv-LV"/>
              </w:rPr>
              <w:t xml:space="preserve"> </w:t>
            </w:r>
            <w:r w:rsidRPr="008D63EC">
              <w:rPr>
                <w:rFonts w:ascii="Times New Roman" w:hAnsi="Times New Roman" w:cs="Times New Roman"/>
                <w:sz w:val="24"/>
                <w:szCs w:val="24"/>
                <w:lang w:eastAsia="lv-LV"/>
              </w:rPr>
              <w:t xml:space="preserve"> </w:t>
            </w:r>
            <w:proofErr w:type="gramEnd"/>
            <w:r w:rsidRPr="008D63EC">
              <w:rPr>
                <w:rFonts w:ascii="Times New Roman" w:hAnsi="Times New Roman" w:cs="Times New Roman"/>
                <w:sz w:val="24"/>
                <w:szCs w:val="24"/>
                <w:lang w:eastAsia="lv-LV"/>
              </w:rPr>
              <w:t>maksimālais apmērs nemainīgs katru gadu), savukārt rajona (republikas pilsētas) prokurora mēnešalgas apmērs 2021.</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gadā būs jau 2</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922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 Šāds mēnešalgas apmērs noteikts arī amatpersonām iekšlietu sistēmā, kurām noteikts pienākums veikt izmeklēšanu īpaši sarežģītās, smagu vai sevišķi smagu starpreģionāla vai starptautiska rakstura noziegumu lietās. Savukārt Iekšlietu ministrijas sistēmas iestāžu un Ieslodzījuma vietu pārvaldes amatpersonu ar speciālajām dienesta pakāpēm maksimālais mēnešalgas apmērs 2020.</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gadā ir 3</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273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w:t>
            </w:r>
          </w:p>
          <w:p w14:paraId="60E3A7AC" w14:textId="77777777" w:rsidR="00081FE7" w:rsidRDefault="00081FE7" w:rsidP="00081FE7">
            <w:pPr>
              <w:jc w:val="both"/>
              <w:rPr>
                <w:rFonts w:ascii="Times New Roman" w:hAnsi="Times New Roman" w:cs="Times New Roman"/>
                <w:i/>
                <w:sz w:val="24"/>
                <w:szCs w:val="24"/>
                <w:lang w:eastAsia="lv-LV"/>
              </w:rPr>
            </w:pPr>
            <w:r>
              <w:rPr>
                <w:rFonts w:ascii="Times New Roman" w:hAnsi="Times New Roman" w:cs="Times New Roman"/>
                <w:sz w:val="24"/>
                <w:szCs w:val="24"/>
                <w:lang w:eastAsia="lv-LV"/>
              </w:rPr>
              <w:t xml:space="preserve">Valsts ieņēmumu dienestā </w:t>
            </w:r>
            <w:r w:rsidRPr="008D63EC">
              <w:rPr>
                <w:rFonts w:ascii="Times New Roman" w:hAnsi="Times New Roman" w:cs="Times New Roman"/>
                <w:sz w:val="24"/>
                <w:szCs w:val="24"/>
                <w:lang w:eastAsia="lv-LV"/>
              </w:rPr>
              <w:t>16.</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mēnešalgu grup</w:t>
            </w:r>
            <w:r>
              <w:rPr>
                <w:rFonts w:ascii="Times New Roman" w:hAnsi="Times New Roman" w:cs="Times New Roman"/>
                <w:sz w:val="24"/>
                <w:szCs w:val="24"/>
                <w:lang w:eastAsia="lv-LV"/>
              </w:rPr>
              <w:t>as</w:t>
            </w:r>
            <w:r w:rsidRPr="008D63EC">
              <w:rPr>
                <w:rFonts w:ascii="Times New Roman" w:hAnsi="Times New Roman" w:cs="Times New Roman"/>
                <w:sz w:val="24"/>
                <w:szCs w:val="24"/>
                <w:lang w:eastAsia="lv-LV"/>
              </w:rPr>
              <w:t xml:space="preserve"> maksimālais apmērs</w:t>
            </w:r>
            <w:r w:rsidR="001D059E">
              <w:rPr>
                <w:rFonts w:ascii="Times New Roman" w:hAnsi="Times New Roman" w:cs="Times New Roman"/>
                <w:sz w:val="24"/>
                <w:szCs w:val="24"/>
                <w:lang w:eastAsia="lv-LV"/>
              </w:rPr>
              <w:t xml:space="preserve"> ir 4 </w:t>
            </w:r>
            <w:r>
              <w:rPr>
                <w:rFonts w:ascii="Times New Roman" w:hAnsi="Times New Roman" w:cs="Times New Roman"/>
                <w:sz w:val="24"/>
                <w:szCs w:val="24"/>
                <w:lang w:eastAsia="lv-LV"/>
              </w:rPr>
              <w:t xml:space="preserve">030 </w:t>
            </w:r>
            <w:proofErr w:type="spellStart"/>
            <w:r>
              <w:rPr>
                <w:rFonts w:ascii="Times New Roman" w:hAnsi="Times New Roman" w:cs="Times New Roman"/>
                <w:i/>
                <w:sz w:val="24"/>
                <w:szCs w:val="24"/>
                <w:lang w:eastAsia="lv-LV"/>
              </w:rPr>
              <w:t>euro</w:t>
            </w:r>
            <w:proofErr w:type="spellEnd"/>
            <w:r>
              <w:rPr>
                <w:rFonts w:ascii="Times New Roman" w:hAnsi="Times New Roman" w:cs="Times New Roman"/>
                <w:i/>
                <w:sz w:val="24"/>
                <w:szCs w:val="24"/>
                <w:lang w:eastAsia="lv-LV"/>
              </w:rPr>
              <w:t>.</w:t>
            </w:r>
          </w:p>
          <w:p w14:paraId="18A4549E" w14:textId="77777777" w:rsidR="00081FE7" w:rsidRPr="00081FE7" w:rsidRDefault="00081FE7" w:rsidP="00081FE7">
            <w:pPr>
              <w:jc w:val="both"/>
              <w:rPr>
                <w:rFonts w:ascii="Times New Roman" w:hAnsi="Times New Roman" w:cs="Times New Roman"/>
                <w:i/>
                <w:sz w:val="24"/>
                <w:szCs w:val="24"/>
                <w:lang w:eastAsia="lv-LV"/>
              </w:rPr>
            </w:pPr>
            <w:r>
              <w:rPr>
                <w:rFonts w:ascii="Times New Roman" w:hAnsi="Times New Roman" w:cs="Times New Roman"/>
                <w:sz w:val="24"/>
                <w:szCs w:val="24"/>
                <w:lang w:eastAsia="lv-LV"/>
              </w:rPr>
              <w:t>Datu valsts inspekcijas un Konkurences padomes maksimālais mēnešalgas apmērs</w:t>
            </w:r>
            <w:r w:rsidR="00540D87">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piemērojot koeficientu 4,05 2020. gada bāzes mēnešalgai</w:t>
            </w:r>
            <w:r w:rsidR="00540D87">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ir 3</w:t>
            </w:r>
            <w:r w:rsidR="001D059E">
              <w:rPr>
                <w:rFonts w:ascii="Times New Roman" w:hAnsi="Times New Roman" w:cs="Times New Roman"/>
                <w:sz w:val="24"/>
                <w:szCs w:val="24"/>
                <w:lang w:eastAsia="lv-LV"/>
              </w:rPr>
              <w:t> </w:t>
            </w:r>
            <w:r>
              <w:rPr>
                <w:rFonts w:ascii="Times New Roman" w:hAnsi="Times New Roman" w:cs="Times New Roman"/>
                <w:sz w:val="24"/>
                <w:szCs w:val="24"/>
                <w:lang w:eastAsia="lv-LV"/>
              </w:rPr>
              <w:t>955</w:t>
            </w:r>
            <w:r w:rsidR="001D059E">
              <w:rPr>
                <w:rFonts w:ascii="Times New Roman" w:hAnsi="Times New Roman" w:cs="Times New Roman"/>
                <w:sz w:val="24"/>
                <w:szCs w:val="24"/>
                <w:lang w:eastAsia="lv-LV"/>
              </w:rPr>
              <w:t> </w:t>
            </w:r>
            <w:proofErr w:type="spellStart"/>
            <w:r>
              <w:rPr>
                <w:rFonts w:ascii="Times New Roman" w:hAnsi="Times New Roman" w:cs="Times New Roman"/>
                <w:i/>
                <w:sz w:val="24"/>
                <w:szCs w:val="24"/>
                <w:lang w:eastAsia="lv-LV"/>
              </w:rPr>
              <w:t>euro</w:t>
            </w:r>
            <w:proofErr w:type="spellEnd"/>
            <w:r w:rsidR="001D059E">
              <w:rPr>
                <w:rFonts w:ascii="Times New Roman" w:hAnsi="Times New Roman" w:cs="Times New Roman"/>
                <w:sz w:val="24"/>
                <w:szCs w:val="24"/>
                <w:lang w:eastAsia="lv-LV"/>
              </w:rPr>
              <w:t>, bet 2021. gadā būs 4 </w:t>
            </w:r>
            <w:r>
              <w:rPr>
                <w:rFonts w:ascii="Times New Roman" w:hAnsi="Times New Roman" w:cs="Times New Roman"/>
                <w:sz w:val="24"/>
                <w:szCs w:val="24"/>
                <w:lang w:eastAsia="lv-LV"/>
              </w:rPr>
              <w:t xml:space="preserve">152 </w:t>
            </w:r>
            <w:proofErr w:type="spellStart"/>
            <w:r>
              <w:rPr>
                <w:rFonts w:ascii="Times New Roman" w:hAnsi="Times New Roman" w:cs="Times New Roman"/>
                <w:i/>
                <w:sz w:val="24"/>
                <w:szCs w:val="24"/>
                <w:lang w:eastAsia="lv-LV"/>
              </w:rPr>
              <w:t>euro</w:t>
            </w:r>
            <w:proofErr w:type="spellEnd"/>
            <w:r>
              <w:rPr>
                <w:rFonts w:ascii="Times New Roman" w:hAnsi="Times New Roman" w:cs="Times New Roman"/>
                <w:i/>
                <w:sz w:val="24"/>
                <w:szCs w:val="24"/>
                <w:lang w:eastAsia="lv-LV"/>
              </w:rPr>
              <w:t>.</w:t>
            </w:r>
          </w:p>
          <w:p w14:paraId="734EF0C9" w14:textId="77777777" w:rsidR="00081FE7" w:rsidRDefault="00081FE7" w:rsidP="00081FE7">
            <w:pPr>
              <w:jc w:val="both"/>
              <w:rPr>
                <w:rFonts w:ascii="Times New Roman" w:hAnsi="Times New Roman" w:cs="Times New Roman"/>
                <w:sz w:val="24"/>
                <w:szCs w:val="24"/>
                <w:lang w:eastAsia="lv-LV"/>
              </w:rPr>
            </w:pPr>
          </w:p>
          <w:p w14:paraId="3678427C" w14:textId="77777777" w:rsidR="00AD1170" w:rsidRDefault="00AD1170" w:rsidP="00081FE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minēto, Birojā esošās mēnešalgas iepretī būtiskajiem un nozīmīgajiem uzdevumiem un sarežģītajām, tai skaitā starptautiskajām lietām, ir </w:t>
            </w:r>
            <w:proofErr w:type="gramStart"/>
            <w:r>
              <w:rPr>
                <w:rFonts w:ascii="Times New Roman" w:hAnsi="Times New Roman" w:cs="Times New Roman"/>
                <w:sz w:val="24"/>
                <w:szCs w:val="24"/>
                <w:lang w:eastAsia="lv-LV"/>
              </w:rPr>
              <w:t>nekonkurētspējīgas</w:t>
            </w:r>
            <w:proofErr w:type="gramEnd"/>
            <w:r>
              <w:rPr>
                <w:rFonts w:ascii="Times New Roman" w:hAnsi="Times New Roman" w:cs="Times New Roman"/>
                <w:sz w:val="24"/>
                <w:szCs w:val="24"/>
                <w:lang w:eastAsia="lv-LV"/>
              </w:rPr>
              <w:t xml:space="preserve">. </w:t>
            </w:r>
          </w:p>
          <w:p w14:paraId="3E9B6571" w14:textId="3E6ADB1B" w:rsidR="00081FE7" w:rsidRPr="00AD1170" w:rsidRDefault="00AD1170" w:rsidP="00081FE7">
            <w:pPr>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Lai spētu nodrošināt efektīvu ārvalsts amatpersonu kukuļošanas lietu izmeklēšanu, cīņu ar korupciju</w:t>
            </w:r>
            <w:r w:rsidR="00DC22D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ir nepieciešams motivēt un spēt piesaistīt spējīgākos speciālistus, kā rezultātā nepieciešams veikt grozījumus Atlīdzības likumā palielinot Biroja amatpersonām atalgojumu </w:t>
            </w:r>
            <w:r w:rsidRPr="00AD1170">
              <w:rPr>
                <w:rFonts w:ascii="Times New Roman" w:hAnsi="Times New Roman" w:cs="Times New Roman"/>
                <w:sz w:val="24"/>
                <w:szCs w:val="24"/>
                <w:lang w:eastAsia="lv-LV"/>
              </w:rPr>
              <w:t xml:space="preserve">un tādējādi </w:t>
            </w:r>
            <w:r w:rsidRPr="00AD1170">
              <w:rPr>
                <w:rFonts w:ascii="Times New Roman" w:hAnsi="Times New Roman" w:cs="Times New Roman"/>
                <w:sz w:val="24"/>
                <w:szCs w:val="24"/>
              </w:rPr>
              <w:t>uzlabojot atlīdzības konkurētspēju</w:t>
            </w:r>
            <w:r w:rsidR="00081FE7" w:rsidRPr="00AD1170">
              <w:rPr>
                <w:rFonts w:ascii="Times New Roman" w:hAnsi="Times New Roman" w:cs="Times New Roman"/>
                <w:sz w:val="24"/>
                <w:szCs w:val="24"/>
                <w:lang w:eastAsia="lv-LV"/>
              </w:rPr>
              <w:t>.</w:t>
            </w:r>
          </w:p>
          <w:p w14:paraId="6A8F6415" w14:textId="77777777" w:rsidR="00081FE7" w:rsidRDefault="00081FE7" w:rsidP="00081FE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Izstrādājot Likumprojektu, konstatēts, ka nevar pilnībā uz Biroju attiecināt </w:t>
            </w:r>
            <w:r w:rsidRPr="00081FE7">
              <w:rPr>
                <w:rFonts w:ascii="Times New Roman" w:hAnsi="Times New Roman" w:cs="Times New Roman"/>
                <w:sz w:val="24"/>
                <w:szCs w:val="24"/>
                <w:shd w:val="clear" w:color="auto" w:fill="FFFFFF"/>
              </w:rPr>
              <w:t>Iekšlietu ministrijas sistēmas iestāžu amatpersonām ar speciālajām dienesta pakāpēm</w:t>
            </w:r>
            <w:r>
              <w:rPr>
                <w:rFonts w:ascii="Times New Roman" w:hAnsi="Times New Roman" w:cs="Times New Roman"/>
                <w:sz w:val="24"/>
                <w:szCs w:val="24"/>
                <w:shd w:val="clear" w:color="auto" w:fill="FFFFFF"/>
              </w:rPr>
              <w:t xml:space="preserve"> noteiktās </w:t>
            </w:r>
            <w:r w:rsidRPr="00081FE7">
              <w:rPr>
                <w:rFonts w:ascii="Times New Roman" w:hAnsi="Times New Roman" w:cs="Times New Roman"/>
                <w:sz w:val="24"/>
                <w:szCs w:val="24"/>
                <w:shd w:val="clear" w:color="auto" w:fill="FFFFFF"/>
              </w:rPr>
              <w:t>mēnešalgu grup</w:t>
            </w:r>
            <w:r>
              <w:rPr>
                <w:rFonts w:ascii="Times New Roman" w:hAnsi="Times New Roman" w:cs="Times New Roman"/>
                <w:sz w:val="24"/>
                <w:szCs w:val="24"/>
                <w:shd w:val="clear" w:color="auto" w:fill="FFFFFF"/>
              </w:rPr>
              <w:t>as un piemērot Ministru kabineta 2016. gada 13. decembra noteikumu Nr. 806 "</w:t>
            </w:r>
            <w:r w:rsidRPr="00081FE7">
              <w:rPr>
                <w:rFonts w:ascii="Times New Roman" w:hAnsi="Times New Roman" w:cs="Times New Roman"/>
                <w:bCs/>
                <w:sz w:val="24"/>
                <w:szCs w:val="24"/>
                <w:shd w:val="clear" w:color="auto" w:fill="FFFFFF"/>
              </w:rPr>
              <w:t>Noteikumi par Iekšlietu ministrijas sistēmas iestāžu un Ieslodzījuma vietu pārvaldes amatpersonu ar speciālajām dienesta pakāpēm mēnešalgu un speciālo piemaksu noteikšanas kārtību un to apmēru" regulējumu</w:t>
            </w:r>
            <w:r>
              <w:rPr>
                <w:rFonts w:ascii="Times New Roman" w:hAnsi="Times New Roman" w:cs="Times New Roman"/>
                <w:sz w:val="24"/>
                <w:szCs w:val="24"/>
                <w:lang w:eastAsia="lv-LV"/>
              </w:rPr>
              <w:t xml:space="preserve">, jo Birojs ir tiešās pārvaldes iestāde, kas atrodas Ministru kabineta pārraudzībā un pār kuru institucionālo pārraudzību īsteno Ministru prezidents, un saskaņā ar Atlīdzības likuma mērķi valsts institūcijās amatpersonu (darbinieku) atlīdzības noteikšanā tiek ievēroti līdzvērtīgi nosacījumi. Līdz ar to uz Biroja amatpersonām (darbiniekiem) primāri būtu jāattiecina Atlīdzības likumā noteiktais regulējums, kas attiecas arī uz citām valsts tiešās pārvaldes iestādēm, nevis tikai regulējums, kas attiecas uz </w:t>
            </w:r>
            <w:r w:rsidRPr="00081FE7">
              <w:rPr>
                <w:rFonts w:ascii="Times New Roman" w:hAnsi="Times New Roman" w:cs="Times New Roman"/>
                <w:sz w:val="24"/>
                <w:szCs w:val="24"/>
              </w:rPr>
              <w:t>Iekšlietu ministrijas sistēmas iestāžu un Ieslodzījuma vietu pārvaldes amatperson</w:t>
            </w:r>
            <w:r>
              <w:rPr>
                <w:rFonts w:ascii="Times New Roman" w:hAnsi="Times New Roman" w:cs="Times New Roman"/>
                <w:sz w:val="24"/>
                <w:szCs w:val="24"/>
              </w:rPr>
              <w:t>u ar speciālo dienesta pakāpi</w:t>
            </w:r>
            <w:r>
              <w:rPr>
                <w:rFonts w:ascii="Times New Roman" w:hAnsi="Times New Roman" w:cs="Times New Roman"/>
                <w:sz w:val="24"/>
                <w:szCs w:val="24"/>
                <w:lang w:eastAsia="lv-LV"/>
              </w:rPr>
              <w:t>.</w:t>
            </w:r>
          </w:p>
          <w:p w14:paraId="19FF7723" w14:textId="64625E0C" w:rsidR="00081FE7" w:rsidRPr="00081FE7" w:rsidRDefault="00081FE7" w:rsidP="00081FE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0164EC">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ņemot vērā, ka Birojs saskaņā ar</w:t>
            </w:r>
            <w:r w:rsidRPr="008D63EC">
              <w:rPr>
                <w:rFonts w:ascii="Times New Roman" w:hAnsi="Times New Roman" w:cs="Times New Roman"/>
                <w:sz w:val="24"/>
                <w:szCs w:val="24"/>
                <w:lang w:eastAsia="lv-LV"/>
              </w:rPr>
              <w:t xml:space="preserve"> Korupcijas novēršanas un apkarošanas biroja likuma 8.</w:t>
            </w:r>
            <w:r w:rsidR="00340841">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pant</w:t>
            </w:r>
            <w:r>
              <w:rPr>
                <w:rFonts w:ascii="Times New Roman" w:hAnsi="Times New Roman" w:cs="Times New Roman"/>
                <w:sz w:val="24"/>
                <w:szCs w:val="24"/>
                <w:lang w:eastAsia="lv-LV"/>
              </w:rPr>
              <w:t>u</w:t>
            </w:r>
            <w:r w:rsidRPr="008D63EC">
              <w:rPr>
                <w:rFonts w:ascii="Times New Roman" w:hAnsi="Times New Roman" w:cs="Times New Roman"/>
                <w:sz w:val="24"/>
                <w:szCs w:val="24"/>
                <w:lang w:eastAsia="lv-LV"/>
              </w:rPr>
              <w:t xml:space="preserve"> ir arī gan operatīvās darbības subjekts, gan izmeklēšanas iestāde</w:t>
            </w:r>
            <w:r>
              <w:rPr>
                <w:rFonts w:ascii="Times New Roman" w:hAnsi="Times New Roman" w:cs="Times New Roman"/>
                <w:sz w:val="24"/>
                <w:szCs w:val="24"/>
                <w:lang w:eastAsia="lv-LV"/>
              </w:rPr>
              <w:t xml:space="preserve">, tad atsevišķos gadījumos Atlīdzības noteikšanā jāievēro līdzvērtīgi nosacījumi ar iekšlietu sistēmu, </w:t>
            </w:r>
            <w:r w:rsidRPr="00081FE7">
              <w:rPr>
                <w:rFonts w:ascii="Times New Roman" w:hAnsi="Times New Roman" w:cs="Times New Roman"/>
                <w:sz w:val="24"/>
                <w:szCs w:val="24"/>
                <w:lang w:eastAsia="lv-LV"/>
              </w:rPr>
              <w:t>ņemot vērā</w:t>
            </w:r>
            <w:r>
              <w:rPr>
                <w:rFonts w:ascii="Times New Roman" w:hAnsi="Times New Roman" w:cs="Times New Roman"/>
                <w:color w:val="000000"/>
                <w:sz w:val="24"/>
                <w:szCs w:val="24"/>
              </w:rPr>
              <w:t>,</w:t>
            </w:r>
            <w:r w:rsidRPr="00081F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 atsevišķas Biroja un ENAP funkcijas ir salīdzināmas</w:t>
            </w:r>
            <w:r w:rsidRPr="00081FE7">
              <w:rPr>
                <w:rFonts w:ascii="Times New Roman" w:hAnsi="Times New Roman" w:cs="Times New Roman"/>
                <w:color w:val="000000"/>
                <w:sz w:val="24"/>
                <w:szCs w:val="24"/>
              </w:rPr>
              <w:t>, un to, ka arī dienests Birojā ir saistīts ar veselības un dzīvības apdraudējumu</w:t>
            </w:r>
            <w:r>
              <w:rPr>
                <w:rFonts w:ascii="Times New Roman" w:hAnsi="Times New Roman" w:cs="Times New Roman"/>
                <w:color w:val="000000"/>
                <w:sz w:val="24"/>
                <w:szCs w:val="24"/>
              </w:rPr>
              <w:t xml:space="preserve">, </w:t>
            </w:r>
            <w:r w:rsidRPr="00081FE7">
              <w:rPr>
                <w:rFonts w:ascii="Times New Roman" w:hAnsi="Times New Roman" w:cs="Times New Roman"/>
                <w:color w:val="000000"/>
                <w:sz w:val="24"/>
                <w:szCs w:val="24"/>
              </w:rPr>
              <w:t xml:space="preserve">ir pamatoti paredzēt, ka tie atlīdzības noteikšanas principi, kas tiešā veidā saistīti ar noziedzīgu nodarījumu </w:t>
            </w:r>
            <w:r w:rsidR="002A4F08">
              <w:rPr>
                <w:rFonts w:ascii="Times New Roman" w:hAnsi="Times New Roman" w:cs="Times New Roman"/>
                <w:color w:val="000000"/>
                <w:sz w:val="24"/>
                <w:szCs w:val="24"/>
              </w:rPr>
              <w:t xml:space="preserve">izmeklēšanu, </w:t>
            </w:r>
            <w:r w:rsidRPr="00081FE7">
              <w:rPr>
                <w:rFonts w:ascii="Times New Roman" w:hAnsi="Times New Roman" w:cs="Times New Roman"/>
                <w:color w:val="000000"/>
                <w:sz w:val="24"/>
                <w:szCs w:val="24"/>
              </w:rPr>
              <w:t>novēršanu vai atklāšanu, ir piemērojami arī attiecībā uz Biroja amatpersonā</w:t>
            </w:r>
            <w:r w:rsidR="00391144">
              <w:rPr>
                <w:rFonts w:ascii="Times New Roman" w:hAnsi="Times New Roman" w:cs="Times New Roman"/>
                <w:color w:val="000000"/>
                <w:sz w:val="24"/>
                <w:szCs w:val="24"/>
              </w:rPr>
              <w:t>m</w:t>
            </w:r>
            <w:r w:rsidRPr="00081FE7">
              <w:rPr>
                <w:rFonts w:ascii="Times New Roman" w:hAnsi="Times New Roman" w:cs="Times New Roman"/>
                <w:sz w:val="24"/>
                <w:szCs w:val="24"/>
                <w:lang w:eastAsia="lv-LV"/>
              </w:rPr>
              <w:t>.</w:t>
            </w:r>
          </w:p>
          <w:p w14:paraId="788A36B4" w14:textId="77777777" w:rsidR="00081FE7" w:rsidRDefault="00081FE7" w:rsidP="00081FE7">
            <w:pPr>
              <w:jc w:val="both"/>
              <w:rPr>
                <w:rFonts w:ascii="Times New Roman" w:hAnsi="Times New Roman" w:cs="Times New Roman"/>
                <w:sz w:val="24"/>
                <w:szCs w:val="24"/>
                <w:lang w:eastAsia="lv-LV"/>
              </w:rPr>
            </w:pPr>
            <w:r>
              <w:rPr>
                <w:rFonts w:ascii="Times New Roman" w:hAnsi="Times New Roman" w:cs="Times New Roman"/>
                <w:sz w:val="24"/>
                <w:szCs w:val="24"/>
                <w:lang w:eastAsia="lv-LV"/>
              </w:rPr>
              <w:t>Ievērojot minēto, Likumprojekts paredz noteikt, ka:</w:t>
            </w:r>
          </w:p>
          <w:p w14:paraId="6961920C" w14:textId="242215F3" w:rsidR="00081FE7" w:rsidRPr="00081FE7" w:rsidRDefault="00081FE7" w:rsidP="00081FE7">
            <w:pPr>
              <w:pStyle w:val="ListParagraph"/>
              <w:numPr>
                <w:ilvl w:val="0"/>
                <w:numId w:val="5"/>
              </w:numPr>
              <w:jc w:val="both"/>
              <w:rPr>
                <w:rFonts w:ascii="Times New Roman" w:hAnsi="Times New Roman" w:cs="Times New Roman"/>
                <w:sz w:val="24"/>
                <w:szCs w:val="24"/>
                <w:lang w:eastAsia="lv-LV"/>
              </w:rPr>
            </w:pPr>
            <w:r w:rsidRPr="00081FE7">
              <w:rPr>
                <w:rFonts w:ascii="Times New Roman" w:hAnsi="Times New Roman" w:cs="Times New Roman"/>
                <w:sz w:val="24"/>
                <w:szCs w:val="24"/>
                <w:lang w:eastAsia="lv-LV"/>
              </w:rPr>
              <w:t>Biroja amatpersonām</w:t>
            </w:r>
            <w:r>
              <w:rPr>
                <w:rFonts w:ascii="Times New Roman" w:hAnsi="Times New Roman" w:cs="Times New Roman"/>
                <w:sz w:val="24"/>
                <w:szCs w:val="24"/>
                <w:lang w:eastAsia="lv-LV"/>
              </w:rPr>
              <w:t xml:space="preserve">, kuras ir iesaistītas izmeklēšanas darbību veikšanā </w:t>
            </w:r>
            <w:r w:rsidRPr="00081FE7">
              <w:rPr>
                <w:rFonts w:ascii="Times New Roman" w:hAnsi="Times New Roman" w:cs="Times New Roman"/>
                <w:sz w:val="24"/>
                <w:szCs w:val="24"/>
                <w:shd w:val="clear" w:color="auto" w:fill="FFFFFF"/>
              </w:rPr>
              <w:t>īpaši sarežģītās, smagu vai sevišķi smagu starpreģionāla vai starptautiska rakstura noziegumu lietās</w:t>
            </w:r>
            <w:r>
              <w:rPr>
                <w:rFonts w:ascii="Times New Roman" w:hAnsi="Times New Roman" w:cs="Times New Roman"/>
                <w:sz w:val="24"/>
                <w:szCs w:val="24"/>
                <w:lang w:eastAsia="lv-LV"/>
              </w:rPr>
              <w:t>,</w:t>
            </w:r>
            <w:r w:rsidRPr="00081FE7">
              <w:rPr>
                <w:rFonts w:ascii="Times New Roman" w:hAnsi="Times New Roman" w:cs="Times New Roman"/>
                <w:sz w:val="24"/>
                <w:szCs w:val="24"/>
                <w:lang w:eastAsia="lv-LV"/>
              </w:rPr>
              <w:t xml:space="preserve"> tāpat kā </w:t>
            </w:r>
            <w:r w:rsidRPr="00081FE7">
              <w:rPr>
                <w:rFonts w:ascii="Times New Roman" w:hAnsi="Times New Roman" w:cs="Times New Roman"/>
                <w:sz w:val="24"/>
                <w:szCs w:val="24"/>
                <w:shd w:val="clear" w:color="auto" w:fill="FFFFFF"/>
              </w:rPr>
              <w:t xml:space="preserve">Iekšlietu ministrijas sistēmas iestāžu amatpersonām ar speciālajām dienesta pakāpēm, kurām noteikts pienākums veikt izmeklēšanu īpaši sarežģītās, smagu vai sevišķi smagu starpreģionāla vai starptautiska rakstura </w:t>
            </w:r>
            <w:r w:rsidRPr="00081FE7">
              <w:rPr>
                <w:rFonts w:ascii="Times New Roman" w:hAnsi="Times New Roman" w:cs="Times New Roman"/>
                <w:sz w:val="24"/>
                <w:szCs w:val="24"/>
                <w:shd w:val="clear" w:color="auto" w:fill="FFFFFF"/>
              </w:rPr>
              <w:lastRenderedPageBreak/>
              <w:t>noziegumu lietās, maksimālo mēnešalgas apmēru nosaka atbilstoši rajona (republikas pilsētas) prokurora mēnešalgai</w:t>
            </w:r>
            <w:r>
              <w:rPr>
                <w:rFonts w:ascii="Times New Roman" w:hAnsi="Times New Roman" w:cs="Times New Roman"/>
                <w:sz w:val="24"/>
                <w:szCs w:val="24"/>
                <w:shd w:val="clear" w:color="auto" w:fill="FFFFFF"/>
              </w:rPr>
              <w:t>;</w:t>
            </w:r>
          </w:p>
          <w:p w14:paraId="5F2CBD89" w14:textId="77777777" w:rsidR="00081FE7" w:rsidRDefault="00081FE7" w:rsidP="00081FE7">
            <w:pPr>
              <w:pStyle w:val="ListParagraph"/>
              <w:numPr>
                <w:ilvl w:val="0"/>
                <w:numId w:val="5"/>
              </w:numPr>
              <w:jc w:val="both"/>
              <w:rPr>
                <w:rFonts w:ascii="Times New Roman" w:hAnsi="Times New Roman" w:cs="Times New Roman"/>
                <w:sz w:val="24"/>
                <w:szCs w:val="24"/>
                <w:lang w:eastAsia="lv-LV"/>
              </w:rPr>
            </w:pPr>
            <w:r w:rsidRPr="00081FE7">
              <w:rPr>
                <w:rFonts w:ascii="Times New Roman" w:hAnsi="Times New Roman" w:cs="Times New Roman"/>
                <w:sz w:val="24"/>
                <w:szCs w:val="24"/>
                <w:lang w:eastAsia="lv-LV"/>
              </w:rPr>
              <w:t>Biroja amatperson</w:t>
            </w:r>
            <w:r>
              <w:rPr>
                <w:rFonts w:ascii="Times New Roman" w:hAnsi="Times New Roman" w:cs="Times New Roman"/>
                <w:sz w:val="24"/>
                <w:szCs w:val="24"/>
                <w:lang w:eastAsia="lv-LV"/>
              </w:rPr>
              <w:t xml:space="preserve">u, tāpat kā </w:t>
            </w:r>
            <w:r w:rsidRPr="00081FE7">
              <w:rPr>
                <w:rFonts w:ascii="Times New Roman" w:hAnsi="Times New Roman" w:cs="Times New Roman"/>
                <w:sz w:val="24"/>
                <w:szCs w:val="24"/>
              </w:rPr>
              <w:t>Iekšlietu ministrijas sistēmas iestāžu un Ieslodzījuma vietu pārvaldes amatperson</w:t>
            </w:r>
            <w:r>
              <w:rPr>
                <w:rFonts w:ascii="Times New Roman" w:hAnsi="Times New Roman" w:cs="Times New Roman"/>
                <w:sz w:val="24"/>
                <w:szCs w:val="24"/>
              </w:rPr>
              <w:t>u ar speciālo dienesta pakāpi un</w:t>
            </w:r>
            <w:r w:rsidRPr="00081FE7">
              <w:rPr>
                <w:rFonts w:ascii="Times New Roman" w:hAnsi="Times New Roman" w:cs="Times New Roman"/>
                <w:sz w:val="24"/>
                <w:szCs w:val="24"/>
              </w:rPr>
              <w:t xml:space="preserve"> valsts drošības iestādes amatperson</w:t>
            </w:r>
            <w:r>
              <w:rPr>
                <w:rFonts w:ascii="Times New Roman" w:hAnsi="Times New Roman" w:cs="Times New Roman"/>
                <w:sz w:val="24"/>
                <w:szCs w:val="24"/>
              </w:rPr>
              <w:t>u, var</w:t>
            </w:r>
            <w:r w:rsidRPr="00081FE7">
              <w:rPr>
                <w:rFonts w:ascii="Times New Roman" w:hAnsi="Times New Roman" w:cs="Times New Roman"/>
                <w:sz w:val="24"/>
                <w:szCs w:val="24"/>
                <w:lang w:eastAsia="lv-LV"/>
              </w:rPr>
              <w:t xml:space="preserve"> </w:t>
            </w:r>
            <w:r w:rsidRPr="00081FE7">
              <w:rPr>
                <w:rFonts w:ascii="Times New Roman" w:hAnsi="Times New Roman" w:cs="Times New Roman"/>
                <w:sz w:val="24"/>
                <w:szCs w:val="24"/>
              </w:rPr>
              <w:t xml:space="preserve">atbilstoši </w:t>
            </w:r>
            <w:r>
              <w:rPr>
                <w:rFonts w:ascii="Times New Roman" w:hAnsi="Times New Roman" w:cs="Times New Roman"/>
                <w:sz w:val="24"/>
                <w:szCs w:val="24"/>
              </w:rPr>
              <w:t>institūcijā</w:t>
            </w:r>
            <w:r w:rsidRPr="00081FE7">
              <w:rPr>
                <w:rFonts w:ascii="Times New Roman" w:hAnsi="Times New Roman" w:cs="Times New Roman"/>
                <w:sz w:val="24"/>
                <w:szCs w:val="24"/>
              </w:rPr>
              <w:t xml:space="preserve"> noteiktajai prēmēšanas kārtībai un kritērijiem prēmēt par drošsirdīgu un pašaizliedzīgu rīcību, veicot amata (darba, dienesta) pienākumus, kā arī par tāda valsts drošības apdraudējuma vai nozieguma novēršanu vai atklāšanu, kas radījis vai varēja radīt būtisku kaitējumu</w:t>
            </w:r>
            <w:r>
              <w:rPr>
                <w:rFonts w:ascii="Times New Roman" w:hAnsi="Times New Roman" w:cs="Times New Roman"/>
                <w:sz w:val="24"/>
                <w:szCs w:val="24"/>
              </w:rPr>
              <w:t>, un</w:t>
            </w:r>
            <w:r w:rsidRPr="00081FE7">
              <w:rPr>
                <w:rFonts w:ascii="Times New Roman" w:hAnsi="Times New Roman" w:cs="Times New Roman"/>
                <w:sz w:val="24"/>
                <w:szCs w:val="24"/>
              </w:rPr>
              <w:t xml:space="preserve"> prēmiju kopējais apmērs kalendāra gada laikā nedrīkst pārsniegt divas mēnešalgas, bet ikreizējās prēmijas apmērs nedrīkst pārsniegt 120 procentus no mēnešalgas</w:t>
            </w:r>
            <w:r w:rsidR="009E3B0C">
              <w:rPr>
                <w:rFonts w:ascii="Times New Roman" w:hAnsi="Times New Roman" w:cs="Times New Roman"/>
                <w:sz w:val="24"/>
                <w:szCs w:val="24"/>
              </w:rPr>
              <w:t>.</w:t>
            </w:r>
          </w:p>
          <w:p w14:paraId="52700F2E" w14:textId="77777777" w:rsidR="00081FE7" w:rsidRPr="009B12CF" w:rsidRDefault="00081FE7" w:rsidP="00081FE7">
            <w:pPr>
              <w:jc w:val="both"/>
              <w:rPr>
                <w:rFonts w:ascii="Times New Roman" w:hAnsi="Times New Roman" w:cs="Times New Roman"/>
                <w:sz w:val="24"/>
                <w:szCs w:val="24"/>
                <w:lang w:eastAsia="lv-LV"/>
              </w:rPr>
            </w:pPr>
          </w:p>
          <w:p w14:paraId="30032C75" w14:textId="4AB0D6A8" w:rsidR="00081FE7" w:rsidRDefault="00AC2529" w:rsidP="00081FE7">
            <w:pPr>
              <w:jc w:val="both"/>
              <w:rPr>
                <w:rFonts w:ascii="Times New Roman" w:hAnsi="Times New Roman" w:cs="Times New Roman"/>
                <w:sz w:val="24"/>
                <w:szCs w:val="24"/>
              </w:rPr>
            </w:pPr>
            <w:r>
              <w:rPr>
                <w:rFonts w:ascii="Times New Roman" w:hAnsi="Times New Roman" w:cs="Times New Roman"/>
                <w:sz w:val="24"/>
                <w:szCs w:val="24"/>
                <w:lang w:eastAsia="lv-LV"/>
              </w:rPr>
              <w:t>Tomēr š</w:t>
            </w:r>
            <w:r w:rsidR="009B12CF" w:rsidRPr="009B12CF">
              <w:rPr>
                <w:rFonts w:ascii="Times New Roman" w:hAnsi="Times New Roman" w:cs="Times New Roman"/>
                <w:sz w:val="24"/>
                <w:szCs w:val="24"/>
                <w:lang w:eastAsia="lv-LV"/>
              </w:rPr>
              <w:t xml:space="preserve">āds regulējums neatrisina </w:t>
            </w:r>
            <w:r w:rsidR="009B12CF" w:rsidRPr="009B12CF">
              <w:rPr>
                <w:rFonts w:ascii="Times New Roman" w:hAnsi="Times New Roman" w:cs="Times New Roman"/>
                <w:sz w:val="24"/>
                <w:szCs w:val="24"/>
              </w:rPr>
              <w:t>pārējo</w:t>
            </w:r>
            <w:r w:rsidR="009B12CF">
              <w:rPr>
                <w:rFonts w:ascii="Times New Roman" w:hAnsi="Times New Roman" w:cs="Times New Roman"/>
                <w:sz w:val="24"/>
                <w:szCs w:val="24"/>
              </w:rPr>
              <w:t xml:space="preserve"> Biroja</w:t>
            </w:r>
            <w:r w:rsidR="009B12CF" w:rsidRPr="009B12CF">
              <w:rPr>
                <w:rFonts w:ascii="Times New Roman" w:hAnsi="Times New Roman" w:cs="Times New Roman"/>
                <w:sz w:val="24"/>
                <w:szCs w:val="24"/>
              </w:rPr>
              <w:t xml:space="preserve"> amatpersonu</w:t>
            </w:r>
            <w:r w:rsidR="009B12CF">
              <w:rPr>
                <w:rFonts w:ascii="Times New Roman" w:hAnsi="Times New Roman" w:cs="Times New Roman"/>
                <w:sz w:val="24"/>
                <w:szCs w:val="24"/>
              </w:rPr>
              <w:t xml:space="preserve"> (kuras nav iesaistītas izmeklēšanas darbību veikšanā īpaši sarežģītās, smagu vai sevišķi smagu starpreģionāla vai starptautiska rakstura noziegumu lietās) atlīdzības sistēmu, kas arī ir </w:t>
            </w:r>
            <w:proofErr w:type="gramStart"/>
            <w:r w:rsidR="009B12CF">
              <w:rPr>
                <w:rFonts w:ascii="Times New Roman" w:hAnsi="Times New Roman" w:cs="Times New Roman"/>
                <w:sz w:val="24"/>
                <w:szCs w:val="24"/>
              </w:rPr>
              <w:t>nekonkurētspējīga</w:t>
            </w:r>
            <w:proofErr w:type="gramEnd"/>
            <w:r w:rsidR="009B12CF">
              <w:rPr>
                <w:rFonts w:ascii="Times New Roman" w:hAnsi="Times New Roman" w:cs="Times New Roman"/>
                <w:sz w:val="24"/>
                <w:szCs w:val="24"/>
              </w:rPr>
              <w:t>.</w:t>
            </w:r>
          </w:p>
          <w:p w14:paraId="04CD48B1" w14:textId="7D27BA87" w:rsidR="009B12CF" w:rsidRPr="00104F61" w:rsidRDefault="009B12CF" w:rsidP="00081FE7">
            <w:pPr>
              <w:jc w:val="both"/>
              <w:rPr>
                <w:rFonts w:ascii="Times New Roman" w:hAnsi="Times New Roman" w:cs="Times New Roman"/>
                <w:sz w:val="24"/>
                <w:szCs w:val="24"/>
              </w:rPr>
            </w:pPr>
            <w:r>
              <w:rPr>
                <w:rFonts w:ascii="Times New Roman" w:hAnsi="Times New Roman" w:cs="Times New Roman"/>
                <w:sz w:val="24"/>
                <w:szCs w:val="24"/>
              </w:rPr>
              <w:t xml:space="preserve">Lai </w:t>
            </w:r>
            <w:r w:rsidRPr="00104F61">
              <w:rPr>
                <w:rFonts w:ascii="Times New Roman" w:hAnsi="Times New Roman" w:cs="Times New Roman"/>
                <w:sz w:val="24"/>
                <w:szCs w:val="24"/>
              </w:rPr>
              <w:t>to izveidotu konkurētspējīgu</w:t>
            </w:r>
            <w:r w:rsidR="00411D91">
              <w:rPr>
                <w:rFonts w:ascii="Times New Roman" w:hAnsi="Times New Roman" w:cs="Times New Roman"/>
                <w:sz w:val="24"/>
                <w:szCs w:val="24"/>
              </w:rPr>
              <w:t>,</w:t>
            </w:r>
            <w:r w:rsidRPr="00104F61">
              <w:rPr>
                <w:rFonts w:ascii="Times New Roman" w:hAnsi="Times New Roman" w:cs="Times New Roman"/>
                <w:sz w:val="24"/>
                <w:szCs w:val="24"/>
              </w:rPr>
              <w:t xml:space="preserve"> būtu jāpieņem regulējums, ko paredz likumprojekts "Valsts un pašvaldību institūciju amatpersonu</w:t>
            </w:r>
            <w:r w:rsidR="002674D9">
              <w:rPr>
                <w:rFonts w:ascii="Times New Roman" w:hAnsi="Times New Roman" w:cs="Times New Roman"/>
                <w:sz w:val="24"/>
                <w:szCs w:val="24"/>
              </w:rPr>
              <w:t xml:space="preserve"> un darbinieku</w:t>
            </w:r>
            <w:r w:rsidRPr="00104F61">
              <w:rPr>
                <w:rFonts w:ascii="Times New Roman" w:hAnsi="Times New Roman" w:cs="Times New Roman"/>
                <w:sz w:val="24"/>
                <w:szCs w:val="24"/>
              </w:rPr>
              <w:t xml:space="preserve"> atlīdzības likum</w:t>
            </w:r>
            <w:r w:rsidR="002674D9">
              <w:rPr>
                <w:rFonts w:ascii="Times New Roman" w:hAnsi="Times New Roman" w:cs="Times New Roman"/>
                <w:sz w:val="24"/>
                <w:szCs w:val="24"/>
              </w:rPr>
              <w:t>s</w:t>
            </w:r>
            <w:r w:rsidRPr="00104F61">
              <w:rPr>
                <w:rFonts w:ascii="Times New Roman" w:hAnsi="Times New Roman" w:cs="Times New Roman"/>
                <w:sz w:val="24"/>
                <w:szCs w:val="24"/>
              </w:rPr>
              <w:t>" (VSS-64). Tomēr</w:t>
            </w:r>
            <w:r w:rsidR="00276E37">
              <w:rPr>
                <w:rFonts w:ascii="Times New Roman" w:hAnsi="Times New Roman" w:cs="Times New Roman"/>
                <w:sz w:val="24"/>
                <w:szCs w:val="24"/>
              </w:rPr>
              <w:t xml:space="preserve"> </w:t>
            </w:r>
            <w:r w:rsidRPr="00104F61">
              <w:rPr>
                <w:rFonts w:ascii="Times New Roman" w:hAnsi="Times New Roman" w:cs="Times New Roman"/>
                <w:sz w:val="24"/>
                <w:szCs w:val="24"/>
              </w:rPr>
              <w:t xml:space="preserve">projekta ietvaros ir izteikti vairāki konceptuāli iebildumi un nav paredzama ātra minētā likumprojekta pieņemšana, bet Birojam </w:t>
            </w:r>
            <w:r w:rsidR="00AC2529" w:rsidRPr="00104F61">
              <w:rPr>
                <w:rFonts w:ascii="Times New Roman" w:hAnsi="Times New Roman" w:cs="Times New Roman"/>
                <w:sz w:val="24"/>
                <w:szCs w:val="24"/>
              </w:rPr>
              <w:t xml:space="preserve">nepieciešams ātrs </w:t>
            </w:r>
            <w:r w:rsidRPr="00104F61">
              <w:rPr>
                <w:rFonts w:ascii="Times New Roman" w:hAnsi="Times New Roman" w:cs="Times New Roman"/>
                <w:sz w:val="24"/>
                <w:szCs w:val="24"/>
              </w:rPr>
              <w:t>atlīdzības jautājum</w:t>
            </w:r>
            <w:r w:rsidR="003134E3" w:rsidRPr="00104F61">
              <w:rPr>
                <w:rFonts w:ascii="Times New Roman" w:hAnsi="Times New Roman" w:cs="Times New Roman"/>
                <w:sz w:val="24"/>
                <w:szCs w:val="24"/>
              </w:rPr>
              <w:t>u risinājums, lai to ieviestu no 2021. gada 1. janvāra.</w:t>
            </w:r>
            <w:r w:rsidR="001D059E">
              <w:rPr>
                <w:rFonts w:ascii="Times New Roman" w:hAnsi="Times New Roman" w:cs="Times New Roman"/>
                <w:sz w:val="24"/>
                <w:szCs w:val="24"/>
              </w:rPr>
              <w:t xml:space="preserve"> Tādējādi veicinot, ka tiek </w:t>
            </w:r>
            <w:r w:rsidR="001D059E" w:rsidRPr="008D63EC">
              <w:rPr>
                <w:rFonts w:ascii="Times New Roman" w:hAnsi="Times New Roman" w:cs="Times New Roman"/>
                <w:sz w:val="24"/>
                <w:szCs w:val="24"/>
                <w:lang w:eastAsia="lv-LV"/>
              </w:rPr>
              <w:t>stiprin</w:t>
            </w:r>
            <w:r w:rsidR="001D059E">
              <w:rPr>
                <w:rFonts w:ascii="Times New Roman" w:hAnsi="Times New Roman" w:cs="Times New Roman"/>
                <w:sz w:val="24"/>
                <w:szCs w:val="24"/>
                <w:lang w:eastAsia="lv-LV"/>
              </w:rPr>
              <w:t>ātas</w:t>
            </w:r>
            <w:r w:rsidR="001D059E" w:rsidRPr="008D63EC">
              <w:rPr>
                <w:rFonts w:ascii="Times New Roman" w:hAnsi="Times New Roman" w:cs="Times New Roman"/>
                <w:sz w:val="24"/>
                <w:szCs w:val="24"/>
                <w:lang w:eastAsia="lv-LV"/>
              </w:rPr>
              <w:t xml:space="preserve"> </w:t>
            </w:r>
            <w:r w:rsidR="001D059E">
              <w:rPr>
                <w:rFonts w:ascii="Times New Roman" w:hAnsi="Times New Roman" w:cs="Times New Roman"/>
                <w:sz w:val="24"/>
                <w:szCs w:val="24"/>
                <w:lang w:eastAsia="lv-LV"/>
              </w:rPr>
              <w:t>Biroja</w:t>
            </w:r>
            <w:r w:rsidR="001D059E" w:rsidRPr="008D63EC">
              <w:rPr>
                <w:rFonts w:ascii="Times New Roman" w:hAnsi="Times New Roman" w:cs="Times New Roman"/>
                <w:sz w:val="24"/>
                <w:szCs w:val="24"/>
                <w:lang w:eastAsia="lv-LV"/>
              </w:rPr>
              <w:t xml:space="preserve"> operatīvās</w:t>
            </w:r>
            <w:r w:rsidR="00C079A5">
              <w:rPr>
                <w:rFonts w:ascii="Times New Roman" w:hAnsi="Times New Roman" w:cs="Times New Roman"/>
                <w:sz w:val="24"/>
                <w:szCs w:val="24"/>
                <w:lang w:eastAsia="lv-LV"/>
              </w:rPr>
              <w:t>,</w:t>
            </w:r>
            <w:r w:rsidR="001D059E" w:rsidRPr="008D63EC">
              <w:rPr>
                <w:rFonts w:ascii="Times New Roman" w:hAnsi="Times New Roman" w:cs="Times New Roman"/>
                <w:sz w:val="24"/>
                <w:szCs w:val="24"/>
                <w:lang w:eastAsia="lv-LV"/>
              </w:rPr>
              <w:t xml:space="preserve"> izmeklēšanas</w:t>
            </w:r>
            <w:r w:rsidR="00C079A5">
              <w:rPr>
                <w:rFonts w:ascii="Times New Roman" w:hAnsi="Times New Roman" w:cs="Times New Roman"/>
                <w:sz w:val="24"/>
                <w:szCs w:val="24"/>
                <w:lang w:eastAsia="lv-LV"/>
              </w:rPr>
              <w:t xml:space="preserve"> un analītiskās</w:t>
            </w:r>
            <w:r w:rsidR="001D059E" w:rsidRPr="008D63EC">
              <w:rPr>
                <w:rFonts w:ascii="Times New Roman" w:hAnsi="Times New Roman" w:cs="Times New Roman"/>
                <w:sz w:val="24"/>
                <w:szCs w:val="24"/>
                <w:lang w:eastAsia="lv-LV"/>
              </w:rPr>
              <w:t xml:space="preserve"> spējas, novēršot un apkarojot noziedzīgus nodarījumus</w:t>
            </w:r>
            <w:r w:rsidR="001D059E">
              <w:rPr>
                <w:rFonts w:ascii="Times New Roman" w:hAnsi="Times New Roman" w:cs="Times New Roman"/>
                <w:sz w:val="24"/>
                <w:szCs w:val="24"/>
                <w:lang w:eastAsia="lv-LV"/>
              </w:rPr>
              <w:t>.</w:t>
            </w:r>
          </w:p>
          <w:p w14:paraId="526A6D04" w14:textId="77777777" w:rsidR="003134E3" w:rsidRPr="00104F61" w:rsidRDefault="003134E3" w:rsidP="00081FE7">
            <w:pPr>
              <w:jc w:val="both"/>
              <w:rPr>
                <w:rFonts w:ascii="Times New Roman" w:hAnsi="Times New Roman" w:cs="Times New Roman"/>
                <w:sz w:val="24"/>
                <w:szCs w:val="24"/>
              </w:rPr>
            </w:pPr>
            <w:r w:rsidRPr="00104F61">
              <w:rPr>
                <w:rFonts w:ascii="Times New Roman" w:hAnsi="Times New Roman" w:cs="Times New Roman"/>
                <w:sz w:val="24"/>
                <w:szCs w:val="24"/>
              </w:rPr>
              <w:t>Ievērojot minēto, Likumprojekts paredz atteikties no kopējās atalgojuma skalas izmantošanas un ieviest jaunu progresīvu skalu, ko jau paredzēja likumprojekts "Valsts un pašvaldību institūciju amatpersonu</w:t>
            </w:r>
            <w:r w:rsidR="002674D9">
              <w:rPr>
                <w:rFonts w:ascii="Times New Roman" w:hAnsi="Times New Roman" w:cs="Times New Roman"/>
                <w:sz w:val="24"/>
                <w:szCs w:val="24"/>
              </w:rPr>
              <w:t xml:space="preserve"> un darbinieku</w:t>
            </w:r>
            <w:r w:rsidRPr="00104F61">
              <w:rPr>
                <w:rFonts w:ascii="Times New Roman" w:hAnsi="Times New Roman" w:cs="Times New Roman"/>
                <w:sz w:val="24"/>
                <w:szCs w:val="24"/>
              </w:rPr>
              <w:t xml:space="preserve"> atlīdzības likum</w:t>
            </w:r>
            <w:r w:rsidR="002674D9">
              <w:rPr>
                <w:rFonts w:ascii="Times New Roman" w:hAnsi="Times New Roman" w:cs="Times New Roman"/>
                <w:sz w:val="24"/>
                <w:szCs w:val="24"/>
              </w:rPr>
              <w:t>s</w:t>
            </w:r>
            <w:r w:rsidRPr="00104F61">
              <w:rPr>
                <w:rFonts w:ascii="Times New Roman" w:hAnsi="Times New Roman" w:cs="Times New Roman"/>
                <w:sz w:val="24"/>
                <w:szCs w:val="24"/>
              </w:rPr>
              <w:t>" (VSS-64).</w:t>
            </w:r>
          </w:p>
          <w:p w14:paraId="57E50D91" w14:textId="77777777" w:rsidR="003134E3" w:rsidRPr="00104F61" w:rsidRDefault="003134E3" w:rsidP="00081FE7">
            <w:pPr>
              <w:jc w:val="both"/>
              <w:rPr>
                <w:rFonts w:ascii="Times New Roman" w:hAnsi="Times New Roman" w:cs="Times New Roman"/>
                <w:sz w:val="24"/>
                <w:szCs w:val="24"/>
              </w:rPr>
            </w:pPr>
            <w:r w:rsidRPr="00104F61">
              <w:rPr>
                <w:rFonts w:ascii="Times New Roman" w:hAnsi="Times New Roman" w:cs="Times New Roman"/>
                <w:sz w:val="24"/>
                <w:szCs w:val="24"/>
              </w:rPr>
              <w:t xml:space="preserve">Šāda </w:t>
            </w:r>
            <w:r w:rsidR="00975A3F" w:rsidRPr="00104F61">
              <w:rPr>
                <w:rFonts w:ascii="Times New Roman" w:hAnsi="Times New Roman" w:cs="Times New Roman"/>
                <w:sz w:val="24"/>
                <w:szCs w:val="24"/>
              </w:rPr>
              <w:t xml:space="preserve">atalgojuma </w:t>
            </w:r>
            <w:r w:rsidRPr="00104F61">
              <w:rPr>
                <w:rFonts w:ascii="Times New Roman" w:hAnsi="Times New Roman" w:cs="Times New Roman"/>
                <w:sz w:val="24"/>
                <w:szCs w:val="24"/>
              </w:rPr>
              <w:t>skala ieviešama, jo</w:t>
            </w:r>
            <w:r w:rsidR="00975A3F" w:rsidRPr="00104F61">
              <w:rPr>
                <w:rFonts w:ascii="Times New Roman" w:hAnsi="Times New Roman" w:cs="Times New Roman"/>
                <w:sz w:val="24"/>
                <w:szCs w:val="24"/>
              </w:rPr>
              <w:t xml:space="preserve"> tā izteikta koeficientos</w:t>
            </w:r>
            <w:r w:rsidR="00C84054">
              <w:rPr>
                <w:rFonts w:ascii="Times New Roman" w:hAnsi="Times New Roman" w:cs="Times New Roman"/>
                <w:sz w:val="24"/>
                <w:szCs w:val="24"/>
              </w:rPr>
              <w:t xml:space="preserve"> pret bāzes algu</w:t>
            </w:r>
            <w:r w:rsidR="00975A3F" w:rsidRPr="00104F61">
              <w:rPr>
                <w:rFonts w:ascii="Times New Roman" w:hAnsi="Times New Roman" w:cs="Times New Roman"/>
                <w:sz w:val="24"/>
                <w:szCs w:val="24"/>
              </w:rPr>
              <w:t xml:space="preserve">, </w:t>
            </w:r>
            <w:r w:rsidR="00C84054">
              <w:rPr>
                <w:rFonts w:ascii="Times New Roman" w:hAnsi="Times New Roman" w:cs="Times New Roman"/>
                <w:sz w:val="24"/>
                <w:szCs w:val="24"/>
              </w:rPr>
              <w:t>tād</w:t>
            </w:r>
            <w:r w:rsidR="001E3537">
              <w:rPr>
                <w:rFonts w:ascii="Times New Roman" w:hAnsi="Times New Roman" w:cs="Times New Roman"/>
                <w:sz w:val="24"/>
                <w:szCs w:val="24"/>
              </w:rPr>
              <w:t>ē</w:t>
            </w:r>
            <w:r w:rsidR="00C84054">
              <w:rPr>
                <w:rFonts w:ascii="Times New Roman" w:hAnsi="Times New Roman" w:cs="Times New Roman"/>
                <w:sz w:val="24"/>
                <w:szCs w:val="24"/>
              </w:rPr>
              <w:t>jādi</w:t>
            </w:r>
            <w:r w:rsidR="00975A3F" w:rsidRPr="00104F61">
              <w:rPr>
                <w:rFonts w:ascii="Times New Roman" w:hAnsi="Times New Roman" w:cs="Times New Roman"/>
                <w:sz w:val="24"/>
                <w:szCs w:val="24"/>
              </w:rPr>
              <w:t xml:space="preserve"> pielāgo</w:t>
            </w:r>
            <w:r w:rsidR="00C84054">
              <w:rPr>
                <w:rFonts w:ascii="Times New Roman" w:hAnsi="Times New Roman" w:cs="Times New Roman"/>
                <w:sz w:val="24"/>
                <w:szCs w:val="24"/>
              </w:rPr>
              <w:t>jo</w:t>
            </w:r>
            <w:r w:rsidR="00975A3F" w:rsidRPr="00104F61">
              <w:rPr>
                <w:rFonts w:ascii="Times New Roman" w:hAnsi="Times New Roman" w:cs="Times New Roman"/>
                <w:sz w:val="24"/>
                <w:szCs w:val="24"/>
              </w:rPr>
              <w:t>t</w:t>
            </w:r>
            <w:r w:rsidR="00C84054">
              <w:rPr>
                <w:rFonts w:ascii="Times New Roman" w:hAnsi="Times New Roman" w:cs="Times New Roman"/>
                <w:sz w:val="24"/>
                <w:szCs w:val="24"/>
              </w:rPr>
              <w:t xml:space="preserve"> to</w:t>
            </w:r>
            <w:r w:rsidR="00975A3F" w:rsidRPr="00104F61">
              <w:rPr>
                <w:rFonts w:ascii="Times New Roman" w:hAnsi="Times New Roman" w:cs="Times New Roman"/>
                <w:sz w:val="24"/>
                <w:szCs w:val="24"/>
              </w:rPr>
              <w:t xml:space="preserve"> </w:t>
            </w:r>
            <w:r w:rsidR="00C84054">
              <w:rPr>
                <w:rFonts w:ascii="Times New Roman" w:hAnsi="Times New Roman" w:cs="Times New Roman"/>
                <w:sz w:val="24"/>
                <w:szCs w:val="24"/>
              </w:rPr>
              <w:t>ekonomikas attīstības</w:t>
            </w:r>
            <w:r w:rsidR="00975A3F" w:rsidRPr="00104F61">
              <w:rPr>
                <w:rFonts w:ascii="Times New Roman" w:hAnsi="Times New Roman" w:cs="Times New Roman"/>
                <w:sz w:val="24"/>
                <w:szCs w:val="24"/>
              </w:rPr>
              <w:t xml:space="preserve"> tendencēm.</w:t>
            </w:r>
          </w:p>
          <w:p w14:paraId="094648B9" w14:textId="77777777" w:rsidR="00C42F19" w:rsidRDefault="00C42F19" w:rsidP="00C42F19">
            <w:pPr>
              <w:jc w:val="both"/>
              <w:rPr>
                <w:rFonts w:ascii="Times New Roman" w:hAnsi="Times New Roman" w:cs="Times New Roman"/>
                <w:sz w:val="24"/>
                <w:szCs w:val="24"/>
              </w:rPr>
            </w:pPr>
            <w:r w:rsidRPr="00104F61">
              <w:rPr>
                <w:rFonts w:ascii="Times New Roman" w:hAnsi="Times New Roman" w:cs="Times New Roman"/>
                <w:sz w:val="24"/>
                <w:szCs w:val="24"/>
              </w:rPr>
              <w:t xml:space="preserve">Proti, šāds regulējums izvēlēts, lai varētu operatīvāk sekot līdzi ekonomikas attīstības procesiem valstī, tas ir, ja ekonomika aug un bāzes alga palielinās, tad paaugstinās arī mēnešalgu skala un institūcija var paaugstināt mēnešalgas, ja ir tāda iespēja (tai ir pieejami finanšu resursi) un to pieļauj atlīdzības fonds. Gadījumā, ja skalu veido konkrētas mēnešalgas vērtības (kā piemēram, arī Valsts ieņēmumu </w:t>
            </w:r>
            <w:r w:rsidR="00B603E6">
              <w:rPr>
                <w:rFonts w:ascii="Times New Roman" w:hAnsi="Times New Roman" w:cs="Times New Roman"/>
                <w:sz w:val="24"/>
                <w:szCs w:val="24"/>
              </w:rPr>
              <w:t xml:space="preserve">dienesta </w:t>
            </w:r>
            <w:r w:rsidRPr="00104F61">
              <w:rPr>
                <w:rFonts w:ascii="Times New Roman" w:hAnsi="Times New Roman" w:cs="Times New Roman"/>
                <w:sz w:val="24"/>
                <w:szCs w:val="24"/>
              </w:rPr>
              <w:t xml:space="preserve">gadījumā, </w:t>
            </w:r>
            <w:r w:rsidRPr="00104F61">
              <w:rPr>
                <w:rFonts w:ascii="Times New Roman" w:hAnsi="Times New Roman" w:cs="Times New Roman"/>
                <w:sz w:val="24"/>
                <w:szCs w:val="24"/>
              </w:rPr>
              <w:lastRenderedPageBreak/>
              <w:t>Atlīdzības likuma 4. pielikums) un tā nav saistīta ar bāzes algu, jebkuras izmaiņas ir veicamas tikai ar grozījumiem normatīvajos aktos, kas rada papildu administratīvo slogu. Tas ir viens no iemesliem, kāpēc ilgstoši nebija iespējams veikt izmaiņas esošajā mēnešalgu skalā, neskatoties uz neskaitāmiem pierādījumiem, ka skala ir zaudējusi konkurētspēju.</w:t>
            </w:r>
          </w:p>
          <w:p w14:paraId="68609AE6" w14:textId="3EFC521B" w:rsidR="00104F61" w:rsidRPr="00104F61" w:rsidRDefault="00104F61" w:rsidP="00C42F19">
            <w:pPr>
              <w:jc w:val="both"/>
              <w:rPr>
                <w:rFonts w:ascii="Times New Roman" w:hAnsi="Times New Roman" w:cs="Times New Roman"/>
                <w:sz w:val="24"/>
                <w:szCs w:val="24"/>
              </w:rPr>
            </w:pPr>
            <w:r>
              <w:rPr>
                <w:rFonts w:ascii="Times New Roman" w:hAnsi="Times New Roman" w:cs="Times New Roman"/>
                <w:sz w:val="24"/>
                <w:szCs w:val="24"/>
              </w:rPr>
              <w:t xml:space="preserve">Ievērojot minēto, Likumprojektā paredzēts papildināt Atlīdzības likumu ar jaunu pielikumu </w:t>
            </w:r>
            <w:r w:rsidRPr="00104F61">
              <w:rPr>
                <w:rFonts w:ascii="Times New Roman" w:hAnsi="Times New Roman" w:cs="Times New Roman"/>
                <w:sz w:val="24"/>
                <w:szCs w:val="24"/>
              </w:rPr>
              <w:t>"Korupcijas novēršanas un apkarošanas biroja amatpersonu (darbinieku)</w:t>
            </w:r>
            <w:r w:rsidRPr="00104F61">
              <w:rPr>
                <w:rFonts w:ascii="Times New Roman" w:eastAsia="Times New Roman" w:hAnsi="Times New Roman"/>
                <w:bCs/>
                <w:sz w:val="24"/>
                <w:szCs w:val="24"/>
                <w:lang w:eastAsia="lv-LV"/>
              </w:rPr>
              <w:t xml:space="preserve"> mēnešalgu grupas un to mēnešalgas intervāli"</w:t>
            </w:r>
            <w:r>
              <w:rPr>
                <w:rFonts w:ascii="Times New Roman" w:eastAsia="Times New Roman" w:hAnsi="Times New Roman"/>
                <w:bCs/>
                <w:sz w:val="24"/>
                <w:szCs w:val="24"/>
                <w:lang w:eastAsia="lv-LV"/>
              </w:rPr>
              <w:t xml:space="preserve">, kur </w:t>
            </w:r>
            <w:r w:rsidRPr="00104F61">
              <w:rPr>
                <w:rFonts w:ascii="Times New Roman" w:eastAsia="Times New Roman" w:hAnsi="Times New Roman" w:cs="Times New Roman"/>
                <w:bCs/>
                <w:sz w:val="24"/>
                <w:szCs w:val="24"/>
                <w:lang w:eastAsia="lv-LV"/>
              </w:rPr>
              <w:t>mēn</w:t>
            </w:r>
            <w:r>
              <w:rPr>
                <w:rFonts w:ascii="Times New Roman" w:eastAsia="Times New Roman" w:hAnsi="Times New Roman" w:cs="Times New Roman"/>
                <w:bCs/>
                <w:sz w:val="24"/>
                <w:szCs w:val="24"/>
                <w:lang w:eastAsia="lv-LV"/>
              </w:rPr>
              <w:t>ešalgu intervāli izteikti</w:t>
            </w:r>
            <w:r w:rsidRPr="00104F61">
              <w:rPr>
                <w:rFonts w:ascii="Times New Roman" w:eastAsia="Times New Roman" w:hAnsi="Times New Roman" w:cs="Times New Roman"/>
                <w:bCs/>
                <w:sz w:val="24"/>
                <w:szCs w:val="24"/>
                <w:lang w:eastAsia="lv-LV"/>
              </w:rPr>
              <w:t xml:space="preserve"> koeficient</w:t>
            </w:r>
            <w:r>
              <w:rPr>
                <w:rFonts w:ascii="Times New Roman" w:eastAsia="Times New Roman" w:hAnsi="Times New Roman" w:cs="Times New Roman"/>
                <w:bCs/>
                <w:sz w:val="24"/>
                <w:szCs w:val="24"/>
                <w:lang w:eastAsia="lv-LV"/>
              </w:rPr>
              <w:t>os</w:t>
            </w:r>
            <w:r w:rsidRPr="00104F61">
              <w:rPr>
                <w:rFonts w:ascii="Times New Roman" w:eastAsia="Times New Roman" w:hAnsi="Times New Roman" w:cs="Times New Roman"/>
                <w:bCs/>
                <w:sz w:val="24"/>
                <w:szCs w:val="24"/>
                <w:lang w:eastAsia="lv-LV"/>
              </w:rPr>
              <w:t xml:space="preserve"> pret bāzes algu</w:t>
            </w:r>
            <w:r w:rsidR="002A4F08">
              <w:rPr>
                <w:rFonts w:ascii="Times New Roman" w:eastAsia="Times New Roman" w:hAnsi="Times New Roman" w:cs="Times New Roman"/>
                <w:bCs/>
                <w:sz w:val="24"/>
                <w:szCs w:val="24"/>
                <w:lang w:eastAsia="lv-LV"/>
              </w:rPr>
              <w:t xml:space="preserve">, vienlaikus nodrošinot, ka tiek ievērota Atlīdzības likuma 4. panta pirmā daļa, tas ir, 16. mēnešalgas maksimuma koeficients </w:t>
            </w:r>
            <w:r w:rsidR="00433AD9">
              <w:rPr>
                <w:rFonts w:ascii="Times New Roman" w:eastAsia="Times New Roman" w:hAnsi="Times New Roman" w:cs="Times New Roman"/>
                <w:bCs/>
                <w:sz w:val="24"/>
                <w:szCs w:val="24"/>
                <w:lang w:eastAsia="lv-LV"/>
              </w:rPr>
              <w:t>ir zemāks par</w:t>
            </w:r>
            <w:r w:rsidR="002A4F08">
              <w:rPr>
                <w:rFonts w:ascii="Times New Roman" w:eastAsia="Times New Roman" w:hAnsi="Times New Roman" w:cs="Times New Roman"/>
                <w:bCs/>
                <w:sz w:val="24"/>
                <w:szCs w:val="24"/>
                <w:lang w:eastAsia="lv-LV"/>
              </w:rPr>
              <w:t xml:space="preserve"> Ministru prezidenta koeficientu</w:t>
            </w:r>
            <w:r>
              <w:rPr>
                <w:rFonts w:ascii="Times New Roman" w:eastAsia="Times New Roman" w:hAnsi="Times New Roman" w:cs="Times New Roman"/>
                <w:bCs/>
                <w:sz w:val="24"/>
                <w:szCs w:val="24"/>
                <w:lang w:eastAsia="lv-LV"/>
              </w:rPr>
              <w:t>.</w:t>
            </w:r>
          </w:p>
          <w:p w14:paraId="5D236483" w14:textId="77777777" w:rsidR="008D63EC" w:rsidRPr="008D63EC" w:rsidRDefault="008D63EC" w:rsidP="008D63EC">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t>Bāzes mēnešalgas apmērs (Atlīdzības likuma 4.</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panta otrā daļa) 2020.</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gadā ir 976,47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 bet 2021.</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gadā – 1</w:t>
            </w:r>
            <w:r w:rsidR="001D059E">
              <w:rPr>
                <w:rFonts w:ascii="Times New Roman" w:hAnsi="Times New Roman" w:cs="Times New Roman"/>
                <w:sz w:val="24"/>
                <w:szCs w:val="24"/>
                <w:lang w:eastAsia="lv-LV"/>
              </w:rPr>
              <w:t> </w:t>
            </w:r>
            <w:r w:rsidRPr="008D63EC">
              <w:rPr>
                <w:rFonts w:ascii="Times New Roman" w:hAnsi="Times New Roman" w:cs="Times New Roman"/>
                <w:sz w:val="24"/>
                <w:szCs w:val="24"/>
                <w:lang w:eastAsia="lv-LV"/>
              </w:rPr>
              <w:t xml:space="preserve">025,29 </w:t>
            </w:r>
            <w:proofErr w:type="spellStart"/>
            <w:r w:rsidRPr="008D63EC">
              <w:rPr>
                <w:rFonts w:ascii="Times New Roman" w:hAnsi="Times New Roman" w:cs="Times New Roman"/>
                <w:i/>
                <w:sz w:val="24"/>
                <w:szCs w:val="24"/>
                <w:lang w:eastAsia="lv-LV"/>
              </w:rPr>
              <w:t>euro</w:t>
            </w:r>
            <w:proofErr w:type="spellEnd"/>
            <w:r w:rsidRPr="008D63EC">
              <w:rPr>
                <w:rFonts w:ascii="Times New Roman" w:hAnsi="Times New Roman" w:cs="Times New Roman"/>
                <w:sz w:val="24"/>
                <w:szCs w:val="24"/>
                <w:lang w:eastAsia="lv-LV"/>
              </w:rPr>
              <w:t xml:space="preserve">. Bāzes mēnešalgas apmēru nosaka, ņemot vērā gan valstī strādājošo aizpagājušā gada mēneša vidējās darba samaksas apmēra pieaugumu procentos pret iepriekšējo gadu, gan aizpagājušā gada inflāciju procentos pret iepriekšējo gadu. </w:t>
            </w:r>
          </w:p>
          <w:p w14:paraId="31D3D234" w14:textId="4A6C100C" w:rsidR="00104F61" w:rsidRPr="00104F61" w:rsidRDefault="00104F61" w:rsidP="00104F61">
            <w:pPr>
              <w:jc w:val="both"/>
              <w:rPr>
                <w:rFonts w:ascii="Times New Roman" w:hAnsi="Times New Roman" w:cs="Times New Roman"/>
                <w:sz w:val="24"/>
                <w:szCs w:val="24"/>
              </w:rPr>
            </w:pPr>
            <w:r w:rsidRPr="00104F61">
              <w:rPr>
                <w:rFonts w:ascii="Times New Roman" w:hAnsi="Times New Roman" w:cs="Times New Roman"/>
                <w:sz w:val="24"/>
                <w:szCs w:val="24"/>
              </w:rPr>
              <w:t xml:space="preserve">Skalas </w:t>
            </w:r>
            <w:r w:rsidRPr="00104F61">
              <w:rPr>
                <w:rFonts w:ascii="Times New Roman" w:hAnsi="Times New Roman" w:cs="Times New Roman"/>
                <w:sz w:val="24"/>
                <w:szCs w:val="24"/>
                <w:u w:val="single"/>
              </w:rPr>
              <w:t>minimums</w:t>
            </w:r>
            <w:r w:rsidRPr="00104F61">
              <w:rPr>
                <w:rFonts w:ascii="Times New Roman" w:hAnsi="Times New Roman" w:cs="Times New Roman"/>
                <w:sz w:val="24"/>
                <w:szCs w:val="24"/>
              </w:rPr>
              <w:t xml:space="preserve"> nozīmē, ka amatpersonu (darbinieku) atlīdz</w:t>
            </w:r>
            <w:r>
              <w:rPr>
                <w:rFonts w:ascii="Times New Roman" w:hAnsi="Times New Roman" w:cs="Times New Roman"/>
                <w:sz w:val="24"/>
                <w:szCs w:val="24"/>
              </w:rPr>
              <w:t xml:space="preserve">ība </w:t>
            </w:r>
            <w:r w:rsidR="00796AEA">
              <w:rPr>
                <w:rFonts w:ascii="Times New Roman" w:hAnsi="Times New Roman" w:cs="Times New Roman"/>
                <w:sz w:val="24"/>
                <w:szCs w:val="24"/>
              </w:rPr>
              <w:t xml:space="preserve">nedrīkst būt </w:t>
            </w:r>
            <w:r>
              <w:rPr>
                <w:rFonts w:ascii="Times New Roman" w:hAnsi="Times New Roman" w:cs="Times New Roman"/>
                <w:sz w:val="24"/>
                <w:szCs w:val="24"/>
              </w:rPr>
              <w:t>zemāka par šo līmeni.</w:t>
            </w:r>
            <w:r w:rsidRPr="00104F61">
              <w:rPr>
                <w:rFonts w:ascii="Times New Roman" w:hAnsi="Times New Roman" w:cs="Times New Roman"/>
                <w:sz w:val="24"/>
                <w:szCs w:val="24"/>
              </w:rPr>
              <w:t xml:space="preserve"> Skalas minimums ir par 30 % zemāks par viduspunktu. </w:t>
            </w:r>
          </w:p>
          <w:p w14:paraId="2633DBDA" w14:textId="77777777" w:rsidR="00104F61" w:rsidRPr="00104F61" w:rsidRDefault="00104F61" w:rsidP="00104F61">
            <w:pPr>
              <w:jc w:val="both"/>
              <w:rPr>
                <w:rFonts w:ascii="Times New Roman" w:hAnsi="Times New Roman" w:cs="Times New Roman"/>
                <w:sz w:val="24"/>
                <w:szCs w:val="24"/>
              </w:rPr>
            </w:pPr>
            <w:r w:rsidRPr="00104F61">
              <w:rPr>
                <w:rFonts w:ascii="Times New Roman" w:hAnsi="Times New Roman" w:cs="Times New Roman"/>
                <w:sz w:val="24"/>
                <w:szCs w:val="24"/>
              </w:rPr>
              <w:t xml:space="preserve">Skalas </w:t>
            </w:r>
            <w:r w:rsidRPr="00104F61">
              <w:rPr>
                <w:rFonts w:ascii="Times New Roman" w:hAnsi="Times New Roman" w:cs="Times New Roman"/>
                <w:sz w:val="24"/>
                <w:szCs w:val="24"/>
                <w:u w:val="single"/>
              </w:rPr>
              <w:t>viduspunkts</w:t>
            </w:r>
            <w:r w:rsidRPr="00104F61">
              <w:rPr>
                <w:rFonts w:ascii="Times New Roman" w:hAnsi="Times New Roman" w:cs="Times New Roman"/>
                <w:sz w:val="24"/>
                <w:szCs w:val="24"/>
              </w:rPr>
              <w:t xml:space="preserve"> ir vēlamais mēnešalgas līmenis, kas atbilst valsts pārvaldē nodarbināto mērķa mēnešalgas līmenim – 80 % (vidēji) no līdzīgas vērtības amatu atlīdzības darba tirgū. </w:t>
            </w:r>
          </w:p>
          <w:p w14:paraId="2E85EE32" w14:textId="2EB088B5" w:rsidR="00104F61" w:rsidRPr="00104F61" w:rsidRDefault="00104F61" w:rsidP="00104F61">
            <w:pPr>
              <w:jc w:val="both"/>
              <w:rPr>
                <w:rFonts w:ascii="Times New Roman" w:hAnsi="Times New Roman" w:cs="Times New Roman"/>
                <w:sz w:val="24"/>
                <w:szCs w:val="24"/>
              </w:rPr>
            </w:pPr>
            <w:r w:rsidRPr="00104F61">
              <w:rPr>
                <w:rFonts w:ascii="Times New Roman" w:hAnsi="Times New Roman" w:cs="Times New Roman"/>
                <w:sz w:val="24"/>
                <w:szCs w:val="24"/>
              </w:rPr>
              <w:t xml:space="preserve">Skalas </w:t>
            </w:r>
            <w:r w:rsidRPr="00104F61">
              <w:rPr>
                <w:rFonts w:ascii="Times New Roman" w:hAnsi="Times New Roman" w:cs="Times New Roman"/>
                <w:sz w:val="24"/>
                <w:szCs w:val="24"/>
                <w:u w:val="single"/>
              </w:rPr>
              <w:t>maksimums</w:t>
            </w:r>
            <w:r w:rsidRPr="00104F61">
              <w:rPr>
                <w:rFonts w:ascii="Times New Roman" w:hAnsi="Times New Roman" w:cs="Times New Roman"/>
                <w:sz w:val="24"/>
                <w:szCs w:val="24"/>
              </w:rPr>
              <w:t xml:space="preserve"> ir maksimālās iespējamās mēnešalgas līmenis, kuru nedrīkst pārsniegt</w:t>
            </w:r>
            <w:r>
              <w:rPr>
                <w:rFonts w:ascii="Times New Roman" w:hAnsi="Times New Roman" w:cs="Times New Roman"/>
                <w:sz w:val="24"/>
                <w:szCs w:val="24"/>
              </w:rPr>
              <w:t>.</w:t>
            </w:r>
            <w:r w:rsidRPr="00104F61">
              <w:rPr>
                <w:rFonts w:ascii="Times New Roman" w:hAnsi="Times New Roman" w:cs="Times New Roman"/>
                <w:sz w:val="24"/>
                <w:szCs w:val="24"/>
              </w:rPr>
              <w:t xml:space="preserve"> Virs viduspunkta, nepārsniedzot maksimumu, būtu jāatrodas "atslēgas cilvēku" un augstākās kvalifikācijas speciālistu un vadītāju mēnešalgām, ieteicams – ne vairāk par 25-30 % no kopējā nodarbināto skaita iestādē. </w:t>
            </w:r>
          </w:p>
          <w:p w14:paraId="630FD040" w14:textId="77777777" w:rsidR="00104F61" w:rsidRPr="00104F61" w:rsidRDefault="00104F61" w:rsidP="00104F61">
            <w:pPr>
              <w:jc w:val="both"/>
              <w:rPr>
                <w:rFonts w:ascii="Times New Roman" w:hAnsi="Times New Roman" w:cs="Times New Roman"/>
                <w:sz w:val="24"/>
                <w:szCs w:val="24"/>
              </w:rPr>
            </w:pPr>
            <w:r>
              <w:rPr>
                <w:rFonts w:ascii="Times New Roman" w:hAnsi="Times New Roman" w:cs="Times New Roman"/>
                <w:sz w:val="24"/>
                <w:szCs w:val="24"/>
              </w:rPr>
              <w:t>Birojam</w:t>
            </w:r>
            <w:r w:rsidRPr="00104F61">
              <w:rPr>
                <w:rFonts w:ascii="Times New Roman" w:hAnsi="Times New Roman" w:cs="Times New Roman"/>
                <w:sz w:val="24"/>
                <w:szCs w:val="24"/>
              </w:rPr>
              <w:t xml:space="preserve">, lai noteiktu nodarbināto individuālās algas līmeni, </w:t>
            </w:r>
            <w:r>
              <w:rPr>
                <w:rFonts w:ascii="Times New Roman" w:hAnsi="Times New Roman" w:cs="Times New Roman"/>
                <w:sz w:val="24"/>
                <w:szCs w:val="24"/>
              </w:rPr>
              <w:t xml:space="preserve">būs </w:t>
            </w:r>
            <w:r w:rsidRPr="00104F61">
              <w:rPr>
                <w:rFonts w:ascii="Times New Roman" w:hAnsi="Times New Roman" w:cs="Times New Roman"/>
                <w:sz w:val="24"/>
                <w:szCs w:val="24"/>
              </w:rPr>
              <w:t>jāizstrādā iekšējā kārtība, kurā jānosaka individuālās mēnešalgas soļi, pakāpes vai līmeņi intervāla ietvaros un jānodefinē kritēriji katra nākamā soļa sasniegšanai.</w:t>
            </w:r>
          </w:p>
          <w:p w14:paraId="70B50A27" w14:textId="77777777" w:rsidR="00081FE7" w:rsidRDefault="00081FE7" w:rsidP="008D63EC">
            <w:pPr>
              <w:jc w:val="both"/>
              <w:rPr>
                <w:rFonts w:ascii="Times New Roman" w:hAnsi="Times New Roman" w:cs="Times New Roman"/>
                <w:sz w:val="24"/>
                <w:szCs w:val="24"/>
                <w:lang w:eastAsia="lv-LV"/>
              </w:rPr>
            </w:pPr>
          </w:p>
          <w:p w14:paraId="6C537160" w14:textId="77777777" w:rsidR="008D63EC" w:rsidRPr="00975A3F" w:rsidRDefault="008D63EC" w:rsidP="008D63EC">
            <w:pPr>
              <w:jc w:val="both"/>
              <w:rPr>
                <w:rFonts w:ascii="Times New Roman" w:hAnsi="Times New Roman" w:cs="Times New Roman"/>
                <w:sz w:val="24"/>
                <w:szCs w:val="24"/>
                <w:lang w:eastAsia="lv-LV"/>
              </w:rPr>
            </w:pPr>
            <w:bookmarkStart w:id="0" w:name="_Hlk51158120"/>
            <w:r w:rsidRPr="008D63EC">
              <w:rPr>
                <w:rFonts w:ascii="Times New Roman" w:hAnsi="Times New Roman" w:cs="Times New Roman"/>
                <w:sz w:val="24"/>
                <w:szCs w:val="24"/>
                <w:lang w:eastAsia="lv-LV"/>
              </w:rPr>
              <w:t xml:space="preserve">Palielinot maksimāli iespējamo mēnešalgas apmēru, vienlaikus ar </w:t>
            </w:r>
            <w:r w:rsidR="00975A3F">
              <w:rPr>
                <w:rFonts w:ascii="Times New Roman" w:hAnsi="Times New Roman" w:cs="Times New Roman"/>
                <w:sz w:val="24"/>
                <w:szCs w:val="24"/>
                <w:lang w:eastAsia="lv-LV"/>
              </w:rPr>
              <w:t>L</w:t>
            </w:r>
            <w:r w:rsidRPr="008D63EC">
              <w:rPr>
                <w:rFonts w:ascii="Times New Roman" w:hAnsi="Times New Roman" w:cs="Times New Roman"/>
                <w:sz w:val="24"/>
                <w:szCs w:val="24"/>
                <w:lang w:eastAsia="lv-LV"/>
              </w:rPr>
              <w:t xml:space="preserve">ikumprojektu paredzēts samazināt </w:t>
            </w:r>
            <w:r w:rsidR="00CD6A11">
              <w:rPr>
                <w:rFonts w:ascii="Times New Roman" w:hAnsi="Times New Roman" w:cs="Times New Roman"/>
                <w:sz w:val="24"/>
                <w:szCs w:val="24"/>
                <w:lang w:eastAsia="lv-LV"/>
              </w:rPr>
              <w:t>Birojā</w:t>
            </w:r>
            <w:r w:rsidRPr="008D63EC">
              <w:rPr>
                <w:rFonts w:ascii="Times New Roman" w:hAnsi="Times New Roman" w:cs="Times New Roman"/>
                <w:sz w:val="24"/>
                <w:szCs w:val="24"/>
                <w:lang w:eastAsia="lv-LV"/>
              </w:rPr>
              <w:t xml:space="preserve"> nodarbinātajiem noteikto izdienas piemaksu apmēru, pielīdzinot to apmēram, kāds noteikts tie</w:t>
            </w:r>
            <w:r w:rsidRPr="00975A3F">
              <w:rPr>
                <w:rFonts w:ascii="Times New Roman" w:hAnsi="Times New Roman" w:cs="Times New Roman"/>
                <w:sz w:val="24"/>
                <w:szCs w:val="24"/>
                <w:lang w:eastAsia="lv-LV"/>
              </w:rPr>
              <w:t>snešiem un prokuroriem</w:t>
            </w:r>
            <w:r w:rsidR="00975A3F" w:rsidRPr="00975A3F">
              <w:rPr>
                <w:rFonts w:ascii="Times New Roman" w:hAnsi="Times New Roman" w:cs="Times New Roman"/>
                <w:sz w:val="24"/>
                <w:szCs w:val="24"/>
                <w:lang w:eastAsia="lv-LV"/>
              </w:rPr>
              <w:t xml:space="preserve"> (</w:t>
            </w:r>
            <w:r w:rsidR="00975A3F" w:rsidRPr="00975A3F">
              <w:rPr>
                <w:rFonts w:ascii="Times New Roman" w:hAnsi="Times New Roman" w:cs="Times New Roman"/>
                <w:sz w:val="24"/>
                <w:szCs w:val="24"/>
              </w:rPr>
              <w:t>5 % apmērā pēc sešiem amatā nostrādātiem gadiem un 10 % apmērā pēc 10 amatā nostrādātiem gadiem)</w:t>
            </w:r>
            <w:r w:rsidRPr="00975A3F">
              <w:rPr>
                <w:rFonts w:ascii="Times New Roman" w:hAnsi="Times New Roman" w:cs="Times New Roman"/>
                <w:sz w:val="24"/>
                <w:szCs w:val="24"/>
                <w:lang w:eastAsia="lv-LV"/>
              </w:rPr>
              <w:t>.</w:t>
            </w:r>
          </w:p>
          <w:p w14:paraId="58316FC7" w14:textId="3CAB4595" w:rsidR="00975A3F" w:rsidRPr="00975A3F" w:rsidRDefault="00975A3F" w:rsidP="008D63EC">
            <w:pPr>
              <w:jc w:val="both"/>
              <w:rPr>
                <w:rFonts w:ascii="Times New Roman" w:hAnsi="Times New Roman" w:cs="Times New Roman"/>
                <w:sz w:val="24"/>
                <w:szCs w:val="24"/>
                <w:lang w:eastAsia="lv-LV"/>
              </w:rPr>
            </w:pPr>
            <w:r w:rsidRPr="00975A3F">
              <w:rPr>
                <w:rFonts w:ascii="Times New Roman" w:hAnsi="Times New Roman" w:cs="Times New Roman"/>
                <w:sz w:val="24"/>
                <w:szCs w:val="24"/>
              </w:rPr>
              <w:lastRenderedPageBreak/>
              <w:t xml:space="preserve">Likumprojekts paredz, ka izdienas piemaksa tiks maksāta, ja </w:t>
            </w:r>
            <w:r>
              <w:rPr>
                <w:rFonts w:ascii="Times New Roman" w:hAnsi="Times New Roman" w:cs="Times New Roman"/>
                <w:sz w:val="24"/>
                <w:szCs w:val="24"/>
              </w:rPr>
              <w:t>B</w:t>
            </w:r>
            <w:r w:rsidRPr="00975A3F">
              <w:rPr>
                <w:rFonts w:ascii="Times New Roman" w:hAnsi="Times New Roman" w:cs="Times New Roman"/>
                <w:sz w:val="24"/>
                <w:szCs w:val="24"/>
              </w:rPr>
              <w:t>iroja amatpersona kārtējā novērtēšanā saņems pozitīvu novērtējumu,</w:t>
            </w:r>
            <w:r w:rsidR="00A47958">
              <w:rPr>
                <w:rFonts w:ascii="Times New Roman" w:hAnsi="Times New Roman" w:cs="Times New Roman"/>
                <w:sz w:val="24"/>
                <w:szCs w:val="24"/>
              </w:rPr>
              <w:t xml:space="preserve"> </w:t>
            </w:r>
            <w:proofErr w:type="gramStart"/>
            <w:r w:rsidR="00A47958">
              <w:rPr>
                <w:rFonts w:ascii="Times New Roman" w:hAnsi="Times New Roman" w:cs="Times New Roman"/>
                <w:sz w:val="24"/>
                <w:szCs w:val="24"/>
              </w:rPr>
              <w:t>līdzīgi</w:t>
            </w:r>
            <w:r w:rsidRPr="00975A3F">
              <w:rPr>
                <w:rFonts w:ascii="Times New Roman" w:hAnsi="Times New Roman" w:cs="Times New Roman"/>
                <w:sz w:val="24"/>
                <w:szCs w:val="24"/>
              </w:rPr>
              <w:t xml:space="preserve"> kā tas ir noteikts tiesnesim un prokuroram</w:t>
            </w:r>
            <w:proofErr w:type="gramEnd"/>
            <w:r w:rsidRPr="00975A3F">
              <w:rPr>
                <w:rFonts w:ascii="Times New Roman" w:hAnsi="Times New Roman" w:cs="Times New Roman"/>
                <w:sz w:val="24"/>
                <w:szCs w:val="24"/>
              </w:rPr>
              <w:t>.</w:t>
            </w:r>
            <w:r w:rsidR="00A47958">
              <w:rPr>
                <w:rFonts w:ascii="Times New Roman" w:hAnsi="Times New Roman" w:cs="Times New Roman"/>
                <w:sz w:val="24"/>
                <w:szCs w:val="24"/>
              </w:rPr>
              <w:t xml:space="preserve"> </w:t>
            </w:r>
            <w:r w:rsidR="00A47958" w:rsidRPr="007D48BF">
              <w:rPr>
                <w:rFonts w:ascii="Times New Roman" w:hAnsi="Times New Roman" w:cs="Times New Roman"/>
                <w:sz w:val="24"/>
                <w:szCs w:val="24"/>
              </w:rPr>
              <w:t xml:space="preserve">Tomēr atšķirībā no tiesnešiem un prokuroriem, kuriem ir jāsaņem pozitīvs novērtējums </w:t>
            </w:r>
            <w:r w:rsidR="005C0691" w:rsidRPr="007D48BF">
              <w:rPr>
                <w:rFonts w:ascii="Times New Roman" w:hAnsi="Times New Roman" w:cs="Times New Roman"/>
                <w:sz w:val="24"/>
                <w:szCs w:val="24"/>
              </w:rPr>
              <w:t>par atbilstību amatam,</w:t>
            </w:r>
            <w:r w:rsidR="007D48BF">
              <w:rPr>
                <w:rFonts w:ascii="Times New Roman" w:hAnsi="Times New Roman" w:cs="Times New Roman"/>
                <w:sz w:val="24"/>
                <w:szCs w:val="24"/>
              </w:rPr>
              <w:t xml:space="preserve"> šobrīd</w:t>
            </w:r>
            <w:r w:rsidR="005C0691" w:rsidRPr="007D48BF">
              <w:rPr>
                <w:rFonts w:ascii="Times New Roman" w:hAnsi="Times New Roman" w:cs="Times New Roman"/>
                <w:sz w:val="24"/>
                <w:szCs w:val="24"/>
              </w:rPr>
              <w:t xml:space="preserve"> </w:t>
            </w:r>
            <w:r w:rsidR="007D48BF" w:rsidRPr="007D48BF">
              <w:rPr>
                <w:rFonts w:ascii="Times New Roman" w:hAnsi="Times New Roman" w:cs="Times New Roman"/>
                <w:sz w:val="24"/>
                <w:szCs w:val="24"/>
              </w:rPr>
              <w:t xml:space="preserve">Biroja amatpersonu </w:t>
            </w:r>
            <w:r w:rsidR="007D48BF">
              <w:rPr>
                <w:rFonts w:ascii="Times New Roman" w:hAnsi="Times New Roman" w:cs="Times New Roman"/>
                <w:sz w:val="24"/>
                <w:szCs w:val="24"/>
              </w:rPr>
              <w:t xml:space="preserve">darba izpildes </w:t>
            </w:r>
            <w:r w:rsidR="007D48BF" w:rsidRPr="007D48BF">
              <w:rPr>
                <w:rFonts w:ascii="Times New Roman" w:hAnsi="Times New Roman" w:cs="Times New Roman"/>
                <w:sz w:val="24"/>
                <w:szCs w:val="24"/>
              </w:rPr>
              <w:t>novērtēšana</w:t>
            </w:r>
            <w:r w:rsidR="004C3B68">
              <w:rPr>
                <w:rStyle w:val="FootnoteReference"/>
                <w:rFonts w:ascii="Times New Roman" w:hAnsi="Times New Roman" w:cs="Times New Roman"/>
                <w:sz w:val="24"/>
                <w:szCs w:val="24"/>
              </w:rPr>
              <w:footnoteReference w:id="2"/>
            </w:r>
            <w:r w:rsidR="007D48BF" w:rsidRPr="007D48BF">
              <w:rPr>
                <w:rFonts w:ascii="Times New Roman" w:hAnsi="Times New Roman" w:cs="Times New Roman"/>
                <w:sz w:val="24"/>
                <w:szCs w:val="24"/>
              </w:rPr>
              <w:t xml:space="preserve"> tiek veikta </w:t>
            </w:r>
            <w:r w:rsidR="007D48BF" w:rsidRPr="007D48BF">
              <w:rPr>
                <w:rFonts w:ascii="Times New Roman" w:hAnsi="Times New Roman" w:cs="Times New Roman"/>
                <w:color w:val="000000"/>
                <w:sz w:val="24"/>
                <w:szCs w:val="24"/>
              </w:rPr>
              <w:t>pēc burtu skalas (no teicami līdz neapmierinoši jeb A, B, C, D un E)</w:t>
            </w:r>
            <w:r w:rsidR="004C3B68">
              <w:rPr>
                <w:rFonts w:ascii="Times New Roman" w:hAnsi="Times New Roman" w:cs="Times New Roman"/>
                <w:color w:val="000000"/>
                <w:sz w:val="24"/>
                <w:szCs w:val="24"/>
              </w:rPr>
              <w:t>.</w:t>
            </w:r>
            <w:r w:rsidR="00450573">
              <w:rPr>
                <w:rFonts w:ascii="Times New Roman" w:hAnsi="Times New Roman" w:cs="Times New Roman"/>
                <w:color w:val="000000"/>
                <w:sz w:val="24"/>
                <w:szCs w:val="24"/>
              </w:rPr>
              <w:t xml:space="preserve"> </w:t>
            </w:r>
            <w:r w:rsidR="006C637C">
              <w:rPr>
                <w:rFonts w:ascii="Times New Roman" w:hAnsi="Times New Roman" w:cs="Times New Roman"/>
                <w:color w:val="000000"/>
                <w:sz w:val="24"/>
                <w:szCs w:val="24"/>
              </w:rPr>
              <w:t>Tamdēļ</w:t>
            </w:r>
            <w:r w:rsidR="00774AE8">
              <w:rPr>
                <w:rFonts w:ascii="Times New Roman" w:hAnsi="Times New Roman" w:cs="Times New Roman"/>
                <w:color w:val="000000"/>
                <w:sz w:val="24"/>
                <w:szCs w:val="24"/>
              </w:rPr>
              <w:t>,</w:t>
            </w:r>
            <w:r w:rsidR="007D48BF">
              <w:rPr>
                <w:rFonts w:ascii="Times New Roman" w:hAnsi="Times New Roman" w:cs="Times New Roman"/>
                <w:color w:val="000000"/>
                <w:sz w:val="24"/>
                <w:szCs w:val="24"/>
              </w:rPr>
              <w:t xml:space="preserve"> </w:t>
            </w:r>
            <w:r w:rsidR="006C637C">
              <w:rPr>
                <w:rFonts w:ascii="Times New Roman" w:hAnsi="Times New Roman" w:cs="Times New Roman"/>
                <w:color w:val="000000"/>
                <w:sz w:val="24"/>
                <w:szCs w:val="24"/>
              </w:rPr>
              <w:t>l</w:t>
            </w:r>
            <w:r w:rsidR="007D48BF">
              <w:rPr>
                <w:rFonts w:ascii="Times New Roman" w:hAnsi="Times New Roman" w:cs="Times New Roman"/>
                <w:color w:val="000000"/>
                <w:sz w:val="24"/>
                <w:szCs w:val="24"/>
              </w:rPr>
              <w:t xml:space="preserve">ai </w:t>
            </w:r>
            <w:r w:rsidR="0017087E">
              <w:rPr>
                <w:rFonts w:ascii="Times New Roman" w:hAnsi="Times New Roman" w:cs="Times New Roman"/>
                <w:color w:val="000000"/>
                <w:sz w:val="24"/>
                <w:szCs w:val="24"/>
              </w:rPr>
              <w:t xml:space="preserve">salāgotu </w:t>
            </w:r>
            <w:r w:rsidR="0018192B">
              <w:rPr>
                <w:rFonts w:ascii="Times New Roman" w:hAnsi="Times New Roman" w:cs="Times New Roman"/>
                <w:color w:val="000000"/>
                <w:sz w:val="24"/>
                <w:szCs w:val="24"/>
              </w:rPr>
              <w:t>L</w:t>
            </w:r>
            <w:r w:rsidR="0017087E">
              <w:rPr>
                <w:rFonts w:ascii="Times New Roman" w:hAnsi="Times New Roman" w:cs="Times New Roman"/>
                <w:color w:val="000000"/>
                <w:sz w:val="24"/>
                <w:szCs w:val="24"/>
              </w:rPr>
              <w:t>ik</w:t>
            </w:r>
            <w:r w:rsidR="006C637C">
              <w:rPr>
                <w:rFonts w:ascii="Times New Roman" w:hAnsi="Times New Roman" w:cs="Times New Roman"/>
                <w:color w:val="000000"/>
                <w:sz w:val="24"/>
                <w:szCs w:val="24"/>
              </w:rPr>
              <w:t>umprojektā</w:t>
            </w:r>
            <w:r w:rsidR="0017087E">
              <w:rPr>
                <w:rFonts w:ascii="Times New Roman" w:hAnsi="Times New Roman" w:cs="Times New Roman"/>
                <w:color w:val="000000"/>
                <w:sz w:val="24"/>
                <w:szCs w:val="24"/>
              </w:rPr>
              <w:t xml:space="preserve"> ietverto prasību</w:t>
            </w:r>
            <w:r w:rsidR="006C637C">
              <w:rPr>
                <w:rFonts w:ascii="Times New Roman" w:hAnsi="Times New Roman" w:cs="Times New Roman"/>
                <w:color w:val="000000"/>
                <w:sz w:val="24"/>
                <w:szCs w:val="24"/>
              </w:rPr>
              <w:t>, ka</w:t>
            </w:r>
            <w:r w:rsidR="0017087E">
              <w:rPr>
                <w:rFonts w:ascii="Times New Roman" w:hAnsi="Times New Roman" w:cs="Times New Roman"/>
                <w:color w:val="000000"/>
                <w:sz w:val="24"/>
                <w:szCs w:val="24"/>
              </w:rPr>
              <w:t xml:space="preserve"> </w:t>
            </w:r>
            <w:r w:rsidR="006C637C">
              <w:rPr>
                <w:rFonts w:ascii="Times New Roman" w:hAnsi="Times New Roman" w:cs="Times New Roman"/>
                <w:color w:val="000000"/>
                <w:sz w:val="24"/>
                <w:szCs w:val="24"/>
              </w:rPr>
              <w:t>izdienas piemaksas piešķir tām amatpersonām, kuras ir saņēmušas pozitīvu novērtējumu, Biroja iekšēj</w:t>
            </w:r>
            <w:r w:rsidR="002E72C0">
              <w:rPr>
                <w:rFonts w:ascii="Times New Roman" w:hAnsi="Times New Roman" w:cs="Times New Roman"/>
                <w:color w:val="000000"/>
                <w:sz w:val="24"/>
                <w:szCs w:val="24"/>
              </w:rPr>
              <w:t>ā</w:t>
            </w:r>
            <w:r w:rsidR="006C637C">
              <w:rPr>
                <w:rFonts w:ascii="Times New Roman" w:hAnsi="Times New Roman" w:cs="Times New Roman"/>
                <w:color w:val="000000"/>
                <w:sz w:val="24"/>
                <w:szCs w:val="24"/>
              </w:rPr>
              <w:t xml:space="preserve"> normatīv</w:t>
            </w:r>
            <w:r w:rsidR="002E72C0">
              <w:rPr>
                <w:rFonts w:ascii="Times New Roman" w:hAnsi="Times New Roman" w:cs="Times New Roman"/>
                <w:color w:val="000000"/>
                <w:sz w:val="24"/>
                <w:szCs w:val="24"/>
              </w:rPr>
              <w:t>ajā</w:t>
            </w:r>
            <w:r w:rsidR="006C637C">
              <w:rPr>
                <w:rFonts w:ascii="Times New Roman" w:hAnsi="Times New Roman" w:cs="Times New Roman"/>
                <w:color w:val="000000"/>
                <w:sz w:val="24"/>
                <w:szCs w:val="24"/>
              </w:rPr>
              <w:t xml:space="preserve"> akt</w:t>
            </w:r>
            <w:r w:rsidR="002E72C0">
              <w:rPr>
                <w:rFonts w:ascii="Times New Roman" w:hAnsi="Times New Roman" w:cs="Times New Roman"/>
                <w:color w:val="000000"/>
                <w:sz w:val="24"/>
                <w:szCs w:val="24"/>
              </w:rPr>
              <w:t>ā</w:t>
            </w:r>
            <w:r w:rsidR="006C637C">
              <w:rPr>
                <w:rFonts w:ascii="Times New Roman" w:hAnsi="Times New Roman" w:cs="Times New Roman"/>
                <w:color w:val="000000"/>
                <w:sz w:val="24"/>
                <w:szCs w:val="24"/>
              </w:rPr>
              <w:t xml:space="preserve"> tiks noteikts, ka </w:t>
            </w:r>
            <w:r w:rsidR="00E166B5">
              <w:rPr>
                <w:rFonts w:ascii="Times New Roman" w:hAnsi="Times New Roman" w:cs="Times New Roman"/>
                <w:color w:val="000000"/>
                <w:sz w:val="24"/>
                <w:szCs w:val="24"/>
              </w:rPr>
              <w:t>p</w:t>
            </w:r>
            <w:r w:rsidR="006C637C">
              <w:rPr>
                <w:rFonts w:ascii="Times New Roman" w:hAnsi="Times New Roman" w:cs="Times New Roman"/>
                <w:color w:val="000000"/>
                <w:sz w:val="24"/>
                <w:szCs w:val="24"/>
              </w:rPr>
              <w:t xml:space="preserve">ar pozitīvu </w:t>
            </w:r>
            <w:r w:rsidR="004C3B68">
              <w:rPr>
                <w:rFonts w:ascii="Times New Roman" w:hAnsi="Times New Roman" w:cs="Times New Roman"/>
                <w:color w:val="000000"/>
                <w:sz w:val="24"/>
                <w:szCs w:val="24"/>
              </w:rPr>
              <w:t>no</w:t>
            </w:r>
            <w:r w:rsidR="006C637C">
              <w:rPr>
                <w:rFonts w:ascii="Times New Roman" w:hAnsi="Times New Roman" w:cs="Times New Roman"/>
                <w:color w:val="000000"/>
                <w:sz w:val="24"/>
                <w:szCs w:val="24"/>
              </w:rPr>
              <w:t xml:space="preserve">vērtējumu ir uzskatāms </w:t>
            </w:r>
            <w:r w:rsidR="004C3B68">
              <w:rPr>
                <w:rFonts w:ascii="Times New Roman" w:hAnsi="Times New Roman" w:cs="Times New Roman"/>
                <w:color w:val="000000"/>
                <w:sz w:val="24"/>
                <w:szCs w:val="24"/>
              </w:rPr>
              <w:t>“</w:t>
            </w:r>
            <w:r w:rsidR="006C637C">
              <w:rPr>
                <w:rFonts w:ascii="Times New Roman" w:hAnsi="Times New Roman" w:cs="Times New Roman"/>
                <w:color w:val="000000"/>
                <w:sz w:val="24"/>
                <w:szCs w:val="24"/>
              </w:rPr>
              <w:t>teicam</w:t>
            </w:r>
            <w:r w:rsidR="004C3B68">
              <w:rPr>
                <w:rFonts w:ascii="Times New Roman" w:hAnsi="Times New Roman" w:cs="Times New Roman"/>
                <w:color w:val="000000"/>
                <w:sz w:val="24"/>
                <w:szCs w:val="24"/>
              </w:rPr>
              <w:t>i”</w:t>
            </w:r>
            <w:r w:rsidR="006C637C">
              <w:rPr>
                <w:rFonts w:ascii="Times New Roman" w:hAnsi="Times New Roman" w:cs="Times New Roman"/>
                <w:color w:val="000000"/>
                <w:sz w:val="24"/>
                <w:szCs w:val="24"/>
              </w:rPr>
              <w:t xml:space="preserve"> (A), </w:t>
            </w:r>
            <w:r w:rsidR="004C3B68">
              <w:rPr>
                <w:rFonts w:ascii="Times New Roman" w:hAnsi="Times New Roman" w:cs="Times New Roman"/>
                <w:color w:val="000000"/>
                <w:sz w:val="24"/>
                <w:szCs w:val="24"/>
              </w:rPr>
              <w:t>“</w:t>
            </w:r>
            <w:r w:rsidR="006C637C">
              <w:rPr>
                <w:rFonts w:ascii="Times New Roman" w:hAnsi="Times New Roman" w:cs="Times New Roman"/>
                <w:color w:val="000000"/>
                <w:sz w:val="24"/>
                <w:szCs w:val="24"/>
              </w:rPr>
              <w:t>ļoti lab</w:t>
            </w:r>
            <w:r w:rsidR="004C3B68">
              <w:rPr>
                <w:rFonts w:ascii="Times New Roman" w:hAnsi="Times New Roman" w:cs="Times New Roman"/>
                <w:color w:val="000000"/>
                <w:sz w:val="24"/>
                <w:szCs w:val="24"/>
              </w:rPr>
              <w:t>i”</w:t>
            </w:r>
            <w:r w:rsidR="006C637C">
              <w:rPr>
                <w:rFonts w:ascii="Times New Roman" w:hAnsi="Times New Roman" w:cs="Times New Roman"/>
                <w:color w:val="000000"/>
                <w:sz w:val="24"/>
                <w:szCs w:val="24"/>
              </w:rPr>
              <w:t xml:space="preserve"> (B) un </w:t>
            </w:r>
            <w:r w:rsidR="004C3B68">
              <w:rPr>
                <w:rFonts w:ascii="Times New Roman" w:hAnsi="Times New Roman" w:cs="Times New Roman"/>
                <w:color w:val="000000"/>
                <w:sz w:val="24"/>
                <w:szCs w:val="24"/>
              </w:rPr>
              <w:t>“</w:t>
            </w:r>
            <w:r w:rsidR="006C637C">
              <w:rPr>
                <w:rFonts w:ascii="Times New Roman" w:hAnsi="Times New Roman" w:cs="Times New Roman"/>
                <w:color w:val="000000"/>
                <w:sz w:val="24"/>
                <w:szCs w:val="24"/>
              </w:rPr>
              <w:t>lab</w:t>
            </w:r>
            <w:r w:rsidR="004C3B68">
              <w:rPr>
                <w:rFonts w:ascii="Times New Roman" w:hAnsi="Times New Roman" w:cs="Times New Roman"/>
                <w:color w:val="000000"/>
                <w:sz w:val="24"/>
                <w:szCs w:val="24"/>
              </w:rPr>
              <w:t>i”</w:t>
            </w:r>
            <w:r w:rsidR="006C637C">
              <w:rPr>
                <w:rFonts w:ascii="Times New Roman" w:hAnsi="Times New Roman" w:cs="Times New Roman"/>
                <w:color w:val="000000"/>
                <w:sz w:val="24"/>
                <w:szCs w:val="24"/>
              </w:rPr>
              <w:t xml:space="preserve"> </w:t>
            </w:r>
            <w:r w:rsidR="00E166B5">
              <w:rPr>
                <w:rFonts w:ascii="Times New Roman" w:hAnsi="Times New Roman" w:cs="Times New Roman"/>
                <w:color w:val="000000"/>
                <w:sz w:val="24"/>
                <w:szCs w:val="24"/>
              </w:rPr>
              <w:t xml:space="preserve">(C) vērtējums, bet par negatīvu </w:t>
            </w:r>
            <w:r w:rsidR="004C3B68">
              <w:rPr>
                <w:rFonts w:ascii="Times New Roman" w:hAnsi="Times New Roman" w:cs="Times New Roman"/>
                <w:color w:val="000000"/>
                <w:sz w:val="24"/>
                <w:szCs w:val="24"/>
              </w:rPr>
              <w:t>–</w:t>
            </w:r>
            <w:r w:rsidR="00E166B5">
              <w:rPr>
                <w:rFonts w:ascii="Times New Roman" w:hAnsi="Times New Roman" w:cs="Times New Roman"/>
                <w:color w:val="000000"/>
                <w:sz w:val="24"/>
                <w:szCs w:val="24"/>
              </w:rPr>
              <w:t xml:space="preserve"> </w:t>
            </w:r>
            <w:r w:rsidR="004C3B68">
              <w:rPr>
                <w:rFonts w:ascii="Times New Roman" w:hAnsi="Times New Roman" w:cs="Times New Roman"/>
                <w:color w:val="000000"/>
                <w:sz w:val="24"/>
                <w:szCs w:val="24"/>
              </w:rPr>
              <w:t>“jāpilnveido” (D) un “neapmierinoši” (E).</w:t>
            </w:r>
          </w:p>
          <w:p w14:paraId="76492093" w14:textId="0CE972F7" w:rsidR="00682B14" w:rsidRDefault="00975A3F" w:rsidP="00975A3F">
            <w:pPr>
              <w:jc w:val="both"/>
              <w:rPr>
                <w:rFonts w:ascii="Times New Roman" w:hAnsi="Times New Roman" w:cs="Times New Roman"/>
                <w:sz w:val="24"/>
                <w:szCs w:val="24"/>
              </w:rPr>
            </w:pPr>
            <w:r w:rsidRPr="00975A3F">
              <w:rPr>
                <w:rFonts w:ascii="Times New Roman" w:hAnsi="Times New Roman" w:cs="Times New Roman"/>
                <w:sz w:val="24"/>
                <w:szCs w:val="24"/>
              </w:rPr>
              <w:t xml:space="preserve">Lai arī izdienas piemaksu maksimālais apmērs tiek samazināts (maksimumu nosakot 10 % apmērā 30 % vietā), tāpat kā tiek izslēgta piemaksa par trim un deviņiem Birojā nostrādātajiem gadiem, norādāms, ka Biroja amatpersonu atalgojums, kam jau šobrīd tiek maksāta izdienas piemaksa, netiks samazināts, bet paliks vismaz nemainīgs, ko nodrošina tas, ka tiek palielinātas mēnešalgas (paaugstināta mēnešalgu skala). </w:t>
            </w:r>
          </w:p>
          <w:bookmarkEnd w:id="0"/>
          <w:p w14:paraId="5E3988E2" w14:textId="77777777" w:rsidR="00104F61" w:rsidRDefault="00975A3F" w:rsidP="00975A3F">
            <w:pPr>
              <w:jc w:val="both"/>
              <w:rPr>
                <w:rFonts w:ascii="Times New Roman" w:hAnsi="Times New Roman" w:cs="Times New Roman"/>
                <w:sz w:val="24"/>
                <w:szCs w:val="24"/>
              </w:rPr>
            </w:pPr>
            <w:r>
              <w:rPr>
                <w:rFonts w:ascii="Times New Roman" w:hAnsi="Times New Roman" w:cs="Times New Roman"/>
                <w:sz w:val="24"/>
                <w:szCs w:val="24"/>
              </w:rPr>
              <w:t>Tāpat</w:t>
            </w:r>
            <w:r w:rsidR="00081696">
              <w:rPr>
                <w:rFonts w:ascii="Times New Roman" w:hAnsi="Times New Roman" w:cs="Times New Roman"/>
                <w:sz w:val="24"/>
                <w:szCs w:val="24"/>
              </w:rPr>
              <w:t>,</w:t>
            </w:r>
            <w:r>
              <w:rPr>
                <w:rFonts w:ascii="Times New Roman" w:hAnsi="Times New Roman" w:cs="Times New Roman"/>
                <w:sz w:val="24"/>
                <w:szCs w:val="24"/>
              </w:rPr>
              <w:t xml:space="preserve"> </w:t>
            </w:r>
            <w:r w:rsidR="00104F61">
              <w:rPr>
                <w:rFonts w:ascii="Times New Roman" w:hAnsi="Times New Roman" w:cs="Times New Roman"/>
                <w:sz w:val="24"/>
                <w:szCs w:val="24"/>
              </w:rPr>
              <w:t>ņemot vērā mēnešalgas palielinājumu, Likumprojekts paredz samazināt Biroja amatpersonām (darbiniekiem) izmaksājam</w:t>
            </w:r>
            <w:r w:rsidR="00AC21E0">
              <w:rPr>
                <w:rFonts w:ascii="Times New Roman" w:hAnsi="Times New Roman" w:cs="Times New Roman"/>
                <w:sz w:val="24"/>
                <w:szCs w:val="24"/>
              </w:rPr>
              <w:t>ās</w:t>
            </w:r>
            <w:r w:rsidR="00104F61">
              <w:rPr>
                <w:rFonts w:ascii="Times New Roman" w:hAnsi="Times New Roman" w:cs="Times New Roman"/>
                <w:sz w:val="24"/>
                <w:szCs w:val="24"/>
              </w:rPr>
              <w:t xml:space="preserve"> piemaks</w:t>
            </w:r>
            <w:r w:rsidR="00AC21E0">
              <w:rPr>
                <w:rFonts w:ascii="Times New Roman" w:hAnsi="Times New Roman" w:cs="Times New Roman"/>
                <w:sz w:val="24"/>
                <w:szCs w:val="24"/>
              </w:rPr>
              <w:t>as un to</w:t>
            </w:r>
            <w:r w:rsidR="00104F61">
              <w:rPr>
                <w:rFonts w:ascii="Times New Roman" w:hAnsi="Times New Roman" w:cs="Times New Roman"/>
                <w:sz w:val="24"/>
                <w:szCs w:val="24"/>
              </w:rPr>
              <w:t xml:space="preserve"> apmērus: </w:t>
            </w:r>
          </w:p>
          <w:p w14:paraId="60453538" w14:textId="77777777" w:rsidR="00975A3F" w:rsidRPr="00975A3F" w:rsidRDefault="00AC21E0" w:rsidP="00975A3F">
            <w:pPr>
              <w:jc w:val="both"/>
              <w:rPr>
                <w:rFonts w:ascii="Times New Roman" w:hAnsi="Times New Roman" w:cs="Times New Roman"/>
                <w:sz w:val="24"/>
                <w:szCs w:val="24"/>
              </w:rPr>
            </w:pPr>
            <w:r>
              <w:rPr>
                <w:rFonts w:ascii="Times New Roman" w:hAnsi="Times New Roman" w:cs="Times New Roman"/>
                <w:sz w:val="24"/>
                <w:szCs w:val="24"/>
              </w:rPr>
              <w:t xml:space="preserve">- </w:t>
            </w:r>
            <w:r w:rsidR="00104F61">
              <w:rPr>
                <w:rFonts w:ascii="Times New Roman" w:hAnsi="Times New Roman" w:cs="Times New Roman"/>
                <w:sz w:val="24"/>
                <w:szCs w:val="24"/>
              </w:rPr>
              <w:t>Turpmāk Biroja amatpersonām (darbiniekiem) Atlīdzības likuma 14. panta divpadsmitajā daļā paredzēto piemaksu par ieguldījumu Biroja mērķu sasniegšanā</w:t>
            </w:r>
            <w:r w:rsidR="00FA28D4">
              <w:rPr>
                <w:rFonts w:ascii="Times New Roman" w:hAnsi="Times New Roman" w:cs="Times New Roman"/>
                <w:sz w:val="24"/>
                <w:szCs w:val="24"/>
              </w:rPr>
              <w:t xml:space="preserve"> vai personisko darba ieguldījumu un darba kvalitāti</w:t>
            </w:r>
            <w:r w:rsidR="00104F61">
              <w:rPr>
                <w:rFonts w:ascii="Times New Roman" w:hAnsi="Times New Roman" w:cs="Times New Roman"/>
                <w:sz w:val="24"/>
                <w:szCs w:val="24"/>
              </w:rPr>
              <w:t xml:space="preserve"> varēs noteikt līdz 30 %, kā arī kopējais vienlaikus izmaksājamo piemaksu</w:t>
            </w:r>
            <w:r w:rsidR="00FA28D4">
              <w:rPr>
                <w:rFonts w:ascii="Times New Roman" w:hAnsi="Times New Roman" w:cs="Times New Roman"/>
                <w:sz w:val="24"/>
                <w:szCs w:val="24"/>
              </w:rPr>
              <w:t xml:space="preserve"> </w:t>
            </w:r>
            <w:r w:rsidR="00104F61">
              <w:rPr>
                <w:rFonts w:ascii="Times New Roman" w:hAnsi="Times New Roman" w:cs="Times New Roman"/>
                <w:sz w:val="24"/>
                <w:szCs w:val="24"/>
              </w:rPr>
              <w:t>apmērs</w:t>
            </w:r>
            <w:r w:rsidR="00FA28D4">
              <w:rPr>
                <w:rFonts w:ascii="Times New Roman" w:hAnsi="Times New Roman" w:cs="Times New Roman"/>
                <w:sz w:val="24"/>
                <w:szCs w:val="24"/>
              </w:rPr>
              <w:t xml:space="preserve"> (piemēram, aizvietošanas piemaksa un piemaksa par personisko darba ieguldījumu un darba kvalitāti)</w:t>
            </w:r>
            <w:r w:rsidR="00104F61">
              <w:rPr>
                <w:rFonts w:ascii="Times New Roman" w:hAnsi="Times New Roman" w:cs="Times New Roman"/>
                <w:sz w:val="24"/>
                <w:szCs w:val="24"/>
              </w:rPr>
              <w:t xml:space="preserve"> nedrīkstēs pārsniegt 30 %.</w:t>
            </w:r>
          </w:p>
          <w:p w14:paraId="5A178D7E" w14:textId="77777777" w:rsidR="00AC21E0" w:rsidRDefault="00AC21E0" w:rsidP="00975A3F">
            <w:pPr>
              <w:jc w:val="both"/>
              <w:rPr>
                <w:rFonts w:ascii="Times New Roman" w:hAnsi="Times New Roman" w:cs="Times New Roman"/>
                <w:sz w:val="24"/>
                <w:szCs w:val="24"/>
              </w:rPr>
            </w:pPr>
            <w:r>
              <w:rPr>
                <w:rFonts w:ascii="Times New Roman" w:hAnsi="Times New Roman" w:cs="Times New Roman"/>
                <w:sz w:val="24"/>
                <w:szCs w:val="24"/>
              </w:rPr>
              <w:t>- Turpmāk Biroja amatpersonām (darbiniekiem) Atlīdzības likuma 15. panta vienpadsmitajā daļā paredzētā speciālā piemaksa par valsts institūcijai būtisko funkciju nodrošināšanu vai stratēģiski svarīgu mērķu īstenošanu netiks maksāta.</w:t>
            </w:r>
          </w:p>
          <w:p w14:paraId="549C070B" w14:textId="77777777" w:rsidR="00AC21E0" w:rsidRDefault="00AC21E0" w:rsidP="00975A3F">
            <w:pPr>
              <w:jc w:val="both"/>
              <w:rPr>
                <w:rFonts w:ascii="Times New Roman" w:hAnsi="Times New Roman" w:cs="Times New Roman"/>
                <w:sz w:val="24"/>
                <w:szCs w:val="24"/>
              </w:rPr>
            </w:pPr>
          </w:p>
          <w:p w14:paraId="00C71CE6" w14:textId="77777777" w:rsidR="001E3537" w:rsidRDefault="001E3537" w:rsidP="00975A3F">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Izstrādājot Likumprojektu, tika konstatēts, ka, palielinot mēnešalgas apmēru, ir jāatsakās no izdienas pabalstiem</w:t>
            </w:r>
            <w:r w:rsidR="00C265D6" w:rsidRPr="00F007F5">
              <w:rPr>
                <w:rFonts w:ascii="Times New Roman" w:hAnsi="Times New Roman" w:cs="Times New Roman"/>
                <w:sz w:val="24"/>
                <w:szCs w:val="24"/>
              </w:rPr>
              <w:t>, kas tika iegrozīti</w:t>
            </w:r>
            <w:r w:rsidR="00F007F5" w:rsidRPr="00F007F5">
              <w:rPr>
                <w:rFonts w:ascii="Times New Roman" w:hAnsi="Times New Roman" w:cs="Times New Roman"/>
                <w:sz w:val="24"/>
                <w:szCs w:val="24"/>
              </w:rPr>
              <w:t xml:space="preserve"> Atlīdzības likumā ar 2018.</w:t>
            </w:r>
            <w:r w:rsidR="00F007F5">
              <w:rPr>
                <w:rFonts w:ascii="Times New Roman" w:hAnsi="Times New Roman" w:cs="Times New Roman"/>
                <w:sz w:val="24"/>
                <w:szCs w:val="24"/>
              </w:rPr>
              <w:t> </w:t>
            </w:r>
            <w:r w:rsidR="00F007F5" w:rsidRPr="00F007F5">
              <w:rPr>
                <w:rFonts w:ascii="Times New Roman" w:hAnsi="Times New Roman" w:cs="Times New Roman"/>
                <w:sz w:val="24"/>
                <w:szCs w:val="24"/>
              </w:rPr>
              <w:t xml:space="preserve">gada 20. septembra likumu "Grozījumi Valsts un pašvaldību institūciju amatpersonu un darbinieku atlīdzības </w:t>
            </w:r>
            <w:r w:rsidR="00F007F5" w:rsidRPr="00F007F5">
              <w:rPr>
                <w:rFonts w:ascii="Times New Roman" w:hAnsi="Times New Roman" w:cs="Times New Roman"/>
                <w:sz w:val="24"/>
                <w:szCs w:val="24"/>
              </w:rPr>
              <w:lastRenderedPageBreak/>
              <w:t>likumā"</w:t>
            </w:r>
            <w:r w:rsidR="00F007F5">
              <w:rPr>
                <w:rFonts w:ascii="Times New Roman" w:hAnsi="Times New Roman" w:cs="Times New Roman"/>
                <w:sz w:val="24"/>
                <w:szCs w:val="24"/>
              </w:rPr>
              <w:t>,</w:t>
            </w:r>
            <w:r w:rsidR="00F007F5" w:rsidRPr="00F007F5">
              <w:rPr>
                <w:rFonts w:ascii="Times New Roman" w:hAnsi="Times New Roman" w:cs="Times New Roman"/>
                <w:sz w:val="24"/>
                <w:szCs w:val="24"/>
              </w:rPr>
              <w:t xml:space="preserve"> </w:t>
            </w:r>
            <w:r w:rsidR="00F007F5" w:rsidRPr="00F007F5">
              <w:rPr>
                <w:rFonts w:ascii="Times New Roman" w:hAnsi="Times New Roman" w:cs="Times New Roman"/>
                <w:color w:val="000000"/>
                <w:sz w:val="24"/>
                <w:szCs w:val="24"/>
                <w:shd w:val="clear" w:color="auto" w:fill="FFFFFF"/>
              </w:rPr>
              <w:t xml:space="preserve">nosakot Birojā nodarbinātajiem papildu motivēšanas instrumentus: 1) izdienas piemaksu (ikmēneša piemaksa pie nodarbinātā mēnešalgas atbilstoši darba stāžam Birojā) un 2) izdienas pabalstu (vienreizējs pabalsts triju mēnešalgu apmērā, ko nodarbinātais saņem pēc katriem pieciem nepārtrauktas izdienas gadiem Birojā). Priekšlikumu mērķis </w:t>
            </w:r>
            <w:r w:rsidR="00F007F5">
              <w:rPr>
                <w:rFonts w:ascii="Times New Roman" w:hAnsi="Times New Roman" w:cs="Times New Roman"/>
                <w:color w:val="000000"/>
                <w:sz w:val="24"/>
                <w:szCs w:val="24"/>
                <w:shd w:val="clear" w:color="auto" w:fill="FFFFFF"/>
              </w:rPr>
              <w:t>bija</w:t>
            </w:r>
            <w:r w:rsidR="00F007F5" w:rsidRPr="00F007F5">
              <w:rPr>
                <w:rFonts w:ascii="Times New Roman" w:hAnsi="Times New Roman" w:cs="Times New Roman"/>
                <w:color w:val="000000"/>
                <w:sz w:val="24"/>
                <w:szCs w:val="24"/>
                <w:shd w:val="clear" w:color="auto" w:fill="FFFFFF"/>
              </w:rPr>
              <w:t xml:space="preserve"> tuvināt Birojā nodarbināto atlīdzību citām tiesībaizsardzības iestādēm, vienlaikus kā vienu no atlīdzības komponentēm noteikt nostrādāto laiku jeb izdienu Birojā. Birojs </w:t>
            </w:r>
            <w:r w:rsidR="00F007F5">
              <w:rPr>
                <w:rFonts w:ascii="Times New Roman" w:hAnsi="Times New Roman" w:cs="Times New Roman"/>
                <w:color w:val="000000"/>
                <w:sz w:val="24"/>
                <w:szCs w:val="24"/>
                <w:shd w:val="clear" w:color="auto" w:fill="FFFFFF"/>
              </w:rPr>
              <w:t>bija</w:t>
            </w:r>
            <w:r w:rsidR="00F007F5" w:rsidRPr="00F007F5">
              <w:rPr>
                <w:rFonts w:ascii="Times New Roman" w:hAnsi="Times New Roman" w:cs="Times New Roman"/>
                <w:color w:val="000000"/>
                <w:sz w:val="24"/>
                <w:szCs w:val="24"/>
                <w:shd w:val="clear" w:color="auto" w:fill="FFFFFF"/>
              </w:rPr>
              <w:t xml:space="preserve"> konstatējis, ka</w:t>
            </w:r>
            <w:r w:rsidR="003179AD">
              <w:rPr>
                <w:rFonts w:ascii="Times New Roman" w:hAnsi="Times New Roman" w:cs="Times New Roman"/>
                <w:color w:val="000000"/>
                <w:sz w:val="24"/>
                <w:szCs w:val="24"/>
                <w:shd w:val="clear" w:color="auto" w:fill="FFFFFF"/>
              </w:rPr>
              <w:t>,</w:t>
            </w:r>
            <w:r w:rsidR="00F007F5" w:rsidRPr="00F007F5">
              <w:rPr>
                <w:rFonts w:ascii="Times New Roman" w:hAnsi="Times New Roman" w:cs="Times New Roman"/>
                <w:color w:val="000000"/>
                <w:sz w:val="24"/>
                <w:szCs w:val="24"/>
                <w:shd w:val="clear" w:color="auto" w:fill="FFFFFF"/>
              </w:rPr>
              <w:t xml:space="preserve"> atšķirībā no citām valsts pārvaldes institūcijām, Biroja nodarbināto atlīdzības noteikšanā netiek ņemts vērā amatā nostrādātais laiks. Pie šādiem apstākļiem tika secināts, ka Biroja amatpersonām būtiski atšķiras atalgojums, jo gūtā pieredze amatā netiek novērtēta finansiāli.</w:t>
            </w:r>
          </w:p>
          <w:p w14:paraId="71AC463E" w14:textId="77777777" w:rsidR="00F007F5" w:rsidRPr="00F007F5" w:rsidRDefault="00F007F5" w:rsidP="00975A3F">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Ievērojot to, ka Likumprojekts paredz palielināt Biroja amatperson</w:t>
            </w:r>
            <w:r w:rsidR="00D173D1">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 un darbiniek</w:t>
            </w:r>
            <w:r w:rsidR="00D173D1">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 atalgojumu, tad šāda atalgojuma komponente ir zaudējusi aktualitāti un ir izslēdzama.</w:t>
            </w:r>
          </w:p>
          <w:p w14:paraId="790FBC8C" w14:textId="7FFDBD9E" w:rsidR="00C265D6" w:rsidRDefault="00C265D6" w:rsidP="00975A3F">
            <w:pPr>
              <w:jc w:val="both"/>
              <w:rPr>
                <w:rFonts w:ascii="Times New Roman" w:hAnsi="Times New Roman" w:cs="Times New Roman"/>
                <w:sz w:val="24"/>
                <w:szCs w:val="24"/>
              </w:rPr>
            </w:pPr>
            <w:r>
              <w:rPr>
                <w:rFonts w:ascii="Times New Roman" w:hAnsi="Times New Roman" w:cs="Times New Roman"/>
                <w:sz w:val="24"/>
                <w:szCs w:val="24"/>
              </w:rPr>
              <w:t xml:space="preserve">Šāda pabalsta esamība </w:t>
            </w:r>
            <w:r w:rsidR="00520F97">
              <w:rPr>
                <w:rFonts w:ascii="Times New Roman" w:hAnsi="Times New Roman" w:cs="Times New Roman"/>
                <w:sz w:val="24"/>
                <w:szCs w:val="24"/>
              </w:rPr>
              <w:t xml:space="preserve">ir </w:t>
            </w:r>
            <w:r w:rsidR="008E3ED8">
              <w:rPr>
                <w:rFonts w:ascii="Times New Roman" w:hAnsi="Times New Roman" w:cs="Times New Roman"/>
                <w:sz w:val="24"/>
                <w:szCs w:val="24"/>
              </w:rPr>
              <w:t xml:space="preserve">daļēji </w:t>
            </w:r>
            <w:r w:rsidR="00520F97">
              <w:rPr>
                <w:rFonts w:ascii="Times New Roman" w:hAnsi="Times New Roman" w:cs="Times New Roman"/>
                <w:sz w:val="24"/>
                <w:szCs w:val="24"/>
              </w:rPr>
              <w:t>attaisnojama kā kompe</w:t>
            </w:r>
            <w:r w:rsidR="00987FA2">
              <w:rPr>
                <w:rFonts w:ascii="Times New Roman" w:hAnsi="Times New Roman" w:cs="Times New Roman"/>
                <w:sz w:val="24"/>
                <w:szCs w:val="24"/>
              </w:rPr>
              <w:t>n</w:t>
            </w:r>
            <w:r w:rsidR="00520F97">
              <w:rPr>
                <w:rFonts w:ascii="Times New Roman" w:hAnsi="Times New Roman" w:cs="Times New Roman"/>
                <w:sz w:val="24"/>
                <w:szCs w:val="24"/>
              </w:rPr>
              <w:t xml:space="preserve">sācija zemu, </w:t>
            </w:r>
            <w:proofErr w:type="gramStart"/>
            <w:r w:rsidR="00520F97">
              <w:rPr>
                <w:rFonts w:ascii="Times New Roman" w:hAnsi="Times New Roman" w:cs="Times New Roman"/>
                <w:sz w:val="24"/>
                <w:szCs w:val="24"/>
              </w:rPr>
              <w:t>nekonkurētspējīgu</w:t>
            </w:r>
            <w:proofErr w:type="gramEnd"/>
            <w:r w:rsidR="00520F97">
              <w:rPr>
                <w:rFonts w:ascii="Times New Roman" w:hAnsi="Times New Roman" w:cs="Times New Roman"/>
                <w:sz w:val="24"/>
                <w:szCs w:val="24"/>
              </w:rPr>
              <w:t xml:space="preserve"> mēnešalgu gadījumā</w:t>
            </w:r>
            <w:r w:rsidR="00987FA2">
              <w:rPr>
                <w:rFonts w:ascii="Times New Roman" w:hAnsi="Times New Roman" w:cs="Times New Roman"/>
                <w:sz w:val="24"/>
                <w:szCs w:val="24"/>
              </w:rPr>
              <w:t>, vienlaikus, būtiski mainot t</w:t>
            </w:r>
            <w:r w:rsidR="007F169E">
              <w:rPr>
                <w:rFonts w:ascii="Times New Roman" w:hAnsi="Times New Roman" w:cs="Times New Roman"/>
                <w:sz w:val="24"/>
                <w:szCs w:val="24"/>
              </w:rPr>
              <w:t>o</w:t>
            </w:r>
            <w:r w:rsidR="00987FA2">
              <w:rPr>
                <w:rFonts w:ascii="Times New Roman" w:hAnsi="Times New Roman" w:cs="Times New Roman"/>
                <w:sz w:val="24"/>
                <w:szCs w:val="24"/>
              </w:rPr>
              <w:t xml:space="preserve"> līmeni, kompensēšanas nepieciešamība zūd. Turklāt</w:t>
            </w:r>
            <w:r w:rsidR="00214F38">
              <w:rPr>
                <w:rFonts w:ascii="Times New Roman" w:hAnsi="Times New Roman" w:cs="Times New Roman"/>
                <w:sz w:val="24"/>
                <w:szCs w:val="24"/>
              </w:rPr>
              <w:t xml:space="preserve"> </w:t>
            </w:r>
            <w:r w:rsidR="00CC5412" w:rsidRPr="001D059E">
              <w:rPr>
                <w:rFonts w:ascii="Times New Roman" w:hAnsi="Times New Roman" w:cs="Times New Roman"/>
                <w:sz w:val="24"/>
                <w:szCs w:val="24"/>
              </w:rPr>
              <w:t xml:space="preserve">Iekšlietu ministrijas sistēmas iestāžu un Ieslodzījuma vietu pārvaldes </w:t>
            </w:r>
            <w:r w:rsidR="00214F38">
              <w:rPr>
                <w:rFonts w:ascii="Times New Roman" w:hAnsi="Times New Roman" w:cs="Times New Roman"/>
                <w:sz w:val="24"/>
                <w:szCs w:val="24"/>
              </w:rPr>
              <w:t>pieredze ar šāda veida pabalstu liecina, ka iev</w:t>
            </w:r>
            <w:r w:rsidR="00B704A6">
              <w:rPr>
                <w:rFonts w:ascii="Times New Roman" w:hAnsi="Times New Roman" w:cs="Times New Roman"/>
                <w:sz w:val="24"/>
                <w:szCs w:val="24"/>
              </w:rPr>
              <w:t>ē</w:t>
            </w:r>
            <w:r w:rsidR="00214F38">
              <w:rPr>
                <w:rFonts w:ascii="Times New Roman" w:hAnsi="Times New Roman" w:cs="Times New Roman"/>
                <w:sz w:val="24"/>
                <w:szCs w:val="24"/>
              </w:rPr>
              <w:t>rojams skaits amatpersonu</w:t>
            </w:r>
            <w:r w:rsidR="00B704A6">
              <w:rPr>
                <w:rFonts w:ascii="Times New Roman" w:hAnsi="Times New Roman" w:cs="Times New Roman"/>
                <w:sz w:val="24"/>
                <w:szCs w:val="24"/>
              </w:rPr>
              <w:t xml:space="preserve"> atstāj dienestu tūlīt pēc pabalsta saņemšanas</w:t>
            </w:r>
            <w:r w:rsidR="007F169E">
              <w:rPr>
                <w:rFonts w:ascii="Times New Roman" w:hAnsi="Times New Roman" w:cs="Times New Roman"/>
                <w:sz w:val="24"/>
                <w:szCs w:val="24"/>
              </w:rPr>
              <w:t xml:space="preserve"> </w:t>
            </w:r>
            <w:proofErr w:type="gramStart"/>
            <w:r w:rsidR="007F169E" w:rsidRPr="00B4523E">
              <w:rPr>
                <w:rFonts w:ascii="Times New Roman" w:hAnsi="Times New Roman" w:cs="Times New Roman"/>
                <w:sz w:val="24"/>
                <w:szCs w:val="24"/>
              </w:rPr>
              <w:t>(</w:t>
            </w:r>
            <w:proofErr w:type="gramEnd"/>
            <w:r w:rsidR="005323B1" w:rsidRPr="00B4523E">
              <w:rPr>
                <w:rFonts w:ascii="Times New Roman" w:hAnsi="Times New Roman" w:cs="Times New Roman"/>
                <w:sz w:val="24"/>
                <w:szCs w:val="24"/>
              </w:rPr>
              <w:t xml:space="preserve">no </w:t>
            </w:r>
            <w:r w:rsidR="00232702" w:rsidRPr="001D059E">
              <w:rPr>
                <w:rFonts w:ascii="Times New Roman" w:hAnsi="Times New Roman" w:cs="Times New Roman"/>
                <w:color w:val="000000"/>
                <w:sz w:val="24"/>
                <w:szCs w:val="24"/>
                <w:shd w:val="clear" w:color="auto" w:fill="FFFFFF"/>
              </w:rPr>
              <w:t>8</w:t>
            </w:r>
            <w:r w:rsidR="001D059E">
              <w:rPr>
                <w:rFonts w:ascii="Times New Roman" w:hAnsi="Times New Roman" w:cs="Times New Roman"/>
                <w:color w:val="000000"/>
                <w:sz w:val="24"/>
                <w:szCs w:val="24"/>
                <w:shd w:val="clear" w:color="auto" w:fill="FFFFFF"/>
              </w:rPr>
              <w:t> </w:t>
            </w:r>
            <w:r w:rsidR="00232702" w:rsidRPr="001D059E">
              <w:rPr>
                <w:rFonts w:ascii="Times New Roman" w:hAnsi="Times New Roman" w:cs="Times New Roman"/>
                <w:color w:val="000000"/>
                <w:sz w:val="24"/>
                <w:szCs w:val="24"/>
                <w:shd w:val="clear" w:color="auto" w:fill="FFFFFF"/>
              </w:rPr>
              <w:t xml:space="preserve">415 amatpersonām, kuras </w:t>
            </w:r>
            <w:r w:rsidR="001D059E">
              <w:rPr>
                <w:rFonts w:ascii="Times New Roman" w:hAnsi="Times New Roman" w:cs="Times New Roman"/>
                <w:color w:val="000000"/>
                <w:sz w:val="24"/>
                <w:szCs w:val="24"/>
                <w:shd w:val="clear" w:color="auto" w:fill="FFFFFF"/>
              </w:rPr>
              <w:t>2019. gada 1. </w:t>
            </w:r>
            <w:r w:rsidR="00232702" w:rsidRPr="001D059E">
              <w:rPr>
                <w:rFonts w:ascii="Times New Roman" w:hAnsi="Times New Roman" w:cs="Times New Roman"/>
                <w:color w:val="000000"/>
                <w:sz w:val="24"/>
                <w:szCs w:val="24"/>
                <w:shd w:val="clear" w:color="auto" w:fill="FFFFFF"/>
              </w:rPr>
              <w:t xml:space="preserve">pusgadā saņēma izdienas pabalstu, amatu </w:t>
            </w:r>
            <w:r w:rsidR="001D059E">
              <w:rPr>
                <w:rFonts w:ascii="Times New Roman" w:hAnsi="Times New Roman" w:cs="Times New Roman"/>
                <w:color w:val="000000"/>
                <w:sz w:val="24"/>
                <w:szCs w:val="24"/>
                <w:shd w:val="clear" w:color="auto" w:fill="FFFFFF"/>
              </w:rPr>
              <w:t>2019. </w:t>
            </w:r>
            <w:r w:rsidR="00303031">
              <w:rPr>
                <w:rFonts w:ascii="Times New Roman" w:hAnsi="Times New Roman" w:cs="Times New Roman"/>
                <w:color w:val="000000"/>
                <w:sz w:val="24"/>
                <w:szCs w:val="24"/>
                <w:shd w:val="clear" w:color="auto" w:fill="FFFFFF"/>
              </w:rPr>
              <w:t xml:space="preserve">gadā </w:t>
            </w:r>
            <w:r w:rsidR="00232702" w:rsidRPr="001D059E">
              <w:rPr>
                <w:rFonts w:ascii="Times New Roman" w:hAnsi="Times New Roman" w:cs="Times New Roman"/>
                <w:color w:val="000000"/>
                <w:sz w:val="24"/>
                <w:szCs w:val="24"/>
                <w:shd w:val="clear" w:color="auto" w:fill="FFFFFF"/>
              </w:rPr>
              <w:t>ir atstājušas 718 am</w:t>
            </w:r>
            <w:r w:rsidR="00B74E60">
              <w:rPr>
                <w:rFonts w:ascii="Times New Roman" w:hAnsi="Times New Roman" w:cs="Times New Roman"/>
                <w:color w:val="000000"/>
                <w:sz w:val="24"/>
                <w:szCs w:val="24"/>
                <w:shd w:val="clear" w:color="auto" w:fill="FFFFFF"/>
              </w:rPr>
              <w:t>a</w:t>
            </w:r>
            <w:r w:rsidR="001D059E">
              <w:rPr>
                <w:rFonts w:ascii="Times New Roman" w:hAnsi="Times New Roman" w:cs="Times New Roman"/>
                <w:color w:val="000000"/>
                <w:sz w:val="24"/>
                <w:szCs w:val="24"/>
                <w:shd w:val="clear" w:color="auto" w:fill="FFFFFF"/>
              </w:rPr>
              <w:t>tpersonas jeb 9 </w:t>
            </w:r>
            <w:r w:rsidR="00232702" w:rsidRPr="001D059E">
              <w:rPr>
                <w:rFonts w:ascii="Times New Roman" w:hAnsi="Times New Roman" w:cs="Times New Roman"/>
                <w:color w:val="000000"/>
                <w:sz w:val="24"/>
                <w:szCs w:val="24"/>
                <w:shd w:val="clear" w:color="auto" w:fill="FFFFFF"/>
              </w:rPr>
              <w:t>%</w:t>
            </w:r>
            <w:r w:rsidR="00B4523E" w:rsidRPr="001D059E">
              <w:rPr>
                <w:rFonts w:ascii="Times New Roman" w:hAnsi="Times New Roman" w:cs="Times New Roman"/>
                <w:color w:val="000000"/>
                <w:sz w:val="24"/>
                <w:szCs w:val="24"/>
                <w:shd w:val="clear" w:color="auto" w:fill="FFFFFF"/>
              </w:rPr>
              <w:t>)</w:t>
            </w:r>
            <w:r w:rsidR="00B704A6" w:rsidRPr="00B4523E">
              <w:rPr>
                <w:rFonts w:ascii="Times New Roman" w:hAnsi="Times New Roman" w:cs="Times New Roman"/>
                <w:sz w:val="24"/>
                <w:szCs w:val="24"/>
              </w:rPr>
              <w:t xml:space="preserve">, tādējādi tā </w:t>
            </w:r>
            <w:r w:rsidR="00891B0E" w:rsidRPr="00B4523E">
              <w:rPr>
                <w:rFonts w:ascii="Times New Roman" w:hAnsi="Times New Roman" w:cs="Times New Roman"/>
                <w:sz w:val="24"/>
                <w:szCs w:val="24"/>
              </w:rPr>
              <w:t>ieviešanas mērķis – panākt ilgāku atrašanos</w:t>
            </w:r>
            <w:r w:rsidR="00891B0E">
              <w:rPr>
                <w:rFonts w:ascii="Times New Roman" w:hAnsi="Times New Roman" w:cs="Times New Roman"/>
                <w:sz w:val="24"/>
                <w:szCs w:val="24"/>
              </w:rPr>
              <w:t xml:space="preserve"> dienestā – netiek sasniegts.</w:t>
            </w:r>
            <w:r w:rsidR="00987FA2">
              <w:rPr>
                <w:rFonts w:ascii="Times New Roman" w:hAnsi="Times New Roman" w:cs="Times New Roman"/>
                <w:sz w:val="24"/>
                <w:szCs w:val="24"/>
              </w:rPr>
              <w:t xml:space="preserve"> </w:t>
            </w:r>
            <w:r w:rsidR="00B74E60">
              <w:rPr>
                <w:rFonts w:ascii="Times New Roman" w:hAnsi="Times New Roman" w:cs="Times New Roman"/>
                <w:sz w:val="24"/>
                <w:szCs w:val="24"/>
              </w:rPr>
              <w:t>Papildus tam, padarot atrašanos dienestā atkarīgu no vienreizēja pabalsta ik pēc pieciem gadiem nozīmē negatīvi ietekmēt nodarbināto iekšējo motivāciju</w:t>
            </w:r>
            <w:r w:rsidR="00D8058A">
              <w:rPr>
                <w:rFonts w:ascii="Times New Roman" w:hAnsi="Times New Roman" w:cs="Times New Roman"/>
                <w:sz w:val="24"/>
                <w:szCs w:val="24"/>
              </w:rPr>
              <w:t xml:space="preserve"> – tā tiek aizstāta ar finansiālu interesi saņemt izdienas pabalstu</w:t>
            </w:r>
            <w:r w:rsidR="00AA7F7F">
              <w:rPr>
                <w:rFonts w:ascii="Times New Roman" w:hAnsi="Times New Roman" w:cs="Times New Roman"/>
                <w:sz w:val="24"/>
                <w:szCs w:val="24"/>
              </w:rPr>
              <w:t xml:space="preserve"> (</w:t>
            </w:r>
            <w:r w:rsidR="00D13704">
              <w:rPr>
                <w:rFonts w:ascii="Times New Roman" w:hAnsi="Times New Roman" w:cs="Times New Roman"/>
                <w:sz w:val="24"/>
                <w:szCs w:val="24"/>
              </w:rPr>
              <w:t>daudzos gadījumos – tikai vienreiz</w:t>
            </w:r>
            <w:r w:rsidR="00AA7F7F">
              <w:rPr>
                <w:rFonts w:ascii="Times New Roman" w:hAnsi="Times New Roman" w:cs="Times New Roman"/>
                <w:sz w:val="24"/>
                <w:szCs w:val="24"/>
              </w:rPr>
              <w:t>)</w:t>
            </w:r>
            <w:r w:rsidR="00D13704">
              <w:rPr>
                <w:rFonts w:ascii="Times New Roman" w:hAnsi="Times New Roman" w:cs="Times New Roman"/>
                <w:sz w:val="24"/>
                <w:szCs w:val="24"/>
              </w:rPr>
              <w:t xml:space="preserve"> un tad atstāt dienestu</w:t>
            </w:r>
            <w:r w:rsidR="00B74E60">
              <w:rPr>
                <w:rFonts w:ascii="Times New Roman" w:hAnsi="Times New Roman" w:cs="Times New Roman"/>
                <w:sz w:val="24"/>
                <w:szCs w:val="24"/>
              </w:rPr>
              <w:t xml:space="preserve">. Būtiskākais un </w:t>
            </w:r>
            <w:r w:rsidR="00C240D4">
              <w:rPr>
                <w:rFonts w:ascii="Times New Roman" w:hAnsi="Times New Roman" w:cs="Times New Roman"/>
                <w:sz w:val="24"/>
                <w:szCs w:val="24"/>
              </w:rPr>
              <w:t xml:space="preserve">ilgtermiņā </w:t>
            </w:r>
            <w:r w:rsidR="00B74E60">
              <w:rPr>
                <w:rFonts w:ascii="Times New Roman" w:hAnsi="Times New Roman" w:cs="Times New Roman"/>
                <w:sz w:val="24"/>
                <w:szCs w:val="24"/>
              </w:rPr>
              <w:t xml:space="preserve">efektīvākais </w:t>
            </w:r>
            <w:r w:rsidR="00ED748C">
              <w:rPr>
                <w:rFonts w:ascii="Times New Roman" w:hAnsi="Times New Roman" w:cs="Times New Roman"/>
                <w:sz w:val="24"/>
                <w:szCs w:val="24"/>
              </w:rPr>
              <w:t>finansiālais motivēšanas instruments ir konkurētspējīga</w:t>
            </w:r>
            <w:r w:rsidR="005413BC">
              <w:rPr>
                <w:rFonts w:ascii="Times New Roman" w:hAnsi="Times New Roman" w:cs="Times New Roman"/>
                <w:sz w:val="24"/>
                <w:szCs w:val="24"/>
              </w:rPr>
              <w:t>, stabila un progresējoša</w:t>
            </w:r>
            <w:r w:rsidR="00ED748C">
              <w:rPr>
                <w:rFonts w:ascii="Times New Roman" w:hAnsi="Times New Roman" w:cs="Times New Roman"/>
                <w:sz w:val="24"/>
                <w:szCs w:val="24"/>
              </w:rPr>
              <w:t xml:space="preserve"> pamatalga (mēnešalga).</w:t>
            </w:r>
            <w:r w:rsidR="00B74E60">
              <w:rPr>
                <w:rFonts w:ascii="Times New Roman" w:hAnsi="Times New Roman" w:cs="Times New Roman"/>
                <w:sz w:val="24"/>
                <w:szCs w:val="24"/>
              </w:rPr>
              <w:t xml:space="preserve"> </w:t>
            </w:r>
          </w:p>
          <w:p w14:paraId="4460557A" w14:textId="45E1CADB" w:rsidR="00433AD9" w:rsidRDefault="00433AD9" w:rsidP="00975A3F">
            <w:pPr>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C85C8A">
              <w:rPr>
                <w:rFonts w:ascii="Times New Roman" w:hAnsi="Times New Roman" w:cs="Times New Roman"/>
                <w:sz w:val="24"/>
                <w:szCs w:val="24"/>
              </w:rPr>
              <w:t>L</w:t>
            </w:r>
            <w:r>
              <w:rPr>
                <w:rFonts w:ascii="Times New Roman" w:hAnsi="Times New Roman" w:cs="Times New Roman"/>
                <w:sz w:val="24"/>
                <w:szCs w:val="24"/>
              </w:rPr>
              <w:t>ikumprojekts paredz izslēgt 25. panta pirmo daļu.</w:t>
            </w:r>
          </w:p>
          <w:p w14:paraId="2271BC99" w14:textId="54ACFB68" w:rsidR="00433AD9" w:rsidRDefault="008755AB" w:rsidP="00975A3F">
            <w:pPr>
              <w:jc w:val="both"/>
              <w:rPr>
                <w:rStyle w:val="normaltextrun"/>
                <w:rFonts w:ascii="Times New Roman" w:hAnsi="Times New Roman" w:cs="Times New Roman"/>
                <w:sz w:val="24"/>
                <w:szCs w:val="24"/>
              </w:rPr>
            </w:pPr>
            <w:r w:rsidRPr="00720375">
              <w:rPr>
                <w:rStyle w:val="normaltextrun"/>
                <w:rFonts w:ascii="Times New Roman" w:hAnsi="Times New Roman" w:cs="Times New Roman"/>
                <w:sz w:val="24"/>
                <w:szCs w:val="24"/>
              </w:rPr>
              <w:t xml:space="preserve">Tomēr, lai nodrošinātu pēctecību un </w:t>
            </w:r>
            <w:r w:rsidRPr="00720375">
              <w:rPr>
                <w:rStyle w:val="spellingerror"/>
                <w:rFonts w:ascii="Times New Roman" w:hAnsi="Times New Roman" w:cs="Times New Roman"/>
                <w:sz w:val="24"/>
                <w:szCs w:val="24"/>
              </w:rPr>
              <w:t>pārmantojamību</w:t>
            </w:r>
            <w:r w:rsidRPr="00720375">
              <w:rPr>
                <w:rStyle w:val="normaltextrun"/>
                <w:rFonts w:ascii="Times New Roman" w:hAnsi="Times New Roman" w:cs="Times New Roman"/>
                <w:sz w:val="24"/>
                <w:szCs w:val="24"/>
              </w:rPr>
              <w:t xml:space="preserve">, kā arī tiesisko </w:t>
            </w:r>
            <w:r w:rsidRPr="00720375">
              <w:rPr>
                <w:rStyle w:val="findhit"/>
                <w:rFonts w:ascii="Times New Roman" w:hAnsi="Times New Roman" w:cs="Times New Roman"/>
                <w:sz w:val="24"/>
                <w:szCs w:val="24"/>
              </w:rPr>
              <w:t>paļāvī</w:t>
            </w:r>
            <w:r w:rsidRPr="00720375">
              <w:rPr>
                <w:rStyle w:val="normaltextrun"/>
                <w:rFonts w:ascii="Times New Roman" w:hAnsi="Times New Roman" w:cs="Times New Roman"/>
                <w:sz w:val="24"/>
                <w:szCs w:val="24"/>
              </w:rPr>
              <w:t xml:space="preserve">bu par iepriekš lemto, ir jānosaka, ka </w:t>
            </w:r>
            <w:r w:rsidR="00C265D6" w:rsidRPr="00720375">
              <w:rPr>
                <w:rStyle w:val="normaltextrun"/>
                <w:rFonts w:ascii="Times New Roman" w:hAnsi="Times New Roman" w:cs="Times New Roman"/>
                <w:sz w:val="24"/>
                <w:szCs w:val="24"/>
              </w:rPr>
              <w:t>izdienas pabal</w:t>
            </w:r>
            <w:r w:rsidR="005413BC" w:rsidRPr="00720375">
              <w:rPr>
                <w:rStyle w:val="normaltextrun"/>
                <w:rFonts w:ascii="Times New Roman" w:hAnsi="Times New Roman" w:cs="Times New Roman"/>
                <w:sz w:val="24"/>
                <w:szCs w:val="24"/>
              </w:rPr>
              <w:t>s</w:t>
            </w:r>
            <w:r w:rsidR="00C265D6" w:rsidRPr="00720375">
              <w:rPr>
                <w:rStyle w:val="normaltextrun"/>
                <w:rFonts w:ascii="Times New Roman" w:hAnsi="Times New Roman" w:cs="Times New Roman"/>
                <w:sz w:val="24"/>
                <w:szCs w:val="24"/>
              </w:rPr>
              <w:t>ts</w:t>
            </w:r>
            <w:r w:rsidR="00433AD9">
              <w:rPr>
                <w:rStyle w:val="normaltextrun"/>
                <w:rFonts w:ascii="Times New Roman" w:hAnsi="Times New Roman" w:cs="Times New Roman"/>
                <w:sz w:val="24"/>
                <w:szCs w:val="24"/>
              </w:rPr>
              <w:t xml:space="preserve"> ir vienreiz izmaksājams tikai tām amatpersonām, kurām sāk skaitīt izdienu no 2019. gada 1. janvāra (Atlīdzības likuma pārejas noteikumu 41. punkts) līdz </w:t>
            </w:r>
            <w:r w:rsidR="00C85C8A">
              <w:rPr>
                <w:rStyle w:val="normaltextrun"/>
                <w:rFonts w:ascii="Times New Roman" w:hAnsi="Times New Roman" w:cs="Times New Roman"/>
                <w:sz w:val="24"/>
                <w:szCs w:val="24"/>
              </w:rPr>
              <w:t>L</w:t>
            </w:r>
            <w:r w:rsidR="00433AD9">
              <w:rPr>
                <w:rStyle w:val="normaltextrun"/>
                <w:rFonts w:ascii="Times New Roman" w:hAnsi="Times New Roman" w:cs="Times New Roman"/>
                <w:sz w:val="24"/>
                <w:szCs w:val="24"/>
              </w:rPr>
              <w:t xml:space="preserve">ikumprojekta spēkā stāšanās brīdim </w:t>
            </w:r>
            <w:proofErr w:type="gramStart"/>
            <w:r w:rsidR="00433AD9">
              <w:rPr>
                <w:rStyle w:val="normaltextrun"/>
                <w:rFonts w:ascii="Times New Roman" w:hAnsi="Times New Roman" w:cs="Times New Roman"/>
                <w:sz w:val="24"/>
                <w:szCs w:val="24"/>
              </w:rPr>
              <w:t>(</w:t>
            </w:r>
            <w:proofErr w:type="gramEnd"/>
            <w:r w:rsidR="00433AD9">
              <w:rPr>
                <w:rStyle w:val="normaltextrun"/>
                <w:rFonts w:ascii="Times New Roman" w:hAnsi="Times New Roman" w:cs="Times New Roman"/>
                <w:sz w:val="24"/>
                <w:szCs w:val="24"/>
              </w:rPr>
              <w:t>2021. gada 1. janvārim).</w:t>
            </w:r>
          </w:p>
          <w:p w14:paraId="732DE0E8" w14:textId="7F31E129" w:rsidR="00433AD9" w:rsidRDefault="00433AD9" w:rsidP="00975A3F">
            <w:pPr>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Ņemot vērā, ka</w:t>
            </w:r>
            <w:proofErr w:type="gramStart"/>
            <w:r>
              <w:rPr>
                <w:rStyle w:val="normaltextrun"/>
                <w:rFonts w:ascii="Times New Roman" w:hAnsi="Times New Roman" w:cs="Times New Roman"/>
                <w:sz w:val="24"/>
                <w:szCs w:val="24"/>
              </w:rPr>
              <w:t xml:space="preserve"> Biroj</w:t>
            </w:r>
            <w:r w:rsidR="00C85C8A">
              <w:rPr>
                <w:rStyle w:val="normaltextrun"/>
                <w:rFonts w:ascii="Times New Roman" w:hAnsi="Times New Roman" w:cs="Times New Roman"/>
                <w:sz w:val="24"/>
                <w:szCs w:val="24"/>
              </w:rPr>
              <w:t>a</w:t>
            </w:r>
            <w:r>
              <w:rPr>
                <w:rStyle w:val="normaltextrun"/>
                <w:rFonts w:ascii="Times New Roman" w:hAnsi="Times New Roman" w:cs="Times New Roman"/>
                <w:sz w:val="24"/>
                <w:szCs w:val="24"/>
              </w:rPr>
              <w:t xml:space="preserve"> amatpersonu mēnešalgas sākot</w:t>
            </w:r>
            <w:proofErr w:type="gramEnd"/>
            <w:r>
              <w:rPr>
                <w:rStyle w:val="normaltextrun"/>
                <w:rFonts w:ascii="Times New Roman" w:hAnsi="Times New Roman" w:cs="Times New Roman"/>
                <w:sz w:val="24"/>
                <w:szCs w:val="24"/>
              </w:rPr>
              <w:t xml:space="preserve"> ar 2021. gada 1. janvāri tiks paaugstinātas, tad nav atbalstāma pabalsta noteikšana atbilstoši pēdējam amatam. Līdz ar to likumprojekts paredz, ka pabalsts tiks maksāts </w:t>
            </w:r>
            <w:r w:rsidRPr="00433AD9">
              <w:rPr>
                <w:rFonts w:ascii="Times New Roman" w:hAnsi="Times New Roman" w:cs="Times New Roman"/>
                <w:sz w:val="24"/>
                <w:szCs w:val="24"/>
                <w:shd w:val="clear" w:color="auto" w:fill="FFFFFF"/>
              </w:rPr>
              <w:t>triju vidējo mēnešalgu apmērā, ko aprēķin</w:t>
            </w:r>
            <w:r>
              <w:rPr>
                <w:rFonts w:ascii="Times New Roman" w:hAnsi="Times New Roman" w:cs="Times New Roman"/>
                <w:sz w:val="24"/>
                <w:szCs w:val="24"/>
                <w:shd w:val="clear" w:color="auto" w:fill="FFFFFF"/>
              </w:rPr>
              <w:t>ās -</w:t>
            </w:r>
            <w:r w:rsidRPr="00433AD9">
              <w:rPr>
                <w:rFonts w:ascii="Times New Roman" w:hAnsi="Times New Roman" w:cs="Times New Roman"/>
                <w:sz w:val="24"/>
                <w:szCs w:val="24"/>
                <w:shd w:val="clear" w:color="auto" w:fill="FFFFFF"/>
              </w:rPr>
              <w:t xml:space="preserve"> pēdējo piecu gadu mēnešalgu kopsummu dalot ar šajā periodā nostrādāto mēnešu skaitu</w:t>
            </w:r>
            <w:r>
              <w:rPr>
                <w:rFonts w:ascii="Times New Roman" w:hAnsi="Times New Roman" w:cs="Times New Roman"/>
                <w:sz w:val="24"/>
                <w:szCs w:val="24"/>
                <w:shd w:val="clear" w:color="auto" w:fill="FFFFFF"/>
              </w:rPr>
              <w:t>.</w:t>
            </w:r>
          </w:p>
          <w:p w14:paraId="6BC12E2F" w14:textId="25212AC6" w:rsidR="001E3537" w:rsidRPr="00720375" w:rsidRDefault="00C265D6" w:rsidP="00975A3F">
            <w:pPr>
              <w:jc w:val="both"/>
              <w:rPr>
                <w:rFonts w:ascii="Times New Roman" w:hAnsi="Times New Roman" w:cs="Times New Roman"/>
                <w:sz w:val="24"/>
                <w:szCs w:val="24"/>
              </w:rPr>
            </w:pPr>
            <w:r w:rsidRPr="00720375">
              <w:rPr>
                <w:rStyle w:val="normaltextrun"/>
                <w:rFonts w:ascii="Times New Roman" w:hAnsi="Times New Roman" w:cs="Times New Roman"/>
                <w:sz w:val="24"/>
                <w:szCs w:val="24"/>
              </w:rPr>
              <w:t xml:space="preserve"> </w:t>
            </w:r>
          </w:p>
          <w:p w14:paraId="0F7297E6" w14:textId="0472A502" w:rsidR="001A43DC" w:rsidRPr="001A43DC" w:rsidRDefault="001E3537" w:rsidP="00975A3F">
            <w:pPr>
              <w:jc w:val="both"/>
              <w:rPr>
                <w:rFonts w:ascii="Times New Roman" w:hAnsi="Times New Roman" w:cs="Times New Roman"/>
                <w:sz w:val="24"/>
                <w:szCs w:val="24"/>
              </w:rPr>
            </w:pPr>
            <w:r>
              <w:rPr>
                <w:rFonts w:ascii="Times New Roman" w:hAnsi="Times New Roman" w:cs="Times New Roman"/>
                <w:sz w:val="24"/>
                <w:szCs w:val="24"/>
              </w:rPr>
              <w:t xml:space="preserve">Ievērojot minēto, Likumprojekts </w:t>
            </w:r>
            <w:r w:rsidR="008755AB">
              <w:rPr>
                <w:rFonts w:ascii="Times New Roman" w:hAnsi="Times New Roman" w:cs="Times New Roman"/>
                <w:sz w:val="24"/>
                <w:szCs w:val="24"/>
              </w:rPr>
              <w:t>paredz grozīt pārejas noteikumu 41. punktu, nosakot, ka</w:t>
            </w:r>
            <w:r w:rsidR="001A43DC">
              <w:rPr>
                <w:rFonts w:ascii="Times New Roman" w:hAnsi="Times New Roman" w:cs="Times New Roman"/>
                <w:sz w:val="24"/>
                <w:szCs w:val="24"/>
              </w:rPr>
              <w:t xml:space="preserve"> </w:t>
            </w:r>
            <w:r w:rsidR="001A43DC" w:rsidRPr="001A43DC">
              <w:rPr>
                <w:rFonts w:ascii="Times New Roman" w:hAnsi="Times New Roman" w:cs="Times New Roman"/>
                <w:color w:val="414142"/>
                <w:sz w:val="24"/>
                <w:szCs w:val="24"/>
                <w:shd w:val="clear" w:color="auto" w:fill="FFFFFF"/>
              </w:rPr>
              <w:t xml:space="preserve">Korupcijas novēršanas un apkarošanas biroja amatpersonai, kura uzsākusi </w:t>
            </w:r>
            <w:r w:rsidR="00003615">
              <w:rPr>
                <w:rFonts w:ascii="Times New Roman" w:hAnsi="Times New Roman" w:cs="Times New Roman"/>
                <w:color w:val="414142"/>
                <w:sz w:val="24"/>
                <w:szCs w:val="24"/>
                <w:shd w:val="clear" w:color="auto" w:fill="FFFFFF"/>
              </w:rPr>
              <w:t xml:space="preserve">pildīt dienesta pienākumus </w:t>
            </w:r>
            <w:r w:rsidR="001A43DC" w:rsidRPr="001A43DC">
              <w:rPr>
                <w:rFonts w:ascii="Times New Roman" w:hAnsi="Times New Roman" w:cs="Times New Roman"/>
                <w:color w:val="414142"/>
                <w:sz w:val="24"/>
                <w:szCs w:val="24"/>
                <w:shd w:val="clear" w:color="auto" w:fill="FFFFFF"/>
              </w:rPr>
              <w:t xml:space="preserve">Korupcijas novēršanas un apkarošanas birojā laika posmā līdz 2020. gada 31. decembrim, pēc pieciem nepārtrauktas izdienas gadiem, skaitot no 2019. gada 1. janvāra, izmaksā vienreizēju pabalstu triju </w:t>
            </w:r>
            <w:r w:rsidR="001A43DC" w:rsidRPr="001A43DC">
              <w:rPr>
                <w:rFonts w:ascii="Times New Roman" w:hAnsi="Times New Roman" w:cs="Times New Roman"/>
                <w:color w:val="000000"/>
                <w:sz w:val="24"/>
                <w:szCs w:val="24"/>
                <w:shd w:val="clear" w:color="auto" w:fill="FFFFFF"/>
              </w:rPr>
              <w:t xml:space="preserve">vidējo mēnešalgu </w:t>
            </w:r>
            <w:r w:rsidR="001A43DC" w:rsidRPr="001A43DC">
              <w:rPr>
                <w:rFonts w:ascii="Times New Roman" w:hAnsi="Times New Roman" w:cs="Times New Roman"/>
                <w:color w:val="414142"/>
                <w:sz w:val="24"/>
                <w:szCs w:val="24"/>
                <w:shd w:val="clear" w:color="auto" w:fill="FFFFFF"/>
              </w:rPr>
              <w:t>apmērā</w:t>
            </w:r>
            <w:r w:rsidR="001A43DC" w:rsidRPr="001A43DC">
              <w:rPr>
                <w:rFonts w:ascii="Times New Roman" w:hAnsi="Times New Roman" w:cs="Times New Roman"/>
                <w:color w:val="FF0000"/>
                <w:sz w:val="24"/>
                <w:szCs w:val="24"/>
                <w:shd w:val="clear" w:color="auto" w:fill="FFFFFF"/>
              </w:rPr>
              <w:t xml:space="preserve"> </w:t>
            </w:r>
            <w:r w:rsidR="001A43DC" w:rsidRPr="001A43DC">
              <w:rPr>
                <w:rFonts w:ascii="Times New Roman" w:hAnsi="Times New Roman" w:cs="Times New Roman"/>
                <w:color w:val="000000"/>
                <w:sz w:val="24"/>
                <w:szCs w:val="24"/>
                <w:shd w:val="clear" w:color="auto" w:fill="FFFFFF"/>
              </w:rPr>
              <w:t>pēdējo piecu gadu laikā.</w:t>
            </w:r>
            <w:r w:rsidR="001A43DC" w:rsidRPr="001A43DC">
              <w:rPr>
                <w:rFonts w:ascii="Times New Roman" w:hAnsi="Times New Roman" w:cs="Times New Roman"/>
                <w:color w:val="414142"/>
                <w:sz w:val="24"/>
                <w:szCs w:val="24"/>
                <w:shd w:val="clear" w:color="auto" w:fill="FFFFFF"/>
              </w:rPr>
              <w:t xml:space="preserve"> </w:t>
            </w:r>
            <w:r w:rsidR="001A43DC" w:rsidRPr="001A43DC">
              <w:rPr>
                <w:rFonts w:ascii="Times New Roman" w:hAnsi="Times New Roman" w:cs="Times New Roman"/>
                <w:color w:val="000000"/>
                <w:sz w:val="24"/>
                <w:szCs w:val="24"/>
              </w:rPr>
              <w:t>Šo pabalstu amatpersonai izmaksā vienreiz, sākot ar 2024. gada 1. janvāri līdz 2025. gada 31. decembrim</w:t>
            </w:r>
            <w:r w:rsidR="00C85C8A">
              <w:rPr>
                <w:rFonts w:ascii="Times New Roman" w:hAnsi="Times New Roman" w:cs="Times New Roman"/>
                <w:color w:val="000000"/>
                <w:sz w:val="24"/>
                <w:szCs w:val="24"/>
              </w:rPr>
              <w:t>.</w:t>
            </w:r>
          </w:p>
          <w:p w14:paraId="6D15AD7E" w14:textId="07CEBB77" w:rsidR="008755AB" w:rsidRPr="008755AB" w:rsidRDefault="008755AB" w:rsidP="00975A3F">
            <w:pPr>
              <w:jc w:val="both"/>
              <w:rPr>
                <w:rFonts w:ascii="Times New Roman" w:hAnsi="Times New Roman" w:cs="Times New Roman"/>
                <w:sz w:val="24"/>
                <w:szCs w:val="24"/>
              </w:rPr>
            </w:pPr>
          </w:p>
          <w:p w14:paraId="69F9656E" w14:textId="77777777" w:rsidR="00CD6A11" w:rsidRPr="004A001C" w:rsidRDefault="008D63EC" w:rsidP="008D63EC">
            <w:pPr>
              <w:jc w:val="both"/>
              <w:rPr>
                <w:rFonts w:ascii="Times New Roman" w:hAnsi="Times New Roman" w:cs="Times New Roman"/>
                <w:sz w:val="24"/>
                <w:szCs w:val="24"/>
                <w:lang w:eastAsia="lv-LV"/>
              </w:rPr>
            </w:pPr>
            <w:r w:rsidRPr="008D63EC">
              <w:rPr>
                <w:rFonts w:ascii="Times New Roman" w:hAnsi="Times New Roman" w:cs="Times New Roman"/>
                <w:sz w:val="24"/>
                <w:szCs w:val="24"/>
                <w:lang w:eastAsia="lv-LV"/>
              </w:rPr>
              <w:t xml:space="preserve">Paredzēts, ka likums pēc tā pieņemšanas stāsies spēkā </w:t>
            </w:r>
            <w:proofErr w:type="gramStart"/>
            <w:r w:rsidRPr="008D63EC">
              <w:rPr>
                <w:rFonts w:ascii="Times New Roman" w:hAnsi="Times New Roman" w:cs="Times New Roman"/>
                <w:sz w:val="24"/>
                <w:szCs w:val="24"/>
                <w:lang w:eastAsia="lv-LV"/>
              </w:rPr>
              <w:t>2021.gada</w:t>
            </w:r>
            <w:proofErr w:type="gramEnd"/>
            <w:r w:rsidRPr="008D63EC">
              <w:rPr>
                <w:rFonts w:ascii="Times New Roman" w:hAnsi="Times New Roman" w:cs="Times New Roman"/>
                <w:sz w:val="24"/>
                <w:szCs w:val="24"/>
                <w:lang w:eastAsia="lv-LV"/>
              </w:rPr>
              <w:t xml:space="preserve"> 1.janvārī, lai paredzētu samērīgu termiņu iekšējās atlīdzības sistēmas izveidošanai.</w:t>
            </w:r>
          </w:p>
        </w:tc>
      </w:tr>
      <w:tr w:rsidR="0049292E" w:rsidRPr="009162AC" w14:paraId="67D257D4" w14:textId="77777777" w:rsidTr="0050455D">
        <w:trPr>
          <w:trHeight w:val="8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F22B35"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087099E7" w14:textId="77777777" w:rsidR="00E5323B" w:rsidRPr="004D586F" w:rsidRDefault="00E5323B" w:rsidP="001A3D49">
            <w:pPr>
              <w:jc w:val="both"/>
              <w:rPr>
                <w:rFonts w:ascii="Times New Roman" w:eastAsia="Times New Roman" w:hAnsi="Times New Roman" w:cs="Times New Roman"/>
                <w:iCs/>
                <w:sz w:val="24"/>
                <w:szCs w:val="24"/>
                <w:lang w:eastAsia="lv-LV"/>
              </w:rPr>
            </w:pPr>
            <w:r w:rsidRPr="004D58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62CCD9F4" w14:textId="2FDBFDEF" w:rsidR="00E5323B" w:rsidRPr="002265CE" w:rsidRDefault="006612B7" w:rsidP="00D1405E">
            <w:pPr>
              <w:jc w:val="both"/>
              <w:rPr>
                <w:rFonts w:ascii="Times New Roman" w:eastAsia="Times New Roman" w:hAnsi="Times New Roman" w:cs="Times New Roman"/>
                <w:iCs/>
                <w:sz w:val="24"/>
                <w:szCs w:val="24"/>
                <w:highlight w:val="yellow"/>
                <w:lang w:eastAsia="lv-LV"/>
              </w:rPr>
            </w:pPr>
            <w:r w:rsidRPr="00656F64">
              <w:rPr>
                <w:rFonts w:ascii="Times New Roman" w:eastAsia="Times New Roman" w:hAnsi="Times New Roman" w:cs="Times New Roman"/>
                <w:iCs/>
                <w:sz w:val="24"/>
                <w:szCs w:val="24"/>
                <w:lang w:eastAsia="lv-LV"/>
              </w:rPr>
              <w:t>B</w:t>
            </w:r>
            <w:r w:rsidR="00C97E63" w:rsidRPr="00656F64">
              <w:rPr>
                <w:rFonts w:ascii="Times New Roman" w:eastAsia="Times New Roman" w:hAnsi="Times New Roman" w:cs="Times New Roman"/>
                <w:iCs/>
                <w:sz w:val="24"/>
                <w:szCs w:val="24"/>
                <w:lang w:eastAsia="lv-LV"/>
              </w:rPr>
              <w:t>irojs</w:t>
            </w:r>
          </w:p>
        </w:tc>
      </w:tr>
      <w:tr w:rsidR="0049292E" w:rsidRPr="009162AC" w14:paraId="19960A0B" w14:textId="77777777" w:rsidTr="005045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05954"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55EFA1EA"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52362E6" w14:textId="20FA6666" w:rsidR="00E5323B" w:rsidRPr="009162AC" w:rsidRDefault="001A43DC" w:rsidP="0006124F">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Nav</w:t>
            </w:r>
          </w:p>
        </w:tc>
      </w:tr>
    </w:tbl>
    <w:p w14:paraId="2C0BFE78" w14:textId="77777777" w:rsidR="00E5323B"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292E" w:rsidRPr="009162AC" w14:paraId="7B2CDF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2E1D74"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026BED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73514"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0BF23D"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mērķgrupas, kuras tiesiskais regulējums ietekmē</w:t>
            </w:r>
            <w:proofErr w:type="gramStart"/>
            <w:r w:rsidRPr="009162AC">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40530D7B" w14:textId="77777777" w:rsidR="00E5323B" w:rsidRDefault="008F4F35" w:rsidP="0074426F">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Birojā nodarbinātie</w:t>
            </w:r>
          </w:p>
          <w:p w14:paraId="66591448" w14:textId="377080C6" w:rsidR="00C85C8A" w:rsidRPr="00C85C8A" w:rsidRDefault="00C85C8A" w:rsidP="0074426F">
            <w:pPr>
              <w:jc w:val="both"/>
              <w:rPr>
                <w:rFonts w:ascii="Times New Roman" w:eastAsia="Times New Roman" w:hAnsi="Times New Roman" w:cs="Times New Roman"/>
                <w:iCs/>
                <w:sz w:val="24"/>
                <w:szCs w:val="24"/>
                <w:lang w:eastAsia="lv-LV"/>
              </w:rPr>
            </w:pPr>
            <w:r w:rsidRPr="00C85C8A">
              <w:rPr>
                <w:rFonts w:ascii="Times New Roman" w:eastAsia="Times New Roman" w:hAnsi="Times New Roman" w:cs="Times New Roman"/>
                <w:iCs/>
                <w:sz w:val="24"/>
                <w:szCs w:val="24"/>
                <w:lang w:eastAsia="lv-LV"/>
              </w:rPr>
              <w:t>Birojs</w:t>
            </w:r>
          </w:p>
        </w:tc>
      </w:tr>
      <w:tr w:rsidR="0049292E" w:rsidRPr="009162AC" w14:paraId="4CD320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EEA00"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E3BF37"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82BA12D" w14:textId="77777777" w:rsidR="00E5323B" w:rsidRPr="009162AC" w:rsidRDefault="0011044D" w:rsidP="00765C0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Ilgtermiņā ir sagaidāma pozitīva ietekme uz tautsaimniecību, </w:t>
            </w:r>
            <w:r w:rsidR="007B3175">
              <w:rPr>
                <w:rFonts w:ascii="Times New Roman" w:eastAsia="Times New Roman" w:hAnsi="Times New Roman" w:cs="Times New Roman"/>
                <w:iCs/>
                <w:sz w:val="24"/>
                <w:szCs w:val="24"/>
                <w:lang w:eastAsia="lv-LV"/>
              </w:rPr>
              <w:t>jo</w:t>
            </w:r>
            <w:r w:rsidR="002A3921">
              <w:rPr>
                <w:rFonts w:ascii="Times New Roman" w:eastAsia="Times New Roman" w:hAnsi="Times New Roman" w:cs="Times New Roman"/>
                <w:iCs/>
                <w:sz w:val="24"/>
                <w:szCs w:val="24"/>
                <w:lang w:eastAsia="lv-LV"/>
              </w:rPr>
              <w:t>,</w:t>
            </w:r>
            <w:r w:rsidR="007B3175">
              <w:rPr>
                <w:rFonts w:ascii="Times New Roman" w:eastAsia="Times New Roman" w:hAnsi="Times New Roman" w:cs="Times New Roman"/>
                <w:iCs/>
                <w:sz w:val="24"/>
                <w:szCs w:val="24"/>
                <w:lang w:eastAsia="lv-LV"/>
              </w:rPr>
              <w:t xml:space="preserve"> </w:t>
            </w:r>
            <w:r w:rsidR="007B3175">
              <w:rPr>
                <w:rFonts w:ascii="Times New Roman" w:hAnsi="Times New Roman" w:cs="Times New Roman"/>
                <w:sz w:val="24"/>
                <w:szCs w:val="24"/>
                <w:lang w:eastAsia="lv-LV"/>
              </w:rPr>
              <w:t>stiprinot</w:t>
            </w:r>
            <w:r w:rsidR="007B3175" w:rsidRPr="008D63EC">
              <w:rPr>
                <w:rFonts w:ascii="Times New Roman" w:hAnsi="Times New Roman" w:cs="Times New Roman"/>
                <w:sz w:val="24"/>
                <w:szCs w:val="24"/>
                <w:lang w:eastAsia="lv-LV"/>
              </w:rPr>
              <w:t xml:space="preserve"> </w:t>
            </w:r>
            <w:r w:rsidR="007B3175">
              <w:rPr>
                <w:rFonts w:ascii="Times New Roman" w:hAnsi="Times New Roman" w:cs="Times New Roman"/>
                <w:sz w:val="24"/>
                <w:szCs w:val="24"/>
                <w:lang w:eastAsia="lv-LV"/>
              </w:rPr>
              <w:t>Biroja</w:t>
            </w:r>
            <w:r w:rsidR="007B3175" w:rsidRPr="008D63EC">
              <w:rPr>
                <w:rFonts w:ascii="Times New Roman" w:hAnsi="Times New Roman" w:cs="Times New Roman"/>
                <w:sz w:val="24"/>
                <w:szCs w:val="24"/>
                <w:lang w:eastAsia="lv-LV"/>
              </w:rPr>
              <w:t xml:space="preserve"> operatīvās un izmeklēšanas spējas,</w:t>
            </w:r>
            <w:r w:rsidR="007B3175">
              <w:rPr>
                <w:rFonts w:ascii="Times New Roman" w:hAnsi="Times New Roman" w:cs="Times New Roman"/>
                <w:sz w:val="24"/>
                <w:szCs w:val="24"/>
                <w:lang w:eastAsia="lv-LV"/>
              </w:rPr>
              <w:t xml:space="preserve"> tiks palielināta ekonomisko noziegumu novēršana, atklāšana un apkarošana, tādējādi veicinot godīgu konkurenci publiskajos iepirkumos, kā arī</w:t>
            </w:r>
            <w:r w:rsidR="00F909DB">
              <w:rPr>
                <w:rFonts w:ascii="Times New Roman" w:hAnsi="Times New Roman" w:cs="Times New Roman"/>
                <w:sz w:val="24"/>
                <w:szCs w:val="24"/>
                <w:lang w:eastAsia="lv-LV"/>
              </w:rPr>
              <w:t xml:space="preserve"> mazinot</w:t>
            </w:r>
            <w:r w:rsidR="007B3175">
              <w:rPr>
                <w:rFonts w:ascii="Times New Roman" w:hAnsi="Times New Roman" w:cs="Times New Roman"/>
                <w:sz w:val="24"/>
                <w:szCs w:val="24"/>
                <w:lang w:eastAsia="lv-LV"/>
              </w:rPr>
              <w:t xml:space="preserve"> publiskas personas finanšu līdzekļu</w:t>
            </w:r>
            <w:r w:rsidR="00F909DB">
              <w:rPr>
                <w:rFonts w:ascii="Times New Roman" w:hAnsi="Times New Roman" w:cs="Times New Roman"/>
                <w:sz w:val="24"/>
                <w:szCs w:val="24"/>
                <w:lang w:eastAsia="lv-LV"/>
              </w:rPr>
              <w:t xml:space="preserve"> un</w:t>
            </w:r>
            <w:r w:rsidR="007B3175">
              <w:rPr>
                <w:rFonts w:ascii="Times New Roman" w:hAnsi="Times New Roman" w:cs="Times New Roman"/>
                <w:sz w:val="24"/>
                <w:szCs w:val="24"/>
                <w:lang w:eastAsia="lv-LV"/>
              </w:rPr>
              <w:t xml:space="preserve"> mantas izšķērdēšanas</w:t>
            </w:r>
            <w:r w:rsidR="00F909DB">
              <w:rPr>
                <w:rFonts w:ascii="Times New Roman" w:hAnsi="Times New Roman" w:cs="Times New Roman"/>
                <w:sz w:val="24"/>
                <w:szCs w:val="24"/>
                <w:lang w:eastAsia="lv-LV"/>
              </w:rPr>
              <w:t xml:space="preserve"> riskus</w:t>
            </w:r>
            <w:r w:rsidR="007B3175">
              <w:rPr>
                <w:rFonts w:ascii="Times New Roman" w:hAnsi="Times New Roman" w:cs="Times New Roman"/>
                <w:sz w:val="24"/>
                <w:szCs w:val="24"/>
                <w:lang w:eastAsia="lv-LV"/>
              </w:rPr>
              <w:t>.</w:t>
            </w:r>
            <w:r w:rsidR="00765C0D">
              <w:rPr>
                <w:rFonts w:ascii="Times New Roman" w:hAnsi="Times New Roman" w:cs="Times New Roman"/>
                <w:sz w:val="24"/>
                <w:szCs w:val="24"/>
                <w:lang w:eastAsia="lv-LV"/>
              </w:rPr>
              <w:t xml:space="preserve"> </w:t>
            </w:r>
            <w:r w:rsidR="00765C0D" w:rsidRPr="00765C0D">
              <w:rPr>
                <w:rFonts w:ascii="Times New Roman" w:hAnsi="Times New Roman" w:cs="Times New Roman"/>
                <w:sz w:val="24"/>
                <w:szCs w:val="24"/>
                <w:lang w:eastAsia="lv-LV"/>
              </w:rPr>
              <w:t xml:space="preserve">Konkurētspējīgs atalgojums novērstu gan </w:t>
            </w:r>
            <w:r w:rsidR="00765C0D">
              <w:rPr>
                <w:rFonts w:ascii="Times New Roman" w:hAnsi="Times New Roman" w:cs="Times New Roman"/>
                <w:sz w:val="24"/>
                <w:szCs w:val="24"/>
                <w:lang w:eastAsia="lv-LV"/>
              </w:rPr>
              <w:t>Biroja</w:t>
            </w:r>
            <w:r w:rsidR="00765C0D" w:rsidRPr="00765C0D">
              <w:rPr>
                <w:rFonts w:ascii="Times New Roman" w:hAnsi="Times New Roman" w:cs="Times New Roman"/>
                <w:sz w:val="24"/>
                <w:szCs w:val="24"/>
                <w:lang w:eastAsia="lv-LV"/>
              </w:rPr>
              <w:t xml:space="preserve"> nodarbināto aizplūšanu uz salīdzināmus uzdevumus īstenojošām tiesībaizsardzības iestādēm, gan veicinātu jaunu augsta līmeņa ekspertu piesaisti.</w:t>
            </w:r>
          </w:p>
        </w:tc>
      </w:tr>
      <w:tr w:rsidR="0049292E" w:rsidRPr="009162AC" w14:paraId="592B6D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8A10F8"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B9D760"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88838C" w14:textId="77777777" w:rsidR="00E5323B" w:rsidRPr="009162AC" w:rsidRDefault="005450F9" w:rsidP="00D1405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ietekmes uz administratīvajām izmaksām</w:t>
            </w:r>
          </w:p>
        </w:tc>
      </w:tr>
      <w:tr w:rsidR="0049292E" w:rsidRPr="009162AC" w14:paraId="1C1351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48098"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79630CC"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DAB309" w14:textId="77777777" w:rsidR="00E5323B" w:rsidRPr="009162AC" w:rsidRDefault="00720375" w:rsidP="0072037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49292E" w:rsidRPr="009162AC" w14:paraId="548F56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CCD5E"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DCF50A3"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554D9D" w14:textId="77777777" w:rsidR="00E5323B" w:rsidRPr="009162AC" w:rsidRDefault="004B3701" w:rsidP="00966CC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9E51EA5" w14:textId="77777777" w:rsidR="00E5323B"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p w14:paraId="05D56554" w14:textId="77777777" w:rsidR="007C3259" w:rsidRDefault="007C3259" w:rsidP="00E5323B">
      <w:pPr>
        <w:rPr>
          <w:rFonts w:ascii="Times New Roman" w:eastAsia="Times New Roman" w:hAnsi="Times New Roman" w:cs="Times New Roman"/>
          <w:iCs/>
          <w:sz w:val="24"/>
          <w:szCs w:val="24"/>
          <w:lang w:eastAsia="lv-LV"/>
        </w:r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65"/>
        <w:gridCol w:w="1129"/>
        <w:gridCol w:w="1144"/>
        <w:gridCol w:w="1116"/>
        <w:gridCol w:w="1131"/>
        <w:gridCol w:w="1108"/>
        <w:gridCol w:w="1228"/>
        <w:gridCol w:w="1201"/>
      </w:tblGrid>
      <w:tr w:rsidR="004A20B1" w:rsidRPr="007C3259" w14:paraId="307AE6C1" w14:textId="77777777" w:rsidTr="009553E5">
        <w:trPr>
          <w:trHeight w:val="770"/>
        </w:trPr>
        <w:tc>
          <w:tcPr>
            <w:tcW w:w="5000" w:type="pct"/>
            <w:gridSpan w:val="8"/>
            <w:vAlign w:val="center"/>
          </w:tcPr>
          <w:p w14:paraId="669D02A2" w14:textId="77777777" w:rsidR="004A20B1" w:rsidRPr="007C3259" w:rsidRDefault="004A20B1" w:rsidP="009553E5">
            <w:pPr>
              <w:pStyle w:val="naislab"/>
              <w:spacing w:before="0" w:after="0"/>
              <w:ind w:firstLine="720"/>
              <w:jc w:val="center"/>
              <w:rPr>
                <w:b/>
              </w:rPr>
            </w:pPr>
            <w:r w:rsidRPr="007C3259">
              <w:rPr>
                <w:b/>
                <w:bCs/>
              </w:rPr>
              <w:t>III. Tiesību akta projekta ietekme uz valsts budžetu un pašvaldību budžetiem</w:t>
            </w:r>
          </w:p>
        </w:tc>
      </w:tr>
      <w:tr w:rsidR="004A20B1" w:rsidRPr="007C3259" w14:paraId="146B425B" w14:textId="77777777" w:rsidTr="009553E5">
        <w:tc>
          <w:tcPr>
            <w:tcW w:w="632" w:type="pct"/>
            <w:vMerge w:val="restart"/>
            <w:vAlign w:val="center"/>
            <w:hideMark/>
          </w:tcPr>
          <w:p w14:paraId="75F35526" w14:textId="77777777" w:rsidR="004A20B1" w:rsidRPr="007C3259" w:rsidRDefault="004A20B1" w:rsidP="009553E5">
            <w:pPr>
              <w:spacing w:before="100" w:beforeAutospacing="1"/>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Rādītāji</w:t>
            </w:r>
          </w:p>
        </w:tc>
        <w:tc>
          <w:tcPr>
            <w:tcW w:w="1232" w:type="pct"/>
            <w:gridSpan w:val="2"/>
            <w:vMerge w:val="restart"/>
            <w:vAlign w:val="center"/>
            <w:hideMark/>
          </w:tcPr>
          <w:p w14:paraId="1316873F" w14:textId="77777777" w:rsidR="004A20B1" w:rsidRPr="007C3259" w:rsidRDefault="004A20B1" w:rsidP="009553E5">
            <w:pPr>
              <w:spacing w:before="100" w:beforeAutospacing="1"/>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2020</w:t>
            </w:r>
          </w:p>
        </w:tc>
        <w:tc>
          <w:tcPr>
            <w:tcW w:w="3136" w:type="pct"/>
            <w:gridSpan w:val="5"/>
            <w:vAlign w:val="center"/>
            <w:hideMark/>
          </w:tcPr>
          <w:p w14:paraId="624F39DA" w14:textId="77777777" w:rsidR="004A20B1" w:rsidRPr="007C3259" w:rsidRDefault="004A20B1" w:rsidP="009553E5">
            <w:pPr>
              <w:spacing w:before="100" w:beforeAutospacing="1"/>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Turpmākie trīs gadi (</w:t>
            </w:r>
            <w:proofErr w:type="spellStart"/>
            <w:r w:rsidRPr="007C3259">
              <w:rPr>
                <w:rFonts w:ascii="Times New Roman" w:eastAsia="Times New Roman" w:hAnsi="Times New Roman" w:cs="Times New Roman"/>
                <w:i/>
                <w:iCs/>
                <w:sz w:val="24"/>
                <w:szCs w:val="24"/>
                <w:lang w:eastAsia="lv-LV"/>
              </w:rPr>
              <w:t>euro</w:t>
            </w:r>
            <w:proofErr w:type="spellEnd"/>
            <w:r w:rsidRPr="007C3259">
              <w:rPr>
                <w:rFonts w:ascii="Times New Roman" w:eastAsia="Times New Roman" w:hAnsi="Times New Roman" w:cs="Times New Roman"/>
                <w:sz w:val="24"/>
                <w:szCs w:val="24"/>
                <w:lang w:eastAsia="lv-LV"/>
              </w:rPr>
              <w:t>)</w:t>
            </w:r>
          </w:p>
        </w:tc>
      </w:tr>
      <w:tr w:rsidR="004A20B1" w:rsidRPr="007C3259" w14:paraId="7A1F5457" w14:textId="77777777" w:rsidTr="009553E5">
        <w:tc>
          <w:tcPr>
            <w:tcW w:w="632" w:type="pct"/>
            <w:vMerge/>
            <w:vAlign w:val="center"/>
            <w:hideMark/>
          </w:tcPr>
          <w:p w14:paraId="71DD4E95" w14:textId="77777777" w:rsidR="004A20B1" w:rsidRPr="00BF1FC1" w:rsidRDefault="004A20B1" w:rsidP="009553E5">
            <w:pPr>
              <w:jc w:val="both"/>
              <w:rPr>
                <w:rFonts w:ascii="Times New Roman" w:eastAsia="Times New Roman" w:hAnsi="Times New Roman" w:cs="Times New Roman"/>
                <w:sz w:val="24"/>
                <w:szCs w:val="24"/>
                <w:lang w:eastAsia="lv-LV"/>
              </w:rPr>
            </w:pPr>
          </w:p>
        </w:tc>
        <w:tc>
          <w:tcPr>
            <w:tcW w:w="1232" w:type="pct"/>
            <w:gridSpan w:val="2"/>
            <w:vMerge/>
            <w:vAlign w:val="center"/>
            <w:hideMark/>
          </w:tcPr>
          <w:p w14:paraId="521CACCE" w14:textId="77777777" w:rsidR="004A20B1" w:rsidRPr="00BF1FC1" w:rsidRDefault="004A20B1" w:rsidP="009553E5">
            <w:pPr>
              <w:jc w:val="both"/>
              <w:rPr>
                <w:rFonts w:ascii="Times New Roman" w:eastAsia="Times New Roman" w:hAnsi="Times New Roman" w:cs="Times New Roman"/>
                <w:sz w:val="24"/>
                <w:szCs w:val="24"/>
                <w:lang w:eastAsia="lv-LV"/>
              </w:rPr>
            </w:pPr>
          </w:p>
        </w:tc>
        <w:tc>
          <w:tcPr>
            <w:tcW w:w="1218" w:type="pct"/>
            <w:gridSpan w:val="2"/>
            <w:vAlign w:val="center"/>
            <w:hideMark/>
          </w:tcPr>
          <w:p w14:paraId="311E2C49" w14:textId="77777777" w:rsidR="004A20B1" w:rsidRPr="00BF1FC1" w:rsidRDefault="004A20B1" w:rsidP="009553E5">
            <w:pPr>
              <w:spacing w:before="100" w:beforeAutospacing="1"/>
              <w:jc w:val="center"/>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2021</w:t>
            </w:r>
          </w:p>
        </w:tc>
        <w:tc>
          <w:tcPr>
            <w:tcW w:w="1267" w:type="pct"/>
            <w:gridSpan w:val="2"/>
            <w:vAlign w:val="center"/>
            <w:hideMark/>
          </w:tcPr>
          <w:p w14:paraId="6D95B100" w14:textId="77777777" w:rsidR="004A20B1" w:rsidRPr="00BF1FC1" w:rsidRDefault="004A20B1" w:rsidP="009553E5">
            <w:pPr>
              <w:spacing w:before="100" w:beforeAutospacing="1"/>
              <w:jc w:val="center"/>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2022</w:t>
            </w:r>
          </w:p>
        </w:tc>
        <w:tc>
          <w:tcPr>
            <w:tcW w:w="651" w:type="pct"/>
            <w:vAlign w:val="center"/>
            <w:hideMark/>
          </w:tcPr>
          <w:p w14:paraId="22B44DF4" w14:textId="77777777" w:rsidR="004A20B1" w:rsidRPr="00BF1FC1" w:rsidRDefault="004A20B1" w:rsidP="009553E5">
            <w:pPr>
              <w:spacing w:before="100" w:beforeAutospacing="1"/>
              <w:jc w:val="center"/>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2023</w:t>
            </w:r>
          </w:p>
        </w:tc>
      </w:tr>
      <w:tr w:rsidR="004A20B1" w:rsidRPr="007C3259" w14:paraId="66099F5C" w14:textId="77777777" w:rsidTr="009553E5">
        <w:tc>
          <w:tcPr>
            <w:tcW w:w="632" w:type="pct"/>
            <w:vMerge/>
            <w:vAlign w:val="center"/>
            <w:hideMark/>
          </w:tcPr>
          <w:p w14:paraId="1EF3917B" w14:textId="77777777" w:rsidR="004A20B1" w:rsidRPr="00BF1FC1" w:rsidRDefault="004A20B1" w:rsidP="009553E5">
            <w:pPr>
              <w:jc w:val="both"/>
              <w:rPr>
                <w:rFonts w:ascii="Times New Roman" w:eastAsia="Times New Roman" w:hAnsi="Times New Roman" w:cs="Times New Roman"/>
                <w:sz w:val="24"/>
                <w:szCs w:val="24"/>
                <w:lang w:eastAsia="lv-LV"/>
              </w:rPr>
            </w:pPr>
          </w:p>
        </w:tc>
        <w:tc>
          <w:tcPr>
            <w:tcW w:w="612" w:type="pct"/>
            <w:vAlign w:val="center"/>
            <w:hideMark/>
          </w:tcPr>
          <w:p w14:paraId="0120E98A" w14:textId="77777777"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saskaņā ar valsts budžetu kārtējam gadam</w:t>
            </w:r>
          </w:p>
        </w:tc>
        <w:tc>
          <w:tcPr>
            <w:tcW w:w="620" w:type="pct"/>
            <w:vAlign w:val="center"/>
            <w:hideMark/>
          </w:tcPr>
          <w:p w14:paraId="66ABFC0B" w14:textId="77777777"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izmaiņas kārtējā gadā, salīdzinot ar valsts budžetu kārtējam gadam</w:t>
            </w:r>
          </w:p>
        </w:tc>
        <w:tc>
          <w:tcPr>
            <w:tcW w:w="605" w:type="pct"/>
            <w:vAlign w:val="center"/>
            <w:hideMark/>
          </w:tcPr>
          <w:p w14:paraId="6EF11294" w14:textId="77777777"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saskaņā ar vidēja termiņa budžeta ietvaru</w:t>
            </w:r>
          </w:p>
        </w:tc>
        <w:tc>
          <w:tcPr>
            <w:tcW w:w="613" w:type="pct"/>
            <w:vAlign w:val="center"/>
            <w:hideMark/>
          </w:tcPr>
          <w:p w14:paraId="3162A23D" w14:textId="58744D8E"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izmaiņas, salīdzinot ar vidēja termiņa budžeta ietvaru 2021</w:t>
            </w:r>
            <w:r w:rsidR="00827CDC">
              <w:rPr>
                <w:rFonts w:ascii="Times New Roman" w:eastAsia="Times New Roman" w:hAnsi="Times New Roman" w:cs="Times New Roman"/>
                <w:sz w:val="24"/>
                <w:szCs w:val="24"/>
                <w:lang w:eastAsia="lv-LV"/>
              </w:rPr>
              <w:t>.</w:t>
            </w:r>
            <w:r w:rsidRPr="00BF1FC1">
              <w:rPr>
                <w:rFonts w:ascii="Times New Roman" w:eastAsia="Times New Roman" w:hAnsi="Times New Roman" w:cs="Times New Roman"/>
                <w:sz w:val="24"/>
                <w:szCs w:val="24"/>
                <w:lang w:eastAsia="lv-LV"/>
              </w:rPr>
              <w:t xml:space="preserve"> gadam</w:t>
            </w:r>
          </w:p>
        </w:tc>
        <w:tc>
          <w:tcPr>
            <w:tcW w:w="601" w:type="pct"/>
            <w:vAlign w:val="center"/>
            <w:hideMark/>
          </w:tcPr>
          <w:p w14:paraId="2FF6DC59" w14:textId="77777777"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saskaņā ar vidēja termiņa budžeta ietvaru</w:t>
            </w:r>
          </w:p>
        </w:tc>
        <w:tc>
          <w:tcPr>
            <w:tcW w:w="666" w:type="pct"/>
            <w:vAlign w:val="center"/>
            <w:hideMark/>
          </w:tcPr>
          <w:p w14:paraId="2C70022C" w14:textId="231DBD96" w:rsidR="004A20B1" w:rsidRPr="00BF1FC1"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izmaiņas, salīdzinot ar vidēja termiņa budžeta ietvaru 2022</w:t>
            </w:r>
            <w:r w:rsidR="00827CDC">
              <w:rPr>
                <w:rFonts w:ascii="Times New Roman" w:eastAsia="Times New Roman" w:hAnsi="Times New Roman" w:cs="Times New Roman"/>
                <w:sz w:val="24"/>
                <w:szCs w:val="24"/>
                <w:lang w:eastAsia="lv-LV"/>
              </w:rPr>
              <w:t>.</w:t>
            </w:r>
            <w:r w:rsidRPr="00BF1FC1">
              <w:rPr>
                <w:rFonts w:ascii="Times New Roman" w:eastAsia="Times New Roman" w:hAnsi="Times New Roman" w:cs="Times New Roman"/>
                <w:sz w:val="24"/>
                <w:szCs w:val="24"/>
                <w:lang w:eastAsia="lv-LV"/>
              </w:rPr>
              <w:t xml:space="preserve"> gadam</w:t>
            </w:r>
          </w:p>
        </w:tc>
        <w:tc>
          <w:tcPr>
            <w:tcW w:w="651" w:type="pct"/>
            <w:vAlign w:val="center"/>
            <w:hideMark/>
          </w:tcPr>
          <w:p w14:paraId="60102288" w14:textId="41372A4D" w:rsidR="004A20B1" w:rsidRPr="00E63919" w:rsidRDefault="004A20B1" w:rsidP="009553E5">
            <w:pPr>
              <w:spacing w:before="100" w:beforeAutospacing="1"/>
              <w:jc w:val="both"/>
              <w:rPr>
                <w:rFonts w:ascii="Times New Roman" w:eastAsia="Times New Roman" w:hAnsi="Times New Roman" w:cs="Times New Roman"/>
                <w:sz w:val="24"/>
                <w:szCs w:val="24"/>
                <w:lang w:eastAsia="lv-LV"/>
              </w:rPr>
            </w:pPr>
            <w:r w:rsidRPr="00BF1FC1">
              <w:rPr>
                <w:rFonts w:ascii="Times New Roman" w:eastAsia="Times New Roman" w:hAnsi="Times New Roman" w:cs="Times New Roman"/>
                <w:sz w:val="24"/>
                <w:szCs w:val="24"/>
                <w:lang w:eastAsia="lv-LV"/>
              </w:rPr>
              <w:t xml:space="preserve">Izmaiņas, salīdzinot </w:t>
            </w:r>
            <w:r w:rsidRPr="0046616E">
              <w:rPr>
                <w:rFonts w:ascii="Times New Roman" w:eastAsia="Times New Roman" w:hAnsi="Times New Roman" w:cs="Times New Roman"/>
                <w:sz w:val="24"/>
                <w:szCs w:val="24"/>
                <w:lang w:eastAsia="lv-LV"/>
              </w:rPr>
              <w:t>ar vid</w:t>
            </w:r>
            <w:r w:rsidR="00E63919" w:rsidRPr="00E63919">
              <w:rPr>
                <w:rFonts w:ascii="Times New Roman" w:eastAsia="Times New Roman" w:hAnsi="Times New Roman" w:cs="Times New Roman"/>
                <w:sz w:val="24"/>
                <w:szCs w:val="24"/>
                <w:lang w:eastAsia="lv-LV"/>
              </w:rPr>
              <w:t xml:space="preserve">ēja termiņa budžeta ietvaru </w:t>
            </w:r>
            <w:r w:rsidR="00E63919" w:rsidRPr="005E6F47">
              <w:rPr>
                <w:rFonts w:ascii="Times New Roman" w:eastAsia="Times New Roman" w:hAnsi="Times New Roman" w:cs="Times New Roman"/>
                <w:sz w:val="24"/>
                <w:szCs w:val="24"/>
                <w:lang w:eastAsia="lv-LV"/>
              </w:rPr>
              <w:t>202</w:t>
            </w:r>
            <w:r w:rsidR="00827CDC" w:rsidRPr="005E6F47">
              <w:rPr>
                <w:rFonts w:ascii="Times New Roman" w:eastAsia="Times New Roman" w:hAnsi="Times New Roman" w:cs="Times New Roman"/>
                <w:sz w:val="24"/>
                <w:szCs w:val="24"/>
                <w:lang w:eastAsia="lv-LV"/>
              </w:rPr>
              <w:t>2.</w:t>
            </w:r>
            <w:r w:rsidRPr="00E63919">
              <w:rPr>
                <w:rFonts w:ascii="Times New Roman" w:eastAsia="Times New Roman" w:hAnsi="Times New Roman" w:cs="Times New Roman"/>
                <w:sz w:val="24"/>
                <w:szCs w:val="24"/>
                <w:lang w:eastAsia="lv-LV"/>
              </w:rPr>
              <w:t xml:space="preserve"> gadam</w:t>
            </w:r>
          </w:p>
        </w:tc>
      </w:tr>
      <w:tr w:rsidR="004A20B1" w:rsidRPr="007C3259" w14:paraId="6BDA2AB6" w14:textId="77777777" w:rsidTr="009553E5">
        <w:tc>
          <w:tcPr>
            <w:tcW w:w="632" w:type="pct"/>
            <w:vAlign w:val="center"/>
            <w:hideMark/>
          </w:tcPr>
          <w:p w14:paraId="1A33721A"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1</w:t>
            </w:r>
          </w:p>
        </w:tc>
        <w:tc>
          <w:tcPr>
            <w:tcW w:w="612" w:type="pct"/>
            <w:vAlign w:val="center"/>
            <w:hideMark/>
          </w:tcPr>
          <w:p w14:paraId="42AD1594"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2</w:t>
            </w:r>
          </w:p>
        </w:tc>
        <w:tc>
          <w:tcPr>
            <w:tcW w:w="620" w:type="pct"/>
            <w:vAlign w:val="center"/>
            <w:hideMark/>
          </w:tcPr>
          <w:p w14:paraId="0521A935"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3</w:t>
            </w:r>
          </w:p>
        </w:tc>
        <w:tc>
          <w:tcPr>
            <w:tcW w:w="605" w:type="pct"/>
            <w:vAlign w:val="center"/>
            <w:hideMark/>
          </w:tcPr>
          <w:p w14:paraId="776512F1"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4</w:t>
            </w:r>
          </w:p>
        </w:tc>
        <w:tc>
          <w:tcPr>
            <w:tcW w:w="613" w:type="pct"/>
            <w:vAlign w:val="center"/>
            <w:hideMark/>
          </w:tcPr>
          <w:p w14:paraId="7B94ACB2"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5</w:t>
            </w:r>
          </w:p>
        </w:tc>
        <w:tc>
          <w:tcPr>
            <w:tcW w:w="601" w:type="pct"/>
            <w:vAlign w:val="center"/>
            <w:hideMark/>
          </w:tcPr>
          <w:p w14:paraId="11B22054"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6</w:t>
            </w:r>
          </w:p>
        </w:tc>
        <w:tc>
          <w:tcPr>
            <w:tcW w:w="666" w:type="pct"/>
            <w:vAlign w:val="center"/>
            <w:hideMark/>
          </w:tcPr>
          <w:p w14:paraId="798EED23"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7</w:t>
            </w:r>
          </w:p>
        </w:tc>
        <w:tc>
          <w:tcPr>
            <w:tcW w:w="651" w:type="pct"/>
            <w:vAlign w:val="center"/>
            <w:hideMark/>
          </w:tcPr>
          <w:p w14:paraId="7B2C4183" w14:textId="77777777" w:rsidR="004A20B1" w:rsidRPr="007C3259" w:rsidRDefault="004A20B1" w:rsidP="009553E5">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8</w:t>
            </w:r>
          </w:p>
        </w:tc>
      </w:tr>
      <w:tr w:rsidR="004A20B1" w:rsidRPr="007C3259" w14:paraId="13B2232D" w14:textId="77777777" w:rsidTr="009553E5">
        <w:tc>
          <w:tcPr>
            <w:tcW w:w="632" w:type="pct"/>
            <w:hideMark/>
          </w:tcPr>
          <w:p w14:paraId="2BA56627" w14:textId="77777777" w:rsidR="004A20B1" w:rsidRPr="007C3259" w:rsidRDefault="004A20B1" w:rsidP="009553E5">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1. Budžeta ieņēmumi</w:t>
            </w:r>
          </w:p>
        </w:tc>
        <w:tc>
          <w:tcPr>
            <w:tcW w:w="612" w:type="pct"/>
            <w:vAlign w:val="center"/>
          </w:tcPr>
          <w:p w14:paraId="034CBE83"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4 479 960</w:t>
            </w:r>
          </w:p>
        </w:tc>
        <w:tc>
          <w:tcPr>
            <w:tcW w:w="620" w:type="pct"/>
            <w:vAlign w:val="center"/>
          </w:tcPr>
          <w:p w14:paraId="323560FC"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44D682A2"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13" w:type="pct"/>
            <w:vAlign w:val="center"/>
          </w:tcPr>
          <w:p w14:paraId="745E5E96"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635F833F"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66" w:type="pct"/>
            <w:vAlign w:val="center"/>
          </w:tcPr>
          <w:p w14:paraId="623AF14F"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0A485359"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4A20B1" w:rsidRPr="007C3259" w14:paraId="65FCB339" w14:textId="77777777" w:rsidTr="009553E5">
        <w:tc>
          <w:tcPr>
            <w:tcW w:w="632" w:type="pct"/>
            <w:hideMark/>
          </w:tcPr>
          <w:p w14:paraId="33FC1E69" w14:textId="77777777" w:rsidR="004A20B1" w:rsidRPr="007C3259" w:rsidRDefault="004A20B1" w:rsidP="009553E5">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2" w:type="pct"/>
            <w:vAlign w:val="center"/>
          </w:tcPr>
          <w:p w14:paraId="6A276A4C"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4 479 960</w:t>
            </w:r>
          </w:p>
        </w:tc>
        <w:tc>
          <w:tcPr>
            <w:tcW w:w="620" w:type="pct"/>
            <w:vAlign w:val="center"/>
          </w:tcPr>
          <w:p w14:paraId="0525E2BE"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1978538A"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13" w:type="pct"/>
            <w:vAlign w:val="center"/>
          </w:tcPr>
          <w:p w14:paraId="382997AC"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2EAC605A"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66" w:type="pct"/>
            <w:vAlign w:val="center"/>
          </w:tcPr>
          <w:p w14:paraId="25F91F62"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6135BF67"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4A20B1" w:rsidRPr="007C3259" w14:paraId="2E81BCE6" w14:textId="77777777" w:rsidTr="009553E5">
        <w:tc>
          <w:tcPr>
            <w:tcW w:w="632" w:type="pct"/>
            <w:hideMark/>
          </w:tcPr>
          <w:p w14:paraId="2A74859F" w14:textId="77777777" w:rsidR="004A20B1" w:rsidRPr="007C3259" w:rsidRDefault="004A20B1" w:rsidP="009553E5">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1.2. valsts speciālais budžets</w:t>
            </w:r>
          </w:p>
        </w:tc>
        <w:tc>
          <w:tcPr>
            <w:tcW w:w="612" w:type="pct"/>
            <w:vAlign w:val="center"/>
          </w:tcPr>
          <w:p w14:paraId="5336FE86"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7FCF4BBE"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4E99BBE6"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7ACA3467"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3A49490E"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66" w:type="pct"/>
            <w:vAlign w:val="center"/>
          </w:tcPr>
          <w:p w14:paraId="28847ED2"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7E0204DE"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4A20B1" w:rsidRPr="007C3259" w14:paraId="30CF0E98" w14:textId="77777777" w:rsidTr="009553E5">
        <w:tc>
          <w:tcPr>
            <w:tcW w:w="632" w:type="pct"/>
            <w:hideMark/>
          </w:tcPr>
          <w:p w14:paraId="42388DF5" w14:textId="77777777" w:rsidR="004A20B1" w:rsidRPr="007C3259" w:rsidRDefault="004A20B1" w:rsidP="009553E5">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1.3. pašvaldību budžets</w:t>
            </w:r>
          </w:p>
        </w:tc>
        <w:tc>
          <w:tcPr>
            <w:tcW w:w="612" w:type="pct"/>
            <w:vAlign w:val="center"/>
          </w:tcPr>
          <w:p w14:paraId="0EAAD802"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4B2D7CB3"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2B15ACCE"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79932323"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1CB800C9"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66" w:type="pct"/>
            <w:vAlign w:val="center"/>
          </w:tcPr>
          <w:p w14:paraId="5A02D74A"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3A0A1B88"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4A20B1" w:rsidRPr="00933348" w14:paraId="26537B0E" w14:textId="77777777" w:rsidTr="009553E5">
        <w:tc>
          <w:tcPr>
            <w:tcW w:w="632" w:type="pct"/>
            <w:hideMark/>
          </w:tcPr>
          <w:p w14:paraId="126F9D10" w14:textId="77777777" w:rsidR="004A20B1" w:rsidRPr="007C3259" w:rsidRDefault="004A20B1" w:rsidP="009553E5">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2. Budžeta izdevumi</w:t>
            </w:r>
          </w:p>
        </w:tc>
        <w:tc>
          <w:tcPr>
            <w:tcW w:w="612" w:type="pct"/>
            <w:vAlign w:val="center"/>
          </w:tcPr>
          <w:p w14:paraId="5EE918FF"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4 479 960</w:t>
            </w:r>
          </w:p>
        </w:tc>
        <w:tc>
          <w:tcPr>
            <w:tcW w:w="620" w:type="pct"/>
            <w:vAlign w:val="center"/>
          </w:tcPr>
          <w:p w14:paraId="2F70D298" w14:textId="77777777" w:rsidR="004A20B1" w:rsidRPr="007C3259" w:rsidRDefault="004A20B1" w:rsidP="009553E5">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164BD089" w14:textId="77777777" w:rsidR="004A20B1" w:rsidRPr="007C3259" w:rsidRDefault="004A20B1" w:rsidP="009553E5">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13" w:type="pct"/>
            <w:vAlign w:val="center"/>
          </w:tcPr>
          <w:p w14:paraId="758BDDE6" w14:textId="77777777" w:rsidR="004A20B1" w:rsidRPr="00933348" w:rsidRDefault="00271730" w:rsidP="0027173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Align w:val="center"/>
          </w:tcPr>
          <w:p w14:paraId="11CCC15C" w14:textId="77777777" w:rsidR="004A20B1" w:rsidRPr="00933348" w:rsidRDefault="004A20B1" w:rsidP="009553E5">
            <w:pPr>
              <w:jc w:val="center"/>
              <w:rPr>
                <w:rFonts w:ascii="Times New Roman" w:eastAsia="Times New Roman" w:hAnsi="Times New Roman" w:cs="Times New Roman"/>
                <w:sz w:val="24"/>
                <w:szCs w:val="24"/>
                <w:lang w:eastAsia="lv-LV"/>
              </w:rPr>
            </w:pPr>
            <w:r w:rsidRPr="00933348">
              <w:rPr>
                <w:rFonts w:ascii="Times New Roman" w:eastAsia="Times New Roman" w:hAnsi="Times New Roman" w:cs="Times New Roman"/>
                <w:sz w:val="24"/>
                <w:szCs w:val="24"/>
                <w:lang w:eastAsia="lv-LV"/>
              </w:rPr>
              <w:t>4 482 412</w:t>
            </w:r>
          </w:p>
        </w:tc>
        <w:tc>
          <w:tcPr>
            <w:tcW w:w="666" w:type="pct"/>
            <w:vAlign w:val="center"/>
          </w:tcPr>
          <w:p w14:paraId="7722A330" w14:textId="77777777" w:rsidR="004A20B1" w:rsidRPr="00933348" w:rsidRDefault="00271730" w:rsidP="009553E5">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06DB4E32" w14:textId="54E99B4C" w:rsidR="004A20B1" w:rsidRPr="00933348" w:rsidRDefault="00E63919" w:rsidP="009553E5">
            <w:pPr>
              <w:jc w:val="center"/>
              <w:rPr>
                <w:rFonts w:ascii="Times New Roman" w:eastAsia="Times New Roman" w:hAnsi="Times New Roman" w:cs="Times New Roman"/>
                <w:sz w:val="24"/>
                <w:szCs w:val="24"/>
                <w:lang w:eastAsia="lv-LV"/>
              </w:rPr>
            </w:pPr>
            <w:r w:rsidRPr="00933348">
              <w:rPr>
                <w:rFonts w:ascii="Times New Roman" w:hAnsi="Times New Roman" w:cs="Times New Roman"/>
                <w:sz w:val="24"/>
                <w:szCs w:val="24"/>
              </w:rPr>
              <w:t>3</w:t>
            </w:r>
            <w:r w:rsidR="00271730">
              <w:rPr>
                <w:rFonts w:ascii="Times New Roman" w:hAnsi="Times New Roman" w:cs="Times New Roman"/>
                <w:sz w:val="24"/>
                <w:szCs w:val="24"/>
              </w:rPr>
              <w:t> </w:t>
            </w:r>
            <w:r w:rsidR="00F2269E">
              <w:rPr>
                <w:rFonts w:ascii="Times New Roman" w:hAnsi="Times New Roman" w:cs="Times New Roman"/>
                <w:sz w:val="24"/>
                <w:szCs w:val="24"/>
              </w:rPr>
              <w:t>0</w:t>
            </w:r>
            <w:r w:rsidR="00271730">
              <w:rPr>
                <w:rFonts w:ascii="Times New Roman" w:hAnsi="Times New Roman" w:cs="Times New Roman"/>
                <w:sz w:val="24"/>
                <w:szCs w:val="24"/>
              </w:rPr>
              <w:t xml:space="preserve">00 </w:t>
            </w:r>
            <w:r w:rsidR="00F2269E">
              <w:rPr>
                <w:rFonts w:ascii="Times New Roman" w:hAnsi="Times New Roman" w:cs="Times New Roman"/>
                <w:sz w:val="24"/>
                <w:szCs w:val="24"/>
              </w:rPr>
              <w:t>2</w:t>
            </w:r>
            <w:r w:rsidR="00271730">
              <w:rPr>
                <w:rFonts w:ascii="Times New Roman" w:hAnsi="Times New Roman" w:cs="Times New Roman"/>
                <w:sz w:val="24"/>
                <w:szCs w:val="24"/>
              </w:rPr>
              <w:t>00</w:t>
            </w:r>
          </w:p>
        </w:tc>
      </w:tr>
      <w:tr w:rsidR="00D9229D" w:rsidRPr="00933348" w14:paraId="5FE053D2" w14:textId="77777777" w:rsidTr="009553E5">
        <w:tc>
          <w:tcPr>
            <w:tcW w:w="632" w:type="pct"/>
            <w:hideMark/>
          </w:tcPr>
          <w:p w14:paraId="6BA485F9"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2.1. valsts pamatbudžets</w:t>
            </w:r>
          </w:p>
        </w:tc>
        <w:tc>
          <w:tcPr>
            <w:tcW w:w="612" w:type="pct"/>
            <w:vAlign w:val="center"/>
          </w:tcPr>
          <w:p w14:paraId="21B4A303" w14:textId="77777777" w:rsidR="00D9229D" w:rsidRPr="007C3259"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4 479 960</w:t>
            </w:r>
          </w:p>
        </w:tc>
        <w:tc>
          <w:tcPr>
            <w:tcW w:w="620" w:type="pct"/>
            <w:vAlign w:val="center"/>
          </w:tcPr>
          <w:p w14:paraId="29DE5FD1"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530E9178" w14:textId="77777777" w:rsidR="00D9229D" w:rsidRPr="007C3259"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4 482 412</w:t>
            </w:r>
          </w:p>
        </w:tc>
        <w:tc>
          <w:tcPr>
            <w:tcW w:w="613" w:type="pct"/>
            <w:vAlign w:val="center"/>
          </w:tcPr>
          <w:p w14:paraId="70EF7970"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Align w:val="center"/>
          </w:tcPr>
          <w:p w14:paraId="2E12BD84" w14:textId="77777777" w:rsidR="00D9229D" w:rsidRPr="00933348" w:rsidRDefault="00D9229D" w:rsidP="00D9229D">
            <w:pPr>
              <w:jc w:val="center"/>
              <w:rPr>
                <w:rFonts w:ascii="Times New Roman" w:eastAsia="Times New Roman" w:hAnsi="Times New Roman" w:cs="Times New Roman"/>
                <w:sz w:val="24"/>
                <w:szCs w:val="24"/>
                <w:lang w:eastAsia="lv-LV"/>
              </w:rPr>
            </w:pPr>
            <w:r w:rsidRPr="00933348">
              <w:rPr>
                <w:rFonts w:ascii="Times New Roman" w:eastAsia="Times New Roman" w:hAnsi="Times New Roman" w:cs="Times New Roman"/>
                <w:sz w:val="24"/>
                <w:szCs w:val="24"/>
                <w:lang w:eastAsia="lv-LV"/>
              </w:rPr>
              <w:t>4 482 412</w:t>
            </w:r>
          </w:p>
        </w:tc>
        <w:tc>
          <w:tcPr>
            <w:tcW w:w="666" w:type="pct"/>
            <w:vAlign w:val="center"/>
          </w:tcPr>
          <w:p w14:paraId="1FFD464C"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527EA72D" w14:textId="52E8340E" w:rsidR="00D9229D" w:rsidRPr="00933348" w:rsidRDefault="00D9229D" w:rsidP="00D9229D">
            <w:pPr>
              <w:jc w:val="center"/>
              <w:rPr>
                <w:rFonts w:ascii="Times New Roman" w:eastAsia="Times New Roman" w:hAnsi="Times New Roman" w:cs="Times New Roman"/>
                <w:sz w:val="24"/>
                <w:szCs w:val="24"/>
                <w:lang w:eastAsia="lv-LV"/>
              </w:rPr>
            </w:pPr>
            <w:r w:rsidRPr="005E6F47">
              <w:rPr>
                <w:rFonts w:ascii="Times New Roman" w:hAnsi="Times New Roman" w:cs="Times New Roman"/>
                <w:sz w:val="24"/>
                <w:szCs w:val="24"/>
              </w:rPr>
              <w:t>3 </w:t>
            </w:r>
            <w:r w:rsidR="00F2269E" w:rsidRPr="005E6F47">
              <w:rPr>
                <w:rFonts w:ascii="Times New Roman" w:hAnsi="Times New Roman" w:cs="Times New Roman"/>
                <w:sz w:val="24"/>
                <w:szCs w:val="24"/>
              </w:rPr>
              <w:t>0</w:t>
            </w:r>
            <w:r w:rsidRPr="005E6F47">
              <w:rPr>
                <w:rFonts w:ascii="Times New Roman" w:hAnsi="Times New Roman" w:cs="Times New Roman"/>
                <w:sz w:val="24"/>
                <w:szCs w:val="24"/>
              </w:rPr>
              <w:t xml:space="preserve">00 </w:t>
            </w:r>
            <w:r w:rsidR="00F2269E" w:rsidRPr="005E6F47">
              <w:rPr>
                <w:rFonts w:ascii="Times New Roman" w:hAnsi="Times New Roman" w:cs="Times New Roman"/>
                <w:sz w:val="24"/>
                <w:szCs w:val="24"/>
              </w:rPr>
              <w:t>2</w:t>
            </w:r>
            <w:r w:rsidRPr="005E6F47">
              <w:rPr>
                <w:rFonts w:ascii="Times New Roman" w:hAnsi="Times New Roman" w:cs="Times New Roman"/>
                <w:sz w:val="24"/>
                <w:szCs w:val="24"/>
              </w:rPr>
              <w:t>00</w:t>
            </w:r>
          </w:p>
        </w:tc>
      </w:tr>
      <w:tr w:rsidR="00D9229D" w:rsidRPr="007C3259" w14:paraId="24755E8C" w14:textId="77777777" w:rsidTr="009553E5">
        <w:tc>
          <w:tcPr>
            <w:tcW w:w="632" w:type="pct"/>
            <w:hideMark/>
          </w:tcPr>
          <w:p w14:paraId="3BFC7D66"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2.2. valsts speciālais budžets</w:t>
            </w:r>
          </w:p>
        </w:tc>
        <w:tc>
          <w:tcPr>
            <w:tcW w:w="612" w:type="pct"/>
            <w:vAlign w:val="center"/>
          </w:tcPr>
          <w:p w14:paraId="60639149"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66C9988D"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5EEE3CCD"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749F6DAB"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233F3A3A"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66" w:type="pct"/>
            <w:vAlign w:val="center"/>
          </w:tcPr>
          <w:p w14:paraId="4BA97559"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3F07AC9A"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D9229D" w:rsidRPr="007C3259" w14:paraId="597C5BE0" w14:textId="77777777" w:rsidTr="009553E5">
        <w:tc>
          <w:tcPr>
            <w:tcW w:w="632" w:type="pct"/>
            <w:hideMark/>
          </w:tcPr>
          <w:p w14:paraId="45B8E917"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lastRenderedPageBreak/>
              <w:t>2.3. pašvaldību budžets</w:t>
            </w:r>
          </w:p>
        </w:tc>
        <w:tc>
          <w:tcPr>
            <w:tcW w:w="612" w:type="pct"/>
            <w:vAlign w:val="center"/>
          </w:tcPr>
          <w:p w14:paraId="61D2F517"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7511561C"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35215972"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5B714C32"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2484F594"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66" w:type="pct"/>
            <w:vAlign w:val="center"/>
          </w:tcPr>
          <w:p w14:paraId="1BCDF952"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47E28E5D"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D9229D" w:rsidRPr="00933348" w14:paraId="3232ED67" w14:textId="77777777" w:rsidTr="009553E5">
        <w:tc>
          <w:tcPr>
            <w:tcW w:w="632" w:type="pct"/>
            <w:hideMark/>
          </w:tcPr>
          <w:p w14:paraId="12DD9544"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3. Finansiālā ietekme</w:t>
            </w:r>
          </w:p>
        </w:tc>
        <w:tc>
          <w:tcPr>
            <w:tcW w:w="612" w:type="pct"/>
            <w:vAlign w:val="center"/>
          </w:tcPr>
          <w:p w14:paraId="59B412F7" w14:textId="77777777" w:rsidR="00D9229D" w:rsidRPr="007C3259"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0" w:type="pct"/>
            <w:vAlign w:val="center"/>
          </w:tcPr>
          <w:p w14:paraId="6C486F96"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31EDAFE0"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0680EAE3"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Align w:val="center"/>
          </w:tcPr>
          <w:p w14:paraId="1ABFB705" w14:textId="77777777" w:rsidR="00D9229D" w:rsidRPr="00933348" w:rsidRDefault="00D9229D" w:rsidP="00D9229D">
            <w:pPr>
              <w:jc w:val="center"/>
              <w:rPr>
                <w:rFonts w:ascii="Times New Roman" w:eastAsia="Times New Roman" w:hAnsi="Times New Roman" w:cs="Times New Roman"/>
                <w:sz w:val="24"/>
                <w:szCs w:val="24"/>
                <w:lang w:eastAsia="lv-LV"/>
              </w:rPr>
            </w:pPr>
            <w:r w:rsidRPr="00933348">
              <w:rPr>
                <w:rFonts w:ascii="Times New Roman" w:eastAsia="Times New Roman" w:hAnsi="Times New Roman" w:cs="Times New Roman"/>
                <w:sz w:val="24"/>
                <w:szCs w:val="24"/>
                <w:lang w:eastAsia="lv-LV"/>
              </w:rPr>
              <w:t>0</w:t>
            </w:r>
          </w:p>
        </w:tc>
        <w:tc>
          <w:tcPr>
            <w:tcW w:w="666" w:type="pct"/>
            <w:vAlign w:val="center"/>
          </w:tcPr>
          <w:p w14:paraId="47DD0944"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05B9565D" w14:textId="79142137" w:rsidR="00D9229D" w:rsidRPr="00F2269E" w:rsidRDefault="00D9229D" w:rsidP="00D9229D">
            <w:pPr>
              <w:jc w:val="center"/>
              <w:rPr>
                <w:rFonts w:ascii="Times New Roman" w:eastAsia="Times New Roman" w:hAnsi="Times New Roman" w:cs="Times New Roman"/>
                <w:sz w:val="24"/>
                <w:szCs w:val="24"/>
                <w:highlight w:val="yellow"/>
                <w:lang w:eastAsia="lv-LV"/>
              </w:rPr>
            </w:pPr>
            <w:r w:rsidRPr="005E6F47">
              <w:rPr>
                <w:rFonts w:ascii="Times New Roman" w:hAnsi="Times New Roman" w:cs="Times New Roman"/>
                <w:sz w:val="24"/>
                <w:szCs w:val="24"/>
              </w:rPr>
              <w:t>-3 </w:t>
            </w:r>
            <w:r w:rsidR="00F2269E" w:rsidRPr="005E6F47">
              <w:rPr>
                <w:rFonts w:ascii="Times New Roman" w:hAnsi="Times New Roman" w:cs="Times New Roman"/>
                <w:sz w:val="24"/>
                <w:szCs w:val="24"/>
              </w:rPr>
              <w:t>0</w:t>
            </w:r>
            <w:r w:rsidRPr="005E6F47">
              <w:rPr>
                <w:rFonts w:ascii="Times New Roman" w:hAnsi="Times New Roman" w:cs="Times New Roman"/>
                <w:sz w:val="24"/>
                <w:szCs w:val="24"/>
              </w:rPr>
              <w:t xml:space="preserve">00 </w:t>
            </w:r>
            <w:r w:rsidR="00F2269E" w:rsidRPr="005E6F47">
              <w:rPr>
                <w:rFonts w:ascii="Times New Roman" w:hAnsi="Times New Roman" w:cs="Times New Roman"/>
                <w:sz w:val="24"/>
                <w:szCs w:val="24"/>
              </w:rPr>
              <w:t>2</w:t>
            </w:r>
            <w:r w:rsidRPr="005E6F47">
              <w:rPr>
                <w:rFonts w:ascii="Times New Roman" w:hAnsi="Times New Roman" w:cs="Times New Roman"/>
                <w:sz w:val="24"/>
                <w:szCs w:val="24"/>
              </w:rPr>
              <w:t>00</w:t>
            </w:r>
          </w:p>
        </w:tc>
      </w:tr>
      <w:tr w:rsidR="00D9229D" w:rsidRPr="00933348" w14:paraId="3A5BDC97" w14:textId="77777777" w:rsidTr="009553E5">
        <w:tc>
          <w:tcPr>
            <w:tcW w:w="632" w:type="pct"/>
            <w:hideMark/>
          </w:tcPr>
          <w:p w14:paraId="66CA440F"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3.1. valsts pamatbudžets</w:t>
            </w:r>
          </w:p>
        </w:tc>
        <w:tc>
          <w:tcPr>
            <w:tcW w:w="612" w:type="pct"/>
            <w:vAlign w:val="center"/>
          </w:tcPr>
          <w:p w14:paraId="78A1E3C3"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75ABBAC1"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58287553"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2329CAB2"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Align w:val="center"/>
          </w:tcPr>
          <w:p w14:paraId="1551C477" w14:textId="77777777" w:rsidR="00D9229D" w:rsidRPr="00933348" w:rsidRDefault="00D9229D" w:rsidP="00D9229D">
            <w:pPr>
              <w:jc w:val="center"/>
              <w:rPr>
                <w:rFonts w:ascii="Times New Roman" w:eastAsia="Times New Roman" w:hAnsi="Times New Roman" w:cs="Times New Roman"/>
                <w:sz w:val="24"/>
                <w:szCs w:val="24"/>
                <w:lang w:eastAsia="lv-LV"/>
              </w:rPr>
            </w:pPr>
            <w:r w:rsidRPr="00933348">
              <w:rPr>
                <w:rFonts w:ascii="Times New Roman" w:eastAsia="Times New Roman" w:hAnsi="Times New Roman" w:cs="Times New Roman"/>
                <w:sz w:val="24"/>
                <w:szCs w:val="24"/>
                <w:lang w:eastAsia="lv-LV"/>
              </w:rPr>
              <w:t>0</w:t>
            </w:r>
          </w:p>
        </w:tc>
        <w:tc>
          <w:tcPr>
            <w:tcW w:w="666" w:type="pct"/>
            <w:vAlign w:val="center"/>
          </w:tcPr>
          <w:p w14:paraId="7CEACCBD" w14:textId="77777777" w:rsidR="00D9229D" w:rsidRPr="00933348" w:rsidRDefault="00D9229D" w:rsidP="00D9229D">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56BD61C0" w14:textId="26160138" w:rsidR="00D9229D" w:rsidRPr="00F2269E" w:rsidRDefault="00D9229D" w:rsidP="00D9229D">
            <w:pPr>
              <w:jc w:val="center"/>
              <w:rPr>
                <w:rFonts w:ascii="Times New Roman" w:eastAsia="Times New Roman" w:hAnsi="Times New Roman" w:cs="Times New Roman"/>
                <w:sz w:val="24"/>
                <w:szCs w:val="24"/>
                <w:highlight w:val="yellow"/>
                <w:lang w:eastAsia="lv-LV"/>
              </w:rPr>
            </w:pPr>
            <w:r w:rsidRPr="005E6F47">
              <w:rPr>
                <w:rFonts w:ascii="Times New Roman" w:hAnsi="Times New Roman" w:cs="Times New Roman"/>
                <w:sz w:val="24"/>
                <w:szCs w:val="24"/>
              </w:rPr>
              <w:t>-3 </w:t>
            </w:r>
            <w:r w:rsidR="00F2269E" w:rsidRPr="005E6F47">
              <w:rPr>
                <w:rFonts w:ascii="Times New Roman" w:hAnsi="Times New Roman" w:cs="Times New Roman"/>
                <w:sz w:val="24"/>
                <w:szCs w:val="24"/>
              </w:rPr>
              <w:t>0</w:t>
            </w:r>
            <w:r w:rsidRPr="005E6F47">
              <w:rPr>
                <w:rFonts w:ascii="Times New Roman" w:hAnsi="Times New Roman" w:cs="Times New Roman"/>
                <w:sz w:val="24"/>
                <w:szCs w:val="24"/>
              </w:rPr>
              <w:t xml:space="preserve">00 </w:t>
            </w:r>
            <w:r w:rsidR="00F2269E" w:rsidRPr="005E6F47">
              <w:rPr>
                <w:rFonts w:ascii="Times New Roman" w:hAnsi="Times New Roman" w:cs="Times New Roman"/>
                <w:sz w:val="24"/>
                <w:szCs w:val="24"/>
              </w:rPr>
              <w:t>2</w:t>
            </w:r>
            <w:r w:rsidRPr="005E6F47">
              <w:rPr>
                <w:rFonts w:ascii="Times New Roman" w:hAnsi="Times New Roman" w:cs="Times New Roman"/>
                <w:sz w:val="24"/>
                <w:szCs w:val="24"/>
              </w:rPr>
              <w:t>00</w:t>
            </w:r>
          </w:p>
        </w:tc>
      </w:tr>
      <w:tr w:rsidR="00D9229D" w:rsidRPr="007C3259" w14:paraId="78DE9DAC" w14:textId="77777777" w:rsidTr="009553E5">
        <w:tc>
          <w:tcPr>
            <w:tcW w:w="632" w:type="pct"/>
            <w:hideMark/>
          </w:tcPr>
          <w:p w14:paraId="712A5E86"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3.2. speciālais budžets</w:t>
            </w:r>
          </w:p>
        </w:tc>
        <w:tc>
          <w:tcPr>
            <w:tcW w:w="612" w:type="pct"/>
            <w:vAlign w:val="center"/>
          </w:tcPr>
          <w:p w14:paraId="01793A70"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20" w:type="pct"/>
            <w:vAlign w:val="center"/>
          </w:tcPr>
          <w:p w14:paraId="22C382A0"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417706D9"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13" w:type="pct"/>
            <w:vAlign w:val="center"/>
          </w:tcPr>
          <w:p w14:paraId="0E4E8631"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757ECF61"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66" w:type="pct"/>
            <w:vAlign w:val="center"/>
          </w:tcPr>
          <w:p w14:paraId="1CE6A451"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573A7670"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D9229D" w:rsidRPr="007C3259" w14:paraId="112DA074" w14:textId="77777777" w:rsidTr="009553E5">
        <w:tc>
          <w:tcPr>
            <w:tcW w:w="632" w:type="pct"/>
            <w:hideMark/>
          </w:tcPr>
          <w:p w14:paraId="0F53BA69"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3.3. pašvaldību budžets</w:t>
            </w:r>
          </w:p>
        </w:tc>
        <w:tc>
          <w:tcPr>
            <w:tcW w:w="612" w:type="pct"/>
            <w:vAlign w:val="center"/>
          </w:tcPr>
          <w:p w14:paraId="1A23096A"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20" w:type="pct"/>
            <w:vAlign w:val="center"/>
          </w:tcPr>
          <w:p w14:paraId="4D2CF4FC"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Align w:val="center"/>
          </w:tcPr>
          <w:p w14:paraId="50BF3A58"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13" w:type="pct"/>
            <w:vAlign w:val="center"/>
          </w:tcPr>
          <w:p w14:paraId="532E10CB"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294718E2"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66" w:type="pct"/>
            <w:vAlign w:val="center"/>
          </w:tcPr>
          <w:p w14:paraId="2792677A"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369870D6"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D9229D" w:rsidRPr="007C3259" w14:paraId="151FF23E" w14:textId="77777777" w:rsidTr="009553E5">
        <w:tc>
          <w:tcPr>
            <w:tcW w:w="632" w:type="pct"/>
            <w:hideMark/>
          </w:tcPr>
          <w:p w14:paraId="1E714C66" w14:textId="77777777" w:rsidR="00D9229D" w:rsidRPr="007C3259" w:rsidRDefault="00D9229D" w:rsidP="00D9229D">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2" w:type="pct"/>
            <w:shd w:val="clear" w:color="auto" w:fill="auto"/>
            <w:vAlign w:val="center"/>
          </w:tcPr>
          <w:p w14:paraId="7B8C98C0" w14:textId="77777777" w:rsidR="00D9229D" w:rsidRPr="007C3259" w:rsidRDefault="00D9229D" w:rsidP="00D9229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0" w:type="pct"/>
            <w:vAlign w:val="center"/>
          </w:tcPr>
          <w:p w14:paraId="5BCD0AB0"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hAnsi="Times New Roman" w:cs="Times New Roman"/>
                <w:sz w:val="24"/>
                <w:szCs w:val="24"/>
              </w:rPr>
              <w:t>0</w:t>
            </w:r>
          </w:p>
        </w:tc>
        <w:tc>
          <w:tcPr>
            <w:tcW w:w="605" w:type="pct"/>
            <w:vAlign w:val="center"/>
          </w:tcPr>
          <w:p w14:paraId="641FF566"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13" w:type="pct"/>
            <w:vAlign w:val="center"/>
          </w:tcPr>
          <w:p w14:paraId="391646BC"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Align w:val="center"/>
          </w:tcPr>
          <w:p w14:paraId="26A47DBB"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66" w:type="pct"/>
            <w:vAlign w:val="center"/>
          </w:tcPr>
          <w:p w14:paraId="0F7823D6"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0F03855D" w14:textId="77777777" w:rsidR="00D9229D" w:rsidRPr="007C3259" w:rsidRDefault="00D9229D" w:rsidP="00D9229D">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B07EB1" w:rsidRPr="00933348" w14:paraId="141ED335" w14:textId="77777777" w:rsidTr="009553E5">
        <w:tc>
          <w:tcPr>
            <w:tcW w:w="632" w:type="pct"/>
            <w:hideMark/>
          </w:tcPr>
          <w:p w14:paraId="059CE382" w14:textId="77777777" w:rsidR="00B07EB1" w:rsidRPr="007C3259" w:rsidRDefault="00B07EB1" w:rsidP="00B07EB1">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5. Precizēta finansiālā ietekme</w:t>
            </w:r>
          </w:p>
        </w:tc>
        <w:tc>
          <w:tcPr>
            <w:tcW w:w="612" w:type="pct"/>
            <w:vMerge w:val="restart"/>
            <w:shd w:val="clear" w:color="auto" w:fill="auto"/>
            <w:vAlign w:val="center"/>
          </w:tcPr>
          <w:p w14:paraId="6ED0A16E"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20" w:type="pct"/>
            <w:vAlign w:val="center"/>
          </w:tcPr>
          <w:p w14:paraId="54CDE36F"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Merge w:val="restart"/>
            <w:vAlign w:val="center"/>
          </w:tcPr>
          <w:p w14:paraId="799AF782"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X</w:t>
            </w:r>
          </w:p>
        </w:tc>
        <w:tc>
          <w:tcPr>
            <w:tcW w:w="613" w:type="pct"/>
            <w:vAlign w:val="center"/>
          </w:tcPr>
          <w:p w14:paraId="49161C6E" w14:textId="77777777" w:rsidR="00B07EB1" w:rsidRPr="00933348" w:rsidRDefault="00B07EB1" w:rsidP="00B07EB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Merge w:val="restart"/>
            <w:vAlign w:val="center"/>
          </w:tcPr>
          <w:p w14:paraId="704D7882" w14:textId="77777777" w:rsidR="00B07EB1" w:rsidRPr="00933348" w:rsidRDefault="00B07EB1" w:rsidP="00B07EB1">
            <w:pPr>
              <w:jc w:val="center"/>
              <w:rPr>
                <w:rFonts w:ascii="Times New Roman" w:eastAsia="Times New Roman" w:hAnsi="Times New Roman" w:cs="Times New Roman"/>
                <w:sz w:val="24"/>
                <w:szCs w:val="24"/>
                <w:lang w:eastAsia="lv-LV"/>
              </w:rPr>
            </w:pPr>
            <w:r w:rsidRPr="00933348">
              <w:rPr>
                <w:rFonts w:ascii="Times New Roman" w:eastAsia="Times New Roman" w:hAnsi="Times New Roman" w:cs="Times New Roman"/>
                <w:sz w:val="24"/>
                <w:szCs w:val="24"/>
                <w:lang w:eastAsia="lv-LV"/>
              </w:rPr>
              <w:t>X</w:t>
            </w:r>
          </w:p>
        </w:tc>
        <w:tc>
          <w:tcPr>
            <w:tcW w:w="666" w:type="pct"/>
            <w:vAlign w:val="center"/>
          </w:tcPr>
          <w:p w14:paraId="6714F72E" w14:textId="77777777" w:rsidR="00B07EB1" w:rsidRPr="00933348" w:rsidRDefault="00B07EB1" w:rsidP="00B07EB1">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2A5B858A" w14:textId="7A573608" w:rsidR="00B07EB1" w:rsidRPr="00933348" w:rsidRDefault="00B07EB1" w:rsidP="00B07EB1">
            <w:pPr>
              <w:jc w:val="center"/>
              <w:rPr>
                <w:rFonts w:ascii="Times New Roman" w:eastAsia="Times New Roman" w:hAnsi="Times New Roman" w:cs="Times New Roman"/>
                <w:sz w:val="24"/>
                <w:szCs w:val="24"/>
                <w:lang w:eastAsia="lv-LV"/>
              </w:rPr>
            </w:pPr>
            <w:r w:rsidRPr="005E6F47">
              <w:rPr>
                <w:rFonts w:ascii="Times New Roman" w:hAnsi="Times New Roman" w:cs="Times New Roman"/>
                <w:sz w:val="24"/>
                <w:szCs w:val="24"/>
              </w:rPr>
              <w:t>-3 </w:t>
            </w:r>
            <w:r w:rsidR="00F2269E" w:rsidRPr="005E6F47">
              <w:rPr>
                <w:rFonts w:ascii="Times New Roman" w:hAnsi="Times New Roman" w:cs="Times New Roman"/>
                <w:sz w:val="24"/>
                <w:szCs w:val="24"/>
              </w:rPr>
              <w:t>0</w:t>
            </w:r>
            <w:r w:rsidRPr="005E6F47">
              <w:rPr>
                <w:rFonts w:ascii="Times New Roman" w:hAnsi="Times New Roman" w:cs="Times New Roman"/>
                <w:sz w:val="24"/>
                <w:szCs w:val="24"/>
              </w:rPr>
              <w:t xml:space="preserve">00 </w:t>
            </w:r>
            <w:r w:rsidR="00F2269E" w:rsidRPr="005E6F47">
              <w:rPr>
                <w:rFonts w:ascii="Times New Roman" w:hAnsi="Times New Roman" w:cs="Times New Roman"/>
                <w:sz w:val="24"/>
                <w:szCs w:val="24"/>
              </w:rPr>
              <w:t>2</w:t>
            </w:r>
            <w:r w:rsidRPr="005E6F47">
              <w:rPr>
                <w:rFonts w:ascii="Times New Roman" w:hAnsi="Times New Roman" w:cs="Times New Roman"/>
                <w:sz w:val="24"/>
                <w:szCs w:val="24"/>
              </w:rPr>
              <w:t>00</w:t>
            </w:r>
          </w:p>
        </w:tc>
      </w:tr>
      <w:tr w:rsidR="00B07EB1" w:rsidRPr="00933348" w14:paraId="565780F6" w14:textId="77777777" w:rsidTr="009553E5">
        <w:tc>
          <w:tcPr>
            <w:tcW w:w="632" w:type="pct"/>
            <w:hideMark/>
          </w:tcPr>
          <w:p w14:paraId="7D994415" w14:textId="77777777" w:rsidR="00B07EB1" w:rsidRPr="007C3259" w:rsidRDefault="00B07EB1" w:rsidP="00B07EB1">
            <w:pPr>
              <w:jc w:val="both"/>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5.1. valsts pamatbudžets</w:t>
            </w:r>
          </w:p>
        </w:tc>
        <w:tc>
          <w:tcPr>
            <w:tcW w:w="612" w:type="pct"/>
            <w:vMerge/>
            <w:shd w:val="clear" w:color="auto" w:fill="auto"/>
            <w:vAlign w:val="center"/>
          </w:tcPr>
          <w:p w14:paraId="7BD5E3CB"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20" w:type="pct"/>
            <w:vAlign w:val="center"/>
          </w:tcPr>
          <w:p w14:paraId="5790E0D9"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Merge/>
            <w:vAlign w:val="center"/>
          </w:tcPr>
          <w:p w14:paraId="6C0ED9A5"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13" w:type="pct"/>
            <w:vAlign w:val="center"/>
          </w:tcPr>
          <w:p w14:paraId="10C06F9A" w14:textId="77777777" w:rsidR="00B07EB1" w:rsidRPr="00933348" w:rsidRDefault="00B07EB1" w:rsidP="00B07EB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01" w:type="pct"/>
            <w:vMerge/>
            <w:vAlign w:val="center"/>
          </w:tcPr>
          <w:p w14:paraId="418626B6" w14:textId="77777777" w:rsidR="00B07EB1" w:rsidRPr="00933348" w:rsidRDefault="00B07EB1" w:rsidP="00B07EB1">
            <w:pPr>
              <w:jc w:val="center"/>
              <w:rPr>
                <w:rFonts w:ascii="Times New Roman" w:eastAsia="Times New Roman" w:hAnsi="Times New Roman" w:cs="Times New Roman"/>
                <w:sz w:val="24"/>
                <w:szCs w:val="24"/>
                <w:lang w:eastAsia="lv-LV"/>
              </w:rPr>
            </w:pPr>
          </w:p>
        </w:tc>
        <w:tc>
          <w:tcPr>
            <w:tcW w:w="666" w:type="pct"/>
            <w:vAlign w:val="center"/>
          </w:tcPr>
          <w:p w14:paraId="5287DDB2" w14:textId="77777777" w:rsidR="00B07EB1" w:rsidRPr="00933348" w:rsidRDefault="00B07EB1" w:rsidP="00B07EB1">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-2 000 000</w:t>
            </w:r>
          </w:p>
        </w:tc>
        <w:tc>
          <w:tcPr>
            <w:tcW w:w="651" w:type="pct"/>
            <w:vAlign w:val="center"/>
          </w:tcPr>
          <w:p w14:paraId="4150DDBD" w14:textId="46CC895D" w:rsidR="00B07EB1" w:rsidRPr="00933348" w:rsidRDefault="00B07EB1" w:rsidP="00B07EB1">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5E6F47">
              <w:rPr>
                <w:rFonts w:ascii="Times New Roman" w:hAnsi="Times New Roman" w:cs="Times New Roman"/>
                <w:sz w:val="24"/>
                <w:szCs w:val="24"/>
              </w:rPr>
              <w:t>3 </w:t>
            </w:r>
            <w:r w:rsidR="00F2269E" w:rsidRPr="005E6F47">
              <w:rPr>
                <w:rFonts w:ascii="Times New Roman" w:hAnsi="Times New Roman" w:cs="Times New Roman"/>
                <w:sz w:val="24"/>
                <w:szCs w:val="24"/>
              </w:rPr>
              <w:t>0</w:t>
            </w:r>
            <w:r w:rsidRPr="005E6F47">
              <w:rPr>
                <w:rFonts w:ascii="Times New Roman" w:hAnsi="Times New Roman" w:cs="Times New Roman"/>
                <w:sz w:val="24"/>
                <w:szCs w:val="24"/>
              </w:rPr>
              <w:t xml:space="preserve">00 </w:t>
            </w:r>
            <w:r w:rsidR="00F2269E" w:rsidRPr="005E6F47">
              <w:rPr>
                <w:rFonts w:ascii="Times New Roman" w:hAnsi="Times New Roman" w:cs="Times New Roman"/>
                <w:sz w:val="24"/>
                <w:szCs w:val="24"/>
              </w:rPr>
              <w:t>2</w:t>
            </w:r>
            <w:r w:rsidRPr="005E6F47">
              <w:rPr>
                <w:rFonts w:ascii="Times New Roman" w:hAnsi="Times New Roman" w:cs="Times New Roman"/>
                <w:sz w:val="24"/>
                <w:szCs w:val="24"/>
              </w:rPr>
              <w:t>00</w:t>
            </w:r>
          </w:p>
        </w:tc>
      </w:tr>
      <w:tr w:rsidR="00B07EB1" w:rsidRPr="007C3259" w14:paraId="559D6939" w14:textId="77777777" w:rsidTr="009553E5">
        <w:tc>
          <w:tcPr>
            <w:tcW w:w="632" w:type="pct"/>
            <w:hideMark/>
          </w:tcPr>
          <w:p w14:paraId="75FB4D62"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5.2. speciālais budžets</w:t>
            </w:r>
          </w:p>
        </w:tc>
        <w:tc>
          <w:tcPr>
            <w:tcW w:w="612" w:type="pct"/>
            <w:vMerge/>
            <w:shd w:val="clear" w:color="auto" w:fill="auto"/>
            <w:vAlign w:val="center"/>
          </w:tcPr>
          <w:p w14:paraId="44D497A5"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20" w:type="pct"/>
            <w:vAlign w:val="center"/>
          </w:tcPr>
          <w:p w14:paraId="2ACA7646"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Merge/>
            <w:vAlign w:val="center"/>
          </w:tcPr>
          <w:p w14:paraId="34283366"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13" w:type="pct"/>
            <w:vAlign w:val="center"/>
          </w:tcPr>
          <w:p w14:paraId="05488CFA"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Merge/>
            <w:vAlign w:val="center"/>
          </w:tcPr>
          <w:p w14:paraId="4B54F9C8"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66" w:type="pct"/>
            <w:vAlign w:val="center"/>
          </w:tcPr>
          <w:p w14:paraId="15FF58E2"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000186CF"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B07EB1" w:rsidRPr="007C3259" w14:paraId="62A44E16" w14:textId="77777777" w:rsidTr="009553E5">
        <w:tc>
          <w:tcPr>
            <w:tcW w:w="632" w:type="pct"/>
            <w:hideMark/>
          </w:tcPr>
          <w:p w14:paraId="12DA8820"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5.3. pašvaldību budžets</w:t>
            </w:r>
          </w:p>
        </w:tc>
        <w:tc>
          <w:tcPr>
            <w:tcW w:w="612" w:type="pct"/>
            <w:vMerge/>
            <w:shd w:val="clear" w:color="auto" w:fill="auto"/>
            <w:vAlign w:val="center"/>
          </w:tcPr>
          <w:p w14:paraId="64A501D9"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20" w:type="pct"/>
            <w:vAlign w:val="center"/>
          </w:tcPr>
          <w:p w14:paraId="2944D3F3"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5" w:type="pct"/>
            <w:vMerge/>
            <w:vAlign w:val="center"/>
          </w:tcPr>
          <w:p w14:paraId="5083DD41"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13" w:type="pct"/>
            <w:vAlign w:val="center"/>
          </w:tcPr>
          <w:p w14:paraId="6DCBE77E"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01" w:type="pct"/>
            <w:vMerge/>
            <w:vAlign w:val="center"/>
          </w:tcPr>
          <w:p w14:paraId="427CC7A8" w14:textId="77777777" w:rsidR="00B07EB1" w:rsidRPr="007C3259" w:rsidRDefault="00B07EB1" w:rsidP="00B07EB1">
            <w:pPr>
              <w:jc w:val="center"/>
              <w:rPr>
                <w:rFonts w:ascii="Times New Roman" w:eastAsia="Times New Roman" w:hAnsi="Times New Roman" w:cs="Times New Roman"/>
                <w:sz w:val="24"/>
                <w:szCs w:val="24"/>
                <w:lang w:eastAsia="lv-LV"/>
              </w:rPr>
            </w:pPr>
          </w:p>
        </w:tc>
        <w:tc>
          <w:tcPr>
            <w:tcW w:w="666" w:type="pct"/>
            <w:vAlign w:val="center"/>
          </w:tcPr>
          <w:p w14:paraId="48044DAD"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c>
          <w:tcPr>
            <w:tcW w:w="651" w:type="pct"/>
            <w:vAlign w:val="center"/>
          </w:tcPr>
          <w:p w14:paraId="6824B0EC" w14:textId="77777777" w:rsidR="00B07EB1" w:rsidRPr="007C3259" w:rsidRDefault="00B07EB1" w:rsidP="00B07EB1">
            <w:pPr>
              <w:jc w:val="cente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0</w:t>
            </w:r>
          </w:p>
        </w:tc>
      </w:tr>
      <w:tr w:rsidR="00B07EB1" w:rsidRPr="007C3259" w14:paraId="09EE6419" w14:textId="77777777" w:rsidTr="009553E5">
        <w:trPr>
          <w:trHeight w:val="5041"/>
        </w:trPr>
        <w:tc>
          <w:tcPr>
            <w:tcW w:w="632" w:type="pct"/>
            <w:hideMark/>
          </w:tcPr>
          <w:p w14:paraId="5454819A"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4368" w:type="pct"/>
            <w:gridSpan w:val="7"/>
            <w:vMerge w:val="restart"/>
            <w:hideMark/>
          </w:tcPr>
          <w:p w14:paraId="48FCC218" w14:textId="77777777" w:rsidR="00B07EB1" w:rsidRPr="00484A95" w:rsidRDefault="00B07EB1" w:rsidP="00B07EB1">
            <w:pPr>
              <w:pStyle w:val="PlainText"/>
              <w:ind w:left="57" w:right="113"/>
              <w:jc w:val="both"/>
              <w:rPr>
                <w:rFonts w:ascii="Times New Roman" w:hAnsi="Times New Roman" w:cs="Times New Roman"/>
                <w:b/>
                <w:sz w:val="24"/>
                <w:szCs w:val="24"/>
              </w:rPr>
            </w:pPr>
          </w:p>
          <w:p w14:paraId="23AEE1B2" w14:textId="77777777" w:rsidR="00B07EB1" w:rsidRPr="00484A95" w:rsidRDefault="00B07EB1" w:rsidP="00E65483">
            <w:pPr>
              <w:pStyle w:val="PlainText"/>
              <w:ind w:left="57" w:right="113"/>
              <w:jc w:val="both"/>
              <w:rPr>
                <w:rFonts w:ascii="Times New Roman" w:hAnsi="Times New Roman" w:cs="Times New Roman"/>
                <w:b/>
                <w:sz w:val="24"/>
                <w:szCs w:val="24"/>
              </w:rPr>
            </w:pPr>
            <w:r w:rsidRPr="00484A95">
              <w:rPr>
                <w:rFonts w:ascii="Times New Roman" w:hAnsi="Times New Roman" w:cs="Times New Roman"/>
                <w:b/>
                <w:sz w:val="24"/>
                <w:szCs w:val="24"/>
              </w:rPr>
              <w:t>Izdevumi</w:t>
            </w:r>
          </w:p>
          <w:p w14:paraId="07152E61" w14:textId="3C8960C3" w:rsidR="00B07EB1" w:rsidRPr="00484A95" w:rsidRDefault="00B07EB1" w:rsidP="00B07EB1">
            <w:pPr>
              <w:pStyle w:val="PlainText"/>
              <w:numPr>
                <w:ilvl w:val="1"/>
                <w:numId w:val="6"/>
              </w:numPr>
              <w:ind w:left="204" w:right="113" w:firstLine="0"/>
              <w:jc w:val="both"/>
              <w:rPr>
                <w:rFonts w:ascii="Times New Roman" w:hAnsi="Times New Roman" w:cs="Times New Roman"/>
                <w:sz w:val="24"/>
                <w:szCs w:val="24"/>
              </w:rPr>
            </w:pPr>
            <w:r w:rsidRPr="00484A95">
              <w:rPr>
                <w:rFonts w:ascii="Times New Roman" w:eastAsia="Times New Roman" w:hAnsi="Times New Roman" w:cs="Times New Roman"/>
                <w:iCs/>
                <w:sz w:val="24"/>
                <w:szCs w:val="24"/>
              </w:rPr>
              <w:t xml:space="preserve">Lai īstenotu </w:t>
            </w:r>
            <w:r w:rsidR="0057105F">
              <w:rPr>
                <w:rFonts w:ascii="Times New Roman" w:eastAsia="Times New Roman" w:hAnsi="Times New Roman" w:cs="Times New Roman"/>
                <w:iCs/>
                <w:sz w:val="24"/>
                <w:szCs w:val="24"/>
              </w:rPr>
              <w:t>L</w:t>
            </w:r>
            <w:r w:rsidRPr="00484A95">
              <w:rPr>
                <w:rFonts w:ascii="Times New Roman" w:eastAsia="Times New Roman" w:hAnsi="Times New Roman" w:cs="Times New Roman"/>
                <w:iCs/>
                <w:sz w:val="24"/>
                <w:szCs w:val="24"/>
              </w:rPr>
              <w:t xml:space="preserve">ikumprojektā paredzētās izmaiņas, proti, nodrošinātu konkurētspējīgu atalgojumu, novērstu </w:t>
            </w:r>
            <w:r w:rsidRPr="00484A95">
              <w:rPr>
                <w:rFonts w:ascii="Times New Roman" w:hAnsi="Times New Roman" w:cs="Times New Roman"/>
                <w:sz w:val="24"/>
                <w:szCs w:val="24"/>
              </w:rPr>
              <w:t xml:space="preserve">būtiskas atšķirības no likumā noteiktā maksimālā mēnešalgas apmēra </w:t>
            </w:r>
            <w:r w:rsidR="00617F5B">
              <w:rPr>
                <w:rFonts w:ascii="Times New Roman" w:hAnsi="Times New Roman" w:cs="Times New Roman"/>
                <w:sz w:val="24"/>
                <w:szCs w:val="24"/>
              </w:rPr>
              <w:t>I</w:t>
            </w:r>
            <w:r w:rsidRPr="00484A95">
              <w:rPr>
                <w:rFonts w:ascii="Times New Roman" w:hAnsi="Times New Roman" w:cs="Times New Roman"/>
                <w:sz w:val="24"/>
                <w:szCs w:val="24"/>
              </w:rPr>
              <w:t>ekšlietu sistēmas amatpersonām ar speciālajām dienesta pakāpēm un Birojā nodarbinātajiem un ieviestu jaunu atalgojuma sistēmu, šim mērķim ir nepieciešams papildu finansējums:</w:t>
            </w:r>
          </w:p>
          <w:p w14:paraId="52A0E201" w14:textId="7D51F79F" w:rsidR="00B07EB1" w:rsidRPr="00484A95" w:rsidRDefault="00B07EB1" w:rsidP="00B07EB1">
            <w:pPr>
              <w:pStyle w:val="PlainText"/>
              <w:numPr>
                <w:ilvl w:val="0"/>
                <w:numId w:val="7"/>
              </w:numPr>
              <w:ind w:right="113"/>
              <w:jc w:val="both"/>
              <w:rPr>
                <w:rFonts w:ascii="Times New Roman" w:hAnsi="Times New Roman" w:cs="Times New Roman"/>
                <w:sz w:val="24"/>
                <w:szCs w:val="24"/>
              </w:rPr>
            </w:pPr>
            <w:proofErr w:type="gramStart"/>
            <w:r w:rsidRPr="00484A95">
              <w:rPr>
                <w:rFonts w:ascii="Times New Roman" w:hAnsi="Times New Roman" w:cs="Times New Roman"/>
                <w:sz w:val="24"/>
                <w:szCs w:val="24"/>
              </w:rPr>
              <w:t>2021.gadā</w:t>
            </w:r>
            <w:proofErr w:type="gramEnd"/>
            <w:r w:rsidRPr="00484A95">
              <w:rPr>
                <w:rFonts w:ascii="Times New Roman" w:hAnsi="Times New Roman" w:cs="Times New Roman"/>
                <w:sz w:val="24"/>
                <w:szCs w:val="24"/>
              </w:rPr>
              <w:t xml:space="preserve"> </w:t>
            </w:r>
            <w:r w:rsidRPr="00484A95">
              <w:rPr>
                <w:rFonts w:ascii="Times New Roman" w:eastAsia="Times New Roman" w:hAnsi="Times New Roman" w:cs="Times New Roman"/>
                <w:sz w:val="24"/>
                <w:szCs w:val="24"/>
              </w:rPr>
              <w:t>1 500</w:t>
            </w:r>
            <w:r w:rsidR="004F0340" w:rsidRPr="00484A95">
              <w:rPr>
                <w:rFonts w:ascii="Times New Roman" w:eastAsia="Times New Roman" w:hAnsi="Times New Roman" w:cs="Times New Roman"/>
                <w:sz w:val="24"/>
                <w:szCs w:val="24"/>
              </w:rPr>
              <w:t> </w:t>
            </w:r>
            <w:r w:rsidRPr="00484A95">
              <w:rPr>
                <w:rFonts w:ascii="Times New Roman" w:eastAsia="Times New Roman" w:hAnsi="Times New Roman" w:cs="Times New Roman"/>
                <w:sz w:val="24"/>
                <w:szCs w:val="24"/>
              </w:rPr>
              <w:t>000</w:t>
            </w:r>
            <w:r w:rsidR="004F0340" w:rsidRPr="00484A95">
              <w:rPr>
                <w:rFonts w:ascii="Times New Roman" w:eastAsia="Times New Roman" w:hAnsi="Times New Roman" w:cs="Times New Roman"/>
                <w:sz w:val="24"/>
                <w:szCs w:val="24"/>
              </w:rPr>
              <w:t xml:space="preserve"> </w:t>
            </w:r>
            <w:proofErr w:type="spellStart"/>
            <w:r w:rsidRPr="00484A95">
              <w:rPr>
                <w:rFonts w:ascii="Times New Roman" w:eastAsia="Times New Roman" w:hAnsi="Times New Roman" w:cs="Times New Roman"/>
                <w:sz w:val="24"/>
                <w:szCs w:val="24"/>
              </w:rPr>
              <w:t>euro</w:t>
            </w:r>
            <w:proofErr w:type="spellEnd"/>
            <w:r w:rsidRPr="00484A95">
              <w:rPr>
                <w:rFonts w:ascii="Times New Roman" w:eastAsia="Times New Roman" w:hAnsi="Times New Roman" w:cs="Times New Roman"/>
                <w:sz w:val="24"/>
                <w:szCs w:val="24"/>
              </w:rPr>
              <w:t xml:space="preserve"> apmērā;</w:t>
            </w:r>
          </w:p>
          <w:p w14:paraId="3B148EC1" w14:textId="77777777" w:rsidR="00625DC3" w:rsidRDefault="00B07EB1" w:rsidP="00625DC3">
            <w:pPr>
              <w:pStyle w:val="PlainText"/>
              <w:numPr>
                <w:ilvl w:val="0"/>
                <w:numId w:val="7"/>
              </w:numPr>
              <w:ind w:right="113"/>
              <w:jc w:val="both"/>
              <w:rPr>
                <w:rFonts w:ascii="Times New Roman" w:hAnsi="Times New Roman" w:cs="Times New Roman"/>
                <w:sz w:val="24"/>
                <w:szCs w:val="24"/>
              </w:rPr>
            </w:pPr>
            <w:proofErr w:type="gramStart"/>
            <w:r w:rsidRPr="00484A95">
              <w:rPr>
                <w:rFonts w:ascii="Times New Roman" w:hAnsi="Times New Roman" w:cs="Times New Roman"/>
                <w:sz w:val="24"/>
                <w:szCs w:val="24"/>
              </w:rPr>
              <w:t>2022.gadā</w:t>
            </w:r>
            <w:proofErr w:type="gramEnd"/>
            <w:r w:rsidRPr="00484A95">
              <w:rPr>
                <w:rFonts w:ascii="Times New Roman" w:hAnsi="Times New Roman" w:cs="Times New Roman"/>
                <w:sz w:val="24"/>
                <w:szCs w:val="24"/>
              </w:rPr>
              <w:t xml:space="preserve"> 2 000 000</w:t>
            </w:r>
            <w:r w:rsidRPr="00484A95">
              <w:rPr>
                <w:rFonts w:ascii="Times New Roman" w:eastAsia="Times New Roman" w:hAnsi="Times New Roman" w:cs="Times New Roman"/>
                <w:sz w:val="24"/>
                <w:szCs w:val="24"/>
              </w:rPr>
              <w:t xml:space="preserve"> </w:t>
            </w:r>
            <w:proofErr w:type="spellStart"/>
            <w:r w:rsidRPr="00484A95">
              <w:rPr>
                <w:rFonts w:ascii="Times New Roman" w:eastAsia="Times New Roman" w:hAnsi="Times New Roman" w:cs="Times New Roman"/>
                <w:sz w:val="24"/>
                <w:szCs w:val="24"/>
              </w:rPr>
              <w:t>euro</w:t>
            </w:r>
            <w:proofErr w:type="spellEnd"/>
            <w:r w:rsidRPr="00484A95">
              <w:rPr>
                <w:rFonts w:ascii="Times New Roman" w:eastAsia="Times New Roman" w:hAnsi="Times New Roman" w:cs="Times New Roman"/>
                <w:sz w:val="24"/>
                <w:szCs w:val="24"/>
              </w:rPr>
              <w:t xml:space="preserve"> apmērā;</w:t>
            </w:r>
          </w:p>
          <w:p w14:paraId="2396FBF1" w14:textId="41D59DD3" w:rsidR="00B07EB1" w:rsidRPr="00625DC3" w:rsidRDefault="00B07EB1" w:rsidP="00625DC3">
            <w:pPr>
              <w:pStyle w:val="PlainText"/>
              <w:numPr>
                <w:ilvl w:val="0"/>
                <w:numId w:val="7"/>
              </w:numPr>
              <w:ind w:right="113"/>
              <w:jc w:val="both"/>
              <w:rPr>
                <w:rFonts w:ascii="Times New Roman" w:hAnsi="Times New Roman" w:cs="Times New Roman"/>
                <w:sz w:val="24"/>
                <w:szCs w:val="24"/>
              </w:rPr>
            </w:pPr>
            <w:proofErr w:type="gramStart"/>
            <w:r w:rsidRPr="00625DC3">
              <w:rPr>
                <w:rFonts w:ascii="Times New Roman" w:hAnsi="Times New Roman" w:cs="Times New Roman"/>
                <w:sz w:val="24"/>
                <w:szCs w:val="24"/>
              </w:rPr>
              <w:t>2023.gadā</w:t>
            </w:r>
            <w:proofErr w:type="gramEnd"/>
            <w:r w:rsidRPr="00625DC3">
              <w:rPr>
                <w:rFonts w:ascii="Times New Roman" w:hAnsi="Times New Roman" w:cs="Times New Roman"/>
                <w:sz w:val="24"/>
                <w:szCs w:val="24"/>
              </w:rPr>
              <w:t xml:space="preserve"> 3 </w:t>
            </w:r>
            <w:r w:rsidR="00F2269E" w:rsidRPr="00625DC3">
              <w:rPr>
                <w:rFonts w:ascii="Times New Roman" w:hAnsi="Times New Roman" w:cs="Times New Roman"/>
                <w:sz w:val="24"/>
                <w:szCs w:val="24"/>
              </w:rPr>
              <w:t>0</w:t>
            </w:r>
            <w:r w:rsidRPr="00625DC3">
              <w:rPr>
                <w:rFonts w:ascii="Times New Roman" w:hAnsi="Times New Roman" w:cs="Times New Roman"/>
                <w:sz w:val="24"/>
                <w:szCs w:val="24"/>
              </w:rPr>
              <w:t xml:space="preserve">00 </w:t>
            </w:r>
            <w:r w:rsidR="00F2269E" w:rsidRPr="00625DC3">
              <w:rPr>
                <w:rFonts w:ascii="Times New Roman" w:hAnsi="Times New Roman" w:cs="Times New Roman"/>
                <w:sz w:val="24"/>
                <w:szCs w:val="24"/>
              </w:rPr>
              <w:t>2</w:t>
            </w:r>
            <w:r w:rsidRPr="00625DC3">
              <w:rPr>
                <w:rFonts w:ascii="Times New Roman" w:hAnsi="Times New Roman" w:cs="Times New Roman"/>
                <w:sz w:val="24"/>
                <w:szCs w:val="24"/>
              </w:rPr>
              <w:t xml:space="preserve">00 </w:t>
            </w:r>
            <w:proofErr w:type="spellStart"/>
            <w:r w:rsidRPr="00625DC3">
              <w:rPr>
                <w:rFonts w:ascii="Times New Roman" w:hAnsi="Times New Roman" w:cs="Times New Roman"/>
                <w:sz w:val="24"/>
                <w:szCs w:val="24"/>
              </w:rPr>
              <w:t>euro</w:t>
            </w:r>
            <w:proofErr w:type="spellEnd"/>
            <w:r w:rsidRPr="00625DC3">
              <w:rPr>
                <w:rFonts w:ascii="Times New Roman" w:hAnsi="Times New Roman" w:cs="Times New Roman"/>
                <w:sz w:val="24"/>
                <w:szCs w:val="24"/>
              </w:rPr>
              <w:t xml:space="preserve"> apmērā.</w:t>
            </w:r>
          </w:p>
          <w:p w14:paraId="724C13F5" w14:textId="77777777" w:rsidR="00CE3697" w:rsidRPr="00484A95" w:rsidRDefault="00CE3697" w:rsidP="004F0340">
            <w:pPr>
              <w:pStyle w:val="PlainText"/>
              <w:ind w:right="113"/>
              <w:jc w:val="both"/>
              <w:rPr>
                <w:rFonts w:ascii="Times New Roman" w:hAnsi="Times New Roman" w:cs="Times New Roman"/>
                <w:sz w:val="24"/>
                <w:szCs w:val="24"/>
                <w:u w:val="single"/>
              </w:rPr>
            </w:pPr>
          </w:p>
          <w:p w14:paraId="6BA68750" w14:textId="77777777" w:rsidR="00CE3697" w:rsidRPr="00484A95" w:rsidRDefault="00FE4B2A" w:rsidP="00CE3697">
            <w:pPr>
              <w:pStyle w:val="PlainText"/>
              <w:ind w:right="113"/>
              <w:jc w:val="both"/>
              <w:rPr>
                <w:rFonts w:ascii="Times New Roman" w:hAnsi="Times New Roman" w:cs="Times New Roman"/>
                <w:sz w:val="24"/>
                <w:szCs w:val="24"/>
                <w:u w:val="single"/>
              </w:rPr>
            </w:pPr>
            <w:r w:rsidRPr="00484A95">
              <w:rPr>
                <w:rFonts w:ascii="Times New Roman" w:hAnsi="Times New Roman" w:cs="Times New Roman"/>
                <w:sz w:val="24"/>
                <w:szCs w:val="24"/>
                <w:u w:val="single"/>
              </w:rPr>
              <w:t>A</w:t>
            </w:r>
            <w:r w:rsidR="00CE3697" w:rsidRPr="00484A95">
              <w:rPr>
                <w:rFonts w:ascii="Times New Roman" w:hAnsi="Times New Roman" w:cs="Times New Roman"/>
                <w:sz w:val="24"/>
                <w:szCs w:val="24"/>
                <w:u w:val="single"/>
              </w:rPr>
              <w:t>prēķin</w:t>
            </w:r>
            <w:r w:rsidR="007238B5" w:rsidRPr="00484A95">
              <w:rPr>
                <w:rFonts w:ascii="Times New Roman" w:hAnsi="Times New Roman" w:cs="Times New Roman"/>
                <w:sz w:val="24"/>
                <w:szCs w:val="24"/>
                <w:u w:val="single"/>
              </w:rPr>
              <w:t>i</w:t>
            </w:r>
            <w:r w:rsidR="00CE3697" w:rsidRPr="00484A95">
              <w:rPr>
                <w:rFonts w:ascii="Times New Roman" w:hAnsi="Times New Roman" w:cs="Times New Roman"/>
                <w:sz w:val="24"/>
                <w:szCs w:val="24"/>
                <w:u w:val="single"/>
              </w:rPr>
              <w:t>:</w:t>
            </w:r>
          </w:p>
          <w:p w14:paraId="6EA20078" w14:textId="5B12A7EA" w:rsidR="00602A34" w:rsidRPr="00484A95" w:rsidRDefault="00CE3697" w:rsidP="00CE3697">
            <w:pPr>
              <w:pStyle w:val="PlainText"/>
              <w:ind w:right="113"/>
              <w:jc w:val="both"/>
              <w:rPr>
                <w:rFonts w:ascii="Times New Roman" w:hAnsi="Times New Roman" w:cs="Times New Roman"/>
                <w:sz w:val="24"/>
                <w:szCs w:val="24"/>
              </w:rPr>
            </w:pPr>
            <w:r w:rsidRPr="00484A95">
              <w:rPr>
                <w:rFonts w:ascii="Times New Roman" w:hAnsi="Times New Roman" w:cs="Times New Roman"/>
                <w:sz w:val="24"/>
                <w:szCs w:val="24"/>
              </w:rPr>
              <w:t>Atalgojum</w:t>
            </w:r>
            <w:r w:rsidR="00073CC1" w:rsidRPr="00484A95">
              <w:rPr>
                <w:rFonts w:ascii="Times New Roman" w:hAnsi="Times New Roman" w:cs="Times New Roman"/>
                <w:sz w:val="24"/>
                <w:szCs w:val="24"/>
              </w:rPr>
              <w:t xml:space="preserve">s </w:t>
            </w:r>
            <w:proofErr w:type="gramStart"/>
            <w:r w:rsidRPr="00484A95">
              <w:rPr>
                <w:rFonts w:ascii="Times New Roman" w:hAnsi="Times New Roman" w:cs="Times New Roman"/>
                <w:sz w:val="24"/>
                <w:szCs w:val="24"/>
              </w:rPr>
              <w:t>2021.gad</w:t>
            </w:r>
            <w:r w:rsidR="00602A34" w:rsidRPr="00484A95">
              <w:rPr>
                <w:rFonts w:ascii="Times New Roman" w:hAnsi="Times New Roman" w:cs="Times New Roman"/>
                <w:sz w:val="24"/>
                <w:szCs w:val="24"/>
              </w:rPr>
              <w:t>ā</w:t>
            </w:r>
            <w:proofErr w:type="gramEnd"/>
            <w:r w:rsidR="00602A34" w:rsidRPr="00484A95">
              <w:rPr>
                <w:rFonts w:ascii="Times New Roman" w:hAnsi="Times New Roman" w:cs="Times New Roman"/>
                <w:sz w:val="24"/>
                <w:szCs w:val="24"/>
              </w:rPr>
              <w:t xml:space="preserve"> katrai mēnešalg</w:t>
            </w:r>
            <w:r w:rsidR="002F6B1B" w:rsidRPr="00484A95">
              <w:rPr>
                <w:rFonts w:ascii="Times New Roman" w:hAnsi="Times New Roman" w:cs="Times New Roman"/>
                <w:sz w:val="24"/>
                <w:szCs w:val="24"/>
              </w:rPr>
              <w:t>as</w:t>
            </w:r>
            <w:r w:rsidR="00602A34" w:rsidRPr="00484A95">
              <w:rPr>
                <w:rFonts w:ascii="Times New Roman" w:hAnsi="Times New Roman" w:cs="Times New Roman"/>
                <w:sz w:val="24"/>
                <w:szCs w:val="24"/>
              </w:rPr>
              <w:t xml:space="preserve"> grupai</w:t>
            </w:r>
            <w:r w:rsidR="00073CC1" w:rsidRPr="00484A95">
              <w:rPr>
                <w:rFonts w:ascii="Times New Roman" w:hAnsi="Times New Roman" w:cs="Times New Roman"/>
                <w:sz w:val="24"/>
                <w:szCs w:val="24"/>
              </w:rPr>
              <w:t xml:space="preserve"> ir rēķināts</w:t>
            </w:r>
            <w:r w:rsidR="006736F7" w:rsidRPr="00484A95">
              <w:rPr>
                <w:rFonts w:ascii="Times New Roman" w:hAnsi="Times New Roman" w:cs="Times New Roman"/>
                <w:sz w:val="24"/>
                <w:szCs w:val="24"/>
              </w:rPr>
              <w:t>,</w:t>
            </w:r>
            <w:r w:rsidR="00073CC1" w:rsidRPr="00484A95">
              <w:rPr>
                <w:rFonts w:ascii="Times New Roman" w:hAnsi="Times New Roman" w:cs="Times New Roman"/>
                <w:sz w:val="24"/>
                <w:szCs w:val="24"/>
              </w:rPr>
              <w:t xml:space="preserve"> ievērojot</w:t>
            </w:r>
            <w:r w:rsidRPr="00484A95">
              <w:rPr>
                <w:rFonts w:ascii="Times New Roman" w:hAnsi="Times New Roman" w:cs="Times New Roman"/>
                <w:sz w:val="24"/>
                <w:szCs w:val="24"/>
              </w:rPr>
              <w:t xml:space="preserve"> </w:t>
            </w:r>
            <w:r w:rsidR="00617F5B">
              <w:rPr>
                <w:rFonts w:ascii="Times New Roman" w:hAnsi="Times New Roman" w:cs="Times New Roman"/>
                <w:sz w:val="24"/>
                <w:szCs w:val="24"/>
              </w:rPr>
              <w:t>L</w:t>
            </w:r>
            <w:r w:rsidRPr="00484A95">
              <w:rPr>
                <w:rFonts w:ascii="Times New Roman" w:hAnsi="Times New Roman" w:cs="Times New Roman"/>
                <w:sz w:val="24"/>
                <w:szCs w:val="24"/>
              </w:rPr>
              <w:t>ikumprojekta 5.pielikuma “Korupcijas novēršanas un apkarošanas biroja amatpersonu (darbinieku)</w:t>
            </w:r>
            <w:r w:rsidRPr="00484A95">
              <w:rPr>
                <w:rFonts w:ascii="Times New Roman" w:eastAsia="Times New Roman" w:hAnsi="Times New Roman" w:cs="Times New Roman"/>
                <w:bCs/>
                <w:sz w:val="24"/>
                <w:szCs w:val="24"/>
              </w:rPr>
              <w:t xml:space="preserve"> mēnešalgu grupas un to mēnešalgas intervāli”</w:t>
            </w:r>
            <w:r w:rsidR="00FE4B2A" w:rsidRPr="00484A95">
              <w:rPr>
                <w:rFonts w:ascii="Times New Roman" w:eastAsia="Times New Roman" w:hAnsi="Times New Roman" w:cs="Times New Roman"/>
                <w:bCs/>
                <w:sz w:val="24"/>
                <w:szCs w:val="24"/>
              </w:rPr>
              <w:t xml:space="preserve"> </w:t>
            </w:r>
            <w:r w:rsidRPr="00484A95">
              <w:rPr>
                <w:rFonts w:ascii="Times New Roman" w:eastAsia="Times New Roman" w:hAnsi="Times New Roman" w:cs="Times New Roman"/>
                <w:bCs/>
                <w:sz w:val="24"/>
                <w:szCs w:val="24"/>
              </w:rPr>
              <w:t>mēnešalgu intervāla koeficient</w:t>
            </w:r>
            <w:r w:rsidR="00073CC1" w:rsidRPr="00484A95">
              <w:rPr>
                <w:rFonts w:ascii="Times New Roman" w:eastAsia="Times New Roman" w:hAnsi="Times New Roman" w:cs="Times New Roman"/>
                <w:bCs/>
                <w:sz w:val="24"/>
                <w:szCs w:val="24"/>
              </w:rPr>
              <w:t>u</w:t>
            </w:r>
            <w:r w:rsidRPr="00484A95">
              <w:rPr>
                <w:rFonts w:ascii="Times New Roman" w:eastAsia="Times New Roman" w:hAnsi="Times New Roman" w:cs="Times New Roman"/>
                <w:bCs/>
                <w:sz w:val="24"/>
                <w:szCs w:val="24"/>
              </w:rPr>
              <w:t xml:space="preserve"> viduspunkt</w:t>
            </w:r>
            <w:r w:rsidR="00073CC1" w:rsidRPr="00484A95">
              <w:rPr>
                <w:rFonts w:ascii="Times New Roman" w:eastAsia="Times New Roman" w:hAnsi="Times New Roman" w:cs="Times New Roman"/>
                <w:bCs/>
                <w:sz w:val="24"/>
                <w:szCs w:val="24"/>
              </w:rPr>
              <w:t>us</w:t>
            </w:r>
            <w:r w:rsidRPr="00484A95">
              <w:rPr>
                <w:rFonts w:ascii="Times New Roman" w:eastAsia="Times New Roman" w:hAnsi="Times New Roman" w:cs="Times New Roman"/>
                <w:bCs/>
                <w:sz w:val="24"/>
                <w:szCs w:val="24"/>
              </w:rPr>
              <w:t xml:space="preserve">, </w:t>
            </w:r>
            <w:r w:rsidR="006736F7" w:rsidRPr="00484A95">
              <w:rPr>
                <w:rFonts w:ascii="Times New Roman" w:eastAsia="Times New Roman" w:hAnsi="Times New Roman" w:cs="Times New Roman"/>
                <w:bCs/>
                <w:sz w:val="24"/>
                <w:szCs w:val="24"/>
              </w:rPr>
              <w:t>bet</w:t>
            </w:r>
            <w:r w:rsidRPr="00484A95">
              <w:rPr>
                <w:rFonts w:ascii="Times New Roman" w:eastAsia="Times New Roman" w:hAnsi="Times New Roman" w:cs="Times New Roman"/>
                <w:bCs/>
                <w:sz w:val="24"/>
                <w:szCs w:val="24"/>
              </w:rPr>
              <w:t xml:space="preserve"> Biroja </w:t>
            </w:r>
            <w:r w:rsidRPr="00484A95">
              <w:rPr>
                <w:rFonts w:ascii="Times New Roman" w:hAnsi="Times New Roman" w:cs="Times New Roman"/>
                <w:sz w:val="24"/>
                <w:szCs w:val="24"/>
              </w:rPr>
              <w:t>amatpersonām, kuras ir iesaistītas izmeklēšanas darbību veikšanā, īpaši sarežģītās, smagu vai sevišķi smagu starpreģionāla vai starptautiska rakstura noziegumu lietās</w:t>
            </w:r>
            <w:r w:rsidR="00602A34" w:rsidRPr="00484A95">
              <w:rPr>
                <w:rFonts w:ascii="Times New Roman" w:hAnsi="Times New Roman" w:cs="Times New Roman"/>
                <w:sz w:val="24"/>
                <w:szCs w:val="24"/>
              </w:rPr>
              <w:t xml:space="preserve">, piemērojot </w:t>
            </w:r>
            <w:r w:rsidRPr="00484A95">
              <w:rPr>
                <w:rFonts w:ascii="Times New Roman" w:hAnsi="Times New Roman" w:cs="Times New Roman"/>
                <w:sz w:val="24"/>
                <w:szCs w:val="24"/>
              </w:rPr>
              <w:t>koeficient</w:t>
            </w:r>
            <w:r w:rsidR="00602A34" w:rsidRPr="00484A95">
              <w:rPr>
                <w:rFonts w:ascii="Times New Roman" w:hAnsi="Times New Roman" w:cs="Times New Roman"/>
                <w:sz w:val="24"/>
                <w:szCs w:val="24"/>
              </w:rPr>
              <w:t>u</w:t>
            </w:r>
            <w:r w:rsidRPr="00484A95">
              <w:rPr>
                <w:rFonts w:ascii="Times New Roman" w:hAnsi="Times New Roman" w:cs="Times New Roman"/>
                <w:sz w:val="24"/>
                <w:szCs w:val="24"/>
              </w:rPr>
              <w:t xml:space="preserve"> 2,24</w:t>
            </w:r>
            <w:r w:rsidR="00FE4B2A" w:rsidRPr="00484A95">
              <w:rPr>
                <w:rFonts w:ascii="Times New Roman" w:hAnsi="Times New Roman" w:cs="Times New Roman"/>
                <w:sz w:val="24"/>
                <w:szCs w:val="24"/>
              </w:rPr>
              <w:t>.</w:t>
            </w:r>
            <w:r w:rsidR="00C14DD0" w:rsidRPr="00484A95">
              <w:rPr>
                <w:rFonts w:ascii="Times New Roman" w:hAnsi="Times New Roman" w:cs="Times New Roman"/>
                <w:sz w:val="24"/>
                <w:szCs w:val="24"/>
              </w:rPr>
              <w:t xml:space="preserve"> </w:t>
            </w:r>
            <w:r w:rsidR="00602A34" w:rsidRPr="00484A95">
              <w:rPr>
                <w:rFonts w:ascii="Times New Roman" w:hAnsi="Times New Roman" w:cs="Times New Roman"/>
                <w:sz w:val="24"/>
                <w:szCs w:val="24"/>
              </w:rPr>
              <w:t>Atalgojumu visiem Birojā nodarbinātajiem turpmāko triju gadu laikā ir</w:t>
            </w:r>
            <w:r w:rsidR="00FC6444" w:rsidRPr="00484A95">
              <w:rPr>
                <w:rFonts w:ascii="Times New Roman" w:hAnsi="Times New Roman" w:cs="Times New Roman"/>
                <w:sz w:val="24"/>
                <w:szCs w:val="24"/>
              </w:rPr>
              <w:t xml:space="preserve"> iecerēts</w:t>
            </w:r>
            <w:r w:rsidR="00602A34" w:rsidRPr="00484A95">
              <w:rPr>
                <w:rFonts w:ascii="Times New Roman" w:hAnsi="Times New Roman" w:cs="Times New Roman"/>
                <w:sz w:val="24"/>
                <w:szCs w:val="24"/>
              </w:rPr>
              <w:t xml:space="preserve"> celt pakāpeniski, </w:t>
            </w:r>
            <w:r w:rsidR="006736F7" w:rsidRPr="00484A95">
              <w:rPr>
                <w:rFonts w:ascii="Times New Roman" w:hAnsi="Times New Roman" w:cs="Times New Roman"/>
                <w:sz w:val="24"/>
                <w:szCs w:val="24"/>
              </w:rPr>
              <w:t>savukārt</w:t>
            </w:r>
            <w:r w:rsidR="00FC6444" w:rsidRPr="00484A95">
              <w:rPr>
                <w:rFonts w:ascii="Times New Roman" w:hAnsi="Times New Roman" w:cs="Times New Roman"/>
                <w:sz w:val="24"/>
                <w:szCs w:val="24"/>
              </w:rPr>
              <w:t xml:space="preserve"> </w:t>
            </w:r>
            <w:r w:rsidR="00602A34" w:rsidRPr="00484A95">
              <w:rPr>
                <w:rFonts w:ascii="Times New Roman" w:hAnsi="Times New Roman" w:cs="Times New Roman"/>
                <w:sz w:val="24"/>
                <w:szCs w:val="24"/>
              </w:rPr>
              <w:t xml:space="preserve">tām amatpersonām, kurām </w:t>
            </w:r>
            <w:r w:rsidR="00F37E87">
              <w:rPr>
                <w:rFonts w:ascii="Times New Roman" w:hAnsi="Times New Roman" w:cs="Times New Roman"/>
                <w:sz w:val="24"/>
                <w:szCs w:val="24"/>
              </w:rPr>
              <w:t>L</w:t>
            </w:r>
            <w:r w:rsidR="00602A34" w:rsidRPr="00484A95">
              <w:rPr>
                <w:rFonts w:ascii="Times New Roman" w:hAnsi="Times New Roman" w:cs="Times New Roman"/>
                <w:sz w:val="24"/>
                <w:szCs w:val="24"/>
              </w:rPr>
              <w:t>ikumprojekts mēnešalgas apmēru būs noteicis atbilstoši rajona (republikas pilsētas) prokurora mēnešalgai (koeficients 2,85 x bāzes</w:t>
            </w:r>
            <w:r w:rsidR="009755BC" w:rsidRPr="00484A95">
              <w:rPr>
                <w:rStyle w:val="FootnoteReference"/>
                <w:rFonts w:ascii="Times New Roman" w:hAnsi="Times New Roman" w:cs="Times New Roman"/>
                <w:sz w:val="24"/>
                <w:szCs w:val="24"/>
              </w:rPr>
              <w:footnoteReference w:id="3"/>
            </w:r>
            <w:r w:rsidR="00602A34" w:rsidRPr="00484A95">
              <w:rPr>
                <w:rFonts w:ascii="Times New Roman" w:hAnsi="Times New Roman" w:cs="Times New Roman"/>
                <w:sz w:val="24"/>
                <w:szCs w:val="24"/>
              </w:rPr>
              <w:t xml:space="preserve"> mēnešalga)</w:t>
            </w:r>
            <w:r w:rsidR="00C14DD0" w:rsidRPr="00484A95">
              <w:rPr>
                <w:rFonts w:ascii="Times New Roman" w:hAnsi="Times New Roman" w:cs="Times New Roman"/>
                <w:sz w:val="24"/>
                <w:szCs w:val="24"/>
              </w:rPr>
              <w:t>,</w:t>
            </w:r>
            <w:r w:rsidR="00FC6444" w:rsidRPr="00484A95">
              <w:rPr>
                <w:rFonts w:ascii="Times New Roman" w:hAnsi="Times New Roman" w:cs="Times New Roman"/>
                <w:sz w:val="24"/>
                <w:szCs w:val="24"/>
              </w:rPr>
              <w:t xml:space="preserve"> likuma prasības tiks izpildītas</w:t>
            </w:r>
            <w:r w:rsidR="00C14DD0" w:rsidRPr="00484A95">
              <w:rPr>
                <w:rFonts w:ascii="Times New Roman" w:hAnsi="Times New Roman" w:cs="Times New Roman"/>
                <w:sz w:val="24"/>
                <w:szCs w:val="24"/>
              </w:rPr>
              <w:t xml:space="preserve"> </w:t>
            </w:r>
            <w:r w:rsidR="00602A34" w:rsidRPr="00484A95">
              <w:rPr>
                <w:rFonts w:ascii="Times New Roman" w:hAnsi="Times New Roman" w:cs="Times New Roman"/>
                <w:sz w:val="24"/>
                <w:szCs w:val="24"/>
              </w:rPr>
              <w:t>2023.gadā.</w:t>
            </w:r>
          </w:p>
          <w:p w14:paraId="57F8F7E6" w14:textId="77777777" w:rsidR="006736F7" w:rsidRPr="00484A95" w:rsidRDefault="006736F7" w:rsidP="00CE3697">
            <w:pPr>
              <w:pStyle w:val="PlainText"/>
              <w:ind w:right="113"/>
              <w:jc w:val="both"/>
              <w:rPr>
                <w:rFonts w:ascii="Times New Roman" w:hAnsi="Times New Roman" w:cs="Times New Roman"/>
                <w:sz w:val="24"/>
                <w:szCs w:val="24"/>
              </w:rPr>
            </w:pPr>
          </w:p>
          <w:p w14:paraId="054B1996" w14:textId="77777777" w:rsidR="006736F7" w:rsidRPr="00484A95" w:rsidRDefault="006736F7" w:rsidP="00CE3697">
            <w:pPr>
              <w:pStyle w:val="PlainText"/>
              <w:ind w:right="113"/>
              <w:jc w:val="both"/>
              <w:rPr>
                <w:rFonts w:ascii="Times New Roman" w:hAnsi="Times New Roman" w:cs="Times New Roman"/>
                <w:sz w:val="24"/>
                <w:szCs w:val="24"/>
              </w:rPr>
            </w:pPr>
            <w:r w:rsidRPr="00484A95">
              <w:rPr>
                <w:rFonts w:ascii="Times New Roman" w:hAnsi="Times New Roman" w:cs="Times New Roman"/>
                <w:sz w:val="24"/>
                <w:szCs w:val="24"/>
              </w:rPr>
              <w:t xml:space="preserve">Vidējais atalgojums Birojā </w:t>
            </w:r>
            <w:proofErr w:type="gramStart"/>
            <w:r w:rsidRPr="00484A95">
              <w:rPr>
                <w:rFonts w:ascii="Times New Roman" w:hAnsi="Times New Roman" w:cs="Times New Roman"/>
                <w:sz w:val="24"/>
                <w:szCs w:val="24"/>
              </w:rPr>
              <w:t>2021.gadā</w:t>
            </w:r>
            <w:proofErr w:type="gramEnd"/>
            <w:r w:rsidRPr="00484A95">
              <w:rPr>
                <w:rFonts w:ascii="Times New Roman" w:hAnsi="Times New Roman" w:cs="Times New Roman"/>
                <w:sz w:val="24"/>
                <w:szCs w:val="24"/>
              </w:rPr>
              <w:t xml:space="preserve"> pieaugs par 21,32 %, 2022.gadā – par 28</w:t>
            </w:r>
            <w:r w:rsidR="009755BC" w:rsidRPr="00484A95">
              <w:rPr>
                <w:rFonts w:ascii="Times New Roman" w:hAnsi="Times New Roman" w:cs="Times New Roman"/>
                <w:sz w:val="24"/>
                <w:szCs w:val="24"/>
              </w:rPr>
              <w:t xml:space="preserve"> </w:t>
            </w:r>
            <w:r w:rsidRPr="00484A95">
              <w:rPr>
                <w:rFonts w:ascii="Times New Roman" w:hAnsi="Times New Roman" w:cs="Times New Roman"/>
                <w:sz w:val="24"/>
                <w:szCs w:val="24"/>
              </w:rPr>
              <w:t>%, 2023.gadā – par 37,21</w:t>
            </w:r>
            <w:r w:rsidR="009755BC" w:rsidRPr="00484A95">
              <w:rPr>
                <w:rFonts w:ascii="Times New Roman" w:hAnsi="Times New Roman" w:cs="Times New Roman"/>
                <w:sz w:val="24"/>
                <w:szCs w:val="24"/>
              </w:rPr>
              <w:t xml:space="preserve"> </w:t>
            </w:r>
            <w:r w:rsidRPr="00484A95">
              <w:rPr>
                <w:rFonts w:ascii="Times New Roman" w:hAnsi="Times New Roman" w:cs="Times New Roman"/>
                <w:sz w:val="24"/>
                <w:szCs w:val="24"/>
              </w:rPr>
              <w:t>% salīdzinājumā ar 2020.gadu.</w:t>
            </w:r>
          </w:p>
          <w:p w14:paraId="2D21399A" w14:textId="77777777" w:rsidR="00602A34" w:rsidRPr="00484A95" w:rsidRDefault="00602A34" w:rsidP="00CE3697">
            <w:pPr>
              <w:pStyle w:val="PlainText"/>
              <w:ind w:right="113"/>
              <w:jc w:val="both"/>
              <w:rPr>
                <w:rFonts w:ascii="Times New Roman" w:eastAsia="Times New Roman" w:hAnsi="Times New Roman" w:cs="Times New Roman"/>
                <w:iCs/>
                <w:sz w:val="24"/>
                <w:szCs w:val="24"/>
              </w:rPr>
            </w:pPr>
          </w:p>
          <w:p w14:paraId="6EABA5EE" w14:textId="77777777" w:rsidR="00C14DD0" w:rsidRPr="00484A95" w:rsidRDefault="0074450B" w:rsidP="00CE3697">
            <w:pPr>
              <w:pStyle w:val="PlainText"/>
              <w:ind w:right="113"/>
              <w:jc w:val="both"/>
              <w:rPr>
                <w:rFonts w:ascii="Times New Roman" w:hAnsi="Times New Roman" w:cs="Times New Roman"/>
                <w:sz w:val="24"/>
                <w:szCs w:val="24"/>
              </w:rPr>
            </w:pPr>
            <w:r w:rsidRPr="00484A95">
              <w:rPr>
                <w:rFonts w:ascii="Times New Roman" w:hAnsi="Times New Roman" w:cs="Times New Roman"/>
                <w:sz w:val="24"/>
                <w:szCs w:val="24"/>
              </w:rPr>
              <w:t>Atalgojuma aprēķinā sadalījumā pa mēnešalgu grupām</w:t>
            </w:r>
            <w:r w:rsidR="007C52C4" w:rsidRPr="00484A95">
              <w:rPr>
                <w:rFonts w:ascii="Times New Roman" w:hAnsi="Times New Roman" w:cs="Times New Roman"/>
                <w:sz w:val="24"/>
                <w:szCs w:val="24"/>
              </w:rPr>
              <w:t xml:space="preserve"> 2020.,</w:t>
            </w:r>
            <w:r w:rsidRPr="00484A95">
              <w:rPr>
                <w:rFonts w:ascii="Times New Roman" w:hAnsi="Times New Roman" w:cs="Times New Roman"/>
                <w:sz w:val="24"/>
                <w:szCs w:val="24"/>
              </w:rPr>
              <w:t xml:space="preserve"> 2021., 2022. un </w:t>
            </w:r>
            <w:proofErr w:type="gramStart"/>
            <w:r w:rsidRPr="00484A95">
              <w:rPr>
                <w:rFonts w:ascii="Times New Roman" w:hAnsi="Times New Roman" w:cs="Times New Roman"/>
                <w:sz w:val="24"/>
                <w:szCs w:val="24"/>
              </w:rPr>
              <w:t>2023.gadā</w:t>
            </w:r>
            <w:proofErr w:type="gramEnd"/>
            <w:r w:rsidR="002F13D7" w:rsidRPr="00484A95">
              <w:rPr>
                <w:rFonts w:ascii="Times New Roman" w:hAnsi="Times New Roman" w:cs="Times New Roman"/>
                <w:sz w:val="24"/>
                <w:szCs w:val="24"/>
              </w:rPr>
              <w:t xml:space="preserve"> ir iekļauti</w:t>
            </w:r>
            <w:r w:rsidRPr="00484A95">
              <w:rPr>
                <w:rFonts w:ascii="Times New Roman" w:hAnsi="Times New Roman" w:cs="Times New Roman"/>
                <w:sz w:val="24"/>
                <w:szCs w:val="24"/>
              </w:rPr>
              <w:t xml:space="preserve"> </w:t>
            </w:r>
            <w:r w:rsidR="007C52C4" w:rsidRPr="00484A95">
              <w:rPr>
                <w:rFonts w:ascii="Times New Roman" w:hAnsi="Times New Roman" w:cs="Times New Roman"/>
                <w:sz w:val="24"/>
                <w:szCs w:val="24"/>
              </w:rPr>
              <w:t>nodarbināto</w:t>
            </w:r>
            <w:r w:rsidRPr="00484A95">
              <w:rPr>
                <w:rFonts w:ascii="Times New Roman" w:hAnsi="Times New Roman" w:cs="Times New Roman"/>
                <w:sz w:val="24"/>
                <w:szCs w:val="24"/>
              </w:rPr>
              <w:t xml:space="preserve"> mēnešalgu grupas vidēj</w:t>
            </w:r>
            <w:r w:rsidR="002F13D7" w:rsidRPr="00484A95">
              <w:rPr>
                <w:rFonts w:ascii="Times New Roman" w:hAnsi="Times New Roman" w:cs="Times New Roman"/>
                <w:sz w:val="24"/>
                <w:szCs w:val="24"/>
              </w:rPr>
              <w:t>ie</w:t>
            </w:r>
            <w:r w:rsidRPr="00484A95">
              <w:rPr>
                <w:rFonts w:ascii="Times New Roman" w:hAnsi="Times New Roman" w:cs="Times New Roman"/>
                <w:sz w:val="24"/>
                <w:szCs w:val="24"/>
              </w:rPr>
              <w:t xml:space="preserve"> </w:t>
            </w:r>
            <w:r w:rsidR="00E07165" w:rsidRPr="00484A95">
              <w:rPr>
                <w:rFonts w:ascii="Times New Roman" w:hAnsi="Times New Roman" w:cs="Times New Roman"/>
                <w:sz w:val="24"/>
                <w:szCs w:val="24"/>
              </w:rPr>
              <w:t xml:space="preserve">bruto </w:t>
            </w:r>
            <w:r w:rsidRPr="00484A95">
              <w:rPr>
                <w:rFonts w:ascii="Times New Roman" w:hAnsi="Times New Roman" w:cs="Times New Roman"/>
                <w:sz w:val="24"/>
                <w:szCs w:val="24"/>
              </w:rPr>
              <w:t>ienākum</w:t>
            </w:r>
            <w:r w:rsidR="002F13D7" w:rsidRPr="00484A95">
              <w:rPr>
                <w:rFonts w:ascii="Times New Roman" w:hAnsi="Times New Roman" w:cs="Times New Roman"/>
                <w:sz w:val="24"/>
                <w:szCs w:val="24"/>
              </w:rPr>
              <w:t>i</w:t>
            </w:r>
            <w:r w:rsidR="00C14DD0" w:rsidRPr="00484A95">
              <w:rPr>
                <w:rFonts w:ascii="Times New Roman" w:hAnsi="Times New Roman" w:cs="Times New Roman"/>
                <w:sz w:val="24"/>
                <w:szCs w:val="24"/>
              </w:rPr>
              <w:t xml:space="preserve"> </w:t>
            </w:r>
            <w:r w:rsidRPr="00484A95">
              <w:rPr>
                <w:rFonts w:ascii="Times New Roman" w:hAnsi="Times New Roman" w:cs="Times New Roman"/>
                <w:sz w:val="24"/>
                <w:szCs w:val="24"/>
              </w:rPr>
              <w:t>(amatalg</w:t>
            </w:r>
            <w:r w:rsidR="002F13D7" w:rsidRPr="00484A95">
              <w:rPr>
                <w:rFonts w:ascii="Times New Roman" w:hAnsi="Times New Roman" w:cs="Times New Roman"/>
                <w:sz w:val="24"/>
                <w:szCs w:val="24"/>
              </w:rPr>
              <w:t>a</w:t>
            </w:r>
            <w:r w:rsidRPr="00484A95">
              <w:rPr>
                <w:rFonts w:ascii="Times New Roman" w:hAnsi="Times New Roman" w:cs="Times New Roman"/>
                <w:sz w:val="24"/>
                <w:szCs w:val="24"/>
              </w:rPr>
              <w:t xml:space="preserve"> un normatīvajos aktos noteikt</w:t>
            </w:r>
            <w:r w:rsidR="007C52C4" w:rsidRPr="00484A95">
              <w:rPr>
                <w:rFonts w:ascii="Times New Roman" w:hAnsi="Times New Roman" w:cs="Times New Roman"/>
                <w:sz w:val="24"/>
                <w:szCs w:val="24"/>
              </w:rPr>
              <w:t>ās</w:t>
            </w:r>
            <w:r w:rsidRPr="00484A95">
              <w:rPr>
                <w:rFonts w:ascii="Times New Roman" w:hAnsi="Times New Roman" w:cs="Times New Roman"/>
                <w:sz w:val="24"/>
                <w:szCs w:val="24"/>
              </w:rPr>
              <w:t xml:space="preserve"> obligātās piemaksas (izdienas</w:t>
            </w:r>
            <w:r w:rsidR="007C52C4" w:rsidRPr="00484A95">
              <w:rPr>
                <w:rStyle w:val="FootnoteReference"/>
                <w:rFonts w:ascii="Times New Roman" w:hAnsi="Times New Roman" w:cs="Times New Roman"/>
                <w:sz w:val="24"/>
                <w:szCs w:val="24"/>
              </w:rPr>
              <w:footnoteReference w:id="4"/>
            </w:r>
            <w:r w:rsidRPr="00484A95">
              <w:rPr>
                <w:rFonts w:ascii="Times New Roman" w:hAnsi="Times New Roman" w:cs="Times New Roman"/>
                <w:sz w:val="24"/>
                <w:szCs w:val="24"/>
              </w:rPr>
              <w:t xml:space="preserve"> un riska piemaksa</w:t>
            </w:r>
            <w:r w:rsidR="007C52C4" w:rsidRPr="00484A95">
              <w:rPr>
                <w:rFonts w:ascii="Times New Roman" w:hAnsi="Times New Roman" w:cs="Times New Roman"/>
                <w:sz w:val="24"/>
                <w:szCs w:val="24"/>
              </w:rPr>
              <w:t>s</w:t>
            </w:r>
            <w:r w:rsidRPr="00484A95">
              <w:rPr>
                <w:rFonts w:ascii="Times New Roman" w:hAnsi="Times New Roman" w:cs="Times New Roman"/>
                <w:sz w:val="24"/>
                <w:szCs w:val="24"/>
              </w:rPr>
              <w:t>)</w:t>
            </w:r>
            <w:r w:rsidR="002F13D7" w:rsidRPr="00484A95">
              <w:rPr>
                <w:rFonts w:ascii="Times New Roman" w:hAnsi="Times New Roman" w:cs="Times New Roman"/>
                <w:sz w:val="24"/>
                <w:szCs w:val="24"/>
              </w:rPr>
              <w:t>.</w:t>
            </w:r>
            <w:r w:rsidR="00A7670E" w:rsidRPr="00484A95">
              <w:rPr>
                <w:rFonts w:ascii="Times New Roman" w:hAnsi="Times New Roman" w:cs="Times New Roman"/>
                <w:sz w:val="24"/>
                <w:szCs w:val="24"/>
              </w:rPr>
              <w:t xml:space="preserve"> Skat.</w:t>
            </w:r>
            <w:r w:rsidR="00931A8A" w:rsidRPr="00484A95">
              <w:rPr>
                <w:rFonts w:ascii="Times New Roman" w:hAnsi="Times New Roman" w:cs="Times New Roman"/>
                <w:sz w:val="24"/>
                <w:szCs w:val="24"/>
              </w:rPr>
              <w:t xml:space="preserve"> </w:t>
            </w:r>
            <w:r w:rsidR="00A7670E" w:rsidRPr="00484A95">
              <w:rPr>
                <w:rFonts w:ascii="Times New Roman" w:hAnsi="Times New Roman" w:cs="Times New Roman"/>
                <w:sz w:val="24"/>
                <w:szCs w:val="24"/>
              </w:rPr>
              <w:t>tabulu.</w:t>
            </w:r>
          </w:p>
          <w:p w14:paraId="4A098542" w14:textId="77777777" w:rsidR="003D1653" w:rsidRPr="00484A95" w:rsidRDefault="003D1653" w:rsidP="004F0340">
            <w:pPr>
              <w:pStyle w:val="PlainText"/>
              <w:ind w:right="113"/>
              <w:jc w:val="both"/>
              <w:rPr>
                <w:rFonts w:ascii="Times New Roman" w:hAnsi="Times New Roman" w:cs="Times New Roman"/>
                <w:sz w:val="24"/>
                <w:szCs w:val="24"/>
              </w:rPr>
            </w:pPr>
          </w:p>
          <w:p w14:paraId="6A4A2119" w14:textId="06461704" w:rsidR="00C13785" w:rsidRPr="00484A95" w:rsidRDefault="00931A8A" w:rsidP="00931A8A">
            <w:pPr>
              <w:pStyle w:val="PlainText"/>
              <w:ind w:right="113"/>
              <w:jc w:val="both"/>
              <w:rPr>
                <w:rFonts w:ascii="Times New Roman" w:hAnsi="Times New Roman" w:cs="Times New Roman"/>
                <w:sz w:val="24"/>
                <w:szCs w:val="24"/>
              </w:rPr>
            </w:pPr>
            <w:r w:rsidRPr="00484A95">
              <w:rPr>
                <w:rFonts w:ascii="Times New Roman" w:hAnsi="Times New Roman" w:cs="Times New Roman"/>
                <w:sz w:val="24"/>
                <w:szCs w:val="24"/>
              </w:rPr>
              <w:t>T</w:t>
            </w:r>
            <w:r w:rsidR="00C13785" w:rsidRPr="00484A95">
              <w:rPr>
                <w:rFonts w:ascii="Times New Roman" w:hAnsi="Times New Roman" w:cs="Times New Roman"/>
                <w:sz w:val="24"/>
                <w:szCs w:val="24"/>
              </w:rPr>
              <w:t>abula: Atalgojuma pieauguma aprēķins 2020-</w:t>
            </w:r>
            <w:proofErr w:type="gramStart"/>
            <w:r w:rsidR="00C13785" w:rsidRPr="00484A95">
              <w:rPr>
                <w:rFonts w:ascii="Times New Roman" w:hAnsi="Times New Roman" w:cs="Times New Roman"/>
                <w:sz w:val="24"/>
                <w:szCs w:val="24"/>
              </w:rPr>
              <w:t>2023.gadiem</w:t>
            </w:r>
            <w:proofErr w:type="gramEnd"/>
          </w:p>
          <w:p w14:paraId="49EDBB1C" w14:textId="77777777" w:rsidR="00605571" w:rsidRPr="00484A95" w:rsidRDefault="00605571" w:rsidP="00931A8A">
            <w:pPr>
              <w:pStyle w:val="PlainText"/>
              <w:ind w:right="113"/>
              <w:jc w:val="both"/>
              <w:rPr>
                <w:rFonts w:ascii="Times New Roman" w:hAnsi="Times New Roman" w:cs="Times New Roman"/>
                <w:sz w:val="24"/>
                <w:szCs w:val="24"/>
              </w:rPr>
            </w:pPr>
          </w:p>
          <w:tbl>
            <w:tblPr>
              <w:tblW w:w="8013" w:type="dxa"/>
              <w:tblLayout w:type="fixed"/>
              <w:tblLook w:val="04A0" w:firstRow="1" w:lastRow="0" w:firstColumn="1" w:lastColumn="0" w:noHBand="0" w:noVBand="1"/>
            </w:tblPr>
            <w:tblGrid>
              <w:gridCol w:w="1351"/>
              <w:gridCol w:w="992"/>
              <w:gridCol w:w="851"/>
              <w:gridCol w:w="992"/>
              <w:gridCol w:w="992"/>
              <w:gridCol w:w="992"/>
              <w:gridCol w:w="851"/>
              <w:gridCol w:w="992"/>
            </w:tblGrid>
            <w:tr w:rsidR="00605571" w:rsidRPr="00484A95" w14:paraId="15F66291" w14:textId="77777777" w:rsidTr="00605571">
              <w:trPr>
                <w:trHeight w:val="120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F99A"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Mēnešalgu grupa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C77312"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2020.</w:t>
                  </w:r>
                </w:p>
                <w:p w14:paraId="3F2450F4" w14:textId="71C1758C"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gads</w:t>
                  </w:r>
                </w:p>
              </w:tc>
              <w:tc>
                <w:tcPr>
                  <w:tcW w:w="851" w:type="dxa"/>
                  <w:tcBorders>
                    <w:top w:val="single" w:sz="4" w:space="0" w:color="auto"/>
                    <w:left w:val="nil"/>
                    <w:bottom w:val="single" w:sz="4" w:space="0" w:color="auto"/>
                    <w:right w:val="nil"/>
                  </w:tcBorders>
                  <w:shd w:val="clear" w:color="auto" w:fill="auto"/>
                  <w:noWrap/>
                  <w:vAlign w:val="center"/>
                  <w:hideMark/>
                </w:tcPr>
                <w:p w14:paraId="666F37CD" w14:textId="77777777"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2021.</w:t>
                  </w:r>
                </w:p>
                <w:p w14:paraId="6F426978" w14:textId="795C567F"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gads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0A345" w14:textId="77777777"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2022.</w:t>
                  </w:r>
                </w:p>
                <w:p w14:paraId="61D50FB6" w14:textId="53BCA271"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gads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42D758" w14:textId="77777777"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2023.</w:t>
                  </w:r>
                </w:p>
                <w:p w14:paraId="45C8A158" w14:textId="417435DB" w:rsidR="00605571" w:rsidRPr="00F37E87" w:rsidRDefault="00605571" w:rsidP="00605571">
                  <w:pPr>
                    <w:jc w:val="center"/>
                    <w:rPr>
                      <w:rFonts w:ascii="Times New Roman" w:eastAsia="Times New Roman" w:hAnsi="Times New Roman" w:cs="Times New Roman"/>
                      <w:bCs/>
                      <w:color w:val="000000"/>
                      <w:lang w:eastAsia="lv-LV"/>
                    </w:rPr>
                  </w:pPr>
                  <w:r w:rsidRPr="00F37E87">
                    <w:rPr>
                      <w:rFonts w:ascii="Times New Roman" w:eastAsia="Times New Roman" w:hAnsi="Times New Roman" w:cs="Times New Roman"/>
                      <w:bCs/>
                      <w:color w:val="000000"/>
                      <w:lang w:eastAsia="lv-LV"/>
                    </w:rPr>
                    <w:t>gads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B73BAE"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2021.</w:t>
                  </w:r>
                  <w:r w:rsidRPr="00484A95">
                    <w:rPr>
                      <w:rFonts w:ascii="Times New Roman" w:eastAsia="Times New Roman" w:hAnsi="Times New Roman" w:cs="Times New Roman"/>
                      <w:color w:val="000000"/>
                      <w:lang w:eastAsia="lv-LV"/>
                    </w:rPr>
                    <w:br/>
                    <w:t>%</w:t>
                  </w:r>
                  <w:r w:rsidRPr="00484A95">
                    <w:rPr>
                      <w:rFonts w:ascii="Times New Roman" w:eastAsia="Times New Roman" w:hAnsi="Times New Roman" w:cs="Times New Roman"/>
                      <w:color w:val="000000"/>
                      <w:lang w:eastAsia="lv-LV"/>
                    </w:rPr>
                    <w:br/>
                    <w:t>pret 2020.</w:t>
                  </w:r>
                </w:p>
                <w:p w14:paraId="3CE279D8" w14:textId="794C1B10"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gadu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47F15D"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2022.</w:t>
                  </w:r>
                  <w:r w:rsidRPr="00484A95">
                    <w:rPr>
                      <w:rFonts w:ascii="Times New Roman" w:eastAsia="Times New Roman" w:hAnsi="Times New Roman" w:cs="Times New Roman"/>
                      <w:color w:val="000000"/>
                      <w:lang w:eastAsia="lv-LV"/>
                    </w:rPr>
                    <w:br/>
                    <w:t>%</w:t>
                  </w:r>
                  <w:r w:rsidRPr="00484A95">
                    <w:rPr>
                      <w:rFonts w:ascii="Times New Roman" w:eastAsia="Times New Roman" w:hAnsi="Times New Roman" w:cs="Times New Roman"/>
                      <w:color w:val="000000"/>
                      <w:lang w:eastAsia="lv-LV"/>
                    </w:rPr>
                    <w:br/>
                    <w:t>pret 2020.</w:t>
                  </w:r>
                </w:p>
                <w:p w14:paraId="57693B3E" w14:textId="4B79809D"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gadu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2D23DF" w14:textId="2AC5FFF9" w:rsidR="00605571" w:rsidRPr="00484A95" w:rsidRDefault="00605571" w:rsidP="00605571">
                  <w:pPr>
                    <w:ind w:right="91"/>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2023.</w:t>
                  </w:r>
                  <w:r w:rsidRPr="00484A95">
                    <w:rPr>
                      <w:rFonts w:ascii="Times New Roman" w:eastAsia="Times New Roman" w:hAnsi="Times New Roman" w:cs="Times New Roman"/>
                      <w:color w:val="000000"/>
                      <w:lang w:eastAsia="lv-LV"/>
                    </w:rPr>
                    <w:br/>
                    <w:t>%</w:t>
                  </w:r>
                  <w:r w:rsidRPr="00484A95">
                    <w:rPr>
                      <w:rFonts w:ascii="Times New Roman" w:eastAsia="Times New Roman" w:hAnsi="Times New Roman" w:cs="Times New Roman"/>
                      <w:color w:val="000000"/>
                      <w:lang w:eastAsia="lv-LV"/>
                    </w:rPr>
                    <w:br/>
                    <w:t>pret 2020.</w:t>
                  </w:r>
                </w:p>
                <w:p w14:paraId="7B12A950" w14:textId="43B61AC1" w:rsidR="00605571" w:rsidRPr="00484A95" w:rsidRDefault="00605571" w:rsidP="00605571">
                  <w:pPr>
                    <w:ind w:right="91"/>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gadu</w:t>
                  </w:r>
                </w:p>
              </w:tc>
            </w:tr>
            <w:tr w:rsidR="00605571" w:rsidRPr="00484A95" w14:paraId="697FA772"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28301BEF"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8AC6FB2"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A45F1A1"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85391E5"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910C0F4"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2C72468"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CCCACD4"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30F3561"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 </w:t>
                  </w:r>
                </w:p>
              </w:tc>
            </w:tr>
            <w:tr w:rsidR="00605571" w:rsidRPr="00484A95" w14:paraId="585F23B4"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6147BF1E"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16</w:t>
                  </w:r>
                </w:p>
              </w:tc>
              <w:tc>
                <w:tcPr>
                  <w:tcW w:w="992" w:type="dxa"/>
                  <w:tcBorders>
                    <w:top w:val="nil"/>
                    <w:left w:val="nil"/>
                    <w:bottom w:val="single" w:sz="4" w:space="0" w:color="auto"/>
                    <w:right w:val="single" w:sz="4" w:space="0" w:color="auto"/>
                  </w:tcBorders>
                  <w:shd w:val="clear" w:color="auto" w:fill="auto"/>
                  <w:noWrap/>
                  <w:vAlign w:val="bottom"/>
                  <w:hideMark/>
                </w:tcPr>
                <w:p w14:paraId="187BC1A9"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4516</w:t>
                  </w:r>
                </w:p>
              </w:tc>
              <w:tc>
                <w:tcPr>
                  <w:tcW w:w="851" w:type="dxa"/>
                  <w:tcBorders>
                    <w:top w:val="nil"/>
                    <w:left w:val="nil"/>
                    <w:bottom w:val="single" w:sz="4" w:space="0" w:color="auto"/>
                    <w:right w:val="single" w:sz="4" w:space="0" w:color="auto"/>
                  </w:tcBorders>
                  <w:shd w:val="clear" w:color="auto" w:fill="auto"/>
                  <w:noWrap/>
                  <w:vAlign w:val="bottom"/>
                  <w:hideMark/>
                </w:tcPr>
                <w:p w14:paraId="5EC1291D"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4891</w:t>
                  </w:r>
                </w:p>
              </w:tc>
              <w:tc>
                <w:tcPr>
                  <w:tcW w:w="992" w:type="dxa"/>
                  <w:tcBorders>
                    <w:top w:val="nil"/>
                    <w:left w:val="nil"/>
                    <w:bottom w:val="single" w:sz="4" w:space="0" w:color="auto"/>
                    <w:right w:val="single" w:sz="4" w:space="0" w:color="auto"/>
                  </w:tcBorders>
                  <w:shd w:val="clear" w:color="auto" w:fill="auto"/>
                  <w:noWrap/>
                  <w:vAlign w:val="bottom"/>
                  <w:hideMark/>
                </w:tcPr>
                <w:p w14:paraId="33532AA2"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4990</w:t>
                  </w:r>
                </w:p>
              </w:tc>
              <w:tc>
                <w:tcPr>
                  <w:tcW w:w="992" w:type="dxa"/>
                  <w:tcBorders>
                    <w:top w:val="nil"/>
                    <w:left w:val="nil"/>
                    <w:bottom w:val="single" w:sz="4" w:space="0" w:color="auto"/>
                    <w:right w:val="single" w:sz="4" w:space="0" w:color="auto"/>
                  </w:tcBorders>
                  <w:shd w:val="clear" w:color="auto" w:fill="auto"/>
                  <w:noWrap/>
                  <w:vAlign w:val="bottom"/>
                  <w:hideMark/>
                </w:tcPr>
                <w:p w14:paraId="18974E50"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5160</w:t>
                  </w:r>
                </w:p>
              </w:tc>
              <w:tc>
                <w:tcPr>
                  <w:tcW w:w="992" w:type="dxa"/>
                  <w:tcBorders>
                    <w:top w:val="nil"/>
                    <w:left w:val="nil"/>
                    <w:bottom w:val="single" w:sz="4" w:space="0" w:color="auto"/>
                    <w:right w:val="single" w:sz="4" w:space="0" w:color="auto"/>
                  </w:tcBorders>
                  <w:shd w:val="clear" w:color="auto" w:fill="auto"/>
                  <w:noWrap/>
                  <w:vAlign w:val="bottom"/>
                  <w:hideMark/>
                </w:tcPr>
                <w:p w14:paraId="7FA41525"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8,30</w:t>
                  </w:r>
                </w:p>
              </w:tc>
              <w:tc>
                <w:tcPr>
                  <w:tcW w:w="851" w:type="dxa"/>
                  <w:tcBorders>
                    <w:top w:val="nil"/>
                    <w:left w:val="nil"/>
                    <w:bottom w:val="single" w:sz="4" w:space="0" w:color="auto"/>
                    <w:right w:val="single" w:sz="4" w:space="0" w:color="auto"/>
                  </w:tcBorders>
                  <w:shd w:val="clear" w:color="auto" w:fill="auto"/>
                  <w:noWrap/>
                  <w:vAlign w:val="bottom"/>
                  <w:hideMark/>
                </w:tcPr>
                <w:p w14:paraId="54CC3496"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10,50</w:t>
                  </w:r>
                </w:p>
              </w:tc>
              <w:tc>
                <w:tcPr>
                  <w:tcW w:w="992" w:type="dxa"/>
                  <w:tcBorders>
                    <w:top w:val="nil"/>
                    <w:left w:val="nil"/>
                    <w:bottom w:val="single" w:sz="4" w:space="0" w:color="auto"/>
                    <w:right w:val="single" w:sz="4" w:space="0" w:color="auto"/>
                  </w:tcBorders>
                  <w:shd w:val="clear" w:color="auto" w:fill="auto"/>
                  <w:noWrap/>
                  <w:vAlign w:val="bottom"/>
                  <w:hideMark/>
                </w:tcPr>
                <w:p w14:paraId="390A39FB"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14,26</w:t>
                  </w:r>
                </w:p>
              </w:tc>
            </w:tr>
            <w:tr w:rsidR="00605571" w:rsidRPr="00484A95" w14:paraId="092EBAD7"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4E9A235"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15</w:t>
                  </w:r>
                </w:p>
              </w:tc>
              <w:tc>
                <w:tcPr>
                  <w:tcW w:w="992" w:type="dxa"/>
                  <w:tcBorders>
                    <w:top w:val="nil"/>
                    <w:left w:val="nil"/>
                    <w:bottom w:val="single" w:sz="4" w:space="0" w:color="auto"/>
                    <w:right w:val="single" w:sz="4" w:space="0" w:color="auto"/>
                  </w:tcBorders>
                  <w:shd w:val="clear" w:color="auto" w:fill="auto"/>
                  <w:noWrap/>
                  <w:vAlign w:val="bottom"/>
                  <w:hideMark/>
                </w:tcPr>
                <w:p w14:paraId="2200A1B9"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3500</w:t>
                  </w:r>
                </w:p>
              </w:tc>
              <w:tc>
                <w:tcPr>
                  <w:tcW w:w="851" w:type="dxa"/>
                  <w:tcBorders>
                    <w:top w:val="nil"/>
                    <w:left w:val="nil"/>
                    <w:bottom w:val="single" w:sz="4" w:space="0" w:color="auto"/>
                    <w:right w:val="single" w:sz="4" w:space="0" w:color="auto"/>
                  </w:tcBorders>
                  <w:shd w:val="clear" w:color="auto" w:fill="auto"/>
                  <w:noWrap/>
                  <w:vAlign w:val="bottom"/>
                  <w:hideMark/>
                </w:tcPr>
                <w:p w14:paraId="0D49013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4671</w:t>
                  </w:r>
                </w:p>
              </w:tc>
              <w:tc>
                <w:tcPr>
                  <w:tcW w:w="992" w:type="dxa"/>
                  <w:tcBorders>
                    <w:top w:val="nil"/>
                    <w:left w:val="nil"/>
                    <w:bottom w:val="single" w:sz="4" w:space="0" w:color="auto"/>
                    <w:right w:val="single" w:sz="4" w:space="0" w:color="auto"/>
                  </w:tcBorders>
                  <w:shd w:val="clear" w:color="auto" w:fill="auto"/>
                  <w:noWrap/>
                  <w:vAlign w:val="bottom"/>
                  <w:hideMark/>
                </w:tcPr>
                <w:p w14:paraId="44C047A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4826</w:t>
                  </w:r>
                </w:p>
              </w:tc>
              <w:tc>
                <w:tcPr>
                  <w:tcW w:w="992" w:type="dxa"/>
                  <w:tcBorders>
                    <w:top w:val="nil"/>
                    <w:left w:val="nil"/>
                    <w:bottom w:val="single" w:sz="4" w:space="0" w:color="auto"/>
                    <w:right w:val="single" w:sz="4" w:space="0" w:color="auto"/>
                  </w:tcBorders>
                  <w:shd w:val="clear" w:color="auto" w:fill="auto"/>
                  <w:noWrap/>
                  <w:vAlign w:val="bottom"/>
                  <w:hideMark/>
                </w:tcPr>
                <w:p w14:paraId="1F891BF2"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4984</w:t>
                  </w:r>
                </w:p>
              </w:tc>
              <w:tc>
                <w:tcPr>
                  <w:tcW w:w="992" w:type="dxa"/>
                  <w:tcBorders>
                    <w:top w:val="nil"/>
                    <w:left w:val="nil"/>
                    <w:bottom w:val="single" w:sz="4" w:space="0" w:color="auto"/>
                    <w:right w:val="single" w:sz="4" w:space="0" w:color="auto"/>
                  </w:tcBorders>
                  <w:shd w:val="clear" w:color="auto" w:fill="auto"/>
                  <w:noWrap/>
                  <w:vAlign w:val="bottom"/>
                  <w:hideMark/>
                </w:tcPr>
                <w:p w14:paraId="6A01E3AF"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33,46</w:t>
                  </w:r>
                </w:p>
              </w:tc>
              <w:tc>
                <w:tcPr>
                  <w:tcW w:w="851" w:type="dxa"/>
                  <w:tcBorders>
                    <w:top w:val="nil"/>
                    <w:left w:val="nil"/>
                    <w:bottom w:val="single" w:sz="4" w:space="0" w:color="auto"/>
                    <w:right w:val="single" w:sz="4" w:space="0" w:color="auto"/>
                  </w:tcBorders>
                  <w:shd w:val="clear" w:color="auto" w:fill="auto"/>
                  <w:noWrap/>
                  <w:vAlign w:val="bottom"/>
                  <w:hideMark/>
                </w:tcPr>
                <w:p w14:paraId="6588A96E"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37,89</w:t>
                  </w:r>
                </w:p>
              </w:tc>
              <w:tc>
                <w:tcPr>
                  <w:tcW w:w="992" w:type="dxa"/>
                  <w:tcBorders>
                    <w:top w:val="nil"/>
                    <w:left w:val="nil"/>
                    <w:bottom w:val="single" w:sz="4" w:space="0" w:color="auto"/>
                    <w:right w:val="single" w:sz="4" w:space="0" w:color="auto"/>
                  </w:tcBorders>
                  <w:shd w:val="clear" w:color="auto" w:fill="auto"/>
                  <w:noWrap/>
                  <w:vAlign w:val="bottom"/>
                  <w:hideMark/>
                </w:tcPr>
                <w:p w14:paraId="46D8E0A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42,40</w:t>
                  </w:r>
                </w:p>
              </w:tc>
            </w:tr>
            <w:tr w:rsidR="00605571" w:rsidRPr="00484A95" w14:paraId="7473B46C"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60C2739D"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lastRenderedPageBreak/>
                    <w:t>14</w:t>
                  </w:r>
                </w:p>
              </w:tc>
              <w:tc>
                <w:tcPr>
                  <w:tcW w:w="992" w:type="dxa"/>
                  <w:tcBorders>
                    <w:top w:val="nil"/>
                    <w:left w:val="nil"/>
                    <w:bottom w:val="single" w:sz="4" w:space="0" w:color="auto"/>
                    <w:right w:val="single" w:sz="4" w:space="0" w:color="auto"/>
                  </w:tcBorders>
                  <w:shd w:val="clear" w:color="auto" w:fill="auto"/>
                  <w:noWrap/>
                  <w:vAlign w:val="bottom"/>
                  <w:hideMark/>
                </w:tcPr>
                <w:p w14:paraId="1EDA4001"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3150</w:t>
                  </w:r>
                </w:p>
              </w:tc>
              <w:tc>
                <w:tcPr>
                  <w:tcW w:w="851" w:type="dxa"/>
                  <w:tcBorders>
                    <w:top w:val="nil"/>
                    <w:left w:val="nil"/>
                    <w:bottom w:val="single" w:sz="4" w:space="0" w:color="auto"/>
                    <w:right w:val="single" w:sz="4" w:space="0" w:color="auto"/>
                  </w:tcBorders>
                  <w:shd w:val="clear" w:color="auto" w:fill="auto"/>
                  <w:noWrap/>
                  <w:vAlign w:val="bottom"/>
                  <w:hideMark/>
                </w:tcPr>
                <w:p w14:paraId="35D6246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4130</w:t>
                  </w:r>
                </w:p>
              </w:tc>
              <w:tc>
                <w:tcPr>
                  <w:tcW w:w="992" w:type="dxa"/>
                  <w:tcBorders>
                    <w:top w:val="nil"/>
                    <w:left w:val="nil"/>
                    <w:bottom w:val="single" w:sz="4" w:space="0" w:color="auto"/>
                    <w:right w:val="single" w:sz="4" w:space="0" w:color="auto"/>
                  </w:tcBorders>
                  <w:shd w:val="clear" w:color="auto" w:fill="auto"/>
                  <w:noWrap/>
                  <w:vAlign w:val="bottom"/>
                  <w:hideMark/>
                </w:tcPr>
                <w:p w14:paraId="733F6C8A"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4252</w:t>
                  </w:r>
                </w:p>
              </w:tc>
              <w:tc>
                <w:tcPr>
                  <w:tcW w:w="992" w:type="dxa"/>
                  <w:tcBorders>
                    <w:top w:val="nil"/>
                    <w:left w:val="nil"/>
                    <w:bottom w:val="single" w:sz="4" w:space="0" w:color="auto"/>
                    <w:right w:val="single" w:sz="4" w:space="0" w:color="auto"/>
                  </w:tcBorders>
                  <w:shd w:val="clear" w:color="auto" w:fill="auto"/>
                  <w:noWrap/>
                  <w:vAlign w:val="bottom"/>
                  <w:hideMark/>
                </w:tcPr>
                <w:p w14:paraId="6333E444"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4618</w:t>
                  </w:r>
                </w:p>
              </w:tc>
              <w:tc>
                <w:tcPr>
                  <w:tcW w:w="992" w:type="dxa"/>
                  <w:tcBorders>
                    <w:top w:val="nil"/>
                    <w:left w:val="nil"/>
                    <w:bottom w:val="single" w:sz="4" w:space="0" w:color="auto"/>
                    <w:right w:val="single" w:sz="4" w:space="0" w:color="auto"/>
                  </w:tcBorders>
                  <w:shd w:val="clear" w:color="auto" w:fill="auto"/>
                  <w:noWrap/>
                  <w:vAlign w:val="bottom"/>
                  <w:hideMark/>
                </w:tcPr>
                <w:p w14:paraId="58C8E18A"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31,11</w:t>
                  </w:r>
                </w:p>
              </w:tc>
              <w:tc>
                <w:tcPr>
                  <w:tcW w:w="851" w:type="dxa"/>
                  <w:tcBorders>
                    <w:top w:val="nil"/>
                    <w:left w:val="nil"/>
                    <w:bottom w:val="single" w:sz="4" w:space="0" w:color="auto"/>
                    <w:right w:val="single" w:sz="4" w:space="0" w:color="auto"/>
                  </w:tcBorders>
                  <w:shd w:val="clear" w:color="auto" w:fill="auto"/>
                  <w:noWrap/>
                  <w:vAlign w:val="bottom"/>
                  <w:hideMark/>
                </w:tcPr>
                <w:p w14:paraId="2D8146FF"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34,98</w:t>
                  </w:r>
                </w:p>
              </w:tc>
              <w:tc>
                <w:tcPr>
                  <w:tcW w:w="992" w:type="dxa"/>
                  <w:tcBorders>
                    <w:top w:val="nil"/>
                    <w:left w:val="nil"/>
                    <w:bottom w:val="single" w:sz="4" w:space="0" w:color="auto"/>
                    <w:right w:val="single" w:sz="4" w:space="0" w:color="auto"/>
                  </w:tcBorders>
                  <w:shd w:val="clear" w:color="auto" w:fill="auto"/>
                  <w:noWrap/>
                  <w:vAlign w:val="bottom"/>
                  <w:hideMark/>
                </w:tcPr>
                <w:p w14:paraId="538D72A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46,60</w:t>
                  </w:r>
                </w:p>
              </w:tc>
            </w:tr>
            <w:tr w:rsidR="00605571" w:rsidRPr="00484A95" w14:paraId="69553CA4"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15DD91F1"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13</w:t>
                  </w:r>
                </w:p>
              </w:tc>
              <w:tc>
                <w:tcPr>
                  <w:tcW w:w="992" w:type="dxa"/>
                  <w:tcBorders>
                    <w:top w:val="nil"/>
                    <w:left w:val="nil"/>
                    <w:bottom w:val="single" w:sz="4" w:space="0" w:color="auto"/>
                    <w:right w:val="single" w:sz="4" w:space="0" w:color="auto"/>
                  </w:tcBorders>
                  <w:shd w:val="clear" w:color="auto" w:fill="auto"/>
                  <w:noWrap/>
                  <w:vAlign w:val="bottom"/>
                  <w:hideMark/>
                </w:tcPr>
                <w:p w14:paraId="70348405"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2399</w:t>
                  </w:r>
                </w:p>
              </w:tc>
              <w:tc>
                <w:tcPr>
                  <w:tcW w:w="851" w:type="dxa"/>
                  <w:tcBorders>
                    <w:top w:val="nil"/>
                    <w:left w:val="nil"/>
                    <w:bottom w:val="single" w:sz="4" w:space="0" w:color="auto"/>
                    <w:right w:val="single" w:sz="4" w:space="0" w:color="auto"/>
                  </w:tcBorders>
                  <w:shd w:val="clear" w:color="auto" w:fill="auto"/>
                  <w:noWrap/>
                  <w:vAlign w:val="bottom"/>
                  <w:hideMark/>
                </w:tcPr>
                <w:p w14:paraId="29B999DF"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3394</w:t>
                  </w:r>
                </w:p>
              </w:tc>
              <w:tc>
                <w:tcPr>
                  <w:tcW w:w="992" w:type="dxa"/>
                  <w:tcBorders>
                    <w:top w:val="nil"/>
                    <w:left w:val="nil"/>
                    <w:bottom w:val="single" w:sz="4" w:space="0" w:color="auto"/>
                    <w:right w:val="single" w:sz="4" w:space="0" w:color="auto"/>
                  </w:tcBorders>
                  <w:shd w:val="clear" w:color="auto" w:fill="auto"/>
                  <w:noWrap/>
                  <w:vAlign w:val="bottom"/>
                  <w:hideMark/>
                </w:tcPr>
                <w:p w14:paraId="5050C2C6"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3467</w:t>
                  </w:r>
                </w:p>
              </w:tc>
              <w:tc>
                <w:tcPr>
                  <w:tcW w:w="992" w:type="dxa"/>
                  <w:tcBorders>
                    <w:top w:val="nil"/>
                    <w:left w:val="nil"/>
                    <w:bottom w:val="single" w:sz="4" w:space="0" w:color="auto"/>
                    <w:right w:val="single" w:sz="4" w:space="0" w:color="auto"/>
                  </w:tcBorders>
                  <w:shd w:val="clear" w:color="auto" w:fill="auto"/>
                  <w:noWrap/>
                  <w:vAlign w:val="bottom"/>
                  <w:hideMark/>
                </w:tcPr>
                <w:p w14:paraId="454CF9B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3590</w:t>
                  </w:r>
                </w:p>
              </w:tc>
              <w:tc>
                <w:tcPr>
                  <w:tcW w:w="992" w:type="dxa"/>
                  <w:tcBorders>
                    <w:top w:val="nil"/>
                    <w:left w:val="nil"/>
                    <w:bottom w:val="single" w:sz="4" w:space="0" w:color="auto"/>
                    <w:right w:val="single" w:sz="4" w:space="0" w:color="auto"/>
                  </w:tcBorders>
                  <w:shd w:val="clear" w:color="auto" w:fill="auto"/>
                  <w:noWrap/>
                  <w:vAlign w:val="bottom"/>
                  <w:hideMark/>
                </w:tcPr>
                <w:p w14:paraId="351424B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41,48</w:t>
                  </w:r>
                </w:p>
              </w:tc>
              <w:tc>
                <w:tcPr>
                  <w:tcW w:w="851" w:type="dxa"/>
                  <w:tcBorders>
                    <w:top w:val="nil"/>
                    <w:left w:val="nil"/>
                    <w:bottom w:val="single" w:sz="4" w:space="0" w:color="auto"/>
                    <w:right w:val="single" w:sz="4" w:space="0" w:color="auto"/>
                  </w:tcBorders>
                  <w:shd w:val="clear" w:color="auto" w:fill="auto"/>
                  <w:noWrap/>
                  <w:vAlign w:val="bottom"/>
                  <w:hideMark/>
                </w:tcPr>
                <w:p w14:paraId="60D14E6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44,52</w:t>
                  </w:r>
                </w:p>
              </w:tc>
              <w:tc>
                <w:tcPr>
                  <w:tcW w:w="992" w:type="dxa"/>
                  <w:tcBorders>
                    <w:top w:val="nil"/>
                    <w:left w:val="nil"/>
                    <w:bottom w:val="single" w:sz="4" w:space="0" w:color="auto"/>
                    <w:right w:val="single" w:sz="4" w:space="0" w:color="auto"/>
                  </w:tcBorders>
                  <w:shd w:val="clear" w:color="auto" w:fill="auto"/>
                  <w:noWrap/>
                  <w:vAlign w:val="bottom"/>
                  <w:hideMark/>
                </w:tcPr>
                <w:p w14:paraId="58B9C206"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49,65</w:t>
                  </w:r>
                </w:p>
              </w:tc>
            </w:tr>
            <w:tr w:rsidR="00605571" w:rsidRPr="00484A95" w14:paraId="0C39B009"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06043EF7"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6BF045F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1970</w:t>
                  </w:r>
                </w:p>
              </w:tc>
              <w:tc>
                <w:tcPr>
                  <w:tcW w:w="851" w:type="dxa"/>
                  <w:tcBorders>
                    <w:top w:val="nil"/>
                    <w:left w:val="nil"/>
                    <w:bottom w:val="single" w:sz="4" w:space="0" w:color="auto"/>
                    <w:right w:val="single" w:sz="4" w:space="0" w:color="auto"/>
                  </w:tcBorders>
                  <w:shd w:val="clear" w:color="auto" w:fill="auto"/>
                  <w:noWrap/>
                  <w:vAlign w:val="bottom"/>
                  <w:hideMark/>
                </w:tcPr>
                <w:p w14:paraId="7BB93CCB"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2519</w:t>
                  </w:r>
                </w:p>
              </w:tc>
              <w:tc>
                <w:tcPr>
                  <w:tcW w:w="992" w:type="dxa"/>
                  <w:tcBorders>
                    <w:top w:val="nil"/>
                    <w:left w:val="nil"/>
                    <w:bottom w:val="single" w:sz="4" w:space="0" w:color="auto"/>
                    <w:right w:val="single" w:sz="4" w:space="0" w:color="auto"/>
                  </w:tcBorders>
                  <w:shd w:val="clear" w:color="auto" w:fill="auto"/>
                  <w:noWrap/>
                  <w:vAlign w:val="bottom"/>
                  <w:hideMark/>
                </w:tcPr>
                <w:p w14:paraId="0C5E21C6"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2516</w:t>
                  </w:r>
                </w:p>
              </w:tc>
              <w:tc>
                <w:tcPr>
                  <w:tcW w:w="992" w:type="dxa"/>
                  <w:tcBorders>
                    <w:top w:val="nil"/>
                    <w:left w:val="nil"/>
                    <w:bottom w:val="single" w:sz="4" w:space="0" w:color="auto"/>
                    <w:right w:val="single" w:sz="4" w:space="0" w:color="auto"/>
                  </w:tcBorders>
                  <w:shd w:val="clear" w:color="auto" w:fill="auto"/>
                  <w:noWrap/>
                  <w:vAlign w:val="bottom"/>
                  <w:hideMark/>
                </w:tcPr>
                <w:p w14:paraId="12425D4F"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2868</w:t>
                  </w:r>
                </w:p>
              </w:tc>
              <w:tc>
                <w:tcPr>
                  <w:tcW w:w="992" w:type="dxa"/>
                  <w:tcBorders>
                    <w:top w:val="nil"/>
                    <w:left w:val="nil"/>
                    <w:bottom w:val="single" w:sz="4" w:space="0" w:color="auto"/>
                    <w:right w:val="single" w:sz="4" w:space="0" w:color="auto"/>
                  </w:tcBorders>
                  <w:shd w:val="clear" w:color="auto" w:fill="auto"/>
                  <w:noWrap/>
                  <w:vAlign w:val="bottom"/>
                  <w:hideMark/>
                </w:tcPr>
                <w:p w14:paraId="170251E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27,87</w:t>
                  </w:r>
                </w:p>
              </w:tc>
              <w:tc>
                <w:tcPr>
                  <w:tcW w:w="851" w:type="dxa"/>
                  <w:tcBorders>
                    <w:top w:val="nil"/>
                    <w:left w:val="nil"/>
                    <w:bottom w:val="single" w:sz="4" w:space="0" w:color="auto"/>
                    <w:right w:val="single" w:sz="4" w:space="0" w:color="auto"/>
                  </w:tcBorders>
                  <w:shd w:val="clear" w:color="auto" w:fill="auto"/>
                  <w:noWrap/>
                  <w:vAlign w:val="bottom"/>
                  <w:hideMark/>
                </w:tcPr>
                <w:p w14:paraId="4F0CD93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27,72</w:t>
                  </w:r>
                </w:p>
              </w:tc>
              <w:tc>
                <w:tcPr>
                  <w:tcW w:w="992" w:type="dxa"/>
                  <w:tcBorders>
                    <w:top w:val="nil"/>
                    <w:left w:val="nil"/>
                    <w:bottom w:val="single" w:sz="4" w:space="0" w:color="auto"/>
                    <w:right w:val="single" w:sz="4" w:space="0" w:color="auto"/>
                  </w:tcBorders>
                  <w:shd w:val="clear" w:color="auto" w:fill="auto"/>
                  <w:noWrap/>
                  <w:vAlign w:val="bottom"/>
                  <w:hideMark/>
                </w:tcPr>
                <w:p w14:paraId="3AF60C11"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45,58</w:t>
                  </w:r>
                </w:p>
              </w:tc>
            </w:tr>
            <w:tr w:rsidR="00605571" w:rsidRPr="00484A95" w14:paraId="10A0BE9C"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1C23042A"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bottom"/>
                  <w:hideMark/>
                </w:tcPr>
                <w:p w14:paraId="06639042"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1800</w:t>
                  </w:r>
                </w:p>
              </w:tc>
              <w:tc>
                <w:tcPr>
                  <w:tcW w:w="851" w:type="dxa"/>
                  <w:tcBorders>
                    <w:top w:val="nil"/>
                    <w:left w:val="nil"/>
                    <w:bottom w:val="single" w:sz="4" w:space="0" w:color="auto"/>
                    <w:right w:val="single" w:sz="4" w:space="0" w:color="auto"/>
                  </w:tcBorders>
                  <w:shd w:val="clear" w:color="auto" w:fill="auto"/>
                  <w:noWrap/>
                  <w:vAlign w:val="bottom"/>
                  <w:hideMark/>
                </w:tcPr>
                <w:p w14:paraId="34A1F504"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2186</w:t>
                  </w:r>
                </w:p>
              </w:tc>
              <w:tc>
                <w:tcPr>
                  <w:tcW w:w="992" w:type="dxa"/>
                  <w:tcBorders>
                    <w:top w:val="nil"/>
                    <w:left w:val="nil"/>
                    <w:bottom w:val="single" w:sz="4" w:space="0" w:color="auto"/>
                    <w:right w:val="single" w:sz="4" w:space="0" w:color="auto"/>
                  </w:tcBorders>
                  <w:shd w:val="clear" w:color="auto" w:fill="auto"/>
                  <w:noWrap/>
                  <w:vAlign w:val="bottom"/>
                  <w:hideMark/>
                </w:tcPr>
                <w:p w14:paraId="4441676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2354</w:t>
                  </w:r>
                </w:p>
              </w:tc>
              <w:tc>
                <w:tcPr>
                  <w:tcW w:w="992" w:type="dxa"/>
                  <w:tcBorders>
                    <w:top w:val="nil"/>
                    <w:left w:val="nil"/>
                    <w:bottom w:val="single" w:sz="4" w:space="0" w:color="auto"/>
                    <w:right w:val="single" w:sz="4" w:space="0" w:color="auto"/>
                  </w:tcBorders>
                  <w:shd w:val="clear" w:color="auto" w:fill="auto"/>
                  <w:noWrap/>
                  <w:vAlign w:val="bottom"/>
                  <w:hideMark/>
                </w:tcPr>
                <w:p w14:paraId="1C28C92A"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2501</w:t>
                  </w:r>
                </w:p>
              </w:tc>
              <w:tc>
                <w:tcPr>
                  <w:tcW w:w="992" w:type="dxa"/>
                  <w:tcBorders>
                    <w:top w:val="nil"/>
                    <w:left w:val="nil"/>
                    <w:bottom w:val="single" w:sz="4" w:space="0" w:color="auto"/>
                    <w:right w:val="single" w:sz="4" w:space="0" w:color="auto"/>
                  </w:tcBorders>
                  <w:shd w:val="clear" w:color="auto" w:fill="auto"/>
                  <w:noWrap/>
                  <w:vAlign w:val="bottom"/>
                  <w:hideMark/>
                </w:tcPr>
                <w:p w14:paraId="63BA1591"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21,44</w:t>
                  </w:r>
                </w:p>
              </w:tc>
              <w:tc>
                <w:tcPr>
                  <w:tcW w:w="851" w:type="dxa"/>
                  <w:tcBorders>
                    <w:top w:val="nil"/>
                    <w:left w:val="nil"/>
                    <w:bottom w:val="single" w:sz="4" w:space="0" w:color="auto"/>
                    <w:right w:val="single" w:sz="4" w:space="0" w:color="auto"/>
                  </w:tcBorders>
                  <w:shd w:val="clear" w:color="auto" w:fill="auto"/>
                  <w:noWrap/>
                  <w:vAlign w:val="bottom"/>
                  <w:hideMark/>
                </w:tcPr>
                <w:p w14:paraId="74DA3630"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30,78</w:t>
                  </w:r>
                </w:p>
              </w:tc>
              <w:tc>
                <w:tcPr>
                  <w:tcW w:w="992" w:type="dxa"/>
                  <w:tcBorders>
                    <w:top w:val="nil"/>
                    <w:left w:val="nil"/>
                    <w:bottom w:val="single" w:sz="4" w:space="0" w:color="auto"/>
                    <w:right w:val="single" w:sz="4" w:space="0" w:color="auto"/>
                  </w:tcBorders>
                  <w:shd w:val="clear" w:color="auto" w:fill="auto"/>
                  <w:noWrap/>
                  <w:vAlign w:val="bottom"/>
                  <w:hideMark/>
                </w:tcPr>
                <w:p w14:paraId="725DB975"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38,94</w:t>
                  </w:r>
                </w:p>
              </w:tc>
            </w:tr>
            <w:tr w:rsidR="00605571" w:rsidRPr="00484A95" w14:paraId="121225D7"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01BD18F4"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bottom"/>
                  <w:hideMark/>
                </w:tcPr>
                <w:p w14:paraId="4E72F78C"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1535</w:t>
                  </w:r>
                </w:p>
              </w:tc>
              <w:tc>
                <w:tcPr>
                  <w:tcW w:w="851" w:type="dxa"/>
                  <w:tcBorders>
                    <w:top w:val="nil"/>
                    <w:left w:val="nil"/>
                    <w:bottom w:val="single" w:sz="4" w:space="0" w:color="auto"/>
                    <w:right w:val="single" w:sz="4" w:space="0" w:color="auto"/>
                  </w:tcBorders>
                  <w:shd w:val="clear" w:color="auto" w:fill="auto"/>
                  <w:noWrap/>
                  <w:vAlign w:val="bottom"/>
                  <w:hideMark/>
                </w:tcPr>
                <w:p w14:paraId="2B8F847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1807</w:t>
                  </w:r>
                </w:p>
              </w:tc>
              <w:tc>
                <w:tcPr>
                  <w:tcW w:w="992" w:type="dxa"/>
                  <w:tcBorders>
                    <w:top w:val="nil"/>
                    <w:left w:val="nil"/>
                    <w:bottom w:val="single" w:sz="4" w:space="0" w:color="auto"/>
                    <w:right w:val="single" w:sz="4" w:space="0" w:color="auto"/>
                  </w:tcBorders>
                  <w:shd w:val="clear" w:color="auto" w:fill="auto"/>
                  <w:noWrap/>
                  <w:vAlign w:val="bottom"/>
                  <w:hideMark/>
                </w:tcPr>
                <w:p w14:paraId="3BD9821A"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1980</w:t>
                  </w:r>
                </w:p>
              </w:tc>
              <w:tc>
                <w:tcPr>
                  <w:tcW w:w="992" w:type="dxa"/>
                  <w:tcBorders>
                    <w:top w:val="nil"/>
                    <w:left w:val="nil"/>
                    <w:bottom w:val="single" w:sz="4" w:space="0" w:color="auto"/>
                    <w:right w:val="single" w:sz="4" w:space="0" w:color="auto"/>
                  </w:tcBorders>
                  <w:shd w:val="clear" w:color="auto" w:fill="auto"/>
                  <w:noWrap/>
                  <w:vAlign w:val="bottom"/>
                  <w:hideMark/>
                </w:tcPr>
                <w:p w14:paraId="2260F41E"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2066</w:t>
                  </w:r>
                </w:p>
              </w:tc>
              <w:tc>
                <w:tcPr>
                  <w:tcW w:w="992" w:type="dxa"/>
                  <w:tcBorders>
                    <w:top w:val="nil"/>
                    <w:left w:val="nil"/>
                    <w:bottom w:val="single" w:sz="4" w:space="0" w:color="auto"/>
                    <w:right w:val="single" w:sz="4" w:space="0" w:color="auto"/>
                  </w:tcBorders>
                  <w:shd w:val="clear" w:color="auto" w:fill="auto"/>
                  <w:noWrap/>
                  <w:vAlign w:val="bottom"/>
                  <w:hideMark/>
                </w:tcPr>
                <w:p w14:paraId="7C81E01D"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17,72</w:t>
                  </w:r>
                </w:p>
              </w:tc>
              <w:tc>
                <w:tcPr>
                  <w:tcW w:w="851" w:type="dxa"/>
                  <w:tcBorders>
                    <w:top w:val="nil"/>
                    <w:left w:val="nil"/>
                    <w:bottom w:val="single" w:sz="4" w:space="0" w:color="auto"/>
                    <w:right w:val="single" w:sz="4" w:space="0" w:color="auto"/>
                  </w:tcBorders>
                  <w:shd w:val="clear" w:color="auto" w:fill="auto"/>
                  <w:noWrap/>
                  <w:vAlign w:val="bottom"/>
                  <w:hideMark/>
                </w:tcPr>
                <w:p w14:paraId="1D7FA1BD"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28,99</w:t>
                  </w:r>
                </w:p>
              </w:tc>
              <w:tc>
                <w:tcPr>
                  <w:tcW w:w="992" w:type="dxa"/>
                  <w:tcBorders>
                    <w:top w:val="nil"/>
                    <w:left w:val="nil"/>
                    <w:bottom w:val="single" w:sz="4" w:space="0" w:color="auto"/>
                    <w:right w:val="single" w:sz="4" w:space="0" w:color="auto"/>
                  </w:tcBorders>
                  <w:shd w:val="clear" w:color="auto" w:fill="auto"/>
                  <w:noWrap/>
                  <w:vAlign w:val="bottom"/>
                  <w:hideMark/>
                </w:tcPr>
                <w:p w14:paraId="446C8409"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34,59</w:t>
                  </w:r>
                </w:p>
              </w:tc>
            </w:tr>
            <w:tr w:rsidR="00605571" w:rsidRPr="00484A95" w14:paraId="25CF796B" w14:textId="77777777" w:rsidTr="00605571">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D42510A" w14:textId="77777777" w:rsidR="00605571" w:rsidRPr="00484A95" w:rsidRDefault="00605571" w:rsidP="00605571">
                  <w:pPr>
                    <w:jc w:val="cente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542BE5B7"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1359</w:t>
                  </w:r>
                </w:p>
              </w:tc>
              <w:tc>
                <w:tcPr>
                  <w:tcW w:w="851" w:type="dxa"/>
                  <w:tcBorders>
                    <w:top w:val="nil"/>
                    <w:left w:val="nil"/>
                    <w:bottom w:val="single" w:sz="4" w:space="0" w:color="auto"/>
                    <w:right w:val="single" w:sz="4" w:space="0" w:color="auto"/>
                  </w:tcBorders>
                  <w:shd w:val="clear" w:color="auto" w:fill="auto"/>
                  <w:noWrap/>
                  <w:vAlign w:val="bottom"/>
                  <w:hideMark/>
                </w:tcPr>
                <w:p w14:paraId="33188BB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1371</w:t>
                  </w:r>
                </w:p>
              </w:tc>
              <w:tc>
                <w:tcPr>
                  <w:tcW w:w="992" w:type="dxa"/>
                  <w:tcBorders>
                    <w:top w:val="nil"/>
                    <w:left w:val="nil"/>
                    <w:bottom w:val="single" w:sz="4" w:space="0" w:color="auto"/>
                    <w:right w:val="single" w:sz="4" w:space="0" w:color="auto"/>
                  </w:tcBorders>
                  <w:shd w:val="clear" w:color="auto" w:fill="auto"/>
                  <w:noWrap/>
                  <w:vAlign w:val="bottom"/>
                  <w:hideMark/>
                </w:tcPr>
                <w:p w14:paraId="4FB43349"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1460</w:t>
                  </w:r>
                </w:p>
              </w:tc>
              <w:tc>
                <w:tcPr>
                  <w:tcW w:w="992" w:type="dxa"/>
                  <w:tcBorders>
                    <w:top w:val="nil"/>
                    <w:left w:val="nil"/>
                    <w:bottom w:val="single" w:sz="4" w:space="0" w:color="auto"/>
                    <w:right w:val="single" w:sz="4" w:space="0" w:color="auto"/>
                  </w:tcBorders>
                  <w:shd w:val="clear" w:color="auto" w:fill="auto"/>
                  <w:noWrap/>
                  <w:vAlign w:val="bottom"/>
                  <w:hideMark/>
                </w:tcPr>
                <w:p w14:paraId="4F204884"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1499</w:t>
                  </w:r>
                </w:p>
              </w:tc>
              <w:tc>
                <w:tcPr>
                  <w:tcW w:w="992" w:type="dxa"/>
                  <w:tcBorders>
                    <w:top w:val="nil"/>
                    <w:left w:val="nil"/>
                    <w:bottom w:val="single" w:sz="4" w:space="0" w:color="auto"/>
                    <w:right w:val="single" w:sz="4" w:space="0" w:color="auto"/>
                  </w:tcBorders>
                  <w:shd w:val="clear" w:color="auto" w:fill="auto"/>
                  <w:noWrap/>
                  <w:vAlign w:val="bottom"/>
                  <w:hideMark/>
                </w:tcPr>
                <w:p w14:paraId="248AD75B" w14:textId="2C46BE11"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0,88*</w:t>
                  </w:r>
                </w:p>
              </w:tc>
              <w:tc>
                <w:tcPr>
                  <w:tcW w:w="851" w:type="dxa"/>
                  <w:tcBorders>
                    <w:top w:val="nil"/>
                    <w:left w:val="nil"/>
                    <w:bottom w:val="single" w:sz="4" w:space="0" w:color="auto"/>
                    <w:right w:val="single" w:sz="4" w:space="0" w:color="auto"/>
                  </w:tcBorders>
                  <w:shd w:val="clear" w:color="auto" w:fill="auto"/>
                  <w:noWrap/>
                  <w:vAlign w:val="bottom"/>
                  <w:hideMark/>
                </w:tcPr>
                <w:p w14:paraId="7D748B02"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7,43</w:t>
                  </w:r>
                </w:p>
              </w:tc>
              <w:tc>
                <w:tcPr>
                  <w:tcW w:w="992" w:type="dxa"/>
                  <w:tcBorders>
                    <w:top w:val="nil"/>
                    <w:left w:val="nil"/>
                    <w:bottom w:val="single" w:sz="4" w:space="0" w:color="auto"/>
                    <w:right w:val="single" w:sz="4" w:space="0" w:color="auto"/>
                  </w:tcBorders>
                  <w:shd w:val="clear" w:color="auto" w:fill="auto"/>
                  <w:noWrap/>
                  <w:vAlign w:val="bottom"/>
                  <w:hideMark/>
                </w:tcPr>
                <w:p w14:paraId="7B05BA7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10,30</w:t>
                  </w:r>
                </w:p>
              </w:tc>
            </w:tr>
            <w:tr w:rsidR="00605571" w:rsidRPr="00484A95" w14:paraId="3C3F55C6" w14:textId="77777777" w:rsidTr="00605571">
              <w:trPr>
                <w:trHeight w:val="945"/>
              </w:trPr>
              <w:tc>
                <w:tcPr>
                  <w:tcW w:w="1351" w:type="dxa"/>
                  <w:tcBorders>
                    <w:top w:val="nil"/>
                    <w:left w:val="single" w:sz="4" w:space="0" w:color="auto"/>
                    <w:bottom w:val="single" w:sz="4" w:space="0" w:color="auto"/>
                    <w:right w:val="single" w:sz="4" w:space="0" w:color="auto"/>
                  </w:tcBorders>
                  <w:shd w:val="clear" w:color="auto" w:fill="auto"/>
                  <w:vAlign w:val="bottom"/>
                  <w:hideMark/>
                </w:tcPr>
                <w:p w14:paraId="2371C009" w14:textId="77777777" w:rsidR="00605571" w:rsidRPr="00484A95" w:rsidRDefault="00605571" w:rsidP="00605571">
                  <w:pPr>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pielīdzināts rajona prokurora mēnešalgai</w:t>
                  </w:r>
                </w:p>
              </w:tc>
              <w:tc>
                <w:tcPr>
                  <w:tcW w:w="992" w:type="dxa"/>
                  <w:tcBorders>
                    <w:top w:val="nil"/>
                    <w:left w:val="nil"/>
                    <w:bottom w:val="single" w:sz="4" w:space="0" w:color="auto"/>
                    <w:right w:val="single" w:sz="4" w:space="0" w:color="auto"/>
                  </w:tcBorders>
                  <w:shd w:val="clear" w:color="auto" w:fill="auto"/>
                  <w:noWrap/>
                  <w:vAlign w:val="center"/>
                  <w:hideMark/>
                </w:tcPr>
                <w:p w14:paraId="5DE0DBA8"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2200</w:t>
                  </w:r>
                </w:p>
              </w:tc>
              <w:tc>
                <w:tcPr>
                  <w:tcW w:w="851" w:type="dxa"/>
                  <w:tcBorders>
                    <w:top w:val="nil"/>
                    <w:left w:val="nil"/>
                    <w:bottom w:val="single" w:sz="4" w:space="0" w:color="auto"/>
                    <w:right w:val="single" w:sz="4" w:space="0" w:color="auto"/>
                  </w:tcBorders>
                  <w:shd w:val="clear" w:color="auto" w:fill="auto"/>
                  <w:noWrap/>
                  <w:vAlign w:val="center"/>
                  <w:hideMark/>
                </w:tcPr>
                <w:p w14:paraId="1657935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2600</w:t>
                  </w:r>
                </w:p>
              </w:tc>
              <w:tc>
                <w:tcPr>
                  <w:tcW w:w="992" w:type="dxa"/>
                  <w:tcBorders>
                    <w:top w:val="nil"/>
                    <w:left w:val="nil"/>
                    <w:bottom w:val="single" w:sz="4" w:space="0" w:color="auto"/>
                    <w:right w:val="single" w:sz="4" w:space="0" w:color="auto"/>
                  </w:tcBorders>
                  <w:shd w:val="clear" w:color="auto" w:fill="auto"/>
                  <w:noWrap/>
                  <w:vAlign w:val="center"/>
                  <w:hideMark/>
                </w:tcPr>
                <w:p w14:paraId="38BBA215"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2926</w:t>
                  </w:r>
                </w:p>
              </w:tc>
              <w:tc>
                <w:tcPr>
                  <w:tcW w:w="992" w:type="dxa"/>
                  <w:tcBorders>
                    <w:top w:val="nil"/>
                    <w:left w:val="nil"/>
                    <w:bottom w:val="single" w:sz="4" w:space="0" w:color="auto"/>
                    <w:right w:val="single" w:sz="4" w:space="0" w:color="auto"/>
                  </w:tcBorders>
                  <w:shd w:val="clear" w:color="auto" w:fill="auto"/>
                  <w:noWrap/>
                  <w:vAlign w:val="center"/>
                  <w:hideMark/>
                </w:tcPr>
                <w:p w14:paraId="1145CBAF"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3323</w:t>
                  </w:r>
                </w:p>
              </w:tc>
              <w:tc>
                <w:tcPr>
                  <w:tcW w:w="992" w:type="dxa"/>
                  <w:tcBorders>
                    <w:top w:val="nil"/>
                    <w:left w:val="nil"/>
                    <w:bottom w:val="single" w:sz="4" w:space="0" w:color="auto"/>
                    <w:right w:val="single" w:sz="4" w:space="0" w:color="auto"/>
                  </w:tcBorders>
                  <w:shd w:val="clear" w:color="auto" w:fill="auto"/>
                  <w:noWrap/>
                  <w:vAlign w:val="center"/>
                  <w:hideMark/>
                </w:tcPr>
                <w:p w14:paraId="3DA3BA10"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18,18</w:t>
                  </w:r>
                </w:p>
              </w:tc>
              <w:tc>
                <w:tcPr>
                  <w:tcW w:w="851" w:type="dxa"/>
                  <w:tcBorders>
                    <w:top w:val="nil"/>
                    <w:left w:val="nil"/>
                    <w:bottom w:val="single" w:sz="4" w:space="0" w:color="auto"/>
                    <w:right w:val="single" w:sz="4" w:space="0" w:color="auto"/>
                  </w:tcBorders>
                  <w:shd w:val="clear" w:color="auto" w:fill="auto"/>
                  <w:noWrap/>
                  <w:vAlign w:val="center"/>
                  <w:hideMark/>
                </w:tcPr>
                <w:p w14:paraId="4D25C836"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33,00</w:t>
                  </w:r>
                </w:p>
              </w:tc>
              <w:tc>
                <w:tcPr>
                  <w:tcW w:w="992" w:type="dxa"/>
                  <w:tcBorders>
                    <w:top w:val="nil"/>
                    <w:left w:val="nil"/>
                    <w:bottom w:val="single" w:sz="4" w:space="0" w:color="auto"/>
                    <w:right w:val="single" w:sz="4" w:space="0" w:color="auto"/>
                  </w:tcBorders>
                  <w:shd w:val="clear" w:color="auto" w:fill="auto"/>
                  <w:noWrap/>
                  <w:vAlign w:val="center"/>
                  <w:hideMark/>
                </w:tcPr>
                <w:p w14:paraId="3D7E95A3" w14:textId="77777777" w:rsidR="00605571" w:rsidRPr="00484A95" w:rsidRDefault="00605571" w:rsidP="00605571">
                  <w:pPr>
                    <w:jc w:val="right"/>
                    <w:rPr>
                      <w:rFonts w:ascii="Times New Roman" w:eastAsia="Times New Roman" w:hAnsi="Times New Roman" w:cs="Times New Roman"/>
                      <w:color w:val="000000"/>
                      <w:lang w:eastAsia="lv-LV"/>
                    </w:rPr>
                  </w:pPr>
                  <w:r w:rsidRPr="00484A95">
                    <w:rPr>
                      <w:rFonts w:ascii="Times New Roman" w:eastAsia="Times New Roman" w:hAnsi="Times New Roman" w:cs="Times New Roman"/>
                      <w:color w:val="000000"/>
                      <w:lang w:eastAsia="lv-LV"/>
                    </w:rPr>
                    <w:t>51,05</w:t>
                  </w:r>
                </w:p>
              </w:tc>
            </w:tr>
          </w:tbl>
          <w:p w14:paraId="4D561796" w14:textId="77777777" w:rsidR="009055FD" w:rsidRPr="00484A95" w:rsidRDefault="009055FD" w:rsidP="004F0340">
            <w:pPr>
              <w:pStyle w:val="PlainText"/>
              <w:ind w:right="113"/>
              <w:jc w:val="both"/>
              <w:rPr>
                <w:rFonts w:ascii="Times New Roman" w:hAnsi="Times New Roman" w:cs="Times New Roman"/>
                <w:sz w:val="24"/>
                <w:szCs w:val="24"/>
                <w:u w:val="single"/>
              </w:rPr>
            </w:pPr>
          </w:p>
          <w:p w14:paraId="5EADC45C" w14:textId="7A975C9A" w:rsidR="00F70778" w:rsidRPr="00484A95" w:rsidRDefault="00F70778" w:rsidP="00F70778">
            <w:pPr>
              <w:pStyle w:val="PlainText"/>
              <w:ind w:right="113"/>
              <w:jc w:val="both"/>
              <w:rPr>
                <w:rFonts w:ascii="Times New Roman" w:hAnsi="Times New Roman" w:cs="Times New Roman"/>
                <w:sz w:val="24"/>
                <w:szCs w:val="24"/>
              </w:rPr>
            </w:pPr>
            <w:r w:rsidRPr="00484A95">
              <w:rPr>
                <w:rFonts w:ascii="Times New Roman" w:eastAsia="Times New Roman" w:hAnsi="Times New Roman" w:cs="Times New Roman"/>
                <w:iCs/>
                <w:sz w:val="24"/>
                <w:szCs w:val="24"/>
              </w:rPr>
              <w:t>Birojam līdz likum</w:t>
            </w:r>
            <w:r w:rsidR="00E771AF">
              <w:rPr>
                <w:rFonts w:ascii="Times New Roman" w:eastAsia="Times New Roman" w:hAnsi="Times New Roman" w:cs="Times New Roman"/>
                <w:iCs/>
                <w:sz w:val="24"/>
                <w:szCs w:val="24"/>
              </w:rPr>
              <w:t>projekt</w:t>
            </w:r>
            <w:r w:rsidRPr="00484A95">
              <w:rPr>
                <w:rFonts w:ascii="Times New Roman" w:eastAsia="Times New Roman" w:hAnsi="Times New Roman" w:cs="Times New Roman"/>
                <w:iCs/>
                <w:sz w:val="24"/>
                <w:szCs w:val="24"/>
              </w:rPr>
              <w:t xml:space="preserve">a spēkā stāšanās brīdim ir jāpieņem iekšējs normatīvs akts, kurā tiks regulēta amatpersonu (darbinieku) mēnešalgas noteikšanas kārtība, ņemot vērā katra amata vērtību (atbildības līmeni un sarežģītību), konkrētās amatpersonas (darbinieka) individuālās kvalifikācijas un kompetenču novērtējumu. </w:t>
            </w:r>
          </w:p>
          <w:p w14:paraId="4B52EDBD" w14:textId="77777777" w:rsidR="006F58B9" w:rsidRPr="00484A95" w:rsidRDefault="006F58B9" w:rsidP="006F58B9">
            <w:pPr>
              <w:pStyle w:val="PlainText"/>
              <w:ind w:right="113"/>
              <w:jc w:val="both"/>
              <w:rPr>
                <w:rFonts w:ascii="Times New Roman" w:hAnsi="Times New Roman" w:cs="Times New Roman"/>
                <w:sz w:val="24"/>
                <w:szCs w:val="24"/>
              </w:rPr>
            </w:pPr>
          </w:p>
          <w:p w14:paraId="474D1EAE" w14:textId="7C69642A" w:rsidR="00FE4B2A" w:rsidRPr="00484A95" w:rsidRDefault="006F58B9" w:rsidP="00602A34">
            <w:pPr>
              <w:pStyle w:val="PlainText"/>
              <w:ind w:right="113"/>
              <w:jc w:val="both"/>
              <w:rPr>
                <w:rFonts w:ascii="Times New Roman" w:hAnsi="Times New Roman" w:cs="Times New Roman"/>
                <w:sz w:val="24"/>
                <w:szCs w:val="24"/>
              </w:rPr>
            </w:pPr>
            <w:r w:rsidRPr="00484A95">
              <w:rPr>
                <w:rFonts w:ascii="Times New Roman" w:hAnsi="Times New Roman" w:cs="Times New Roman"/>
                <w:sz w:val="24"/>
                <w:szCs w:val="24"/>
              </w:rPr>
              <w:t>Detalizētu aprēķinu (mēnešalgu aprēķinus bez normatīvajos aktos noteiktajām obligātajām piemaksām) skat.</w:t>
            </w:r>
            <w:r w:rsidR="00984201">
              <w:rPr>
                <w:rFonts w:ascii="Times New Roman" w:hAnsi="Times New Roman" w:cs="Times New Roman"/>
                <w:sz w:val="24"/>
                <w:szCs w:val="24"/>
              </w:rPr>
              <w:t xml:space="preserve"> anotācijas</w:t>
            </w:r>
            <w:r w:rsidRPr="00484A95">
              <w:rPr>
                <w:rFonts w:ascii="Times New Roman" w:hAnsi="Times New Roman" w:cs="Times New Roman"/>
                <w:sz w:val="24"/>
                <w:szCs w:val="24"/>
              </w:rPr>
              <w:t xml:space="preserve"> pielikumā.</w:t>
            </w:r>
          </w:p>
          <w:p w14:paraId="749EC4BC" w14:textId="77777777" w:rsidR="00B07EB1" w:rsidRPr="00484A95" w:rsidRDefault="00B07EB1" w:rsidP="00B07EB1">
            <w:pPr>
              <w:pStyle w:val="PlainText"/>
              <w:ind w:left="204" w:right="113"/>
              <w:jc w:val="both"/>
              <w:rPr>
                <w:rFonts w:ascii="Times New Roman" w:hAnsi="Times New Roman" w:cs="Times New Roman"/>
                <w:sz w:val="24"/>
                <w:szCs w:val="24"/>
              </w:rPr>
            </w:pPr>
          </w:p>
        </w:tc>
      </w:tr>
      <w:tr w:rsidR="00B07EB1" w:rsidRPr="007C3259" w14:paraId="594E91B9" w14:textId="77777777" w:rsidTr="009553E5">
        <w:tc>
          <w:tcPr>
            <w:tcW w:w="632" w:type="pct"/>
            <w:hideMark/>
          </w:tcPr>
          <w:p w14:paraId="1982DA0B"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6.1. detalizēts ieņēmumu aprēķins</w:t>
            </w:r>
          </w:p>
        </w:tc>
        <w:tc>
          <w:tcPr>
            <w:tcW w:w="4368" w:type="pct"/>
            <w:gridSpan w:val="7"/>
            <w:vMerge/>
            <w:vAlign w:val="center"/>
            <w:hideMark/>
          </w:tcPr>
          <w:p w14:paraId="4BF38BFF" w14:textId="77777777" w:rsidR="00B07EB1" w:rsidRPr="007C3259" w:rsidRDefault="00B07EB1" w:rsidP="00B07EB1">
            <w:pPr>
              <w:rPr>
                <w:rFonts w:ascii="Times New Roman" w:eastAsia="Times New Roman" w:hAnsi="Times New Roman" w:cs="Times New Roman"/>
                <w:sz w:val="24"/>
                <w:szCs w:val="24"/>
                <w:lang w:eastAsia="lv-LV"/>
              </w:rPr>
            </w:pPr>
          </w:p>
        </w:tc>
      </w:tr>
      <w:tr w:rsidR="00B07EB1" w:rsidRPr="007C3259" w14:paraId="514CBF11" w14:textId="77777777" w:rsidTr="009553E5">
        <w:tc>
          <w:tcPr>
            <w:tcW w:w="632" w:type="pct"/>
            <w:hideMark/>
          </w:tcPr>
          <w:p w14:paraId="3639491D"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6.2. detalizēts izdevumu aprēķins</w:t>
            </w:r>
          </w:p>
        </w:tc>
        <w:tc>
          <w:tcPr>
            <w:tcW w:w="4368" w:type="pct"/>
            <w:gridSpan w:val="7"/>
            <w:vMerge/>
            <w:vAlign w:val="center"/>
            <w:hideMark/>
          </w:tcPr>
          <w:p w14:paraId="4EB6AE62" w14:textId="77777777" w:rsidR="00B07EB1" w:rsidRPr="007C3259" w:rsidRDefault="00B07EB1" w:rsidP="00B07EB1">
            <w:pPr>
              <w:rPr>
                <w:rFonts w:ascii="Times New Roman" w:eastAsia="Times New Roman" w:hAnsi="Times New Roman" w:cs="Times New Roman"/>
                <w:sz w:val="24"/>
                <w:szCs w:val="24"/>
                <w:lang w:eastAsia="lv-LV"/>
              </w:rPr>
            </w:pPr>
          </w:p>
        </w:tc>
      </w:tr>
      <w:tr w:rsidR="00B07EB1" w:rsidRPr="007C3259" w14:paraId="0E843FEF" w14:textId="77777777" w:rsidTr="009553E5">
        <w:tc>
          <w:tcPr>
            <w:tcW w:w="632" w:type="pct"/>
            <w:hideMark/>
          </w:tcPr>
          <w:p w14:paraId="084AC45F" w14:textId="77777777" w:rsidR="00B07EB1" w:rsidRPr="007C3259" w:rsidRDefault="00B07EB1" w:rsidP="00B07EB1">
            <w:pPr>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7. Amata vietu skaita izmaiņas</w:t>
            </w:r>
          </w:p>
        </w:tc>
        <w:tc>
          <w:tcPr>
            <w:tcW w:w="4368" w:type="pct"/>
            <w:gridSpan w:val="7"/>
            <w:hideMark/>
          </w:tcPr>
          <w:p w14:paraId="375C3825" w14:textId="77777777" w:rsidR="00B07EB1" w:rsidRPr="00933348" w:rsidRDefault="00B07EB1" w:rsidP="00B07EB1">
            <w:pPr>
              <w:ind w:left="57" w:right="113"/>
              <w:jc w:val="both"/>
              <w:rPr>
                <w:rFonts w:ascii="Times New Roman" w:hAnsi="Times New Roman" w:cs="Times New Roman"/>
                <w:bCs/>
                <w:sz w:val="24"/>
                <w:szCs w:val="24"/>
              </w:rPr>
            </w:pPr>
            <w:r w:rsidRPr="00B07EB1">
              <w:rPr>
                <w:rFonts w:ascii="Times New Roman" w:hAnsi="Times New Roman" w:cs="Times New Roman"/>
                <w:sz w:val="24"/>
                <w:szCs w:val="24"/>
              </w:rPr>
              <w:t>Saskaņā ar P</w:t>
            </w:r>
            <w:r w:rsidRPr="00B07EB1">
              <w:rPr>
                <w:rFonts w:ascii="Times New Roman" w:hAnsi="Times New Roman" w:cs="Times New Roman"/>
                <w:bCs/>
                <w:sz w:val="24"/>
                <w:szCs w:val="24"/>
                <w:lang w:eastAsia="lv-LV"/>
              </w:rPr>
              <w:t xml:space="preserve">asākumu plāna </w:t>
            </w:r>
            <w:r w:rsidRPr="00B07EB1">
              <w:rPr>
                <w:rFonts w:ascii="Times New Roman" w:eastAsia="Calibri" w:hAnsi="Times New Roman" w:cs="Times New Roman"/>
                <w:sz w:val="24"/>
                <w:szCs w:val="24"/>
              </w:rPr>
              <w:t>noziedzīgi iegūtu līdzekļu legalizācijas, terorisma un proliferācijas finansēšanas novēršanai laikposmam no 2020. līdz 2022. gadam</w:t>
            </w:r>
            <w:r w:rsidRPr="00B07EB1">
              <w:rPr>
                <w:rStyle w:val="FootnoteReference"/>
                <w:rFonts w:ascii="Times New Roman" w:eastAsia="Calibri" w:hAnsi="Times New Roman" w:cs="Times New Roman"/>
                <w:sz w:val="24"/>
                <w:szCs w:val="24"/>
              </w:rPr>
              <w:footnoteReference w:id="5"/>
            </w:r>
            <w:r w:rsidRPr="00B07EB1">
              <w:rPr>
                <w:rFonts w:ascii="Times New Roman" w:eastAsia="Calibri" w:hAnsi="Times New Roman" w:cs="Times New Roman"/>
                <w:sz w:val="24"/>
                <w:szCs w:val="24"/>
              </w:rPr>
              <w:t xml:space="preserve">, turpmāk – pasākumu plāns, </w:t>
            </w:r>
            <w:r w:rsidRPr="00B07EB1">
              <w:rPr>
                <w:rFonts w:ascii="Times New Roman" w:eastAsia="Times New Roman" w:hAnsi="Times New Roman" w:cs="Times New Roman"/>
                <w:bCs/>
                <w:sz w:val="24"/>
                <w:szCs w:val="24"/>
                <w:lang w:eastAsia="lv-LV"/>
              </w:rPr>
              <w:t>7.2.</w:t>
            </w:r>
            <w:r w:rsidR="004F2E55">
              <w:rPr>
                <w:rFonts w:ascii="Times New Roman" w:eastAsia="Times New Roman" w:hAnsi="Times New Roman" w:cs="Times New Roman"/>
                <w:bCs/>
                <w:sz w:val="24"/>
                <w:szCs w:val="24"/>
                <w:lang w:eastAsia="lv-LV"/>
              </w:rPr>
              <w:t>pasākuma</w:t>
            </w:r>
            <w:r w:rsidR="00911600">
              <w:rPr>
                <w:rFonts w:ascii="Times New Roman" w:eastAsia="Times New Roman" w:hAnsi="Times New Roman" w:cs="Times New Roman"/>
                <w:bCs/>
                <w:sz w:val="24"/>
                <w:szCs w:val="24"/>
                <w:lang w:eastAsia="lv-LV"/>
              </w:rPr>
              <w:t xml:space="preserve"> 4.</w:t>
            </w:r>
            <w:r w:rsidRPr="00B07EB1">
              <w:rPr>
                <w:rFonts w:ascii="Times New Roman" w:eastAsia="Times New Roman" w:hAnsi="Times New Roman" w:cs="Times New Roman"/>
                <w:bCs/>
                <w:sz w:val="24"/>
                <w:szCs w:val="24"/>
                <w:lang w:eastAsia="lv-LV"/>
              </w:rPr>
              <w:t>rezultatīvo rādītāju un pasākumu plāna pielikuma</w:t>
            </w:r>
            <w:r w:rsidR="00911600">
              <w:rPr>
                <w:rFonts w:ascii="Times New Roman" w:eastAsia="Times New Roman" w:hAnsi="Times New Roman" w:cs="Times New Roman"/>
                <w:bCs/>
                <w:sz w:val="24"/>
                <w:szCs w:val="24"/>
                <w:lang w:eastAsia="lv-LV"/>
              </w:rPr>
              <w:t xml:space="preserve"> 17</w:t>
            </w:r>
            <w:r w:rsidRPr="00B07EB1">
              <w:rPr>
                <w:rFonts w:ascii="Times New Roman" w:eastAsia="Times New Roman" w:hAnsi="Times New Roman" w:cs="Times New Roman"/>
                <w:bCs/>
                <w:sz w:val="24"/>
                <w:szCs w:val="24"/>
                <w:lang w:eastAsia="lv-LV"/>
              </w:rPr>
              <w:t>.tabulu</w:t>
            </w:r>
            <w:r w:rsidRPr="00B07EB1">
              <w:rPr>
                <w:rFonts w:ascii="Times New Roman" w:eastAsia="Times New Roman" w:hAnsi="Times New Roman" w:cs="Times New Roman"/>
                <w:b/>
                <w:bCs/>
                <w:sz w:val="16"/>
                <w:szCs w:val="16"/>
                <w:lang w:eastAsia="lv-LV"/>
              </w:rPr>
              <w:t xml:space="preserve"> </w:t>
            </w:r>
            <w:r w:rsidRPr="00B07EB1">
              <w:rPr>
                <w:rFonts w:ascii="Times New Roman" w:hAnsi="Times New Roman" w:cs="Times New Roman"/>
                <w:sz w:val="24"/>
                <w:szCs w:val="24"/>
              </w:rPr>
              <w:t xml:space="preserve">Biroja priekšniekam ir piešķirtas tiesības izveidot papildu 19 amata vietas, pieņemot amatpersonas (darbiniekus) darbā pakāpeniski, </w:t>
            </w:r>
            <w:r w:rsidRPr="00B07EB1">
              <w:rPr>
                <w:rFonts w:ascii="Times New Roman" w:hAnsi="Times New Roman" w:cs="Times New Roman"/>
                <w:bCs/>
                <w:sz w:val="24"/>
                <w:szCs w:val="24"/>
              </w:rPr>
              <w:t>proti, ar 2021.gada 1.martu aizpildot 9 jaunizveidotās amata vietas, savukārt 2022.gadā – 10 amata vietas.</w:t>
            </w:r>
          </w:p>
          <w:p w14:paraId="67E2AFCB" w14:textId="77777777" w:rsidR="00B07EB1" w:rsidRPr="00933348" w:rsidRDefault="00B07EB1" w:rsidP="00B07EB1">
            <w:pPr>
              <w:ind w:left="57" w:right="113"/>
              <w:jc w:val="both"/>
              <w:rPr>
                <w:rFonts w:ascii="Times New Roman" w:hAnsi="Times New Roman" w:cs="Times New Roman"/>
                <w:sz w:val="24"/>
                <w:szCs w:val="24"/>
              </w:rPr>
            </w:pPr>
            <w:r w:rsidRPr="00933348">
              <w:rPr>
                <w:rFonts w:ascii="Times New Roman" w:hAnsi="Times New Roman" w:cs="Times New Roman"/>
                <w:bCs/>
                <w:sz w:val="24"/>
                <w:szCs w:val="24"/>
              </w:rPr>
              <w:t>Ņemot vērā, ka</w:t>
            </w:r>
            <w:r w:rsidRPr="00933348">
              <w:rPr>
                <w:rFonts w:ascii="Times New Roman" w:hAnsi="Times New Roman" w:cs="Times New Roman"/>
                <w:sz w:val="24"/>
                <w:szCs w:val="24"/>
              </w:rPr>
              <w:t xml:space="preserve"> kopējais amata vietu skaits Birojā tiks palielināts pakāpeniski, papildu nepieciešamais finansējums ir aprēķināts:</w:t>
            </w:r>
          </w:p>
          <w:p w14:paraId="7E7EDC1A" w14:textId="77777777" w:rsidR="00B07EB1" w:rsidRPr="00933348" w:rsidRDefault="00B07EB1" w:rsidP="00B07EB1">
            <w:pPr>
              <w:pStyle w:val="ListParagraph"/>
              <w:numPr>
                <w:ilvl w:val="0"/>
                <w:numId w:val="7"/>
              </w:numPr>
              <w:ind w:right="113"/>
              <w:jc w:val="both"/>
              <w:rPr>
                <w:rFonts w:ascii="Times New Roman" w:hAnsi="Times New Roman" w:cs="Times New Roman"/>
                <w:sz w:val="24"/>
                <w:szCs w:val="24"/>
              </w:rPr>
            </w:pPr>
            <w:r w:rsidRPr="00933348">
              <w:rPr>
                <w:rFonts w:ascii="Times New Roman" w:hAnsi="Times New Roman" w:cs="Times New Roman"/>
                <w:sz w:val="24"/>
                <w:szCs w:val="24"/>
              </w:rPr>
              <w:t xml:space="preserve">līdz </w:t>
            </w:r>
            <w:proofErr w:type="gramStart"/>
            <w:r w:rsidRPr="00933348">
              <w:rPr>
                <w:rFonts w:ascii="Times New Roman" w:hAnsi="Times New Roman" w:cs="Times New Roman"/>
                <w:sz w:val="24"/>
                <w:szCs w:val="24"/>
              </w:rPr>
              <w:t>2021.gada</w:t>
            </w:r>
            <w:proofErr w:type="gramEnd"/>
            <w:r w:rsidRPr="00933348">
              <w:rPr>
                <w:rFonts w:ascii="Times New Roman" w:hAnsi="Times New Roman" w:cs="Times New Roman"/>
                <w:sz w:val="24"/>
                <w:szCs w:val="24"/>
              </w:rPr>
              <w:t xml:space="preserve"> 28.februārim – 152 amata vietām;</w:t>
            </w:r>
          </w:p>
          <w:p w14:paraId="63CEDE15" w14:textId="77777777" w:rsidR="00B07EB1" w:rsidRPr="00933348" w:rsidRDefault="00B07EB1" w:rsidP="00B07EB1">
            <w:pPr>
              <w:pStyle w:val="ListParagraph"/>
              <w:numPr>
                <w:ilvl w:val="0"/>
                <w:numId w:val="7"/>
              </w:numPr>
              <w:ind w:right="113"/>
              <w:jc w:val="both"/>
              <w:rPr>
                <w:rFonts w:ascii="Times New Roman" w:hAnsi="Times New Roman" w:cs="Times New Roman"/>
                <w:sz w:val="24"/>
                <w:szCs w:val="24"/>
              </w:rPr>
            </w:pPr>
            <w:r w:rsidRPr="00933348">
              <w:rPr>
                <w:rFonts w:ascii="Times New Roman" w:hAnsi="Times New Roman" w:cs="Times New Roman"/>
                <w:sz w:val="24"/>
                <w:szCs w:val="24"/>
              </w:rPr>
              <w:t xml:space="preserve">no </w:t>
            </w:r>
            <w:proofErr w:type="gramStart"/>
            <w:r w:rsidRPr="00933348">
              <w:rPr>
                <w:rFonts w:ascii="Times New Roman" w:hAnsi="Times New Roman" w:cs="Times New Roman"/>
                <w:sz w:val="24"/>
                <w:szCs w:val="24"/>
              </w:rPr>
              <w:t>2021.gada</w:t>
            </w:r>
            <w:proofErr w:type="gramEnd"/>
            <w:r w:rsidRPr="00933348">
              <w:rPr>
                <w:rFonts w:ascii="Times New Roman" w:hAnsi="Times New Roman" w:cs="Times New Roman"/>
                <w:sz w:val="24"/>
                <w:szCs w:val="24"/>
              </w:rPr>
              <w:t xml:space="preserve"> 1.marta līdz 2021.gada 31.decembrim – 161 amata vietai;</w:t>
            </w:r>
          </w:p>
          <w:p w14:paraId="272EE387" w14:textId="77777777" w:rsidR="00B07EB1" w:rsidRDefault="00B07EB1" w:rsidP="00B07EB1">
            <w:pPr>
              <w:pStyle w:val="ListParagraph"/>
              <w:numPr>
                <w:ilvl w:val="0"/>
                <w:numId w:val="7"/>
              </w:numPr>
              <w:ind w:right="113"/>
              <w:jc w:val="both"/>
              <w:rPr>
                <w:rFonts w:ascii="Times New Roman" w:hAnsi="Times New Roman" w:cs="Times New Roman"/>
                <w:sz w:val="24"/>
                <w:szCs w:val="24"/>
              </w:rPr>
            </w:pPr>
            <w:r w:rsidRPr="00933348">
              <w:rPr>
                <w:rFonts w:ascii="Times New Roman" w:hAnsi="Times New Roman" w:cs="Times New Roman"/>
                <w:sz w:val="24"/>
                <w:szCs w:val="24"/>
              </w:rPr>
              <w:t xml:space="preserve">no </w:t>
            </w:r>
            <w:proofErr w:type="gramStart"/>
            <w:r w:rsidRPr="00933348">
              <w:rPr>
                <w:rFonts w:ascii="Times New Roman" w:hAnsi="Times New Roman" w:cs="Times New Roman"/>
                <w:sz w:val="24"/>
                <w:szCs w:val="24"/>
              </w:rPr>
              <w:t>2022.gada</w:t>
            </w:r>
            <w:proofErr w:type="gramEnd"/>
            <w:r w:rsidRPr="00933348">
              <w:rPr>
                <w:rFonts w:ascii="Times New Roman" w:hAnsi="Times New Roman" w:cs="Times New Roman"/>
                <w:sz w:val="24"/>
                <w:szCs w:val="24"/>
              </w:rPr>
              <w:t xml:space="preserve"> un turpmāk – 171 amata vietai.</w:t>
            </w:r>
          </w:p>
          <w:p w14:paraId="122AC996" w14:textId="766BF8A6" w:rsidR="00987EBC" w:rsidRPr="00011155" w:rsidRDefault="00987EBC" w:rsidP="00987EBC">
            <w:pPr>
              <w:pStyle w:val="ListParagraph"/>
              <w:ind w:left="564" w:right="113"/>
              <w:jc w:val="both"/>
              <w:rPr>
                <w:rFonts w:ascii="Times New Roman" w:hAnsi="Times New Roman" w:cs="Times New Roman"/>
                <w:sz w:val="24"/>
                <w:szCs w:val="24"/>
              </w:rPr>
            </w:pPr>
          </w:p>
        </w:tc>
      </w:tr>
      <w:tr w:rsidR="00B07EB1" w:rsidRPr="007C3259" w14:paraId="438E2D86" w14:textId="77777777" w:rsidTr="009553E5">
        <w:tc>
          <w:tcPr>
            <w:tcW w:w="632" w:type="pct"/>
            <w:hideMark/>
          </w:tcPr>
          <w:p w14:paraId="02956F65" w14:textId="77777777" w:rsidR="00B07EB1" w:rsidRPr="007C3259" w:rsidRDefault="00B07EB1" w:rsidP="00B07EB1">
            <w:pPr>
              <w:ind w:right="-166"/>
              <w:rPr>
                <w:rFonts w:ascii="Times New Roman" w:eastAsia="Times New Roman" w:hAnsi="Times New Roman" w:cs="Times New Roman"/>
                <w:sz w:val="24"/>
                <w:szCs w:val="24"/>
                <w:lang w:eastAsia="lv-LV"/>
              </w:rPr>
            </w:pPr>
            <w:r w:rsidRPr="007C3259">
              <w:rPr>
                <w:rFonts w:ascii="Times New Roman" w:eastAsia="Times New Roman" w:hAnsi="Times New Roman" w:cs="Times New Roman"/>
                <w:sz w:val="24"/>
                <w:szCs w:val="24"/>
                <w:lang w:eastAsia="lv-LV"/>
              </w:rPr>
              <w:t>8. Cita informācija</w:t>
            </w:r>
          </w:p>
        </w:tc>
        <w:tc>
          <w:tcPr>
            <w:tcW w:w="4368" w:type="pct"/>
            <w:gridSpan w:val="7"/>
            <w:hideMark/>
          </w:tcPr>
          <w:p w14:paraId="39DF38AE" w14:textId="7C8ED951" w:rsidR="00B07EB1" w:rsidRPr="007C3259" w:rsidRDefault="00C34220" w:rsidP="005409B8">
            <w:pPr>
              <w:pStyle w:val="PlainText"/>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tiks nodrošināts</w:t>
            </w:r>
            <w:r w:rsidR="00647281">
              <w:rPr>
                <w:rFonts w:ascii="Times New Roman" w:eastAsia="Times New Roman" w:hAnsi="Times New Roman" w:cs="Times New Roman"/>
                <w:sz w:val="24"/>
                <w:szCs w:val="24"/>
              </w:rPr>
              <w:t xml:space="preserve"> </w:t>
            </w:r>
            <w:proofErr w:type="gramStart"/>
            <w:r w:rsidR="00913B0F">
              <w:rPr>
                <w:rFonts w:ascii="Times New Roman" w:eastAsia="Times New Roman" w:hAnsi="Times New Roman" w:cs="Times New Roman"/>
                <w:sz w:val="24"/>
                <w:szCs w:val="24"/>
              </w:rPr>
              <w:t>2020.</w:t>
            </w:r>
            <w:r w:rsidR="00647281">
              <w:rPr>
                <w:rFonts w:ascii="Times New Roman" w:eastAsia="Times New Roman" w:hAnsi="Times New Roman" w:cs="Times New Roman"/>
                <w:sz w:val="24"/>
                <w:szCs w:val="24"/>
              </w:rPr>
              <w:t>ga</w:t>
            </w:r>
            <w:r w:rsidR="00913B0F">
              <w:rPr>
                <w:rFonts w:ascii="Times New Roman" w:eastAsia="Times New Roman" w:hAnsi="Times New Roman" w:cs="Times New Roman"/>
                <w:sz w:val="24"/>
                <w:szCs w:val="24"/>
              </w:rPr>
              <w:t>da</w:t>
            </w:r>
            <w:proofErr w:type="gramEnd"/>
            <w:r w:rsidR="00913B0F">
              <w:rPr>
                <w:rFonts w:ascii="Times New Roman" w:eastAsia="Times New Roman" w:hAnsi="Times New Roman" w:cs="Times New Roman"/>
                <w:sz w:val="24"/>
                <w:szCs w:val="24"/>
              </w:rPr>
              <w:t xml:space="preserve"> 22.septembra</w:t>
            </w:r>
            <w:r w:rsidR="00647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5409B8">
              <w:rPr>
                <w:rFonts w:ascii="Times New Roman" w:eastAsia="Times New Roman" w:hAnsi="Times New Roman" w:cs="Times New Roman"/>
                <w:sz w:val="24"/>
                <w:szCs w:val="24"/>
              </w:rPr>
              <w:t>inistru kabineta</w:t>
            </w:r>
            <w:r>
              <w:rPr>
                <w:rFonts w:ascii="Times New Roman" w:eastAsia="Times New Roman" w:hAnsi="Times New Roman" w:cs="Times New Roman"/>
                <w:sz w:val="24"/>
                <w:szCs w:val="24"/>
              </w:rPr>
              <w:t xml:space="preserve"> sēdē</w:t>
            </w:r>
            <w:r w:rsidR="00647281">
              <w:rPr>
                <w:rFonts w:ascii="Times New Roman" w:eastAsia="Times New Roman" w:hAnsi="Times New Roman" w:cs="Times New Roman"/>
                <w:sz w:val="24"/>
                <w:szCs w:val="24"/>
              </w:rPr>
              <w:t xml:space="preserve"> (</w:t>
            </w:r>
            <w:proofErr w:type="spellStart"/>
            <w:r w:rsidR="00647281">
              <w:rPr>
                <w:rFonts w:ascii="Times New Roman" w:eastAsia="Times New Roman" w:hAnsi="Times New Roman" w:cs="Times New Roman"/>
                <w:sz w:val="24"/>
                <w:szCs w:val="24"/>
              </w:rPr>
              <w:t>prot.nr</w:t>
            </w:r>
            <w:proofErr w:type="spellEnd"/>
            <w:r w:rsidR="00647281">
              <w:rPr>
                <w:rFonts w:ascii="Times New Roman" w:eastAsia="Times New Roman" w:hAnsi="Times New Roman" w:cs="Times New Roman"/>
                <w:sz w:val="24"/>
                <w:szCs w:val="24"/>
              </w:rPr>
              <w:t xml:space="preserve">. </w:t>
            </w:r>
            <w:r w:rsidR="00B077D4">
              <w:rPr>
                <w:rFonts w:ascii="Times New Roman" w:eastAsia="Times New Roman" w:hAnsi="Times New Roman" w:cs="Times New Roman"/>
                <w:sz w:val="24"/>
                <w:szCs w:val="24"/>
              </w:rPr>
              <w:t xml:space="preserve">55, </w:t>
            </w:r>
            <w:proofErr w:type="spellStart"/>
            <w:r w:rsidR="00B077D4">
              <w:rPr>
                <w:rFonts w:ascii="Times New Roman" w:eastAsia="Times New Roman" w:hAnsi="Times New Roman" w:cs="Times New Roman"/>
                <w:sz w:val="24"/>
                <w:szCs w:val="24"/>
              </w:rPr>
              <w:t>para</w:t>
            </w:r>
            <w:proofErr w:type="spellEnd"/>
            <w:r w:rsidR="00B077D4">
              <w:rPr>
                <w:rFonts w:ascii="Times New Roman" w:eastAsia="Times New Roman" w:hAnsi="Times New Roman" w:cs="Times New Roman"/>
                <w:sz w:val="24"/>
                <w:szCs w:val="24"/>
              </w:rPr>
              <w:t xml:space="preserve"> […]</w:t>
            </w:r>
            <w:r w:rsidR="00647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0468">
              <w:rPr>
                <w:rFonts w:ascii="Times New Roman" w:eastAsia="Times New Roman" w:hAnsi="Times New Roman" w:cs="Times New Roman"/>
                <w:sz w:val="24"/>
                <w:szCs w:val="24"/>
              </w:rPr>
              <w:t>atbalstīt</w:t>
            </w:r>
            <w:r w:rsidR="00B91EFC" w:rsidRPr="00600468">
              <w:rPr>
                <w:rFonts w:ascii="Times New Roman" w:eastAsia="Times New Roman" w:hAnsi="Times New Roman" w:cs="Times New Roman"/>
                <w:sz w:val="24"/>
                <w:szCs w:val="24"/>
              </w:rPr>
              <w:t>ā</w:t>
            </w:r>
            <w:r w:rsidRPr="00600468">
              <w:rPr>
                <w:rFonts w:ascii="Times New Roman" w:eastAsia="Times New Roman" w:hAnsi="Times New Roman" w:cs="Times New Roman"/>
                <w:sz w:val="24"/>
                <w:szCs w:val="24"/>
              </w:rPr>
              <w:t xml:space="preserve"> prioritār</w:t>
            </w:r>
            <w:r w:rsidR="00B91EFC" w:rsidRPr="00600468">
              <w:rPr>
                <w:rFonts w:ascii="Times New Roman" w:eastAsia="Times New Roman" w:hAnsi="Times New Roman" w:cs="Times New Roman"/>
                <w:sz w:val="24"/>
                <w:szCs w:val="24"/>
              </w:rPr>
              <w:t>ā</w:t>
            </w:r>
            <w:r w:rsidRPr="00600468">
              <w:rPr>
                <w:rFonts w:ascii="Times New Roman" w:eastAsia="Times New Roman" w:hAnsi="Times New Roman" w:cs="Times New Roman"/>
                <w:sz w:val="24"/>
                <w:szCs w:val="24"/>
              </w:rPr>
              <w:t xml:space="preserve"> pasākum</w:t>
            </w:r>
            <w:r w:rsidR="00B91EFC" w:rsidRPr="00600468">
              <w:rPr>
                <w:rFonts w:ascii="Times New Roman" w:eastAsia="Times New Roman" w:hAnsi="Times New Roman" w:cs="Times New Roman"/>
                <w:sz w:val="24"/>
                <w:szCs w:val="24"/>
              </w:rPr>
              <w:t>a</w:t>
            </w:r>
            <w:r w:rsidRPr="00600468">
              <w:rPr>
                <w:rFonts w:ascii="Times New Roman" w:eastAsia="Times New Roman" w:hAnsi="Times New Roman" w:cs="Times New Roman"/>
                <w:sz w:val="24"/>
                <w:szCs w:val="24"/>
              </w:rPr>
              <w:t xml:space="preserve"> </w:t>
            </w:r>
            <w:r w:rsidR="00B91EFC" w:rsidRPr="00600468">
              <w:rPr>
                <w:rFonts w:ascii="Times New Roman" w:eastAsia="Times New Roman" w:hAnsi="Times New Roman" w:cs="Times New Roman"/>
                <w:sz w:val="24"/>
                <w:szCs w:val="24"/>
              </w:rPr>
              <w:t>“Biroja amatpersonu (darbinieku) konkurētspējīgs atalgojums”</w:t>
            </w:r>
            <w:r w:rsidR="00B91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ietvaros un tiks iekļauts likumprojekt</w:t>
            </w:r>
            <w:r w:rsidR="005409B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“Par valsts budžetu 2021.gadam”</w:t>
            </w:r>
            <w:r w:rsidR="00B07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likumprojekt</w:t>
            </w:r>
            <w:r w:rsidR="005409B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“Par vidēja termiņa budžeta ietvaru 2021., 2022. un 2023.gadam”.</w:t>
            </w:r>
          </w:p>
        </w:tc>
      </w:tr>
    </w:tbl>
    <w:p w14:paraId="40755502" w14:textId="77777777" w:rsidR="004A20B1" w:rsidRDefault="004A20B1" w:rsidP="00E5323B">
      <w:pPr>
        <w:rPr>
          <w:rFonts w:ascii="Times New Roman" w:eastAsia="Times New Roman" w:hAnsi="Times New Roman" w:cs="Times New Roman"/>
          <w:iCs/>
          <w:sz w:val="24"/>
          <w:szCs w:val="24"/>
          <w:lang w:eastAsia="lv-LV"/>
        </w:rPr>
      </w:pPr>
    </w:p>
    <w:p w14:paraId="704AF3B5" w14:textId="77777777" w:rsidR="007C3259" w:rsidRPr="009162AC" w:rsidRDefault="007C3259" w:rsidP="00E5323B">
      <w:pP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2791"/>
        <w:gridCol w:w="5779"/>
      </w:tblGrid>
      <w:tr w:rsidR="00777B26" w:rsidRPr="00777B26" w14:paraId="389EEDC5" w14:textId="77777777" w:rsidTr="00777B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74599F" w14:textId="77777777" w:rsidR="00777B26" w:rsidRPr="00777B26" w:rsidRDefault="00777B26" w:rsidP="00777B26">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354383" w:rsidRPr="00777B26" w14:paraId="31C783D8" w14:textId="77777777" w:rsidTr="009553E5">
        <w:trPr>
          <w:trHeight w:val="187"/>
          <w:tblCellSpacing w:w="15" w:type="dxa"/>
        </w:trPr>
        <w:tc>
          <w:tcPr>
            <w:tcW w:w="243" w:type="pct"/>
            <w:tcBorders>
              <w:top w:val="outset" w:sz="6" w:space="0" w:color="auto"/>
              <w:left w:val="outset" w:sz="6" w:space="0" w:color="auto"/>
              <w:bottom w:val="outset" w:sz="6" w:space="0" w:color="auto"/>
              <w:right w:val="outset" w:sz="6" w:space="0" w:color="auto"/>
            </w:tcBorders>
            <w:vAlign w:val="center"/>
            <w:hideMark/>
          </w:tcPr>
          <w:p w14:paraId="44148392" w14:textId="77777777" w:rsidR="00354383" w:rsidRDefault="00354383" w:rsidP="00354383">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525" w:type="pct"/>
            <w:tcBorders>
              <w:top w:val="outset" w:sz="6" w:space="0" w:color="auto"/>
              <w:left w:val="outset" w:sz="6" w:space="0" w:color="auto"/>
              <w:bottom w:val="outset" w:sz="6" w:space="0" w:color="auto"/>
              <w:right w:val="outset" w:sz="6" w:space="0" w:color="auto"/>
            </w:tcBorders>
          </w:tcPr>
          <w:p w14:paraId="62084C2F" w14:textId="77777777" w:rsidR="00354383" w:rsidRPr="008C2643" w:rsidRDefault="00354383" w:rsidP="00354383">
            <w:pPr>
              <w:rPr>
                <w:rFonts w:ascii="Times New Roman" w:eastAsia="Times New Roman" w:hAnsi="Times New Roman" w:cs="Times New Roman"/>
                <w:bCs/>
                <w:iCs/>
                <w:sz w:val="24"/>
                <w:szCs w:val="24"/>
                <w:lang w:eastAsia="lv-LV"/>
              </w:rPr>
            </w:pPr>
            <w:r w:rsidRPr="00C81A7E">
              <w:rPr>
                <w:rFonts w:ascii="Times New Roman" w:eastAsia="Times New Roman" w:hAnsi="Times New Roman" w:cs="Times New Roman"/>
                <w:sz w:val="24"/>
                <w:szCs w:val="24"/>
              </w:rPr>
              <w:t>Saistītie tiesību aktu projekti</w:t>
            </w:r>
          </w:p>
        </w:tc>
        <w:tc>
          <w:tcPr>
            <w:tcW w:w="3167" w:type="pct"/>
            <w:tcBorders>
              <w:top w:val="outset" w:sz="6" w:space="0" w:color="auto"/>
              <w:left w:val="outset" w:sz="6" w:space="0" w:color="auto"/>
              <w:bottom w:val="outset" w:sz="6" w:space="0" w:color="auto"/>
              <w:right w:val="outset" w:sz="6" w:space="0" w:color="auto"/>
            </w:tcBorders>
            <w:vAlign w:val="center"/>
          </w:tcPr>
          <w:p w14:paraId="735F803C" w14:textId="2CB2FBCE" w:rsidR="00354383" w:rsidRPr="008C2643" w:rsidRDefault="00354383" w:rsidP="00354383">
            <w:pPr>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Pēc Likumprojekta pieņemšanas otrajā lasījumā virzāmi grozījumi Ministru kabineta 2013. gada 29. janvāra </w:t>
            </w:r>
            <w:r>
              <w:rPr>
                <w:rFonts w:ascii="Times New Roman" w:eastAsia="Times New Roman" w:hAnsi="Times New Roman" w:cs="Times New Roman"/>
                <w:bCs/>
                <w:iCs/>
                <w:sz w:val="24"/>
                <w:szCs w:val="24"/>
                <w:lang w:eastAsia="lv-LV"/>
              </w:rPr>
              <w:lastRenderedPageBreak/>
              <w:t xml:space="preserve">noteikumos </w:t>
            </w:r>
            <w:r w:rsidRPr="00354383">
              <w:rPr>
                <w:rFonts w:ascii="Times New Roman" w:eastAsia="Times New Roman" w:hAnsi="Times New Roman" w:cs="Times New Roman"/>
                <w:bCs/>
                <w:iCs/>
                <w:sz w:val="24"/>
                <w:szCs w:val="24"/>
                <w:lang w:eastAsia="lv-LV"/>
              </w:rPr>
              <w:t>Nr. 66 "</w:t>
            </w:r>
            <w:r w:rsidRPr="00354383">
              <w:rPr>
                <w:rFonts w:ascii="Times New Roman" w:hAnsi="Times New Roman" w:cs="Times New Roman"/>
                <w:sz w:val="24"/>
                <w:szCs w:val="24"/>
              </w:rPr>
              <w:t>Noteikumi par valsts un pašvaldību institūciju amatpersonu un darbinieku darba samaksu un tās noteikšanas</w:t>
            </w:r>
            <w:r w:rsidR="008F0564">
              <w:rPr>
                <w:rFonts w:ascii="Times New Roman" w:hAnsi="Times New Roman" w:cs="Times New Roman"/>
                <w:sz w:val="24"/>
                <w:szCs w:val="24"/>
              </w:rPr>
              <w:t xml:space="preserve"> kārtību</w:t>
            </w:r>
            <w:r w:rsidRPr="00354383">
              <w:rPr>
                <w:rFonts w:ascii="Times New Roman" w:hAnsi="Times New Roman" w:cs="Times New Roman"/>
                <w:sz w:val="24"/>
                <w:szCs w:val="24"/>
              </w:rPr>
              <w:t xml:space="preserve">", paredzot </w:t>
            </w:r>
            <w:r>
              <w:rPr>
                <w:rFonts w:ascii="Times New Roman" w:hAnsi="Times New Roman" w:cs="Times New Roman"/>
                <w:sz w:val="24"/>
                <w:szCs w:val="24"/>
              </w:rPr>
              <w:t xml:space="preserve">Biroja </w:t>
            </w:r>
            <w:r w:rsidRPr="00354383">
              <w:rPr>
                <w:rFonts w:ascii="Times New Roman" w:hAnsi="Times New Roman" w:cs="Times New Roman"/>
                <w:bCs/>
                <w:sz w:val="24"/>
                <w:szCs w:val="24"/>
                <w:shd w:val="clear" w:color="auto" w:fill="FFFFFF"/>
              </w:rPr>
              <w:t>amatpersonu (darbinieku) mēnešalgas noteikšanas kārtīb</w:t>
            </w:r>
            <w:r>
              <w:rPr>
                <w:rFonts w:ascii="Times New Roman" w:hAnsi="Times New Roman" w:cs="Times New Roman"/>
                <w:bCs/>
                <w:sz w:val="24"/>
                <w:szCs w:val="24"/>
                <w:shd w:val="clear" w:color="auto" w:fill="FFFFFF"/>
              </w:rPr>
              <w:t>u</w:t>
            </w:r>
            <w:r w:rsidR="00EF5C97">
              <w:rPr>
                <w:rFonts w:ascii="Times New Roman" w:hAnsi="Times New Roman" w:cs="Times New Roman"/>
                <w:bCs/>
                <w:sz w:val="24"/>
                <w:szCs w:val="24"/>
                <w:shd w:val="clear" w:color="auto" w:fill="FFFFFF"/>
              </w:rPr>
              <w:t xml:space="preserve">, </w:t>
            </w:r>
            <w:r w:rsidR="00EF5C97" w:rsidRPr="00600468">
              <w:rPr>
                <w:rFonts w:ascii="Times New Roman" w:hAnsi="Times New Roman"/>
                <w:sz w:val="24"/>
                <w:szCs w:val="24"/>
                <w:shd w:val="clear" w:color="auto" w:fill="FFFFFF"/>
              </w:rPr>
              <w:t>tai</w:t>
            </w:r>
            <w:proofErr w:type="gramStart"/>
            <w:r w:rsidR="00EF5C97" w:rsidRPr="00600468">
              <w:rPr>
                <w:rFonts w:ascii="Times New Roman" w:hAnsi="Times New Roman"/>
                <w:sz w:val="24"/>
                <w:szCs w:val="24"/>
                <w:shd w:val="clear" w:color="auto" w:fill="FFFFFF"/>
              </w:rPr>
              <w:t xml:space="preserve"> skaitā paredzot</w:t>
            </w:r>
            <w:proofErr w:type="gramEnd"/>
            <w:r w:rsidR="00EF5C97" w:rsidRPr="00600468">
              <w:rPr>
                <w:rFonts w:ascii="Times New Roman" w:hAnsi="Times New Roman"/>
                <w:sz w:val="24"/>
                <w:szCs w:val="24"/>
                <w:shd w:val="clear" w:color="auto" w:fill="FFFFFF"/>
              </w:rPr>
              <w:t>, ka, lai noteiktu Biroja amatpersonu (darbinieku) mēnešalgu, tās amatu klasificē saskaņā ar normatīvajiem aktiem par vienotu amatu klasifikācijas sistēmu un amatu klasificēšanas kārtību valsts un pašvaldību institūcijās (amatu katalogs) un nosaka amatu saimi, līmeni un amatam atbilstošo mēnešalgu grupu, kā arī noteikumos norādot katrai kategorijai mēnešalgas maksimālo apmēru</w:t>
            </w:r>
            <w:r w:rsidRPr="00600468">
              <w:rPr>
                <w:rFonts w:ascii="Times New Roman" w:hAnsi="Times New Roman" w:cs="Times New Roman"/>
                <w:bCs/>
                <w:sz w:val="24"/>
                <w:szCs w:val="24"/>
                <w:shd w:val="clear" w:color="auto" w:fill="FFFFFF"/>
              </w:rPr>
              <w:t>.</w:t>
            </w:r>
          </w:p>
        </w:tc>
      </w:tr>
      <w:tr w:rsidR="00354383" w:rsidRPr="00777B26" w14:paraId="50321BAE" w14:textId="77777777" w:rsidTr="009553E5">
        <w:trPr>
          <w:trHeight w:val="185"/>
          <w:tblCellSpacing w:w="15" w:type="dxa"/>
        </w:trPr>
        <w:tc>
          <w:tcPr>
            <w:tcW w:w="243" w:type="pct"/>
            <w:tcBorders>
              <w:top w:val="outset" w:sz="6" w:space="0" w:color="auto"/>
              <w:left w:val="outset" w:sz="6" w:space="0" w:color="auto"/>
              <w:bottom w:val="outset" w:sz="6" w:space="0" w:color="auto"/>
              <w:right w:val="outset" w:sz="6" w:space="0" w:color="auto"/>
            </w:tcBorders>
            <w:vAlign w:val="center"/>
          </w:tcPr>
          <w:p w14:paraId="4E19CDA9" w14:textId="77777777" w:rsidR="00354383" w:rsidRDefault="00354383" w:rsidP="00354383">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2.</w:t>
            </w:r>
          </w:p>
        </w:tc>
        <w:tc>
          <w:tcPr>
            <w:tcW w:w="1525" w:type="pct"/>
            <w:tcBorders>
              <w:top w:val="outset" w:sz="6" w:space="0" w:color="auto"/>
              <w:left w:val="outset" w:sz="6" w:space="0" w:color="auto"/>
              <w:bottom w:val="outset" w:sz="6" w:space="0" w:color="auto"/>
              <w:right w:val="outset" w:sz="6" w:space="0" w:color="auto"/>
            </w:tcBorders>
          </w:tcPr>
          <w:p w14:paraId="4EF39E37" w14:textId="77777777" w:rsidR="00354383" w:rsidRDefault="00354383" w:rsidP="00354383">
            <w:pPr>
              <w:rPr>
                <w:rFonts w:ascii="Times New Roman" w:eastAsia="Times New Roman" w:hAnsi="Times New Roman" w:cs="Times New Roman"/>
                <w:bCs/>
                <w:iCs/>
                <w:sz w:val="24"/>
                <w:szCs w:val="24"/>
                <w:lang w:eastAsia="lv-LV"/>
              </w:rPr>
            </w:pPr>
            <w:r w:rsidRPr="00C81A7E">
              <w:rPr>
                <w:rFonts w:ascii="Times New Roman" w:eastAsia="Times New Roman" w:hAnsi="Times New Roman" w:cs="Times New Roman"/>
                <w:sz w:val="24"/>
                <w:szCs w:val="24"/>
              </w:rPr>
              <w:t>Atbildīgā institūcija</w:t>
            </w:r>
          </w:p>
        </w:tc>
        <w:tc>
          <w:tcPr>
            <w:tcW w:w="3167" w:type="pct"/>
            <w:tcBorders>
              <w:top w:val="outset" w:sz="6" w:space="0" w:color="auto"/>
              <w:left w:val="outset" w:sz="6" w:space="0" w:color="auto"/>
              <w:bottom w:val="outset" w:sz="6" w:space="0" w:color="auto"/>
              <w:right w:val="outset" w:sz="6" w:space="0" w:color="auto"/>
            </w:tcBorders>
            <w:vAlign w:val="center"/>
          </w:tcPr>
          <w:p w14:paraId="73098B4E" w14:textId="77777777" w:rsidR="00354383" w:rsidRDefault="00354383" w:rsidP="00354383">
            <w:pP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Birojs</w:t>
            </w:r>
          </w:p>
        </w:tc>
      </w:tr>
      <w:tr w:rsidR="00354383" w:rsidRPr="00777B26" w14:paraId="1AC753FC" w14:textId="77777777" w:rsidTr="009553E5">
        <w:trPr>
          <w:trHeight w:val="185"/>
          <w:tblCellSpacing w:w="15" w:type="dxa"/>
        </w:trPr>
        <w:tc>
          <w:tcPr>
            <w:tcW w:w="243" w:type="pct"/>
            <w:tcBorders>
              <w:top w:val="outset" w:sz="6" w:space="0" w:color="auto"/>
              <w:left w:val="outset" w:sz="6" w:space="0" w:color="auto"/>
              <w:bottom w:val="outset" w:sz="6" w:space="0" w:color="auto"/>
              <w:right w:val="outset" w:sz="6" w:space="0" w:color="auto"/>
            </w:tcBorders>
            <w:vAlign w:val="center"/>
          </w:tcPr>
          <w:p w14:paraId="2D5CD53A" w14:textId="77777777" w:rsidR="00354383" w:rsidRDefault="00354383" w:rsidP="00354383">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525" w:type="pct"/>
            <w:tcBorders>
              <w:top w:val="outset" w:sz="6" w:space="0" w:color="auto"/>
              <w:left w:val="outset" w:sz="6" w:space="0" w:color="auto"/>
              <w:bottom w:val="outset" w:sz="6" w:space="0" w:color="auto"/>
              <w:right w:val="outset" w:sz="6" w:space="0" w:color="auto"/>
            </w:tcBorders>
          </w:tcPr>
          <w:p w14:paraId="5D6CE4F1" w14:textId="77777777" w:rsidR="00354383" w:rsidRDefault="00354383" w:rsidP="00354383">
            <w:pPr>
              <w:rPr>
                <w:rFonts w:ascii="Times New Roman" w:eastAsia="Times New Roman" w:hAnsi="Times New Roman" w:cs="Times New Roman"/>
                <w:bCs/>
                <w:iCs/>
                <w:sz w:val="24"/>
                <w:szCs w:val="24"/>
                <w:lang w:eastAsia="lv-LV"/>
              </w:rPr>
            </w:pPr>
            <w:r w:rsidRPr="00C81A7E">
              <w:rPr>
                <w:rFonts w:ascii="Times New Roman" w:eastAsia="Times New Roman" w:hAnsi="Times New Roman" w:cs="Times New Roman"/>
                <w:sz w:val="24"/>
                <w:szCs w:val="24"/>
              </w:rPr>
              <w:t>Cita informācija</w:t>
            </w:r>
          </w:p>
        </w:tc>
        <w:tc>
          <w:tcPr>
            <w:tcW w:w="3167" w:type="pct"/>
            <w:tcBorders>
              <w:top w:val="outset" w:sz="6" w:space="0" w:color="auto"/>
              <w:left w:val="outset" w:sz="6" w:space="0" w:color="auto"/>
              <w:bottom w:val="outset" w:sz="6" w:space="0" w:color="auto"/>
              <w:right w:val="outset" w:sz="6" w:space="0" w:color="auto"/>
            </w:tcBorders>
            <w:vAlign w:val="center"/>
          </w:tcPr>
          <w:p w14:paraId="3597C758" w14:textId="77777777" w:rsidR="00354383" w:rsidRDefault="00354383" w:rsidP="00354383">
            <w:pP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6BEDBC4B" w14:textId="77777777" w:rsidR="00E5323B" w:rsidRPr="00B763BB" w:rsidRDefault="00E5323B" w:rsidP="00E5323B">
      <w:pPr>
        <w:rPr>
          <w:rFonts w:ascii="Times New Roman" w:eastAsia="Times New Roman" w:hAnsi="Times New Roman" w:cs="Times New Roman"/>
          <w:iCs/>
          <w:sz w:val="18"/>
          <w:szCs w:val="1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7B26" w:rsidRPr="0094127B" w14:paraId="50AC5360"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92991" w14:textId="77777777" w:rsidR="0094127B" w:rsidRPr="0094127B" w:rsidRDefault="0094127B" w:rsidP="0094127B">
            <w:pPr>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7E71DF2A"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77073" w14:textId="77777777" w:rsidR="0094127B" w:rsidRPr="008C2643" w:rsidRDefault="008A358B" w:rsidP="008A358B">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Likumpr</w:t>
            </w:r>
            <w:r w:rsidR="0094127B" w:rsidRPr="008C2643">
              <w:rPr>
                <w:rFonts w:ascii="Times New Roman" w:eastAsia="Times New Roman" w:hAnsi="Times New Roman" w:cs="Times New Roman"/>
                <w:bCs/>
                <w:iCs/>
                <w:sz w:val="24"/>
                <w:szCs w:val="24"/>
                <w:lang w:eastAsia="lv-LV"/>
              </w:rPr>
              <w:t>ojekts šo jomu neskar</w:t>
            </w:r>
          </w:p>
        </w:tc>
      </w:tr>
    </w:tbl>
    <w:p w14:paraId="06BB68B9" w14:textId="77777777" w:rsidR="009C2F17" w:rsidRPr="00B763BB" w:rsidRDefault="009C2F17" w:rsidP="00E5323B">
      <w:pPr>
        <w:rPr>
          <w:rFonts w:ascii="Times New Roman" w:eastAsia="Times New Roman" w:hAnsi="Times New Roman" w:cs="Times New Roman"/>
          <w:iCs/>
          <w:sz w:val="18"/>
          <w:szCs w:val="1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7659" w:rsidRPr="0094127B" w14:paraId="37016148" w14:textId="77777777" w:rsidTr="00D05C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D3CC6" w14:textId="77777777" w:rsidR="00047659" w:rsidRPr="0094127B" w:rsidRDefault="00047659" w:rsidP="00D05C09">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047659" w:rsidRPr="0094127B" w14:paraId="0526D0EC" w14:textId="77777777" w:rsidTr="00D05C0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DC978" w14:textId="77777777" w:rsidR="00047659" w:rsidRPr="008C2643" w:rsidRDefault="00047659" w:rsidP="00D05C09">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Likumpr</w:t>
            </w:r>
            <w:r w:rsidRPr="008C2643">
              <w:rPr>
                <w:rFonts w:ascii="Times New Roman" w:eastAsia="Times New Roman" w:hAnsi="Times New Roman" w:cs="Times New Roman"/>
                <w:bCs/>
                <w:iCs/>
                <w:sz w:val="24"/>
                <w:szCs w:val="24"/>
                <w:lang w:eastAsia="lv-LV"/>
              </w:rPr>
              <w:t>ojekts šo jomu neskar</w:t>
            </w:r>
          </w:p>
        </w:tc>
      </w:tr>
    </w:tbl>
    <w:p w14:paraId="3D29966C" w14:textId="77777777" w:rsidR="00E5323B" w:rsidRPr="00B763BB" w:rsidRDefault="00047659" w:rsidP="00E5323B">
      <w:pPr>
        <w:rPr>
          <w:rFonts w:ascii="Times New Roman" w:eastAsia="Times New Roman" w:hAnsi="Times New Roman" w:cs="Times New Roman"/>
          <w:iCs/>
          <w:sz w:val="18"/>
          <w:szCs w:val="18"/>
          <w:lang w:eastAsia="lv-LV"/>
        </w:rPr>
      </w:pPr>
      <w:r w:rsidRPr="009162AC">
        <w:rPr>
          <w:rFonts w:ascii="Times New Roman" w:eastAsia="Times New Roman" w:hAnsi="Times New Roman" w:cs="Times New Roman"/>
          <w:iCs/>
          <w:sz w:val="24"/>
          <w:szCs w:val="24"/>
          <w:lang w:eastAsia="lv-LV"/>
        </w:rPr>
        <w:t xml:space="preserve"> </w:t>
      </w:r>
      <w:r w:rsidR="00E5323B"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292E" w:rsidRPr="009162AC" w14:paraId="65376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C78E9" w14:textId="77777777" w:rsidR="00655F2C" w:rsidRPr="009162AC" w:rsidRDefault="00E5323B" w:rsidP="0049292E">
            <w:pPr>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088DE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4748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776084"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BEA35D" w14:textId="77777777" w:rsidR="00E5323B" w:rsidRPr="00D1405E" w:rsidRDefault="002C1763" w:rsidP="00D1405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Birojs</w:t>
            </w:r>
          </w:p>
        </w:tc>
      </w:tr>
      <w:tr w:rsidR="0049292E" w:rsidRPr="009162AC" w14:paraId="4AA9EA6B" w14:textId="77777777" w:rsidTr="006146F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E9A347"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2F29B768" w14:textId="77777777" w:rsidR="00E5323B" w:rsidRPr="006146F6" w:rsidRDefault="00E5323B" w:rsidP="001A3D49">
            <w:pPr>
              <w:jc w:val="both"/>
              <w:rPr>
                <w:rFonts w:ascii="Times New Roman" w:eastAsia="Times New Roman" w:hAnsi="Times New Roman" w:cs="Times New Roman"/>
                <w:iCs/>
                <w:sz w:val="24"/>
                <w:szCs w:val="24"/>
                <w:lang w:eastAsia="lv-LV"/>
              </w:rPr>
            </w:pPr>
            <w:r w:rsidRPr="006146F6">
              <w:rPr>
                <w:rFonts w:ascii="Times New Roman" w:eastAsia="Times New Roman" w:hAnsi="Times New Roman" w:cs="Times New Roman"/>
                <w:iCs/>
                <w:sz w:val="24"/>
                <w:szCs w:val="24"/>
                <w:lang w:eastAsia="lv-LV"/>
              </w:rPr>
              <w:t>Projekta izpildes ietekme uz pārvaldes funkcijām un institucionālo struktūru.</w:t>
            </w:r>
            <w:r w:rsidRPr="006146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6E6DD7BC" w14:textId="77777777" w:rsidR="00777B26" w:rsidRDefault="00DC0C31" w:rsidP="00DC0C3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Likumprojektam n</w:t>
            </w:r>
            <w:r w:rsidR="00777B26" w:rsidRPr="006146F6">
              <w:rPr>
                <w:rFonts w:ascii="Times New Roman" w:eastAsia="Times New Roman" w:hAnsi="Times New Roman" w:cs="Times New Roman"/>
                <w:iCs/>
                <w:sz w:val="24"/>
                <w:szCs w:val="24"/>
                <w:lang w:eastAsia="lv-LV"/>
              </w:rPr>
              <w:t>av ietekmes uz pārvaldes funkcijām un institucionālo struktūru. Nav paredzēta jaunu institūciju izveide, esošu institūciju likvidācija vai reorganizācija</w:t>
            </w:r>
            <w:r w:rsidR="008F4F35">
              <w:rPr>
                <w:rFonts w:ascii="Times New Roman" w:eastAsia="Times New Roman" w:hAnsi="Times New Roman" w:cs="Times New Roman"/>
                <w:iCs/>
                <w:sz w:val="24"/>
                <w:szCs w:val="24"/>
                <w:lang w:eastAsia="lv-LV"/>
              </w:rPr>
              <w:t>.</w:t>
            </w:r>
          </w:p>
          <w:p w14:paraId="06FA4807" w14:textId="77777777" w:rsidR="008D63EC" w:rsidRPr="006146F6" w:rsidRDefault="008D63EC" w:rsidP="00DC0C31">
            <w:pPr>
              <w:jc w:val="both"/>
              <w:rPr>
                <w:rFonts w:ascii="Times New Roman" w:eastAsia="Times New Roman" w:hAnsi="Times New Roman" w:cs="Times New Roman"/>
                <w:iCs/>
                <w:sz w:val="24"/>
                <w:szCs w:val="24"/>
                <w:lang w:eastAsia="lv-LV"/>
              </w:rPr>
            </w:pPr>
          </w:p>
        </w:tc>
      </w:tr>
      <w:tr w:rsidR="0049292E" w:rsidRPr="009162AC" w14:paraId="40A289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2D559" w14:textId="77777777" w:rsidR="00655F2C" w:rsidRPr="009162AC" w:rsidRDefault="00E5323B" w:rsidP="00E5323B">
            <w:pP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0FA64D" w14:textId="77777777" w:rsidR="00E5323B" w:rsidRPr="009162AC" w:rsidRDefault="00E5323B" w:rsidP="001A3D49">
            <w:pPr>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6BB242" w14:textId="77777777" w:rsidR="00E5323B" w:rsidRPr="009162AC" w:rsidRDefault="008D63EC" w:rsidP="00354383">
            <w:pPr>
              <w:jc w:val="both"/>
              <w:rPr>
                <w:rFonts w:ascii="Times New Roman" w:eastAsia="Times New Roman" w:hAnsi="Times New Roman" w:cs="Times New Roman"/>
                <w:iCs/>
                <w:sz w:val="24"/>
                <w:szCs w:val="24"/>
                <w:lang w:eastAsia="lv-LV"/>
              </w:rPr>
            </w:pPr>
            <w:r w:rsidRPr="008D63EC">
              <w:rPr>
                <w:rFonts w:ascii="Times New Roman" w:eastAsia="Times New Roman" w:hAnsi="Times New Roman" w:cs="Times New Roman"/>
                <w:iCs/>
                <w:sz w:val="24"/>
                <w:szCs w:val="24"/>
                <w:lang w:eastAsia="lv-LV"/>
              </w:rPr>
              <w:t>Birojam līdz likuma spēkā stāšanās brīdim jāpieņem iekšējs normatīvs akts, kurā tiks regulēta amatpersonu (darbinieku) mēnešalgas noteikšanas kārtība, ņemot vērā katra amata vērtību (atbildības līmeni un sarežģītību), konkrētās amatpersonas (darbinieka) individuālās kvalifikā</w:t>
            </w:r>
            <w:r w:rsidR="00354383">
              <w:rPr>
                <w:rFonts w:ascii="Times New Roman" w:eastAsia="Times New Roman" w:hAnsi="Times New Roman" w:cs="Times New Roman"/>
                <w:iCs/>
                <w:sz w:val="24"/>
                <w:szCs w:val="24"/>
                <w:lang w:eastAsia="lv-LV"/>
              </w:rPr>
              <w:t>cijas un kompetenču novērtējumu.</w:t>
            </w:r>
            <w:r w:rsidRPr="008D63EC">
              <w:rPr>
                <w:rFonts w:ascii="Times New Roman" w:eastAsia="Times New Roman" w:hAnsi="Times New Roman" w:cs="Times New Roman"/>
                <w:iCs/>
                <w:sz w:val="24"/>
                <w:szCs w:val="24"/>
                <w:lang w:eastAsia="lv-LV"/>
              </w:rPr>
              <w:t xml:space="preserve"> </w:t>
            </w:r>
          </w:p>
        </w:tc>
      </w:tr>
    </w:tbl>
    <w:p w14:paraId="36803488" w14:textId="77777777" w:rsidR="00C25B49" w:rsidRDefault="00C25B49" w:rsidP="00894C55">
      <w:pPr>
        <w:rPr>
          <w:rFonts w:ascii="Times New Roman" w:hAnsi="Times New Roman" w:cs="Times New Roman"/>
          <w:sz w:val="28"/>
          <w:szCs w:val="28"/>
        </w:rPr>
      </w:pPr>
    </w:p>
    <w:p w14:paraId="209035BA" w14:textId="77777777" w:rsidR="00793335" w:rsidRPr="009162AC" w:rsidRDefault="00793335" w:rsidP="00894C55">
      <w:pPr>
        <w:rPr>
          <w:rFonts w:ascii="Times New Roman" w:hAnsi="Times New Roman" w:cs="Times New Roman"/>
          <w:sz w:val="28"/>
          <w:szCs w:val="28"/>
        </w:rPr>
      </w:pPr>
    </w:p>
    <w:p w14:paraId="6A1D805C" w14:textId="77777777" w:rsidR="00B763BB" w:rsidRPr="00AE16D1" w:rsidRDefault="00B763BB" w:rsidP="00AE16D1">
      <w:pPr>
        <w:tabs>
          <w:tab w:val="left" w:pos="6521"/>
        </w:tabs>
        <w:ind w:firstLine="709"/>
        <w:jc w:val="both"/>
        <w:rPr>
          <w:rFonts w:ascii="Times New Roman" w:hAnsi="Times New Roman"/>
          <w:lang w:val="de-DE"/>
        </w:rPr>
      </w:pPr>
      <w:bookmarkStart w:id="1" w:name="_GoBack"/>
      <w:bookmarkEnd w:id="1"/>
      <w:r w:rsidRPr="001C7808">
        <w:rPr>
          <w:rFonts w:ascii="Times New Roman" w:eastAsia="Calibri" w:hAnsi="Times New Roman"/>
          <w:sz w:val="28"/>
          <w:lang w:val="de-DE"/>
        </w:rPr>
        <w:t>Ministru</w:t>
      </w:r>
      <w:r w:rsidRPr="00B14CAE">
        <w:rPr>
          <w:rFonts w:ascii="Times New Roman" w:eastAsia="Calibri" w:hAnsi="Times New Roman"/>
          <w:sz w:val="28"/>
          <w:lang w:val="de-DE"/>
        </w:rPr>
        <w:t xml:space="preserve"> prezidents</w:t>
      </w:r>
      <w:r w:rsidRPr="00B14CAE">
        <w:rPr>
          <w:rFonts w:ascii="Times New Roman" w:eastAsia="Calibri" w:hAnsi="Times New Roman"/>
          <w:sz w:val="28"/>
          <w:lang w:val="de-DE"/>
        </w:rPr>
        <w:tab/>
      </w:r>
      <w:r>
        <w:rPr>
          <w:rFonts w:ascii="Times New Roman" w:eastAsia="Calibri" w:hAnsi="Times New Roman"/>
          <w:sz w:val="28"/>
          <w:lang w:val="de-DE"/>
        </w:rPr>
        <w:t>A. </w:t>
      </w:r>
      <w:r w:rsidRPr="00B14CAE">
        <w:rPr>
          <w:rFonts w:ascii="Times New Roman" w:eastAsia="Calibri" w:hAnsi="Times New Roman"/>
          <w:sz w:val="28"/>
          <w:lang w:val="de-DE"/>
        </w:rPr>
        <w:t>K</w:t>
      </w:r>
      <w:r>
        <w:rPr>
          <w:rFonts w:ascii="Times New Roman" w:eastAsia="Calibri" w:hAnsi="Times New Roman"/>
          <w:sz w:val="28"/>
          <w:lang w:val="de-DE"/>
        </w:rPr>
        <w:t>. </w:t>
      </w:r>
      <w:r w:rsidRPr="00B14CAE">
        <w:rPr>
          <w:rFonts w:ascii="Times New Roman" w:eastAsia="Calibri" w:hAnsi="Times New Roman"/>
          <w:sz w:val="28"/>
          <w:lang w:val="de-DE"/>
        </w:rPr>
        <w:t>Kariņš</w:t>
      </w:r>
    </w:p>
    <w:p w14:paraId="39496AE6" w14:textId="6DCCEFEE" w:rsidR="004B3701" w:rsidRDefault="004B3701" w:rsidP="004B3701">
      <w:pPr>
        <w:tabs>
          <w:tab w:val="left" w:pos="6237"/>
        </w:tabs>
        <w:rPr>
          <w:rFonts w:ascii="Times New Roman" w:eastAsia="Calibri" w:hAnsi="Times New Roman" w:cs="Times New Roman"/>
          <w:noProof/>
          <w:sz w:val="28"/>
          <w:szCs w:val="28"/>
        </w:rPr>
      </w:pPr>
    </w:p>
    <w:p w14:paraId="36E6422B" w14:textId="77777777" w:rsidR="00B763BB" w:rsidRPr="00A252A8" w:rsidRDefault="00B763BB" w:rsidP="004B3701">
      <w:pPr>
        <w:tabs>
          <w:tab w:val="left" w:pos="6237"/>
        </w:tabs>
        <w:rPr>
          <w:rFonts w:ascii="Times New Roman" w:eastAsia="Calibri" w:hAnsi="Times New Roman" w:cs="Times New Roman"/>
          <w:noProof/>
          <w:sz w:val="28"/>
          <w:szCs w:val="28"/>
        </w:rPr>
      </w:pPr>
    </w:p>
    <w:p w14:paraId="03D79748" w14:textId="77777777" w:rsidR="00C20488" w:rsidRPr="00B763BB" w:rsidRDefault="00C20488" w:rsidP="00C20488">
      <w:pPr>
        <w:jc w:val="both"/>
        <w:rPr>
          <w:rFonts w:ascii="Times New Roman" w:eastAsia="Times New Roman" w:hAnsi="Times New Roman" w:cs="Times New Roman"/>
          <w:sz w:val="20"/>
          <w:szCs w:val="20"/>
        </w:rPr>
      </w:pPr>
      <w:proofErr w:type="spellStart"/>
      <w:r w:rsidRPr="00B763BB">
        <w:rPr>
          <w:rFonts w:ascii="Times New Roman" w:eastAsia="Times New Roman" w:hAnsi="Times New Roman" w:cs="Times New Roman"/>
          <w:sz w:val="20"/>
          <w:szCs w:val="20"/>
        </w:rPr>
        <w:t>Aļošina</w:t>
      </w:r>
      <w:proofErr w:type="spellEnd"/>
      <w:r w:rsidRPr="00B763BB">
        <w:rPr>
          <w:rFonts w:ascii="Times New Roman" w:eastAsia="Times New Roman" w:hAnsi="Times New Roman" w:cs="Times New Roman"/>
          <w:sz w:val="20"/>
          <w:szCs w:val="20"/>
        </w:rPr>
        <w:t>, 67797258</w:t>
      </w:r>
    </w:p>
    <w:p w14:paraId="00D352A4" w14:textId="77777777" w:rsidR="00C20488" w:rsidRPr="00B763BB" w:rsidRDefault="00B763BB" w:rsidP="00C20488">
      <w:pPr>
        <w:ind w:right="-1"/>
        <w:jc w:val="both"/>
        <w:rPr>
          <w:rFonts w:ascii="Times New Roman" w:eastAsia="Times New Roman" w:hAnsi="Times New Roman" w:cs="Times New Roman"/>
          <w:sz w:val="20"/>
          <w:szCs w:val="20"/>
        </w:rPr>
      </w:pPr>
      <w:hyperlink r:id="rId11" w:history="1">
        <w:r w:rsidR="00C20488" w:rsidRPr="00B763BB">
          <w:rPr>
            <w:rFonts w:ascii="Times New Roman" w:eastAsia="Times New Roman" w:hAnsi="Times New Roman" w:cs="Times New Roman"/>
            <w:color w:val="0563C1" w:themeColor="hyperlink"/>
            <w:sz w:val="20"/>
            <w:szCs w:val="20"/>
            <w:u w:val="single"/>
          </w:rPr>
          <w:t>anna.alosina@knab.gov.lv</w:t>
        </w:r>
      </w:hyperlink>
    </w:p>
    <w:p w14:paraId="5096CB3A" w14:textId="39D3D420" w:rsidR="004B3701" w:rsidRPr="00B763BB" w:rsidRDefault="00B763BB" w:rsidP="004B3701">
      <w:pPr>
        <w:tabs>
          <w:tab w:val="left" w:pos="6237"/>
        </w:tabs>
        <w:rPr>
          <w:rFonts w:ascii="Times New Roman" w:eastAsia="Calibri" w:hAnsi="Times New Roman" w:cs="Times New Roman"/>
          <w:noProof/>
          <w:sz w:val="20"/>
          <w:szCs w:val="20"/>
        </w:rPr>
      </w:pPr>
      <w:r w:rsidRPr="00B763BB">
        <w:rPr>
          <w:rFonts w:ascii="Times New Roman" w:eastAsia="Calibri" w:hAnsi="Times New Roman" w:cs="Times New Roman"/>
          <w:noProof/>
          <w:sz w:val="20"/>
          <w:szCs w:val="20"/>
        </w:rPr>
        <w:t>v_sk = 4257</w:t>
      </w:r>
    </w:p>
    <w:sectPr w:rsidR="004B3701" w:rsidRPr="00B763BB" w:rsidSect="00677D61">
      <w:headerReference w:type="default" r:id="rId12"/>
      <w:footerReference w:type="even"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775E" w16cex:dateUtc="2020-06-15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9F54" w14:textId="77777777" w:rsidR="00502AED" w:rsidRDefault="00502AED" w:rsidP="00894C55">
      <w:r>
        <w:separator/>
      </w:r>
    </w:p>
  </w:endnote>
  <w:endnote w:type="continuationSeparator" w:id="0">
    <w:p w14:paraId="685B8BD2" w14:textId="77777777" w:rsidR="00502AED" w:rsidRDefault="00502AED" w:rsidP="00894C55">
      <w:r>
        <w:continuationSeparator/>
      </w:r>
    </w:p>
  </w:endnote>
  <w:endnote w:type="continuationNotice" w:id="1">
    <w:p w14:paraId="4D4BDD51" w14:textId="77777777" w:rsidR="00502AED" w:rsidRDefault="00502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5C2B" w14:textId="77777777" w:rsidR="00F2269E" w:rsidRDefault="00F2269E" w:rsidP="007977F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09F7" w14:textId="77777777" w:rsidR="00F2269E" w:rsidRDefault="00F2269E" w:rsidP="00677D61">
    <w:pPr>
      <w:tabs>
        <w:tab w:val="center" w:pos="4153"/>
        <w:tab w:val="right" w:pos="8306"/>
      </w:tabs>
      <w:rPr>
        <w:rFonts w:ascii="Times New Roman" w:hAnsi="Times New Roman" w:cs="Times New Roman"/>
        <w:sz w:val="20"/>
        <w:szCs w:val="20"/>
      </w:rPr>
    </w:pPr>
  </w:p>
  <w:p w14:paraId="42704EC7" w14:textId="025B1BCA" w:rsidR="00F2269E" w:rsidRPr="00677D61" w:rsidRDefault="00F2269E" w:rsidP="00677D61">
    <w:pPr>
      <w:tabs>
        <w:tab w:val="center" w:pos="4153"/>
        <w:tab w:val="right" w:pos="8306"/>
      </w:tabs>
      <w:rPr>
        <w:rFonts w:ascii="Times New Roman" w:eastAsia="Calibri" w:hAnsi="Times New Roman" w:cs="Times New Roman"/>
        <w:sz w:val="24"/>
      </w:rPr>
    </w:pPr>
    <w:r>
      <w:rPr>
        <w:rFonts w:ascii="Times New Roman" w:hAnsi="Times New Roman" w:cs="Times New Roman"/>
        <w:sz w:val="20"/>
        <w:szCs w:val="20"/>
      </w:rPr>
      <w:t>KNABA</w:t>
    </w:r>
    <w:r w:rsidRPr="00681FF2">
      <w:rPr>
        <w:rFonts w:ascii="Times New Roman" w:hAnsi="Times New Roman" w:cs="Times New Roman"/>
        <w:sz w:val="20"/>
        <w:szCs w:val="20"/>
      </w:rPr>
      <w:t>not_</w:t>
    </w:r>
    <w:r w:rsidR="006A2A7E">
      <w:rPr>
        <w:rFonts w:ascii="Times New Roman" w:hAnsi="Times New Roman" w:cs="Times New Roman"/>
        <w:sz w:val="20"/>
        <w:szCs w:val="20"/>
      </w:rPr>
      <w:t>25</w:t>
    </w:r>
    <w:r>
      <w:rPr>
        <w:rFonts w:ascii="Times New Roman" w:hAnsi="Times New Roman" w:cs="Times New Roman"/>
        <w:sz w:val="20"/>
        <w:szCs w:val="20"/>
      </w:rPr>
      <w:t>0920</w:t>
    </w:r>
    <w:r w:rsidRPr="00681FF2">
      <w:rPr>
        <w:rFonts w:ascii="Times New Roman" w:hAnsi="Times New Roman" w:cs="Times New Roman"/>
        <w:sz w:val="20"/>
        <w:szCs w:val="20"/>
      </w:rPr>
      <w:t>_</w:t>
    </w:r>
    <w:r>
      <w:rPr>
        <w:rFonts w:ascii="Times New Roman" w:hAnsi="Times New Roman" w:cs="Times New Roman"/>
        <w:sz w:val="20"/>
        <w:szCs w:val="20"/>
      </w:rPr>
      <w:t>grozAL</w:t>
    </w:r>
    <w:r w:rsidR="00B763BB">
      <w:rPr>
        <w:rFonts w:ascii="Times New Roman" w:hAnsi="Times New Roman" w:cs="Times New Roman"/>
        <w:sz w:val="20"/>
        <w:szCs w:val="20"/>
      </w:rPr>
      <w:t xml:space="preserve"> </w:t>
    </w:r>
    <w:r w:rsidR="00B763BB">
      <w:rPr>
        <w:rFonts w:ascii="Times New Roman" w:hAnsi="Times New Roman" w:cs="Times New Roman"/>
        <w:sz w:val="20"/>
        <w:szCs w:val="20"/>
      </w:rPr>
      <w:t>(TA-1841)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6DF" w14:textId="77777777" w:rsidR="00F2269E" w:rsidRDefault="00F2269E" w:rsidP="007977F8">
    <w:pPr>
      <w:pStyle w:val="Footer"/>
      <w:jc w:val="both"/>
      <w:rPr>
        <w:rFonts w:ascii="Times New Roman" w:hAnsi="Times New Roman" w:cs="Times New Roman"/>
        <w:sz w:val="20"/>
        <w:szCs w:val="20"/>
      </w:rPr>
    </w:pPr>
  </w:p>
  <w:p w14:paraId="1BDD39FA" w14:textId="28D044C5" w:rsidR="00F2269E" w:rsidRPr="003D20F3" w:rsidRDefault="00F2269E" w:rsidP="007977F8">
    <w:pPr>
      <w:pStyle w:val="Footer"/>
      <w:jc w:val="both"/>
      <w:rPr>
        <w:rFonts w:ascii="Times New Roman" w:hAnsi="Times New Roman" w:cs="Times New Roman"/>
        <w:sz w:val="20"/>
        <w:szCs w:val="20"/>
      </w:rPr>
    </w:pPr>
    <w:r>
      <w:rPr>
        <w:rFonts w:ascii="Times New Roman" w:hAnsi="Times New Roman" w:cs="Times New Roman"/>
        <w:sz w:val="20"/>
        <w:szCs w:val="20"/>
      </w:rPr>
      <w:t>KNABA</w:t>
    </w:r>
    <w:r w:rsidRPr="00681FF2">
      <w:rPr>
        <w:rFonts w:ascii="Times New Roman" w:hAnsi="Times New Roman" w:cs="Times New Roman"/>
        <w:sz w:val="20"/>
        <w:szCs w:val="20"/>
      </w:rPr>
      <w:t>not_</w:t>
    </w:r>
    <w:r w:rsidR="006A2A7E">
      <w:rPr>
        <w:rFonts w:ascii="Times New Roman" w:hAnsi="Times New Roman" w:cs="Times New Roman"/>
        <w:sz w:val="20"/>
        <w:szCs w:val="20"/>
      </w:rPr>
      <w:t>25</w:t>
    </w:r>
    <w:r>
      <w:rPr>
        <w:rFonts w:ascii="Times New Roman" w:hAnsi="Times New Roman" w:cs="Times New Roman"/>
        <w:sz w:val="20"/>
        <w:szCs w:val="20"/>
      </w:rPr>
      <w:t>0920</w:t>
    </w:r>
    <w:r w:rsidRPr="00681FF2">
      <w:rPr>
        <w:rFonts w:ascii="Times New Roman" w:hAnsi="Times New Roman" w:cs="Times New Roman"/>
        <w:sz w:val="20"/>
        <w:szCs w:val="20"/>
      </w:rPr>
      <w:t>_</w:t>
    </w:r>
    <w:r>
      <w:rPr>
        <w:rFonts w:ascii="Times New Roman" w:hAnsi="Times New Roman" w:cs="Times New Roman"/>
        <w:sz w:val="20"/>
        <w:szCs w:val="20"/>
      </w:rPr>
      <w:t xml:space="preserve">grozAL </w:t>
    </w:r>
    <w:r w:rsidR="00B763BB">
      <w:rPr>
        <w:rFonts w:ascii="Times New Roman" w:hAnsi="Times New Roman" w:cs="Times New Roman"/>
        <w:sz w:val="20"/>
        <w:szCs w:val="20"/>
      </w:rPr>
      <w:t>(TA-1841)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7EBB" w14:textId="77777777" w:rsidR="00502AED" w:rsidRDefault="00502AED" w:rsidP="00894C55">
      <w:r>
        <w:separator/>
      </w:r>
    </w:p>
  </w:footnote>
  <w:footnote w:type="continuationSeparator" w:id="0">
    <w:p w14:paraId="67BA22D9" w14:textId="77777777" w:rsidR="00502AED" w:rsidRDefault="00502AED" w:rsidP="00894C55">
      <w:r>
        <w:continuationSeparator/>
      </w:r>
    </w:p>
  </w:footnote>
  <w:footnote w:type="continuationNotice" w:id="1">
    <w:p w14:paraId="7313564A" w14:textId="77777777" w:rsidR="00502AED" w:rsidRDefault="00502AED"/>
  </w:footnote>
  <w:footnote w:id="2">
    <w:p w14:paraId="073D30BA" w14:textId="21131384" w:rsidR="00F2269E" w:rsidRPr="002E72C0" w:rsidRDefault="00F2269E">
      <w:pPr>
        <w:pStyle w:val="FootnoteText"/>
        <w:rPr>
          <w:rFonts w:ascii="Times New Roman" w:hAnsi="Times New Roman" w:cs="Times New Roman"/>
        </w:rPr>
      </w:pPr>
      <w:r w:rsidRPr="002E72C0">
        <w:rPr>
          <w:rStyle w:val="FootnoteReference"/>
          <w:rFonts w:ascii="Times New Roman" w:hAnsi="Times New Roman" w:cs="Times New Roman"/>
        </w:rPr>
        <w:footnoteRef/>
      </w:r>
      <w:r w:rsidRPr="002E72C0">
        <w:rPr>
          <w:rFonts w:ascii="Times New Roman" w:hAnsi="Times New Roman" w:cs="Times New Roman"/>
        </w:rPr>
        <w:t xml:space="preserve"> Saskaņā ar Korupcijas novēršanas un apkarošanas biroja likuma </w:t>
      </w:r>
      <w:r w:rsidRPr="002E72C0">
        <w:rPr>
          <w:rFonts w:ascii="Times New Roman" w:hAnsi="Times New Roman" w:cs="Times New Roman"/>
          <w:bCs/>
        </w:rPr>
        <w:t>6.</w:t>
      </w:r>
      <w:r w:rsidRPr="002E72C0">
        <w:rPr>
          <w:rFonts w:ascii="Times New Roman" w:hAnsi="Times New Roman" w:cs="Times New Roman"/>
          <w:bCs/>
          <w:vertAlign w:val="superscript"/>
        </w:rPr>
        <w:t xml:space="preserve">1 </w:t>
      </w:r>
      <w:r w:rsidRPr="002E72C0">
        <w:rPr>
          <w:rFonts w:ascii="Times New Roman" w:hAnsi="Times New Roman" w:cs="Times New Roman"/>
          <w:bCs/>
        </w:rPr>
        <w:t>panta otro daļu Biroja priekšnieks ar iekšēju normatīvo aktu ir noteicis</w:t>
      </w:r>
      <w:r w:rsidRPr="000A731D">
        <w:rPr>
          <w:rFonts w:ascii="Times New Roman" w:hAnsi="Times New Roman" w:cs="Times New Roman"/>
          <w:bCs/>
        </w:rPr>
        <w:t xml:space="preserve"> </w:t>
      </w:r>
      <w:r w:rsidRPr="000A731D">
        <w:rPr>
          <w:rFonts w:ascii="Times New Roman" w:hAnsi="Times New Roman" w:cs="Times New Roman"/>
        </w:rPr>
        <w:t xml:space="preserve">Biroja amatpersonu un darbinieku darbības un tās rezultātu novērtēšanas kārtību. </w:t>
      </w:r>
      <w:r w:rsidRPr="002E72C0">
        <w:rPr>
          <w:rFonts w:ascii="Times New Roman" w:hAnsi="Times New Roman" w:cs="Times New Roman"/>
        </w:rPr>
        <w:t>Novērtēšanas rezultātu izmanto par pamatu lēmumam par nodarbinātības attiecību turpināšanu vai izbeigšanu, pārcelšanu citā amatā un atlīdzības noteikšanu</w:t>
      </w:r>
      <w:r>
        <w:rPr>
          <w:rFonts w:ascii="Times New Roman" w:hAnsi="Times New Roman" w:cs="Times New Roman"/>
        </w:rPr>
        <w:t>.</w:t>
      </w:r>
    </w:p>
  </w:footnote>
  <w:footnote w:id="3">
    <w:p w14:paraId="7C32AAF1" w14:textId="53F6AEC5" w:rsidR="00F2269E" w:rsidRPr="00952D43" w:rsidRDefault="00F2269E" w:rsidP="00CA094F">
      <w:pPr>
        <w:rPr>
          <w:rFonts w:ascii="Times New Roman" w:eastAsia="Times New Roman" w:hAnsi="Times New Roman" w:cs="Times New Roman"/>
          <w:sz w:val="20"/>
          <w:szCs w:val="20"/>
        </w:rPr>
      </w:pPr>
      <w:r w:rsidRPr="00952D43">
        <w:rPr>
          <w:rStyle w:val="FootnoteReference"/>
          <w:rFonts w:ascii="Times New Roman" w:hAnsi="Times New Roman" w:cs="Times New Roman"/>
          <w:sz w:val="20"/>
          <w:szCs w:val="20"/>
        </w:rPr>
        <w:footnoteRef/>
      </w:r>
      <w:r w:rsidRPr="00952D43">
        <w:rPr>
          <w:rFonts w:ascii="Times New Roman" w:hAnsi="Times New Roman" w:cs="Times New Roman"/>
          <w:sz w:val="20"/>
          <w:szCs w:val="20"/>
        </w:rPr>
        <w:t xml:space="preserve"> Ar </w:t>
      </w:r>
      <w:proofErr w:type="gramStart"/>
      <w:r w:rsidRPr="00952D43">
        <w:rPr>
          <w:rFonts w:ascii="Times New Roman" w:hAnsi="Times New Roman" w:cs="Times New Roman"/>
          <w:sz w:val="20"/>
          <w:szCs w:val="20"/>
        </w:rPr>
        <w:t>2021.gada</w:t>
      </w:r>
      <w:proofErr w:type="gramEnd"/>
      <w:r w:rsidRPr="00952D43">
        <w:rPr>
          <w:rFonts w:ascii="Times New Roman" w:hAnsi="Times New Roman" w:cs="Times New Roman"/>
          <w:sz w:val="20"/>
          <w:szCs w:val="20"/>
        </w:rPr>
        <w:t xml:space="preserve"> 1.janvāri 1 025,29 </w:t>
      </w:r>
      <w:proofErr w:type="spellStart"/>
      <w:r w:rsidRPr="00952D43">
        <w:rPr>
          <w:rFonts w:ascii="Times New Roman" w:hAnsi="Times New Roman" w:cs="Times New Roman"/>
          <w:sz w:val="20"/>
          <w:szCs w:val="20"/>
        </w:rPr>
        <w:t>euro</w:t>
      </w:r>
      <w:proofErr w:type="spellEnd"/>
      <w:r w:rsidRPr="00952D43">
        <w:rPr>
          <w:rFonts w:ascii="Times New Roman" w:hAnsi="Times New Roman" w:cs="Times New Roman"/>
          <w:sz w:val="20"/>
          <w:szCs w:val="20"/>
        </w:rPr>
        <w:t xml:space="preserve">, 2022.gada prognoze = </w:t>
      </w:r>
      <w:r w:rsidRPr="00952D43">
        <w:rPr>
          <w:rFonts w:ascii="Times New Roman" w:hAnsi="Times New Roman" w:cs="Times New Roman"/>
          <w:bCs/>
          <w:sz w:val="20"/>
          <w:szCs w:val="20"/>
        </w:rPr>
        <w:t xml:space="preserve">1020,90 </w:t>
      </w:r>
      <w:proofErr w:type="spellStart"/>
      <w:r w:rsidRPr="00952D43">
        <w:rPr>
          <w:rFonts w:ascii="Times New Roman" w:hAnsi="Times New Roman" w:cs="Times New Roman"/>
          <w:bCs/>
          <w:sz w:val="20"/>
          <w:szCs w:val="20"/>
        </w:rPr>
        <w:t>euro</w:t>
      </w:r>
      <w:proofErr w:type="spellEnd"/>
      <w:r w:rsidRPr="00952D43">
        <w:rPr>
          <w:rFonts w:ascii="Times New Roman" w:hAnsi="Times New Roman" w:cs="Times New Roman"/>
          <w:bCs/>
          <w:sz w:val="20"/>
          <w:szCs w:val="20"/>
        </w:rPr>
        <w:t xml:space="preserve">, 2023.gada prognoze </w:t>
      </w:r>
      <w:r w:rsidRPr="00952D43">
        <w:rPr>
          <w:rFonts w:ascii="Times New Roman" w:hAnsi="Times New Roman" w:cs="Times New Roman"/>
          <w:sz w:val="20"/>
          <w:szCs w:val="20"/>
        </w:rPr>
        <w:t xml:space="preserve">= </w:t>
      </w:r>
      <w:r w:rsidRPr="00952D43">
        <w:rPr>
          <w:rFonts w:ascii="Times New Roman" w:hAnsi="Times New Roman" w:cs="Times New Roman"/>
          <w:bCs/>
          <w:sz w:val="20"/>
          <w:szCs w:val="20"/>
        </w:rPr>
        <w:t xml:space="preserve">1042.34 </w:t>
      </w:r>
      <w:proofErr w:type="spellStart"/>
      <w:r w:rsidRPr="00952D43">
        <w:rPr>
          <w:rFonts w:ascii="Times New Roman" w:hAnsi="Times New Roman" w:cs="Times New Roman"/>
          <w:bCs/>
          <w:sz w:val="20"/>
          <w:szCs w:val="20"/>
        </w:rPr>
        <w:t>euro</w:t>
      </w:r>
      <w:proofErr w:type="spellEnd"/>
      <w:r w:rsidRPr="00952D43">
        <w:rPr>
          <w:rFonts w:ascii="Times New Roman" w:hAnsi="Times New Roman" w:cs="Times New Roman"/>
          <w:bCs/>
          <w:sz w:val="20"/>
          <w:szCs w:val="20"/>
        </w:rPr>
        <w:t xml:space="preserve">. Bāzes mēnešalgas prognozes 2022. un </w:t>
      </w:r>
      <w:proofErr w:type="gramStart"/>
      <w:r w:rsidRPr="00952D43">
        <w:rPr>
          <w:rFonts w:ascii="Times New Roman" w:hAnsi="Times New Roman" w:cs="Times New Roman"/>
          <w:bCs/>
          <w:sz w:val="20"/>
          <w:szCs w:val="20"/>
        </w:rPr>
        <w:t>2023.gadam</w:t>
      </w:r>
      <w:proofErr w:type="gramEnd"/>
      <w:r w:rsidRPr="00952D43">
        <w:rPr>
          <w:rFonts w:ascii="Times New Roman" w:hAnsi="Times New Roman" w:cs="Times New Roman"/>
          <w:bCs/>
          <w:sz w:val="20"/>
          <w:szCs w:val="20"/>
        </w:rPr>
        <w:t xml:space="preserve"> ir rēķinātas, ņemot vērā </w:t>
      </w:r>
      <w:r w:rsidRPr="00952D43">
        <w:rPr>
          <w:rFonts w:ascii="Times New Roman" w:eastAsia="Times New Roman" w:hAnsi="Times New Roman" w:cs="Times New Roman"/>
          <w:sz w:val="20"/>
          <w:szCs w:val="20"/>
        </w:rPr>
        <w:t>inflācijas (patēriņa cenu indeksu) un darba samaksas pieauguma prognozes no F</w:t>
      </w:r>
      <w:r>
        <w:rPr>
          <w:rFonts w:ascii="Times New Roman" w:eastAsia="Times New Roman" w:hAnsi="Times New Roman" w:cs="Times New Roman"/>
          <w:sz w:val="20"/>
          <w:szCs w:val="20"/>
        </w:rPr>
        <w:t>inanšu ministrijas tīmekļvietnes</w:t>
      </w:r>
      <w:r w:rsidRPr="00952D43">
        <w:rPr>
          <w:rFonts w:ascii="Times New Roman" w:eastAsia="Times New Roman" w:hAnsi="Times New Roman" w:cs="Times New Roman"/>
          <w:sz w:val="20"/>
          <w:szCs w:val="20"/>
        </w:rPr>
        <w:t xml:space="preserve">: </w:t>
      </w:r>
      <w:hyperlink r:id="rId1" w:history="1">
        <w:r w:rsidRPr="00952D43">
          <w:rPr>
            <w:rFonts w:ascii="Times New Roman" w:hAnsi="Times New Roman" w:cs="Times New Roman"/>
            <w:color w:val="0563C1"/>
            <w:sz w:val="20"/>
            <w:szCs w:val="20"/>
            <w:u w:val="single"/>
          </w:rPr>
          <w:t>https://fm.gov.lv/lv/sadalas/tautsaimniecibas_analize/tautsaimniecibas_analize/galvenie_makroekonomiskie_raditaji_un_prognozes/</w:t>
        </w:r>
      </w:hyperlink>
    </w:p>
    <w:p w14:paraId="04F0268B" w14:textId="1CA21093" w:rsidR="00F2269E" w:rsidRPr="000A731D" w:rsidRDefault="00F2269E" w:rsidP="009755BC">
      <w:pPr>
        <w:pStyle w:val="FootnoteText"/>
        <w:rPr>
          <w:rFonts w:ascii="Times New Roman" w:hAnsi="Times New Roman" w:cs="Times New Roman"/>
        </w:rPr>
      </w:pPr>
    </w:p>
  </w:footnote>
  <w:footnote w:id="4">
    <w:p w14:paraId="0C035A2C" w14:textId="0F34000D" w:rsidR="00F2269E" w:rsidRPr="007C52C4" w:rsidRDefault="00F2269E">
      <w:pPr>
        <w:pStyle w:val="FootnoteText"/>
        <w:rPr>
          <w:rFonts w:ascii="Times New Roman" w:hAnsi="Times New Roman" w:cs="Times New Roman"/>
        </w:rPr>
      </w:pPr>
      <w:r w:rsidRPr="007C52C4">
        <w:rPr>
          <w:rStyle w:val="FootnoteReference"/>
          <w:rFonts w:ascii="Times New Roman" w:hAnsi="Times New Roman" w:cs="Times New Roman"/>
        </w:rPr>
        <w:footnoteRef/>
      </w:r>
      <w:r w:rsidRPr="007C52C4">
        <w:rPr>
          <w:rFonts w:ascii="Times New Roman" w:hAnsi="Times New Roman" w:cs="Times New Roman"/>
        </w:rPr>
        <w:t xml:space="preserve"> Šobrīd</w:t>
      </w:r>
      <w:r>
        <w:rPr>
          <w:rFonts w:ascii="Times New Roman" w:hAnsi="Times New Roman" w:cs="Times New Roman"/>
        </w:rPr>
        <w:t xml:space="preserve"> Atlīdzības likums paredz, ka Biroja amatpersonai nosaka izdienas piemaksu 30% pie mēnešalgas, ja Birojā ir nostrādāts vairāk par 18 gadiem, </w:t>
      </w:r>
      <w:r w:rsidRPr="007C52C4">
        <w:rPr>
          <w:rFonts w:ascii="Times New Roman" w:hAnsi="Times New Roman" w:cs="Times New Roman"/>
        </w:rPr>
        <w:t xml:space="preserve">bet saskaņā ar </w:t>
      </w:r>
      <w:r>
        <w:rPr>
          <w:rFonts w:ascii="Times New Roman" w:hAnsi="Times New Roman" w:cs="Times New Roman"/>
        </w:rPr>
        <w:t>L</w:t>
      </w:r>
      <w:r w:rsidRPr="007C52C4">
        <w:rPr>
          <w:rFonts w:ascii="Times New Roman" w:hAnsi="Times New Roman" w:cs="Times New Roman"/>
        </w:rPr>
        <w:t>ikumprojektu iz</w:t>
      </w:r>
      <w:r>
        <w:rPr>
          <w:rFonts w:ascii="Times New Roman" w:hAnsi="Times New Roman" w:cs="Times New Roman"/>
        </w:rPr>
        <w:t>d</w:t>
      </w:r>
      <w:r w:rsidRPr="007C52C4">
        <w:rPr>
          <w:rFonts w:ascii="Times New Roman" w:hAnsi="Times New Roman" w:cs="Times New Roman"/>
        </w:rPr>
        <w:t>ienas piemaksa tiks samazināta un noteikta 5 % apmērā pēc sešiem amatā nostrādātiem gadiem un 10 % apmērā pēc 10 amatā nostrādātiem gadiem</w:t>
      </w:r>
      <w:r>
        <w:rPr>
          <w:rFonts w:ascii="Times New Roman" w:hAnsi="Times New Roman" w:cs="Times New Roman"/>
        </w:rPr>
        <w:t>.</w:t>
      </w:r>
    </w:p>
  </w:footnote>
  <w:footnote w:id="5">
    <w:p w14:paraId="77A6FBE2" w14:textId="58F29D81" w:rsidR="00F2269E" w:rsidRDefault="00F2269E">
      <w:pPr>
        <w:pStyle w:val="FootnoteText"/>
        <w:rPr>
          <w:rFonts w:ascii="Times New Roman" w:hAnsi="Times New Roman" w:cs="Times New Roman"/>
        </w:rPr>
      </w:pPr>
      <w:r w:rsidRPr="00911600">
        <w:rPr>
          <w:rStyle w:val="FootnoteReference"/>
          <w:rFonts w:ascii="Times New Roman" w:hAnsi="Times New Roman" w:cs="Times New Roman"/>
        </w:rPr>
        <w:footnoteRef/>
      </w:r>
      <w:r w:rsidRPr="00911600">
        <w:rPr>
          <w:rFonts w:ascii="Times New Roman" w:hAnsi="Times New Roman" w:cs="Times New Roman"/>
        </w:rPr>
        <w:t xml:space="preserve"> </w:t>
      </w:r>
      <w:r w:rsidRPr="002D1F05">
        <w:rPr>
          <w:rFonts w:ascii="Times New Roman" w:hAnsi="Times New Roman" w:cs="Times New Roman"/>
        </w:rPr>
        <w:t xml:space="preserve">Atbalstīts Finanšu sektora attīstības padomes </w:t>
      </w:r>
      <w:proofErr w:type="gramStart"/>
      <w:r w:rsidRPr="002D1F05">
        <w:rPr>
          <w:rFonts w:ascii="Times New Roman" w:hAnsi="Times New Roman" w:cs="Times New Roman"/>
        </w:rPr>
        <w:t>2020.gada</w:t>
      </w:r>
      <w:proofErr w:type="gramEnd"/>
      <w:r w:rsidRPr="002D1F05">
        <w:rPr>
          <w:rFonts w:ascii="Times New Roman" w:hAnsi="Times New Roman" w:cs="Times New Roman"/>
        </w:rPr>
        <w:t xml:space="preserve"> 10.septembra slēgtajā sēdē, bet</w:t>
      </w:r>
      <w:r>
        <w:rPr>
          <w:rFonts w:ascii="Times New Roman" w:hAnsi="Times New Roman" w:cs="Times New Roman"/>
        </w:rPr>
        <w:t xml:space="preserve"> </w:t>
      </w:r>
      <w:r w:rsidRPr="002D1F05">
        <w:rPr>
          <w:rFonts w:ascii="Times New Roman" w:hAnsi="Times New Roman" w:cs="Times New Roman"/>
        </w:rPr>
        <w:t xml:space="preserve">apstiprināšana Ministru kabinetā </w:t>
      </w:r>
      <w:r>
        <w:rPr>
          <w:rFonts w:ascii="Times New Roman" w:hAnsi="Times New Roman" w:cs="Times New Roman"/>
        </w:rPr>
        <w:t xml:space="preserve">plānota </w:t>
      </w:r>
      <w:r w:rsidRPr="002D1F05">
        <w:rPr>
          <w:rFonts w:ascii="Times New Roman" w:hAnsi="Times New Roman" w:cs="Times New Roman"/>
        </w:rPr>
        <w:t xml:space="preserve">2020.gada </w:t>
      </w:r>
      <w:r>
        <w:rPr>
          <w:rFonts w:ascii="Times New Roman" w:hAnsi="Times New Roman" w:cs="Times New Roman"/>
        </w:rPr>
        <w:t>29</w:t>
      </w:r>
      <w:r w:rsidRPr="002D1F05">
        <w:rPr>
          <w:rFonts w:ascii="Times New Roman" w:hAnsi="Times New Roman" w:cs="Times New Roman"/>
        </w:rPr>
        <w:t>.septembr</w:t>
      </w:r>
      <w:r>
        <w:rPr>
          <w:rFonts w:ascii="Times New Roman" w:hAnsi="Times New Roman" w:cs="Times New Roman"/>
        </w:rPr>
        <w:t>a sēdē</w:t>
      </w:r>
    </w:p>
    <w:p w14:paraId="76DFFB0A" w14:textId="050B2EA2" w:rsidR="00F2269E" w:rsidRPr="00D05C09" w:rsidRDefault="00F2269E" w:rsidP="00D05C09">
      <w:pPr>
        <w:pStyle w:val="PlainText"/>
        <w:ind w:right="113"/>
        <w:jc w:val="both"/>
        <w:rPr>
          <w:rFonts w:ascii="Times New Roman" w:hAnsi="Times New Roman" w:cs="Times New Roman"/>
          <w:sz w:val="20"/>
          <w:szCs w:val="20"/>
        </w:rPr>
      </w:pPr>
      <w:r w:rsidRPr="00D05C09">
        <w:rPr>
          <w:rFonts w:ascii="Times New Roman" w:hAnsi="Times New Roman" w:cs="Times New Roman"/>
          <w:sz w:val="20"/>
          <w:szCs w:val="20"/>
        </w:rPr>
        <w:t>* Tabul</w:t>
      </w:r>
      <w:r>
        <w:rPr>
          <w:rFonts w:ascii="Times New Roman" w:hAnsi="Times New Roman" w:cs="Times New Roman"/>
          <w:sz w:val="20"/>
          <w:szCs w:val="20"/>
        </w:rPr>
        <w:t>ā</w:t>
      </w:r>
      <w:r w:rsidRPr="00D05C09">
        <w:rPr>
          <w:rFonts w:ascii="Times New Roman" w:hAnsi="Times New Roman" w:cs="Times New Roman"/>
          <w:sz w:val="20"/>
          <w:szCs w:val="20"/>
        </w:rPr>
        <w:t xml:space="preserve"> </w:t>
      </w:r>
      <w:r>
        <w:rPr>
          <w:rFonts w:ascii="Times New Roman" w:hAnsi="Times New Roman" w:cs="Times New Roman"/>
          <w:sz w:val="20"/>
          <w:szCs w:val="20"/>
        </w:rPr>
        <w:t>“</w:t>
      </w:r>
      <w:r w:rsidRPr="00D05C09">
        <w:rPr>
          <w:rFonts w:ascii="Times New Roman" w:hAnsi="Times New Roman" w:cs="Times New Roman"/>
          <w:sz w:val="20"/>
          <w:szCs w:val="20"/>
        </w:rPr>
        <w:t>Atalgojuma pieauguma aprēķins 2020-</w:t>
      </w:r>
      <w:proofErr w:type="gramStart"/>
      <w:r w:rsidRPr="00D05C09">
        <w:rPr>
          <w:rFonts w:ascii="Times New Roman" w:hAnsi="Times New Roman" w:cs="Times New Roman"/>
          <w:sz w:val="20"/>
          <w:szCs w:val="20"/>
        </w:rPr>
        <w:t>2023.gadiem</w:t>
      </w:r>
      <w:proofErr w:type="gramEnd"/>
      <w:r>
        <w:rPr>
          <w:rFonts w:ascii="Times New Roman" w:hAnsi="Times New Roman" w:cs="Times New Roman"/>
          <w:sz w:val="20"/>
          <w:szCs w:val="20"/>
        </w:rPr>
        <w:t>” 8.menešalgu grupai 2021.gadā ir piemērots mēnešalgas intervāla koeficients virs viduspunkta, lai nodrošinātu tiesiskās paļāvības principa ievērošanu un līdzvērtīga atalgojuma apmēra noteikšanu salīdzinājumā ar to, kāds bija pirms atlīdzības sistēmas maiņas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519477"/>
      <w:docPartObj>
        <w:docPartGallery w:val="Page Numbers (Top of Page)"/>
        <w:docPartUnique/>
      </w:docPartObj>
    </w:sdtPr>
    <w:sdtEndPr>
      <w:rPr>
        <w:rFonts w:ascii="Times New Roman" w:hAnsi="Times New Roman" w:cs="Times New Roman"/>
        <w:noProof/>
        <w:sz w:val="24"/>
        <w:szCs w:val="24"/>
      </w:rPr>
    </w:sdtEndPr>
    <w:sdtContent>
      <w:p w14:paraId="090B6B61" w14:textId="77777777" w:rsidR="00F2269E" w:rsidRPr="00FD2E88" w:rsidRDefault="00F2269E" w:rsidP="004F0340">
        <w:pPr>
          <w:tabs>
            <w:tab w:val="center" w:pos="4153"/>
            <w:tab w:val="right" w:pos="8306"/>
          </w:tabs>
          <w:rPr>
            <w:rFonts w:ascii="Times New Roman" w:eastAsia="Calibri" w:hAnsi="Times New Roman" w:cs="Times New Roman"/>
            <w:sz w:val="24"/>
          </w:rPr>
        </w:pPr>
      </w:p>
      <w:p w14:paraId="162320E3" w14:textId="68D14215" w:rsidR="00F2269E" w:rsidRPr="0042585D" w:rsidRDefault="00F2269E" w:rsidP="004F0340">
        <w:pPr>
          <w:pStyle w:val="Header"/>
          <w:jc w:val="center"/>
          <w:rPr>
            <w:rFonts w:ascii="Times New Roman" w:hAnsi="Times New Roman" w:cs="Times New Roman"/>
            <w:sz w:val="24"/>
            <w:szCs w:val="24"/>
          </w:rPr>
        </w:pPr>
        <w:r w:rsidRPr="0042585D">
          <w:rPr>
            <w:rFonts w:ascii="Times New Roman" w:hAnsi="Times New Roman" w:cs="Times New Roman"/>
            <w:sz w:val="24"/>
            <w:szCs w:val="24"/>
          </w:rPr>
          <w:fldChar w:fldCharType="begin"/>
        </w:r>
        <w:r w:rsidRPr="0042585D">
          <w:rPr>
            <w:rFonts w:ascii="Times New Roman" w:hAnsi="Times New Roman" w:cs="Times New Roman"/>
            <w:sz w:val="24"/>
            <w:szCs w:val="24"/>
          </w:rPr>
          <w:instrText xml:space="preserve"> PAGE   \* MERGEFORMAT </w:instrText>
        </w:r>
        <w:r w:rsidRPr="0042585D">
          <w:rPr>
            <w:rFonts w:ascii="Times New Roman" w:hAnsi="Times New Roman" w:cs="Times New Roman"/>
            <w:sz w:val="24"/>
            <w:szCs w:val="24"/>
          </w:rPr>
          <w:fldChar w:fldCharType="separate"/>
        </w:r>
        <w:r w:rsidR="00817C3E">
          <w:rPr>
            <w:rFonts w:ascii="Times New Roman" w:hAnsi="Times New Roman" w:cs="Times New Roman"/>
            <w:noProof/>
            <w:sz w:val="24"/>
            <w:szCs w:val="24"/>
          </w:rPr>
          <w:t>16</w:t>
        </w:r>
        <w:r w:rsidRPr="0042585D">
          <w:rPr>
            <w:rFonts w:ascii="Times New Roman" w:hAnsi="Times New Roman" w:cs="Times New Roman"/>
            <w:noProof/>
            <w:sz w:val="24"/>
            <w:szCs w:val="24"/>
          </w:rPr>
          <w:fldChar w:fldCharType="end"/>
        </w:r>
      </w:p>
    </w:sdtContent>
  </w:sdt>
  <w:p w14:paraId="5CB1643A" w14:textId="77777777" w:rsidR="00F2269E" w:rsidRPr="00C25B49" w:rsidRDefault="00F2269E" w:rsidP="00193B0D">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3C0"/>
    <w:multiLevelType w:val="hybridMultilevel"/>
    <w:tmpl w:val="A5D08922"/>
    <w:lvl w:ilvl="0" w:tplc="04260001">
      <w:start w:val="1"/>
      <w:numFmt w:val="bullet"/>
      <w:lvlText w:val=""/>
      <w:lvlJc w:val="left"/>
      <w:pPr>
        <w:ind w:left="777" w:hanging="360"/>
      </w:pPr>
      <w:rPr>
        <w:rFonts w:ascii="Symbol" w:hAnsi="Symbol" w:hint="default"/>
      </w:rPr>
    </w:lvl>
    <w:lvl w:ilvl="1" w:tplc="04260003">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 w15:restartNumberingAfterBreak="0">
    <w:nsid w:val="40CC218E"/>
    <w:multiLevelType w:val="hybridMultilevel"/>
    <w:tmpl w:val="A29A56F4"/>
    <w:lvl w:ilvl="0" w:tplc="2BC22E4C">
      <w:start w:val="2021"/>
      <w:numFmt w:val="bullet"/>
      <w:lvlText w:val="-"/>
      <w:lvlJc w:val="left"/>
      <w:pPr>
        <w:ind w:left="564" w:hanging="360"/>
      </w:pPr>
      <w:rPr>
        <w:rFonts w:ascii="Times New Roman" w:eastAsia="Calibri" w:hAnsi="Times New Roman" w:cs="Times New Roman" w:hint="default"/>
      </w:rPr>
    </w:lvl>
    <w:lvl w:ilvl="1" w:tplc="04260003" w:tentative="1">
      <w:start w:val="1"/>
      <w:numFmt w:val="bullet"/>
      <w:lvlText w:val="o"/>
      <w:lvlJc w:val="left"/>
      <w:pPr>
        <w:ind w:left="1284" w:hanging="360"/>
      </w:pPr>
      <w:rPr>
        <w:rFonts w:ascii="Courier New" w:hAnsi="Courier New" w:cs="Courier New" w:hint="default"/>
      </w:rPr>
    </w:lvl>
    <w:lvl w:ilvl="2" w:tplc="04260005" w:tentative="1">
      <w:start w:val="1"/>
      <w:numFmt w:val="bullet"/>
      <w:lvlText w:val=""/>
      <w:lvlJc w:val="left"/>
      <w:pPr>
        <w:ind w:left="2004" w:hanging="360"/>
      </w:pPr>
      <w:rPr>
        <w:rFonts w:ascii="Wingdings" w:hAnsi="Wingdings" w:hint="default"/>
      </w:rPr>
    </w:lvl>
    <w:lvl w:ilvl="3" w:tplc="04260001" w:tentative="1">
      <w:start w:val="1"/>
      <w:numFmt w:val="bullet"/>
      <w:lvlText w:val=""/>
      <w:lvlJc w:val="left"/>
      <w:pPr>
        <w:ind w:left="2724" w:hanging="360"/>
      </w:pPr>
      <w:rPr>
        <w:rFonts w:ascii="Symbol" w:hAnsi="Symbol" w:hint="default"/>
      </w:rPr>
    </w:lvl>
    <w:lvl w:ilvl="4" w:tplc="04260003" w:tentative="1">
      <w:start w:val="1"/>
      <w:numFmt w:val="bullet"/>
      <w:lvlText w:val="o"/>
      <w:lvlJc w:val="left"/>
      <w:pPr>
        <w:ind w:left="3444" w:hanging="360"/>
      </w:pPr>
      <w:rPr>
        <w:rFonts w:ascii="Courier New" w:hAnsi="Courier New" w:cs="Courier New" w:hint="default"/>
      </w:rPr>
    </w:lvl>
    <w:lvl w:ilvl="5" w:tplc="04260005" w:tentative="1">
      <w:start w:val="1"/>
      <w:numFmt w:val="bullet"/>
      <w:lvlText w:val=""/>
      <w:lvlJc w:val="left"/>
      <w:pPr>
        <w:ind w:left="4164" w:hanging="360"/>
      </w:pPr>
      <w:rPr>
        <w:rFonts w:ascii="Wingdings" w:hAnsi="Wingdings" w:hint="default"/>
      </w:rPr>
    </w:lvl>
    <w:lvl w:ilvl="6" w:tplc="04260001" w:tentative="1">
      <w:start w:val="1"/>
      <w:numFmt w:val="bullet"/>
      <w:lvlText w:val=""/>
      <w:lvlJc w:val="left"/>
      <w:pPr>
        <w:ind w:left="4884" w:hanging="360"/>
      </w:pPr>
      <w:rPr>
        <w:rFonts w:ascii="Symbol" w:hAnsi="Symbol" w:hint="default"/>
      </w:rPr>
    </w:lvl>
    <w:lvl w:ilvl="7" w:tplc="04260003" w:tentative="1">
      <w:start w:val="1"/>
      <w:numFmt w:val="bullet"/>
      <w:lvlText w:val="o"/>
      <w:lvlJc w:val="left"/>
      <w:pPr>
        <w:ind w:left="5604" w:hanging="360"/>
      </w:pPr>
      <w:rPr>
        <w:rFonts w:ascii="Courier New" w:hAnsi="Courier New" w:cs="Courier New" w:hint="default"/>
      </w:rPr>
    </w:lvl>
    <w:lvl w:ilvl="8" w:tplc="04260005" w:tentative="1">
      <w:start w:val="1"/>
      <w:numFmt w:val="bullet"/>
      <w:lvlText w:val=""/>
      <w:lvlJc w:val="left"/>
      <w:pPr>
        <w:ind w:left="6324" w:hanging="360"/>
      </w:pPr>
      <w:rPr>
        <w:rFonts w:ascii="Wingdings" w:hAnsi="Wingdings" w:hint="default"/>
      </w:rPr>
    </w:lvl>
  </w:abstractNum>
  <w:abstractNum w:abstractNumId="2" w15:restartNumberingAfterBreak="0">
    <w:nsid w:val="41C96F48"/>
    <w:multiLevelType w:val="hybridMultilevel"/>
    <w:tmpl w:val="9482EBF4"/>
    <w:lvl w:ilvl="0" w:tplc="05CE07D4">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CD0580"/>
    <w:multiLevelType w:val="hybridMultilevel"/>
    <w:tmpl w:val="B9C44216"/>
    <w:lvl w:ilvl="0" w:tplc="CE90042E">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2C1645"/>
    <w:multiLevelType w:val="hybridMultilevel"/>
    <w:tmpl w:val="188C037C"/>
    <w:lvl w:ilvl="0" w:tplc="4038117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DA6014"/>
    <w:multiLevelType w:val="hybridMultilevel"/>
    <w:tmpl w:val="068A3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F507DD"/>
    <w:multiLevelType w:val="hybridMultilevel"/>
    <w:tmpl w:val="1B8AE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EF04CC"/>
    <w:multiLevelType w:val="hybridMultilevel"/>
    <w:tmpl w:val="7B4EF9F8"/>
    <w:lvl w:ilvl="0" w:tplc="83200440">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44"/>
    <w:rsid w:val="00002CDC"/>
    <w:rsid w:val="00002E8B"/>
    <w:rsid w:val="00003615"/>
    <w:rsid w:val="000045D1"/>
    <w:rsid w:val="00004706"/>
    <w:rsid w:val="00006766"/>
    <w:rsid w:val="00007608"/>
    <w:rsid w:val="00011155"/>
    <w:rsid w:val="000125E3"/>
    <w:rsid w:val="000164EC"/>
    <w:rsid w:val="00022A24"/>
    <w:rsid w:val="000260F5"/>
    <w:rsid w:val="00026D7F"/>
    <w:rsid w:val="000307B1"/>
    <w:rsid w:val="00031C9F"/>
    <w:rsid w:val="00031F68"/>
    <w:rsid w:val="00033655"/>
    <w:rsid w:val="000337A3"/>
    <w:rsid w:val="00035091"/>
    <w:rsid w:val="00035C31"/>
    <w:rsid w:val="0004121D"/>
    <w:rsid w:val="00043D52"/>
    <w:rsid w:val="000448D0"/>
    <w:rsid w:val="00044C81"/>
    <w:rsid w:val="00047659"/>
    <w:rsid w:val="00060010"/>
    <w:rsid w:val="0006124F"/>
    <w:rsid w:val="000637E0"/>
    <w:rsid w:val="00065F60"/>
    <w:rsid w:val="00073429"/>
    <w:rsid w:val="00073CC1"/>
    <w:rsid w:val="00077DD7"/>
    <w:rsid w:val="00080187"/>
    <w:rsid w:val="00080471"/>
    <w:rsid w:val="00080DF4"/>
    <w:rsid w:val="00081696"/>
    <w:rsid w:val="00081FE7"/>
    <w:rsid w:val="0008212F"/>
    <w:rsid w:val="0008544C"/>
    <w:rsid w:val="00085F46"/>
    <w:rsid w:val="0009065A"/>
    <w:rsid w:val="0009130D"/>
    <w:rsid w:val="0009388D"/>
    <w:rsid w:val="0009458B"/>
    <w:rsid w:val="0009533A"/>
    <w:rsid w:val="000A0071"/>
    <w:rsid w:val="000A0EE9"/>
    <w:rsid w:val="000A3161"/>
    <w:rsid w:val="000A42C4"/>
    <w:rsid w:val="000A5E56"/>
    <w:rsid w:val="000A5E76"/>
    <w:rsid w:val="000A65C6"/>
    <w:rsid w:val="000A731D"/>
    <w:rsid w:val="000B14D5"/>
    <w:rsid w:val="000B23AF"/>
    <w:rsid w:val="000B2899"/>
    <w:rsid w:val="000C76D6"/>
    <w:rsid w:val="000C7914"/>
    <w:rsid w:val="000D1419"/>
    <w:rsid w:val="000D195D"/>
    <w:rsid w:val="000D273D"/>
    <w:rsid w:val="000D2A30"/>
    <w:rsid w:val="000D2E66"/>
    <w:rsid w:val="000D459C"/>
    <w:rsid w:val="000D4C4E"/>
    <w:rsid w:val="000D5352"/>
    <w:rsid w:val="000D5374"/>
    <w:rsid w:val="000D7027"/>
    <w:rsid w:val="000D7338"/>
    <w:rsid w:val="000D77F4"/>
    <w:rsid w:val="000E094E"/>
    <w:rsid w:val="000E2655"/>
    <w:rsid w:val="000E2765"/>
    <w:rsid w:val="000E6796"/>
    <w:rsid w:val="000E71F8"/>
    <w:rsid w:val="000F28B6"/>
    <w:rsid w:val="000F7A49"/>
    <w:rsid w:val="00101BE8"/>
    <w:rsid w:val="00104F61"/>
    <w:rsid w:val="00110127"/>
    <w:rsid w:val="0011044D"/>
    <w:rsid w:val="001105E0"/>
    <w:rsid w:val="0011108C"/>
    <w:rsid w:val="0011144F"/>
    <w:rsid w:val="00112CD6"/>
    <w:rsid w:val="00114311"/>
    <w:rsid w:val="00116EFD"/>
    <w:rsid w:val="00117788"/>
    <w:rsid w:val="00120042"/>
    <w:rsid w:val="00121FFF"/>
    <w:rsid w:val="00122177"/>
    <w:rsid w:val="00123910"/>
    <w:rsid w:val="001253B4"/>
    <w:rsid w:val="001308D9"/>
    <w:rsid w:val="00135D0E"/>
    <w:rsid w:val="001404CD"/>
    <w:rsid w:val="00142F12"/>
    <w:rsid w:val="00143C66"/>
    <w:rsid w:val="00144158"/>
    <w:rsid w:val="0014427D"/>
    <w:rsid w:val="001527B1"/>
    <w:rsid w:val="00153EF7"/>
    <w:rsid w:val="001561FB"/>
    <w:rsid w:val="00157FD5"/>
    <w:rsid w:val="0016102E"/>
    <w:rsid w:val="0016109A"/>
    <w:rsid w:val="00162736"/>
    <w:rsid w:val="0017087E"/>
    <w:rsid w:val="00170BAA"/>
    <w:rsid w:val="00170D37"/>
    <w:rsid w:val="00172D96"/>
    <w:rsid w:val="001768B9"/>
    <w:rsid w:val="0018025A"/>
    <w:rsid w:val="0018192B"/>
    <w:rsid w:val="00185426"/>
    <w:rsid w:val="00185E97"/>
    <w:rsid w:val="00186D06"/>
    <w:rsid w:val="00187BCF"/>
    <w:rsid w:val="00190DBA"/>
    <w:rsid w:val="00191B2C"/>
    <w:rsid w:val="00191C3A"/>
    <w:rsid w:val="00192AE9"/>
    <w:rsid w:val="00193B0D"/>
    <w:rsid w:val="00196AB9"/>
    <w:rsid w:val="001A02D3"/>
    <w:rsid w:val="001A0D3F"/>
    <w:rsid w:val="001A2555"/>
    <w:rsid w:val="001A3C4B"/>
    <w:rsid w:val="001A3D49"/>
    <w:rsid w:val="001A43DC"/>
    <w:rsid w:val="001A7DBF"/>
    <w:rsid w:val="001C25BA"/>
    <w:rsid w:val="001C2821"/>
    <w:rsid w:val="001C3CB1"/>
    <w:rsid w:val="001D059E"/>
    <w:rsid w:val="001D171F"/>
    <w:rsid w:val="001D2151"/>
    <w:rsid w:val="001D28F3"/>
    <w:rsid w:val="001D303A"/>
    <w:rsid w:val="001D3219"/>
    <w:rsid w:val="001D4BFB"/>
    <w:rsid w:val="001E0775"/>
    <w:rsid w:val="001E3281"/>
    <w:rsid w:val="001E3537"/>
    <w:rsid w:val="001E3F38"/>
    <w:rsid w:val="001E4C3B"/>
    <w:rsid w:val="001E56F0"/>
    <w:rsid w:val="001E570E"/>
    <w:rsid w:val="001E6FA1"/>
    <w:rsid w:val="001F1073"/>
    <w:rsid w:val="001F31D2"/>
    <w:rsid w:val="001F48F6"/>
    <w:rsid w:val="001F5046"/>
    <w:rsid w:val="002000B7"/>
    <w:rsid w:val="00200A64"/>
    <w:rsid w:val="002018F2"/>
    <w:rsid w:val="002023E2"/>
    <w:rsid w:val="002034F4"/>
    <w:rsid w:val="00205C2F"/>
    <w:rsid w:val="00207BBD"/>
    <w:rsid w:val="00210FFF"/>
    <w:rsid w:val="0021116D"/>
    <w:rsid w:val="00214F38"/>
    <w:rsid w:val="00215C8D"/>
    <w:rsid w:val="002218A4"/>
    <w:rsid w:val="00221BFF"/>
    <w:rsid w:val="002265CE"/>
    <w:rsid w:val="002303AB"/>
    <w:rsid w:val="00231803"/>
    <w:rsid w:val="00231F9D"/>
    <w:rsid w:val="00232702"/>
    <w:rsid w:val="002339A0"/>
    <w:rsid w:val="0023679A"/>
    <w:rsid w:val="00240E7D"/>
    <w:rsid w:val="00242ACD"/>
    <w:rsid w:val="00243426"/>
    <w:rsid w:val="00246560"/>
    <w:rsid w:val="00247689"/>
    <w:rsid w:val="0025101A"/>
    <w:rsid w:val="002535A4"/>
    <w:rsid w:val="0025637E"/>
    <w:rsid w:val="00263518"/>
    <w:rsid w:val="00264C1C"/>
    <w:rsid w:val="0026568A"/>
    <w:rsid w:val="002674D9"/>
    <w:rsid w:val="00270950"/>
    <w:rsid w:val="00271730"/>
    <w:rsid w:val="0027476A"/>
    <w:rsid w:val="00275204"/>
    <w:rsid w:val="00276E37"/>
    <w:rsid w:val="002776BC"/>
    <w:rsid w:val="00280CD8"/>
    <w:rsid w:val="00281501"/>
    <w:rsid w:val="00283A53"/>
    <w:rsid w:val="002844C3"/>
    <w:rsid w:val="00286240"/>
    <w:rsid w:val="00290541"/>
    <w:rsid w:val="00294BE6"/>
    <w:rsid w:val="00294F77"/>
    <w:rsid w:val="002A067B"/>
    <w:rsid w:val="002A1889"/>
    <w:rsid w:val="002A3921"/>
    <w:rsid w:val="002A4F08"/>
    <w:rsid w:val="002B7621"/>
    <w:rsid w:val="002B7A02"/>
    <w:rsid w:val="002C13E6"/>
    <w:rsid w:val="002C1763"/>
    <w:rsid w:val="002C179B"/>
    <w:rsid w:val="002C3AA8"/>
    <w:rsid w:val="002C42A8"/>
    <w:rsid w:val="002C5F4B"/>
    <w:rsid w:val="002C65FF"/>
    <w:rsid w:val="002C766E"/>
    <w:rsid w:val="002C7BF4"/>
    <w:rsid w:val="002D1864"/>
    <w:rsid w:val="002D1F05"/>
    <w:rsid w:val="002D533A"/>
    <w:rsid w:val="002E1548"/>
    <w:rsid w:val="002E1C05"/>
    <w:rsid w:val="002E2BFE"/>
    <w:rsid w:val="002E72C0"/>
    <w:rsid w:val="002F13D7"/>
    <w:rsid w:val="002F2C1E"/>
    <w:rsid w:val="002F33F8"/>
    <w:rsid w:val="002F525C"/>
    <w:rsid w:val="002F6B1B"/>
    <w:rsid w:val="003007F7"/>
    <w:rsid w:val="00300D34"/>
    <w:rsid w:val="003024F4"/>
    <w:rsid w:val="00303031"/>
    <w:rsid w:val="003039D4"/>
    <w:rsid w:val="0030414D"/>
    <w:rsid w:val="00306CCE"/>
    <w:rsid w:val="00312817"/>
    <w:rsid w:val="003134E3"/>
    <w:rsid w:val="0031753D"/>
    <w:rsid w:val="003179AD"/>
    <w:rsid w:val="003205F2"/>
    <w:rsid w:val="00320FD1"/>
    <w:rsid w:val="00325A34"/>
    <w:rsid w:val="0033202F"/>
    <w:rsid w:val="00332E44"/>
    <w:rsid w:val="00336910"/>
    <w:rsid w:val="003375A5"/>
    <w:rsid w:val="00340841"/>
    <w:rsid w:val="0034103F"/>
    <w:rsid w:val="003438E9"/>
    <w:rsid w:val="00351BD8"/>
    <w:rsid w:val="00354383"/>
    <w:rsid w:val="00355C23"/>
    <w:rsid w:val="00356C62"/>
    <w:rsid w:val="0035724C"/>
    <w:rsid w:val="0035733C"/>
    <w:rsid w:val="003620CA"/>
    <w:rsid w:val="00362159"/>
    <w:rsid w:val="003647F0"/>
    <w:rsid w:val="00370B08"/>
    <w:rsid w:val="00370B92"/>
    <w:rsid w:val="00372EEC"/>
    <w:rsid w:val="00373B1A"/>
    <w:rsid w:val="00374BD2"/>
    <w:rsid w:val="00375871"/>
    <w:rsid w:val="003828BD"/>
    <w:rsid w:val="00383BB3"/>
    <w:rsid w:val="00384649"/>
    <w:rsid w:val="00385C42"/>
    <w:rsid w:val="00390171"/>
    <w:rsid w:val="00391144"/>
    <w:rsid w:val="00392565"/>
    <w:rsid w:val="0039266E"/>
    <w:rsid w:val="00395A91"/>
    <w:rsid w:val="003A1076"/>
    <w:rsid w:val="003A16A4"/>
    <w:rsid w:val="003A3BC2"/>
    <w:rsid w:val="003A3D20"/>
    <w:rsid w:val="003A5DBC"/>
    <w:rsid w:val="003A6A84"/>
    <w:rsid w:val="003A70C0"/>
    <w:rsid w:val="003B0994"/>
    <w:rsid w:val="003B0BF9"/>
    <w:rsid w:val="003B1E83"/>
    <w:rsid w:val="003B3948"/>
    <w:rsid w:val="003B4849"/>
    <w:rsid w:val="003B58AB"/>
    <w:rsid w:val="003B71A6"/>
    <w:rsid w:val="003C2A45"/>
    <w:rsid w:val="003C2E80"/>
    <w:rsid w:val="003C4D0A"/>
    <w:rsid w:val="003D0FE9"/>
    <w:rsid w:val="003D1653"/>
    <w:rsid w:val="003D20F3"/>
    <w:rsid w:val="003D2EC3"/>
    <w:rsid w:val="003D7B65"/>
    <w:rsid w:val="003E0791"/>
    <w:rsid w:val="003E0BBB"/>
    <w:rsid w:val="003E3250"/>
    <w:rsid w:val="003E4C47"/>
    <w:rsid w:val="003E697B"/>
    <w:rsid w:val="003E72C7"/>
    <w:rsid w:val="003E78E1"/>
    <w:rsid w:val="003F0A91"/>
    <w:rsid w:val="003F24CA"/>
    <w:rsid w:val="003F28AC"/>
    <w:rsid w:val="003F5977"/>
    <w:rsid w:val="004072F0"/>
    <w:rsid w:val="00407E33"/>
    <w:rsid w:val="00411838"/>
    <w:rsid w:val="00411D91"/>
    <w:rsid w:val="004123F3"/>
    <w:rsid w:val="004147DB"/>
    <w:rsid w:val="00416EAA"/>
    <w:rsid w:val="00422A75"/>
    <w:rsid w:val="0042585D"/>
    <w:rsid w:val="004273F6"/>
    <w:rsid w:val="00427AAE"/>
    <w:rsid w:val="0043143B"/>
    <w:rsid w:val="00433403"/>
    <w:rsid w:val="00433AD9"/>
    <w:rsid w:val="00435461"/>
    <w:rsid w:val="0043696B"/>
    <w:rsid w:val="004379E4"/>
    <w:rsid w:val="00443F01"/>
    <w:rsid w:val="004454FE"/>
    <w:rsid w:val="00446751"/>
    <w:rsid w:val="004469BF"/>
    <w:rsid w:val="00450573"/>
    <w:rsid w:val="0045136B"/>
    <w:rsid w:val="00453220"/>
    <w:rsid w:val="00456E40"/>
    <w:rsid w:val="0046616E"/>
    <w:rsid w:val="00467FDD"/>
    <w:rsid w:val="004709F5"/>
    <w:rsid w:val="00471F27"/>
    <w:rsid w:val="0047334E"/>
    <w:rsid w:val="00477AFF"/>
    <w:rsid w:val="00480BED"/>
    <w:rsid w:val="0048166D"/>
    <w:rsid w:val="00481C2F"/>
    <w:rsid w:val="004829AA"/>
    <w:rsid w:val="00484A95"/>
    <w:rsid w:val="0048645F"/>
    <w:rsid w:val="00486E8B"/>
    <w:rsid w:val="00486F7A"/>
    <w:rsid w:val="004905CD"/>
    <w:rsid w:val="0049292E"/>
    <w:rsid w:val="00495D5F"/>
    <w:rsid w:val="00496500"/>
    <w:rsid w:val="00496D92"/>
    <w:rsid w:val="004A001C"/>
    <w:rsid w:val="004A0250"/>
    <w:rsid w:val="004A12C8"/>
    <w:rsid w:val="004A20B1"/>
    <w:rsid w:val="004A333A"/>
    <w:rsid w:val="004A381F"/>
    <w:rsid w:val="004A6090"/>
    <w:rsid w:val="004A6543"/>
    <w:rsid w:val="004A72B2"/>
    <w:rsid w:val="004B0168"/>
    <w:rsid w:val="004B1746"/>
    <w:rsid w:val="004B3701"/>
    <w:rsid w:val="004B48C6"/>
    <w:rsid w:val="004C0157"/>
    <w:rsid w:val="004C3B68"/>
    <w:rsid w:val="004C6193"/>
    <w:rsid w:val="004C6543"/>
    <w:rsid w:val="004C6794"/>
    <w:rsid w:val="004C6CB7"/>
    <w:rsid w:val="004C7A3F"/>
    <w:rsid w:val="004D586F"/>
    <w:rsid w:val="004D6297"/>
    <w:rsid w:val="004E44BE"/>
    <w:rsid w:val="004F0340"/>
    <w:rsid w:val="004F036D"/>
    <w:rsid w:val="004F2E55"/>
    <w:rsid w:val="004F5AC1"/>
    <w:rsid w:val="0050178F"/>
    <w:rsid w:val="00502AED"/>
    <w:rsid w:val="0050455D"/>
    <w:rsid w:val="00506242"/>
    <w:rsid w:val="005075CE"/>
    <w:rsid w:val="00510AC7"/>
    <w:rsid w:val="005124BE"/>
    <w:rsid w:val="00513CE4"/>
    <w:rsid w:val="00516AE4"/>
    <w:rsid w:val="00520F97"/>
    <w:rsid w:val="00525BA0"/>
    <w:rsid w:val="005275D1"/>
    <w:rsid w:val="005323B1"/>
    <w:rsid w:val="0053283E"/>
    <w:rsid w:val="00533198"/>
    <w:rsid w:val="00536082"/>
    <w:rsid w:val="005409B8"/>
    <w:rsid w:val="00540D87"/>
    <w:rsid w:val="005413BC"/>
    <w:rsid w:val="00544D0A"/>
    <w:rsid w:val="005450F9"/>
    <w:rsid w:val="005504D9"/>
    <w:rsid w:val="00554421"/>
    <w:rsid w:val="00562146"/>
    <w:rsid w:val="00562D89"/>
    <w:rsid w:val="00564B72"/>
    <w:rsid w:val="00567D60"/>
    <w:rsid w:val="0057105F"/>
    <w:rsid w:val="00571BD8"/>
    <w:rsid w:val="005756DB"/>
    <w:rsid w:val="00576A94"/>
    <w:rsid w:val="005774C9"/>
    <w:rsid w:val="00581022"/>
    <w:rsid w:val="0058144D"/>
    <w:rsid w:val="00584140"/>
    <w:rsid w:val="00584BCB"/>
    <w:rsid w:val="00585E8C"/>
    <w:rsid w:val="0058671F"/>
    <w:rsid w:val="005867F3"/>
    <w:rsid w:val="00592918"/>
    <w:rsid w:val="0059353D"/>
    <w:rsid w:val="005971CC"/>
    <w:rsid w:val="0059731E"/>
    <w:rsid w:val="005A2B56"/>
    <w:rsid w:val="005B1E5E"/>
    <w:rsid w:val="005B4967"/>
    <w:rsid w:val="005B6245"/>
    <w:rsid w:val="005C0691"/>
    <w:rsid w:val="005C2120"/>
    <w:rsid w:val="005C2AE9"/>
    <w:rsid w:val="005C40F0"/>
    <w:rsid w:val="005C6EC3"/>
    <w:rsid w:val="005C751F"/>
    <w:rsid w:val="005D1538"/>
    <w:rsid w:val="005D2922"/>
    <w:rsid w:val="005D3ADF"/>
    <w:rsid w:val="005D41F0"/>
    <w:rsid w:val="005E0AAF"/>
    <w:rsid w:val="005E139C"/>
    <w:rsid w:val="005E171B"/>
    <w:rsid w:val="005E3B7E"/>
    <w:rsid w:val="005E63CC"/>
    <w:rsid w:val="005E6F47"/>
    <w:rsid w:val="005E7A73"/>
    <w:rsid w:val="005F180A"/>
    <w:rsid w:val="005F1F63"/>
    <w:rsid w:val="005F2991"/>
    <w:rsid w:val="005F7330"/>
    <w:rsid w:val="00600468"/>
    <w:rsid w:val="006015AA"/>
    <w:rsid w:val="00602A34"/>
    <w:rsid w:val="00602DD2"/>
    <w:rsid w:val="006050A5"/>
    <w:rsid w:val="00605571"/>
    <w:rsid w:val="006125A1"/>
    <w:rsid w:val="006146F6"/>
    <w:rsid w:val="00615A77"/>
    <w:rsid w:val="00615F3E"/>
    <w:rsid w:val="00617F5B"/>
    <w:rsid w:val="00621046"/>
    <w:rsid w:val="0062210A"/>
    <w:rsid w:val="00625DC3"/>
    <w:rsid w:val="006264C0"/>
    <w:rsid w:val="006324C9"/>
    <w:rsid w:val="0063301D"/>
    <w:rsid w:val="00635E66"/>
    <w:rsid w:val="0064027F"/>
    <w:rsid w:val="0064441C"/>
    <w:rsid w:val="00644FB0"/>
    <w:rsid w:val="00647281"/>
    <w:rsid w:val="006532D9"/>
    <w:rsid w:val="0065564E"/>
    <w:rsid w:val="006556EB"/>
    <w:rsid w:val="00655F2C"/>
    <w:rsid w:val="00656F64"/>
    <w:rsid w:val="006612B7"/>
    <w:rsid w:val="006625F4"/>
    <w:rsid w:val="00664038"/>
    <w:rsid w:val="00664143"/>
    <w:rsid w:val="0067097F"/>
    <w:rsid w:val="00672662"/>
    <w:rsid w:val="006736F7"/>
    <w:rsid w:val="00673AF1"/>
    <w:rsid w:val="00674792"/>
    <w:rsid w:val="006753FA"/>
    <w:rsid w:val="006758E8"/>
    <w:rsid w:val="00677D61"/>
    <w:rsid w:val="00677EA3"/>
    <w:rsid w:val="006817B9"/>
    <w:rsid w:val="00681FF2"/>
    <w:rsid w:val="00682B14"/>
    <w:rsid w:val="00684D34"/>
    <w:rsid w:val="00687043"/>
    <w:rsid w:val="006900CD"/>
    <w:rsid w:val="00690490"/>
    <w:rsid w:val="00693D1A"/>
    <w:rsid w:val="00696EAE"/>
    <w:rsid w:val="00696F5E"/>
    <w:rsid w:val="006A2A7E"/>
    <w:rsid w:val="006A54E9"/>
    <w:rsid w:val="006B00EB"/>
    <w:rsid w:val="006C4914"/>
    <w:rsid w:val="006C4A72"/>
    <w:rsid w:val="006C637C"/>
    <w:rsid w:val="006D3769"/>
    <w:rsid w:val="006D4665"/>
    <w:rsid w:val="006D5CC6"/>
    <w:rsid w:val="006D653C"/>
    <w:rsid w:val="006E1081"/>
    <w:rsid w:val="006E1465"/>
    <w:rsid w:val="006E3BBD"/>
    <w:rsid w:val="006E7E46"/>
    <w:rsid w:val="006F1A33"/>
    <w:rsid w:val="006F39BF"/>
    <w:rsid w:val="006F39DD"/>
    <w:rsid w:val="006F56DF"/>
    <w:rsid w:val="006F58B9"/>
    <w:rsid w:val="006F6B65"/>
    <w:rsid w:val="006F6E2D"/>
    <w:rsid w:val="00700075"/>
    <w:rsid w:val="007000B1"/>
    <w:rsid w:val="00703C8D"/>
    <w:rsid w:val="007053D2"/>
    <w:rsid w:val="00707713"/>
    <w:rsid w:val="00716CD7"/>
    <w:rsid w:val="00720375"/>
    <w:rsid w:val="007203C7"/>
    <w:rsid w:val="00720585"/>
    <w:rsid w:val="007238B5"/>
    <w:rsid w:val="00725037"/>
    <w:rsid w:val="0072625C"/>
    <w:rsid w:val="007335C2"/>
    <w:rsid w:val="00740AC8"/>
    <w:rsid w:val="0074426F"/>
    <w:rsid w:val="0074450B"/>
    <w:rsid w:val="00744D9D"/>
    <w:rsid w:val="00750B14"/>
    <w:rsid w:val="00751139"/>
    <w:rsid w:val="00751E3D"/>
    <w:rsid w:val="00752F85"/>
    <w:rsid w:val="00754939"/>
    <w:rsid w:val="00757602"/>
    <w:rsid w:val="00757D76"/>
    <w:rsid w:val="00765C0D"/>
    <w:rsid w:val="007672B9"/>
    <w:rsid w:val="00767F30"/>
    <w:rsid w:val="007720D7"/>
    <w:rsid w:val="00773AF6"/>
    <w:rsid w:val="00774AE8"/>
    <w:rsid w:val="00777B26"/>
    <w:rsid w:val="00780A32"/>
    <w:rsid w:val="00785923"/>
    <w:rsid w:val="00787B68"/>
    <w:rsid w:val="00790156"/>
    <w:rsid w:val="00790810"/>
    <w:rsid w:val="00793335"/>
    <w:rsid w:val="00795F71"/>
    <w:rsid w:val="007963C8"/>
    <w:rsid w:val="007964E5"/>
    <w:rsid w:val="00796AEA"/>
    <w:rsid w:val="007977DA"/>
    <w:rsid w:val="007977F8"/>
    <w:rsid w:val="007A1AFD"/>
    <w:rsid w:val="007A3372"/>
    <w:rsid w:val="007A35D2"/>
    <w:rsid w:val="007A42B1"/>
    <w:rsid w:val="007A5E1D"/>
    <w:rsid w:val="007A6950"/>
    <w:rsid w:val="007A7B19"/>
    <w:rsid w:val="007B3175"/>
    <w:rsid w:val="007B71BE"/>
    <w:rsid w:val="007C19DA"/>
    <w:rsid w:val="007C20ED"/>
    <w:rsid w:val="007C2F69"/>
    <w:rsid w:val="007C3259"/>
    <w:rsid w:val="007C52C4"/>
    <w:rsid w:val="007D06FB"/>
    <w:rsid w:val="007D1414"/>
    <w:rsid w:val="007D1785"/>
    <w:rsid w:val="007D292A"/>
    <w:rsid w:val="007D48BF"/>
    <w:rsid w:val="007D4CE9"/>
    <w:rsid w:val="007D5607"/>
    <w:rsid w:val="007D675D"/>
    <w:rsid w:val="007D6E02"/>
    <w:rsid w:val="007E1D3F"/>
    <w:rsid w:val="007E2EEF"/>
    <w:rsid w:val="007E5F7A"/>
    <w:rsid w:val="007E690A"/>
    <w:rsid w:val="007E73AB"/>
    <w:rsid w:val="007E7E83"/>
    <w:rsid w:val="007F0B69"/>
    <w:rsid w:val="007F11D7"/>
    <w:rsid w:val="007F169E"/>
    <w:rsid w:val="007F23D2"/>
    <w:rsid w:val="007F3FE8"/>
    <w:rsid w:val="007F54DB"/>
    <w:rsid w:val="007F5A8A"/>
    <w:rsid w:val="00800761"/>
    <w:rsid w:val="00803099"/>
    <w:rsid w:val="008041F4"/>
    <w:rsid w:val="00804464"/>
    <w:rsid w:val="00806039"/>
    <w:rsid w:val="008063A6"/>
    <w:rsid w:val="00807E26"/>
    <w:rsid w:val="00810B14"/>
    <w:rsid w:val="00816C11"/>
    <w:rsid w:val="00817C3E"/>
    <w:rsid w:val="00820019"/>
    <w:rsid w:val="00820EF5"/>
    <w:rsid w:val="00821385"/>
    <w:rsid w:val="00826F9B"/>
    <w:rsid w:val="00827CDC"/>
    <w:rsid w:val="00827EEB"/>
    <w:rsid w:val="00830ACE"/>
    <w:rsid w:val="00831B37"/>
    <w:rsid w:val="00831C78"/>
    <w:rsid w:val="008414BE"/>
    <w:rsid w:val="00843A9E"/>
    <w:rsid w:val="00845BF8"/>
    <w:rsid w:val="00853F6C"/>
    <w:rsid w:val="00855275"/>
    <w:rsid w:val="00856166"/>
    <w:rsid w:val="008613AB"/>
    <w:rsid w:val="00861DB1"/>
    <w:rsid w:val="008635F4"/>
    <w:rsid w:val="00864745"/>
    <w:rsid w:val="00864E96"/>
    <w:rsid w:val="0086517A"/>
    <w:rsid w:val="00872503"/>
    <w:rsid w:val="00874061"/>
    <w:rsid w:val="0087459A"/>
    <w:rsid w:val="008755AB"/>
    <w:rsid w:val="008835FB"/>
    <w:rsid w:val="00886953"/>
    <w:rsid w:val="00886B49"/>
    <w:rsid w:val="00891B0E"/>
    <w:rsid w:val="00894C55"/>
    <w:rsid w:val="00896750"/>
    <w:rsid w:val="008A29E8"/>
    <w:rsid w:val="008A358B"/>
    <w:rsid w:val="008A6333"/>
    <w:rsid w:val="008B4E4D"/>
    <w:rsid w:val="008B5837"/>
    <w:rsid w:val="008C0057"/>
    <w:rsid w:val="008C205A"/>
    <w:rsid w:val="008C244C"/>
    <w:rsid w:val="008C2643"/>
    <w:rsid w:val="008C3E95"/>
    <w:rsid w:val="008C7B3B"/>
    <w:rsid w:val="008D0CE1"/>
    <w:rsid w:val="008D0E3F"/>
    <w:rsid w:val="008D45E7"/>
    <w:rsid w:val="008D5A46"/>
    <w:rsid w:val="008D5DCA"/>
    <w:rsid w:val="008D63EC"/>
    <w:rsid w:val="008E187C"/>
    <w:rsid w:val="008E3ED8"/>
    <w:rsid w:val="008E5472"/>
    <w:rsid w:val="008E6DE8"/>
    <w:rsid w:val="008E7F63"/>
    <w:rsid w:val="008F0564"/>
    <w:rsid w:val="008F3B19"/>
    <w:rsid w:val="008F4F35"/>
    <w:rsid w:val="009008B5"/>
    <w:rsid w:val="00902889"/>
    <w:rsid w:val="00902B08"/>
    <w:rsid w:val="009055FD"/>
    <w:rsid w:val="00906F15"/>
    <w:rsid w:val="00911600"/>
    <w:rsid w:val="009122DA"/>
    <w:rsid w:val="0091302F"/>
    <w:rsid w:val="00913B0F"/>
    <w:rsid w:val="009162AC"/>
    <w:rsid w:val="009175E7"/>
    <w:rsid w:val="009208B1"/>
    <w:rsid w:val="009255A5"/>
    <w:rsid w:val="00931A8A"/>
    <w:rsid w:val="0093229D"/>
    <w:rsid w:val="00933348"/>
    <w:rsid w:val="00933606"/>
    <w:rsid w:val="009349AF"/>
    <w:rsid w:val="00935F9E"/>
    <w:rsid w:val="0094127B"/>
    <w:rsid w:val="00941620"/>
    <w:rsid w:val="009428B1"/>
    <w:rsid w:val="009434B5"/>
    <w:rsid w:val="00943AD7"/>
    <w:rsid w:val="00943F6C"/>
    <w:rsid w:val="00947B64"/>
    <w:rsid w:val="009528C9"/>
    <w:rsid w:val="00952D43"/>
    <w:rsid w:val="009553E5"/>
    <w:rsid w:val="00956107"/>
    <w:rsid w:val="009565D0"/>
    <w:rsid w:val="00961910"/>
    <w:rsid w:val="00963AA7"/>
    <w:rsid w:val="00966CC1"/>
    <w:rsid w:val="009701B1"/>
    <w:rsid w:val="00972863"/>
    <w:rsid w:val="009729A1"/>
    <w:rsid w:val="00974F9D"/>
    <w:rsid w:val="009755BC"/>
    <w:rsid w:val="00975A3F"/>
    <w:rsid w:val="00976FBA"/>
    <w:rsid w:val="00983C23"/>
    <w:rsid w:val="00984201"/>
    <w:rsid w:val="00986BAC"/>
    <w:rsid w:val="00987EBC"/>
    <w:rsid w:val="00987FA2"/>
    <w:rsid w:val="0099006E"/>
    <w:rsid w:val="00990D4C"/>
    <w:rsid w:val="009918BC"/>
    <w:rsid w:val="00992BC0"/>
    <w:rsid w:val="00992DD6"/>
    <w:rsid w:val="00996919"/>
    <w:rsid w:val="009A22AB"/>
    <w:rsid w:val="009A2654"/>
    <w:rsid w:val="009A2880"/>
    <w:rsid w:val="009A756D"/>
    <w:rsid w:val="009B12CF"/>
    <w:rsid w:val="009B5AF7"/>
    <w:rsid w:val="009B62DA"/>
    <w:rsid w:val="009B7C5C"/>
    <w:rsid w:val="009C1266"/>
    <w:rsid w:val="009C14B1"/>
    <w:rsid w:val="009C2F17"/>
    <w:rsid w:val="009D1859"/>
    <w:rsid w:val="009D2425"/>
    <w:rsid w:val="009D36F2"/>
    <w:rsid w:val="009D70F4"/>
    <w:rsid w:val="009D7C8B"/>
    <w:rsid w:val="009D7CF8"/>
    <w:rsid w:val="009E03E2"/>
    <w:rsid w:val="009E3B0C"/>
    <w:rsid w:val="009E499A"/>
    <w:rsid w:val="009E6DBC"/>
    <w:rsid w:val="009E6E3E"/>
    <w:rsid w:val="009E7987"/>
    <w:rsid w:val="009F03DC"/>
    <w:rsid w:val="009F0A94"/>
    <w:rsid w:val="009F10B4"/>
    <w:rsid w:val="009F3C3D"/>
    <w:rsid w:val="009F44D0"/>
    <w:rsid w:val="009F49CD"/>
    <w:rsid w:val="00A01149"/>
    <w:rsid w:val="00A07D14"/>
    <w:rsid w:val="00A10329"/>
    <w:rsid w:val="00A1096D"/>
    <w:rsid w:val="00A10FC3"/>
    <w:rsid w:val="00A11314"/>
    <w:rsid w:val="00A11A75"/>
    <w:rsid w:val="00A13F4C"/>
    <w:rsid w:val="00A21C94"/>
    <w:rsid w:val="00A22070"/>
    <w:rsid w:val="00A22D33"/>
    <w:rsid w:val="00A252A8"/>
    <w:rsid w:val="00A27F91"/>
    <w:rsid w:val="00A30002"/>
    <w:rsid w:val="00A3174A"/>
    <w:rsid w:val="00A3208B"/>
    <w:rsid w:val="00A33A1F"/>
    <w:rsid w:val="00A41186"/>
    <w:rsid w:val="00A41A8E"/>
    <w:rsid w:val="00A4482F"/>
    <w:rsid w:val="00A46503"/>
    <w:rsid w:val="00A47958"/>
    <w:rsid w:val="00A50927"/>
    <w:rsid w:val="00A6073E"/>
    <w:rsid w:val="00A610AF"/>
    <w:rsid w:val="00A6148A"/>
    <w:rsid w:val="00A627B3"/>
    <w:rsid w:val="00A70B96"/>
    <w:rsid w:val="00A71880"/>
    <w:rsid w:val="00A71D16"/>
    <w:rsid w:val="00A74580"/>
    <w:rsid w:val="00A7670E"/>
    <w:rsid w:val="00A76AB9"/>
    <w:rsid w:val="00A83175"/>
    <w:rsid w:val="00A83401"/>
    <w:rsid w:val="00A87CE8"/>
    <w:rsid w:val="00A942AF"/>
    <w:rsid w:val="00A956ED"/>
    <w:rsid w:val="00AA0F0D"/>
    <w:rsid w:val="00AA58FF"/>
    <w:rsid w:val="00AA5C6A"/>
    <w:rsid w:val="00AA5F28"/>
    <w:rsid w:val="00AA6885"/>
    <w:rsid w:val="00AA7F7F"/>
    <w:rsid w:val="00AB3EE1"/>
    <w:rsid w:val="00AB56DC"/>
    <w:rsid w:val="00AB6F68"/>
    <w:rsid w:val="00AB7961"/>
    <w:rsid w:val="00AB7F1C"/>
    <w:rsid w:val="00AC0428"/>
    <w:rsid w:val="00AC21E0"/>
    <w:rsid w:val="00AC2529"/>
    <w:rsid w:val="00AC29E4"/>
    <w:rsid w:val="00AC3125"/>
    <w:rsid w:val="00AC37B3"/>
    <w:rsid w:val="00AC5380"/>
    <w:rsid w:val="00AC5FDE"/>
    <w:rsid w:val="00AC6168"/>
    <w:rsid w:val="00AD1170"/>
    <w:rsid w:val="00AD60A1"/>
    <w:rsid w:val="00AE1210"/>
    <w:rsid w:val="00AE14C7"/>
    <w:rsid w:val="00AE5567"/>
    <w:rsid w:val="00AF0C68"/>
    <w:rsid w:val="00AF1239"/>
    <w:rsid w:val="00AF1684"/>
    <w:rsid w:val="00B01D6A"/>
    <w:rsid w:val="00B028CA"/>
    <w:rsid w:val="00B047E7"/>
    <w:rsid w:val="00B077D4"/>
    <w:rsid w:val="00B07EB1"/>
    <w:rsid w:val="00B10C25"/>
    <w:rsid w:val="00B112B8"/>
    <w:rsid w:val="00B14A7E"/>
    <w:rsid w:val="00B16480"/>
    <w:rsid w:val="00B2165C"/>
    <w:rsid w:val="00B23426"/>
    <w:rsid w:val="00B23D94"/>
    <w:rsid w:val="00B30550"/>
    <w:rsid w:val="00B35869"/>
    <w:rsid w:val="00B36E61"/>
    <w:rsid w:val="00B37FDB"/>
    <w:rsid w:val="00B40278"/>
    <w:rsid w:val="00B417DB"/>
    <w:rsid w:val="00B45034"/>
    <w:rsid w:val="00B4523E"/>
    <w:rsid w:val="00B50E8F"/>
    <w:rsid w:val="00B50F03"/>
    <w:rsid w:val="00B53752"/>
    <w:rsid w:val="00B57B9A"/>
    <w:rsid w:val="00B603E6"/>
    <w:rsid w:val="00B608D6"/>
    <w:rsid w:val="00B62A34"/>
    <w:rsid w:val="00B62CD4"/>
    <w:rsid w:val="00B62F72"/>
    <w:rsid w:val="00B630E9"/>
    <w:rsid w:val="00B6424E"/>
    <w:rsid w:val="00B647CE"/>
    <w:rsid w:val="00B66630"/>
    <w:rsid w:val="00B704A6"/>
    <w:rsid w:val="00B74A6F"/>
    <w:rsid w:val="00B74E60"/>
    <w:rsid w:val="00B763BB"/>
    <w:rsid w:val="00B81634"/>
    <w:rsid w:val="00B81641"/>
    <w:rsid w:val="00B83C63"/>
    <w:rsid w:val="00B84D7C"/>
    <w:rsid w:val="00B85C88"/>
    <w:rsid w:val="00B85D4D"/>
    <w:rsid w:val="00B85F6C"/>
    <w:rsid w:val="00B877F9"/>
    <w:rsid w:val="00B87ABA"/>
    <w:rsid w:val="00B91EFC"/>
    <w:rsid w:val="00B92F48"/>
    <w:rsid w:val="00B93589"/>
    <w:rsid w:val="00BA1DB6"/>
    <w:rsid w:val="00BA20AA"/>
    <w:rsid w:val="00BA3468"/>
    <w:rsid w:val="00BB0DAB"/>
    <w:rsid w:val="00BB5CE2"/>
    <w:rsid w:val="00BB5F59"/>
    <w:rsid w:val="00BB635F"/>
    <w:rsid w:val="00BC01DC"/>
    <w:rsid w:val="00BC4D62"/>
    <w:rsid w:val="00BC7A78"/>
    <w:rsid w:val="00BD1C03"/>
    <w:rsid w:val="00BD4425"/>
    <w:rsid w:val="00BD72DE"/>
    <w:rsid w:val="00BE0E92"/>
    <w:rsid w:val="00BE2E9C"/>
    <w:rsid w:val="00BE413E"/>
    <w:rsid w:val="00BF1FC1"/>
    <w:rsid w:val="00BF25D2"/>
    <w:rsid w:val="00BF4C6D"/>
    <w:rsid w:val="00BF774B"/>
    <w:rsid w:val="00C077F9"/>
    <w:rsid w:val="00C079A5"/>
    <w:rsid w:val="00C106D9"/>
    <w:rsid w:val="00C128A5"/>
    <w:rsid w:val="00C133D5"/>
    <w:rsid w:val="00C13785"/>
    <w:rsid w:val="00C14DD0"/>
    <w:rsid w:val="00C20488"/>
    <w:rsid w:val="00C20B7C"/>
    <w:rsid w:val="00C23E3A"/>
    <w:rsid w:val="00C240D4"/>
    <w:rsid w:val="00C25B49"/>
    <w:rsid w:val="00C265D6"/>
    <w:rsid w:val="00C270BD"/>
    <w:rsid w:val="00C31CE6"/>
    <w:rsid w:val="00C32E05"/>
    <w:rsid w:val="00C33785"/>
    <w:rsid w:val="00C33FDC"/>
    <w:rsid w:val="00C34220"/>
    <w:rsid w:val="00C36C17"/>
    <w:rsid w:val="00C42184"/>
    <w:rsid w:val="00C42F19"/>
    <w:rsid w:val="00C43D96"/>
    <w:rsid w:val="00C44A6C"/>
    <w:rsid w:val="00C459D2"/>
    <w:rsid w:val="00C505EF"/>
    <w:rsid w:val="00C50DAE"/>
    <w:rsid w:val="00C51D9D"/>
    <w:rsid w:val="00C52A30"/>
    <w:rsid w:val="00C54221"/>
    <w:rsid w:val="00C55B56"/>
    <w:rsid w:val="00C57DB7"/>
    <w:rsid w:val="00C60AFC"/>
    <w:rsid w:val="00C62BFF"/>
    <w:rsid w:val="00C73E68"/>
    <w:rsid w:val="00C74E70"/>
    <w:rsid w:val="00C755CF"/>
    <w:rsid w:val="00C770FF"/>
    <w:rsid w:val="00C77319"/>
    <w:rsid w:val="00C776B5"/>
    <w:rsid w:val="00C829BB"/>
    <w:rsid w:val="00C82ABB"/>
    <w:rsid w:val="00C84054"/>
    <w:rsid w:val="00C85C8A"/>
    <w:rsid w:val="00C910E2"/>
    <w:rsid w:val="00C94150"/>
    <w:rsid w:val="00C96363"/>
    <w:rsid w:val="00C97E63"/>
    <w:rsid w:val="00CA0309"/>
    <w:rsid w:val="00CA0679"/>
    <w:rsid w:val="00CA094F"/>
    <w:rsid w:val="00CA3DC2"/>
    <w:rsid w:val="00CA449A"/>
    <w:rsid w:val="00CA649E"/>
    <w:rsid w:val="00CB07A9"/>
    <w:rsid w:val="00CB7980"/>
    <w:rsid w:val="00CC0D2D"/>
    <w:rsid w:val="00CC29D3"/>
    <w:rsid w:val="00CC456F"/>
    <w:rsid w:val="00CC5412"/>
    <w:rsid w:val="00CC7893"/>
    <w:rsid w:val="00CD30E7"/>
    <w:rsid w:val="00CD6627"/>
    <w:rsid w:val="00CD6A11"/>
    <w:rsid w:val="00CE3697"/>
    <w:rsid w:val="00CE5537"/>
    <w:rsid w:val="00CE5657"/>
    <w:rsid w:val="00CF0BDC"/>
    <w:rsid w:val="00D0031B"/>
    <w:rsid w:val="00D00AC5"/>
    <w:rsid w:val="00D026D6"/>
    <w:rsid w:val="00D0405D"/>
    <w:rsid w:val="00D04588"/>
    <w:rsid w:val="00D05C09"/>
    <w:rsid w:val="00D128AE"/>
    <w:rsid w:val="00D12E61"/>
    <w:rsid w:val="00D131F5"/>
    <w:rsid w:val="00D133F8"/>
    <w:rsid w:val="00D13704"/>
    <w:rsid w:val="00D1405E"/>
    <w:rsid w:val="00D14824"/>
    <w:rsid w:val="00D14A3E"/>
    <w:rsid w:val="00D151FC"/>
    <w:rsid w:val="00D173D1"/>
    <w:rsid w:val="00D2015A"/>
    <w:rsid w:val="00D202DA"/>
    <w:rsid w:val="00D257F0"/>
    <w:rsid w:val="00D2683D"/>
    <w:rsid w:val="00D27E3B"/>
    <w:rsid w:val="00D30154"/>
    <w:rsid w:val="00D334A3"/>
    <w:rsid w:val="00D3499B"/>
    <w:rsid w:val="00D42A1E"/>
    <w:rsid w:val="00D4325E"/>
    <w:rsid w:val="00D443DB"/>
    <w:rsid w:val="00D44970"/>
    <w:rsid w:val="00D44B68"/>
    <w:rsid w:val="00D45010"/>
    <w:rsid w:val="00D4663E"/>
    <w:rsid w:val="00D5095A"/>
    <w:rsid w:val="00D51B25"/>
    <w:rsid w:val="00D52BE9"/>
    <w:rsid w:val="00D533C8"/>
    <w:rsid w:val="00D5396F"/>
    <w:rsid w:val="00D66903"/>
    <w:rsid w:val="00D66E75"/>
    <w:rsid w:val="00D67F35"/>
    <w:rsid w:val="00D71FC0"/>
    <w:rsid w:val="00D7306D"/>
    <w:rsid w:val="00D7407B"/>
    <w:rsid w:val="00D749A4"/>
    <w:rsid w:val="00D763ED"/>
    <w:rsid w:val="00D77B74"/>
    <w:rsid w:val="00D77F4E"/>
    <w:rsid w:val="00D8058A"/>
    <w:rsid w:val="00D807E6"/>
    <w:rsid w:val="00D811B0"/>
    <w:rsid w:val="00D81642"/>
    <w:rsid w:val="00D81D28"/>
    <w:rsid w:val="00D8379D"/>
    <w:rsid w:val="00D85721"/>
    <w:rsid w:val="00D860B7"/>
    <w:rsid w:val="00D9229D"/>
    <w:rsid w:val="00D95E57"/>
    <w:rsid w:val="00DA1AC4"/>
    <w:rsid w:val="00DA3B03"/>
    <w:rsid w:val="00DA5BCB"/>
    <w:rsid w:val="00DA631F"/>
    <w:rsid w:val="00DA6748"/>
    <w:rsid w:val="00DB0F08"/>
    <w:rsid w:val="00DB49AB"/>
    <w:rsid w:val="00DB4D06"/>
    <w:rsid w:val="00DC0860"/>
    <w:rsid w:val="00DC0C31"/>
    <w:rsid w:val="00DC22DB"/>
    <w:rsid w:val="00DC3970"/>
    <w:rsid w:val="00DC7737"/>
    <w:rsid w:val="00DD11E0"/>
    <w:rsid w:val="00DD3B73"/>
    <w:rsid w:val="00DE4171"/>
    <w:rsid w:val="00DE452F"/>
    <w:rsid w:val="00DF3AC6"/>
    <w:rsid w:val="00DF3D53"/>
    <w:rsid w:val="00DF4BAC"/>
    <w:rsid w:val="00DF6368"/>
    <w:rsid w:val="00E024A5"/>
    <w:rsid w:val="00E0293C"/>
    <w:rsid w:val="00E070DE"/>
    <w:rsid w:val="00E07165"/>
    <w:rsid w:val="00E10701"/>
    <w:rsid w:val="00E1135D"/>
    <w:rsid w:val="00E12784"/>
    <w:rsid w:val="00E12F5A"/>
    <w:rsid w:val="00E166B5"/>
    <w:rsid w:val="00E1737E"/>
    <w:rsid w:val="00E20815"/>
    <w:rsid w:val="00E23028"/>
    <w:rsid w:val="00E262B5"/>
    <w:rsid w:val="00E27EA8"/>
    <w:rsid w:val="00E305BD"/>
    <w:rsid w:val="00E30B2E"/>
    <w:rsid w:val="00E31FEC"/>
    <w:rsid w:val="00E32B95"/>
    <w:rsid w:val="00E35AA0"/>
    <w:rsid w:val="00E3716B"/>
    <w:rsid w:val="00E372D7"/>
    <w:rsid w:val="00E4297E"/>
    <w:rsid w:val="00E43AF1"/>
    <w:rsid w:val="00E46121"/>
    <w:rsid w:val="00E51159"/>
    <w:rsid w:val="00E5323B"/>
    <w:rsid w:val="00E53719"/>
    <w:rsid w:val="00E53F39"/>
    <w:rsid w:val="00E543FA"/>
    <w:rsid w:val="00E54CD0"/>
    <w:rsid w:val="00E632E4"/>
    <w:rsid w:val="00E63919"/>
    <w:rsid w:val="00E64E60"/>
    <w:rsid w:val="00E65483"/>
    <w:rsid w:val="00E73702"/>
    <w:rsid w:val="00E746B4"/>
    <w:rsid w:val="00E754B6"/>
    <w:rsid w:val="00E771AF"/>
    <w:rsid w:val="00E814D1"/>
    <w:rsid w:val="00E8304C"/>
    <w:rsid w:val="00E85736"/>
    <w:rsid w:val="00E8749E"/>
    <w:rsid w:val="00E87F26"/>
    <w:rsid w:val="00E90C01"/>
    <w:rsid w:val="00E9276C"/>
    <w:rsid w:val="00EA31F2"/>
    <w:rsid w:val="00EA486E"/>
    <w:rsid w:val="00EB0116"/>
    <w:rsid w:val="00EB12F6"/>
    <w:rsid w:val="00EB3286"/>
    <w:rsid w:val="00EB3308"/>
    <w:rsid w:val="00EB343D"/>
    <w:rsid w:val="00EB4CF5"/>
    <w:rsid w:val="00EB7409"/>
    <w:rsid w:val="00EC15DB"/>
    <w:rsid w:val="00EC17BF"/>
    <w:rsid w:val="00EC63F7"/>
    <w:rsid w:val="00ED0920"/>
    <w:rsid w:val="00ED397F"/>
    <w:rsid w:val="00ED4DB4"/>
    <w:rsid w:val="00ED748C"/>
    <w:rsid w:val="00EE20B0"/>
    <w:rsid w:val="00EE2DC5"/>
    <w:rsid w:val="00EE54FC"/>
    <w:rsid w:val="00EF21F6"/>
    <w:rsid w:val="00EF534F"/>
    <w:rsid w:val="00EF5C97"/>
    <w:rsid w:val="00EF7943"/>
    <w:rsid w:val="00F00757"/>
    <w:rsid w:val="00F007F5"/>
    <w:rsid w:val="00F02B02"/>
    <w:rsid w:val="00F02BBD"/>
    <w:rsid w:val="00F051FD"/>
    <w:rsid w:val="00F06072"/>
    <w:rsid w:val="00F1530C"/>
    <w:rsid w:val="00F15E00"/>
    <w:rsid w:val="00F20B92"/>
    <w:rsid w:val="00F2269E"/>
    <w:rsid w:val="00F228A2"/>
    <w:rsid w:val="00F2310C"/>
    <w:rsid w:val="00F241F8"/>
    <w:rsid w:val="00F321F8"/>
    <w:rsid w:val="00F34461"/>
    <w:rsid w:val="00F3509E"/>
    <w:rsid w:val="00F371D7"/>
    <w:rsid w:val="00F37E87"/>
    <w:rsid w:val="00F40F8A"/>
    <w:rsid w:val="00F44AEC"/>
    <w:rsid w:val="00F474B7"/>
    <w:rsid w:val="00F53010"/>
    <w:rsid w:val="00F56101"/>
    <w:rsid w:val="00F57B0C"/>
    <w:rsid w:val="00F6103E"/>
    <w:rsid w:val="00F6352E"/>
    <w:rsid w:val="00F6401C"/>
    <w:rsid w:val="00F64F6E"/>
    <w:rsid w:val="00F663DE"/>
    <w:rsid w:val="00F70778"/>
    <w:rsid w:val="00F71BC8"/>
    <w:rsid w:val="00F73A6F"/>
    <w:rsid w:val="00F75AE1"/>
    <w:rsid w:val="00F75D9B"/>
    <w:rsid w:val="00F80E95"/>
    <w:rsid w:val="00F84416"/>
    <w:rsid w:val="00F87F78"/>
    <w:rsid w:val="00F909DB"/>
    <w:rsid w:val="00F9548B"/>
    <w:rsid w:val="00FA28D4"/>
    <w:rsid w:val="00FA3F83"/>
    <w:rsid w:val="00FA401E"/>
    <w:rsid w:val="00FA6B07"/>
    <w:rsid w:val="00FB11AB"/>
    <w:rsid w:val="00FB25DB"/>
    <w:rsid w:val="00FC18B8"/>
    <w:rsid w:val="00FC257D"/>
    <w:rsid w:val="00FC6444"/>
    <w:rsid w:val="00FC73E5"/>
    <w:rsid w:val="00FC77A6"/>
    <w:rsid w:val="00FD2E88"/>
    <w:rsid w:val="00FD2EAA"/>
    <w:rsid w:val="00FD3E11"/>
    <w:rsid w:val="00FD6A84"/>
    <w:rsid w:val="00FE4B2A"/>
    <w:rsid w:val="00FE6860"/>
    <w:rsid w:val="00FF626C"/>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6AA84"/>
  <w15:docId w15:val="{DA71A589-6E21-43C4-B130-A95667B2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385C42"/>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 w:type="paragraph" w:styleId="NoSpacing">
    <w:name w:val="No Spacing"/>
    <w:uiPriority w:val="1"/>
    <w:qFormat/>
    <w:rsid w:val="006817B9"/>
    <w:pPr>
      <w:spacing w:after="0" w:line="240" w:lineRule="auto"/>
    </w:pPr>
  </w:style>
  <w:style w:type="paragraph" w:styleId="ListParagraph">
    <w:name w:val="List Paragraph"/>
    <w:basedOn w:val="Normal"/>
    <w:uiPriority w:val="34"/>
    <w:qFormat/>
    <w:rsid w:val="008F4F35"/>
    <w:pPr>
      <w:ind w:left="720"/>
      <w:contextualSpacing/>
    </w:pPr>
  </w:style>
  <w:style w:type="character" w:customStyle="1" w:styleId="normaltextrun">
    <w:name w:val="normaltextrun"/>
    <w:basedOn w:val="DefaultParagraphFont"/>
    <w:rsid w:val="00332E44"/>
  </w:style>
  <w:style w:type="character" w:customStyle="1" w:styleId="spellingerror">
    <w:name w:val="spellingerror"/>
    <w:basedOn w:val="DefaultParagraphFont"/>
    <w:rsid w:val="00332E44"/>
  </w:style>
  <w:style w:type="character" w:customStyle="1" w:styleId="findhit">
    <w:name w:val="findhit"/>
    <w:basedOn w:val="DefaultParagraphFont"/>
    <w:rsid w:val="00332E44"/>
  </w:style>
  <w:style w:type="paragraph" w:customStyle="1" w:styleId="naislab">
    <w:name w:val="naislab"/>
    <w:basedOn w:val="Normal"/>
    <w:rsid w:val="007C3259"/>
    <w:pPr>
      <w:spacing w:before="100" w:beforeAutospacing="1" w:after="100" w:afterAutospacing="1"/>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7C3259"/>
    <w:rPr>
      <w:rFonts w:ascii="Calibri" w:eastAsia="Calibri" w:hAnsi="Calibri" w:cs="Calibri"/>
      <w:lang w:eastAsia="lv-LV"/>
    </w:rPr>
  </w:style>
  <w:style w:type="character" w:customStyle="1" w:styleId="PlainTextChar">
    <w:name w:val="Plain Text Char"/>
    <w:basedOn w:val="DefaultParagraphFont"/>
    <w:link w:val="PlainText"/>
    <w:uiPriority w:val="99"/>
    <w:rsid w:val="007C3259"/>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261780">
      <w:bodyDiv w:val="1"/>
      <w:marLeft w:val="0"/>
      <w:marRight w:val="0"/>
      <w:marTop w:val="0"/>
      <w:marBottom w:val="0"/>
      <w:divBdr>
        <w:top w:val="none" w:sz="0" w:space="0" w:color="auto"/>
        <w:left w:val="none" w:sz="0" w:space="0" w:color="auto"/>
        <w:bottom w:val="none" w:sz="0" w:space="0" w:color="auto"/>
        <w:right w:val="none" w:sz="0" w:space="0" w:color="auto"/>
      </w:divBdr>
    </w:div>
    <w:div w:id="236979564">
      <w:bodyDiv w:val="1"/>
      <w:marLeft w:val="0"/>
      <w:marRight w:val="0"/>
      <w:marTop w:val="0"/>
      <w:marBottom w:val="0"/>
      <w:divBdr>
        <w:top w:val="none" w:sz="0" w:space="0" w:color="auto"/>
        <w:left w:val="none" w:sz="0" w:space="0" w:color="auto"/>
        <w:bottom w:val="none" w:sz="0" w:space="0" w:color="auto"/>
        <w:right w:val="none" w:sz="0" w:space="0" w:color="auto"/>
      </w:divBdr>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317617503">
      <w:bodyDiv w:val="1"/>
      <w:marLeft w:val="0"/>
      <w:marRight w:val="0"/>
      <w:marTop w:val="0"/>
      <w:marBottom w:val="0"/>
      <w:divBdr>
        <w:top w:val="none" w:sz="0" w:space="0" w:color="auto"/>
        <w:left w:val="none" w:sz="0" w:space="0" w:color="auto"/>
        <w:bottom w:val="none" w:sz="0" w:space="0" w:color="auto"/>
        <w:right w:val="none" w:sz="0" w:space="0" w:color="auto"/>
      </w:divBdr>
    </w:div>
    <w:div w:id="646739769">
      <w:bodyDiv w:val="1"/>
      <w:marLeft w:val="0"/>
      <w:marRight w:val="0"/>
      <w:marTop w:val="0"/>
      <w:marBottom w:val="0"/>
      <w:divBdr>
        <w:top w:val="none" w:sz="0" w:space="0" w:color="auto"/>
        <w:left w:val="none" w:sz="0" w:space="0" w:color="auto"/>
        <w:bottom w:val="none" w:sz="0" w:space="0" w:color="auto"/>
        <w:right w:val="none" w:sz="0" w:space="0" w:color="auto"/>
      </w:divBdr>
    </w:div>
    <w:div w:id="76391989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9578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75892863">
      <w:bodyDiv w:val="1"/>
      <w:marLeft w:val="0"/>
      <w:marRight w:val="0"/>
      <w:marTop w:val="0"/>
      <w:marBottom w:val="0"/>
      <w:divBdr>
        <w:top w:val="none" w:sz="0" w:space="0" w:color="auto"/>
        <w:left w:val="none" w:sz="0" w:space="0" w:color="auto"/>
        <w:bottom w:val="none" w:sz="0" w:space="0" w:color="auto"/>
        <w:right w:val="none" w:sz="0" w:space="0" w:color="auto"/>
      </w:divBdr>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1851530882">
      <w:bodyDiv w:val="1"/>
      <w:marLeft w:val="0"/>
      <w:marRight w:val="0"/>
      <w:marTop w:val="0"/>
      <w:marBottom w:val="0"/>
      <w:divBdr>
        <w:top w:val="none" w:sz="0" w:space="0" w:color="auto"/>
        <w:left w:val="none" w:sz="0" w:space="0" w:color="auto"/>
        <w:bottom w:val="none" w:sz="0" w:space="0" w:color="auto"/>
        <w:right w:val="none" w:sz="0" w:space="0" w:color="auto"/>
      </w:divBdr>
    </w:div>
    <w:div w:id="1891458824">
      <w:bodyDiv w:val="1"/>
      <w:marLeft w:val="0"/>
      <w:marRight w:val="0"/>
      <w:marTop w:val="0"/>
      <w:marBottom w:val="0"/>
      <w:divBdr>
        <w:top w:val="none" w:sz="0" w:space="0" w:color="auto"/>
        <w:left w:val="none" w:sz="0" w:space="0" w:color="auto"/>
        <w:bottom w:val="none" w:sz="0" w:space="0" w:color="auto"/>
        <w:right w:val="none" w:sz="0" w:space="0" w:color="auto"/>
      </w:divBdr>
    </w:div>
    <w:div w:id="1910530802">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alosina@knab.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fm.gov.lv/lv/sadalas/tautsaimniecibas_analize/tautsaimniecibas_analize/galvenie_makroekonomiskie_raditaji_un_progno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1BFF-B5DD-46C9-8493-12C6EC1C5B9C}">
  <ds:schemaRefs>
    <ds:schemaRef ds:uri="http://schemas.microsoft.com/sharepoint/v3/contenttype/forms"/>
  </ds:schemaRefs>
</ds:datastoreItem>
</file>

<file path=customXml/itemProps2.xml><?xml version="1.0" encoding="utf-8"?>
<ds:datastoreItem xmlns:ds="http://schemas.openxmlformats.org/officeDocument/2006/customXml" ds:itemID="{5A3D9EAD-F9BC-48A2-A370-A455FB641812}">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57FC12F3-1774-4C4A-8BB2-81119059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BBC95-A3C9-46F6-89A7-9F162F6E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4234</Words>
  <Characters>27314</Characters>
  <Application>Microsoft Office Word</Application>
  <DocSecurity>0</DocSecurity>
  <Lines>1138</Lines>
  <Paragraphs>716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un pašvaldību institūciju amatpersonu un darbinieku atlīdzības likumā" sākotnējās ietekmes novērtējuma ziņojums (anotācija)</vt:lpstr>
      <vt:lpstr>Likumprojekta "Grozījumi Valsts un pašvaldību institūciju amatpersonu un darbinieku atlīdzības likumā" sākotnējās ietekmes novērtējuma ziņojums (anotācija)</vt:lpstr>
    </vt:vector>
  </TitlesOfParts>
  <Company>KNAB</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Diāna Stepiņa</dc:creator>
  <cp:lastModifiedBy>Anna Putane</cp:lastModifiedBy>
  <cp:revision>22</cp:revision>
  <cp:lastPrinted>2020-09-11T10:50:00Z</cp:lastPrinted>
  <dcterms:created xsi:type="dcterms:W3CDTF">2020-09-25T08:22:00Z</dcterms:created>
  <dcterms:modified xsi:type="dcterms:W3CDTF">2020-09-29T09:47:00Z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307500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