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9C2DC" w14:textId="5EFE274B" w:rsidR="00856097" w:rsidRPr="00AB31A0" w:rsidRDefault="00A565FD" w:rsidP="0040663B">
      <w:pPr>
        <w:pStyle w:val="BodyText"/>
        <w:rPr>
          <w:rFonts w:ascii="Times New Roman" w:hAnsi="Times New Roman" w:cs="Times New Roman"/>
          <w:b/>
          <w:bCs/>
        </w:rPr>
      </w:pPr>
      <w:r>
        <w:rPr>
          <w:rFonts w:ascii="Times New Roman" w:hAnsi="Times New Roman" w:cs="Times New Roman"/>
          <w:b/>
          <w:bCs/>
        </w:rPr>
        <w:t>Ministru kabineta noteikumu projekta “</w:t>
      </w:r>
      <w:r w:rsidR="00856097">
        <w:rPr>
          <w:rFonts w:ascii="Times New Roman" w:hAnsi="Times New Roman" w:cs="Times New Roman"/>
          <w:b/>
          <w:bCs/>
        </w:rPr>
        <w:t>Grozīju</w:t>
      </w:r>
      <w:r w:rsidR="00856097" w:rsidRPr="003C72FC">
        <w:rPr>
          <w:rFonts w:ascii="Times New Roman" w:hAnsi="Times New Roman" w:cs="Times New Roman"/>
          <w:b/>
          <w:bCs/>
        </w:rPr>
        <w:t>m</w:t>
      </w:r>
      <w:r w:rsidR="00480B1F">
        <w:rPr>
          <w:rFonts w:ascii="Times New Roman" w:hAnsi="Times New Roman" w:cs="Times New Roman"/>
          <w:b/>
          <w:bCs/>
        </w:rPr>
        <w:t>s</w:t>
      </w:r>
      <w:r w:rsidR="00856097" w:rsidRPr="00AB31A0">
        <w:rPr>
          <w:rFonts w:ascii="Times New Roman" w:hAnsi="Times New Roman" w:cs="Times New Roman"/>
          <w:b/>
          <w:bCs/>
        </w:rPr>
        <w:t xml:space="preserve"> Ministru kabineta 200</w:t>
      </w:r>
      <w:r w:rsidR="00856097">
        <w:rPr>
          <w:rFonts w:ascii="Times New Roman" w:hAnsi="Times New Roman" w:cs="Times New Roman"/>
          <w:b/>
          <w:bCs/>
        </w:rPr>
        <w:t>1</w:t>
      </w:r>
      <w:r w:rsidR="00856097" w:rsidRPr="00AB31A0">
        <w:rPr>
          <w:rFonts w:ascii="Times New Roman" w:hAnsi="Times New Roman" w:cs="Times New Roman"/>
          <w:b/>
          <w:bCs/>
        </w:rPr>
        <w:t>.</w:t>
      </w:r>
      <w:r w:rsidR="00856097">
        <w:rPr>
          <w:rFonts w:ascii="Times New Roman" w:hAnsi="Times New Roman" w:cs="Times New Roman"/>
          <w:b/>
          <w:bCs/>
        </w:rPr>
        <w:t> </w:t>
      </w:r>
      <w:r w:rsidR="00856097" w:rsidRPr="00AB31A0">
        <w:rPr>
          <w:rFonts w:ascii="Times New Roman" w:hAnsi="Times New Roman" w:cs="Times New Roman"/>
          <w:b/>
          <w:bCs/>
        </w:rPr>
        <w:t xml:space="preserve">gada </w:t>
      </w:r>
      <w:r w:rsidR="00856097">
        <w:rPr>
          <w:rFonts w:ascii="Times New Roman" w:hAnsi="Times New Roman" w:cs="Times New Roman"/>
          <w:b/>
          <w:bCs/>
        </w:rPr>
        <w:t>5</w:t>
      </w:r>
      <w:r w:rsidR="00856097" w:rsidRPr="00AB31A0">
        <w:rPr>
          <w:rFonts w:ascii="Times New Roman" w:hAnsi="Times New Roman" w:cs="Times New Roman"/>
          <w:b/>
          <w:bCs/>
        </w:rPr>
        <w:t>.</w:t>
      </w:r>
      <w:r w:rsidR="00856097">
        <w:rPr>
          <w:rFonts w:ascii="Times New Roman" w:hAnsi="Times New Roman" w:cs="Times New Roman"/>
          <w:b/>
          <w:bCs/>
        </w:rPr>
        <w:t> jūnija</w:t>
      </w:r>
      <w:r>
        <w:rPr>
          <w:rFonts w:ascii="Times New Roman" w:hAnsi="Times New Roman" w:cs="Times New Roman"/>
          <w:b/>
          <w:bCs/>
        </w:rPr>
        <w:t xml:space="preserve"> </w:t>
      </w:r>
      <w:r w:rsidR="00856097" w:rsidRPr="00AB31A0">
        <w:rPr>
          <w:rFonts w:ascii="Times New Roman" w:hAnsi="Times New Roman" w:cs="Times New Roman"/>
          <w:b/>
          <w:bCs/>
        </w:rPr>
        <w:t>noteikumos Nr.</w:t>
      </w:r>
      <w:r w:rsidR="00856097">
        <w:rPr>
          <w:rFonts w:ascii="Times New Roman" w:hAnsi="Times New Roman" w:cs="Times New Roman"/>
          <w:b/>
          <w:bCs/>
        </w:rPr>
        <w:t xml:space="preserve"> 230 </w:t>
      </w:r>
      <w:r w:rsidR="00856097" w:rsidRPr="00AB31A0">
        <w:rPr>
          <w:rFonts w:ascii="Times New Roman" w:hAnsi="Times New Roman" w:cs="Times New Roman"/>
          <w:b/>
          <w:bCs/>
        </w:rPr>
        <w:t>“</w:t>
      </w:r>
      <w:r w:rsidR="00856097">
        <w:rPr>
          <w:rFonts w:ascii="Times New Roman" w:hAnsi="Times New Roman" w:cs="Times New Roman"/>
          <w:b/>
          <w:bCs/>
        </w:rPr>
        <w:t>Noteikumi par valsts sociālās apdrošināšanas obligātajām iemaksām no valsts pamatbudžeta un valsts sociālās apdrošināšanas speciālajiem budžetiem”</w:t>
      </w:r>
      <w:r>
        <w:rPr>
          <w:rFonts w:ascii="Times New Roman" w:hAnsi="Times New Roman" w:cs="Times New Roman"/>
          <w:b/>
          <w:bCs/>
        </w:rPr>
        <w:t xml:space="preserve"> sākotnējās ietekmes novērtējuma ziņojums (anotācija)</w:t>
      </w:r>
    </w:p>
    <w:p w14:paraId="2DBA7574" w14:textId="77777777" w:rsidR="00E5323B" w:rsidRPr="00734864"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34864" w14:paraId="2DBA757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A7575" w14:textId="77777777" w:rsidR="00655F2C" w:rsidRPr="0073486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34864">
              <w:rPr>
                <w:rFonts w:ascii="Times New Roman" w:eastAsia="Times New Roman" w:hAnsi="Times New Roman" w:cs="Times New Roman"/>
                <w:b/>
                <w:bCs/>
                <w:iCs/>
                <w:color w:val="414142"/>
                <w:sz w:val="24"/>
                <w:szCs w:val="24"/>
                <w:lang w:eastAsia="lv-LV"/>
              </w:rPr>
              <w:t>Tiesību akta projekta anotācijas kopsavilkums</w:t>
            </w:r>
          </w:p>
        </w:tc>
      </w:tr>
      <w:tr w:rsidR="0027053A" w:rsidRPr="00734864" w14:paraId="2DBA757D" w14:textId="77777777" w:rsidTr="0027053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DBA757C" w14:textId="5ED7DB3B" w:rsidR="0027053A" w:rsidRPr="00734864" w:rsidRDefault="00856097" w:rsidP="0027053A">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projekts</w:t>
            </w:r>
            <w:r w:rsidRPr="00734864">
              <w:rPr>
                <w:rFonts w:ascii="Times New Roman" w:eastAsia="Times New Roman" w:hAnsi="Times New Roman" w:cs="Times New Roman"/>
                <w:iCs/>
                <w:color w:val="000000" w:themeColor="text1"/>
                <w:sz w:val="24"/>
                <w:szCs w:val="24"/>
                <w:lang w:eastAsia="lv-LV"/>
              </w:rPr>
              <w:t xml:space="preserve"> </w:t>
            </w:r>
            <w:r w:rsidR="0027053A" w:rsidRPr="00734864">
              <w:rPr>
                <w:rFonts w:ascii="Times New Roman" w:eastAsia="Times New Roman" w:hAnsi="Times New Roman" w:cs="Times New Roman"/>
                <w:iCs/>
                <w:color w:val="000000" w:themeColor="text1"/>
                <w:sz w:val="24"/>
                <w:szCs w:val="24"/>
                <w:lang w:eastAsia="lv-LV"/>
              </w:rPr>
              <w:t>šo jomu neskar.</w:t>
            </w:r>
          </w:p>
        </w:tc>
      </w:tr>
    </w:tbl>
    <w:p w14:paraId="2DBA757E"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417"/>
        <w:gridCol w:w="6056"/>
      </w:tblGrid>
      <w:tr w:rsidR="00B663CB" w:rsidRPr="00734864" w14:paraId="2DBA75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580"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4864">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663CB" w:rsidRPr="00734864" w14:paraId="2DBA7588"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82"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2DBA7583"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Pamatojums</w:t>
            </w:r>
          </w:p>
        </w:tc>
        <w:tc>
          <w:tcPr>
            <w:tcW w:w="3320" w:type="pct"/>
            <w:tcBorders>
              <w:top w:val="outset" w:sz="6" w:space="0" w:color="auto"/>
              <w:left w:val="outset" w:sz="6" w:space="0" w:color="auto"/>
              <w:bottom w:val="outset" w:sz="6" w:space="0" w:color="auto"/>
              <w:right w:val="outset" w:sz="6" w:space="0" w:color="auto"/>
            </w:tcBorders>
            <w:hideMark/>
          </w:tcPr>
          <w:p w14:paraId="2DBA7587" w14:textId="500C5E61" w:rsidR="008B2E5F" w:rsidRPr="00734864" w:rsidRDefault="00856097" w:rsidP="00DE6C33">
            <w:pPr>
              <w:pStyle w:val="ListParagraph"/>
              <w:spacing w:after="0" w:line="240" w:lineRule="auto"/>
              <w:ind w:left="59"/>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Ministru kabineta noteikumu </w:t>
            </w:r>
            <w:r w:rsidR="00B663CB" w:rsidRPr="00734864">
              <w:rPr>
                <w:rFonts w:ascii="Times New Roman" w:eastAsia="Times New Roman" w:hAnsi="Times New Roman" w:cs="Times New Roman"/>
                <w:iCs/>
                <w:color w:val="000000" w:themeColor="text1"/>
                <w:sz w:val="24"/>
                <w:szCs w:val="24"/>
                <w:lang w:eastAsia="lv-LV"/>
              </w:rPr>
              <w:t>projekts “</w:t>
            </w:r>
            <w:r w:rsidRPr="00856097">
              <w:rPr>
                <w:rFonts w:ascii="Times New Roman" w:eastAsia="Times New Roman" w:hAnsi="Times New Roman" w:cs="Times New Roman"/>
                <w:iCs/>
                <w:color w:val="000000" w:themeColor="text1"/>
                <w:sz w:val="24"/>
                <w:szCs w:val="24"/>
                <w:lang w:eastAsia="lv-LV"/>
              </w:rPr>
              <w:t>Grozījumi Ministru kabineta 2001. gada 5. jūnija</w:t>
            </w:r>
            <w:r>
              <w:rPr>
                <w:rFonts w:ascii="Times New Roman" w:eastAsia="Times New Roman" w:hAnsi="Times New Roman" w:cs="Times New Roman"/>
                <w:iCs/>
                <w:color w:val="000000" w:themeColor="text1"/>
                <w:sz w:val="24"/>
                <w:szCs w:val="24"/>
                <w:lang w:eastAsia="lv-LV"/>
              </w:rPr>
              <w:t xml:space="preserve"> </w:t>
            </w:r>
            <w:r w:rsidRPr="00856097">
              <w:rPr>
                <w:rFonts w:ascii="Times New Roman" w:eastAsia="Times New Roman" w:hAnsi="Times New Roman" w:cs="Times New Roman"/>
                <w:iCs/>
                <w:color w:val="000000" w:themeColor="text1"/>
                <w:sz w:val="24"/>
                <w:szCs w:val="24"/>
                <w:lang w:eastAsia="lv-LV"/>
              </w:rPr>
              <w:t>noteikumos Nr. 230 “Noteikumi par valsts sociālās apdrošināšanas obligātajām iemaksām no valsts pamatbudžeta un valsts sociālās apdrošināšanas speciālajiem budžetiem”</w:t>
            </w:r>
            <w:r>
              <w:rPr>
                <w:rFonts w:ascii="Times New Roman" w:eastAsia="Times New Roman" w:hAnsi="Times New Roman" w:cs="Times New Roman"/>
                <w:iCs/>
                <w:color w:val="000000" w:themeColor="text1"/>
                <w:sz w:val="24"/>
                <w:szCs w:val="24"/>
                <w:lang w:eastAsia="lv-LV"/>
              </w:rPr>
              <w:t xml:space="preserve">” </w:t>
            </w:r>
            <w:r w:rsidR="00B663CB" w:rsidRPr="00734864">
              <w:rPr>
                <w:rFonts w:ascii="Times New Roman" w:eastAsia="Times New Roman" w:hAnsi="Times New Roman" w:cs="Times New Roman"/>
                <w:iCs/>
                <w:color w:val="000000" w:themeColor="text1"/>
                <w:sz w:val="24"/>
                <w:szCs w:val="24"/>
                <w:lang w:eastAsia="lv-LV"/>
              </w:rPr>
              <w:t xml:space="preserve">(turpmāk – </w:t>
            </w:r>
            <w:r>
              <w:rPr>
                <w:rFonts w:ascii="Times New Roman" w:eastAsia="Times New Roman" w:hAnsi="Times New Roman" w:cs="Times New Roman"/>
                <w:iCs/>
                <w:color w:val="000000" w:themeColor="text1"/>
                <w:sz w:val="24"/>
                <w:szCs w:val="24"/>
                <w:lang w:eastAsia="lv-LV"/>
              </w:rPr>
              <w:t xml:space="preserve">noteikumu </w:t>
            </w:r>
            <w:r w:rsidR="00B663CB" w:rsidRPr="00734864">
              <w:rPr>
                <w:rFonts w:ascii="Times New Roman" w:eastAsia="Times New Roman" w:hAnsi="Times New Roman" w:cs="Times New Roman"/>
                <w:iCs/>
                <w:color w:val="000000" w:themeColor="text1"/>
                <w:sz w:val="24"/>
                <w:szCs w:val="24"/>
                <w:lang w:eastAsia="lv-LV"/>
              </w:rPr>
              <w:t xml:space="preserve">projekts) izstrādāts, </w:t>
            </w:r>
            <w:r w:rsidR="00CC5D13" w:rsidRPr="00734864">
              <w:rPr>
                <w:rFonts w:ascii="Times New Roman" w:eastAsia="Times New Roman" w:hAnsi="Times New Roman" w:cs="Times New Roman"/>
                <w:iCs/>
                <w:color w:val="000000" w:themeColor="text1"/>
                <w:sz w:val="24"/>
                <w:szCs w:val="24"/>
                <w:lang w:eastAsia="lv-LV"/>
              </w:rPr>
              <w:t xml:space="preserve">pēc Labklājības ministrijas </w:t>
            </w:r>
            <w:r w:rsidR="00954B26">
              <w:rPr>
                <w:rFonts w:ascii="Times New Roman" w:eastAsia="Times New Roman" w:hAnsi="Times New Roman" w:cs="Times New Roman"/>
                <w:iCs/>
                <w:color w:val="000000" w:themeColor="text1"/>
                <w:sz w:val="24"/>
                <w:szCs w:val="24"/>
                <w:lang w:eastAsia="lv-LV"/>
              </w:rPr>
              <w:t xml:space="preserve">(turpmāk – LM) </w:t>
            </w:r>
            <w:r w:rsidR="00CC5D13" w:rsidRPr="00734864">
              <w:rPr>
                <w:rFonts w:ascii="Times New Roman" w:eastAsia="Times New Roman" w:hAnsi="Times New Roman" w:cs="Times New Roman"/>
                <w:iCs/>
                <w:color w:val="000000" w:themeColor="text1"/>
                <w:sz w:val="24"/>
                <w:szCs w:val="24"/>
                <w:lang w:eastAsia="lv-LV"/>
              </w:rPr>
              <w:t>iniciatīvas, ņemot vērā</w:t>
            </w:r>
            <w:r w:rsidR="00DE6C33">
              <w:rPr>
                <w:rFonts w:ascii="Times New Roman" w:eastAsia="Times New Roman" w:hAnsi="Times New Roman" w:cs="Times New Roman"/>
                <w:iCs/>
                <w:color w:val="000000" w:themeColor="text1"/>
                <w:sz w:val="24"/>
                <w:szCs w:val="24"/>
                <w:lang w:eastAsia="lv-LV"/>
              </w:rPr>
              <w:t xml:space="preserve"> </w:t>
            </w:r>
            <w:r w:rsidR="00DE6C33" w:rsidRPr="00DE6C33">
              <w:rPr>
                <w:rFonts w:ascii="Times New Roman" w:eastAsia="Times New Roman" w:hAnsi="Times New Roman" w:cs="Times New Roman"/>
                <w:iCs/>
                <w:color w:val="000000" w:themeColor="text1"/>
                <w:sz w:val="24"/>
                <w:szCs w:val="24"/>
                <w:lang w:eastAsia="lv-LV"/>
              </w:rPr>
              <w:t xml:space="preserve">Ministru kabineta </w:t>
            </w:r>
            <w:r w:rsidR="005A1282" w:rsidRPr="005A1282">
              <w:rPr>
                <w:rFonts w:ascii="Times New Roman" w:eastAsia="Times New Roman" w:hAnsi="Times New Roman" w:cs="Times New Roman"/>
                <w:iCs/>
                <w:color w:val="000000" w:themeColor="text1"/>
                <w:sz w:val="24"/>
                <w:szCs w:val="24"/>
                <w:lang w:eastAsia="lv-LV"/>
              </w:rPr>
              <w:t>2020. gada 28. jūlij</w:t>
            </w:r>
            <w:r w:rsidR="005A1282">
              <w:rPr>
                <w:rFonts w:ascii="Times New Roman" w:eastAsia="Times New Roman" w:hAnsi="Times New Roman" w:cs="Times New Roman"/>
                <w:iCs/>
                <w:color w:val="000000" w:themeColor="text1"/>
                <w:sz w:val="24"/>
                <w:szCs w:val="24"/>
                <w:lang w:eastAsia="lv-LV"/>
              </w:rPr>
              <w:t>a</w:t>
            </w:r>
            <w:r w:rsidR="005A1282" w:rsidRPr="005A1282">
              <w:rPr>
                <w:rFonts w:ascii="Times New Roman" w:eastAsia="Times New Roman" w:hAnsi="Times New Roman" w:cs="Times New Roman"/>
                <w:iCs/>
                <w:color w:val="000000" w:themeColor="text1"/>
                <w:sz w:val="24"/>
                <w:szCs w:val="24"/>
                <w:lang w:eastAsia="lv-LV"/>
              </w:rPr>
              <w:t xml:space="preserve"> grozījum</w:t>
            </w:r>
            <w:r w:rsidR="005A1282">
              <w:rPr>
                <w:rFonts w:ascii="Times New Roman" w:eastAsia="Times New Roman" w:hAnsi="Times New Roman" w:cs="Times New Roman"/>
                <w:iCs/>
                <w:color w:val="000000" w:themeColor="text1"/>
                <w:sz w:val="24"/>
                <w:szCs w:val="24"/>
                <w:lang w:eastAsia="lv-LV"/>
              </w:rPr>
              <w:t>us</w:t>
            </w:r>
            <w:r w:rsidR="005A1282" w:rsidRPr="005A1282">
              <w:rPr>
                <w:rFonts w:ascii="Times New Roman" w:eastAsia="Times New Roman" w:hAnsi="Times New Roman" w:cs="Times New Roman"/>
                <w:iCs/>
                <w:color w:val="000000" w:themeColor="text1"/>
                <w:sz w:val="24"/>
                <w:szCs w:val="24"/>
                <w:lang w:eastAsia="lv-LV"/>
              </w:rPr>
              <w:t xml:space="preserve">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5A1282">
              <w:rPr>
                <w:rFonts w:ascii="Times New Roman" w:eastAsia="Times New Roman" w:hAnsi="Times New Roman" w:cs="Times New Roman"/>
                <w:iCs/>
                <w:color w:val="000000" w:themeColor="text1"/>
                <w:sz w:val="24"/>
                <w:szCs w:val="24"/>
                <w:lang w:eastAsia="lv-LV"/>
              </w:rPr>
              <w:t xml:space="preserve">”, kas nosaka, ka </w:t>
            </w:r>
            <w:r w:rsidR="005A1282" w:rsidRPr="005A1282">
              <w:rPr>
                <w:rFonts w:ascii="Times New Roman" w:eastAsia="Times New Roman" w:hAnsi="Times New Roman" w:cs="Times New Roman"/>
                <w:iCs/>
                <w:color w:val="000000" w:themeColor="text1"/>
                <w:sz w:val="24"/>
                <w:szCs w:val="24"/>
                <w:lang w:eastAsia="lv-LV"/>
              </w:rPr>
              <w:t xml:space="preserve">Eiropas Sociālā fonda finansējumu </w:t>
            </w:r>
            <w:r w:rsidR="005A1282">
              <w:rPr>
                <w:rFonts w:ascii="Times New Roman" w:eastAsia="Times New Roman" w:hAnsi="Times New Roman" w:cs="Times New Roman"/>
                <w:iCs/>
                <w:color w:val="000000" w:themeColor="text1"/>
                <w:sz w:val="24"/>
                <w:szCs w:val="24"/>
                <w:lang w:eastAsia="lv-LV"/>
              </w:rPr>
              <w:t xml:space="preserve">var </w:t>
            </w:r>
            <w:r w:rsidR="005A1282" w:rsidRPr="005A1282">
              <w:rPr>
                <w:rFonts w:ascii="Times New Roman" w:eastAsia="Times New Roman" w:hAnsi="Times New Roman" w:cs="Times New Roman"/>
                <w:iCs/>
                <w:color w:val="000000" w:themeColor="text1"/>
                <w:sz w:val="24"/>
                <w:szCs w:val="24"/>
                <w:lang w:eastAsia="lv-LV"/>
              </w:rPr>
              <w:t xml:space="preserve">izlietot ar </w:t>
            </w:r>
            <w:r w:rsidR="005A1282" w:rsidRPr="004231F6">
              <w:rPr>
                <w:rFonts w:ascii="Times New Roman" w:hAnsi="Times New Roman"/>
                <w:sz w:val="24"/>
                <w:szCs w:val="24"/>
              </w:rPr>
              <w:t>aktīvā nodarbinātības pasākuma “Algotie pagaidu sabiedriskie darbi” (turpmāk – APSD</w:t>
            </w:r>
            <w:r w:rsidR="005A1282">
              <w:rPr>
                <w:rFonts w:ascii="Times New Roman" w:eastAsia="Times New Roman" w:hAnsi="Times New Roman" w:cs="Times New Roman"/>
                <w:iCs/>
                <w:color w:val="000000" w:themeColor="text1"/>
                <w:sz w:val="24"/>
                <w:szCs w:val="24"/>
                <w:lang w:eastAsia="lv-LV"/>
              </w:rPr>
              <w:t>)</w:t>
            </w:r>
            <w:r w:rsidR="005A1282" w:rsidRPr="005A1282">
              <w:rPr>
                <w:rFonts w:ascii="Times New Roman" w:eastAsia="Times New Roman" w:hAnsi="Times New Roman" w:cs="Times New Roman"/>
                <w:iCs/>
                <w:color w:val="000000" w:themeColor="text1"/>
                <w:sz w:val="24"/>
                <w:szCs w:val="24"/>
                <w:lang w:eastAsia="lv-LV"/>
              </w:rPr>
              <w:t xml:space="preserve"> īstenošanu saistīto izdevumu segšanai, t.sk., valsts sociālās apdrošināšanas obligātajām iemaksām pensiju apdrošināšanai</w:t>
            </w:r>
            <w:r w:rsidR="0040663B">
              <w:rPr>
                <w:rFonts w:ascii="Times New Roman" w:eastAsia="Times New Roman" w:hAnsi="Times New Roman" w:cs="Times New Roman"/>
                <w:iCs/>
                <w:color w:val="000000" w:themeColor="text1"/>
                <w:sz w:val="24"/>
                <w:szCs w:val="24"/>
                <w:lang w:eastAsia="lv-LV"/>
              </w:rPr>
              <w:t>.</w:t>
            </w:r>
          </w:p>
        </w:tc>
      </w:tr>
      <w:tr w:rsidR="00B663CB" w:rsidRPr="00734864" w14:paraId="2DBA75C6"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89"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DBA758A" w14:textId="1864C794" w:rsidR="006D5B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0D0491F8" w14:textId="77777777" w:rsidR="006D5BC1" w:rsidRPr="006D5BC1" w:rsidRDefault="006D5BC1" w:rsidP="006D5BC1">
            <w:pPr>
              <w:rPr>
                <w:rFonts w:ascii="Times New Roman" w:eastAsia="Times New Roman" w:hAnsi="Times New Roman" w:cs="Times New Roman"/>
                <w:sz w:val="24"/>
                <w:szCs w:val="24"/>
                <w:lang w:eastAsia="lv-LV"/>
              </w:rPr>
            </w:pPr>
          </w:p>
          <w:p w14:paraId="28100777" w14:textId="77777777" w:rsidR="006D5BC1" w:rsidRPr="006D5BC1" w:rsidRDefault="006D5BC1" w:rsidP="006D5BC1">
            <w:pPr>
              <w:rPr>
                <w:rFonts w:ascii="Times New Roman" w:eastAsia="Times New Roman" w:hAnsi="Times New Roman" w:cs="Times New Roman"/>
                <w:sz w:val="24"/>
                <w:szCs w:val="24"/>
                <w:lang w:eastAsia="lv-LV"/>
              </w:rPr>
            </w:pPr>
          </w:p>
          <w:p w14:paraId="036E930E" w14:textId="77777777" w:rsidR="006D5BC1" w:rsidRPr="006D5BC1" w:rsidRDefault="006D5BC1" w:rsidP="006D5BC1">
            <w:pPr>
              <w:rPr>
                <w:rFonts w:ascii="Times New Roman" w:eastAsia="Times New Roman" w:hAnsi="Times New Roman" w:cs="Times New Roman"/>
                <w:sz w:val="24"/>
                <w:szCs w:val="24"/>
                <w:lang w:eastAsia="lv-LV"/>
              </w:rPr>
            </w:pPr>
          </w:p>
          <w:p w14:paraId="22CF90BD" w14:textId="77777777" w:rsidR="006D5BC1" w:rsidRPr="006D5BC1" w:rsidRDefault="006D5BC1" w:rsidP="006D5BC1">
            <w:pPr>
              <w:rPr>
                <w:rFonts w:ascii="Times New Roman" w:eastAsia="Times New Roman" w:hAnsi="Times New Roman" w:cs="Times New Roman"/>
                <w:sz w:val="24"/>
                <w:szCs w:val="24"/>
                <w:lang w:eastAsia="lv-LV"/>
              </w:rPr>
            </w:pPr>
          </w:p>
          <w:p w14:paraId="12BDA789" w14:textId="77777777" w:rsidR="006D5BC1" w:rsidRPr="006D5BC1" w:rsidRDefault="006D5BC1" w:rsidP="006D5BC1">
            <w:pPr>
              <w:rPr>
                <w:rFonts w:ascii="Times New Roman" w:eastAsia="Times New Roman" w:hAnsi="Times New Roman" w:cs="Times New Roman"/>
                <w:sz w:val="24"/>
                <w:szCs w:val="24"/>
                <w:lang w:eastAsia="lv-LV"/>
              </w:rPr>
            </w:pPr>
          </w:p>
          <w:p w14:paraId="3ACFDD08" w14:textId="77777777" w:rsidR="006D5BC1" w:rsidRPr="006D5BC1" w:rsidRDefault="006D5BC1" w:rsidP="006D5BC1">
            <w:pPr>
              <w:rPr>
                <w:rFonts w:ascii="Times New Roman" w:eastAsia="Times New Roman" w:hAnsi="Times New Roman" w:cs="Times New Roman"/>
                <w:sz w:val="24"/>
                <w:szCs w:val="24"/>
                <w:lang w:eastAsia="lv-LV"/>
              </w:rPr>
            </w:pPr>
          </w:p>
          <w:p w14:paraId="0A134174" w14:textId="77777777" w:rsidR="006D5BC1" w:rsidRPr="006D5BC1" w:rsidRDefault="006D5BC1" w:rsidP="006D5BC1">
            <w:pPr>
              <w:rPr>
                <w:rFonts w:ascii="Times New Roman" w:eastAsia="Times New Roman" w:hAnsi="Times New Roman" w:cs="Times New Roman"/>
                <w:sz w:val="24"/>
                <w:szCs w:val="24"/>
                <w:lang w:eastAsia="lv-LV"/>
              </w:rPr>
            </w:pPr>
          </w:p>
          <w:p w14:paraId="09FAD834" w14:textId="77777777" w:rsidR="006D5BC1" w:rsidRPr="006D5BC1" w:rsidRDefault="006D5BC1" w:rsidP="006D5BC1">
            <w:pPr>
              <w:rPr>
                <w:rFonts w:ascii="Times New Roman" w:eastAsia="Times New Roman" w:hAnsi="Times New Roman" w:cs="Times New Roman"/>
                <w:sz w:val="24"/>
                <w:szCs w:val="24"/>
                <w:lang w:eastAsia="lv-LV"/>
              </w:rPr>
            </w:pPr>
          </w:p>
          <w:p w14:paraId="2EDF80F7" w14:textId="77777777" w:rsidR="006D5BC1" w:rsidRPr="006D5BC1" w:rsidRDefault="006D5BC1" w:rsidP="006D5BC1">
            <w:pPr>
              <w:rPr>
                <w:rFonts w:ascii="Times New Roman" w:eastAsia="Times New Roman" w:hAnsi="Times New Roman" w:cs="Times New Roman"/>
                <w:sz w:val="24"/>
                <w:szCs w:val="24"/>
                <w:lang w:eastAsia="lv-LV"/>
              </w:rPr>
            </w:pPr>
          </w:p>
          <w:p w14:paraId="2E71A519" w14:textId="77777777" w:rsidR="006D5BC1" w:rsidRPr="006D5BC1" w:rsidRDefault="006D5BC1" w:rsidP="006D5BC1">
            <w:pPr>
              <w:rPr>
                <w:rFonts w:ascii="Times New Roman" w:eastAsia="Times New Roman" w:hAnsi="Times New Roman" w:cs="Times New Roman"/>
                <w:sz w:val="24"/>
                <w:szCs w:val="24"/>
                <w:lang w:eastAsia="lv-LV"/>
              </w:rPr>
            </w:pPr>
          </w:p>
          <w:p w14:paraId="5C29DE91" w14:textId="77777777" w:rsidR="006D5BC1" w:rsidRPr="006D5BC1" w:rsidRDefault="006D5BC1" w:rsidP="006D5BC1">
            <w:pPr>
              <w:rPr>
                <w:rFonts w:ascii="Times New Roman" w:eastAsia="Times New Roman" w:hAnsi="Times New Roman" w:cs="Times New Roman"/>
                <w:sz w:val="24"/>
                <w:szCs w:val="24"/>
                <w:lang w:eastAsia="lv-LV"/>
              </w:rPr>
            </w:pPr>
          </w:p>
          <w:p w14:paraId="00792B1D" w14:textId="77777777" w:rsidR="006D5BC1" w:rsidRPr="006D5BC1" w:rsidRDefault="006D5BC1" w:rsidP="006D5BC1">
            <w:pPr>
              <w:rPr>
                <w:rFonts w:ascii="Times New Roman" w:eastAsia="Times New Roman" w:hAnsi="Times New Roman" w:cs="Times New Roman"/>
                <w:sz w:val="24"/>
                <w:szCs w:val="24"/>
                <w:lang w:eastAsia="lv-LV"/>
              </w:rPr>
            </w:pPr>
          </w:p>
          <w:p w14:paraId="6D49409F" w14:textId="43779A14" w:rsidR="006D5BC1" w:rsidRDefault="006D5BC1" w:rsidP="006D5BC1">
            <w:pPr>
              <w:rPr>
                <w:rFonts w:ascii="Times New Roman" w:eastAsia="Times New Roman" w:hAnsi="Times New Roman" w:cs="Times New Roman"/>
                <w:sz w:val="24"/>
                <w:szCs w:val="24"/>
                <w:lang w:eastAsia="lv-LV"/>
              </w:rPr>
            </w:pPr>
          </w:p>
          <w:p w14:paraId="5E5EC0FD" w14:textId="77777777" w:rsidR="00E5323B" w:rsidRPr="006D5BC1" w:rsidRDefault="00E5323B" w:rsidP="006D5BC1">
            <w:pPr>
              <w:rPr>
                <w:rFonts w:ascii="Times New Roman" w:eastAsia="Times New Roman" w:hAnsi="Times New Roman" w:cs="Times New Roman"/>
                <w:sz w:val="24"/>
                <w:szCs w:val="24"/>
                <w:lang w:eastAsia="lv-LV"/>
              </w:rPr>
            </w:pPr>
          </w:p>
        </w:tc>
        <w:tc>
          <w:tcPr>
            <w:tcW w:w="3320" w:type="pct"/>
            <w:tcBorders>
              <w:top w:val="outset" w:sz="6" w:space="0" w:color="auto"/>
              <w:left w:val="outset" w:sz="6" w:space="0" w:color="auto"/>
              <w:bottom w:val="outset" w:sz="6" w:space="0" w:color="auto"/>
              <w:right w:val="outset" w:sz="6" w:space="0" w:color="auto"/>
            </w:tcBorders>
          </w:tcPr>
          <w:p w14:paraId="2F3B57EB" w14:textId="52169953" w:rsidR="00ED3899" w:rsidRDefault="00856097" w:rsidP="00856097">
            <w:pPr>
              <w:spacing w:after="0" w:line="240" w:lineRule="auto"/>
              <w:ind w:firstLine="720"/>
              <w:jc w:val="both"/>
              <w:rPr>
                <w:rFonts w:ascii="Times New Roman" w:hAnsi="Times New Roman"/>
                <w:sz w:val="24"/>
                <w:szCs w:val="24"/>
              </w:rPr>
            </w:pPr>
            <w:r w:rsidRPr="00532E0D">
              <w:rPr>
                <w:rFonts w:ascii="Times New Roman" w:hAnsi="Times New Roman"/>
                <w:sz w:val="24"/>
                <w:szCs w:val="24"/>
              </w:rPr>
              <w:lastRenderedPageBreak/>
              <w:t>Ministru kabineta 2011.gada 25.janvāra noteikumu Nr.75 “Noteikumi par aktīvo nodarbinātības pasākumu un preventīvo bezdarba samazināšanas pasākumu organizēšanas un finansēšanas kārtību un pasākumu īstenotāju izvēles principiem” 141.</w:t>
            </w:r>
            <w:r w:rsidRPr="00532E0D">
              <w:rPr>
                <w:rFonts w:ascii="Times New Roman" w:hAnsi="Times New Roman"/>
                <w:sz w:val="24"/>
                <w:szCs w:val="24"/>
                <w:vertAlign w:val="superscript"/>
              </w:rPr>
              <w:t>9</w:t>
            </w:r>
            <w:r w:rsidRPr="00532E0D">
              <w:rPr>
                <w:rFonts w:ascii="Times New Roman" w:hAnsi="Times New Roman"/>
                <w:sz w:val="24"/>
                <w:szCs w:val="24"/>
              </w:rPr>
              <w:t>2.</w:t>
            </w:r>
            <w:r w:rsidR="0040663B">
              <w:rPr>
                <w:rFonts w:ascii="Times New Roman" w:hAnsi="Times New Roman"/>
                <w:sz w:val="24"/>
                <w:szCs w:val="24"/>
              </w:rPr>
              <w:t> </w:t>
            </w:r>
            <w:r w:rsidRPr="004231F6">
              <w:rPr>
                <w:rFonts w:ascii="Times New Roman" w:hAnsi="Times New Roman"/>
                <w:sz w:val="24"/>
                <w:szCs w:val="24"/>
              </w:rPr>
              <w:t>apakšpunkts paredz, ka</w:t>
            </w:r>
            <w:r w:rsidR="005A1282">
              <w:rPr>
                <w:rFonts w:ascii="Times New Roman" w:hAnsi="Times New Roman"/>
                <w:sz w:val="24"/>
                <w:szCs w:val="24"/>
              </w:rPr>
              <w:t xml:space="preserve"> </w:t>
            </w:r>
            <w:r w:rsidRPr="004231F6">
              <w:rPr>
                <w:rFonts w:ascii="Times New Roman" w:hAnsi="Times New Roman"/>
                <w:sz w:val="24"/>
                <w:szCs w:val="24"/>
              </w:rPr>
              <w:t xml:space="preserve">APSD īstenošanai paredzētos finanšu līdzekļus var izlietot valsts sociālās apdrošināšanas obligātajām iemaksām pensiju apdrošināšanai saskaņā ar normatīvajiem aktiem par valsts sociālās apdrošināšanas obligātajām iemaksām no valsts pamatbudžeta un valsts sociālās apdrošināšanas speciālajiem budžetiem. </w:t>
            </w:r>
          </w:p>
          <w:p w14:paraId="64B07B89" w14:textId="6E7B914F" w:rsidR="00856097" w:rsidRPr="00532E0D" w:rsidRDefault="00856097" w:rsidP="00856097">
            <w:pPr>
              <w:spacing w:after="0" w:line="240" w:lineRule="auto"/>
              <w:ind w:firstLine="720"/>
              <w:jc w:val="both"/>
              <w:rPr>
                <w:rFonts w:ascii="Times New Roman" w:hAnsi="Times New Roman"/>
                <w:sz w:val="24"/>
                <w:szCs w:val="24"/>
              </w:rPr>
            </w:pPr>
            <w:r w:rsidRPr="004231F6">
              <w:rPr>
                <w:rFonts w:ascii="Times New Roman" w:hAnsi="Times New Roman"/>
                <w:sz w:val="24"/>
                <w:szCs w:val="24"/>
              </w:rPr>
              <w:t>Savukārt, lai mazinātu 2020. gada 12. martā izsludinātās ārkārtējās situācijas</w:t>
            </w:r>
            <w:r w:rsidR="005A1282">
              <w:rPr>
                <w:rFonts w:ascii="Times New Roman" w:hAnsi="Times New Roman"/>
                <w:sz w:val="24"/>
                <w:szCs w:val="24"/>
              </w:rPr>
              <w:t>, lai ierobežotu saslimstību ar COVID-19,</w:t>
            </w:r>
            <w:r w:rsidRPr="004231F6">
              <w:rPr>
                <w:rFonts w:ascii="Times New Roman" w:hAnsi="Times New Roman"/>
                <w:sz w:val="24"/>
                <w:szCs w:val="24"/>
              </w:rPr>
              <w:t xml:space="preserve"> radītās negatīvās ekonomiskās sekas un sniegtu plašāku atbalstu bez darba palikušajām personām, 2020. gada 28. jūlijā pieņemti grozījumi Ministru kabineta 2014. gada 23. decembra noteikumos Nr.835  “Darbības programmas "Izaugsme un nodarbinātība" 9.1.1. specifiskā atbalsta mērķa "Palielināt nelabvēlīgākā situācijā</w:t>
            </w:r>
            <w:r w:rsidRPr="00532E0D">
              <w:rPr>
                <w:rFonts w:ascii="Times New Roman" w:hAnsi="Times New Roman"/>
                <w:sz w:val="24"/>
                <w:szCs w:val="24"/>
              </w:rPr>
              <w:t xml:space="preserve"> esošu bezdarbnieku iekļaušanos darba tirgū" 9.1.1.1. pasākuma "Subsidētās darbavietas nelabvēlīgākā situācijā esošiem bezdarbniekiem" </w:t>
            </w:r>
            <w:r w:rsidRPr="00532E0D">
              <w:rPr>
                <w:rFonts w:ascii="Times New Roman" w:hAnsi="Times New Roman"/>
                <w:sz w:val="24"/>
                <w:szCs w:val="24"/>
              </w:rPr>
              <w:lastRenderedPageBreak/>
              <w:t xml:space="preserve">īstenošanas noteikumi”, </w:t>
            </w:r>
            <w:r w:rsidRPr="00101BD0">
              <w:rPr>
                <w:rFonts w:ascii="Times New Roman" w:hAnsi="Times New Roman" w:cs="Times New Roman"/>
                <w:sz w:val="24"/>
                <w:szCs w:val="24"/>
              </w:rPr>
              <w:t>k</w:t>
            </w:r>
            <w:r w:rsidR="00ED3899" w:rsidRPr="005A1282">
              <w:rPr>
                <w:rFonts w:ascii="Times New Roman" w:hAnsi="Times New Roman" w:cs="Times New Roman"/>
                <w:sz w:val="24"/>
                <w:szCs w:val="24"/>
              </w:rPr>
              <w:t xml:space="preserve">uru </w:t>
            </w:r>
            <w:r w:rsidR="005A1282">
              <w:rPr>
                <w:rFonts w:ascii="Times New Roman" w:hAnsi="Times New Roman" w:cs="Times New Roman"/>
                <w:sz w:val="24"/>
                <w:szCs w:val="24"/>
              </w:rPr>
              <w:t>9.</w:t>
            </w:r>
            <w:r w:rsidR="005A1282" w:rsidRPr="0040663B">
              <w:rPr>
                <w:rFonts w:ascii="Times New Roman" w:hAnsi="Times New Roman" w:cs="Times New Roman"/>
                <w:sz w:val="24"/>
                <w:szCs w:val="24"/>
                <w:vertAlign w:val="superscript"/>
              </w:rPr>
              <w:t>1</w:t>
            </w:r>
            <w:r w:rsidR="0040663B">
              <w:rPr>
                <w:rFonts w:ascii="Times New Roman" w:hAnsi="Times New Roman" w:cs="Times New Roman"/>
                <w:sz w:val="24"/>
                <w:szCs w:val="24"/>
              </w:rPr>
              <w:t> </w:t>
            </w:r>
            <w:r w:rsidR="005A1282">
              <w:rPr>
                <w:rFonts w:ascii="Times New Roman" w:hAnsi="Times New Roman" w:cs="Times New Roman"/>
                <w:sz w:val="24"/>
                <w:szCs w:val="24"/>
              </w:rPr>
              <w:t xml:space="preserve">punkts un </w:t>
            </w:r>
            <w:r w:rsidR="00ED3899" w:rsidRPr="0040663B">
              <w:rPr>
                <w:rFonts w:ascii="Times New Roman" w:hAnsi="Times New Roman" w:cs="Times New Roman"/>
                <w:color w:val="414142"/>
                <w:sz w:val="24"/>
                <w:szCs w:val="24"/>
                <w:shd w:val="clear" w:color="auto" w:fill="FFFFFF"/>
              </w:rPr>
              <w:t>17.3.5.</w:t>
            </w:r>
            <w:r w:rsidR="00ED3899" w:rsidRPr="0040663B">
              <w:rPr>
                <w:rFonts w:ascii="Times New Roman" w:hAnsi="Times New Roman" w:cs="Times New Roman"/>
                <w:color w:val="414142"/>
                <w:sz w:val="24"/>
                <w:szCs w:val="24"/>
                <w:shd w:val="clear" w:color="auto" w:fill="FFFFFF"/>
                <w:vertAlign w:val="superscript"/>
              </w:rPr>
              <w:t>7 </w:t>
            </w:r>
            <w:r w:rsidR="00ED3899" w:rsidRPr="0040663B">
              <w:rPr>
                <w:rFonts w:ascii="Times New Roman" w:hAnsi="Times New Roman" w:cs="Times New Roman"/>
                <w:color w:val="414142"/>
                <w:sz w:val="24"/>
                <w:szCs w:val="24"/>
                <w:shd w:val="clear" w:color="auto" w:fill="FFFFFF"/>
              </w:rPr>
              <w:t>2. apakšpunkts</w:t>
            </w:r>
            <w:r w:rsidRPr="00532E0D">
              <w:rPr>
                <w:rFonts w:ascii="Times New Roman" w:hAnsi="Times New Roman"/>
                <w:sz w:val="24"/>
                <w:szCs w:val="24"/>
              </w:rPr>
              <w:t xml:space="preserve"> paredz pasākuma “Subsidētās darbavietas nelabvēlīgākā situācijā esošiem bezdarbniekiem” (turpmāk – pasākums) ietvaros pieejamo Eiropas Sociālā fonda finansējumu izlietot ar APSD īstenošanu saistīto izdevumu segšanai, t.sk., valsts sociālās apdrošināšanas obligātajām iemaksām pensiju apdrošināšanai.</w:t>
            </w:r>
          </w:p>
          <w:p w14:paraId="315B9B58" w14:textId="4804E775" w:rsidR="00A565FD" w:rsidRDefault="00856097" w:rsidP="00335F3B">
            <w:pPr>
              <w:spacing w:after="0" w:line="240" w:lineRule="auto"/>
              <w:ind w:firstLine="720"/>
              <w:jc w:val="both"/>
              <w:rPr>
                <w:rFonts w:ascii="Times New Roman" w:hAnsi="Times New Roman"/>
                <w:sz w:val="24"/>
                <w:szCs w:val="24"/>
              </w:rPr>
            </w:pPr>
            <w:r w:rsidRPr="00532E0D">
              <w:rPr>
                <w:rFonts w:ascii="Times New Roman" w:hAnsi="Times New Roman"/>
                <w:sz w:val="24"/>
                <w:szCs w:val="24"/>
              </w:rPr>
              <w:t>Pasākums tiks īstenots līdz 2023. gada 31. decembrim</w:t>
            </w:r>
            <w:r w:rsidR="00A565FD">
              <w:rPr>
                <w:rFonts w:ascii="Times New Roman" w:hAnsi="Times New Roman"/>
                <w:sz w:val="24"/>
                <w:szCs w:val="24"/>
              </w:rPr>
              <w:t>.</w:t>
            </w:r>
            <w:r w:rsidRPr="00532E0D">
              <w:rPr>
                <w:rFonts w:ascii="Times New Roman" w:hAnsi="Times New Roman"/>
                <w:sz w:val="24"/>
                <w:szCs w:val="24"/>
              </w:rPr>
              <w:t xml:space="preserve"> Atbilstoši finansējuma pārdalei APSD plānots papildus iesaistīt </w:t>
            </w:r>
            <w:r w:rsidRPr="00583CC5">
              <w:rPr>
                <w:rFonts w:ascii="Times New Roman" w:hAnsi="Times New Roman"/>
                <w:sz w:val="24"/>
                <w:szCs w:val="24"/>
              </w:rPr>
              <w:t xml:space="preserve">11 </w:t>
            </w:r>
            <w:r w:rsidRPr="00532E0D">
              <w:rPr>
                <w:rFonts w:ascii="Times New Roman" w:hAnsi="Times New Roman"/>
                <w:sz w:val="24"/>
                <w:szCs w:val="24"/>
              </w:rPr>
              <w:t xml:space="preserve">000 bezdarbnieku, tam papildu novirzot 14 </w:t>
            </w:r>
            <w:r w:rsidR="00583CC5">
              <w:rPr>
                <w:rFonts w:ascii="Times New Roman" w:hAnsi="Times New Roman"/>
                <w:sz w:val="24"/>
                <w:szCs w:val="24"/>
              </w:rPr>
              <w:t>238 442</w:t>
            </w:r>
            <w:r w:rsidRPr="00532E0D">
              <w:rPr>
                <w:rFonts w:ascii="Times New Roman" w:hAnsi="Times New Roman"/>
                <w:sz w:val="24"/>
                <w:szCs w:val="24"/>
              </w:rPr>
              <w:t xml:space="preserve"> </w:t>
            </w:r>
            <w:proofErr w:type="spellStart"/>
            <w:r w:rsidRPr="0049345D">
              <w:rPr>
                <w:rFonts w:ascii="Times New Roman" w:hAnsi="Times New Roman"/>
                <w:i/>
                <w:sz w:val="24"/>
                <w:szCs w:val="24"/>
              </w:rPr>
              <w:t>euro</w:t>
            </w:r>
            <w:proofErr w:type="spellEnd"/>
            <w:r w:rsidRPr="00532E0D">
              <w:rPr>
                <w:rFonts w:ascii="Times New Roman" w:hAnsi="Times New Roman"/>
                <w:sz w:val="24"/>
                <w:szCs w:val="24"/>
              </w:rPr>
              <w:t xml:space="preserve">. </w:t>
            </w:r>
          </w:p>
          <w:p w14:paraId="2DBA75C5" w14:textId="7F305954" w:rsidR="00774166" w:rsidRPr="00532E0D" w:rsidRDefault="00856097" w:rsidP="00774166">
            <w:pPr>
              <w:spacing w:after="0" w:line="240" w:lineRule="auto"/>
              <w:ind w:firstLine="720"/>
              <w:jc w:val="both"/>
              <w:rPr>
                <w:sz w:val="24"/>
                <w:szCs w:val="24"/>
              </w:rPr>
            </w:pPr>
            <w:r w:rsidRPr="00532E0D">
              <w:rPr>
                <w:rFonts w:ascii="Times New Roman" w:hAnsi="Times New Roman"/>
                <w:sz w:val="24"/>
                <w:szCs w:val="24"/>
              </w:rPr>
              <w:t xml:space="preserve">Ņemot vērā iepriekš minēto, Ministru kabineta 2001. gada 5. jūnija noteikumus Nr.230 “Noteikumi par valsts sociālās apdrošināšanas obligātajām iemaksām no valsts pamatbudžeta un valsts sociālās apdrošināšanas speciālajiem budžetiem” nepieciešams papildināt ar pārejas noteikumu, nosakot, ka </w:t>
            </w:r>
            <w:r w:rsidR="005C54E7">
              <w:rPr>
                <w:rFonts w:ascii="Times New Roman" w:hAnsi="Times New Roman"/>
                <w:sz w:val="24"/>
                <w:szCs w:val="24"/>
              </w:rPr>
              <w:t xml:space="preserve">laikposmā no </w:t>
            </w:r>
            <w:r w:rsidR="0040663B" w:rsidRPr="0049345D">
              <w:rPr>
                <w:rFonts w:ascii="Times New Roman" w:hAnsi="Times New Roman"/>
                <w:sz w:val="24"/>
                <w:szCs w:val="24"/>
              </w:rPr>
              <w:t>2021. gada 1. janvāra</w:t>
            </w:r>
            <w:r w:rsidR="0040663B">
              <w:rPr>
                <w:rFonts w:ascii="Times New Roman" w:hAnsi="Times New Roman"/>
                <w:sz w:val="24"/>
                <w:szCs w:val="24"/>
              </w:rPr>
              <w:t xml:space="preserve"> </w:t>
            </w:r>
            <w:r w:rsidR="005C54E7">
              <w:rPr>
                <w:rFonts w:ascii="Times New Roman" w:hAnsi="Times New Roman"/>
                <w:sz w:val="24"/>
                <w:szCs w:val="24"/>
              </w:rPr>
              <w:t>līdz 2023.</w:t>
            </w:r>
            <w:r w:rsidR="0040663B">
              <w:rPr>
                <w:rFonts w:ascii="Times New Roman" w:hAnsi="Times New Roman"/>
                <w:sz w:val="24"/>
                <w:szCs w:val="24"/>
              </w:rPr>
              <w:t> </w:t>
            </w:r>
            <w:r w:rsidR="005C54E7">
              <w:rPr>
                <w:rFonts w:ascii="Times New Roman" w:hAnsi="Times New Roman"/>
                <w:sz w:val="24"/>
                <w:szCs w:val="24"/>
              </w:rPr>
              <w:t>gada 31.</w:t>
            </w:r>
            <w:r w:rsidR="0040663B">
              <w:rPr>
                <w:rFonts w:ascii="Times New Roman" w:hAnsi="Times New Roman"/>
                <w:sz w:val="24"/>
                <w:szCs w:val="24"/>
              </w:rPr>
              <w:t> </w:t>
            </w:r>
            <w:r w:rsidR="005C54E7">
              <w:rPr>
                <w:rFonts w:ascii="Times New Roman" w:hAnsi="Times New Roman"/>
                <w:sz w:val="24"/>
                <w:szCs w:val="24"/>
              </w:rPr>
              <w:t>decembrim</w:t>
            </w:r>
            <w:r w:rsidRPr="00532E0D">
              <w:rPr>
                <w:rFonts w:ascii="Times New Roman" w:hAnsi="Times New Roman"/>
                <w:sz w:val="24"/>
                <w:szCs w:val="24"/>
              </w:rPr>
              <w:t xml:space="preserve"> valsts sociālās apdrošināšanas obligātās iemaksas pensiju apdrošināšanai tiks izdarītas arī no </w:t>
            </w:r>
            <w:r w:rsidR="00A565FD" w:rsidRPr="00A565FD">
              <w:rPr>
                <w:rFonts w:ascii="Times New Roman" w:hAnsi="Times New Roman"/>
                <w:sz w:val="24"/>
                <w:szCs w:val="24"/>
              </w:rPr>
              <w:t>darbības programmas "Izaugsme un nodarbinātība" 9.1.1. specifiskā atbalsta mērķa "Palielināt nelabvēlīgākā situācijā esošu bezdarbnieku iekļaušanos darba tirgū" 9.1.1.1. pasākuma "Subsidētās darbavietas nelabvēlīgākā situācijā esošiem bezdarbniekiem" pieejamiem Eiropas Sociālā fonda līdzekļiem</w:t>
            </w:r>
            <w:r w:rsidR="00583CC5">
              <w:rPr>
                <w:rFonts w:ascii="Times New Roman" w:hAnsi="Times New Roman"/>
                <w:sz w:val="24"/>
                <w:szCs w:val="24"/>
              </w:rPr>
              <w:t xml:space="preserve"> (par 9.1.1.1. pasākuma projektā algotos pagaidu darbos iesaistītajiem bezdarbniekiem)</w:t>
            </w:r>
            <w:r w:rsidRPr="00532E0D">
              <w:rPr>
                <w:rFonts w:ascii="Times New Roman" w:hAnsi="Times New Roman"/>
                <w:sz w:val="24"/>
                <w:szCs w:val="24"/>
              </w:rPr>
              <w:t>.</w:t>
            </w:r>
            <w:r w:rsidR="00AF43D8">
              <w:rPr>
                <w:rFonts w:ascii="Times New Roman" w:hAnsi="Times New Roman"/>
                <w:sz w:val="24"/>
                <w:szCs w:val="24"/>
              </w:rPr>
              <w:t xml:space="preserve"> Tādejādi par </w:t>
            </w:r>
            <w:r w:rsidR="00774166" w:rsidRPr="00774166">
              <w:rPr>
                <w:rFonts w:ascii="Times New Roman" w:hAnsi="Times New Roman" w:cs="Times New Roman"/>
                <w:sz w:val="24"/>
                <w:szCs w:val="24"/>
              </w:rPr>
              <w:t>personām, kuras vei</w:t>
            </w:r>
            <w:r w:rsidR="00AF43D8">
              <w:rPr>
                <w:rFonts w:ascii="Times New Roman" w:hAnsi="Times New Roman" w:cs="Times New Roman"/>
                <w:sz w:val="24"/>
                <w:szCs w:val="24"/>
              </w:rPr>
              <w:t>ks</w:t>
            </w:r>
            <w:r w:rsidR="00774166" w:rsidRPr="00774166">
              <w:rPr>
                <w:rFonts w:ascii="Times New Roman" w:hAnsi="Times New Roman" w:cs="Times New Roman"/>
                <w:sz w:val="24"/>
                <w:szCs w:val="24"/>
              </w:rPr>
              <w:t xml:space="preserve"> </w:t>
            </w:r>
            <w:r w:rsidR="00F66457">
              <w:rPr>
                <w:rFonts w:ascii="Times New Roman" w:hAnsi="Times New Roman" w:cs="Times New Roman"/>
                <w:sz w:val="24"/>
                <w:szCs w:val="24"/>
              </w:rPr>
              <w:t xml:space="preserve">APSD </w:t>
            </w:r>
            <w:r w:rsidR="00774166" w:rsidRPr="00774166">
              <w:rPr>
                <w:rFonts w:ascii="Times New Roman" w:hAnsi="Times New Roman" w:cs="Times New Roman"/>
                <w:sz w:val="24"/>
                <w:szCs w:val="24"/>
              </w:rPr>
              <w:t>darbības programmas "Izaugsme un nodarbinātība" 9.1.1. specifiskā atbalsta mērķa "Palielināt nelabvēlīgākā situācijā esošu bezdarbnieku iekļaušanos darba tirgū" 9.1.1.1. pasākuma "Subsidētās darbavietas nelabvēlīgākā situācijā esošiem bezdarbniekiem" ietvaros, tiks izdarītas arī no Eiropas Savienības finanšu politiku instrumentu līdzekļiem.</w:t>
            </w:r>
          </w:p>
        </w:tc>
      </w:tr>
      <w:tr w:rsidR="00B663CB" w:rsidRPr="00734864" w14:paraId="2DBA75CA"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C7" w14:textId="2B6C06A8" w:rsidR="00655F2C" w:rsidRPr="00734864" w:rsidRDefault="0040663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 </w:t>
            </w:r>
            <w:r w:rsidR="00E5323B" w:rsidRPr="00734864">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2DBA75C8"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320" w:type="pct"/>
            <w:tcBorders>
              <w:top w:val="outset" w:sz="6" w:space="0" w:color="auto"/>
              <w:left w:val="outset" w:sz="6" w:space="0" w:color="auto"/>
              <w:bottom w:val="outset" w:sz="6" w:space="0" w:color="auto"/>
              <w:right w:val="outset" w:sz="6" w:space="0" w:color="auto"/>
            </w:tcBorders>
            <w:hideMark/>
          </w:tcPr>
          <w:p w14:paraId="2DBA75C9" w14:textId="17D0AFCD" w:rsidR="00E5323B" w:rsidRPr="00734864" w:rsidRDefault="008560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B663CB" w:rsidRPr="00734864" w14:paraId="2DBA75CE" w14:textId="77777777" w:rsidTr="00734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5CB"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2DBA75CC"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2DBA75CD" w14:textId="77777777" w:rsidR="00E5323B" w:rsidRPr="00734864"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Nav.</w:t>
            </w:r>
          </w:p>
        </w:tc>
      </w:tr>
    </w:tbl>
    <w:p w14:paraId="2DBA75CF"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3CB" w:rsidRPr="00734864" w14:paraId="2DBA75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A75D1"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4864">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335F3B" w:rsidRPr="00734864" w14:paraId="2DBA75E6" w14:textId="77777777" w:rsidTr="00532E0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DBA75E5" w14:textId="5FACEBE5" w:rsidR="00335F3B" w:rsidRPr="00734864" w:rsidRDefault="00335F3B" w:rsidP="00532E0D">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projekts šo jomu neskar.</w:t>
            </w:r>
          </w:p>
        </w:tc>
      </w:tr>
    </w:tbl>
    <w:p w14:paraId="2DBA75E7" w14:textId="5890B67C"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27" w:type="pct"/>
        <w:tblCellSpacing w:w="15" w:type="dxa"/>
        <w:tblInd w:w="-3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1934"/>
        <w:gridCol w:w="986"/>
        <w:gridCol w:w="986"/>
        <w:gridCol w:w="863"/>
        <w:gridCol w:w="864"/>
        <w:gridCol w:w="877"/>
        <w:gridCol w:w="867"/>
        <w:gridCol w:w="1627"/>
        <w:gridCol w:w="50"/>
      </w:tblGrid>
      <w:tr w:rsidR="00954B26" w:rsidRPr="008603A3" w14:paraId="0B537736" w14:textId="77777777" w:rsidTr="009B7D1B">
        <w:trPr>
          <w:gridBefore w:val="1"/>
          <w:gridAfter w:val="1"/>
          <w:wBefore w:w="5" w:type="dxa"/>
          <w:wAfter w:w="5" w:type="dxa"/>
          <w:tblCellSpacing w:w="15" w:type="dxa"/>
        </w:trPr>
        <w:tc>
          <w:tcPr>
            <w:tcW w:w="8974"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6450D049" w14:textId="77777777" w:rsidR="00954B26" w:rsidRPr="00FB5E6E" w:rsidRDefault="00954B26" w:rsidP="009B7D1B">
            <w:pPr>
              <w:spacing w:after="0" w:line="240" w:lineRule="auto"/>
              <w:rPr>
                <w:rFonts w:ascii="Times New Roman" w:eastAsia="Times New Roman" w:hAnsi="Times New Roman" w:cs="Times New Roman"/>
                <w:b/>
                <w:bCs/>
                <w:iCs/>
                <w:color w:val="000000" w:themeColor="text1"/>
                <w:sz w:val="24"/>
                <w:szCs w:val="24"/>
                <w:lang w:eastAsia="lv-LV"/>
              </w:rPr>
            </w:pPr>
            <w:r w:rsidRPr="00FB5E6E">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954B26" w:rsidRPr="008D11D5" w14:paraId="7A1FFCDE"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vMerge w:val="restart"/>
            <w:shd w:val="clear" w:color="auto" w:fill="FFFFFF"/>
            <w:vAlign w:val="center"/>
          </w:tcPr>
          <w:p w14:paraId="1C10FB4E" w14:textId="77777777" w:rsidR="00954B26" w:rsidRPr="001F1BF2" w:rsidRDefault="00954B26" w:rsidP="009B7D1B">
            <w:pPr>
              <w:spacing w:after="0" w:line="240" w:lineRule="auto"/>
              <w:jc w:val="both"/>
              <w:rPr>
                <w:rFonts w:ascii="Times New Roman" w:hAnsi="Times New Roman" w:cs="Times New Roman"/>
                <w:sz w:val="20"/>
                <w:szCs w:val="20"/>
              </w:rPr>
            </w:pPr>
            <w:r w:rsidRPr="001F1BF2">
              <w:rPr>
                <w:rFonts w:ascii="Times New Roman" w:hAnsi="Times New Roman" w:cs="Times New Roman"/>
                <w:sz w:val="20"/>
                <w:szCs w:val="20"/>
              </w:rPr>
              <w:t>Rādītāji</w:t>
            </w:r>
          </w:p>
        </w:tc>
        <w:tc>
          <w:tcPr>
            <w:tcW w:w="1942" w:type="dxa"/>
            <w:gridSpan w:val="2"/>
            <w:vMerge w:val="restart"/>
            <w:tcBorders>
              <w:top w:val="single" w:sz="4" w:space="0" w:color="auto"/>
              <w:left w:val="single" w:sz="4" w:space="0" w:color="auto"/>
              <w:right w:val="single" w:sz="4" w:space="0" w:color="auto"/>
            </w:tcBorders>
            <w:shd w:val="clear" w:color="auto" w:fill="auto"/>
            <w:hideMark/>
          </w:tcPr>
          <w:p w14:paraId="5285AB03" w14:textId="4AF5939D" w:rsidR="00954B26" w:rsidRPr="001F1BF2" w:rsidRDefault="00954B26" w:rsidP="009B7D1B">
            <w:pPr>
              <w:pStyle w:val="ListParagraph"/>
              <w:tabs>
                <w:tab w:val="left" w:pos="317"/>
              </w:tabs>
              <w:ind w:left="34"/>
              <w:jc w:val="center"/>
              <w:rPr>
                <w:rFonts w:ascii="Times New Roman" w:hAnsi="Times New Roman" w:cs="Times New Roman"/>
                <w:bCs/>
                <w:sz w:val="20"/>
              </w:rPr>
            </w:pPr>
            <w:r w:rsidRPr="001F1BF2">
              <w:rPr>
                <w:rFonts w:ascii="Times New Roman" w:hAnsi="Times New Roman" w:cs="Times New Roman"/>
                <w:b/>
                <w:bCs/>
                <w:sz w:val="20"/>
                <w:lang w:eastAsia="ja-JP"/>
              </w:rPr>
              <w:t>2020.</w:t>
            </w:r>
            <w:r>
              <w:rPr>
                <w:rFonts w:ascii="Times New Roman" w:hAnsi="Times New Roman" w:cs="Times New Roman"/>
                <w:b/>
                <w:bCs/>
                <w:sz w:val="20"/>
                <w:lang w:eastAsia="ja-JP"/>
              </w:rPr>
              <w:t> </w:t>
            </w:r>
            <w:r w:rsidRPr="001F1BF2">
              <w:rPr>
                <w:rFonts w:ascii="Times New Roman" w:hAnsi="Times New Roman" w:cs="Times New Roman"/>
                <w:b/>
                <w:bCs/>
                <w:sz w:val="20"/>
                <w:lang w:eastAsia="ja-JP"/>
              </w:rPr>
              <w:t>gads</w:t>
            </w:r>
          </w:p>
        </w:tc>
        <w:tc>
          <w:tcPr>
            <w:tcW w:w="5103" w:type="dxa"/>
            <w:gridSpan w:val="6"/>
            <w:tcBorders>
              <w:top w:val="single" w:sz="4" w:space="0" w:color="auto"/>
              <w:left w:val="single" w:sz="4" w:space="0" w:color="auto"/>
              <w:right w:val="single" w:sz="4" w:space="0" w:color="auto"/>
            </w:tcBorders>
            <w:hideMark/>
          </w:tcPr>
          <w:p w14:paraId="6CFE7D76" w14:textId="77777777" w:rsidR="00954B26" w:rsidRPr="001F1BF2" w:rsidRDefault="00954B26" w:rsidP="009B7D1B">
            <w:pPr>
              <w:jc w:val="center"/>
              <w:rPr>
                <w:rFonts w:ascii="Times New Roman" w:eastAsia="Times New Roman" w:hAnsi="Times New Roman" w:cs="Times New Roman"/>
                <w:sz w:val="20"/>
                <w:szCs w:val="20"/>
                <w:lang w:eastAsia="ja-JP"/>
              </w:rPr>
            </w:pPr>
            <w:r w:rsidRPr="001F1BF2">
              <w:rPr>
                <w:rFonts w:ascii="Times New Roman" w:eastAsia="Times New Roman" w:hAnsi="Times New Roman" w:cs="Times New Roman"/>
                <w:sz w:val="20"/>
                <w:szCs w:val="20"/>
                <w:lang w:eastAsia="ja-JP"/>
              </w:rPr>
              <w:t>Turpmākie trīs gadi (</w:t>
            </w:r>
            <w:proofErr w:type="spellStart"/>
            <w:r w:rsidRPr="001F1BF2">
              <w:rPr>
                <w:rFonts w:ascii="Times New Roman" w:eastAsia="Times New Roman" w:hAnsi="Times New Roman" w:cs="Times New Roman"/>
                <w:i/>
                <w:iCs/>
                <w:sz w:val="20"/>
                <w:szCs w:val="20"/>
                <w:lang w:eastAsia="ja-JP"/>
              </w:rPr>
              <w:t>euro</w:t>
            </w:r>
            <w:proofErr w:type="spellEnd"/>
            <w:r w:rsidRPr="001F1BF2">
              <w:rPr>
                <w:rFonts w:ascii="Times New Roman" w:eastAsia="Times New Roman" w:hAnsi="Times New Roman" w:cs="Times New Roman"/>
                <w:sz w:val="20"/>
                <w:szCs w:val="20"/>
                <w:lang w:eastAsia="ja-JP"/>
              </w:rPr>
              <w:t>)</w:t>
            </w:r>
          </w:p>
        </w:tc>
      </w:tr>
      <w:tr w:rsidR="00954B26" w:rsidRPr="008D11D5" w14:paraId="06126150"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vMerge/>
            <w:shd w:val="clear" w:color="auto" w:fill="auto"/>
            <w:vAlign w:val="center"/>
            <w:hideMark/>
          </w:tcPr>
          <w:p w14:paraId="3834CB28" w14:textId="77777777" w:rsidR="00954B26" w:rsidRPr="001F1BF2" w:rsidRDefault="00954B26" w:rsidP="009B7D1B">
            <w:pPr>
              <w:spacing w:after="0" w:line="240" w:lineRule="auto"/>
              <w:jc w:val="both"/>
              <w:rPr>
                <w:rFonts w:ascii="Times New Roman" w:hAnsi="Times New Roman" w:cs="Times New Roman"/>
                <w:sz w:val="20"/>
                <w:szCs w:val="20"/>
              </w:rPr>
            </w:pPr>
          </w:p>
        </w:tc>
        <w:tc>
          <w:tcPr>
            <w:tcW w:w="1942" w:type="dxa"/>
            <w:gridSpan w:val="2"/>
            <w:vMerge/>
            <w:tcBorders>
              <w:left w:val="single" w:sz="4" w:space="0" w:color="auto"/>
              <w:bottom w:val="single" w:sz="4" w:space="0" w:color="auto"/>
              <w:right w:val="single" w:sz="4" w:space="0" w:color="auto"/>
            </w:tcBorders>
            <w:shd w:val="clear" w:color="auto" w:fill="auto"/>
            <w:hideMark/>
          </w:tcPr>
          <w:p w14:paraId="5C6296C5" w14:textId="77777777" w:rsidR="00954B26" w:rsidRPr="001F1BF2" w:rsidRDefault="00954B26" w:rsidP="009B7D1B">
            <w:pPr>
              <w:spacing w:after="0" w:line="240" w:lineRule="auto"/>
              <w:jc w:val="both"/>
              <w:rPr>
                <w:rFonts w:ascii="Times New Roman" w:hAnsi="Times New Roman" w:cs="Times New Roman"/>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EEA38" w14:textId="4A2CBF1B" w:rsidR="00954B26" w:rsidRPr="001F1BF2" w:rsidRDefault="00954B26" w:rsidP="009B7D1B">
            <w:pPr>
              <w:spacing w:after="0" w:line="240" w:lineRule="auto"/>
              <w:jc w:val="center"/>
              <w:rPr>
                <w:rFonts w:ascii="Times New Roman" w:hAnsi="Times New Roman" w:cs="Times New Roman"/>
                <w:sz w:val="20"/>
                <w:szCs w:val="20"/>
              </w:rPr>
            </w:pPr>
            <w:r w:rsidRPr="001F1BF2">
              <w:rPr>
                <w:rFonts w:ascii="Times New Roman" w:eastAsia="Times New Roman" w:hAnsi="Times New Roman" w:cs="Times New Roman"/>
                <w:b/>
                <w:bCs/>
                <w:sz w:val="20"/>
                <w:szCs w:val="20"/>
                <w:lang w:eastAsia="ja-JP"/>
              </w:rPr>
              <w:t>2021.</w:t>
            </w:r>
            <w:r>
              <w:rPr>
                <w:rFonts w:ascii="Times New Roman" w:eastAsia="Times New Roman" w:hAnsi="Times New Roman" w:cs="Times New Roman"/>
                <w:b/>
                <w:bCs/>
                <w:sz w:val="20"/>
                <w:szCs w:val="20"/>
                <w:lang w:eastAsia="ja-JP"/>
              </w:rPr>
              <w:t> </w:t>
            </w:r>
            <w:r w:rsidRPr="001F1BF2">
              <w:rPr>
                <w:rFonts w:ascii="Times New Roman" w:eastAsia="Times New Roman" w:hAnsi="Times New Roman" w:cs="Times New Roman"/>
                <w:b/>
                <w:bCs/>
                <w:sz w:val="20"/>
                <w:szCs w:val="20"/>
                <w:lang w:eastAsia="ja-JP"/>
              </w:rPr>
              <w:t>gads</w:t>
            </w:r>
          </w:p>
        </w:tc>
        <w:tc>
          <w:tcPr>
            <w:tcW w:w="1714" w:type="dxa"/>
            <w:gridSpan w:val="2"/>
            <w:tcBorders>
              <w:left w:val="single" w:sz="4" w:space="0" w:color="auto"/>
              <w:bottom w:val="single" w:sz="4" w:space="0" w:color="auto"/>
              <w:right w:val="single" w:sz="4" w:space="0" w:color="auto"/>
            </w:tcBorders>
            <w:shd w:val="clear" w:color="auto" w:fill="auto"/>
            <w:hideMark/>
          </w:tcPr>
          <w:p w14:paraId="01AC3A58" w14:textId="31AC5D2E" w:rsidR="00954B26" w:rsidRPr="001F1BF2" w:rsidRDefault="00954B26" w:rsidP="009B7D1B">
            <w:pPr>
              <w:pStyle w:val="ListParagraph"/>
              <w:tabs>
                <w:tab w:val="left" w:pos="317"/>
              </w:tabs>
              <w:ind w:left="34"/>
              <w:jc w:val="center"/>
              <w:rPr>
                <w:rFonts w:ascii="Times New Roman" w:hAnsi="Times New Roman" w:cs="Times New Roman"/>
                <w:b/>
                <w:bCs/>
                <w:sz w:val="20"/>
              </w:rPr>
            </w:pPr>
            <w:r w:rsidRPr="001F1BF2">
              <w:rPr>
                <w:rFonts w:ascii="Times New Roman" w:hAnsi="Times New Roman" w:cs="Times New Roman"/>
                <w:b/>
                <w:bCs/>
                <w:sz w:val="20"/>
              </w:rPr>
              <w:t>2022.</w:t>
            </w:r>
            <w:r>
              <w:rPr>
                <w:rFonts w:ascii="Times New Roman" w:hAnsi="Times New Roman" w:cs="Times New Roman"/>
                <w:b/>
                <w:bCs/>
                <w:sz w:val="20"/>
              </w:rPr>
              <w:t> </w:t>
            </w:r>
            <w:r w:rsidRPr="001F1BF2">
              <w:rPr>
                <w:rFonts w:ascii="Times New Roman" w:hAnsi="Times New Roman" w:cs="Times New Roman"/>
                <w:b/>
                <w:bCs/>
                <w:sz w:val="20"/>
              </w:rPr>
              <w:t>gads</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6E6D5" w14:textId="3C7F768B" w:rsidR="00954B26" w:rsidRPr="001F1BF2" w:rsidRDefault="00954B26" w:rsidP="009B7D1B">
            <w:pPr>
              <w:jc w:val="center"/>
              <w:rPr>
                <w:rFonts w:ascii="Times New Roman" w:eastAsia="Times New Roman" w:hAnsi="Times New Roman" w:cs="Times New Roman"/>
                <w:b/>
                <w:bCs/>
                <w:sz w:val="20"/>
                <w:szCs w:val="20"/>
                <w:lang w:eastAsia="ja-JP"/>
              </w:rPr>
            </w:pPr>
            <w:r w:rsidRPr="001F1BF2">
              <w:rPr>
                <w:rFonts w:ascii="Times New Roman" w:eastAsia="Times New Roman" w:hAnsi="Times New Roman" w:cs="Times New Roman"/>
                <w:b/>
                <w:bCs/>
                <w:sz w:val="20"/>
                <w:szCs w:val="20"/>
                <w:lang w:eastAsia="ja-JP"/>
              </w:rPr>
              <w:t>2023.</w:t>
            </w:r>
            <w:r>
              <w:rPr>
                <w:rFonts w:ascii="Times New Roman" w:eastAsia="Times New Roman" w:hAnsi="Times New Roman" w:cs="Times New Roman"/>
                <w:b/>
                <w:bCs/>
                <w:sz w:val="20"/>
                <w:szCs w:val="20"/>
                <w:lang w:eastAsia="ja-JP"/>
              </w:rPr>
              <w:t> </w:t>
            </w:r>
            <w:r w:rsidRPr="001F1BF2">
              <w:rPr>
                <w:rFonts w:ascii="Times New Roman" w:eastAsia="Times New Roman" w:hAnsi="Times New Roman" w:cs="Times New Roman"/>
                <w:b/>
                <w:bCs/>
                <w:sz w:val="20"/>
                <w:szCs w:val="20"/>
                <w:lang w:eastAsia="ja-JP"/>
              </w:rPr>
              <w:t>gads</w:t>
            </w:r>
          </w:p>
        </w:tc>
      </w:tr>
      <w:tr w:rsidR="00954B26" w:rsidRPr="00D36711" w14:paraId="7954F6F9"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vMerge/>
            <w:shd w:val="clear" w:color="auto" w:fill="auto"/>
            <w:vAlign w:val="center"/>
            <w:hideMark/>
          </w:tcPr>
          <w:p w14:paraId="0A2BDBB5" w14:textId="77777777" w:rsidR="00954B26" w:rsidRPr="001F1BF2" w:rsidRDefault="00954B26" w:rsidP="009B7D1B">
            <w:pPr>
              <w:spacing w:after="0" w:line="240" w:lineRule="auto"/>
              <w:jc w:val="both"/>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87795" w14:textId="77777777" w:rsidR="00954B26" w:rsidRPr="001F1BF2" w:rsidRDefault="00954B26" w:rsidP="009B7D1B">
            <w:pPr>
              <w:jc w:val="center"/>
              <w:rPr>
                <w:rFonts w:ascii="Times New Roman" w:eastAsia="Times New Roman" w:hAnsi="Times New Roman" w:cs="Times New Roman"/>
                <w:sz w:val="20"/>
                <w:szCs w:val="20"/>
                <w:lang w:eastAsia="ja-JP"/>
              </w:rPr>
            </w:pPr>
            <w:r w:rsidRPr="001F1BF2">
              <w:rPr>
                <w:rFonts w:ascii="Times New Roman" w:eastAsia="Times New Roman" w:hAnsi="Times New Roman" w:cs="Times New Roman"/>
                <w:sz w:val="20"/>
                <w:szCs w:val="20"/>
                <w:lang w:eastAsia="ja-JP"/>
              </w:rPr>
              <w:t>saskaņā ar valsts budžetu kārtējam gadam</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07E40" w14:textId="77777777" w:rsidR="00954B26" w:rsidRPr="001F1BF2" w:rsidRDefault="00954B26" w:rsidP="009B7D1B">
            <w:pPr>
              <w:jc w:val="center"/>
              <w:rPr>
                <w:rFonts w:ascii="Times New Roman" w:eastAsia="Times New Roman" w:hAnsi="Times New Roman" w:cs="Times New Roman"/>
                <w:sz w:val="20"/>
                <w:szCs w:val="20"/>
                <w:lang w:eastAsia="ja-JP"/>
              </w:rPr>
            </w:pPr>
            <w:r w:rsidRPr="001F1BF2">
              <w:rPr>
                <w:rFonts w:ascii="Times New Roman" w:eastAsia="Times New Roman" w:hAnsi="Times New Roman" w:cs="Times New Roman"/>
                <w:sz w:val="20"/>
                <w:szCs w:val="20"/>
                <w:lang w:eastAsia="ja-JP"/>
              </w:rPr>
              <w:t xml:space="preserve">izmaiņas kārtējā gadā, salīdzinot ar valsts budžetu kārtējam gadam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81F0A" w14:textId="77777777" w:rsidR="00954B26" w:rsidRPr="001F1BF2" w:rsidRDefault="00954B26" w:rsidP="009B7D1B">
            <w:pPr>
              <w:jc w:val="center"/>
              <w:rPr>
                <w:rFonts w:ascii="Times New Roman" w:eastAsia="Times New Roman" w:hAnsi="Times New Roman" w:cs="Times New Roman"/>
                <w:sz w:val="20"/>
                <w:szCs w:val="20"/>
                <w:lang w:eastAsia="ja-JP"/>
              </w:rPr>
            </w:pPr>
            <w:r w:rsidRPr="001F1BF2">
              <w:rPr>
                <w:rFonts w:ascii="Times New Roman" w:eastAsia="Times New Roman" w:hAnsi="Times New Roman" w:cs="Times New Roman"/>
                <w:sz w:val="20"/>
                <w:szCs w:val="20"/>
                <w:lang w:eastAsia="ja-JP"/>
              </w:rPr>
              <w:t>saskaņā ar vidēja termiņa budžeta ietvaru</w:t>
            </w:r>
          </w:p>
          <w:p w14:paraId="577B888A" w14:textId="77777777" w:rsidR="00954B26" w:rsidRPr="001F1BF2" w:rsidRDefault="00954B26" w:rsidP="009B7D1B">
            <w:pPr>
              <w:jc w:val="center"/>
              <w:rPr>
                <w:rFonts w:ascii="Times New Roman" w:eastAsia="Times New Roman" w:hAnsi="Times New Roman" w:cs="Times New Roman"/>
                <w:sz w:val="20"/>
                <w:szCs w:val="20"/>
                <w:lang w:eastAsia="ja-JP"/>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0208" w14:textId="77777777" w:rsidR="00954B26" w:rsidRPr="001F1BF2" w:rsidRDefault="00954B26" w:rsidP="009B7D1B">
            <w:pPr>
              <w:jc w:val="center"/>
              <w:rPr>
                <w:rFonts w:ascii="Times New Roman" w:eastAsia="Times New Roman" w:hAnsi="Times New Roman" w:cs="Times New Roman"/>
                <w:sz w:val="20"/>
                <w:szCs w:val="20"/>
                <w:lang w:eastAsia="ja-JP"/>
              </w:rPr>
            </w:pPr>
            <w:r w:rsidRPr="001F1BF2">
              <w:rPr>
                <w:rFonts w:ascii="Times New Roman" w:eastAsia="Times New Roman" w:hAnsi="Times New Roman" w:cs="Times New Roman"/>
                <w:sz w:val="20"/>
                <w:szCs w:val="20"/>
                <w:lang w:eastAsia="ja-JP"/>
              </w:rPr>
              <w:t xml:space="preserve">izmaiņas, salīdzinot ar vidēja termiņa budžeta ietvaru 2020. gadam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4B5F6" w14:textId="77777777" w:rsidR="00954B26" w:rsidRPr="001F1BF2" w:rsidRDefault="00954B26" w:rsidP="009B7D1B">
            <w:pPr>
              <w:jc w:val="center"/>
              <w:rPr>
                <w:rFonts w:ascii="Times New Roman" w:eastAsia="Times New Roman" w:hAnsi="Times New Roman" w:cs="Times New Roman"/>
                <w:sz w:val="20"/>
                <w:szCs w:val="20"/>
                <w:lang w:eastAsia="ja-JP"/>
              </w:rPr>
            </w:pPr>
            <w:r w:rsidRPr="001F1BF2">
              <w:rPr>
                <w:rFonts w:ascii="Times New Roman" w:eastAsia="Times New Roman" w:hAnsi="Times New Roman" w:cs="Times New Roman"/>
                <w:sz w:val="20"/>
                <w:szCs w:val="20"/>
                <w:lang w:eastAsia="ja-JP"/>
              </w:rPr>
              <w:t>saskaņā ar vidēja termiņa budžeta ietvaru</w:t>
            </w:r>
          </w:p>
          <w:p w14:paraId="54457C07" w14:textId="77777777" w:rsidR="00954B26" w:rsidRPr="001F1BF2" w:rsidRDefault="00954B26" w:rsidP="009B7D1B">
            <w:pPr>
              <w:jc w:val="center"/>
              <w:rPr>
                <w:rFonts w:ascii="Times New Roman" w:eastAsia="Times New Roman" w:hAnsi="Times New Roman" w:cs="Times New Roman"/>
                <w:sz w:val="20"/>
                <w:szCs w:val="20"/>
                <w:lang w:eastAsia="ja-JP"/>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3F455" w14:textId="77777777" w:rsidR="00954B26" w:rsidRPr="001F1BF2" w:rsidRDefault="00954B26" w:rsidP="009B7D1B">
            <w:pPr>
              <w:jc w:val="center"/>
              <w:rPr>
                <w:rFonts w:ascii="Times New Roman" w:eastAsia="Times New Roman" w:hAnsi="Times New Roman" w:cs="Times New Roman"/>
                <w:sz w:val="20"/>
                <w:szCs w:val="20"/>
                <w:lang w:eastAsia="ja-JP"/>
              </w:rPr>
            </w:pPr>
            <w:r w:rsidRPr="001F1BF2">
              <w:rPr>
                <w:rFonts w:ascii="Times New Roman" w:eastAsia="Times New Roman" w:hAnsi="Times New Roman" w:cs="Times New Roman"/>
                <w:sz w:val="20"/>
                <w:szCs w:val="20"/>
                <w:lang w:eastAsia="ja-JP"/>
              </w:rPr>
              <w:t xml:space="preserve">izmaiņas, salīdzinot ar vidēja termiņa budžeta ietvaru 2021. gadam </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127E8" w14:textId="77777777" w:rsidR="00954B26" w:rsidRPr="001F1BF2" w:rsidRDefault="00954B26" w:rsidP="009B7D1B">
            <w:pPr>
              <w:jc w:val="center"/>
              <w:rPr>
                <w:rFonts w:ascii="Times New Roman" w:eastAsia="Times New Roman" w:hAnsi="Times New Roman" w:cs="Times New Roman"/>
                <w:sz w:val="20"/>
                <w:szCs w:val="20"/>
                <w:lang w:eastAsia="ja-JP"/>
              </w:rPr>
            </w:pPr>
            <w:r w:rsidRPr="001F1BF2">
              <w:rPr>
                <w:rFonts w:ascii="Times New Roman" w:eastAsia="Times New Roman" w:hAnsi="Times New Roman" w:cs="Times New Roman"/>
                <w:sz w:val="20"/>
                <w:szCs w:val="20"/>
                <w:lang w:eastAsia="ja-JP"/>
              </w:rPr>
              <w:t xml:space="preserve">izmaiņas, salīdzinot ar vidēja termiņa budžeta ietvaru 2021. gadam </w:t>
            </w:r>
          </w:p>
        </w:tc>
      </w:tr>
      <w:tr w:rsidR="00954B26" w:rsidRPr="004E5C5A" w14:paraId="5AD2CAAB"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FFFFFF"/>
            <w:vAlign w:val="center"/>
            <w:hideMark/>
          </w:tcPr>
          <w:p w14:paraId="4B93ACDC" w14:textId="77777777" w:rsidR="00954B26" w:rsidRPr="004E5C5A" w:rsidRDefault="00954B26" w:rsidP="009B7D1B">
            <w:pPr>
              <w:spacing w:after="0" w:line="240" w:lineRule="auto"/>
              <w:jc w:val="center"/>
              <w:rPr>
                <w:rFonts w:ascii="Times New Roman" w:hAnsi="Times New Roman"/>
                <w:sz w:val="20"/>
                <w:szCs w:val="20"/>
              </w:rPr>
            </w:pPr>
            <w:r w:rsidRPr="004E5C5A">
              <w:rPr>
                <w:rFonts w:ascii="Times New Roman" w:hAnsi="Times New Roman"/>
                <w:sz w:val="20"/>
                <w:szCs w:val="20"/>
              </w:rPr>
              <w:t>1</w:t>
            </w:r>
          </w:p>
        </w:tc>
        <w:tc>
          <w:tcPr>
            <w:tcW w:w="956" w:type="dxa"/>
            <w:shd w:val="clear" w:color="auto" w:fill="FFFFFF"/>
            <w:vAlign w:val="center"/>
            <w:hideMark/>
          </w:tcPr>
          <w:p w14:paraId="7B5B5E3E" w14:textId="77777777" w:rsidR="00954B26" w:rsidRPr="004E5C5A" w:rsidRDefault="00954B26" w:rsidP="009B7D1B">
            <w:pPr>
              <w:spacing w:after="0" w:line="240" w:lineRule="auto"/>
              <w:jc w:val="center"/>
              <w:rPr>
                <w:rFonts w:ascii="Times New Roman" w:hAnsi="Times New Roman"/>
                <w:sz w:val="20"/>
                <w:szCs w:val="20"/>
              </w:rPr>
            </w:pPr>
            <w:r w:rsidRPr="004E5C5A">
              <w:rPr>
                <w:rFonts w:ascii="Times New Roman" w:hAnsi="Times New Roman"/>
                <w:sz w:val="20"/>
                <w:szCs w:val="20"/>
              </w:rPr>
              <w:t>2</w:t>
            </w:r>
          </w:p>
        </w:tc>
        <w:tc>
          <w:tcPr>
            <w:tcW w:w="956" w:type="dxa"/>
            <w:shd w:val="clear" w:color="auto" w:fill="FFFFFF"/>
            <w:vAlign w:val="center"/>
            <w:hideMark/>
          </w:tcPr>
          <w:p w14:paraId="7B3B670F" w14:textId="77777777" w:rsidR="00954B26" w:rsidRPr="004E5C5A" w:rsidRDefault="00954B26" w:rsidP="009B7D1B">
            <w:pPr>
              <w:spacing w:after="0" w:line="240" w:lineRule="auto"/>
              <w:jc w:val="center"/>
              <w:rPr>
                <w:rFonts w:ascii="Times New Roman" w:hAnsi="Times New Roman"/>
                <w:sz w:val="20"/>
                <w:szCs w:val="20"/>
              </w:rPr>
            </w:pPr>
            <w:r w:rsidRPr="004E5C5A">
              <w:rPr>
                <w:rFonts w:ascii="Times New Roman" w:hAnsi="Times New Roman"/>
                <w:sz w:val="20"/>
                <w:szCs w:val="20"/>
              </w:rPr>
              <w:t>3</w:t>
            </w:r>
          </w:p>
        </w:tc>
        <w:tc>
          <w:tcPr>
            <w:tcW w:w="833" w:type="dxa"/>
            <w:shd w:val="clear" w:color="auto" w:fill="FFFFFF"/>
            <w:vAlign w:val="center"/>
            <w:hideMark/>
          </w:tcPr>
          <w:p w14:paraId="30ED9214" w14:textId="77777777" w:rsidR="00954B26" w:rsidRPr="004E5C5A" w:rsidRDefault="00954B26" w:rsidP="009B7D1B">
            <w:pPr>
              <w:spacing w:after="0" w:line="240" w:lineRule="auto"/>
              <w:jc w:val="center"/>
              <w:rPr>
                <w:rFonts w:ascii="Times New Roman" w:hAnsi="Times New Roman"/>
                <w:sz w:val="20"/>
                <w:szCs w:val="20"/>
              </w:rPr>
            </w:pPr>
            <w:r w:rsidRPr="004E5C5A">
              <w:rPr>
                <w:rFonts w:ascii="Times New Roman" w:hAnsi="Times New Roman"/>
                <w:sz w:val="20"/>
                <w:szCs w:val="20"/>
              </w:rPr>
              <w:t>4</w:t>
            </w:r>
          </w:p>
        </w:tc>
        <w:tc>
          <w:tcPr>
            <w:tcW w:w="834" w:type="dxa"/>
            <w:shd w:val="clear" w:color="auto" w:fill="FFFFFF"/>
            <w:vAlign w:val="center"/>
            <w:hideMark/>
          </w:tcPr>
          <w:p w14:paraId="2509C4D6" w14:textId="77777777" w:rsidR="00954B26" w:rsidRPr="004E5C5A" w:rsidRDefault="00954B26" w:rsidP="009B7D1B">
            <w:pPr>
              <w:spacing w:after="0" w:line="240" w:lineRule="auto"/>
              <w:jc w:val="center"/>
              <w:rPr>
                <w:rFonts w:ascii="Times New Roman" w:hAnsi="Times New Roman"/>
                <w:sz w:val="20"/>
                <w:szCs w:val="20"/>
              </w:rPr>
            </w:pPr>
            <w:r w:rsidRPr="004E5C5A">
              <w:rPr>
                <w:rFonts w:ascii="Times New Roman" w:hAnsi="Times New Roman"/>
                <w:sz w:val="20"/>
                <w:szCs w:val="20"/>
              </w:rPr>
              <w:t>5</w:t>
            </w:r>
          </w:p>
        </w:tc>
        <w:tc>
          <w:tcPr>
            <w:tcW w:w="847" w:type="dxa"/>
            <w:shd w:val="clear" w:color="auto" w:fill="FFFFFF"/>
            <w:vAlign w:val="center"/>
            <w:hideMark/>
          </w:tcPr>
          <w:p w14:paraId="02D108BB" w14:textId="77777777" w:rsidR="00954B26" w:rsidRPr="004E5C5A" w:rsidRDefault="00954B26" w:rsidP="009B7D1B">
            <w:pPr>
              <w:spacing w:after="0" w:line="240" w:lineRule="auto"/>
              <w:jc w:val="center"/>
              <w:rPr>
                <w:rFonts w:ascii="Times New Roman" w:hAnsi="Times New Roman"/>
                <w:sz w:val="20"/>
                <w:szCs w:val="20"/>
              </w:rPr>
            </w:pPr>
            <w:r w:rsidRPr="004E5C5A">
              <w:rPr>
                <w:rFonts w:ascii="Times New Roman" w:hAnsi="Times New Roman"/>
                <w:sz w:val="20"/>
                <w:szCs w:val="20"/>
              </w:rPr>
              <w:t>6</w:t>
            </w:r>
          </w:p>
        </w:tc>
        <w:tc>
          <w:tcPr>
            <w:tcW w:w="837" w:type="dxa"/>
            <w:shd w:val="clear" w:color="auto" w:fill="FFFFFF"/>
            <w:vAlign w:val="center"/>
            <w:hideMark/>
          </w:tcPr>
          <w:p w14:paraId="2848B03F" w14:textId="77777777" w:rsidR="00954B26" w:rsidRPr="004E5C5A" w:rsidRDefault="00954B26" w:rsidP="009B7D1B">
            <w:pPr>
              <w:spacing w:after="0" w:line="240" w:lineRule="auto"/>
              <w:jc w:val="center"/>
              <w:rPr>
                <w:rFonts w:ascii="Times New Roman" w:hAnsi="Times New Roman"/>
                <w:sz w:val="20"/>
                <w:szCs w:val="20"/>
              </w:rPr>
            </w:pPr>
            <w:r w:rsidRPr="004E5C5A">
              <w:rPr>
                <w:rFonts w:ascii="Times New Roman" w:hAnsi="Times New Roman"/>
                <w:sz w:val="20"/>
                <w:szCs w:val="20"/>
              </w:rPr>
              <w:t>7</w:t>
            </w:r>
          </w:p>
        </w:tc>
        <w:tc>
          <w:tcPr>
            <w:tcW w:w="1632" w:type="dxa"/>
            <w:gridSpan w:val="2"/>
            <w:shd w:val="clear" w:color="auto" w:fill="FFFFFF"/>
            <w:vAlign w:val="center"/>
            <w:hideMark/>
          </w:tcPr>
          <w:p w14:paraId="079E3137" w14:textId="77777777" w:rsidR="00954B26" w:rsidRPr="004E5C5A" w:rsidRDefault="00954B26" w:rsidP="009B7D1B">
            <w:pPr>
              <w:spacing w:after="0" w:line="240" w:lineRule="auto"/>
              <w:jc w:val="center"/>
              <w:rPr>
                <w:rFonts w:ascii="Times New Roman" w:hAnsi="Times New Roman"/>
                <w:sz w:val="20"/>
                <w:szCs w:val="20"/>
              </w:rPr>
            </w:pPr>
            <w:r w:rsidRPr="004E5C5A">
              <w:rPr>
                <w:rFonts w:ascii="Times New Roman" w:hAnsi="Times New Roman"/>
                <w:sz w:val="20"/>
                <w:szCs w:val="20"/>
              </w:rPr>
              <w:t>8</w:t>
            </w:r>
          </w:p>
        </w:tc>
      </w:tr>
      <w:tr w:rsidR="00954B26" w:rsidRPr="004E5C5A" w14:paraId="10D4FD4D"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FFFFFF"/>
            <w:hideMark/>
          </w:tcPr>
          <w:p w14:paraId="63B5EB18"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1. Budžeta ieņēmumi</w:t>
            </w:r>
          </w:p>
        </w:tc>
        <w:tc>
          <w:tcPr>
            <w:tcW w:w="956" w:type="dxa"/>
            <w:shd w:val="clear" w:color="auto" w:fill="FFFFFF"/>
          </w:tcPr>
          <w:p w14:paraId="5508E3EA" w14:textId="77777777" w:rsidR="00954B26" w:rsidRPr="000259BB" w:rsidRDefault="00954B26" w:rsidP="009B7D1B">
            <w:pPr>
              <w:spacing w:after="0" w:line="240" w:lineRule="auto"/>
              <w:jc w:val="both"/>
              <w:rPr>
                <w:rFonts w:ascii="Times New Roman" w:hAnsi="Times New Roman"/>
                <w:color w:val="FF0000"/>
                <w:sz w:val="20"/>
                <w:szCs w:val="20"/>
              </w:rPr>
            </w:pPr>
            <w:r w:rsidRPr="00F8380E">
              <w:rPr>
                <w:rFonts w:ascii="Times New Roman" w:hAnsi="Times New Roman"/>
                <w:sz w:val="20"/>
                <w:szCs w:val="20"/>
              </w:rPr>
              <w:t>0</w:t>
            </w:r>
          </w:p>
        </w:tc>
        <w:tc>
          <w:tcPr>
            <w:tcW w:w="956" w:type="dxa"/>
            <w:shd w:val="clear" w:color="auto" w:fill="FFFFFF"/>
            <w:vAlign w:val="center"/>
          </w:tcPr>
          <w:p w14:paraId="511C6CEF"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3" w:type="dxa"/>
            <w:shd w:val="clear" w:color="auto" w:fill="FFFFFF"/>
            <w:vAlign w:val="center"/>
          </w:tcPr>
          <w:p w14:paraId="4A8C005D"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FFFFFF"/>
            <w:vAlign w:val="center"/>
          </w:tcPr>
          <w:p w14:paraId="77F6CD11"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FFFFFF"/>
            <w:vAlign w:val="center"/>
          </w:tcPr>
          <w:p w14:paraId="52260AD9"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FFFFFF"/>
            <w:vAlign w:val="center"/>
          </w:tcPr>
          <w:p w14:paraId="187B0279"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FFFFFF"/>
            <w:vAlign w:val="center"/>
          </w:tcPr>
          <w:p w14:paraId="421A950D"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2F83AE32"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560623D3"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1.1. valsts pamatbudžets, tai skaitā ieņēmumi no maksas pakalpojumiem un citi pašu ieņēmumi</w:t>
            </w:r>
          </w:p>
        </w:tc>
        <w:tc>
          <w:tcPr>
            <w:tcW w:w="956" w:type="dxa"/>
            <w:shd w:val="clear" w:color="auto" w:fill="auto"/>
          </w:tcPr>
          <w:p w14:paraId="44993FFA" w14:textId="77777777" w:rsidR="00954B26" w:rsidRDefault="00954B26" w:rsidP="009B7D1B">
            <w:pPr>
              <w:spacing w:after="0" w:line="240" w:lineRule="auto"/>
              <w:jc w:val="both"/>
              <w:rPr>
                <w:rFonts w:ascii="Times New Roman" w:hAnsi="Times New Roman"/>
                <w:sz w:val="20"/>
                <w:szCs w:val="20"/>
              </w:rPr>
            </w:pPr>
          </w:p>
          <w:p w14:paraId="463829FE" w14:textId="77777777" w:rsidR="00954B26" w:rsidRDefault="00954B26" w:rsidP="009B7D1B">
            <w:pPr>
              <w:spacing w:after="0" w:line="240" w:lineRule="auto"/>
              <w:jc w:val="both"/>
              <w:rPr>
                <w:rFonts w:ascii="Times New Roman" w:hAnsi="Times New Roman"/>
                <w:sz w:val="20"/>
                <w:szCs w:val="20"/>
              </w:rPr>
            </w:pPr>
          </w:p>
          <w:p w14:paraId="73AFDCBF" w14:textId="77777777" w:rsidR="00954B26" w:rsidRPr="000259BB" w:rsidRDefault="00954B26" w:rsidP="009B7D1B">
            <w:pPr>
              <w:spacing w:after="0" w:line="240" w:lineRule="auto"/>
              <w:jc w:val="both"/>
              <w:rPr>
                <w:rFonts w:ascii="Times New Roman" w:hAnsi="Times New Roman"/>
                <w:color w:val="FF0000"/>
                <w:sz w:val="20"/>
                <w:szCs w:val="20"/>
              </w:rPr>
            </w:pPr>
            <w:r w:rsidRPr="00F8380E">
              <w:rPr>
                <w:rFonts w:ascii="Times New Roman" w:hAnsi="Times New Roman"/>
                <w:sz w:val="20"/>
                <w:szCs w:val="20"/>
              </w:rPr>
              <w:t>0</w:t>
            </w:r>
          </w:p>
        </w:tc>
        <w:tc>
          <w:tcPr>
            <w:tcW w:w="956" w:type="dxa"/>
            <w:shd w:val="clear" w:color="auto" w:fill="auto"/>
            <w:vAlign w:val="center"/>
          </w:tcPr>
          <w:p w14:paraId="3CB485AC"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3" w:type="dxa"/>
            <w:shd w:val="clear" w:color="auto" w:fill="auto"/>
            <w:vAlign w:val="center"/>
          </w:tcPr>
          <w:p w14:paraId="7478DBBE"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auto"/>
            <w:vAlign w:val="center"/>
          </w:tcPr>
          <w:p w14:paraId="5B92F412"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auto"/>
            <w:vAlign w:val="center"/>
          </w:tcPr>
          <w:p w14:paraId="2FAA2DAF"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auto"/>
            <w:vAlign w:val="center"/>
          </w:tcPr>
          <w:p w14:paraId="2EA74F91"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63A441F8"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2BC14178"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69BE8B9A"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1.2. valsts speciālais budžets</w:t>
            </w:r>
          </w:p>
        </w:tc>
        <w:tc>
          <w:tcPr>
            <w:tcW w:w="956" w:type="dxa"/>
            <w:shd w:val="clear" w:color="auto" w:fill="auto"/>
          </w:tcPr>
          <w:p w14:paraId="4DFE922C" w14:textId="77777777" w:rsidR="00954B26" w:rsidRPr="000259BB" w:rsidRDefault="00954B26" w:rsidP="009B7D1B">
            <w:pPr>
              <w:spacing w:after="0" w:line="240" w:lineRule="auto"/>
              <w:jc w:val="both"/>
              <w:rPr>
                <w:rFonts w:ascii="Times New Roman" w:hAnsi="Times New Roman"/>
                <w:color w:val="FF0000"/>
                <w:sz w:val="20"/>
                <w:szCs w:val="20"/>
              </w:rPr>
            </w:pPr>
            <w:r w:rsidRPr="00F8380E">
              <w:rPr>
                <w:rFonts w:ascii="Times New Roman" w:hAnsi="Times New Roman"/>
                <w:sz w:val="20"/>
                <w:szCs w:val="20"/>
              </w:rPr>
              <w:t>0</w:t>
            </w:r>
          </w:p>
        </w:tc>
        <w:tc>
          <w:tcPr>
            <w:tcW w:w="956" w:type="dxa"/>
            <w:shd w:val="clear" w:color="auto" w:fill="auto"/>
            <w:vAlign w:val="center"/>
          </w:tcPr>
          <w:p w14:paraId="3A3A8C29"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3" w:type="dxa"/>
            <w:shd w:val="clear" w:color="auto" w:fill="auto"/>
            <w:vAlign w:val="center"/>
          </w:tcPr>
          <w:p w14:paraId="731FC321"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auto"/>
            <w:vAlign w:val="center"/>
          </w:tcPr>
          <w:p w14:paraId="248DB8B5"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auto"/>
            <w:vAlign w:val="center"/>
          </w:tcPr>
          <w:p w14:paraId="6BF3CAFF"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auto"/>
            <w:vAlign w:val="center"/>
          </w:tcPr>
          <w:p w14:paraId="02BF9146"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0A34EEFE"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48DE5909"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2FF97619"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1.3. pašvaldību budžets</w:t>
            </w:r>
          </w:p>
        </w:tc>
        <w:tc>
          <w:tcPr>
            <w:tcW w:w="956" w:type="dxa"/>
            <w:shd w:val="clear" w:color="auto" w:fill="auto"/>
          </w:tcPr>
          <w:p w14:paraId="10345BB0" w14:textId="77777777" w:rsidR="00954B26" w:rsidRPr="000259BB" w:rsidRDefault="00954B26" w:rsidP="009B7D1B">
            <w:pPr>
              <w:spacing w:after="0" w:line="240" w:lineRule="auto"/>
              <w:jc w:val="both"/>
              <w:rPr>
                <w:rFonts w:ascii="Times New Roman" w:hAnsi="Times New Roman"/>
                <w:color w:val="FF0000"/>
                <w:sz w:val="20"/>
                <w:szCs w:val="20"/>
              </w:rPr>
            </w:pPr>
            <w:r w:rsidRPr="00F8380E">
              <w:rPr>
                <w:rFonts w:ascii="Times New Roman" w:hAnsi="Times New Roman"/>
                <w:sz w:val="20"/>
                <w:szCs w:val="20"/>
              </w:rPr>
              <w:t>0</w:t>
            </w:r>
          </w:p>
        </w:tc>
        <w:tc>
          <w:tcPr>
            <w:tcW w:w="956" w:type="dxa"/>
            <w:shd w:val="clear" w:color="auto" w:fill="auto"/>
            <w:vAlign w:val="center"/>
          </w:tcPr>
          <w:p w14:paraId="43AE2C6B"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3" w:type="dxa"/>
            <w:shd w:val="clear" w:color="auto" w:fill="auto"/>
            <w:vAlign w:val="center"/>
          </w:tcPr>
          <w:p w14:paraId="0BEACCEB"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auto"/>
            <w:vAlign w:val="center"/>
          </w:tcPr>
          <w:p w14:paraId="49C40C77"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auto"/>
            <w:vAlign w:val="center"/>
          </w:tcPr>
          <w:p w14:paraId="011F1ACF"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auto"/>
            <w:vAlign w:val="center"/>
          </w:tcPr>
          <w:p w14:paraId="2154280E"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3491650C"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5E6990FC"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150A7E09"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2. Budžeta izdevumi</w:t>
            </w:r>
          </w:p>
        </w:tc>
        <w:tc>
          <w:tcPr>
            <w:tcW w:w="956" w:type="dxa"/>
            <w:shd w:val="clear" w:color="auto" w:fill="auto"/>
          </w:tcPr>
          <w:p w14:paraId="4E91CD46" w14:textId="77777777" w:rsidR="00954B26" w:rsidRPr="000259BB" w:rsidRDefault="00954B26" w:rsidP="009B7D1B">
            <w:pPr>
              <w:spacing w:after="0" w:line="240" w:lineRule="auto"/>
              <w:jc w:val="both"/>
              <w:rPr>
                <w:rFonts w:ascii="Times New Roman" w:hAnsi="Times New Roman"/>
                <w:color w:val="FF0000"/>
                <w:sz w:val="20"/>
                <w:szCs w:val="20"/>
              </w:rPr>
            </w:pPr>
            <w:r w:rsidRPr="00F8380E">
              <w:rPr>
                <w:rFonts w:ascii="Times New Roman" w:hAnsi="Times New Roman"/>
                <w:sz w:val="20"/>
                <w:szCs w:val="20"/>
              </w:rPr>
              <w:t>0</w:t>
            </w:r>
          </w:p>
        </w:tc>
        <w:tc>
          <w:tcPr>
            <w:tcW w:w="956" w:type="dxa"/>
            <w:shd w:val="clear" w:color="auto" w:fill="auto"/>
          </w:tcPr>
          <w:p w14:paraId="4A7CE480" w14:textId="77777777" w:rsidR="00954B26" w:rsidRPr="004E5C5A" w:rsidRDefault="00954B26" w:rsidP="009B7D1B">
            <w:pPr>
              <w:spacing w:after="0" w:line="240" w:lineRule="auto"/>
              <w:jc w:val="both"/>
              <w:rPr>
                <w:rFonts w:ascii="Times New Roman" w:hAnsi="Times New Roman"/>
                <w:sz w:val="20"/>
                <w:szCs w:val="20"/>
              </w:rPr>
            </w:pPr>
            <w:r w:rsidRPr="00E11690">
              <w:rPr>
                <w:rFonts w:ascii="Times New Roman" w:hAnsi="Times New Roman"/>
                <w:sz w:val="20"/>
                <w:szCs w:val="20"/>
              </w:rPr>
              <w:t>0</w:t>
            </w:r>
          </w:p>
        </w:tc>
        <w:tc>
          <w:tcPr>
            <w:tcW w:w="833" w:type="dxa"/>
            <w:shd w:val="clear" w:color="auto" w:fill="auto"/>
            <w:vAlign w:val="center"/>
          </w:tcPr>
          <w:p w14:paraId="3456D5D2"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auto"/>
            <w:vAlign w:val="center"/>
          </w:tcPr>
          <w:p w14:paraId="0255B288"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auto"/>
            <w:vAlign w:val="center"/>
          </w:tcPr>
          <w:p w14:paraId="2CAECBB2"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auto"/>
            <w:vAlign w:val="center"/>
          </w:tcPr>
          <w:p w14:paraId="48C93FA9"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6B9C18A0"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4A45E6A3"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12EBEBE4"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2.1. valsts pamatbudžets</w:t>
            </w:r>
          </w:p>
        </w:tc>
        <w:tc>
          <w:tcPr>
            <w:tcW w:w="956" w:type="dxa"/>
            <w:shd w:val="clear" w:color="auto" w:fill="auto"/>
          </w:tcPr>
          <w:p w14:paraId="7FC54338" w14:textId="77777777" w:rsidR="00954B26" w:rsidRPr="000259BB" w:rsidRDefault="00954B26" w:rsidP="009B7D1B">
            <w:pPr>
              <w:spacing w:after="0" w:line="240" w:lineRule="auto"/>
              <w:jc w:val="both"/>
              <w:rPr>
                <w:rFonts w:ascii="Times New Roman" w:hAnsi="Times New Roman"/>
                <w:color w:val="FF0000"/>
                <w:sz w:val="20"/>
                <w:szCs w:val="20"/>
              </w:rPr>
            </w:pPr>
            <w:r w:rsidRPr="00F8380E">
              <w:rPr>
                <w:rFonts w:ascii="Times New Roman" w:hAnsi="Times New Roman"/>
                <w:sz w:val="20"/>
                <w:szCs w:val="20"/>
              </w:rPr>
              <w:t>0</w:t>
            </w:r>
          </w:p>
        </w:tc>
        <w:tc>
          <w:tcPr>
            <w:tcW w:w="956" w:type="dxa"/>
            <w:shd w:val="clear" w:color="auto" w:fill="auto"/>
          </w:tcPr>
          <w:p w14:paraId="4DB0C0CA" w14:textId="77777777" w:rsidR="00954B26" w:rsidRPr="004E5C5A" w:rsidRDefault="00954B26" w:rsidP="009B7D1B">
            <w:pPr>
              <w:spacing w:after="0" w:line="240" w:lineRule="auto"/>
              <w:jc w:val="both"/>
              <w:rPr>
                <w:rFonts w:ascii="Times New Roman" w:hAnsi="Times New Roman"/>
                <w:sz w:val="20"/>
                <w:szCs w:val="20"/>
              </w:rPr>
            </w:pPr>
            <w:r w:rsidRPr="00E11690">
              <w:rPr>
                <w:rFonts w:ascii="Times New Roman" w:hAnsi="Times New Roman"/>
                <w:sz w:val="20"/>
                <w:szCs w:val="20"/>
              </w:rPr>
              <w:t>0</w:t>
            </w:r>
          </w:p>
        </w:tc>
        <w:tc>
          <w:tcPr>
            <w:tcW w:w="833" w:type="dxa"/>
            <w:shd w:val="clear" w:color="auto" w:fill="auto"/>
            <w:vAlign w:val="center"/>
          </w:tcPr>
          <w:p w14:paraId="10E0F28E"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auto"/>
            <w:vAlign w:val="center"/>
          </w:tcPr>
          <w:p w14:paraId="20C5FE04"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auto"/>
            <w:vAlign w:val="center"/>
          </w:tcPr>
          <w:p w14:paraId="66AE9D6B"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auto"/>
            <w:vAlign w:val="center"/>
          </w:tcPr>
          <w:p w14:paraId="53D9F407"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6B73886E"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4E84892E"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76ADCCA9"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2.2. valsts speciālais budžets</w:t>
            </w:r>
          </w:p>
        </w:tc>
        <w:tc>
          <w:tcPr>
            <w:tcW w:w="956" w:type="dxa"/>
            <w:shd w:val="clear" w:color="auto" w:fill="auto"/>
            <w:vAlign w:val="center"/>
          </w:tcPr>
          <w:p w14:paraId="04915A3F"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956" w:type="dxa"/>
            <w:shd w:val="clear" w:color="auto" w:fill="auto"/>
            <w:vAlign w:val="center"/>
          </w:tcPr>
          <w:p w14:paraId="573FD743"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3" w:type="dxa"/>
            <w:shd w:val="clear" w:color="auto" w:fill="auto"/>
            <w:vAlign w:val="center"/>
          </w:tcPr>
          <w:p w14:paraId="4731FDE8"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auto"/>
            <w:vAlign w:val="center"/>
          </w:tcPr>
          <w:p w14:paraId="63E67B94"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auto"/>
            <w:vAlign w:val="center"/>
          </w:tcPr>
          <w:p w14:paraId="1C1FD5DA"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auto"/>
            <w:vAlign w:val="center"/>
          </w:tcPr>
          <w:p w14:paraId="0C5BD40E"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39E2D7FB"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5504B13F"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4D8F911D"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2.3. pašvaldību budžets</w:t>
            </w:r>
          </w:p>
        </w:tc>
        <w:tc>
          <w:tcPr>
            <w:tcW w:w="956" w:type="dxa"/>
            <w:shd w:val="clear" w:color="auto" w:fill="auto"/>
            <w:vAlign w:val="center"/>
          </w:tcPr>
          <w:p w14:paraId="17BED27D"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956" w:type="dxa"/>
            <w:shd w:val="clear" w:color="auto" w:fill="auto"/>
            <w:vAlign w:val="center"/>
          </w:tcPr>
          <w:p w14:paraId="0E9DCDCB"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3" w:type="dxa"/>
            <w:shd w:val="clear" w:color="auto" w:fill="auto"/>
            <w:vAlign w:val="center"/>
          </w:tcPr>
          <w:p w14:paraId="56ECAA0E"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auto"/>
            <w:vAlign w:val="center"/>
          </w:tcPr>
          <w:p w14:paraId="5044B599"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auto"/>
            <w:vAlign w:val="center"/>
          </w:tcPr>
          <w:p w14:paraId="76F7989A"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auto"/>
            <w:vAlign w:val="center"/>
          </w:tcPr>
          <w:p w14:paraId="13A64CFA"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6DE3BE34"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5FC65324"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3010AE81"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3. Finansiālā ietekme</w:t>
            </w:r>
          </w:p>
        </w:tc>
        <w:tc>
          <w:tcPr>
            <w:tcW w:w="956" w:type="dxa"/>
            <w:shd w:val="clear" w:color="auto" w:fill="auto"/>
            <w:vAlign w:val="center"/>
          </w:tcPr>
          <w:p w14:paraId="0B0364EE"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956" w:type="dxa"/>
            <w:shd w:val="clear" w:color="auto" w:fill="auto"/>
          </w:tcPr>
          <w:p w14:paraId="1C43BEAD" w14:textId="77777777" w:rsidR="00954B26" w:rsidRPr="004E5C5A" w:rsidRDefault="00954B26" w:rsidP="009B7D1B">
            <w:pPr>
              <w:spacing w:after="0" w:line="240" w:lineRule="auto"/>
              <w:jc w:val="both"/>
              <w:rPr>
                <w:rFonts w:ascii="Times New Roman" w:hAnsi="Times New Roman"/>
                <w:sz w:val="20"/>
                <w:szCs w:val="20"/>
              </w:rPr>
            </w:pPr>
            <w:r w:rsidRPr="00BB5D00">
              <w:rPr>
                <w:rFonts w:ascii="Times New Roman" w:hAnsi="Times New Roman"/>
                <w:sz w:val="20"/>
                <w:szCs w:val="20"/>
              </w:rPr>
              <w:t>0</w:t>
            </w:r>
          </w:p>
        </w:tc>
        <w:tc>
          <w:tcPr>
            <w:tcW w:w="833" w:type="dxa"/>
            <w:shd w:val="clear" w:color="auto" w:fill="auto"/>
            <w:vAlign w:val="center"/>
          </w:tcPr>
          <w:p w14:paraId="6DF6BFDF"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auto"/>
            <w:vAlign w:val="center"/>
          </w:tcPr>
          <w:p w14:paraId="2E2BC3BA"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auto"/>
            <w:vAlign w:val="center"/>
          </w:tcPr>
          <w:p w14:paraId="600077D5"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auto"/>
            <w:vAlign w:val="center"/>
          </w:tcPr>
          <w:p w14:paraId="0D02083D"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2202C82E"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1533994F"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56708264"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3.1. valsts pamatbudžets</w:t>
            </w:r>
          </w:p>
        </w:tc>
        <w:tc>
          <w:tcPr>
            <w:tcW w:w="956" w:type="dxa"/>
            <w:shd w:val="clear" w:color="auto" w:fill="auto"/>
            <w:vAlign w:val="center"/>
          </w:tcPr>
          <w:p w14:paraId="354708E6"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956" w:type="dxa"/>
            <w:shd w:val="clear" w:color="auto" w:fill="auto"/>
          </w:tcPr>
          <w:p w14:paraId="012D3FD7" w14:textId="77777777" w:rsidR="00954B26" w:rsidRPr="004E5C5A" w:rsidRDefault="00954B26" w:rsidP="009B7D1B">
            <w:pPr>
              <w:spacing w:after="0" w:line="240" w:lineRule="auto"/>
              <w:jc w:val="both"/>
              <w:rPr>
                <w:rFonts w:ascii="Times New Roman" w:hAnsi="Times New Roman"/>
                <w:sz w:val="20"/>
                <w:szCs w:val="20"/>
              </w:rPr>
            </w:pPr>
            <w:r w:rsidRPr="00BB5D00">
              <w:rPr>
                <w:rFonts w:ascii="Times New Roman" w:hAnsi="Times New Roman"/>
                <w:sz w:val="20"/>
                <w:szCs w:val="20"/>
              </w:rPr>
              <w:t>0</w:t>
            </w:r>
          </w:p>
        </w:tc>
        <w:tc>
          <w:tcPr>
            <w:tcW w:w="833" w:type="dxa"/>
            <w:shd w:val="clear" w:color="auto" w:fill="auto"/>
            <w:vAlign w:val="center"/>
          </w:tcPr>
          <w:p w14:paraId="3FF6DE3E"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auto"/>
            <w:vAlign w:val="center"/>
          </w:tcPr>
          <w:p w14:paraId="7CB8C0C5"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auto"/>
            <w:vAlign w:val="center"/>
          </w:tcPr>
          <w:p w14:paraId="56C83F79"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auto"/>
            <w:vAlign w:val="center"/>
          </w:tcPr>
          <w:p w14:paraId="5B37F32D"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0C78E69C"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7D8B8B6E"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778D2CBC"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3.2. speciālais budžets</w:t>
            </w:r>
          </w:p>
        </w:tc>
        <w:tc>
          <w:tcPr>
            <w:tcW w:w="956" w:type="dxa"/>
            <w:shd w:val="clear" w:color="auto" w:fill="auto"/>
            <w:vAlign w:val="center"/>
          </w:tcPr>
          <w:p w14:paraId="7DFA1B9C"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956" w:type="dxa"/>
            <w:shd w:val="clear" w:color="auto" w:fill="auto"/>
            <w:vAlign w:val="center"/>
          </w:tcPr>
          <w:p w14:paraId="7F021E7D"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3" w:type="dxa"/>
            <w:shd w:val="clear" w:color="auto" w:fill="auto"/>
            <w:vAlign w:val="center"/>
          </w:tcPr>
          <w:p w14:paraId="0F589421"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auto"/>
            <w:vAlign w:val="center"/>
          </w:tcPr>
          <w:p w14:paraId="54376D0F"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auto"/>
            <w:vAlign w:val="center"/>
          </w:tcPr>
          <w:p w14:paraId="6D5FC5B1"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auto"/>
            <w:vAlign w:val="center"/>
          </w:tcPr>
          <w:p w14:paraId="0E301110"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650B4CBB"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6BAB63F4"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6D70F192"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3.3. pašvaldību budžets</w:t>
            </w:r>
          </w:p>
        </w:tc>
        <w:tc>
          <w:tcPr>
            <w:tcW w:w="956" w:type="dxa"/>
            <w:shd w:val="clear" w:color="auto" w:fill="auto"/>
            <w:vAlign w:val="center"/>
          </w:tcPr>
          <w:p w14:paraId="20F05C8F"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956" w:type="dxa"/>
            <w:shd w:val="clear" w:color="auto" w:fill="auto"/>
            <w:vAlign w:val="center"/>
          </w:tcPr>
          <w:p w14:paraId="401BB0CB"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3" w:type="dxa"/>
            <w:shd w:val="clear" w:color="auto" w:fill="auto"/>
            <w:vAlign w:val="center"/>
          </w:tcPr>
          <w:p w14:paraId="015A233B"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auto"/>
            <w:vAlign w:val="center"/>
          </w:tcPr>
          <w:p w14:paraId="7A064CD8"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auto"/>
            <w:vAlign w:val="center"/>
          </w:tcPr>
          <w:p w14:paraId="5EBF066F"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auto"/>
            <w:vAlign w:val="center"/>
          </w:tcPr>
          <w:p w14:paraId="6166C164"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3E15F6D7"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659212FD"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29267D48"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4. Finanšu līdzekļi papildu izdevumu finansēšanai (kompensējošu izdevumu samazinājumu norāda ar "+" zīmi)</w:t>
            </w:r>
          </w:p>
        </w:tc>
        <w:tc>
          <w:tcPr>
            <w:tcW w:w="956" w:type="dxa"/>
            <w:shd w:val="clear" w:color="auto" w:fill="auto"/>
            <w:vAlign w:val="center"/>
          </w:tcPr>
          <w:p w14:paraId="44A0ED87"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956" w:type="dxa"/>
            <w:shd w:val="clear" w:color="auto" w:fill="auto"/>
            <w:vAlign w:val="center"/>
          </w:tcPr>
          <w:p w14:paraId="6CC51A9F"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3" w:type="dxa"/>
            <w:shd w:val="clear" w:color="auto" w:fill="auto"/>
            <w:vAlign w:val="center"/>
          </w:tcPr>
          <w:p w14:paraId="609B4A02"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4" w:type="dxa"/>
            <w:shd w:val="clear" w:color="auto" w:fill="auto"/>
            <w:vAlign w:val="center"/>
          </w:tcPr>
          <w:p w14:paraId="40731F7E"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shd w:val="clear" w:color="auto" w:fill="auto"/>
            <w:vAlign w:val="center"/>
          </w:tcPr>
          <w:p w14:paraId="1B8C0CC7"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7" w:type="dxa"/>
            <w:shd w:val="clear" w:color="auto" w:fill="auto"/>
            <w:vAlign w:val="center"/>
          </w:tcPr>
          <w:p w14:paraId="66D2E643"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43D88C7B"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1182D2DD"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2FEF589D"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5. Precizēta finansiālā ietekme</w:t>
            </w:r>
          </w:p>
        </w:tc>
        <w:tc>
          <w:tcPr>
            <w:tcW w:w="956" w:type="dxa"/>
            <w:vMerge w:val="restart"/>
            <w:shd w:val="clear" w:color="auto" w:fill="auto"/>
            <w:vAlign w:val="center"/>
          </w:tcPr>
          <w:p w14:paraId="0C275DAC" w14:textId="77777777" w:rsidR="00954B26" w:rsidRPr="004E5C5A" w:rsidRDefault="00954B26" w:rsidP="009B7D1B">
            <w:pPr>
              <w:spacing w:after="0" w:line="240" w:lineRule="auto"/>
              <w:jc w:val="center"/>
              <w:rPr>
                <w:rFonts w:ascii="Times New Roman" w:hAnsi="Times New Roman"/>
                <w:sz w:val="20"/>
                <w:szCs w:val="20"/>
              </w:rPr>
            </w:pPr>
            <w:r w:rsidRPr="004E5C5A">
              <w:rPr>
                <w:rFonts w:ascii="Times New Roman" w:hAnsi="Times New Roman"/>
                <w:sz w:val="20"/>
                <w:szCs w:val="20"/>
              </w:rPr>
              <w:t>X</w:t>
            </w:r>
          </w:p>
        </w:tc>
        <w:tc>
          <w:tcPr>
            <w:tcW w:w="956" w:type="dxa"/>
            <w:shd w:val="clear" w:color="auto" w:fill="auto"/>
            <w:vAlign w:val="center"/>
          </w:tcPr>
          <w:p w14:paraId="5D4152C5"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33" w:type="dxa"/>
            <w:vMerge w:val="restart"/>
            <w:shd w:val="clear" w:color="auto" w:fill="auto"/>
            <w:vAlign w:val="center"/>
          </w:tcPr>
          <w:p w14:paraId="2E112DC1" w14:textId="77777777" w:rsidR="00954B26" w:rsidRPr="004E5C5A" w:rsidRDefault="00954B26" w:rsidP="009B7D1B">
            <w:pPr>
              <w:spacing w:after="0" w:line="240" w:lineRule="auto"/>
              <w:jc w:val="center"/>
              <w:rPr>
                <w:rFonts w:ascii="Times New Roman" w:hAnsi="Times New Roman"/>
                <w:sz w:val="20"/>
                <w:szCs w:val="20"/>
              </w:rPr>
            </w:pPr>
            <w:r w:rsidRPr="004E5C5A">
              <w:rPr>
                <w:rFonts w:ascii="Times New Roman" w:hAnsi="Times New Roman"/>
                <w:sz w:val="20"/>
                <w:szCs w:val="20"/>
              </w:rPr>
              <w:t>X</w:t>
            </w:r>
          </w:p>
        </w:tc>
        <w:tc>
          <w:tcPr>
            <w:tcW w:w="834" w:type="dxa"/>
            <w:shd w:val="clear" w:color="auto" w:fill="auto"/>
            <w:vAlign w:val="center"/>
          </w:tcPr>
          <w:p w14:paraId="641504F3"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847" w:type="dxa"/>
            <w:vMerge w:val="restart"/>
            <w:shd w:val="clear" w:color="auto" w:fill="auto"/>
            <w:vAlign w:val="center"/>
          </w:tcPr>
          <w:p w14:paraId="156BD531" w14:textId="77777777" w:rsidR="00954B26" w:rsidRPr="004E5C5A" w:rsidRDefault="00954B26" w:rsidP="009B7D1B">
            <w:pPr>
              <w:spacing w:after="0" w:line="240" w:lineRule="auto"/>
              <w:jc w:val="center"/>
              <w:rPr>
                <w:rFonts w:ascii="Times New Roman" w:hAnsi="Times New Roman"/>
                <w:sz w:val="20"/>
                <w:szCs w:val="20"/>
              </w:rPr>
            </w:pPr>
            <w:r w:rsidRPr="004E5C5A">
              <w:rPr>
                <w:rFonts w:ascii="Times New Roman" w:hAnsi="Times New Roman"/>
                <w:sz w:val="20"/>
                <w:szCs w:val="20"/>
              </w:rPr>
              <w:t>X</w:t>
            </w:r>
          </w:p>
        </w:tc>
        <w:tc>
          <w:tcPr>
            <w:tcW w:w="837" w:type="dxa"/>
            <w:shd w:val="clear" w:color="auto" w:fill="auto"/>
            <w:vAlign w:val="center"/>
          </w:tcPr>
          <w:p w14:paraId="64DE7664"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4570C001"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0</w:t>
            </w:r>
          </w:p>
        </w:tc>
      </w:tr>
      <w:tr w:rsidR="00954B26" w:rsidRPr="004E5C5A" w14:paraId="3E6740A6"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62E01C5C"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5.1. valsts pamatbudžets</w:t>
            </w:r>
          </w:p>
        </w:tc>
        <w:tc>
          <w:tcPr>
            <w:tcW w:w="956" w:type="dxa"/>
            <w:vMerge/>
            <w:shd w:val="clear" w:color="auto" w:fill="auto"/>
            <w:vAlign w:val="center"/>
          </w:tcPr>
          <w:p w14:paraId="4AACD87A" w14:textId="77777777" w:rsidR="00954B26" w:rsidRPr="004E5C5A" w:rsidRDefault="00954B26" w:rsidP="009B7D1B">
            <w:pPr>
              <w:spacing w:after="0" w:line="240" w:lineRule="auto"/>
              <w:jc w:val="both"/>
              <w:rPr>
                <w:rFonts w:ascii="Times New Roman" w:hAnsi="Times New Roman" w:cs="Times New Roman"/>
                <w:sz w:val="20"/>
                <w:szCs w:val="20"/>
              </w:rPr>
            </w:pPr>
          </w:p>
        </w:tc>
        <w:tc>
          <w:tcPr>
            <w:tcW w:w="956" w:type="dxa"/>
            <w:shd w:val="clear" w:color="auto" w:fill="auto"/>
            <w:vAlign w:val="center"/>
          </w:tcPr>
          <w:p w14:paraId="63F99F1A" w14:textId="77777777" w:rsidR="00954B26" w:rsidRPr="004E5C5A" w:rsidRDefault="00954B26" w:rsidP="009B7D1B">
            <w:pPr>
              <w:spacing w:after="0" w:line="240" w:lineRule="auto"/>
              <w:jc w:val="both"/>
              <w:rPr>
                <w:rFonts w:ascii="Times New Roman" w:hAnsi="Times New Roman" w:cs="Times New Roman"/>
                <w:sz w:val="20"/>
                <w:szCs w:val="20"/>
              </w:rPr>
            </w:pPr>
            <w:r w:rsidRPr="004E5C5A">
              <w:rPr>
                <w:rFonts w:ascii="Times New Roman" w:hAnsi="Times New Roman"/>
                <w:sz w:val="20"/>
                <w:szCs w:val="20"/>
              </w:rPr>
              <w:t>0</w:t>
            </w:r>
          </w:p>
        </w:tc>
        <w:tc>
          <w:tcPr>
            <w:tcW w:w="833" w:type="dxa"/>
            <w:vMerge/>
            <w:shd w:val="clear" w:color="auto" w:fill="auto"/>
            <w:vAlign w:val="center"/>
          </w:tcPr>
          <w:p w14:paraId="7A59A007" w14:textId="77777777" w:rsidR="00954B26" w:rsidRPr="004E5C5A" w:rsidRDefault="00954B26" w:rsidP="009B7D1B">
            <w:pPr>
              <w:spacing w:after="0" w:line="240" w:lineRule="auto"/>
              <w:jc w:val="both"/>
              <w:rPr>
                <w:rFonts w:ascii="Times New Roman" w:hAnsi="Times New Roman" w:cs="Times New Roman"/>
                <w:sz w:val="20"/>
                <w:szCs w:val="20"/>
              </w:rPr>
            </w:pPr>
          </w:p>
        </w:tc>
        <w:tc>
          <w:tcPr>
            <w:tcW w:w="834" w:type="dxa"/>
            <w:shd w:val="clear" w:color="auto" w:fill="auto"/>
            <w:vAlign w:val="center"/>
          </w:tcPr>
          <w:p w14:paraId="5B5D28D9" w14:textId="77777777" w:rsidR="00954B26" w:rsidRPr="004E5C5A" w:rsidRDefault="00954B26" w:rsidP="009B7D1B">
            <w:pPr>
              <w:spacing w:after="0" w:line="240" w:lineRule="auto"/>
              <w:jc w:val="both"/>
              <w:rPr>
                <w:rFonts w:ascii="Times New Roman" w:hAnsi="Times New Roman" w:cs="Times New Roman"/>
                <w:sz w:val="20"/>
                <w:szCs w:val="20"/>
              </w:rPr>
            </w:pPr>
            <w:r w:rsidRPr="004E5C5A">
              <w:rPr>
                <w:rFonts w:ascii="Times New Roman" w:hAnsi="Times New Roman"/>
                <w:sz w:val="20"/>
                <w:szCs w:val="20"/>
              </w:rPr>
              <w:t>0</w:t>
            </w:r>
          </w:p>
        </w:tc>
        <w:tc>
          <w:tcPr>
            <w:tcW w:w="847" w:type="dxa"/>
            <w:vMerge/>
            <w:shd w:val="clear" w:color="auto" w:fill="auto"/>
            <w:vAlign w:val="center"/>
          </w:tcPr>
          <w:p w14:paraId="1FF4F3DC" w14:textId="77777777" w:rsidR="00954B26" w:rsidRPr="004E5C5A" w:rsidRDefault="00954B26" w:rsidP="009B7D1B">
            <w:pPr>
              <w:spacing w:after="0" w:line="240" w:lineRule="auto"/>
              <w:jc w:val="both"/>
              <w:rPr>
                <w:rFonts w:ascii="Times New Roman" w:hAnsi="Times New Roman" w:cs="Times New Roman"/>
                <w:sz w:val="20"/>
                <w:szCs w:val="20"/>
              </w:rPr>
            </w:pPr>
          </w:p>
        </w:tc>
        <w:tc>
          <w:tcPr>
            <w:tcW w:w="837" w:type="dxa"/>
            <w:shd w:val="clear" w:color="auto" w:fill="auto"/>
            <w:vAlign w:val="center"/>
          </w:tcPr>
          <w:p w14:paraId="133C0F66" w14:textId="77777777" w:rsidR="00954B26" w:rsidRPr="004E5C5A" w:rsidRDefault="00954B26" w:rsidP="009B7D1B">
            <w:pPr>
              <w:spacing w:after="0" w:line="240" w:lineRule="auto"/>
              <w:jc w:val="both"/>
              <w:rPr>
                <w:rFonts w:ascii="Times New Roman" w:hAnsi="Times New Roman" w:cs="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022772AE" w14:textId="77777777" w:rsidR="00954B26" w:rsidRPr="004E5C5A" w:rsidRDefault="00954B26" w:rsidP="009B7D1B">
            <w:pPr>
              <w:spacing w:after="0" w:line="240" w:lineRule="auto"/>
              <w:jc w:val="both"/>
              <w:rPr>
                <w:rFonts w:ascii="Times New Roman" w:hAnsi="Times New Roman" w:cs="Times New Roman"/>
                <w:sz w:val="20"/>
                <w:szCs w:val="20"/>
              </w:rPr>
            </w:pPr>
            <w:r w:rsidRPr="004E5C5A">
              <w:rPr>
                <w:rFonts w:ascii="Times New Roman" w:hAnsi="Times New Roman"/>
                <w:sz w:val="20"/>
                <w:szCs w:val="20"/>
              </w:rPr>
              <w:t>0</w:t>
            </w:r>
          </w:p>
        </w:tc>
      </w:tr>
      <w:tr w:rsidR="00954B26" w:rsidRPr="004E5C5A" w14:paraId="10A73246"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1A27E611"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5.2. speciālais budžets</w:t>
            </w:r>
          </w:p>
        </w:tc>
        <w:tc>
          <w:tcPr>
            <w:tcW w:w="956" w:type="dxa"/>
            <w:vMerge/>
            <w:shd w:val="clear" w:color="auto" w:fill="auto"/>
            <w:vAlign w:val="center"/>
          </w:tcPr>
          <w:p w14:paraId="07B1E8C8" w14:textId="77777777" w:rsidR="00954B26" w:rsidRPr="004E5C5A" w:rsidRDefault="00954B26" w:rsidP="009B7D1B">
            <w:pPr>
              <w:spacing w:after="0" w:line="240" w:lineRule="auto"/>
              <w:jc w:val="both"/>
              <w:rPr>
                <w:rFonts w:ascii="Times New Roman" w:hAnsi="Times New Roman" w:cs="Times New Roman"/>
                <w:sz w:val="20"/>
                <w:szCs w:val="20"/>
              </w:rPr>
            </w:pPr>
          </w:p>
        </w:tc>
        <w:tc>
          <w:tcPr>
            <w:tcW w:w="956" w:type="dxa"/>
            <w:shd w:val="clear" w:color="auto" w:fill="auto"/>
            <w:vAlign w:val="center"/>
          </w:tcPr>
          <w:p w14:paraId="4F3BE286" w14:textId="77777777" w:rsidR="00954B26" w:rsidRPr="004E5C5A" w:rsidRDefault="00954B26" w:rsidP="009B7D1B">
            <w:pPr>
              <w:spacing w:after="0" w:line="240" w:lineRule="auto"/>
              <w:jc w:val="both"/>
              <w:rPr>
                <w:rFonts w:ascii="Times New Roman" w:hAnsi="Times New Roman" w:cs="Times New Roman"/>
                <w:sz w:val="20"/>
                <w:szCs w:val="20"/>
              </w:rPr>
            </w:pPr>
            <w:r w:rsidRPr="004E5C5A">
              <w:rPr>
                <w:rFonts w:ascii="Times New Roman" w:hAnsi="Times New Roman"/>
                <w:sz w:val="20"/>
                <w:szCs w:val="20"/>
              </w:rPr>
              <w:t>0</w:t>
            </w:r>
          </w:p>
        </w:tc>
        <w:tc>
          <w:tcPr>
            <w:tcW w:w="833" w:type="dxa"/>
            <w:vMerge/>
            <w:shd w:val="clear" w:color="auto" w:fill="auto"/>
            <w:vAlign w:val="center"/>
          </w:tcPr>
          <w:p w14:paraId="476E0C6A" w14:textId="77777777" w:rsidR="00954B26" w:rsidRPr="004E5C5A" w:rsidRDefault="00954B26" w:rsidP="009B7D1B">
            <w:pPr>
              <w:spacing w:after="0" w:line="240" w:lineRule="auto"/>
              <w:jc w:val="both"/>
              <w:rPr>
                <w:rFonts w:ascii="Times New Roman" w:hAnsi="Times New Roman" w:cs="Times New Roman"/>
                <w:sz w:val="20"/>
                <w:szCs w:val="20"/>
              </w:rPr>
            </w:pPr>
          </w:p>
        </w:tc>
        <w:tc>
          <w:tcPr>
            <w:tcW w:w="834" w:type="dxa"/>
            <w:shd w:val="clear" w:color="auto" w:fill="auto"/>
            <w:vAlign w:val="center"/>
          </w:tcPr>
          <w:p w14:paraId="63DF2143" w14:textId="77777777" w:rsidR="00954B26" w:rsidRPr="004E5C5A" w:rsidRDefault="00954B26" w:rsidP="009B7D1B">
            <w:pPr>
              <w:spacing w:after="0" w:line="240" w:lineRule="auto"/>
              <w:jc w:val="both"/>
              <w:rPr>
                <w:rFonts w:ascii="Times New Roman" w:hAnsi="Times New Roman" w:cs="Times New Roman"/>
                <w:sz w:val="20"/>
                <w:szCs w:val="20"/>
              </w:rPr>
            </w:pPr>
            <w:r w:rsidRPr="004E5C5A">
              <w:rPr>
                <w:rFonts w:ascii="Times New Roman" w:hAnsi="Times New Roman"/>
                <w:sz w:val="20"/>
                <w:szCs w:val="20"/>
              </w:rPr>
              <w:t>0</w:t>
            </w:r>
          </w:p>
        </w:tc>
        <w:tc>
          <w:tcPr>
            <w:tcW w:w="847" w:type="dxa"/>
            <w:vMerge/>
            <w:shd w:val="clear" w:color="auto" w:fill="auto"/>
            <w:vAlign w:val="center"/>
          </w:tcPr>
          <w:p w14:paraId="020BF09E" w14:textId="77777777" w:rsidR="00954B26" w:rsidRPr="004E5C5A" w:rsidRDefault="00954B26" w:rsidP="009B7D1B">
            <w:pPr>
              <w:spacing w:after="0" w:line="240" w:lineRule="auto"/>
              <w:jc w:val="both"/>
              <w:rPr>
                <w:rFonts w:ascii="Times New Roman" w:hAnsi="Times New Roman" w:cs="Times New Roman"/>
                <w:sz w:val="20"/>
                <w:szCs w:val="20"/>
              </w:rPr>
            </w:pPr>
          </w:p>
        </w:tc>
        <w:tc>
          <w:tcPr>
            <w:tcW w:w="837" w:type="dxa"/>
            <w:shd w:val="clear" w:color="auto" w:fill="auto"/>
            <w:vAlign w:val="center"/>
          </w:tcPr>
          <w:p w14:paraId="1F1A98BE" w14:textId="77777777" w:rsidR="00954B26" w:rsidRPr="004E5C5A" w:rsidRDefault="00954B26" w:rsidP="009B7D1B">
            <w:pPr>
              <w:spacing w:after="0" w:line="240" w:lineRule="auto"/>
              <w:jc w:val="both"/>
              <w:rPr>
                <w:rFonts w:ascii="Times New Roman" w:hAnsi="Times New Roman" w:cs="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5A628578" w14:textId="77777777" w:rsidR="00954B26" w:rsidRPr="004E5C5A" w:rsidRDefault="00954B26" w:rsidP="009B7D1B">
            <w:pPr>
              <w:spacing w:after="0" w:line="240" w:lineRule="auto"/>
              <w:jc w:val="both"/>
              <w:rPr>
                <w:rFonts w:ascii="Times New Roman" w:hAnsi="Times New Roman" w:cs="Times New Roman"/>
                <w:sz w:val="20"/>
                <w:szCs w:val="20"/>
              </w:rPr>
            </w:pPr>
            <w:r w:rsidRPr="004E5C5A">
              <w:rPr>
                <w:rFonts w:ascii="Times New Roman" w:hAnsi="Times New Roman"/>
                <w:sz w:val="20"/>
                <w:szCs w:val="20"/>
              </w:rPr>
              <w:t>0</w:t>
            </w:r>
          </w:p>
        </w:tc>
      </w:tr>
      <w:tr w:rsidR="00954B26" w:rsidRPr="004E5C5A" w14:paraId="4DE2B9BD"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79406D8F"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5.3. pašvaldību budžets</w:t>
            </w:r>
          </w:p>
        </w:tc>
        <w:tc>
          <w:tcPr>
            <w:tcW w:w="956" w:type="dxa"/>
            <w:vMerge/>
            <w:shd w:val="clear" w:color="auto" w:fill="auto"/>
            <w:vAlign w:val="center"/>
          </w:tcPr>
          <w:p w14:paraId="37B807C0" w14:textId="77777777" w:rsidR="00954B26" w:rsidRPr="004E5C5A" w:rsidRDefault="00954B26" w:rsidP="009B7D1B">
            <w:pPr>
              <w:spacing w:after="0" w:line="240" w:lineRule="auto"/>
              <w:jc w:val="both"/>
              <w:rPr>
                <w:rFonts w:ascii="Times New Roman" w:hAnsi="Times New Roman" w:cs="Times New Roman"/>
                <w:sz w:val="20"/>
                <w:szCs w:val="20"/>
              </w:rPr>
            </w:pPr>
          </w:p>
        </w:tc>
        <w:tc>
          <w:tcPr>
            <w:tcW w:w="956" w:type="dxa"/>
            <w:shd w:val="clear" w:color="auto" w:fill="auto"/>
            <w:vAlign w:val="center"/>
          </w:tcPr>
          <w:p w14:paraId="2A0E33E2" w14:textId="77777777" w:rsidR="00954B26" w:rsidRPr="004E5C5A" w:rsidRDefault="00954B26" w:rsidP="009B7D1B">
            <w:pPr>
              <w:spacing w:after="0" w:line="240" w:lineRule="auto"/>
              <w:jc w:val="both"/>
              <w:rPr>
                <w:rFonts w:ascii="Times New Roman" w:hAnsi="Times New Roman" w:cs="Times New Roman"/>
                <w:sz w:val="20"/>
                <w:szCs w:val="20"/>
              </w:rPr>
            </w:pPr>
            <w:r w:rsidRPr="004E5C5A">
              <w:rPr>
                <w:rFonts w:ascii="Times New Roman" w:hAnsi="Times New Roman"/>
                <w:sz w:val="20"/>
                <w:szCs w:val="20"/>
              </w:rPr>
              <w:t>0</w:t>
            </w:r>
          </w:p>
        </w:tc>
        <w:tc>
          <w:tcPr>
            <w:tcW w:w="833" w:type="dxa"/>
            <w:vMerge/>
            <w:shd w:val="clear" w:color="auto" w:fill="auto"/>
            <w:vAlign w:val="center"/>
          </w:tcPr>
          <w:p w14:paraId="7DE9247D" w14:textId="77777777" w:rsidR="00954B26" w:rsidRPr="004E5C5A" w:rsidRDefault="00954B26" w:rsidP="009B7D1B">
            <w:pPr>
              <w:spacing w:after="0" w:line="240" w:lineRule="auto"/>
              <w:jc w:val="both"/>
              <w:rPr>
                <w:rFonts w:ascii="Times New Roman" w:hAnsi="Times New Roman" w:cs="Times New Roman"/>
                <w:sz w:val="20"/>
                <w:szCs w:val="20"/>
              </w:rPr>
            </w:pPr>
          </w:p>
        </w:tc>
        <w:tc>
          <w:tcPr>
            <w:tcW w:w="834" w:type="dxa"/>
            <w:shd w:val="clear" w:color="auto" w:fill="auto"/>
            <w:vAlign w:val="center"/>
          </w:tcPr>
          <w:p w14:paraId="7429C2DF" w14:textId="77777777" w:rsidR="00954B26" w:rsidRPr="004E5C5A" w:rsidRDefault="00954B26" w:rsidP="009B7D1B">
            <w:pPr>
              <w:spacing w:after="0" w:line="240" w:lineRule="auto"/>
              <w:jc w:val="both"/>
              <w:rPr>
                <w:rFonts w:ascii="Times New Roman" w:hAnsi="Times New Roman" w:cs="Times New Roman"/>
                <w:sz w:val="20"/>
                <w:szCs w:val="20"/>
              </w:rPr>
            </w:pPr>
            <w:r w:rsidRPr="004E5C5A">
              <w:rPr>
                <w:rFonts w:ascii="Times New Roman" w:hAnsi="Times New Roman"/>
                <w:sz w:val="20"/>
                <w:szCs w:val="20"/>
              </w:rPr>
              <w:t>0</w:t>
            </w:r>
          </w:p>
        </w:tc>
        <w:tc>
          <w:tcPr>
            <w:tcW w:w="847" w:type="dxa"/>
            <w:vMerge/>
            <w:shd w:val="clear" w:color="auto" w:fill="auto"/>
            <w:vAlign w:val="center"/>
          </w:tcPr>
          <w:p w14:paraId="0125E1C6" w14:textId="77777777" w:rsidR="00954B26" w:rsidRPr="004E5C5A" w:rsidRDefault="00954B26" w:rsidP="009B7D1B">
            <w:pPr>
              <w:spacing w:after="0" w:line="240" w:lineRule="auto"/>
              <w:jc w:val="both"/>
              <w:rPr>
                <w:rFonts w:ascii="Times New Roman" w:hAnsi="Times New Roman" w:cs="Times New Roman"/>
                <w:sz w:val="20"/>
                <w:szCs w:val="20"/>
              </w:rPr>
            </w:pPr>
          </w:p>
        </w:tc>
        <w:tc>
          <w:tcPr>
            <w:tcW w:w="837" w:type="dxa"/>
            <w:shd w:val="clear" w:color="auto" w:fill="auto"/>
            <w:vAlign w:val="center"/>
          </w:tcPr>
          <w:p w14:paraId="255306AE" w14:textId="77777777" w:rsidR="00954B26" w:rsidRPr="004E5C5A" w:rsidRDefault="00954B26" w:rsidP="009B7D1B">
            <w:pPr>
              <w:spacing w:after="0" w:line="240" w:lineRule="auto"/>
              <w:jc w:val="both"/>
              <w:rPr>
                <w:rFonts w:ascii="Times New Roman" w:hAnsi="Times New Roman" w:cs="Times New Roman"/>
                <w:sz w:val="20"/>
                <w:szCs w:val="20"/>
              </w:rPr>
            </w:pPr>
            <w:r w:rsidRPr="004E5C5A">
              <w:rPr>
                <w:rFonts w:ascii="Times New Roman" w:hAnsi="Times New Roman"/>
                <w:sz w:val="20"/>
                <w:szCs w:val="20"/>
              </w:rPr>
              <w:t>0</w:t>
            </w:r>
          </w:p>
        </w:tc>
        <w:tc>
          <w:tcPr>
            <w:tcW w:w="1632" w:type="dxa"/>
            <w:gridSpan w:val="2"/>
            <w:shd w:val="clear" w:color="auto" w:fill="auto"/>
            <w:vAlign w:val="center"/>
          </w:tcPr>
          <w:p w14:paraId="7D33F8F5" w14:textId="77777777" w:rsidR="00954B26" w:rsidRPr="004E5C5A" w:rsidRDefault="00954B26" w:rsidP="009B7D1B">
            <w:pPr>
              <w:spacing w:after="0" w:line="240" w:lineRule="auto"/>
              <w:jc w:val="both"/>
              <w:rPr>
                <w:rFonts w:ascii="Times New Roman" w:hAnsi="Times New Roman" w:cs="Times New Roman"/>
                <w:sz w:val="20"/>
                <w:szCs w:val="20"/>
              </w:rPr>
            </w:pPr>
            <w:r w:rsidRPr="004E5C5A">
              <w:rPr>
                <w:rFonts w:ascii="Times New Roman" w:hAnsi="Times New Roman"/>
                <w:sz w:val="20"/>
                <w:szCs w:val="20"/>
              </w:rPr>
              <w:t>0</w:t>
            </w:r>
          </w:p>
        </w:tc>
      </w:tr>
      <w:tr w:rsidR="00954B26" w:rsidRPr="003E7CBD" w14:paraId="06AD8C62"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hideMark/>
          </w:tcPr>
          <w:p w14:paraId="0DFC6B18"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6. Detalizēts ieņēmumu un izdevumu aprēķins (ja nepieciešams, detalizētu ieņēmumu un izdevumu aprēķinu var pievienot anotācijas pielikumā)</w:t>
            </w:r>
          </w:p>
        </w:tc>
        <w:tc>
          <w:tcPr>
            <w:tcW w:w="7075" w:type="dxa"/>
            <w:gridSpan w:val="8"/>
            <w:vMerge w:val="restart"/>
            <w:shd w:val="clear" w:color="auto" w:fill="auto"/>
            <w:vAlign w:val="center"/>
          </w:tcPr>
          <w:p w14:paraId="27A52C9F" w14:textId="77777777" w:rsidR="00954B26" w:rsidRPr="003E7CBD" w:rsidRDefault="00954B26" w:rsidP="009B7D1B">
            <w:pPr>
              <w:tabs>
                <w:tab w:val="left" w:pos="631"/>
              </w:tabs>
              <w:ind w:firstLine="311"/>
              <w:jc w:val="both"/>
              <w:rPr>
                <w:rFonts w:ascii="Times New Roman" w:hAnsi="Times New Roman" w:cs="Times New Roman"/>
                <w:sz w:val="24"/>
                <w:szCs w:val="24"/>
              </w:rPr>
            </w:pPr>
          </w:p>
        </w:tc>
      </w:tr>
      <w:tr w:rsidR="00954B26" w:rsidRPr="001D3714" w14:paraId="1FBDAC88"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tcPr>
          <w:p w14:paraId="4AEF3D0E"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6.1. detalizēts ieņēmumu aprēķins</w:t>
            </w:r>
          </w:p>
        </w:tc>
        <w:tc>
          <w:tcPr>
            <w:tcW w:w="7075" w:type="dxa"/>
            <w:gridSpan w:val="8"/>
            <w:vMerge/>
            <w:shd w:val="clear" w:color="auto" w:fill="auto"/>
            <w:vAlign w:val="center"/>
          </w:tcPr>
          <w:p w14:paraId="5706176E" w14:textId="77777777" w:rsidR="00954B26" w:rsidRPr="001D3714" w:rsidRDefault="00954B26" w:rsidP="009B7D1B">
            <w:pPr>
              <w:tabs>
                <w:tab w:val="left" w:pos="631"/>
              </w:tabs>
              <w:jc w:val="both"/>
              <w:rPr>
                <w:rFonts w:ascii="Times New Roman" w:hAnsi="Times New Roman" w:cs="Times New Roman"/>
                <w:sz w:val="24"/>
                <w:szCs w:val="24"/>
              </w:rPr>
            </w:pPr>
          </w:p>
        </w:tc>
      </w:tr>
      <w:tr w:rsidR="00954B26" w:rsidRPr="001D3714" w14:paraId="3FFAFC0C"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shd w:val="clear" w:color="auto" w:fill="auto"/>
          </w:tcPr>
          <w:p w14:paraId="4A90A184"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6.2. detalizēts izdevumu aprēķins</w:t>
            </w:r>
          </w:p>
        </w:tc>
        <w:tc>
          <w:tcPr>
            <w:tcW w:w="7075" w:type="dxa"/>
            <w:gridSpan w:val="8"/>
            <w:vMerge/>
            <w:shd w:val="clear" w:color="auto" w:fill="auto"/>
            <w:vAlign w:val="center"/>
          </w:tcPr>
          <w:p w14:paraId="29912311" w14:textId="77777777" w:rsidR="00954B26" w:rsidRPr="001D3714" w:rsidRDefault="00954B26" w:rsidP="009B7D1B">
            <w:pPr>
              <w:tabs>
                <w:tab w:val="left" w:pos="631"/>
              </w:tabs>
              <w:jc w:val="both"/>
              <w:rPr>
                <w:rFonts w:ascii="Times New Roman" w:hAnsi="Times New Roman" w:cs="Times New Roman"/>
                <w:sz w:val="24"/>
                <w:szCs w:val="24"/>
              </w:rPr>
            </w:pPr>
          </w:p>
        </w:tc>
      </w:tr>
      <w:tr w:rsidR="00954B26" w:rsidRPr="001D3714" w14:paraId="33E21376"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tcBorders>
              <w:bottom w:val="single" w:sz="4" w:space="0" w:color="auto"/>
            </w:tcBorders>
            <w:shd w:val="clear" w:color="auto" w:fill="auto"/>
            <w:hideMark/>
          </w:tcPr>
          <w:p w14:paraId="1AA42D08"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t>7. Amata vietu skaita izmaiņas</w:t>
            </w:r>
          </w:p>
        </w:tc>
        <w:tc>
          <w:tcPr>
            <w:tcW w:w="7075" w:type="dxa"/>
            <w:gridSpan w:val="8"/>
            <w:tcBorders>
              <w:bottom w:val="single" w:sz="4" w:space="0" w:color="auto"/>
            </w:tcBorders>
            <w:shd w:val="clear" w:color="auto" w:fill="auto"/>
            <w:hideMark/>
          </w:tcPr>
          <w:p w14:paraId="27604920" w14:textId="77777777" w:rsidR="00954B26" w:rsidRPr="001D3714" w:rsidRDefault="00954B26" w:rsidP="009B7D1B">
            <w:pPr>
              <w:spacing w:after="0" w:line="240" w:lineRule="auto"/>
              <w:jc w:val="both"/>
              <w:rPr>
                <w:rFonts w:ascii="Times New Roman" w:hAnsi="Times New Roman"/>
                <w:sz w:val="24"/>
                <w:szCs w:val="24"/>
              </w:rPr>
            </w:pPr>
            <w:r w:rsidRPr="001D3714">
              <w:rPr>
                <w:rFonts w:ascii="Times New Roman" w:hAnsi="Times New Roman"/>
                <w:sz w:val="24"/>
                <w:szCs w:val="24"/>
              </w:rPr>
              <w:t>Nav</w:t>
            </w:r>
          </w:p>
        </w:tc>
      </w:tr>
      <w:tr w:rsidR="00954B26" w:rsidRPr="001D3714" w14:paraId="21D03107" w14:textId="77777777" w:rsidTr="009B7D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939" w:type="dxa"/>
            <w:gridSpan w:val="2"/>
            <w:tcBorders>
              <w:bottom w:val="single" w:sz="4" w:space="0" w:color="auto"/>
            </w:tcBorders>
            <w:shd w:val="clear" w:color="auto" w:fill="auto"/>
            <w:hideMark/>
          </w:tcPr>
          <w:p w14:paraId="0311709C" w14:textId="77777777" w:rsidR="00954B26" w:rsidRPr="004E5C5A" w:rsidRDefault="00954B26" w:rsidP="009B7D1B">
            <w:pPr>
              <w:spacing w:after="0" w:line="240" w:lineRule="auto"/>
              <w:jc w:val="both"/>
              <w:rPr>
                <w:rFonts w:ascii="Times New Roman" w:hAnsi="Times New Roman"/>
                <w:sz w:val="20"/>
                <w:szCs w:val="20"/>
              </w:rPr>
            </w:pPr>
            <w:r w:rsidRPr="004E5C5A">
              <w:rPr>
                <w:rFonts w:ascii="Times New Roman" w:hAnsi="Times New Roman"/>
                <w:sz w:val="20"/>
                <w:szCs w:val="20"/>
              </w:rPr>
              <w:lastRenderedPageBreak/>
              <w:t>8. Cita informācija</w:t>
            </w:r>
          </w:p>
        </w:tc>
        <w:tc>
          <w:tcPr>
            <w:tcW w:w="7075" w:type="dxa"/>
            <w:gridSpan w:val="8"/>
            <w:tcBorders>
              <w:bottom w:val="single" w:sz="4" w:space="0" w:color="auto"/>
            </w:tcBorders>
            <w:shd w:val="clear" w:color="auto" w:fill="auto"/>
          </w:tcPr>
          <w:p w14:paraId="4F19C2E0" w14:textId="474BDFB2" w:rsidR="00954B26" w:rsidRPr="00954B26" w:rsidRDefault="00954B26" w:rsidP="009B7D1B">
            <w:pPr>
              <w:spacing w:after="0" w:line="240" w:lineRule="auto"/>
              <w:jc w:val="both"/>
              <w:rPr>
                <w:rFonts w:ascii="Times New Roman" w:eastAsia="Times New Roman" w:hAnsi="Times New Roman" w:cs="Times New Roman"/>
                <w:iCs/>
                <w:sz w:val="24"/>
                <w:szCs w:val="24"/>
                <w:lang w:eastAsia="lv-LV"/>
              </w:rPr>
            </w:pPr>
            <w:r w:rsidRPr="00954B26">
              <w:rPr>
                <w:rFonts w:ascii="Times New Roman" w:eastAsia="Times New Roman" w:hAnsi="Times New Roman" w:cs="Times New Roman"/>
                <w:iCs/>
                <w:sz w:val="24"/>
                <w:szCs w:val="24"/>
                <w:lang w:eastAsia="lv-LV"/>
              </w:rPr>
              <w:t xml:space="preserve">Noteikumu projekts paredz, ka no </w:t>
            </w:r>
            <w:r w:rsidRPr="0049345D">
              <w:rPr>
                <w:rFonts w:ascii="Times New Roman" w:eastAsia="Times New Roman" w:hAnsi="Times New Roman" w:cs="Times New Roman"/>
                <w:iCs/>
                <w:sz w:val="24"/>
                <w:szCs w:val="24"/>
                <w:lang w:eastAsia="lv-LV"/>
              </w:rPr>
              <w:t>202</w:t>
            </w:r>
            <w:r w:rsidR="00994416" w:rsidRPr="0049345D">
              <w:rPr>
                <w:rFonts w:ascii="Times New Roman" w:eastAsia="Times New Roman" w:hAnsi="Times New Roman" w:cs="Times New Roman"/>
                <w:iCs/>
                <w:sz w:val="24"/>
                <w:szCs w:val="24"/>
                <w:lang w:eastAsia="lv-LV"/>
              </w:rPr>
              <w:t>1</w:t>
            </w:r>
            <w:r w:rsidRPr="0049345D">
              <w:rPr>
                <w:rFonts w:ascii="Times New Roman" w:eastAsia="Times New Roman" w:hAnsi="Times New Roman" w:cs="Times New Roman"/>
                <w:iCs/>
                <w:sz w:val="24"/>
                <w:szCs w:val="24"/>
                <w:lang w:eastAsia="lv-LV"/>
              </w:rPr>
              <w:t>. gada 1. </w:t>
            </w:r>
            <w:r w:rsidR="00994416" w:rsidRPr="0049345D">
              <w:rPr>
                <w:rFonts w:ascii="Times New Roman" w:eastAsia="Times New Roman" w:hAnsi="Times New Roman" w:cs="Times New Roman"/>
                <w:iCs/>
                <w:sz w:val="24"/>
                <w:szCs w:val="24"/>
                <w:lang w:eastAsia="lv-LV"/>
              </w:rPr>
              <w:t>janvāra</w:t>
            </w:r>
            <w:r w:rsidRPr="00954B26">
              <w:rPr>
                <w:rFonts w:ascii="Times New Roman" w:eastAsia="Times New Roman" w:hAnsi="Times New Roman" w:cs="Times New Roman"/>
                <w:iCs/>
                <w:sz w:val="24"/>
                <w:szCs w:val="24"/>
                <w:lang w:eastAsia="lv-LV"/>
              </w:rPr>
              <w:t xml:space="preserve"> līdz 2023. gada 31. decembrim no valsts pamatbudžeta paredzētās obligātās iemaksas pensiju apdrošināšanai par personām, kuras veic algotos pagaidu sabiedriskos darbus, </w:t>
            </w:r>
            <w:r w:rsidR="000254E7">
              <w:rPr>
                <w:rFonts w:ascii="Times New Roman" w:eastAsia="Times New Roman" w:hAnsi="Times New Roman" w:cs="Times New Roman"/>
                <w:iCs/>
                <w:sz w:val="24"/>
                <w:szCs w:val="24"/>
                <w:lang w:eastAsia="lv-LV"/>
              </w:rPr>
              <w:t>veic</w:t>
            </w:r>
            <w:r w:rsidRPr="00954B26">
              <w:rPr>
                <w:rFonts w:ascii="Times New Roman" w:eastAsia="Times New Roman" w:hAnsi="Times New Roman" w:cs="Times New Roman"/>
                <w:iCs/>
                <w:sz w:val="24"/>
                <w:szCs w:val="24"/>
                <w:lang w:eastAsia="lv-LV"/>
              </w:rPr>
              <w:t xml:space="preserve"> arī no Eiropas Savienības finanšu politiku instrumentu līdzekļiem.</w:t>
            </w:r>
          </w:p>
          <w:p w14:paraId="2A55D9AE" w14:textId="5F39B74A" w:rsidR="00954B26" w:rsidRPr="00954B26" w:rsidRDefault="00954B26" w:rsidP="009B7D1B">
            <w:pPr>
              <w:spacing w:after="0" w:line="240" w:lineRule="auto"/>
              <w:jc w:val="both"/>
              <w:rPr>
                <w:rFonts w:ascii="Times New Roman" w:eastAsia="Times New Roman" w:hAnsi="Times New Roman" w:cs="Times New Roman"/>
                <w:iCs/>
                <w:sz w:val="24"/>
                <w:szCs w:val="24"/>
                <w:lang w:eastAsia="lv-LV"/>
              </w:rPr>
            </w:pPr>
            <w:r w:rsidRPr="00954B26">
              <w:rPr>
                <w:rFonts w:ascii="Times New Roman" w:eastAsia="Times New Roman" w:hAnsi="Times New Roman" w:cs="Times New Roman"/>
                <w:iCs/>
                <w:sz w:val="24"/>
                <w:szCs w:val="24"/>
                <w:lang w:eastAsia="lv-LV"/>
              </w:rPr>
              <w:t>Līdz ar to par personām, kuras veic algotos pagaidu sabiedriskos darbus,</w:t>
            </w:r>
            <w:r w:rsidRPr="00954B26">
              <w:t xml:space="preserve"> </w:t>
            </w:r>
            <w:r w:rsidR="000254E7" w:rsidRPr="00954B26">
              <w:rPr>
                <w:rFonts w:ascii="Times New Roman" w:eastAsia="Times New Roman" w:hAnsi="Times New Roman" w:cs="Times New Roman"/>
                <w:iCs/>
                <w:sz w:val="24"/>
                <w:szCs w:val="24"/>
                <w:lang w:eastAsia="lv-LV"/>
              </w:rPr>
              <w:t>finansē</w:t>
            </w:r>
            <w:r w:rsidR="000254E7">
              <w:rPr>
                <w:rFonts w:ascii="Times New Roman" w:eastAsia="Times New Roman" w:hAnsi="Times New Roman" w:cs="Times New Roman"/>
                <w:iCs/>
                <w:sz w:val="24"/>
                <w:szCs w:val="24"/>
                <w:lang w:eastAsia="lv-LV"/>
              </w:rPr>
              <w:t>jums</w:t>
            </w:r>
            <w:r w:rsidR="000254E7" w:rsidRPr="00954B26">
              <w:rPr>
                <w:rFonts w:ascii="Times New Roman" w:eastAsia="Times New Roman" w:hAnsi="Times New Roman" w:cs="Times New Roman"/>
                <w:iCs/>
                <w:sz w:val="24"/>
                <w:szCs w:val="24"/>
                <w:lang w:eastAsia="lv-LV"/>
              </w:rPr>
              <w:t xml:space="preserve"> </w:t>
            </w:r>
            <w:r w:rsidRPr="00954B26">
              <w:rPr>
                <w:rFonts w:ascii="Times New Roman" w:eastAsia="Times New Roman" w:hAnsi="Times New Roman" w:cs="Times New Roman"/>
                <w:iCs/>
                <w:sz w:val="24"/>
                <w:szCs w:val="24"/>
                <w:lang w:eastAsia="lv-LV"/>
              </w:rPr>
              <w:t>valsts sociālās apdrošināšanas obligātajām iemaksām pensiju apdrošināšanai plānot</w:t>
            </w:r>
            <w:r w:rsidR="00BB02C8">
              <w:rPr>
                <w:rFonts w:ascii="Times New Roman" w:eastAsia="Times New Roman" w:hAnsi="Times New Roman" w:cs="Times New Roman"/>
                <w:iCs/>
                <w:sz w:val="24"/>
                <w:szCs w:val="24"/>
                <w:lang w:eastAsia="lv-LV"/>
              </w:rPr>
              <w:t>s</w:t>
            </w:r>
            <w:r w:rsidRPr="00954B26">
              <w:rPr>
                <w:rFonts w:ascii="Times New Roman" w:eastAsia="Times New Roman" w:hAnsi="Times New Roman" w:cs="Times New Roman"/>
                <w:iCs/>
                <w:sz w:val="24"/>
                <w:szCs w:val="24"/>
                <w:lang w:eastAsia="lv-LV"/>
              </w:rPr>
              <w:t>:</w:t>
            </w:r>
          </w:p>
          <w:p w14:paraId="22EA4355" w14:textId="1B039197" w:rsidR="00BB02C8" w:rsidRDefault="00954B26" w:rsidP="00954B26">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954B26">
              <w:rPr>
                <w:rFonts w:ascii="Times New Roman" w:eastAsia="Times New Roman" w:hAnsi="Times New Roman" w:cs="Times New Roman"/>
                <w:iCs/>
                <w:sz w:val="24"/>
                <w:szCs w:val="24"/>
                <w:lang w:eastAsia="lv-LV"/>
              </w:rPr>
              <w:t>no valsts pamatbudžeta (transferts no LM pamatbudžeta programmas 04.00.00 “Valsts atbalsts sociālajai apdrošināšanai” uz LM speciālā budžeta apakšprogrammu 04.0</w:t>
            </w:r>
            <w:r w:rsidR="00BB02C8">
              <w:rPr>
                <w:rFonts w:ascii="Times New Roman" w:eastAsia="Times New Roman" w:hAnsi="Times New Roman" w:cs="Times New Roman"/>
                <w:iCs/>
                <w:sz w:val="24"/>
                <w:szCs w:val="24"/>
                <w:lang w:eastAsia="lv-LV"/>
              </w:rPr>
              <w:t>1</w:t>
            </w:r>
            <w:r w:rsidRPr="00954B26">
              <w:rPr>
                <w:rFonts w:ascii="Times New Roman" w:eastAsia="Times New Roman" w:hAnsi="Times New Roman" w:cs="Times New Roman"/>
                <w:iCs/>
                <w:sz w:val="24"/>
                <w:szCs w:val="24"/>
                <w:lang w:eastAsia="lv-LV"/>
              </w:rPr>
              <w:t>.00 “Valsts pensiju speciālais budžets</w:t>
            </w:r>
            <w:r w:rsidR="00BB02C8">
              <w:rPr>
                <w:rFonts w:ascii="Times New Roman" w:eastAsia="Times New Roman" w:hAnsi="Times New Roman" w:cs="Times New Roman"/>
                <w:iCs/>
                <w:sz w:val="24"/>
                <w:szCs w:val="24"/>
                <w:lang w:eastAsia="lv-LV"/>
              </w:rPr>
              <w:t>”. F</w:t>
            </w:r>
            <w:r w:rsidRPr="00954B26">
              <w:rPr>
                <w:rFonts w:ascii="Times New Roman" w:eastAsia="Times New Roman" w:hAnsi="Times New Roman" w:cs="Times New Roman"/>
                <w:iCs/>
                <w:sz w:val="24"/>
                <w:szCs w:val="24"/>
                <w:lang w:eastAsia="lv-LV"/>
              </w:rPr>
              <w:t>inansējums ir iekļauts LM pamatbudžeta un speciālā budžeta maksimāli pieļaujamajā budžeta kopapjomā 2021.-2023. gadam (</w:t>
            </w:r>
            <w:r w:rsidR="00BB02C8" w:rsidRPr="00BB02C8">
              <w:rPr>
                <w:rFonts w:ascii="Times New Roman" w:eastAsia="Times New Roman" w:hAnsi="Times New Roman" w:cs="Times New Roman"/>
                <w:i/>
                <w:sz w:val="24"/>
                <w:szCs w:val="24"/>
                <w:lang w:eastAsia="lv-LV"/>
              </w:rPr>
              <w:t>esošā situācija,</w:t>
            </w:r>
            <w:r w:rsidR="00BB02C8">
              <w:rPr>
                <w:rFonts w:ascii="Times New Roman" w:eastAsia="Times New Roman" w:hAnsi="Times New Roman" w:cs="Times New Roman"/>
                <w:iCs/>
                <w:sz w:val="24"/>
                <w:szCs w:val="24"/>
                <w:lang w:eastAsia="lv-LV"/>
              </w:rPr>
              <w:t xml:space="preserve"> </w:t>
            </w:r>
            <w:r w:rsidRPr="00BB02C8">
              <w:rPr>
                <w:rFonts w:ascii="Times New Roman" w:eastAsia="Times New Roman" w:hAnsi="Times New Roman" w:cs="Times New Roman"/>
                <w:i/>
                <w:sz w:val="24"/>
                <w:szCs w:val="24"/>
                <w:lang w:eastAsia="lv-LV"/>
              </w:rPr>
              <w:t>finansējums neizriet no noteikumu projekta</w:t>
            </w:r>
            <w:r w:rsidRPr="00954B26">
              <w:rPr>
                <w:rFonts w:ascii="Times New Roman" w:eastAsia="Times New Roman" w:hAnsi="Times New Roman" w:cs="Times New Roman"/>
                <w:iCs/>
                <w:sz w:val="24"/>
                <w:szCs w:val="24"/>
                <w:lang w:eastAsia="lv-LV"/>
              </w:rPr>
              <w:t>);</w:t>
            </w:r>
          </w:p>
          <w:p w14:paraId="07CB6AE3" w14:textId="521464F8" w:rsidR="00954B26" w:rsidRPr="001D3714" w:rsidRDefault="00BB02C8" w:rsidP="00954B26">
            <w:pPr>
              <w:pStyle w:val="ListParagraph"/>
              <w:numPr>
                <w:ilvl w:val="0"/>
                <w:numId w:val="6"/>
              </w:numPr>
              <w:spacing w:after="0" w:line="240" w:lineRule="auto"/>
              <w:jc w:val="both"/>
              <w:rPr>
                <w:rFonts w:ascii="Times New Roman" w:hAnsi="Times New Roman"/>
                <w:sz w:val="24"/>
                <w:szCs w:val="24"/>
              </w:rPr>
            </w:pPr>
            <w:bookmarkStart w:id="0" w:name="_GoBack"/>
            <w:bookmarkEnd w:id="0"/>
            <w:r w:rsidRPr="00954B26">
              <w:rPr>
                <w:rFonts w:ascii="Times New Roman" w:eastAsia="Times New Roman" w:hAnsi="Times New Roman" w:cs="Times New Roman"/>
                <w:iCs/>
                <w:sz w:val="24"/>
                <w:szCs w:val="24"/>
                <w:lang w:eastAsia="lv-LV"/>
              </w:rPr>
              <w:t xml:space="preserve">no </w:t>
            </w:r>
            <w:r w:rsidRPr="0049345D">
              <w:rPr>
                <w:rFonts w:ascii="Times New Roman" w:eastAsia="Times New Roman" w:hAnsi="Times New Roman" w:cs="Times New Roman"/>
                <w:iCs/>
                <w:sz w:val="24"/>
                <w:szCs w:val="24"/>
                <w:lang w:eastAsia="lv-LV"/>
              </w:rPr>
              <w:t>2021. gada 1. janvāra</w:t>
            </w:r>
            <w:r w:rsidRPr="00954B26">
              <w:rPr>
                <w:rFonts w:ascii="Times New Roman" w:eastAsia="Times New Roman" w:hAnsi="Times New Roman" w:cs="Times New Roman"/>
                <w:iCs/>
                <w:sz w:val="24"/>
                <w:szCs w:val="24"/>
                <w:lang w:eastAsia="lv-LV"/>
              </w:rPr>
              <w:t xml:space="preserve"> līdz 2023. gada 31. decembrim </w:t>
            </w:r>
            <w:r w:rsidR="00954B26" w:rsidRPr="00954B26">
              <w:rPr>
                <w:rFonts w:ascii="Times New Roman" w:eastAsia="Times New Roman" w:hAnsi="Times New Roman" w:cs="Times New Roman"/>
                <w:iCs/>
                <w:sz w:val="24"/>
                <w:szCs w:val="24"/>
                <w:lang w:eastAsia="lv-LV"/>
              </w:rPr>
              <w:t>no pieejamā Eiropas Sociālā fonda finansējuma ar algoto pagaidu sabiedrisko darbu īstenošanu saistītajiem līdzekļiem (transferts no LM pamatbudžeta apakšprogrammas 63.07.00 “Eiropas Sociālā fonda (ESF) īstenotie projekti labklājības nozarē” uz LM speciālā budžeta apakšprogrammu 04.0</w:t>
            </w:r>
            <w:r>
              <w:rPr>
                <w:rFonts w:ascii="Times New Roman" w:eastAsia="Times New Roman" w:hAnsi="Times New Roman" w:cs="Times New Roman"/>
                <w:iCs/>
                <w:sz w:val="24"/>
                <w:szCs w:val="24"/>
                <w:lang w:eastAsia="lv-LV"/>
              </w:rPr>
              <w:t>1</w:t>
            </w:r>
            <w:r w:rsidR="00954B26" w:rsidRPr="00954B26">
              <w:rPr>
                <w:rFonts w:ascii="Times New Roman" w:eastAsia="Times New Roman" w:hAnsi="Times New Roman" w:cs="Times New Roman"/>
                <w:iCs/>
                <w:sz w:val="24"/>
                <w:szCs w:val="24"/>
                <w:lang w:eastAsia="lv-LV"/>
              </w:rPr>
              <w:t>.00 “Valsts pensiju speciālais budžets. Ņemot vērā, ka šobrīd nav iespējams precīzi prognozēt person</w:t>
            </w:r>
            <w:r>
              <w:rPr>
                <w:rFonts w:ascii="Times New Roman" w:eastAsia="Times New Roman" w:hAnsi="Times New Roman" w:cs="Times New Roman"/>
                <w:iCs/>
                <w:sz w:val="24"/>
                <w:szCs w:val="24"/>
                <w:lang w:eastAsia="lv-LV"/>
              </w:rPr>
              <w:t>as</w:t>
            </w:r>
            <w:r w:rsidR="00954B26" w:rsidRPr="00954B26">
              <w:rPr>
                <w:rFonts w:ascii="Times New Roman" w:eastAsia="Times New Roman" w:hAnsi="Times New Roman" w:cs="Times New Roman"/>
                <w:iCs/>
                <w:sz w:val="24"/>
                <w:szCs w:val="24"/>
                <w:lang w:eastAsia="lv-LV"/>
              </w:rPr>
              <w:t xml:space="preserve">, kuras veiks algotos pagaidu sabiedriskos darbus un kuras tiks finansētas no ESF, tajā skaitā </w:t>
            </w:r>
            <w:r>
              <w:rPr>
                <w:rFonts w:ascii="Times New Roman" w:eastAsia="Times New Roman" w:hAnsi="Times New Roman" w:cs="Times New Roman"/>
                <w:iCs/>
                <w:sz w:val="24"/>
                <w:szCs w:val="24"/>
                <w:lang w:eastAsia="lv-LV"/>
              </w:rPr>
              <w:t xml:space="preserve">par attiecīgajām personām </w:t>
            </w:r>
            <w:r w:rsidR="00954B26" w:rsidRPr="00954B26">
              <w:rPr>
                <w:rFonts w:ascii="Times New Roman" w:eastAsia="Times New Roman" w:hAnsi="Times New Roman" w:cs="Times New Roman"/>
                <w:iCs/>
                <w:sz w:val="24"/>
                <w:szCs w:val="24"/>
                <w:lang w:eastAsia="lv-LV"/>
              </w:rPr>
              <w:t xml:space="preserve">veicot valsts sociālās apdrošināšanas obligātās iemaksas pensiju apdrošināšanai, ietekme uz valsts budžeta izdevumiem netiek norādīta, tomēr tā provizoriski tiek prognozēta </w:t>
            </w:r>
            <w:r>
              <w:rPr>
                <w:rFonts w:ascii="Times New Roman" w:eastAsia="Times New Roman" w:hAnsi="Times New Roman" w:cs="Times New Roman"/>
                <w:iCs/>
                <w:sz w:val="24"/>
                <w:szCs w:val="24"/>
                <w:lang w:eastAsia="lv-LV"/>
              </w:rPr>
              <w:t xml:space="preserve">līdz </w:t>
            </w:r>
            <w:r w:rsidR="00954B26" w:rsidRPr="00954B26">
              <w:rPr>
                <w:rFonts w:ascii="Times New Roman" w:eastAsia="Times New Roman" w:hAnsi="Times New Roman" w:cs="Times New Roman"/>
                <w:iCs/>
                <w:sz w:val="24"/>
                <w:szCs w:val="24"/>
                <w:lang w:eastAsia="lv-LV"/>
              </w:rPr>
              <w:t xml:space="preserve">186 771 </w:t>
            </w:r>
            <w:proofErr w:type="spellStart"/>
            <w:r w:rsidR="00954B26" w:rsidRPr="00954B26">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sidRPr="00954B26">
              <w:rPr>
                <w:rFonts w:ascii="Times New Roman" w:eastAsia="Times New Roman" w:hAnsi="Times New Roman" w:cs="Times New Roman"/>
                <w:iCs/>
                <w:sz w:val="24"/>
                <w:szCs w:val="24"/>
                <w:lang w:eastAsia="lv-LV"/>
              </w:rPr>
              <w:t>2021. gadā</w:t>
            </w:r>
            <w:r w:rsidR="00954B26" w:rsidRPr="00954B26">
              <w:rPr>
                <w:rFonts w:ascii="Times New Roman" w:eastAsia="Times New Roman" w:hAnsi="Times New Roman" w:cs="Times New Roman"/>
                <w:iCs/>
                <w:sz w:val="24"/>
                <w:szCs w:val="24"/>
                <w:lang w:eastAsia="lv-LV"/>
              </w:rPr>
              <w:t xml:space="preserve">, 224 125 </w:t>
            </w:r>
            <w:proofErr w:type="spellStart"/>
            <w:r w:rsidR="00954B26" w:rsidRPr="00954B26">
              <w:rPr>
                <w:rFonts w:ascii="Times New Roman" w:eastAsia="Times New Roman" w:hAnsi="Times New Roman" w:cs="Times New Roman"/>
                <w:i/>
                <w:iCs/>
                <w:sz w:val="24"/>
                <w:szCs w:val="24"/>
                <w:lang w:eastAsia="lv-LV"/>
              </w:rPr>
              <w:t>euro</w:t>
            </w:r>
            <w:proofErr w:type="spellEnd"/>
            <w:r w:rsidR="00954B26" w:rsidRPr="00954B26">
              <w:rPr>
                <w:rFonts w:ascii="Times New Roman" w:eastAsia="Times New Roman" w:hAnsi="Times New Roman" w:cs="Times New Roman"/>
                <w:iCs/>
                <w:sz w:val="24"/>
                <w:szCs w:val="24"/>
                <w:lang w:eastAsia="lv-LV"/>
              </w:rPr>
              <w:t xml:space="preserve"> </w:t>
            </w:r>
            <w:r w:rsidRPr="00954B26">
              <w:rPr>
                <w:rFonts w:ascii="Times New Roman" w:eastAsia="Times New Roman" w:hAnsi="Times New Roman" w:cs="Times New Roman"/>
                <w:iCs/>
                <w:sz w:val="24"/>
                <w:szCs w:val="24"/>
                <w:lang w:eastAsia="lv-LV"/>
              </w:rPr>
              <w:t xml:space="preserve">2022. gadā </w:t>
            </w:r>
            <w:r w:rsidR="00954B26" w:rsidRPr="00954B26">
              <w:rPr>
                <w:rFonts w:ascii="Times New Roman" w:eastAsia="Times New Roman" w:hAnsi="Times New Roman" w:cs="Times New Roman"/>
                <w:iCs/>
                <w:sz w:val="24"/>
                <w:szCs w:val="24"/>
                <w:lang w:eastAsia="lv-LV"/>
              </w:rPr>
              <w:t xml:space="preserve">un 205 448 </w:t>
            </w:r>
            <w:proofErr w:type="spellStart"/>
            <w:r w:rsidR="00954B26" w:rsidRPr="00954B26">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sidRPr="00954B26">
              <w:rPr>
                <w:rFonts w:ascii="Times New Roman" w:eastAsia="Times New Roman" w:hAnsi="Times New Roman" w:cs="Times New Roman"/>
                <w:iCs/>
                <w:sz w:val="24"/>
                <w:szCs w:val="24"/>
                <w:lang w:eastAsia="lv-LV"/>
              </w:rPr>
              <w:t>2023. gadā</w:t>
            </w:r>
            <w:r w:rsidR="00954B26" w:rsidRPr="00954B26">
              <w:rPr>
                <w:rFonts w:ascii="Times New Roman" w:eastAsia="Times New Roman" w:hAnsi="Times New Roman" w:cs="Times New Roman"/>
                <w:iCs/>
                <w:sz w:val="24"/>
                <w:szCs w:val="24"/>
                <w:lang w:eastAsia="lv-LV"/>
              </w:rPr>
              <w:t>, pie nosacījuma, ka ar Eiropas Sociālā fonda finansējumu piesaistīto algoto pagaidu sabiedrisko darbu veicēji nepārsniegs vidēji 1 505 cilvēkus mēnesī.</w:t>
            </w:r>
          </w:p>
        </w:tc>
      </w:tr>
    </w:tbl>
    <w:p w14:paraId="34EC3242" w14:textId="77777777" w:rsidR="00954B26" w:rsidRDefault="00954B26"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983468" w:rsidRPr="009D78D3" w14:paraId="005BF7AD" w14:textId="77777777" w:rsidTr="00EA64D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36F4FFA" w14:textId="77777777" w:rsidR="00983468" w:rsidRPr="009D78D3" w:rsidRDefault="00983468" w:rsidP="00EA64DE">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IV. Tiesību akta projekta ietekme uz spēkā esošo tiesību normu sistēmu</w:t>
            </w:r>
          </w:p>
        </w:tc>
      </w:tr>
      <w:tr w:rsidR="00335F3B" w:rsidRPr="009D78D3" w14:paraId="425AD987" w14:textId="77777777" w:rsidTr="00335F3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989B112" w14:textId="63B6C7EC" w:rsidR="00335F3B" w:rsidRPr="009D78D3" w:rsidRDefault="00335F3B" w:rsidP="00532E0D">
            <w:pPr>
              <w:spacing w:after="0" w:line="240" w:lineRule="auto"/>
              <w:jc w:val="center"/>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Noteikumu projekts šo jom</w:t>
            </w:r>
            <w:r w:rsidR="00583CC5">
              <w:rPr>
                <w:rFonts w:ascii="Times New Roman" w:eastAsia="Times New Roman" w:hAnsi="Times New Roman" w:cs="Times New Roman"/>
                <w:iCs/>
                <w:noProof/>
                <w:color w:val="000000" w:themeColor="text1"/>
                <w:sz w:val="24"/>
                <w:szCs w:val="24"/>
                <w:lang w:eastAsia="lv-LV"/>
              </w:rPr>
              <w:t>u</w:t>
            </w:r>
            <w:r>
              <w:rPr>
                <w:rFonts w:ascii="Times New Roman" w:eastAsia="Times New Roman" w:hAnsi="Times New Roman" w:cs="Times New Roman"/>
                <w:iCs/>
                <w:noProof/>
                <w:color w:val="000000" w:themeColor="text1"/>
                <w:sz w:val="24"/>
                <w:szCs w:val="24"/>
                <w:lang w:eastAsia="lv-LV"/>
              </w:rPr>
              <w:t xml:space="preserve"> neskar.</w:t>
            </w:r>
          </w:p>
        </w:tc>
      </w:tr>
    </w:tbl>
    <w:p w14:paraId="2DBA77AD" w14:textId="3257EFA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3CB" w:rsidRPr="00734864" w14:paraId="2DBA77B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A77AF"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bookmarkStart w:id="1" w:name="_Hlk48203602"/>
            <w:r w:rsidRPr="00734864">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631CF" w:rsidRPr="00734864" w14:paraId="2DBA77B2" w14:textId="77777777" w:rsidTr="006631C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DBA77B1" w14:textId="29CD970B" w:rsidR="006631CF" w:rsidRPr="00734864" w:rsidRDefault="00335F3B" w:rsidP="00A3042F">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w:t>
            </w:r>
            <w:r w:rsidR="006631CF" w:rsidRPr="00734864">
              <w:rPr>
                <w:rFonts w:ascii="Times New Roman" w:eastAsia="Times New Roman" w:hAnsi="Times New Roman" w:cs="Times New Roman"/>
                <w:iCs/>
                <w:color w:val="000000" w:themeColor="text1"/>
                <w:sz w:val="24"/>
                <w:szCs w:val="24"/>
                <w:lang w:eastAsia="lv-LV"/>
              </w:rPr>
              <w:t>projekts šo jomu neskar.</w:t>
            </w:r>
          </w:p>
        </w:tc>
      </w:tr>
    </w:tbl>
    <w:bookmarkEnd w:id="1"/>
    <w:p w14:paraId="2DBA77B3"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63CB" w:rsidRPr="00734864" w14:paraId="2DBA77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7B5"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4864">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663CB" w:rsidRPr="00734864" w14:paraId="2DBA77BB" w14:textId="77777777" w:rsidTr="002705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7B7"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BA77B8"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DBA77BA" w14:textId="092DF41C" w:rsidR="00E5323B" w:rsidRPr="00734864" w:rsidRDefault="00A26FBA" w:rsidP="00335F3B">
            <w:pPr>
              <w:spacing w:after="0" w:line="240" w:lineRule="auto"/>
              <w:jc w:val="both"/>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Sabiedrības līdzdalība </w:t>
            </w:r>
            <w:r w:rsidR="00941A90" w:rsidRPr="00941A90">
              <w:rPr>
                <w:rFonts w:ascii="Times New Roman" w:eastAsia="Times New Roman" w:hAnsi="Times New Roman" w:cs="Times New Roman"/>
                <w:iCs/>
                <w:color w:val="000000" w:themeColor="text1"/>
                <w:sz w:val="24"/>
                <w:szCs w:val="24"/>
                <w:lang w:eastAsia="lv-LV"/>
              </w:rPr>
              <w:t xml:space="preserve">ir nodrošināta, publicējot uzziņu par </w:t>
            </w:r>
            <w:r w:rsidR="005F7122">
              <w:rPr>
                <w:rFonts w:ascii="Times New Roman" w:eastAsia="Times New Roman" w:hAnsi="Times New Roman" w:cs="Times New Roman"/>
                <w:iCs/>
                <w:color w:val="000000" w:themeColor="text1"/>
                <w:sz w:val="24"/>
                <w:szCs w:val="24"/>
                <w:lang w:eastAsia="lv-LV"/>
              </w:rPr>
              <w:t xml:space="preserve">noteikumu </w:t>
            </w:r>
            <w:r w:rsidR="00941A90" w:rsidRPr="00941A90">
              <w:rPr>
                <w:rFonts w:ascii="Times New Roman" w:eastAsia="Times New Roman" w:hAnsi="Times New Roman" w:cs="Times New Roman"/>
                <w:iCs/>
                <w:color w:val="000000" w:themeColor="text1"/>
                <w:sz w:val="24"/>
                <w:szCs w:val="24"/>
                <w:lang w:eastAsia="lv-LV"/>
              </w:rPr>
              <w:t xml:space="preserve">projektu  Labklājības ministrijas mājas lapā </w:t>
            </w:r>
            <w:r w:rsidR="005F7122">
              <w:rPr>
                <w:rFonts w:ascii="Times New Roman" w:eastAsia="Times New Roman" w:hAnsi="Times New Roman" w:cs="Times New Roman"/>
                <w:iCs/>
                <w:color w:val="000000" w:themeColor="text1"/>
                <w:sz w:val="24"/>
                <w:szCs w:val="24"/>
                <w:lang w:eastAsia="lv-LV"/>
              </w:rPr>
              <w:t xml:space="preserve">un Ministru kabineta mājas lapā </w:t>
            </w:r>
            <w:r w:rsidR="00941A90" w:rsidRPr="00941A90">
              <w:rPr>
                <w:rFonts w:ascii="Times New Roman" w:eastAsia="Times New Roman" w:hAnsi="Times New Roman" w:cs="Times New Roman"/>
                <w:iCs/>
                <w:color w:val="000000" w:themeColor="text1"/>
                <w:sz w:val="24"/>
                <w:szCs w:val="24"/>
                <w:lang w:eastAsia="lv-LV"/>
              </w:rPr>
              <w:t>internetā.</w:t>
            </w:r>
          </w:p>
        </w:tc>
      </w:tr>
      <w:tr w:rsidR="00B663CB" w:rsidRPr="00734864" w14:paraId="2DBA77C0" w14:textId="77777777" w:rsidTr="002705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7BC"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BA77BD"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2DBA77BF" w14:textId="37D4F169" w:rsidR="00E5323B" w:rsidRPr="00734864" w:rsidRDefault="00653DE4" w:rsidP="002C72C2">
            <w:pPr>
              <w:spacing w:after="0" w:line="240" w:lineRule="auto"/>
              <w:jc w:val="both"/>
              <w:rPr>
                <w:rFonts w:ascii="Times New Roman" w:eastAsia="Times New Roman" w:hAnsi="Times New Roman" w:cs="Times New Roman"/>
                <w:iCs/>
                <w:color w:val="000000" w:themeColor="text1"/>
                <w:sz w:val="24"/>
                <w:szCs w:val="24"/>
                <w:lang w:eastAsia="lv-LV"/>
              </w:rPr>
            </w:pPr>
            <w:r w:rsidRPr="00653DE4">
              <w:rPr>
                <w:rFonts w:ascii="Times New Roman" w:eastAsia="Times New Roman" w:hAnsi="Times New Roman" w:cs="Times New Roman"/>
                <w:iCs/>
                <w:color w:val="000000" w:themeColor="text1"/>
                <w:sz w:val="24"/>
                <w:szCs w:val="24"/>
                <w:lang w:eastAsia="lv-LV"/>
              </w:rPr>
              <w:t xml:space="preserve">Lai informētu sabiedrību par </w:t>
            </w:r>
            <w:r>
              <w:rPr>
                <w:rFonts w:ascii="Times New Roman" w:eastAsia="Times New Roman" w:hAnsi="Times New Roman" w:cs="Times New Roman"/>
                <w:iCs/>
                <w:color w:val="000000" w:themeColor="text1"/>
                <w:sz w:val="24"/>
                <w:szCs w:val="24"/>
                <w:lang w:eastAsia="lv-LV"/>
              </w:rPr>
              <w:t xml:space="preserve">noteikumu </w:t>
            </w:r>
            <w:r w:rsidRPr="00653DE4">
              <w:rPr>
                <w:rFonts w:ascii="Times New Roman" w:eastAsia="Times New Roman" w:hAnsi="Times New Roman" w:cs="Times New Roman"/>
                <w:iCs/>
                <w:color w:val="000000" w:themeColor="text1"/>
                <w:sz w:val="24"/>
                <w:szCs w:val="24"/>
                <w:lang w:eastAsia="lv-LV"/>
              </w:rPr>
              <w:t xml:space="preserve">projektu un dotu iespēju izteikt par to viedokļus, </w:t>
            </w:r>
            <w:r>
              <w:rPr>
                <w:rFonts w:ascii="Times New Roman" w:eastAsia="Times New Roman" w:hAnsi="Times New Roman" w:cs="Times New Roman"/>
                <w:iCs/>
                <w:color w:val="000000" w:themeColor="text1"/>
                <w:sz w:val="24"/>
                <w:szCs w:val="24"/>
                <w:lang w:eastAsia="lv-LV"/>
              </w:rPr>
              <w:t xml:space="preserve">noteikumu </w:t>
            </w:r>
            <w:r w:rsidRPr="00653DE4">
              <w:rPr>
                <w:rFonts w:ascii="Times New Roman" w:eastAsia="Times New Roman" w:hAnsi="Times New Roman" w:cs="Times New Roman"/>
                <w:iCs/>
                <w:color w:val="000000" w:themeColor="text1"/>
                <w:sz w:val="24"/>
                <w:szCs w:val="24"/>
                <w:lang w:eastAsia="lv-LV"/>
              </w:rPr>
              <w:t>projekts 20</w:t>
            </w:r>
            <w:r>
              <w:rPr>
                <w:rFonts w:ascii="Times New Roman" w:eastAsia="Times New Roman" w:hAnsi="Times New Roman" w:cs="Times New Roman"/>
                <w:iCs/>
                <w:color w:val="000000" w:themeColor="text1"/>
                <w:sz w:val="24"/>
                <w:szCs w:val="24"/>
                <w:lang w:eastAsia="lv-LV"/>
              </w:rPr>
              <w:t>20</w:t>
            </w:r>
            <w:r w:rsidRPr="00653DE4">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w:t>
            </w:r>
            <w:r w:rsidRPr="00653DE4">
              <w:rPr>
                <w:rFonts w:ascii="Times New Roman" w:eastAsia="Times New Roman" w:hAnsi="Times New Roman" w:cs="Times New Roman"/>
                <w:iCs/>
                <w:color w:val="000000" w:themeColor="text1"/>
                <w:sz w:val="24"/>
                <w:szCs w:val="24"/>
                <w:lang w:eastAsia="lv-LV"/>
              </w:rPr>
              <w:t xml:space="preserve">gada </w:t>
            </w:r>
            <w:r w:rsidR="00D82FC0">
              <w:rPr>
                <w:rFonts w:ascii="Times New Roman" w:eastAsia="Times New Roman" w:hAnsi="Times New Roman" w:cs="Times New Roman"/>
                <w:iCs/>
                <w:color w:val="000000" w:themeColor="text1"/>
                <w:sz w:val="24"/>
                <w:szCs w:val="24"/>
                <w:lang w:eastAsia="lv-LV"/>
              </w:rPr>
              <w:t>21. </w:t>
            </w:r>
            <w:r>
              <w:rPr>
                <w:rFonts w:ascii="Times New Roman" w:eastAsia="Times New Roman" w:hAnsi="Times New Roman" w:cs="Times New Roman"/>
                <w:iCs/>
                <w:color w:val="000000" w:themeColor="text1"/>
                <w:sz w:val="24"/>
                <w:szCs w:val="24"/>
                <w:lang w:eastAsia="lv-LV"/>
              </w:rPr>
              <w:t>augustā</w:t>
            </w:r>
            <w:r w:rsidRPr="00653DE4">
              <w:rPr>
                <w:rFonts w:ascii="Times New Roman" w:eastAsia="Times New Roman" w:hAnsi="Times New Roman" w:cs="Times New Roman"/>
                <w:iCs/>
                <w:color w:val="000000" w:themeColor="text1"/>
                <w:sz w:val="24"/>
                <w:szCs w:val="24"/>
                <w:lang w:eastAsia="lv-LV"/>
              </w:rPr>
              <w:t xml:space="preserve"> ievietots Labklājības ministrijas tīmekļa vietnē, kā arī Ministru kabineta tīmekļa vietnē, un termiņš viedokļa izteikšanai bija </w:t>
            </w:r>
            <w:r w:rsidRPr="00653DE4">
              <w:rPr>
                <w:rFonts w:ascii="Times New Roman" w:eastAsia="Times New Roman" w:hAnsi="Times New Roman" w:cs="Times New Roman"/>
                <w:iCs/>
                <w:color w:val="000000" w:themeColor="text1"/>
                <w:sz w:val="24"/>
                <w:szCs w:val="24"/>
                <w:lang w:eastAsia="lv-LV"/>
              </w:rPr>
              <w:lastRenderedPageBreak/>
              <w:t>noteikts 20</w:t>
            </w:r>
            <w:r>
              <w:rPr>
                <w:rFonts w:ascii="Times New Roman" w:eastAsia="Times New Roman" w:hAnsi="Times New Roman" w:cs="Times New Roman"/>
                <w:iCs/>
                <w:color w:val="000000" w:themeColor="text1"/>
                <w:sz w:val="24"/>
                <w:szCs w:val="24"/>
                <w:lang w:eastAsia="lv-LV"/>
              </w:rPr>
              <w:t>20</w:t>
            </w:r>
            <w:r w:rsidRPr="00653DE4">
              <w:rPr>
                <w:rFonts w:ascii="Times New Roman" w:eastAsia="Times New Roman" w:hAnsi="Times New Roman" w:cs="Times New Roman"/>
                <w:iCs/>
                <w:color w:val="000000" w:themeColor="text1"/>
                <w:sz w:val="24"/>
                <w:szCs w:val="24"/>
                <w:lang w:eastAsia="lv-LV"/>
              </w:rPr>
              <w:t>.</w:t>
            </w:r>
            <w:r w:rsidR="0040663B">
              <w:rPr>
                <w:rFonts w:ascii="Times New Roman" w:eastAsia="Times New Roman" w:hAnsi="Times New Roman" w:cs="Times New Roman"/>
                <w:iCs/>
                <w:color w:val="000000" w:themeColor="text1"/>
                <w:sz w:val="24"/>
                <w:szCs w:val="24"/>
                <w:lang w:eastAsia="lv-LV"/>
              </w:rPr>
              <w:t> </w:t>
            </w:r>
            <w:r w:rsidRPr="00653DE4">
              <w:rPr>
                <w:rFonts w:ascii="Times New Roman" w:eastAsia="Times New Roman" w:hAnsi="Times New Roman" w:cs="Times New Roman"/>
                <w:iCs/>
                <w:color w:val="000000" w:themeColor="text1"/>
                <w:sz w:val="24"/>
                <w:szCs w:val="24"/>
                <w:lang w:eastAsia="lv-LV"/>
              </w:rPr>
              <w:t xml:space="preserve">gada </w:t>
            </w:r>
            <w:r>
              <w:rPr>
                <w:rFonts w:ascii="Times New Roman" w:eastAsia="Times New Roman" w:hAnsi="Times New Roman" w:cs="Times New Roman"/>
                <w:iCs/>
                <w:color w:val="000000" w:themeColor="text1"/>
                <w:sz w:val="24"/>
                <w:szCs w:val="24"/>
                <w:lang w:eastAsia="lv-LV"/>
              </w:rPr>
              <w:t>7. septembris</w:t>
            </w:r>
            <w:r w:rsidRPr="00653DE4">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Par noteikumu projektu iebildumi un priekšlikumi netika saņemti.</w:t>
            </w:r>
          </w:p>
        </w:tc>
      </w:tr>
      <w:tr w:rsidR="00B663CB" w:rsidRPr="00734864" w14:paraId="2DBA77C4" w14:textId="77777777" w:rsidTr="002705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7C1"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DBA77C2"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DBA77C3" w14:textId="37EDA159" w:rsidR="00E5323B" w:rsidRPr="00734864" w:rsidRDefault="00653DE4" w:rsidP="006A716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r w:rsidR="0027053A" w:rsidRPr="00734864">
              <w:rPr>
                <w:rFonts w:ascii="Times New Roman" w:eastAsia="Times New Roman" w:hAnsi="Times New Roman" w:cs="Times New Roman"/>
                <w:iCs/>
                <w:color w:val="000000" w:themeColor="text1"/>
                <w:sz w:val="24"/>
                <w:szCs w:val="24"/>
                <w:lang w:eastAsia="lv-LV"/>
              </w:rPr>
              <w:t>.</w:t>
            </w:r>
          </w:p>
        </w:tc>
      </w:tr>
      <w:tr w:rsidR="00B663CB" w:rsidRPr="00734864" w14:paraId="2DBA77C8" w14:textId="77777777" w:rsidTr="002705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BA77C5"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DBA77C6"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DBA77C7" w14:textId="77777777" w:rsidR="00E5323B" w:rsidRPr="00734864" w:rsidRDefault="00A26FBA" w:rsidP="00A26FBA">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Nav.</w:t>
            </w:r>
          </w:p>
        </w:tc>
      </w:tr>
    </w:tbl>
    <w:p w14:paraId="2DBA77C9" w14:textId="64C916BD"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96"/>
        <w:gridCol w:w="5376"/>
      </w:tblGrid>
      <w:tr w:rsidR="00B663CB" w:rsidRPr="00734864" w14:paraId="2DBA77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77CB" w14:textId="77777777" w:rsidR="00655F2C" w:rsidRPr="00734864"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34864">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663CB" w:rsidRPr="00734864" w14:paraId="2DBA77D0"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CD"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14:paraId="2DBA77CE"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2DBA77CF" w14:textId="67F6A570" w:rsidR="00E5323B" w:rsidRPr="00734864" w:rsidRDefault="00A26FBA"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V</w:t>
            </w:r>
            <w:r w:rsidR="00DE6C33">
              <w:rPr>
                <w:rFonts w:ascii="Times New Roman" w:eastAsia="Times New Roman" w:hAnsi="Times New Roman" w:cs="Times New Roman"/>
                <w:iCs/>
                <w:color w:val="000000" w:themeColor="text1"/>
                <w:sz w:val="24"/>
                <w:szCs w:val="24"/>
                <w:lang w:eastAsia="lv-LV"/>
              </w:rPr>
              <w:t>alsts sociālās apdrošināšanas aģentūra, Nodarbinātības valsts aģentūra</w:t>
            </w:r>
            <w:r w:rsidRPr="00734864">
              <w:rPr>
                <w:rFonts w:ascii="Times New Roman" w:eastAsia="Times New Roman" w:hAnsi="Times New Roman" w:cs="Times New Roman"/>
                <w:iCs/>
                <w:color w:val="000000" w:themeColor="text1"/>
                <w:sz w:val="24"/>
                <w:szCs w:val="24"/>
                <w:lang w:eastAsia="lv-LV"/>
              </w:rPr>
              <w:t>.</w:t>
            </w:r>
          </w:p>
        </w:tc>
      </w:tr>
      <w:tr w:rsidR="00B663CB" w:rsidRPr="00734864" w14:paraId="2DBA77D4"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D1"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14:paraId="2DBA77D2"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34864">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DBA77D3" w14:textId="77777777" w:rsidR="00E5323B" w:rsidRPr="00734864" w:rsidRDefault="00A26FBA" w:rsidP="009E1966">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 xml:space="preserve">Nav plānota esošu institūciju likvidācija vai reorganizācija. Pēc </w:t>
            </w:r>
            <w:r w:rsidR="009E1966" w:rsidRPr="00734864">
              <w:rPr>
                <w:rFonts w:ascii="Times New Roman" w:eastAsia="Times New Roman" w:hAnsi="Times New Roman" w:cs="Times New Roman"/>
                <w:iCs/>
                <w:color w:val="000000" w:themeColor="text1"/>
                <w:sz w:val="24"/>
                <w:szCs w:val="24"/>
                <w:lang w:eastAsia="lv-LV"/>
              </w:rPr>
              <w:t>likuma</w:t>
            </w:r>
            <w:r w:rsidRPr="00734864">
              <w:rPr>
                <w:rFonts w:ascii="Times New Roman" w:eastAsia="Times New Roman" w:hAnsi="Times New Roman" w:cs="Times New Roman"/>
                <w:iCs/>
                <w:color w:val="000000" w:themeColor="text1"/>
                <w:sz w:val="24"/>
                <w:szCs w:val="24"/>
                <w:lang w:eastAsia="lv-LV"/>
              </w:rPr>
              <w:t xml:space="preserve"> spēkā stāšanās tā īstenošana notiks, izmantojot esošos cilvēkresursus.</w:t>
            </w:r>
          </w:p>
        </w:tc>
      </w:tr>
      <w:tr w:rsidR="00B663CB" w:rsidRPr="00734864" w14:paraId="2DBA77D8" w14:textId="77777777" w:rsidTr="0073486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BA77D5" w14:textId="77777777" w:rsidR="00655F2C"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14:paraId="2DBA77D6" w14:textId="77777777" w:rsidR="00E5323B" w:rsidRPr="0073486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2DBA77D7" w14:textId="77777777" w:rsidR="00E5323B" w:rsidRPr="00734864" w:rsidRDefault="00A26FBA" w:rsidP="00E5323B">
            <w:pPr>
              <w:spacing w:after="0" w:line="240" w:lineRule="auto"/>
              <w:rPr>
                <w:rFonts w:ascii="Times New Roman" w:eastAsia="Times New Roman" w:hAnsi="Times New Roman" w:cs="Times New Roman"/>
                <w:iCs/>
                <w:color w:val="000000" w:themeColor="text1"/>
                <w:sz w:val="24"/>
                <w:szCs w:val="24"/>
                <w:lang w:eastAsia="lv-LV"/>
              </w:rPr>
            </w:pPr>
            <w:r w:rsidRPr="00734864">
              <w:rPr>
                <w:rFonts w:ascii="Times New Roman" w:eastAsia="Times New Roman" w:hAnsi="Times New Roman" w:cs="Times New Roman"/>
                <w:iCs/>
                <w:color w:val="000000" w:themeColor="text1"/>
                <w:sz w:val="24"/>
                <w:szCs w:val="24"/>
                <w:lang w:eastAsia="lv-LV"/>
              </w:rPr>
              <w:t>Nav.</w:t>
            </w:r>
          </w:p>
        </w:tc>
      </w:tr>
    </w:tbl>
    <w:p w14:paraId="2DBA77D9" w14:textId="77777777" w:rsidR="00C25B49" w:rsidRPr="00734864" w:rsidRDefault="00C25B49" w:rsidP="00894C55">
      <w:pPr>
        <w:spacing w:after="0" w:line="240" w:lineRule="auto"/>
        <w:rPr>
          <w:rFonts w:ascii="Times New Roman" w:hAnsi="Times New Roman" w:cs="Times New Roman"/>
          <w:color w:val="000000" w:themeColor="text1"/>
          <w:sz w:val="28"/>
          <w:szCs w:val="28"/>
        </w:rPr>
      </w:pPr>
    </w:p>
    <w:p w14:paraId="5F4F0E1B" w14:textId="1221B923" w:rsidR="00734864" w:rsidRDefault="00734864" w:rsidP="00A843E6">
      <w:pPr>
        <w:pStyle w:val="naisf"/>
        <w:tabs>
          <w:tab w:val="left" w:pos="6804"/>
        </w:tabs>
        <w:spacing w:before="0" w:after="0"/>
        <w:ind w:firstLine="720"/>
        <w:rPr>
          <w:sz w:val="28"/>
          <w:szCs w:val="28"/>
        </w:rPr>
      </w:pPr>
    </w:p>
    <w:p w14:paraId="32C8417E" w14:textId="77777777" w:rsidR="005A16CB" w:rsidRPr="00734864" w:rsidRDefault="005A16CB" w:rsidP="00A843E6">
      <w:pPr>
        <w:pStyle w:val="naisf"/>
        <w:tabs>
          <w:tab w:val="left" w:pos="6804"/>
        </w:tabs>
        <w:spacing w:before="0" w:after="0"/>
        <w:ind w:firstLine="720"/>
        <w:rPr>
          <w:sz w:val="28"/>
          <w:szCs w:val="28"/>
        </w:rPr>
      </w:pPr>
    </w:p>
    <w:p w14:paraId="1D78A71F" w14:textId="3554C0EA" w:rsidR="00A843E6" w:rsidRPr="00734864" w:rsidRDefault="00A843E6" w:rsidP="00A843E6">
      <w:pPr>
        <w:pStyle w:val="naisf"/>
        <w:tabs>
          <w:tab w:val="left" w:pos="6804"/>
        </w:tabs>
        <w:spacing w:before="0" w:after="0"/>
        <w:ind w:firstLine="720"/>
        <w:rPr>
          <w:sz w:val="28"/>
          <w:szCs w:val="28"/>
        </w:rPr>
      </w:pPr>
      <w:r w:rsidRPr="00734864">
        <w:rPr>
          <w:sz w:val="28"/>
          <w:szCs w:val="28"/>
        </w:rPr>
        <w:t>Labklājības ministr</w:t>
      </w:r>
      <w:r w:rsidR="0027053A" w:rsidRPr="00734864">
        <w:rPr>
          <w:sz w:val="28"/>
          <w:szCs w:val="28"/>
        </w:rPr>
        <w:t>e</w:t>
      </w:r>
      <w:r w:rsidRPr="00734864">
        <w:rPr>
          <w:sz w:val="28"/>
          <w:szCs w:val="28"/>
        </w:rPr>
        <w:tab/>
      </w:r>
      <w:proofErr w:type="spellStart"/>
      <w:r w:rsidR="0027053A" w:rsidRPr="00734864">
        <w:rPr>
          <w:sz w:val="28"/>
          <w:szCs w:val="28"/>
        </w:rPr>
        <w:t>R</w:t>
      </w:r>
      <w:r w:rsidR="00791F94">
        <w:rPr>
          <w:sz w:val="28"/>
          <w:szCs w:val="28"/>
        </w:rPr>
        <w:t>.</w:t>
      </w:r>
      <w:r w:rsidR="0027053A" w:rsidRPr="00734864">
        <w:rPr>
          <w:sz w:val="28"/>
          <w:szCs w:val="28"/>
        </w:rPr>
        <w:t>Petraviča</w:t>
      </w:r>
      <w:proofErr w:type="spellEnd"/>
    </w:p>
    <w:p w14:paraId="2DBA77DF" w14:textId="47854714" w:rsidR="00FC0919" w:rsidRDefault="00FC0919" w:rsidP="00894C55">
      <w:pPr>
        <w:tabs>
          <w:tab w:val="left" w:pos="6237"/>
        </w:tabs>
        <w:spacing w:after="0" w:line="240" w:lineRule="auto"/>
        <w:ind w:firstLine="720"/>
        <w:rPr>
          <w:rFonts w:ascii="Times New Roman" w:hAnsi="Times New Roman" w:cs="Times New Roman"/>
          <w:color w:val="000000" w:themeColor="text1"/>
          <w:sz w:val="28"/>
          <w:szCs w:val="28"/>
        </w:rPr>
      </w:pPr>
    </w:p>
    <w:p w14:paraId="5F04AEF8" w14:textId="51B93EBA" w:rsidR="005A16CB" w:rsidRDefault="005A16CB" w:rsidP="00894C55">
      <w:pPr>
        <w:tabs>
          <w:tab w:val="left" w:pos="6237"/>
        </w:tabs>
        <w:spacing w:after="0" w:line="240" w:lineRule="auto"/>
        <w:ind w:firstLine="720"/>
        <w:rPr>
          <w:rFonts w:ascii="Times New Roman" w:hAnsi="Times New Roman" w:cs="Times New Roman"/>
          <w:color w:val="000000" w:themeColor="text1"/>
          <w:sz w:val="28"/>
          <w:szCs w:val="28"/>
        </w:rPr>
      </w:pPr>
    </w:p>
    <w:p w14:paraId="4AA84F38" w14:textId="77777777" w:rsidR="005A16CB" w:rsidRPr="00734864" w:rsidRDefault="005A16CB" w:rsidP="00894C55">
      <w:pPr>
        <w:tabs>
          <w:tab w:val="left" w:pos="6237"/>
        </w:tabs>
        <w:spacing w:after="0" w:line="240" w:lineRule="auto"/>
        <w:ind w:firstLine="720"/>
        <w:rPr>
          <w:rFonts w:ascii="Times New Roman" w:hAnsi="Times New Roman" w:cs="Times New Roman"/>
          <w:color w:val="000000" w:themeColor="text1"/>
          <w:sz w:val="28"/>
          <w:szCs w:val="28"/>
        </w:rPr>
      </w:pPr>
    </w:p>
    <w:p w14:paraId="2DBA77E0" w14:textId="5CFD6F83" w:rsidR="00894C55" w:rsidRPr="00734864" w:rsidRDefault="00A26FBA" w:rsidP="00894C55">
      <w:pPr>
        <w:tabs>
          <w:tab w:val="left" w:pos="6237"/>
        </w:tabs>
        <w:spacing w:after="0" w:line="240" w:lineRule="auto"/>
        <w:rPr>
          <w:rFonts w:ascii="Times New Roman" w:hAnsi="Times New Roman" w:cs="Times New Roman"/>
        </w:rPr>
      </w:pPr>
      <w:r w:rsidRPr="00734864">
        <w:rPr>
          <w:rFonts w:ascii="Times New Roman" w:hAnsi="Times New Roman" w:cs="Times New Roman"/>
        </w:rPr>
        <w:t xml:space="preserve">Rucka </w:t>
      </w:r>
      <w:r w:rsidR="00D133F8" w:rsidRPr="00734864">
        <w:rPr>
          <w:rFonts w:ascii="Times New Roman" w:hAnsi="Times New Roman" w:cs="Times New Roman"/>
        </w:rPr>
        <w:t>670</w:t>
      </w:r>
      <w:r w:rsidRPr="00734864">
        <w:rPr>
          <w:rFonts w:ascii="Times New Roman" w:hAnsi="Times New Roman" w:cs="Times New Roman"/>
        </w:rPr>
        <w:t>21607</w:t>
      </w:r>
    </w:p>
    <w:p w14:paraId="17A52789" w14:textId="5A5A053C" w:rsidR="00A843E6" w:rsidRPr="00734864" w:rsidRDefault="00ED3EBD" w:rsidP="008A2DE0">
      <w:pPr>
        <w:tabs>
          <w:tab w:val="left" w:pos="6237"/>
        </w:tabs>
        <w:spacing w:after="0" w:line="240" w:lineRule="auto"/>
        <w:rPr>
          <w:rStyle w:val="Hyperlink"/>
          <w:rFonts w:ascii="Times New Roman" w:hAnsi="Times New Roman" w:cs="Times New Roman"/>
          <w:color w:val="auto"/>
          <w:u w:val="none"/>
        </w:rPr>
      </w:pPr>
      <w:hyperlink r:id="rId8" w:history="1">
        <w:r w:rsidR="0027053A" w:rsidRPr="00734864">
          <w:rPr>
            <w:rStyle w:val="Hyperlink"/>
            <w:rFonts w:ascii="Times New Roman" w:hAnsi="Times New Roman" w:cs="Times New Roman"/>
          </w:rPr>
          <w:t>Sandra.Rucka@lm.gov.lv</w:t>
        </w:r>
      </w:hyperlink>
      <w:r w:rsidR="0027053A" w:rsidRPr="00734864">
        <w:rPr>
          <w:rFonts w:ascii="Times New Roman" w:hAnsi="Times New Roman" w:cs="Times New Roman"/>
        </w:rPr>
        <w:t xml:space="preserve"> </w:t>
      </w:r>
    </w:p>
    <w:sectPr w:rsidR="00A843E6" w:rsidRPr="00734864" w:rsidSect="0073486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F49B4" w14:textId="77777777" w:rsidR="00ED3EBD" w:rsidRDefault="00ED3EBD" w:rsidP="00894C55">
      <w:pPr>
        <w:spacing w:after="0" w:line="240" w:lineRule="auto"/>
      </w:pPr>
      <w:r>
        <w:separator/>
      </w:r>
    </w:p>
  </w:endnote>
  <w:endnote w:type="continuationSeparator" w:id="0">
    <w:p w14:paraId="40E0AD85" w14:textId="77777777" w:rsidR="00ED3EBD" w:rsidRDefault="00ED3E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7829" w14:textId="6FABB38C" w:rsidR="00CC5D13" w:rsidRPr="009A2654" w:rsidRDefault="00CC5D13" w:rsidP="00A843E6">
    <w:pPr>
      <w:pStyle w:val="Footer"/>
      <w:rPr>
        <w:rFonts w:ascii="Times New Roman" w:hAnsi="Times New Roman" w:cs="Times New Roman"/>
        <w:sz w:val="20"/>
        <w:szCs w:val="20"/>
      </w:rPr>
    </w:pPr>
    <w:r>
      <w:rPr>
        <w:rFonts w:ascii="Times New Roman" w:hAnsi="Times New Roman" w:cs="Times New Roman"/>
        <w:sz w:val="20"/>
        <w:szCs w:val="20"/>
      </w:rPr>
      <w:t>LManot_</w:t>
    </w:r>
    <w:r w:rsidR="00791F94">
      <w:rPr>
        <w:rFonts w:ascii="Times New Roman" w:hAnsi="Times New Roman" w:cs="Times New Roman"/>
        <w:sz w:val="20"/>
        <w:szCs w:val="20"/>
      </w:rPr>
      <w:t>13</w:t>
    </w:r>
    <w:r w:rsidR="009A54D8">
      <w:rPr>
        <w:rFonts w:ascii="Times New Roman" w:hAnsi="Times New Roman" w:cs="Times New Roman"/>
        <w:sz w:val="20"/>
        <w:szCs w:val="20"/>
      </w:rPr>
      <w:t>10</w:t>
    </w:r>
    <w:r w:rsidR="00954B26">
      <w:rPr>
        <w:rFonts w:ascii="Times New Roman" w:hAnsi="Times New Roman" w:cs="Times New Roman"/>
        <w:sz w:val="20"/>
        <w:szCs w:val="20"/>
      </w:rPr>
      <w:t>2020</w:t>
    </w:r>
    <w:r>
      <w:rPr>
        <w:rFonts w:ascii="Times New Roman" w:hAnsi="Times New Roman" w:cs="Times New Roman"/>
        <w:sz w:val="20"/>
        <w:szCs w:val="20"/>
      </w:rPr>
      <w:t>_</w:t>
    </w:r>
    <w:r w:rsidR="00AA49E6">
      <w:rPr>
        <w:rFonts w:ascii="Times New Roman" w:hAnsi="Times New Roman" w:cs="Times New Roman"/>
        <w:sz w:val="20"/>
        <w:szCs w:val="20"/>
      </w:rPr>
      <w:t>GrozMK230</w:t>
    </w:r>
    <w:r w:rsidR="00A5799D">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77E8" w14:textId="2913E285" w:rsidR="00CC5D13" w:rsidRPr="009A2654" w:rsidRDefault="00CC5D13">
    <w:pPr>
      <w:pStyle w:val="Footer"/>
      <w:rPr>
        <w:rFonts w:ascii="Times New Roman" w:hAnsi="Times New Roman" w:cs="Times New Roman"/>
        <w:sz w:val="20"/>
        <w:szCs w:val="20"/>
      </w:rPr>
    </w:pPr>
    <w:r>
      <w:rPr>
        <w:rFonts w:ascii="Times New Roman" w:hAnsi="Times New Roman" w:cs="Times New Roman"/>
        <w:sz w:val="20"/>
        <w:szCs w:val="20"/>
      </w:rPr>
      <w:t>LManot_</w:t>
    </w:r>
    <w:r w:rsidR="00791F94">
      <w:rPr>
        <w:rFonts w:ascii="Times New Roman" w:hAnsi="Times New Roman" w:cs="Times New Roman"/>
        <w:sz w:val="20"/>
        <w:szCs w:val="20"/>
      </w:rPr>
      <w:t>13</w:t>
    </w:r>
    <w:r w:rsidR="009A54D8">
      <w:rPr>
        <w:rFonts w:ascii="Times New Roman" w:hAnsi="Times New Roman" w:cs="Times New Roman"/>
        <w:sz w:val="20"/>
        <w:szCs w:val="20"/>
      </w:rPr>
      <w:t>10</w:t>
    </w:r>
    <w:r w:rsidR="00A5799D">
      <w:rPr>
        <w:rFonts w:ascii="Times New Roman" w:hAnsi="Times New Roman" w:cs="Times New Roman"/>
        <w:sz w:val="20"/>
        <w:szCs w:val="20"/>
      </w:rPr>
      <w:t>2020</w:t>
    </w:r>
    <w:r>
      <w:rPr>
        <w:rFonts w:ascii="Times New Roman" w:hAnsi="Times New Roman" w:cs="Times New Roman"/>
        <w:sz w:val="20"/>
        <w:szCs w:val="20"/>
      </w:rPr>
      <w:t>_</w:t>
    </w:r>
    <w:r w:rsidR="00AA49E6">
      <w:rPr>
        <w:rFonts w:ascii="Times New Roman" w:hAnsi="Times New Roman" w:cs="Times New Roman"/>
        <w:sz w:val="20"/>
        <w:szCs w:val="20"/>
      </w:rPr>
      <w:t>GrozMK230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56FCE" w14:textId="77777777" w:rsidR="00ED3EBD" w:rsidRDefault="00ED3EBD" w:rsidP="00894C55">
      <w:pPr>
        <w:spacing w:after="0" w:line="240" w:lineRule="auto"/>
      </w:pPr>
      <w:r>
        <w:separator/>
      </w:r>
    </w:p>
  </w:footnote>
  <w:footnote w:type="continuationSeparator" w:id="0">
    <w:p w14:paraId="41804A74" w14:textId="77777777" w:rsidR="00ED3EBD" w:rsidRDefault="00ED3E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BA77E6" w14:textId="12599CBD" w:rsidR="00CC5D13" w:rsidRPr="00C25B49" w:rsidRDefault="00CC5D1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654"/>
    <w:multiLevelType w:val="hybridMultilevel"/>
    <w:tmpl w:val="AC500E3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3ACC5626"/>
    <w:multiLevelType w:val="hybridMultilevel"/>
    <w:tmpl w:val="EB884D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C81C49"/>
    <w:multiLevelType w:val="hybridMultilevel"/>
    <w:tmpl w:val="BC20A972"/>
    <w:lvl w:ilvl="0" w:tplc="15C22EAA">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3604C2C"/>
    <w:multiLevelType w:val="hybridMultilevel"/>
    <w:tmpl w:val="10F031CE"/>
    <w:lvl w:ilvl="0" w:tplc="7D025D06">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AC70FC3"/>
    <w:multiLevelType w:val="hybridMultilevel"/>
    <w:tmpl w:val="EB884D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473B"/>
    <w:rsid w:val="000254E7"/>
    <w:rsid w:val="00030747"/>
    <w:rsid w:val="000371E8"/>
    <w:rsid w:val="00042092"/>
    <w:rsid w:val="00047FC9"/>
    <w:rsid w:val="000541EB"/>
    <w:rsid w:val="00060778"/>
    <w:rsid w:val="000C776D"/>
    <w:rsid w:val="000D78D8"/>
    <w:rsid w:val="00101BD0"/>
    <w:rsid w:val="00112DF2"/>
    <w:rsid w:val="00137B2D"/>
    <w:rsid w:val="0014075B"/>
    <w:rsid w:val="001436E5"/>
    <w:rsid w:val="00144DF3"/>
    <w:rsid w:val="00184AD7"/>
    <w:rsid w:val="00197ED8"/>
    <w:rsid w:val="001D23D9"/>
    <w:rsid w:val="001D38B7"/>
    <w:rsid w:val="001D7FDD"/>
    <w:rsid w:val="001E5DC9"/>
    <w:rsid w:val="00201750"/>
    <w:rsid w:val="00206311"/>
    <w:rsid w:val="00215F9E"/>
    <w:rsid w:val="00231D82"/>
    <w:rsid w:val="00243426"/>
    <w:rsid w:val="00266224"/>
    <w:rsid w:val="0027053A"/>
    <w:rsid w:val="002A15EB"/>
    <w:rsid w:val="002A2E82"/>
    <w:rsid w:val="002A39FC"/>
    <w:rsid w:val="002B4E41"/>
    <w:rsid w:val="002C7177"/>
    <w:rsid w:val="002C72C2"/>
    <w:rsid w:val="002D7E8E"/>
    <w:rsid w:val="002E1C05"/>
    <w:rsid w:val="002F45F3"/>
    <w:rsid w:val="00335F3B"/>
    <w:rsid w:val="003570FE"/>
    <w:rsid w:val="00360B97"/>
    <w:rsid w:val="00363EBD"/>
    <w:rsid w:val="00371532"/>
    <w:rsid w:val="00375BDA"/>
    <w:rsid w:val="00380D16"/>
    <w:rsid w:val="003B0BF9"/>
    <w:rsid w:val="003C1BF8"/>
    <w:rsid w:val="003C4DB9"/>
    <w:rsid w:val="003C6176"/>
    <w:rsid w:val="003C6F7F"/>
    <w:rsid w:val="003D4102"/>
    <w:rsid w:val="003E0360"/>
    <w:rsid w:val="003E0791"/>
    <w:rsid w:val="003F28AC"/>
    <w:rsid w:val="003F5080"/>
    <w:rsid w:val="00402FFC"/>
    <w:rsid w:val="0040663B"/>
    <w:rsid w:val="004231F6"/>
    <w:rsid w:val="00437CF1"/>
    <w:rsid w:val="004454FE"/>
    <w:rsid w:val="00450FC5"/>
    <w:rsid w:val="00456E40"/>
    <w:rsid w:val="004642D4"/>
    <w:rsid w:val="0046559D"/>
    <w:rsid w:val="00471F27"/>
    <w:rsid w:val="00472855"/>
    <w:rsid w:val="00476030"/>
    <w:rsid w:val="00480B1F"/>
    <w:rsid w:val="0049345D"/>
    <w:rsid w:val="004A3EB7"/>
    <w:rsid w:val="004B1666"/>
    <w:rsid w:val="004B6614"/>
    <w:rsid w:val="004B67BB"/>
    <w:rsid w:val="004C16AF"/>
    <w:rsid w:val="004C2708"/>
    <w:rsid w:val="004E7026"/>
    <w:rsid w:val="0050178F"/>
    <w:rsid w:val="00532E0D"/>
    <w:rsid w:val="0054238D"/>
    <w:rsid w:val="00560449"/>
    <w:rsid w:val="00560704"/>
    <w:rsid w:val="0057121F"/>
    <w:rsid w:val="005827B4"/>
    <w:rsid w:val="00583CC5"/>
    <w:rsid w:val="005904DA"/>
    <w:rsid w:val="005A1282"/>
    <w:rsid w:val="005A16CB"/>
    <w:rsid w:val="005A172A"/>
    <w:rsid w:val="005A2782"/>
    <w:rsid w:val="005B26F8"/>
    <w:rsid w:val="005C54E7"/>
    <w:rsid w:val="005F061A"/>
    <w:rsid w:val="005F40FC"/>
    <w:rsid w:val="005F5ED5"/>
    <w:rsid w:val="005F7122"/>
    <w:rsid w:val="00617195"/>
    <w:rsid w:val="006423E7"/>
    <w:rsid w:val="00652644"/>
    <w:rsid w:val="00653DE4"/>
    <w:rsid w:val="00655F2C"/>
    <w:rsid w:val="006631CF"/>
    <w:rsid w:val="006874CA"/>
    <w:rsid w:val="00687642"/>
    <w:rsid w:val="0069527C"/>
    <w:rsid w:val="006A47A2"/>
    <w:rsid w:val="006A7166"/>
    <w:rsid w:val="006C58E2"/>
    <w:rsid w:val="006D5BC1"/>
    <w:rsid w:val="006E1081"/>
    <w:rsid w:val="006F0021"/>
    <w:rsid w:val="006F7644"/>
    <w:rsid w:val="00720585"/>
    <w:rsid w:val="007230FB"/>
    <w:rsid w:val="007259B1"/>
    <w:rsid w:val="007310B0"/>
    <w:rsid w:val="00734864"/>
    <w:rsid w:val="0073561B"/>
    <w:rsid w:val="0073743A"/>
    <w:rsid w:val="00743ED8"/>
    <w:rsid w:val="00746CBF"/>
    <w:rsid w:val="007565ED"/>
    <w:rsid w:val="00773AF6"/>
    <w:rsid w:val="00774166"/>
    <w:rsid w:val="00791F94"/>
    <w:rsid w:val="007923E1"/>
    <w:rsid w:val="00794558"/>
    <w:rsid w:val="00795F71"/>
    <w:rsid w:val="007B1ABB"/>
    <w:rsid w:val="007B597F"/>
    <w:rsid w:val="007B7FC0"/>
    <w:rsid w:val="007C3D33"/>
    <w:rsid w:val="007C66BD"/>
    <w:rsid w:val="007E5F7A"/>
    <w:rsid w:val="007E73AB"/>
    <w:rsid w:val="007F3A73"/>
    <w:rsid w:val="00816C11"/>
    <w:rsid w:val="0081746B"/>
    <w:rsid w:val="008231E9"/>
    <w:rsid w:val="00824D4B"/>
    <w:rsid w:val="00834767"/>
    <w:rsid w:val="00856097"/>
    <w:rsid w:val="00894C55"/>
    <w:rsid w:val="008A2DE0"/>
    <w:rsid w:val="008B25C3"/>
    <w:rsid w:val="008B2E5F"/>
    <w:rsid w:val="008D0672"/>
    <w:rsid w:val="008E6785"/>
    <w:rsid w:val="008F1931"/>
    <w:rsid w:val="0090035C"/>
    <w:rsid w:val="00916EA7"/>
    <w:rsid w:val="00921113"/>
    <w:rsid w:val="00941A90"/>
    <w:rsid w:val="00945026"/>
    <w:rsid w:val="00954B26"/>
    <w:rsid w:val="00967A1A"/>
    <w:rsid w:val="00971070"/>
    <w:rsid w:val="0097591B"/>
    <w:rsid w:val="009765A4"/>
    <w:rsid w:val="00983468"/>
    <w:rsid w:val="00985BBB"/>
    <w:rsid w:val="00994416"/>
    <w:rsid w:val="009A2654"/>
    <w:rsid w:val="009A28FC"/>
    <w:rsid w:val="009A54D8"/>
    <w:rsid w:val="009B3E51"/>
    <w:rsid w:val="009C19A6"/>
    <w:rsid w:val="009C66C1"/>
    <w:rsid w:val="009D3E35"/>
    <w:rsid w:val="009D78D3"/>
    <w:rsid w:val="009E1966"/>
    <w:rsid w:val="00A04D26"/>
    <w:rsid w:val="00A10FC3"/>
    <w:rsid w:val="00A13442"/>
    <w:rsid w:val="00A16872"/>
    <w:rsid w:val="00A241AD"/>
    <w:rsid w:val="00A26FBA"/>
    <w:rsid w:val="00A3042F"/>
    <w:rsid w:val="00A37D3A"/>
    <w:rsid w:val="00A55F29"/>
    <w:rsid w:val="00A565FD"/>
    <w:rsid w:val="00A5799D"/>
    <w:rsid w:val="00A6073E"/>
    <w:rsid w:val="00A61708"/>
    <w:rsid w:val="00A74A2A"/>
    <w:rsid w:val="00A7791E"/>
    <w:rsid w:val="00A83D33"/>
    <w:rsid w:val="00A843E6"/>
    <w:rsid w:val="00A8547D"/>
    <w:rsid w:val="00A95BF2"/>
    <w:rsid w:val="00AA49E6"/>
    <w:rsid w:val="00AE5567"/>
    <w:rsid w:val="00AF1239"/>
    <w:rsid w:val="00AF43D8"/>
    <w:rsid w:val="00AF5A16"/>
    <w:rsid w:val="00B16480"/>
    <w:rsid w:val="00B2165C"/>
    <w:rsid w:val="00B3065B"/>
    <w:rsid w:val="00B31BBB"/>
    <w:rsid w:val="00B5369D"/>
    <w:rsid w:val="00B54037"/>
    <w:rsid w:val="00B55B0F"/>
    <w:rsid w:val="00B56062"/>
    <w:rsid w:val="00B57B1F"/>
    <w:rsid w:val="00B605ED"/>
    <w:rsid w:val="00B663CB"/>
    <w:rsid w:val="00B6650A"/>
    <w:rsid w:val="00B7081C"/>
    <w:rsid w:val="00B75C9C"/>
    <w:rsid w:val="00B778CA"/>
    <w:rsid w:val="00B931E3"/>
    <w:rsid w:val="00BA20AA"/>
    <w:rsid w:val="00BA679B"/>
    <w:rsid w:val="00BB02C8"/>
    <w:rsid w:val="00BB32F9"/>
    <w:rsid w:val="00BD4425"/>
    <w:rsid w:val="00C15C76"/>
    <w:rsid w:val="00C17475"/>
    <w:rsid w:val="00C25B49"/>
    <w:rsid w:val="00C35461"/>
    <w:rsid w:val="00C57465"/>
    <w:rsid w:val="00C57E9C"/>
    <w:rsid w:val="00C66AA2"/>
    <w:rsid w:val="00C77DDE"/>
    <w:rsid w:val="00C842B3"/>
    <w:rsid w:val="00CB71E1"/>
    <w:rsid w:val="00CC0D2D"/>
    <w:rsid w:val="00CC5D13"/>
    <w:rsid w:val="00CE5657"/>
    <w:rsid w:val="00D133F8"/>
    <w:rsid w:val="00D13609"/>
    <w:rsid w:val="00D14A3E"/>
    <w:rsid w:val="00D25F24"/>
    <w:rsid w:val="00D434FB"/>
    <w:rsid w:val="00D55332"/>
    <w:rsid w:val="00D67D71"/>
    <w:rsid w:val="00D82FC0"/>
    <w:rsid w:val="00D945C3"/>
    <w:rsid w:val="00DA39BA"/>
    <w:rsid w:val="00DB2336"/>
    <w:rsid w:val="00DC1F0A"/>
    <w:rsid w:val="00DD7447"/>
    <w:rsid w:val="00DE1043"/>
    <w:rsid w:val="00DE1A9F"/>
    <w:rsid w:val="00DE6C33"/>
    <w:rsid w:val="00DE6DB8"/>
    <w:rsid w:val="00DE78A5"/>
    <w:rsid w:val="00DF0735"/>
    <w:rsid w:val="00E039E8"/>
    <w:rsid w:val="00E16936"/>
    <w:rsid w:val="00E269C6"/>
    <w:rsid w:val="00E3716B"/>
    <w:rsid w:val="00E37E9F"/>
    <w:rsid w:val="00E5323B"/>
    <w:rsid w:val="00E710B1"/>
    <w:rsid w:val="00E73E23"/>
    <w:rsid w:val="00E8542E"/>
    <w:rsid w:val="00E8749E"/>
    <w:rsid w:val="00E90C01"/>
    <w:rsid w:val="00E97139"/>
    <w:rsid w:val="00EA486E"/>
    <w:rsid w:val="00EA4F1D"/>
    <w:rsid w:val="00EB43D0"/>
    <w:rsid w:val="00ED3899"/>
    <w:rsid w:val="00ED3EBD"/>
    <w:rsid w:val="00F01901"/>
    <w:rsid w:val="00F03651"/>
    <w:rsid w:val="00F15AF8"/>
    <w:rsid w:val="00F22FAE"/>
    <w:rsid w:val="00F40DC1"/>
    <w:rsid w:val="00F5488F"/>
    <w:rsid w:val="00F57B0C"/>
    <w:rsid w:val="00F62328"/>
    <w:rsid w:val="00F66457"/>
    <w:rsid w:val="00FB673A"/>
    <w:rsid w:val="00FB68F2"/>
    <w:rsid w:val="00FC0919"/>
    <w:rsid w:val="00FC2E4E"/>
    <w:rsid w:val="00FD08ED"/>
    <w:rsid w:val="00FF4DF2"/>
    <w:rsid w:val="00FF5B7F"/>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A7573"/>
  <w15:docId w15:val="{C173AB2C-40A5-4DD8-8928-FB1F4581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
    <w:basedOn w:val="Normal"/>
    <w:link w:val="ListParagraphChar"/>
    <w:uiPriority w:val="34"/>
    <w:qFormat/>
    <w:rsid w:val="009B3E51"/>
    <w:pPr>
      <w:ind w:left="720"/>
      <w:contextualSpacing/>
    </w:pPr>
  </w:style>
  <w:style w:type="character" w:styleId="CommentReference">
    <w:name w:val="annotation reference"/>
    <w:basedOn w:val="DefaultParagraphFont"/>
    <w:uiPriority w:val="99"/>
    <w:semiHidden/>
    <w:unhideWhenUsed/>
    <w:rsid w:val="002C72C2"/>
    <w:rPr>
      <w:sz w:val="16"/>
      <w:szCs w:val="16"/>
    </w:rPr>
  </w:style>
  <w:style w:type="paragraph" w:styleId="CommentText">
    <w:name w:val="annotation text"/>
    <w:basedOn w:val="Normal"/>
    <w:link w:val="CommentTextChar"/>
    <w:uiPriority w:val="99"/>
    <w:semiHidden/>
    <w:unhideWhenUsed/>
    <w:rsid w:val="002C72C2"/>
    <w:pPr>
      <w:spacing w:line="240" w:lineRule="auto"/>
    </w:pPr>
    <w:rPr>
      <w:sz w:val="20"/>
      <w:szCs w:val="20"/>
    </w:rPr>
  </w:style>
  <w:style w:type="character" w:customStyle="1" w:styleId="CommentTextChar">
    <w:name w:val="Comment Text Char"/>
    <w:basedOn w:val="DefaultParagraphFont"/>
    <w:link w:val="CommentText"/>
    <w:uiPriority w:val="99"/>
    <w:semiHidden/>
    <w:rsid w:val="002C72C2"/>
    <w:rPr>
      <w:sz w:val="20"/>
      <w:szCs w:val="20"/>
    </w:rPr>
  </w:style>
  <w:style w:type="paragraph" w:styleId="CommentSubject">
    <w:name w:val="annotation subject"/>
    <w:basedOn w:val="CommentText"/>
    <w:next w:val="CommentText"/>
    <w:link w:val="CommentSubjectChar"/>
    <w:uiPriority w:val="99"/>
    <w:semiHidden/>
    <w:unhideWhenUsed/>
    <w:rsid w:val="002C72C2"/>
    <w:rPr>
      <w:b/>
      <w:bCs/>
    </w:rPr>
  </w:style>
  <w:style w:type="character" w:customStyle="1" w:styleId="CommentSubjectChar">
    <w:name w:val="Comment Subject Char"/>
    <w:basedOn w:val="CommentTextChar"/>
    <w:link w:val="CommentSubject"/>
    <w:uiPriority w:val="99"/>
    <w:semiHidden/>
    <w:rsid w:val="002C72C2"/>
    <w:rPr>
      <w:b/>
      <w:bCs/>
      <w:sz w:val="20"/>
      <w:szCs w:val="20"/>
    </w:rPr>
  </w:style>
  <w:style w:type="paragraph" w:customStyle="1" w:styleId="naisf">
    <w:name w:val="naisf"/>
    <w:basedOn w:val="Normal"/>
    <w:rsid w:val="00A843E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27053A"/>
    <w:rPr>
      <w:color w:val="605E5C"/>
      <w:shd w:val="clear" w:color="auto" w:fill="E1DFDD"/>
    </w:rPr>
  </w:style>
  <w:style w:type="paragraph" w:styleId="BodyText">
    <w:name w:val="Body Text"/>
    <w:basedOn w:val="Normal"/>
    <w:link w:val="BodyTextChar"/>
    <w:rsid w:val="00856097"/>
    <w:pPr>
      <w:spacing w:after="0" w:line="240" w:lineRule="auto"/>
      <w:jc w:val="center"/>
    </w:pPr>
    <w:rPr>
      <w:rFonts w:ascii="Calibri" w:eastAsia="Times New Roman" w:hAnsi="Calibri" w:cs="Calibri"/>
      <w:sz w:val="28"/>
      <w:szCs w:val="28"/>
    </w:rPr>
  </w:style>
  <w:style w:type="character" w:customStyle="1" w:styleId="BodyTextChar">
    <w:name w:val="Body Text Char"/>
    <w:basedOn w:val="DefaultParagraphFont"/>
    <w:link w:val="BodyText"/>
    <w:rsid w:val="00856097"/>
    <w:rPr>
      <w:rFonts w:ascii="Calibri" w:eastAsia="Times New Roman" w:hAnsi="Calibri" w:cs="Calibri"/>
      <w:sz w:val="28"/>
      <w:szCs w:val="28"/>
    </w:rPr>
  </w:style>
  <w:style w:type="character" w:customStyle="1" w:styleId="ListParagraphChar">
    <w:name w:val="List Paragraph Char"/>
    <w:aliases w:val="2 Char,Strip Char,H&amp;P List Paragraph Char,Saraksta rindkopa Char,Saraksta rindkopa1 Char"/>
    <w:link w:val="ListParagraph"/>
    <w:uiPriority w:val="34"/>
    <w:locked/>
    <w:rsid w:val="0095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9510066">
      <w:bodyDiv w:val="1"/>
      <w:marLeft w:val="0"/>
      <w:marRight w:val="0"/>
      <w:marTop w:val="0"/>
      <w:marBottom w:val="0"/>
      <w:divBdr>
        <w:top w:val="none" w:sz="0" w:space="0" w:color="auto"/>
        <w:left w:val="none" w:sz="0" w:space="0" w:color="auto"/>
        <w:bottom w:val="none" w:sz="0" w:space="0" w:color="auto"/>
        <w:right w:val="none" w:sz="0" w:space="0" w:color="auto"/>
      </w:divBdr>
    </w:div>
    <w:div w:id="19062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Ruck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FA5E-3AA0-4631-9655-9AAF6F75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6358</Words>
  <Characters>3625</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Grozījumi Ministru kabineta 2001. gada 5. jūnija noteikumos Nr. 230 “Noteikumi par valsts sociālās apdrošināšanas obligātajām iemaksām no valsts pamatbudžeta un valsts sociālās apdrošināšanas speciālajiem budžetiem”</vt:lpstr>
    </vt:vector>
  </TitlesOfParts>
  <Company>LM</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 gada 5. jūnija noteikumos Nr. 230 “Noteikumi par valsts sociālās apdrošināšanas obligātajām iemaksām no valsts pamatbudžeta un valsts sociālās apdrošināšanas speciālajiem budžetiem”</dc:title>
  <dc:subject>Anotācija</dc:subject>
  <dc:creator>Sandra Rucka</dc:creator>
  <dc:description>67021607, Sandra.Rucka@lm.gov.lv</dc:description>
  <cp:lastModifiedBy>Sandra Rucka</cp:lastModifiedBy>
  <cp:revision>2</cp:revision>
  <cp:lastPrinted>2020-09-03T10:38:00Z</cp:lastPrinted>
  <dcterms:created xsi:type="dcterms:W3CDTF">2020-10-13T07:41:00Z</dcterms:created>
  <dcterms:modified xsi:type="dcterms:W3CDTF">2020-10-13T07:41:00Z</dcterms:modified>
</cp:coreProperties>
</file>