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4E" w:rsidRDefault="0054714E" w:rsidP="0054714E">
      <w:pPr>
        <w:spacing w:after="0" w:line="240" w:lineRule="auto"/>
        <w:ind w:firstLine="720"/>
        <w:jc w:val="center"/>
        <w:rPr>
          <w:rFonts w:ascii="Times New Roman" w:eastAsia="Times New Roman" w:hAnsi="Times New Roman" w:cs="Times New Roman"/>
          <w:b/>
          <w:bCs/>
          <w:sz w:val="28"/>
          <w:szCs w:val="28"/>
          <w:lang w:eastAsia="lv-LV"/>
        </w:rPr>
      </w:pPr>
      <w:bookmarkStart w:id="0" w:name="_Hlk51692854"/>
      <w:r>
        <w:rPr>
          <w:rFonts w:ascii="Times New Roman" w:eastAsia="Times New Roman" w:hAnsi="Times New Roman" w:cs="Times New Roman"/>
          <w:b/>
          <w:bCs/>
          <w:sz w:val="28"/>
          <w:szCs w:val="28"/>
          <w:lang w:eastAsia="lv-LV"/>
        </w:rPr>
        <w:t>Izziņa par atzinumos sniegtajiem iebildumiem</w:t>
      </w:r>
    </w:p>
    <w:bookmarkEnd w:id="0"/>
    <w:p w:rsidR="0054714E" w:rsidRDefault="0054714E" w:rsidP="0054714E">
      <w:pPr>
        <w:spacing w:after="0" w:line="240" w:lineRule="auto"/>
        <w:ind w:firstLine="720"/>
        <w:jc w:val="both"/>
        <w:rPr>
          <w:rFonts w:ascii="Times New Roman" w:eastAsia="Times New Roman" w:hAnsi="Times New Roman" w:cs="Times New Roman"/>
          <w:sz w:val="24"/>
          <w:szCs w:val="24"/>
          <w:lang w:eastAsia="lv-LV"/>
        </w:rPr>
      </w:pPr>
    </w:p>
    <w:tbl>
      <w:tblPr>
        <w:tblW w:w="0" w:type="auto"/>
        <w:jc w:val="center"/>
        <w:tblLook w:val="00A0" w:firstRow="1" w:lastRow="0" w:firstColumn="1" w:lastColumn="0" w:noHBand="0" w:noVBand="0"/>
      </w:tblPr>
      <w:tblGrid>
        <w:gridCol w:w="10188"/>
      </w:tblGrid>
      <w:tr w:rsidR="0054714E" w:rsidTr="0054714E">
        <w:trPr>
          <w:jc w:val="center"/>
        </w:trPr>
        <w:tc>
          <w:tcPr>
            <w:tcW w:w="10188" w:type="dxa"/>
            <w:tcBorders>
              <w:top w:val="nil"/>
              <w:left w:val="nil"/>
              <w:bottom w:val="single" w:sz="6" w:space="0" w:color="000000"/>
              <w:right w:val="nil"/>
            </w:tcBorders>
            <w:hideMark/>
          </w:tcPr>
          <w:p w:rsidR="0054714E" w:rsidRDefault="0054714E" w:rsidP="0054714E">
            <w:pPr>
              <w:spacing w:after="0" w:line="240" w:lineRule="auto"/>
              <w:ind w:firstLine="112"/>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“Grozījumi likumā “Par </w:t>
            </w:r>
            <w:r>
              <w:rPr>
                <w:rFonts w:ascii="Times New Roman" w:eastAsia="Times New Roman" w:hAnsi="Times New Roman" w:cs="Times New Roman"/>
                <w:sz w:val="24"/>
                <w:szCs w:val="24"/>
                <w:lang w:eastAsia="lv-LV"/>
              </w:rPr>
              <w:t>obligāto sociālo apdrošināšanu pret nelaimes gadījumiem darbā un arodslimībām</w:t>
            </w:r>
            <w:r>
              <w:rPr>
                <w:rFonts w:ascii="Times New Roman" w:eastAsia="Times New Roman" w:hAnsi="Times New Roman" w:cs="Times New Roman"/>
                <w:sz w:val="24"/>
                <w:szCs w:val="24"/>
                <w:lang w:eastAsia="lv-LV"/>
              </w:rPr>
              <w:t>””</w:t>
            </w:r>
            <w:r w:rsidR="00C3731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(turpmāk – Likumprojekts)</w:t>
            </w:r>
          </w:p>
        </w:tc>
      </w:tr>
    </w:tbl>
    <w:p w:rsidR="0054714E" w:rsidRDefault="0054714E" w:rsidP="0054714E">
      <w:pPr>
        <w:spacing w:after="0" w:line="240" w:lineRule="auto"/>
        <w:ind w:firstLine="108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veids un nosaukums)</w:t>
      </w:r>
    </w:p>
    <w:p w:rsidR="0054714E" w:rsidRDefault="0054714E" w:rsidP="0054714E">
      <w:pPr>
        <w:suppressAutoHyphens/>
        <w:spacing w:after="0" w:line="240" w:lineRule="auto"/>
        <w:contextualSpacing/>
        <w:jc w:val="both"/>
        <w:rPr>
          <w:rFonts w:ascii="Times New Roman" w:eastAsia="Times New Roman" w:hAnsi="Times New Roman" w:cs="Times New Roman"/>
          <w:b/>
          <w:sz w:val="24"/>
          <w:szCs w:val="24"/>
          <w:lang w:eastAsia="zh-CN"/>
        </w:rPr>
      </w:pPr>
    </w:p>
    <w:p w:rsidR="0054714E" w:rsidRPr="0054714E" w:rsidRDefault="0054714E" w:rsidP="0054714E">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b/>
          <w:sz w:val="24"/>
          <w:szCs w:val="24"/>
          <w:lang w:eastAsia="zh-CN"/>
        </w:rPr>
        <w:t>I. Jautājumi, par kuriem saskaņošanā vienošanās nav panākta</w:t>
      </w:r>
    </w:p>
    <w:p w:rsidR="0054714E" w:rsidRPr="0054714E" w:rsidRDefault="0054714E" w:rsidP="0054714E">
      <w:pPr>
        <w:suppressAutoHyphens/>
        <w:spacing w:after="0" w:line="240" w:lineRule="auto"/>
        <w:ind w:firstLine="720"/>
        <w:contextualSpacing/>
        <w:jc w:val="both"/>
        <w:rPr>
          <w:rFonts w:ascii="Times New Roman" w:eastAsia="Times New Roman" w:hAnsi="Times New Roman" w:cs="Times New Roman"/>
          <w:b/>
          <w:sz w:val="24"/>
          <w:szCs w:val="24"/>
          <w:lang w:eastAsia="zh-CN"/>
        </w:rPr>
      </w:pPr>
    </w:p>
    <w:tbl>
      <w:tblPr>
        <w:tblW w:w="5200" w:type="pct"/>
        <w:tblInd w:w="-14" w:type="dxa"/>
        <w:tblLayout w:type="fixed"/>
        <w:tblLook w:val="04A0" w:firstRow="1" w:lastRow="0" w:firstColumn="1" w:lastColumn="0" w:noHBand="0" w:noVBand="1"/>
      </w:tblPr>
      <w:tblGrid>
        <w:gridCol w:w="577"/>
        <w:gridCol w:w="2089"/>
        <w:gridCol w:w="4855"/>
        <w:gridCol w:w="3817"/>
        <w:gridCol w:w="1533"/>
        <w:gridCol w:w="1973"/>
      </w:tblGrid>
      <w:tr w:rsidR="0054714E" w:rsidRPr="0054714E" w:rsidTr="0054714E">
        <w:tc>
          <w:tcPr>
            <w:tcW w:w="577" w:type="dxa"/>
            <w:tcBorders>
              <w:top w:val="single" w:sz="6" w:space="0" w:color="000000"/>
              <w:left w:val="single" w:sz="6" w:space="0" w:color="000000"/>
              <w:bottom w:val="single" w:sz="6" w:space="0" w:color="000000"/>
              <w:right w:val="nil"/>
            </w:tcBorders>
            <w:vAlign w:val="center"/>
            <w:hideMark/>
          </w:tcPr>
          <w:p w:rsidR="0054714E" w:rsidRPr="0054714E" w:rsidRDefault="0054714E">
            <w:pPr>
              <w:suppressAutoHyphens/>
              <w:spacing w:after="0" w:line="240" w:lineRule="auto"/>
              <w:contextualSpacing/>
              <w:jc w:val="center"/>
              <w:rPr>
                <w:rFonts w:ascii="Times New Roman" w:eastAsia="Times New Roman" w:hAnsi="Times New Roman" w:cs="Times New Roman"/>
                <w:sz w:val="24"/>
                <w:szCs w:val="24"/>
                <w:lang w:eastAsia="zh-CN"/>
              </w:rPr>
            </w:pPr>
            <w:bookmarkStart w:id="1" w:name="_Hlk527727860"/>
            <w:bookmarkEnd w:id="1"/>
            <w:r w:rsidRPr="0054714E">
              <w:rPr>
                <w:rFonts w:ascii="Times New Roman" w:eastAsia="Times New Roman" w:hAnsi="Times New Roman" w:cs="Times New Roman"/>
                <w:sz w:val="24"/>
                <w:szCs w:val="24"/>
                <w:lang w:eastAsia="zh-CN"/>
              </w:rPr>
              <w:t>Nr. p.k.</w:t>
            </w:r>
          </w:p>
        </w:tc>
        <w:tc>
          <w:tcPr>
            <w:tcW w:w="2089" w:type="dxa"/>
            <w:tcBorders>
              <w:top w:val="single" w:sz="6" w:space="0" w:color="000000"/>
              <w:left w:val="single" w:sz="6" w:space="0" w:color="000000"/>
              <w:bottom w:val="single" w:sz="6" w:space="0" w:color="000000"/>
              <w:right w:val="nil"/>
            </w:tcBorders>
            <w:vAlign w:val="center"/>
            <w:hideMark/>
          </w:tcPr>
          <w:p w:rsidR="0054714E" w:rsidRPr="0054714E" w:rsidRDefault="0054714E">
            <w:pPr>
              <w:suppressAutoHyphens/>
              <w:spacing w:after="0" w:line="240" w:lineRule="auto"/>
              <w:ind w:firstLine="12"/>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Saskaņošanai nosūtītā projekta redakcija (konkrēta punkta (panta) redakcija)</w:t>
            </w:r>
          </w:p>
        </w:tc>
        <w:tc>
          <w:tcPr>
            <w:tcW w:w="4855" w:type="dxa"/>
            <w:tcBorders>
              <w:top w:val="single" w:sz="6" w:space="0" w:color="000000"/>
              <w:left w:val="single" w:sz="6" w:space="0" w:color="000000"/>
              <w:bottom w:val="single" w:sz="6" w:space="0" w:color="000000"/>
              <w:right w:val="nil"/>
            </w:tcBorders>
            <w:vAlign w:val="center"/>
            <w:hideMark/>
          </w:tcPr>
          <w:p w:rsidR="0054714E" w:rsidRPr="0054714E" w:rsidRDefault="0054714E">
            <w:pPr>
              <w:suppressAutoHyphens/>
              <w:spacing w:after="0" w:line="240" w:lineRule="auto"/>
              <w:ind w:right="3"/>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Atzinumā norādītais ministrijas (citas institūcijas) iebildums, kā arī saskaņošanā papildus izteiktais iebildums par projekta konkrēto punktu (pantu)</w:t>
            </w:r>
          </w:p>
        </w:tc>
        <w:tc>
          <w:tcPr>
            <w:tcW w:w="3817" w:type="dxa"/>
            <w:tcBorders>
              <w:top w:val="single" w:sz="6" w:space="0" w:color="000000"/>
              <w:left w:val="single" w:sz="6" w:space="0" w:color="000000"/>
              <w:bottom w:val="single" w:sz="6" w:space="0" w:color="000000"/>
              <w:right w:val="nil"/>
            </w:tcBorders>
            <w:vAlign w:val="center"/>
            <w:hideMark/>
          </w:tcPr>
          <w:p w:rsidR="0054714E" w:rsidRPr="0054714E" w:rsidRDefault="0054714E">
            <w:pPr>
              <w:suppressAutoHyphens/>
              <w:spacing w:after="0" w:line="240" w:lineRule="auto"/>
              <w:ind w:firstLine="21"/>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Atbildīgās ministrijas pamatojums iebilduma noraidījumam</w:t>
            </w:r>
          </w:p>
        </w:tc>
        <w:tc>
          <w:tcPr>
            <w:tcW w:w="1533" w:type="dxa"/>
            <w:tcBorders>
              <w:top w:val="single" w:sz="4" w:space="0" w:color="000000"/>
              <w:left w:val="single" w:sz="6" w:space="0" w:color="000000"/>
              <w:bottom w:val="single" w:sz="4" w:space="0" w:color="000000"/>
              <w:right w:val="nil"/>
            </w:tcBorders>
            <w:vAlign w:val="center"/>
            <w:hideMark/>
          </w:tcPr>
          <w:p w:rsidR="0054714E" w:rsidRPr="0054714E" w:rsidRDefault="0054714E">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Atzinuma sniedzēja uzturētais iebildums, ja tas atšķiras no atzinumā norādītā iebilduma pamatojuma</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54714E" w:rsidRPr="0054714E" w:rsidRDefault="0054714E">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Projekta attiecīgā punkta (panta) galīgā redakcija</w:t>
            </w:r>
          </w:p>
        </w:tc>
      </w:tr>
      <w:tr w:rsidR="0054714E" w:rsidRPr="0054714E" w:rsidTr="0054714E">
        <w:tc>
          <w:tcPr>
            <w:tcW w:w="577" w:type="dxa"/>
            <w:tcBorders>
              <w:top w:val="single" w:sz="6" w:space="0" w:color="000000"/>
              <w:left w:val="single" w:sz="6" w:space="0" w:color="000000"/>
              <w:bottom w:val="single" w:sz="6" w:space="0" w:color="000000"/>
              <w:right w:val="nil"/>
            </w:tcBorders>
            <w:hideMark/>
          </w:tcPr>
          <w:p w:rsidR="0054714E" w:rsidRPr="0054714E" w:rsidRDefault="0054714E">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1</w:t>
            </w:r>
          </w:p>
        </w:tc>
        <w:tc>
          <w:tcPr>
            <w:tcW w:w="2089" w:type="dxa"/>
            <w:tcBorders>
              <w:top w:val="single" w:sz="6" w:space="0" w:color="000000"/>
              <w:left w:val="single" w:sz="6" w:space="0" w:color="000000"/>
              <w:bottom w:val="single" w:sz="6" w:space="0" w:color="000000"/>
              <w:right w:val="nil"/>
            </w:tcBorders>
            <w:hideMark/>
          </w:tcPr>
          <w:p w:rsidR="0054714E" w:rsidRPr="0054714E" w:rsidRDefault="0054714E">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2</w:t>
            </w:r>
          </w:p>
        </w:tc>
        <w:tc>
          <w:tcPr>
            <w:tcW w:w="4855" w:type="dxa"/>
            <w:tcBorders>
              <w:top w:val="single" w:sz="6" w:space="0" w:color="000000"/>
              <w:left w:val="single" w:sz="6" w:space="0" w:color="000000"/>
              <w:bottom w:val="single" w:sz="6" w:space="0" w:color="000000"/>
              <w:right w:val="nil"/>
            </w:tcBorders>
            <w:hideMark/>
          </w:tcPr>
          <w:p w:rsidR="0054714E" w:rsidRPr="0054714E" w:rsidRDefault="0054714E">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3</w:t>
            </w:r>
          </w:p>
        </w:tc>
        <w:tc>
          <w:tcPr>
            <w:tcW w:w="3817" w:type="dxa"/>
            <w:tcBorders>
              <w:top w:val="single" w:sz="6" w:space="0" w:color="000000"/>
              <w:left w:val="single" w:sz="6" w:space="0" w:color="000000"/>
              <w:bottom w:val="single" w:sz="6" w:space="0" w:color="000000"/>
              <w:right w:val="nil"/>
            </w:tcBorders>
            <w:hideMark/>
          </w:tcPr>
          <w:p w:rsidR="0054714E" w:rsidRPr="0054714E" w:rsidRDefault="0054714E">
            <w:pPr>
              <w:suppressAutoHyphens/>
              <w:spacing w:after="0" w:line="240" w:lineRule="auto"/>
              <w:ind w:firstLine="720"/>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4</w:t>
            </w:r>
          </w:p>
        </w:tc>
        <w:tc>
          <w:tcPr>
            <w:tcW w:w="1533" w:type="dxa"/>
            <w:tcBorders>
              <w:top w:val="single" w:sz="4" w:space="0" w:color="000000"/>
              <w:left w:val="single" w:sz="6" w:space="0" w:color="000000"/>
              <w:bottom w:val="single" w:sz="4" w:space="0" w:color="000000"/>
              <w:right w:val="nil"/>
            </w:tcBorders>
            <w:hideMark/>
          </w:tcPr>
          <w:p w:rsidR="0054714E" w:rsidRPr="0054714E" w:rsidRDefault="0054714E">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5</w:t>
            </w:r>
          </w:p>
        </w:tc>
        <w:tc>
          <w:tcPr>
            <w:tcW w:w="1973" w:type="dxa"/>
            <w:tcBorders>
              <w:top w:val="single" w:sz="4" w:space="0" w:color="000000"/>
              <w:left w:val="single" w:sz="4" w:space="0" w:color="000000"/>
              <w:bottom w:val="single" w:sz="4" w:space="0" w:color="000000"/>
              <w:right w:val="single" w:sz="4" w:space="0" w:color="000000"/>
            </w:tcBorders>
            <w:hideMark/>
          </w:tcPr>
          <w:p w:rsidR="0054714E" w:rsidRPr="0054714E" w:rsidRDefault="0054714E">
            <w:pPr>
              <w:suppressAutoHyphens/>
              <w:spacing w:after="0" w:line="240" w:lineRule="auto"/>
              <w:contextualSpacing/>
              <w:jc w:val="center"/>
              <w:rPr>
                <w:rFonts w:ascii="Times New Roman" w:eastAsia="Times New Roman" w:hAnsi="Times New Roman" w:cs="Times New Roman"/>
                <w:sz w:val="24"/>
                <w:szCs w:val="24"/>
                <w:lang w:eastAsia="zh-CN"/>
              </w:rPr>
            </w:pPr>
            <w:r w:rsidRPr="0054714E">
              <w:rPr>
                <w:rFonts w:ascii="Times New Roman" w:eastAsia="Times New Roman" w:hAnsi="Times New Roman" w:cs="Times New Roman"/>
                <w:sz w:val="24"/>
                <w:szCs w:val="24"/>
                <w:lang w:eastAsia="zh-CN"/>
              </w:rPr>
              <w:t>6</w:t>
            </w:r>
          </w:p>
        </w:tc>
      </w:tr>
      <w:tr w:rsidR="0054714E" w:rsidRPr="0054714E" w:rsidTr="0054714E">
        <w:tc>
          <w:tcPr>
            <w:tcW w:w="14844" w:type="dxa"/>
            <w:gridSpan w:val="6"/>
            <w:tcBorders>
              <w:top w:val="single" w:sz="4" w:space="0" w:color="000000"/>
              <w:left w:val="single" w:sz="6" w:space="0" w:color="000000"/>
              <w:bottom w:val="single" w:sz="4" w:space="0" w:color="000000"/>
              <w:right w:val="single" w:sz="4" w:space="0" w:color="000000"/>
            </w:tcBorders>
            <w:hideMark/>
          </w:tcPr>
          <w:p w:rsidR="0054714E" w:rsidRPr="0054714E" w:rsidRDefault="0054714E" w:rsidP="0054714E">
            <w:pPr>
              <w:suppressAutoHyphens/>
              <w:snapToGrid w:val="0"/>
              <w:spacing w:after="0" w:line="240" w:lineRule="auto"/>
              <w:contextualSpacing/>
              <w:jc w:val="center"/>
              <w:rPr>
                <w:rFonts w:ascii="Times New Roman" w:eastAsia="Times New Roman" w:hAnsi="Times New Roman" w:cs="Times New Roman"/>
                <w:b/>
                <w:bCs/>
                <w:sz w:val="24"/>
                <w:szCs w:val="24"/>
                <w:lang w:eastAsia="zh-CN"/>
              </w:rPr>
            </w:pPr>
            <w:r w:rsidRPr="0054714E">
              <w:rPr>
                <w:rFonts w:ascii="Times New Roman" w:eastAsia="Times New Roman" w:hAnsi="Times New Roman" w:cs="Times New Roman"/>
                <w:b/>
                <w:bCs/>
                <w:sz w:val="24"/>
                <w:szCs w:val="24"/>
                <w:lang w:eastAsia="zh-CN"/>
              </w:rPr>
              <w:t>Finanšu ministrija</w:t>
            </w:r>
          </w:p>
        </w:tc>
      </w:tr>
      <w:tr w:rsidR="003449D1" w:rsidRPr="0054714E" w:rsidTr="0054714E">
        <w:tc>
          <w:tcPr>
            <w:tcW w:w="577" w:type="dxa"/>
            <w:tcBorders>
              <w:top w:val="single" w:sz="4" w:space="0" w:color="000000"/>
              <w:left w:val="single" w:sz="6" w:space="0" w:color="000000"/>
              <w:bottom w:val="single" w:sz="4" w:space="0" w:color="000000"/>
              <w:right w:val="nil"/>
            </w:tcBorders>
          </w:tcPr>
          <w:p w:rsidR="003449D1" w:rsidRPr="0054714E" w:rsidRDefault="003449D1" w:rsidP="003449D1">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089" w:type="dxa"/>
            <w:tcBorders>
              <w:top w:val="single" w:sz="4" w:space="0" w:color="000000"/>
              <w:left w:val="single" w:sz="6" w:space="0" w:color="000000"/>
              <w:bottom w:val="single" w:sz="4" w:space="0" w:color="000000"/>
              <w:right w:val="nil"/>
            </w:tcBorders>
            <w:hideMark/>
          </w:tcPr>
          <w:p w:rsidR="003449D1" w:rsidRPr="0054714E" w:rsidRDefault="003449D1" w:rsidP="003449D1">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w:t>
            </w:r>
            <w:r w:rsidRPr="0054714E">
              <w:rPr>
                <w:rFonts w:ascii="Times New Roman" w:eastAsia="Times New Roman" w:hAnsi="Times New Roman" w:cs="Times New Roman"/>
                <w:sz w:val="24"/>
                <w:szCs w:val="24"/>
                <w:lang w:eastAsia="zh-CN"/>
              </w:rPr>
              <w:t>ikumprojekt</w:t>
            </w:r>
            <w:r>
              <w:rPr>
                <w:rFonts w:ascii="Times New Roman" w:eastAsia="Times New Roman" w:hAnsi="Times New Roman" w:cs="Times New Roman"/>
                <w:sz w:val="24"/>
                <w:szCs w:val="24"/>
                <w:lang w:eastAsia="zh-CN"/>
              </w:rPr>
              <w:t>u.</w:t>
            </w:r>
            <w:r w:rsidRPr="0054714E">
              <w:rPr>
                <w:rFonts w:ascii="Times New Roman" w:eastAsia="Times New Roman" w:hAnsi="Times New Roman" w:cs="Times New Roman"/>
                <w:sz w:val="24"/>
                <w:szCs w:val="24"/>
                <w:lang w:eastAsia="zh-CN"/>
              </w:rPr>
              <w:t xml:space="preserve"> </w:t>
            </w:r>
          </w:p>
        </w:tc>
        <w:tc>
          <w:tcPr>
            <w:tcW w:w="4855" w:type="dxa"/>
            <w:tcBorders>
              <w:top w:val="single" w:sz="6" w:space="0" w:color="000000"/>
              <w:left w:val="single" w:sz="6" w:space="0" w:color="000000"/>
              <w:bottom w:val="single" w:sz="6" w:space="0" w:color="000000"/>
              <w:right w:val="nil"/>
            </w:tcBorders>
          </w:tcPr>
          <w:p w:rsidR="003449D1" w:rsidRPr="0054714E" w:rsidRDefault="003449D1" w:rsidP="003449D1">
            <w:pPr>
              <w:ind w:firstLine="567"/>
              <w:jc w:val="both"/>
              <w:rPr>
                <w:rFonts w:ascii="Times New Roman" w:hAnsi="Times New Roman" w:cs="Times New Roman"/>
                <w:sz w:val="24"/>
                <w:szCs w:val="24"/>
              </w:rPr>
            </w:pPr>
            <w:r w:rsidRPr="0054714E">
              <w:rPr>
                <w:rFonts w:ascii="Times New Roman" w:hAnsi="Times New Roman" w:cs="Times New Roman"/>
                <w:sz w:val="24"/>
                <w:szCs w:val="24"/>
              </w:rPr>
              <w:t xml:space="preserve">Likumprojekts paredz paaugstināt atlīdzības par apgādnieka zaudējumu minimālo apmēru, nosakot to procentuālā apmērā no Centrālās statistikas pārvaldes pārskata gadā tīmekļa vietnē publicētās mājsaimniecību rīcībā esošās ienākumu mediānas uz vienu ekvivalento patērētāju (turpmāk – ienākumu mediāna), un tā regulāru pārskatīšanu atbilstoši likumā “Par sociālo drošību” noteikto minimālo ienākumu sliekšņu pārskatīšanas kārtībai. Neatbalstām, ka likumprojektā atlīdzības par apgādnieka zaudējumu minimālais apmērs tiek piesaistīts </w:t>
            </w:r>
            <w:r w:rsidRPr="0054714E">
              <w:rPr>
                <w:rFonts w:ascii="Times New Roman" w:hAnsi="Times New Roman" w:cs="Times New Roman"/>
                <w:sz w:val="24"/>
                <w:szCs w:val="24"/>
              </w:rPr>
              <w:lastRenderedPageBreak/>
              <w:t>mainīgai vērtībai - ienākumu mediānai, un uzskatām, ka likumprojektā tas nosakāms kā konstants apmērs, savukārt tā pārskatīšanu var veikt, sagatavojot gadskārtējo valsts budžeta likumprojektu un vidēja termiņa budžeta ietvara likumprojektu, LM iesniedzot attiecīgu pieteikumu prioritārajam pasākumam un jautājumu izskatot Ministru kabinetā kopā ar visu ministriju un centrālo valsts iestāžu iesniegtajiem prioritāro pasākumu pieteikumiem atbilstoši valsts budžeta finansiālajām iespējām. Līdz ar to LM nepieciešams precizēt likumprojektu un anotāciju.</w:t>
            </w:r>
          </w:p>
          <w:p w:rsidR="003449D1" w:rsidRPr="0054714E" w:rsidRDefault="003449D1" w:rsidP="003449D1">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3817" w:type="dxa"/>
            <w:tcBorders>
              <w:top w:val="single" w:sz="4" w:space="0" w:color="000000"/>
              <w:left w:val="single" w:sz="6" w:space="0" w:color="000000"/>
              <w:bottom w:val="single" w:sz="4" w:space="0" w:color="000000"/>
              <w:right w:val="nil"/>
            </w:tcBorders>
          </w:tcPr>
          <w:p w:rsidR="003449D1" w:rsidRDefault="003449D1" w:rsidP="003449D1">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Nav ņemts vērā:</w:t>
            </w:r>
          </w:p>
          <w:p w:rsidR="003449D1" w:rsidRDefault="003449D1" w:rsidP="003449D1">
            <w:pPr>
              <w:jc w:val="both"/>
              <w:rPr>
                <w:rFonts w:ascii="Times New Roman" w:eastAsia="Times New Roman" w:hAnsi="Times New Roman" w:cs="Times New Roman"/>
                <w:sz w:val="24"/>
                <w:szCs w:val="24"/>
                <w:lang w:eastAsia="lv-LV"/>
              </w:rPr>
            </w:pPr>
            <w:bookmarkStart w:id="2" w:name="_Hlk52185135"/>
            <w:r>
              <w:rPr>
                <w:rFonts w:ascii="Times New Roman" w:eastAsia="Times New Roman" w:hAnsi="Times New Roman" w:cs="Times New Roman"/>
                <w:sz w:val="24"/>
                <w:szCs w:val="24"/>
                <w:lang w:eastAsia="lv-LV"/>
              </w:rPr>
              <w:t>Satversmes tiesa spriedumos lietās Nr. 2019-24-03, Nr.2019-25-03, Nr. 2019-27-03 tiek secināts, ka likumdevējam ir pienākums noteikt vienotu metodi minimālo ienākumu sliekšņu noteikšanā un izstrādāt konkrētu kritēriju kopu sociālās palīdzības minimuma noteikšanā.</w:t>
            </w:r>
            <w:r>
              <w:rPr>
                <w:rFonts w:ascii="Times New Roman" w:hAnsi="Times New Roman" w:cs="Times New Roman"/>
                <w:sz w:val="24"/>
                <w:szCs w:val="24"/>
              </w:rPr>
              <w:t xml:space="preserve"> Turklāt v</w:t>
            </w:r>
            <w:r>
              <w:rPr>
                <w:rFonts w:ascii="Times New Roman" w:eastAsia="Times New Roman" w:hAnsi="Times New Roman" w:cs="Times New Roman"/>
                <w:sz w:val="24"/>
                <w:szCs w:val="24"/>
                <w:lang w:eastAsia="lv-LV"/>
              </w:rPr>
              <w:t xml:space="preserve">alstij sava izvēle jābalsta uz konstitucionāli pamatotiem </w:t>
            </w:r>
            <w:r>
              <w:rPr>
                <w:rFonts w:ascii="Times New Roman" w:eastAsia="Times New Roman" w:hAnsi="Times New Roman" w:cs="Times New Roman"/>
                <w:sz w:val="24"/>
                <w:szCs w:val="24"/>
                <w:lang w:eastAsia="lv-LV"/>
              </w:rPr>
              <w:lastRenderedPageBreak/>
              <w:t>apsvērumiem un pierādījumos balstītu metodoloģiju (Satversmes tiesas sprieduma lietā Nr. 2019-24-03 19.2. un 22.4. punkts, Satversmes tiesas sprieduma lietā Nr. 2019-27-03 26.3.punkts).</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Satversmes tiesa jau atzinusi, ka valstij ir arī pienākums regulāri vērtēt sniegtā sociālās palīdzības apmēra pietiekamību, lai garantētu, ka tas atbilst sociālajai realitātei un trūcīgām personām tiek nodrošināta tām nepieciešamā palīdzība. Tātad valstij ir pienākums periodiski pārskatīt sociālās palīdzības apmēru. Šo pienākumu ir iespējams īstenot tad, ja ir izstrādāta metode un izraudzīti kritēriji sociālās palīdzības minimuma noteikšanai. (Satversmes tiesas sprieduma lietā Nr. 2019-24-03 19.3. punkts).</w:t>
            </w:r>
          </w:p>
          <w:p w:rsidR="003449D1" w:rsidRDefault="003449D1" w:rsidP="003449D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Piedāvātā metodoloģiskā pieeja minimālo ienākumu sliekšņu noteikšanā ir balstīta uz relatīvo metodi, ņemot vērā ienākumus dažādās sabiedrības grupās un nosakot minimālo ienākumu sliekšņus sociālās aizsardzības jomā kā proporciju no mājsaimniecību rīcībā esošo ienākumu mediānas uz vienu ekvivalento patērētāju </w:t>
            </w:r>
            <w:r>
              <w:rPr>
                <w:rFonts w:ascii="Times New Roman" w:eastAsia="Times New Roman" w:hAnsi="Times New Roman" w:cs="Times New Roman"/>
                <w:sz w:val="24"/>
                <w:szCs w:val="24"/>
                <w:lang w:eastAsia="lv-LV"/>
              </w:rPr>
              <w:lastRenderedPageBreak/>
              <w:t>(turpmāk – ienākumu mediāna) – tātad piedāvātā metode minimālo ienākumu sliekšņu noteikšanā ir sociālekonomiski (matemātiski un statistiski) pamatota. Šāda pieeja nodrošina, ka, mainoties ekonomiskajai situācijai valstī, līdzi mainās arī minimālo ienākumu sliekšņu apmēri, tādējādi  veidojot samērīgu proporciju, kādā sabiedrības vairākums ir finansiāli spējīgs atbalstīt sabiedrības mazākumu ar zemiem ienākumiem.</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Attiecīgi tiek izpildīts Satversmes tiesas spriedumos noteiktais, ka minimālo ienākumu sliekšņu apmērus nepieciešams piesaistīt konkrētam sociālekonomiskajam rādītājam, lai nodrošinātu to adekvātumu attiecībā pret reālo sociālekonomisko situāciju valstī un </w:t>
            </w:r>
            <w:r>
              <w:rPr>
                <w:rFonts w:ascii="Times New Roman" w:hAnsi="Times New Roman" w:cs="Times New Roman"/>
                <w:sz w:val="24"/>
                <w:szCs w:val="24"/>
              </w:rPr>
              <w:t>nodrošinot saprātīgu līdzsvaru starp atsevišķas personas un visas sabiedrības attīstības vajadzībām</w:t>
            </w:r>
            <w:r>
              <w:rPr>
                <w:rFonts w:ascii="Times New Roman" w:eastAsia="Times New Roman" w:hAnsi="Times New Roman" w:cs="Times New Roman"/>
                <w:sz w:val="24"/>
                <w:szCs w:val="24"/>
                <w:lang w:eastAsia="lv-LV"/>
              </w:rPr>
              <w:t xml:space="preserve">  Lai nodrošinātu iedzīvotājiem ar zemiem ienākumiem iespēju saņemt adekvātu un vienlaikus ar pārējās sabiedrības interesēm samērīgu atbalstu, nepieciešams noteikt regulāru minimālo ienākumu sliekšņu </w:t>
            </w:r>
            <w:r>
              <w:rPr>
                <w:rFonts w:ascii="Times New Roman" w:eastAsia="Times New Roman" w:hAnsi="Times New Roman" w:cs="Times New Roman"/>
                <w:sz w:val="24"/>
                <w:szCs w:val="24"/>
                <w:lang w:eastAsia="lv-LV"/>
              </w:rPr>
              <w:lastRenderedPageBreak/>
              <w:t>pārskatīšanu atbilstoši sociālekonomiskajām izmaiņām valstī.</w:t>
            </w:r>
            <w:r>
              <w:t xml:space="preserve"> </w:t>
            </w:r>
          </w:p>
          <w:p w:rsidR="003449D1" w:rsidRPr="00340876" w:rsidRDefault="003449D1" w:rsidP="003449D1">
            <w:pPr>
              <w:jc w:val="both"/>
            </w:pPr>
            <w:r>
              <w:rPr>
                <w:rFonts w:ascii="Times New Roman" w:eastAsia="Times New Roman" w:hAnsi="Times New Roman" w:cs="Times New Roman"/>
                <w:sz w:val="24"/>
                <w:szCs w:val="24"/>
                <w:lang w:eastAsia="lv-LV"/>
              </w:rPr>
              <w:t xml:space="preserve">Turklāt jāņem vērā, ka pat Latvijas Bankas veiktajā ietekmes novērtējumā par piedāvātā risinājuma ietekmi uz </w:t>
            </w:r>
            <w:r>
              <w:rPr>
                <w:rFonts w:ascii="Times New Roman" w:eastAsia="Times New Roman" w:hAnsi="Times New Roman" w:cs="Times New Roman"/>
                <w:iCs/>
                <w:sz w:val="24"/>
                <w:szCs w:val="24"/>
                <w:lang w:eastAsia="lv-LV"/>
              </w:rPr>
              <w:t xml:space="preserve">nabadzības riska un ienākumu nevienlīdzības mazināšanu var redzēt, ka minimālo ienākumu sliekšņu paaugstināšana neradīs lielu ietekmi uz nevienlīdzības rādītājiem.  Tādēļ, ja minimālo ienākumu sliekšņu pārskatīšana būs neregulāra, tad arī šīs nelielās pozitīvās ievirzes nabadzības un nevienlīdzības rādītājos nebūs ar ilgstošas un nākotnē ienākumu nevienlīdzības plaisa atkal pieaugs.   </w:t>
            </w:r>
            <w:bookmarkEnd w:id="2"/>
          </w:p>
        </w:tc>
        <w:tc>
          <w:tcPr>
            <w:tcW w:w="1533" w:type="dxa"/>
            <w:tcBorders>
              <w:top w:val="single" w:sz="4" w:space="0" w:color="000000"/>
              <w:left w:val="single" w:sz="6" w:space="0" w:color="000000"/>
              <w:bottom w:val="single" w:sz="4" w:space="0" w:color="000000"/>
              <w:right w:val="nil"/>
            </w:tcBorders>
          </w:tcPr>
          <w:p w:rsidR="003449D1" w:rsidRPr="0054714E" w:rsidRDefault="003449D1" w:rsidP="003449D1">
            <w:pPr>
              <w:suppressAutoHyphens/>
              <w:snapToGrid w:val="0"/>
              <w:spacing w:after="0" w:line="240" w:lineRule="auto"/>
              <w:contextualSpacing/>
              <w:jc w:val="both"/>
              <w:rPr>
                <w:rFonts w:ascii="Times New Roman" w:eastAsia="Times New Roman" w:hAnsi="Times New Roman" w:cs="Times New Roman"/>
                <w:sz w:val="24"/>
                <w:szCs w:val="24"/>
                <w:lang w:eastAsia="zh-CN"/>
              </w:rPr>
            </w:pPr>
          </w:p>
        </w:tc>
        <w:tc>
          <w:tcPr>
            <w:tcW w:w="1973" w:type="dxa"/>
            <w:tcBorders>
              <w:top w:val="single" w:sz="4" w:space="0" w:color="000000"/>
              <w:left w:val="single" w:sz="4" w:space="0" w:color="000000"/>
              <w:bottom w:val="single" w:sz="4" w:space="0" w:color="000000"/>
              <w:right w:val="single" w:sz="4" w:space="0" w:color="000000"/>
            </w:tcBorders>
          </w:tcPr>
          <w:p w:rsidR="003449D1" w:rsidRPr="0054714E" w:rsidRDefault="003449D1" w:rsidP="003449D1">
            <w:pPr>
              <w:suppressAutoHyphens/>
              <w:snapToGrid w:val="0"/>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Skat. l</w:t>
            </w:r>
            <w:r w:rsidRPr="0054714E">
              <w:rPr>
                <w:rFonts w:ascii="Times New Roman" w:eastAsia="Times New Roman" w:hAnsi="Times New Roman" w:cs="Times New Roman"/>
                <w:sz w:val="24"/>
                <w:szCs w:val="24"/>
                <w:lang w:eastAsia="zh-CN"/>
              </w:rPr>
              <w:t>ikumprojekt</w:t>
            </w:r>
            <w:r>
              <w:rPr>
                <w:rFonts w:ascii="Times New Roman" w:eastAsia="Times New Roman" w:hAnsi="Times New Roman" w:cs="Times New Roman"/>
                <w:sz w:val="24"/>
                <w:szCs w:val="24"/>
                <w:lang w:eastAsia="zh-CN"/>
              </w:rPr>
              <w:t>u.</w:t>
            </w:r>
            <w:r w:rsidRPr="0054714E">
              <w:rPr>
                <w:rFonts w:ascii="Times New Roman" w:eastAsia="Times New Roman" w:hAnsi="Times New Roman" w:cs="Times New Roman"/>
                <w:sz w:val="24"/>
                <w:szCs w:val="24"/>
                <w:lang w:eastAsia="zh-CN"/>
              </w:rPr>
              <w:t xml:space="preserve"> </w:t>
            </w:r>
          </w:p>
        </w:tc>
      </w:tr>
    </w:tbl>
    <w:p w:rsidR="0054714E" w:rsidRDefault="0054714E" w:rsidP="0054714E">
      <w:pPr>
        <w:suppressAutoHyphens/>
        <w:spacing w:after="0" w:line="240" w:lineRule="auto"/>
        <w:rPr>
          <w:rFonts w:ascii="Times New Roman" w:eastAsia="Times New Roman" w:hAnsi="Times New Roman" w:cs="Times New Roman"/>
          <w:sz w:val="24"/>
          <w:szCs w:val="24"/>
          <w:lang w:eastAsia="zh-CN"/>
        </w:rPr>
      </w:pPr>
    </w:p>
    <w:tbl>
      <w:tblPr>
        <w:tblW w:w="4999" w:type="pct"/>
        <w:tblInd w:w="3" w:type="dxa"/>
        <w:tblLook w:val="00A0" w:firstRow="1" w:lastRow="0" w:firstColumn="1" w:lastColumn="0" w:noHBand="0" w:noVBand="0"/>
      </w:tblPr>
      <w:tblGrid>
        <w:gridCol w:w="4882"/>
        <w:gridCol w:w="9401"/>
      </w:tblGrid>
      <w:tr w:rsidR="003370E6" w:rsidRPr="00C23F54" w:rsidTr="00BB4224">
        <w:tc>
          <w:tcPr>
            <w:tcW w:w="1709" w:type="pct"/>
          </w:tcPr>
          <w:p w:rsidR="003370E6" w:rsidRPr="00C23F54" w:rsidRDefault="003370E6" w:rsidP="00BB4224">
            <w:pPr>
              <w:spacing w:after="0" w:line="240" w:lineRule="auto"/>
              <w:ind w:left="360"/>
              <w:rPr>
                <w:rFonts w:ascii="Times New Roman" w:hAnsi="Times New Roman" w:cs="Times New Roman"/>
                <w:sz w:val="24"/>
                <w:szCs w:val="24"/>
              </w:rPr>
            </w:pPr>
          </w:p>
          <w:p w:rsidR="003370E6" w:rsidRPr="00C23F54" w:rsidRDefault="003370E6" w:rsidP="00BB4224">
            <w:pPr>
              <w:spacing w:after="0" w:line="240" w:lineRule="auto"/>
              <w:ind w:firstLine="720"/>
              <w:rPr>
                <w:rFonts w:ascii="Times New Roman" w:hAnsi="Times New Roman" w:cs="Times New Roman"/>
                <w:sz w:val="24"/>
                <w:szCs w:val="24"/>
              </w:rPr>
            </w:pPr>
          </w:p>
          <w:p w:rsidR="003370E6" w:rsidRPr="00C23F54" w:rsidRDefault="003370E6" w:rsidP="00BB4224">
            <w:pPr>
              <w:spacing w:after="0" w:line="240" w:lineRule="auto"/>
              <w:ind w:left="360"/>
              <w:rPr>
                <w:rFonts w:ascii="Times New Roman" w:hAnsi="Times New Roman" w:cs="Times New Roman"/>
                <w:sz w:val="24"/>
                <w:szCs w:val="24"/>
              </w:rPr>
            </w:pPr>
          </w:p>
          <w:p w:rsidR="003370E6" w:rsidRPr="00C23F54" w:rsidRDefault="003370E6" w:rsidP="00BB4224">
            <w:pPr>
              <w:spacing w:after="0" w:line="240" w:lineRule="auto"/>
              <w:ind w:left="360"/>
              <w:rPr>
                <w:rFonts w:ascii="Times New Roman" w:hAnsi="Times New Roman" w:cs="Times New Roman"/>
                <w:sz w:val="24"/>
                <w:szCs w:val="24"/>
              </w:rPr>
            </w:pPr>
            <w:r w:rsidRPr="00C23F54">
              <w:rPr>
                <w:rFonts w:ascii="Times New Roman" w:hAnsi="Times New Roman" w:cs="Times New Roman"/>
                <w:sz w:val="24"/>
                <w:szCs w:val="24"/>
              </w:rPr>
              <w:t>Atbildīgā amatpersona</w:t>
            </w:r>
          </w:p>
        </w:tc>
        <w:tc>
          <w:tcPr>
            <w:tcW w:w="3291" w:type="pct"/>
          </w:tcPr>
          <w:p w:rsidR="003370E6" w:rsidRPr="00C23F54" w:rsidRDefault="003370E6" w:rsidP="00BB4224">
            <w:pPr>
              <w:spacing w:after="0" w:line="240" w:lineRule="auto"/>
              <w:ind w:firstLine="720"/>
              <w:rPr>
                <w:rFonts w:ascii="Times New Roman" w:hAnsi="Times New Roman" w:cs="Times New Roman"/>
                <w:sz w:val="24"/>
                <w:szCs w:val="24"/>
              </w:rPr>
            </w:pPr>
            <w:r w:rsidRPr="00C23F54">
              <w:rPr>
                <w:rFonts w:ascii="Times New Roman" w:hAnsi="Times New Roman" w:cs="Times New Roman"/>
                <w:sz w:val="24"/>
                <w:szCs w:val="24"/>
              </w:rPr>
              <w:t>  </w:t>
            </w:r>
          </w:p>
          <w:p w:rsidR="003370E6" w:rsidRPr="00C23F54" w:rsidRDefault="003370E6" w:rsidP="00BB4224">
            <w:pPr>
              <w:spacing w:after="0" w:line="240" w:lineRule="auto"/>
              <w:ind w:firstLine="720"/>
              <w:jc w:val="center"/>
              <w:rPr>
                <w:rFonts w:ascii="Times New Roman" w:hAnsi="Times New Roman" w:cs="Times New Roman"/>
                <w:sz w:val="24"/>
                <w:szCs w:val="24"/>
              </w:rPr>
            </w:pPr>
          </w:p>
          <w:p w:rsidR="003370E6" w:rsidRPr="00C23F54" w:rsidRDefault="003370E6" w:rsidP="00BB4224">
            <w:pPr>
              <w:spacing w:after="0" w:line="240" w:lineRule="auto"/>
              <w:ind w:firstLine="720"/>
              <w:jc w:val="center"/>
              <w:rPr>
                <w:rFonts w:ascii="Times New Roman" w:hAnsi="Times New Roman" w:cs="Times New Roman"/>
                <w:sz w:val="24"/>
                <w:szCs w:val="24"/>
              </w:rPr>
            </w:pPr>
            <w:r w:rsidRPr="00C23F54">
              <w:rPr>
                <w:rFonts w:ascii="Times New Roman" w:hAnsi="Times New Roman" w:cs="Times New Roman"/>
                <w:sz w:val="24"/>
                <w:szCs w:val="24"/>
              </w:rPr>
              <w:t xml:space="preserve">                                                                                                            Dace </w:t>
            </w:r>
            <w:proofErr w:type="spellStart"/>
            <w:r w:rsidRPr="00C23F54">
              <w:rPr>
                <w:rFonts w:ascii="Times New Roman" w:hAnsi="Times New Roman" w:cs="Times New Roman"/>
                <w:sz w:val="24"/>
                <w:szCs w:val="24"/>
              </w:rPr>
              <w:t>Trušinska</w:t>
            </w:r>
            <w:proofErr w:type="spellEnd"/>
          </w:p>
        </w:tc>
      </w:tr>
      <w:tr w:rsidR="003370E6" w:rsidRPr="00C23F54" w:rsidTr="00BB4224">
        <w:tc>
          <w:tcPr>
            <w:tcW w:w="1709" w:type="pct"/>
          </w:tcPr>
          <w:p w:rsidR="003370E6" w:rsidRPr="00C23F54" w:rsidRDefault="003370E6" w:rsidP="00BB4224">
            <w:pPr>
              <w:spacing w:after="0" w:line="240" w:lineRule="auto"/>
              <w:ind w:left="360"/>
              <w:rPr>
                <w:rFonts w:ascii="Times New Roman" w:hAnsi="Times New Roman" w:cs="Times New Roman"/>
                <w:sz w:val="24"/>
                <w:szCs w:val="24"/>
              </w:rPr>
            </w:pPr>
          </w:p>
        </w:tc>
        <w:tc>
          <w:tcPr>
            <w:tcW w:w="3291" w:type="pct"/>
            <w:tcBorders>
              <w:top w:val="single" w:sz="6" w:space="0" w:color="000000"/>
            </w:tcBorders>
          </w:tcPr>
          <w:p w:rsidR="003370E6" w:rsidRPr="00C23F54" w:rsidRDefault="003370E6" w:rsidP="00BB4224">
            <w:pPr>
              <w:spacing w:after="0" w:line="240" w:lineRule="auto"/>
              <w:ind w:firstLine="720"/>
              <w:jc w:val="right"/>
              <w:rPr>
                <w:rFonts w:ascii="Times New Roman" w:hAnsi="Times New Roman" w:cs="Times New Roman"/>
                <w:sz w:val="24"/>
                <w:szCs w:val="24"/>
              </w:rPr>
            </w:pPr>
            <w:r w:rsidRPr="00C23F54">
              <w:rPr>
                <w:rFonts w:ascii="Times New Roman" w:hAnsi="Times New Roman" w:cs="Times New Roman"/>
                <w:sz w:val="24"/>
                <w:szCs w:val="24"/>
              </w:rPr>
              <w:t xml:space="preserve">                     (vārds un uzvārds)</w:t>
            </w:r>
          </w:p>
        </w:tc>
      </w:tr>
    </w:tbl>
    <w:p w:rsidR="003370E6" w:rsidRPr="00C23F54" w:rsidRDefault="003370E6" w:rsidP="003370E6">
      <w:pPr>
        <w:spacing w:after="0" w:line="240" w:lineRule="auto"/>
        <w:rPr>
          <w:rFonts w:ascii="Times New Roman" w:hAnsi="Times New Roman" w:cs="Times New Roman"/>
          <w:sz w:val="24"/>
          <w:szCs w:val="24"/>
        </w:rPr>
      </w:pPr>
    </w:p>
    <w:p w:rsidR="003370E6" w:rsidRPr="00C23F54" w:rsidRDefault="003370E6" w:rsidP="003370E6">
      <w:pPr>
        <w:spacing w:after="0" w:line="240" w:lineRule="auto"/>
        <w:jc w:val="both"/>
        <w:rPr>
          <w:rFonts w:ascii="Times New Roman" w:hAnsi="Times New Roman" w:cs="Times New Roman"/>
          <w:sz w:val="24"/>
          <w:szCs w:val="24"/>
        </w:rPr>
      </w:pPr>
      <w:r w:rsidRPr="00C23F54">
        <w:rPr>
          <w:rFonts w:ascii="Times New Roman" w:hAnsi="Times New Roman" w:cs="Times New Roman"/>
          <w:sz w:val="24"/>
          <w:szCs w:val="24"/>
        </w:rPr>
        <w:t xml:space="preserve">Dace </w:t>
      </w:r>
      <w:proofErr w:type="spellStart"/>
      <w:r w:rsidRPr="00C23F54">
        <w:rPr>
          <w:rFonts w:ascii="Times New Roman" w:hAnsi="Times New Roman" w:cs="Times New Roman"/>
          <w:sz w:val="24"/>
          <w:szCs w:val="24"/>
        </w:rPr>
        <w:t>Trušinska</w:t>
      </w:r>
      <w:proofErr w:type="spellEnd"/>
    </w:p>
    <w:p w:rsidR="003370E6" w:rsidRPr="00C23F54" w:rsidRDefault="003370E6" w:rsidP="003370E6">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 xml:space="preserve">Labklājības ministrijas </w:t>
      </w:r>
    </w:p>
    <w:p w:rsidR="003370E6" w:rsidRPr="00C23F54" w:rsidRDefault="003370E6" w:rsidP="003370E6">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Sociālās apdrošināšanas departamenta vecākā eksperte</w:t>
      </w:r>
    </w:p>
    <w:p w:rsidR="003370E6" w:rsidRPr="00C23F54" w:rsidRDefault="003370E6" w:rsidP="003370E6">
      <w:pPr>
        <w:spacing w:after="0" w:line="240" w:lineRule="auto"/>
        <w:rPr>
          <w:rFonts w:ascii="Times New Roman" w:hAnsi="Times New Roman" w:cs="Times New Roman"/>
          <w:sz w:val="24"/>
          <w:szCs w:val="24"/>
        </w:rPr>
      </w:pPr>
      <w:r w:rsidRPr="00C23F54">
        <w:rPr>
          <w:rFonts w:ascii="Times New Roman" w:hAnsi="Times New Roman" w:cs="Times New Roman"/>
          <w:sz w:val="24"/>
          <w:szCs w:val="24"/>
        </w:rPr>
        <w:t>Tālr.67021553</w:t>
      </w:r>
    </w:p>
    <w:p w:rsidR="00F7306B" w:rsidRDefault="003370E6" w:rsidP="003449D1">
      <w:pPr>
        <w:spacing w:after="0" w:line="240" w:lineRule="auto"/>
      </w:pPr>
      <w:hyperlink r:id="rId7" w:history="1">
        <w:r w:rsidRPr="00C23F54">
          <w:rPr>
            <w:rStyle w:val="Hyperlink"/>
            <w:rFonts w:ascii="Times New Roman" w:hAnsi="Times New Roman" w:cs="Times New Roman"/>
            <w:sz w:val="24"/>
            <w:szCs w:val="24"/>
          </w:rPr>
          <w:t>Dace.Trusinska@lm.gov.lv</w:t>
        </w:r>
      </w:hyperlink>
      <w:bookmarkStart w:id="3" w:name="_GoBack"/>
      <w:bookmarkEnd w:id="3"/>
    </w:p>
    <w:sectPr w:rsidR="00F7306B" w:rsidSect="0054714E">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14C" w:rsidRDefault="0059514C" w:rsidP="0054714E">
      <w:pPr>
        <w:spacing w:after="0" w:line="240" w:lineRule="auto"/>
      </w:pPr>
      <w:r>
        <w:separator/>
      </w:r>
    </w:p>
  </w:endnote>
  <w:endnote w:type="continuationSeparator" w:id="0">
    <w:p w:rsidR="0059514C" w:rsidRDefault="0059514C" w:rsidP="0054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4E" w:rsidRPr="00C31DBC" w:rsidRDefault="00C31DBC">
    <w:pPr>
      <w:pStyle w:val="Footer"/>
      <w:rPr>
        <w:rFonts w:ascii="Times New Roman" w:hAnsi="Times New Roman" w:cs="Times New Roman"/>
        <w:sz w:val="24"/>
        <w:szCs w:val="24"/>
      </w:rPr>
    </w:pPr>
    <w:r w:rsidRPr="00C31DBC">
      <w:rPr>
        <w:rFonts w:ascii="Times New Roman" w:hAnsi="Times New Roman" w:cs="Times New Roman"/>
        <w:sz w:val="24"/>
        <w:szCs w:val="24"/>
      </w:rPr>
      <w:t>LMizz_280920_nelaimes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14E" w:rsidRPr="00C31DBC" w:rsidRDefault="0054714E">
    <w:pPr>
      <w:pStyle w:val="Footer"/>
      <w:rPr>
        <w:rFonts w:ascii="Times New Roman" w:hAnsi="Times New Roman" w:cs="Times New Roman"/>
        <w:sz w:val="24"/>
        <w:szCs w:val="24"/>
      </w:rPr>
    </w:pPr>
    <w:r w:rsidRPr="00C31DBC">
      <w:rPr>
        <w:rFonts w:ascii="Times New Roman" w:hAnsi="Times New Roman" w:cs="Times New Roman"/>
        <w:sz w:val="24"/>
        <w:szCs w:val="24"/>
      </w:rPr>
      <w:t>LMizz</w:t>
    </w:r>
    <w:r w:rsidR="00C31DBC" w:rsidRPr="00C31DBC">
      <w:rPr>
        <w:rFonts w:ascii="Times New Roman" w:hAnsi="Times New Roman" w:cs="Times New Roman"/>
        <w:sz w:val="24"/>
        <w:szCs w:val="24"/>
      </w:rPr>
      <w:t>_280920_nelaimes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14C" w:rsidRDefault="0059514C" w:rsidP="0054714E">
      <w:pPr>
        <w:spacing w:after="0" w:line="240" w:lineRule="auto"/>
      </w:pPr>
      <w:r>
        <w:separator/>
      </w:r>
    </w:p>
  </w:footnote>
  <w:footnote w:type="continuationSeparator" w:id="0">
    <w:p w:rsidR="0059514C" w:rsidRDefault="0059514C" w:rsidP="0054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74102"/>
      <w:docPartObj>
        <w:docPartGallery w:val="Page Numbers (Top of Page)"/>
        <w:docPartUnique/>
      </w:docPartObj>
    </w:sdtPr>
    <w:sdtEndPr>
      <w:rPr>
        <w:noProof/>
      </w:rPr>
    </w:sdtEndPr>
    <w:sdtContent>
      <w:p w:rsidR="0054714E" w:rsidRDefault="0054714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54714E" w:rsidRDefault="00547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2"/>
      <w:numFmt w:val="decimal"/>
      <w:lvlText w:val="%1.%2."/>
      <w:lvlJc w:val="left"/>
      <w:pPr>
        <w:tabs>
          <w:tab w:val="num" w:pos="0"/>
        </w:tabs>
        <w:ind w:left="862" w:hanging="72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652" w:hanging="1800"/>
      </w:pPr>
    </w:lvl>
    <w:lvl w:ilvl="7">
      <w:start w:val="1"/>
      <w:numFmt w:val="decimal"/>
      <w:lvlText w:val="%1.%2.%3.%4.%5.%6.%7.%8."/>
      <w:lvlJc w:val="left"/>
      <w:pPr>
        <w:tabs>
          <w:tab w:val="num" w:pos="0"/>
        </w:tabs>
        <w:ind w:left="2794" w:hanging="1800"/>
      </w:pPr>
    </w:lvl>
    <w:lvl w:ilvl="8">
      <w:start w:val="1"/>
      <w:numFmt w:val="decimal"/>
      <w:lvlText w:val="%1.%2.%3.%4.%5.%6.%7.%8.%9."/>
      <w:lvlJc w:val="left"/>
      <w:pPr>
        <w:tabs>
          <w:tab w:val="num" w:pos="0"/>
        </w:tabs>
        <w:ind w:left="3296" w:hanging="2160"/>
      </w:pPr>
    </w:lvl>
  </w:abstractNum>
  <w:abstractNum w:abstractNumId="1" w15:restartNumberingAfterBreak="0">
    <w:nsid w:val="6C997E2E"/>
    <w:multiLevelType w:val="hybridMultilevel"/>
    <w:tmpl w:val="09F677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4E"/>
    <w:rsid w:val="002F14F4"/>
    <w:rsid w:val="003370E6"/>
    <w:rsid w:val="003449D1"/>
    <w:rsid w:val="0054714E"/>
    <w:rsid w:val="0059514C"/>
    <w:rsid w:val="00921A7F"/>
    <w:rsid w:val="00AE1955"/>
    <w:rsid w:val="00C31DBC"/>
    <w:rsid w:val="00C37316"/>
    <w:rsid w:val="00EA59C9"/>
    <w:rsid w:val="00F349E5"/>
    <w:rsid w:val="00F43977"/>
    <w:rsid w:val="00F7306B"/>
    <w:rsid w:val="00FD07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598"/>
  <w15:chartTrackingRefBased/>
  <w15:docId w15:val="{24D0599B-D347-4D4A-BC38-73702775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1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1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714E"/>
  </w:style>
  <w:style w:type="paragraph" w:styleId="Footer">
    <w:name w:val="footer"/>
    <w:basedOn w:val="Normal"/>
    <w:link w:val="FooterChar"/>
    <w:uiPriority w:val="99"/>
    <w:unhideWhenUsed/>
    <w:rsid w:val="005471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714E"/>
  </w:style>
  <w:style w:type="character" w:styleId="Hyperlink">
    <w:name w:val="Hyperlink"/>
    <w:basedOn w:val="DefaultParagraphFont"/>
    <w:uiPriority w:val="99"/>
    <w:unhideWhenUsed/>
    <w:rsid w:val="00337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77782">
      <w:bodyDiv w:val="1"/>
      <w:marLeft w:val="0"/>
      <w:marRight w:val="0"/>
      <w:marTop w:val="0"/>
      <w:marBottom w:val="0"/>
      <w:divBdr>
        <w:top w:val="none" w:sz="0" w:space="0" w:color="auto"/>
        <w:left w:val="none" w:sz="0" w:space="0" w:color="auto"/>
        <w:bottom w:val="none" w:sz="0" w:space="0" w:color="auto"/>
        <w:right w:val="none" w:sz="0" w:space="0" w:color="auto"/>
      </w:divBdr>
    </w:div>
    <w:div w:id="17677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3282</Words>
  <Characters>1872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izziņa par atzinumos sniegtajiem iebildumiem</dc:subject>
  <dc:creator>Dace Trusinska</dc:creator>
  <cp:keywords/>
  <dc:description>D.Trušinska, 67021553
Dace.Trusinska@lm.gov.lv</dc:description>
  <cp:lastModifiedBy>Dace Trusinska</cp:lastModifiedBy>
  <cp:revision>9</cp:revision>
  <dcterms:created xsi:type="dcterms:W3CDTF">2020-09-28T07:16:00Z</dcterms:created>
  <dcterms:modified xsi:type="dcterms:W3CDTF">2020-09-28T13:08:00Z</dcterms:modified>
</cp:coreProperties>
</file>