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3380" w14:textId="77777777" w:rsidR="004313AD" w:rsidRPr="00316BD1" w:rsidRDefault="004313AD" w:rsidP="004313AD">
      <w:pPr>
        <w:jc w:val="both"/>
        <w:rPr>
          <w:sz w:val="28"/>
          <w:szCs w:val="28"/>
          <w:lang w:eastAsia="lv-LV"/>
        </w:rPr>
      </w:pPr>
    </w:p>
    <w:p w14:paraId="67AAB88C" w14:textId="6A3890D3" w:rsidR="004313AD" w:rsidRPr="00316BD1" w:rsidRDefault="004313AD" w:rsidP="004313AD">
      <w:pPr>
        <w:jc w:val="both"/>
        <w:rPr>
          <w:sz w:val="28"/>
          <w:szCs w:val="28"/>
          <w:lang w:eastAsia="lv-LV"/>
        </w:rPr>
      </w:pPr>
    </w:p>
    <w:p w14:paraId="0F012555" w14:textId="6EFB2B3D" w:rsidR="00D65A31" w:rsidRPr="00316BD1" w:rsidRDefault="00D65A31" w:rsidP="00A81F12">
      <w:pPr>
        <w:tabs>
          <w:tab w:val="left" w:pos="6663"/>
        </w:tabs>
        <w:rPr>
          <w:b/>
          <w:sz w:val="28"/>
          <w:szCs w:val="28"/>
        </w:rPr>
      </w:pPr>
      <w:r w:rsidRPr="00316BD1">
        <w:rPr>
          <w:sz w:val="28"/>
          <w:szCs w:val="28"/>
        </w:rPr>
        <w:t>2020</w:t>
      </w:r>
      <w:r w:rsidR="000C350C" w:rsidRPr="00316BD1">
        <w:rPr>
          <w:sz w:val="28"/>
          <w:szCs w:val="28"/>
        </w:rPr>
        <w:t>. </w:t>
      </w:r>
      <w:proofErr w:type="spellStart"/>
      <w:r w:rsidRPr="00316BD1">
        <w:rPr>
          <w:sz w:val="28"/>
          <w:szCs w:val="28"/>
        </w:rPr>
        <w:t>gada</w:t>
      </w:r>
      <w:proofErr w:type="spellEnd"/>
      <w:r w:rsidRPr="00316BD1">
        <w:rPr>
          <w:sz w:val="28"/>
          <w:szCs w:val="28"/>
        </w:rPr>
        <w:t xml:space="preserve"> </w:t>
      </w:r>
      <w:r w:rsidR="00C2124E">
        <w:rPr>
          <w:sz w:val="28"/>
          <w:szCs w:val="28"/>
        </w:rPr>
        <w:t>13. </w:t>
      </w:r>
      <w:proofErr w:type="spellStart"/>
      <w:r w:rsidR="00C2124E">
        <w:rPr>
          <w:sz w:val="28"/>
          <w:szCs w:val="28"/>
        </w:rPr>
        <w:t>oktobrī</w:t>
      </w:r>
      <w:proofErr w:type="spellEnd"/>
      <w:r w:rsidRPr="00316BD1">
        <w:rPr>
          <w:sz w:val="28"/>
          <w:szCs w:val="28"/>
        </w:rPr>
        <w:tab/>
      </w:r>
      <w:proofErr w:type="spellStart"/>
      <w:r w:rsidRPr="00316BD1">
        <w:rPr>
          <w:sz w:val="28"/>
          <w:szCs w:val="28"/>
        </w:rPr>
        <w:t>Noteikumi</w:t>
      </w:r>
      <w:proofErr w:type="spellEnd"/>
      <w:r w:rsidRPr="00316BD1">
        <w:rPr>
          <w:sz w:val="28"/>
          <w:szCs w:val="28"/>
        </w:rPr>
        <w:t xml:space="preserve"> Nr.</w:t>
      </w:r>
      <w:r w:rsidR="00C2124E">
        <w:rPr>
          <w:sz w:val="28"/>
          <w:szCs w:val="28"/>
        </w:rPr>
        <w:t> 628</w:t>
      </w:r>
    </w:p>
    <w:p w14:paraId="3A01D571" w14:textId="6AF03A2B" w:rsidR="00D65A31" w:rsidRPr="00316BD1" w:rsidRDefault="00D65A31" w:rsidP="00A81F12">
      <w:pPr>
        <w:tabs>
          <w:tab w:val="left" w:pos="6663"/>
        </w:tabs>
        <w:rPr>
          <w:sz w:val="28"/>
          <w:szCs w:val="28"/>
        </w:rPr>
      </w:pPr>
      <w:proofErr w:type="spellStart"/>
      <w:r w:rsidRPr="00316BD1">
        <w:rPr>
          <w:sz w:val="28"/>
          <w:szCs w:val="28"/>
        </w:rPr>
        <w:t>Rīgā</w:t>
      </w:r>
      <w:proofErr w:type="spellEnd"/>
      <w:r w:rsidRPr="00316BD1">
        <w:rPr>
          <w:sz w:val="28"/>
          <w:szCs w:val="28"/>
        </w:rPr>
        <w:tab/>
        <w:t>(</w:t>
      </w:r>
      <w:proofErr w:type="spellStart"/>
      <w:r w:rsidRPr="00316BD1">
        <w:rPr>
          <w:sz w:val="28"/>
          <w:szCs w:val="28"/>
        </w:rPr>
        <w:t>prot</w:t>
      </w:r>
      <w:r w:rsidR="000C350C" w:rsidRPr="00316BD1">
        <w:rPr>
          <w:sz w:val="28"/>
          <w:szCs w:val="28"/>
        </w:rPr>
        <w:t>.</w:t>
      </w:r>
      <w:proofErr w:type="spellEnd"/>
      <w:r w:rsidR="000C350C" w:rsidRPr="00316BD1">
        <w:rPr>
          <w:sz w:val="28"/>
          <w:szCs w:val="28"/>
        </w:rPr>
        <w:t> </w:t>
      </w:r>
      <w:r w:rsidRPr="00316BD1">
        <w:rPr>
          <w:sz w:val="28"/>
          <w:szCs w:val="28"/>
        </w:rPr>
        <w:t>Nr</w:t>
      </w:r>
      <w:r w:rsidR="000C350C" w:rsidRPr="00316BD1">
        <w:rPr>
          <w:sz w:val="28"/>
          <w:szCs w:val="28"/>
        </w:rPr>
        <w:t>. </w:t>
      </w:r>
      <w:r w:rsidR="00C2124E">
        <w:rPr>
          <w:sz w:val="28"/>
          <w:szCs w:val="28"/>
        </w:rPr>
        <w:t>61 7</w:t>
      </w:r>
      <w:bookmarkStart w:id="0" w:name="_GoBack"/>
      <w:bookmarkEnd w:id="0"/>
      <w:r w:rsidR="000C350C" w:rsidRPr="00316BD1">
        <w:rPr>
          <w:sz w:val="28"/>
          <w:szCs w:val="28"/>
        </w:rPr>
        <w:t>. </w:t>
      </w:r>
      <w:r w:rsidRPr="00316BD1">
        <w:rPr>
          <w:sz w:val="28"/>
          <w:szCs w:val="28"/>
        </w:rPr>
        <w:t>§)</w:t>
      </w:r>
    </w:p>
    <w:p w14:paraId="36C5B2EB" w14:textId="5FA318F4" w:rsidR="004313AD" w:rsidRPr="00316BD1" w:rsidRDefault="004313AD" w:rsidP="004313AD">
      <w:pPr>
        <w:jc w:val="both"/>
        <w:rPr>
          <w:sz w:val="28"/>
          <w:szCs w:val="28"/>
          <w:lang w:val="de-DE" w:eastAsia="lv-LV"/>
        </w:rPr>
      </w:pPr>
    </w:p>
    <w:p w14:paraId="221FB25C" w14:textId="2CC7BE19" w:rsidR="006C39E6" w:rsidRPr="00316BD1" w:rsidRDefault="006C39E6" w:rsidP="003525EB">
      <w:pPr>
        <w:jc w:val="center"/>
        <w:rPr>
          <w:b/>
          <w:iCs/>
          <w:sz w:val="28"/>
          <w:szCs w:val="28"/>
          <w:lang w:val="lv-LV"/>
        </w:rPr>
      </w:pPr>
      <w:r w:rsidRPr="00316BD1">
        <w:rPr>
          <w:b/>
          <w:iCs/>
          <w:sz w:val="28"/>
          <w:szCs w:val="28"/>
          <w:lang w:val="lv-LV"/>
        </w:rPr>
        <w:t xml:space="preserve">Grozījumi Ministru kabineta </w:t>
      </w:r>
      <w:r w:rsidR="00A1583C" w:rsidRPr="00316BD1">
        <w:rPr>
          <w:b/>
          <w:iCs/>
          <w:sz w:val="28"/>
          <w:szCs w:val="28"/>
          <w:lang w:val="lv-LV"/>
        </w:rPr>
        <w:t>20</w:t>
      </w:r>
      <w:r w:rsidR="003525EB" w:rsidRPr="00316BD1">
        <w:rPr>
          <w:b/>
          <w:iCs/>
          <w:sz w:val="28"/>
          <w:szCs w:val="28"/>
          <w:lang w:val="lv-LV"/>
        </w:rPr>
        <w:t>04</w:t>
      </w:r>
      <w:r w:rsidR="000C350C" w:rsidRPr="00316BD1">
        <w:rPr>
          <w:b/>
          <w:iCs/>
          <w:sz w:val="28"/>
          <w:szCs w:val="28"/>
          <w:lang w:val="lv-LV"/>
        </w:rPr>
        <w:t>. </w:t>
      </w:r>
      <w:r w:rsidRPr="00316BD1">
        <w:rPr>
          <w:b/>
          <w:iCs/>
          <w:sz w:val="28"/>
          <w:szCs w:val="28"/>
          <w:lang w:val="lv-LV"/>
        </w:rPr>
        <w:t xml:space="preserve">gada </w:t>
      </w:r>
      <w:r w:rsidR="003525EB" w:rsidRPr="00316BD1">
        <w:rPr>
          <w:b/>
          <w:iCs/>
          <w:sz w:val="28"/>
          <w:szCs w:val="28"/>
          <w:lang w:val="lv-LV"/>
        </w:rPr>
        <w:t>22.</w:t>
      </w:r>
      <w:r w:rsidR="000C350C" w:rsidRPr="00316BD1">
        <w:rPr>
          <w:b/>
          <w:iCs/>
          <w:sz w:val="28"/>
          <w:szCs w:val="28"/>
          <w:lang w:val="lv-LV"/>
        </w:rPr>
        <w:t> </w:t>
      </w:r>
      <w:r w:rsidR="003525EB" w:rsidRPr="00316BD1">
        <w:rPr>
          <w:b/>
          <w:iCs/>
          <w:sz w:val="28"/>
          <w:szCs w:val="28"/>
          <w:lang w:val="lv-LV"/>
        </w:rPr>
        <w:t>aprīļa</w:t>
      </w:r>
      <w:r w:rsidRPr="00316BD1">
        <w:rPr>
          <w:b/>
          <w:iCs/>
          <w:sz w:val="28"/>
          <w:szCs w:val="28"/>
          <w:lang w:val="lv-LV"/>
        </w:rPr>
        <w:t xml:space="preserve"> noteikumos Nr.</w:t>
      </w:r>
      <w:r w:rsidR="000C350C" w:rsidRPr="00316BD1">
        <w:rPr>
          <w:b/>
          <w:iCs/>
          <w:sz w:val="28"/>
          <w:szCs w:val="28"/>
          <w:lang w:val="lv-LV"/>
        </w:rPr>
        <w:t> </w:t>
      </w:r>
      <w:r w:rsidR="003525EB" w:rsidRPr="00316BD1">
        <w:rPr>
          <w:b/>
          <w:iCs/>
          <w:sz w:val="28"/>
          <w:szCs w:val="28"/>
          <w:lang w:val="lv-LV"/>
        </w:rPr>
        <w:t xml:space="preserve">377 </w:t>
      </w:r>
      <w:bookmarkStart w:id="1" w:name="_Hlk38888126"/>
      <w:r w:rsidR="00D65A31" w:rsidRPr="00316BD1">
        <w:rPr>
          <w:b/>
          <w:iCs/>
          <w:sz w:val="28"/>
          <w:szCs w:val="28"/>
          <w:lang w:val="lv-LV"/>
        </w:rPr>
        <w:t>"</w:t>
      </w:r>
      <w:r w:rsidR="003525EB" w:rsidRPr="00316BD1">
        <w:rPr>
          <w:b/>
          <w:bCs/>
          <w:iCs/>
          <w:sz w:val="28"/>
          <w:szCs w:val="28"/>
          <w:lang w:val="lv-LV"/>
        </w:rPr>
        <w:t>Noteikumi par lejamkravu pārvadāšanu cisternās un bunkura pusvagonos</w:t>
      </w:r>
      <w:r w:rsidR="00D65A31" w:rsidRPr="00316BD1">
        <w:rPr>
          <w:b/>
          <w:iCs/>
          <w:sz w:val="28"/>
          <w:szCs w:val="28"/>
          <w:lang w:val="lv-LV"/>
        </w:rPr>
        <w:t>"</w:t>
      </w:r>
      <w:bookmarkEnd w:id="1"/>
    </w:p>
    <w:p w14:paraId="17143447" w14:textId="77777777" w:rsidR="00316BD1" w:rsidRPr="00316BD1" w:rsidRDefault="00316BD1" w:rsidP="00316BD1">
      <w:pPr>
        <w:ind w:firstLine="720"/>
        <w:jc w:val="both"/>
        <w:rPr>
          <w:szCs w:val="28"/>
          <w:lang w:val="lv-LV"/>
        </w:rPr>
      </w:pPr>
    </w:p>
    <w:p w14:paraId="61C53440" w14:textId="7F033AEA" w:rsidR="006C39E6" w:rsidRPr="00316BD1" w:rsidRDefault="00F751AE" w:rsidP="000B5F9A">
      <w:pPr>
        <w:jc w:val="right"/>
        <w:rPr>
          <w:iCs/>
          <w:sz w:val="28"/>
          <w:szCs w:val="28"/>
          <w:lang w:val="lv-LV"/>
        </w:rPr>
      </w:pPr>
      <w:r w:rsidRPr="00316BD1">
        <w:rPr>
          <w:iCs/>
          <w:sz w:val="28"/>
          <w:szCs w:val="28"/>
          <w:lang w:val="lv-LV"/>
        </w:rPr>
        <w:t>Izdoti saskaņā ar</w:t>
      </w:r>
    </w:p>
    <w:p w14:paraId="657268F1" w14:textId="1A478273" w:rsidR="006C39E6" w:rsidRPr="00316BD1" w:rsidRDefault="00C2124E" w:rsidP="000B5F9A">
      <w:pPr>
        <w:jc w:val="right"/>
        <w:rPr>
          <w:iCs/>
          <w:sz w:val="28"/>
          <w:szCs w:val="28"/>
          <w:lang w:val="lv-LV"/>
        </w:rPr>
      </w:pPr>
      <w:hyperlink r:id="rId8" w:tgtFrame="_blank" w:tooltip="Dzelzceļa likums /Spēkā esošs/" w:history="1">
        <w:r w:rsidR="006C39E6" w:rsidRPr="00316BD1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Dzelzceļa</w:t>
        </w:r>
        <w:r w:rsidR="003525EB" w:rsidRPr="00316BD1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 xml:space="preserve"> pārvadājumu</w:t>
        </w:r>
        <w:r w:rsidR="006C39E6" w:rsidRPr="00316BD1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 xml:space="preserve"> likuma</w:t>
        </w:r>
      </w:hyperlink>
    </w:p>
    <w:p w14:paraId="7130E2C1" w14:textId="7C9AF217" w:rsidR="006C39E6" w:rsidRPr="00316BD1" w:rsidRDefault="003525EB" w:rsidP="000B5F9A">
      <w:pPr>
        <w:jc w:val="right"/>
        <w:rPr>
          <w:b/>
          <w:iCs/>
          <w:sz w:val="28"/>
          <w:szCs w:val="28"/>
          <w:lang w:val="lv-LV"/>
        </w:rPr>
      </w:pPr>
      <w:r w:rsidRPr="00316BD1">
        <w:rPr>
          <w:iCs/>
          <w:sz w:val="28"/>
          <w:szCs w:val="28"/>
          <w:lang w:val="lv-LV"/>
        </w:rPr>
        <w:t>28</w:t>
      </w:r>
      <w:r w:rsidR="000C350C" w:rsidRPr="00316BD1">
        <w:rPr>
          <w:iCs/>
          <w:sz w:val="28"/>
          <w:szCs w:val="28"/>
          <w:lang w:val="lv-LV"/>
        </w:rPr>
        <w:t>. </w:t>
      </w:r>
      <w:r w:rsidR="006C39E6" w:rsidRPr="00316BD1">
        <w:rPr>
          <w:iCs/>
          <w:sz w:val="28"/>
          <w:szCs w:val="28"/>
          <w:lang w:val="lv-LV"/>
        </w:rPr>
        <w:t xml:space="preserve">panta </w:t>
      </w:r>
      <w:r w:rsidRPr="00316BD1">
        <w:rPr>
          <w:iCs/>
          <w:sz w:val="28"/>
          <w:szCs w:val="28"/>
          <w:lang w:val="lv-LV"/>
        </w:rPr>
        <w:t>trešo</w:t>
      </w:r>
      <w:r w:rsidR="00AD68F7" w:rsidRPr="00316BD1">
        <w:rPr>
          <w:iCs/>
          <w:sz w:val="28"/>
          <w:szCs w:val="28"/>
          <w:lang w:val="lv-LV"/>
        </w:rPr>
        <w:t xml:space="preserve"> </w:t>
      </w:r>
      <w:r w:rsidR="006C39E6" w:rsidRPr="00316BD1">
        <w:rPr>
          <w:iCs/>
          <w:sz w:val="28"/>
          <w:szCs w:val="28"/>
          <w:lang w:val="lv-LV"/>
        </w:rPr>
        <w:t>daļ</w:t>
      </w:r>
      <w:r w:rsidRPr="00316BD1">
        <w:rPr>
          <w:iCs/>
          <w:sz w:val="28"/>
          <w:szCs w:val="28"/>
          <w:lang w:val="lv-LV"/>
        </w:rPr>
        <w:t>u</w:t>
      </w:r>
    </w:p>
    <w:p w14:paraId="7D264528" w14:textId="77777777" w:rsidR="00316BD1" w:rsidRPr="00316BD1" w:rsidRDefault="00316BD1" w:rsidP="00316BD1">
      <w:pPr>
        <w:ind w:firstLine="720"/>
        <w:jc w:val="both"/>
        <w:rPr>
          <w:szCs w:val="28"/>
          <w:lang w:val="lv-LV"/>
        </w:rPr>
      </w:pPr>
    </w:p>
    <w:p w14:paraId="2BD0CCCE" w14:textId="3117E5CD" w:rsidR="009C0132" w:rsidRPr="00316BD1" w:rsidRDefault="006C39E6" w:rsidP="004C5487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 xml:space="preserve">Izdarīt Ministru kabineta </w:t>
      </w:r>
      <w:r w:rsidR="00D17629" w:rsidRPr="00316BD1">
        <w:rPr>
          <w:sz w:val="28"/>
          <w:szCs w:val="28"/>
          <w:lang w:val="lv-LV"/>
        </w:rPr>
        <w:t>20</w:t>
      </w:r>
      <w:r w:rsidR="003525EB" w:rsidRPr="00316BD1">
        <w:rPr>
          <w:sz w:val="28"/>
          <w:szCs w:val="28"/>
          <w:lang w:val="lv-LV"/>
        </w:rPr>
        <w:t>04</w:t>
      </w:r>
      <w:r w:rsidR="000C350C" w:rsidRPr="00316BD1">
        <w:rPr>
          <w:sz w:val="28"/>
          <w:szCs w:val="28"/>
          <w:lang w:val="lv-LV"/>
        </w:rPr>
        <w:t>. </w:t>
      </w:r>
      <w:r w:rsidRPr="00316BD1">
        <w:rPr>
          <w:sz w:val="28"/>
          <w:szCs w:val="28"/>
          <w:lang w:val="lv-LV"/>
        </w:rPr>
        <w:t xml:space="preserve">gada </w:t>
      </w:r>
      <w:r w:rsidR="003525EB" w:rsidRPr="00316BD1">
        <w:rPr>
          <w:sz w:val="28"/>
          <w:szCs w:val="28"/>
          <w:lang w:val="lv-LV"/>
        </w:rPr>
        <w:t>22</w:t>
      </w:r>
      <w:r w:rsidR="000C350C" w:rsidRPr="00316BD1">
        <w:rPr>
          <w:sz w:val="28"/>
          <w:szCs w:val="28"/>
          <w:lang w:val="lv-LV"/>
        </w:rPr>
        <w:t>. </w:t>
      </w:r>
      <w:r w:rsidR="003525EB" w:rsidRPr="00316BD1">
        <w:rPr>
          <w:sz w:val="28"/>
          <w:szCs w:val="28"/>
          <w:lang w:val="lv-LV"/>
        </w:rPr>
        <w:t xml:space="preserve">aprīļa </w:t>
      </w:r>
      <w:r w:rsidRPr="00316BD1">
        <w:rPr>
          <w:sz w:val="28"/>
          <w:szCs w:val="28"/>
          <w:lang w:val="lv-LV"/>
        </w:rPr>
        <w:t>noteikumos Nr</w:t>
      </w:r>
      <w:r w:rsidR="000C350C" w:rsidRPr="00316BD1">
        <w:rPr>
          <w:sz w:val="28"/>
          <w:szCs w:val="28"/>
          <w:lang w:val="lv-LV"/>
        </w:rPr>
        <w:t>. </w:t>
      </w:r>
      <w:r w:rsidR="003525EB" w:rsidRPr="00316BD1">
        <w:rPr>
          <w:sz w:val="28"/>
          <w:szCs w:val="28"/>
          <w:lang w:val="lv-LV"/>
        </w:rPr>
        <w:t>377</w:t>
      </w:r>
      <w:r w:rsidRPr="00316BD1">
        <w:rPr>
          <w:sz w:val="28"/>
          <w:szCs w:val="28"/>
          <w:lang w:val="lv-LV"/>
        </w:rPr>
        <w:t xml:space="preserve"> </w:t>
      </w:r>
      <w:r w:rsidR="00D65A31" w:rsidRPr="00316BD1">
        <w:rPr>
          <w:sz w:val="28"/>
          <w:szCs w:val="28"/>
          <w:lang w:val="lv-LV"/>
        </w:rPr>
        <w:t>"</w:t>
      </w:r>
      <w:r w:rsidR="003525EB" w:rsidRPr="00316BD1">
        <w:rPr>
          <w:sz w:val="28"/>
          <w:szCs w:val="28"/>
          <w:lang w:val="lv-LV"/>
        </w:rPr>
        <w:t>Noteikumi par lejamkravu pārvadāšanu cisternās un bunkura pusvagonos</w:t>
      </w:r>
      <w:r w:rsidR="00D65A31" w:rsidRPr="00316BD1">
        <w:rPr>
          <w:sz w:val="28"/>
          <w:szCs w:val="28"/>
          <w:lang w:val="lv-LV"/>
        </w:rPr>
        <w:t>"</w:t>
      </w:r>
      <w:r w:rsidRPr="00316BD1">
        <w:rPr>
          <w:sz w:val="28"/>
          <w:szCs w:val="28"/>
          <w:lang w:val="lv-LV"/>
        </w:rPr>
        <w:t xml:space="preserve"> (Latvijas Vēstnesis, </w:t>
      </w:r>
      <w:r w:rsidR="00E10F46" w:rsidRPr="00316BD1">
        <w:rPr>
          <w:sz w:val="28"/>
          <w:szCs w:val="28"/>
          <w:lang w:val="lv-LV"/>
        </w:rPr>
        <w:t>20</w:t>
      </w:r>
      <w:r w:rsidR="003525EB" w:rsidRPr="00316BD1">
        <w:rPr>
          <w:sz w:val="28"/>
          <w:szCs w:val="28"/>
          <w:lang w:val="lv-LV"/>
        </w:rPr>
        <w:t>04</w:t>
      </w:r>
      <w:r w:rsidRPr="00316BD1">
        <w:rPr>
          <w:sz w:val="28"/>
          <w:szCs w:val="28"/>
          <w:lang w:val="lv-LV"/>
        </w:rPr>
        <w:t xml:space="preserve">, </w:t>
      </w:r>
      <w:r w:rsidR="003525EB" w:rsidRPr="00316BD1">
        <w:rPr>
          <w:sz w:val="28"/>
          <w:szCs w:val="28"/>
          <w:lang w:val="lv-LV"/>
        </w:rPr>
        <w:t>66</w:t>
      </w:r>
      <w:r w:rsidR="000C350C" w:rsidRPr="00316BD1">
        <w:rPr>
          <w:sz w:val="28"/>
          <w:szCs w:val="28"/>
          <w:lang w:val="lv-LV"/>
        </w:rPr>
        <w:t>. </w:t>
      </w:r>
      <w:r w:rsidRPr="00316BD1">
        <w:rPr>
          <w:sz w:val="28"/>
          <w:szCs w:val="28"/>
          <w:lang w:val="lv-LV"/>
        </w:rPr>
        <w:t>nr.</w:t>
      </w:r>
      <w:r w:rsidR="008C1C5B" w:rsidRPr="00316BD1">
        <w:rPr>
          <w:sz w:val="28"/>
          <w:szCs w:val="28"/>
          <w:lang w:val="lv-LV"/>
        </w:rPr>
        <w:t>;</w:t>
      </w:r>
      <w:r w:rsidR="00411418" w:rsidRPr="00316BD1">
        <w:rPr>
          <w:sz w:val="28"/>
          <w:szCs w:val="28"/>
          <w:lang w:val="lv-LV"/>
        </w:rPr>
        <w:t xml:space="preserve"> 2009, 121</w:t>
      </w:r>
      <w:r w:rsidR="000C350C" w:rsidRPr="00316BD1">
        <w:rPr>
          <w:sz w:val="28"/>
          <w:szCs w:val="28"/>
          <w:lang w:val="lv-LV"/>
        </w:rPr>
        <w:t>. </w:t>
      </w:r>
      <w:r w:rsidR="00411418" w:rsidRPr="00316BD1">
        <w:rPr>
          <w:sz w:val="28"/>
          <w:szCs w:val="28"/>
          <w:lang w:val="lv-LV"/>
        </w:rPr>
        <w:t>nr.</w:t>
      </w:r>
      <w:r w:rsidRPr="00316BD1">
        <w:rPr>
          <w:sz w:val="28"/>
          <w:szCs w:val="28"/>
          <w:lang w:val="lv-LV"/>
        </w:rPr>
        <w:t>) šādus grozījumus:</w:t>
      </w:r>
      <w:r w:rsidR="00C53A02" w:rsidRPr="00316BD1">
        <w:rPr>
          <w:sz w:val="28"/>
          <w:szCs w:val="28"/>
          <w:lang w:val="lv-LV"/>
        </w:rPr>
        <w:t xml:space="preserve"> </w:t>
      </w:r>
    </w:p>
    <w:p w14:paraId="43B29D27" w14:textId="77777777" w:rsidR="00D65A31" w:rsidRPr="00316BD1" w:rsidRDefault="00D65A31" w:rsidP="004400FE">
      <w:pPr>
        <w:ind w:firstLine="720"/>
        <w:jc w:val="both"/>
        <w:rPr>
          <w:szCs w:val="28"/>
          <w:lang w:val="lv-LV"/>
        </w:rPr>
      </w:pPr>
    </w:p>
    <w:p w14:paraId="47C4B490" w14:textId="4C941947" w:rsidR="00B3002A" w:rsidRPr="00316BD1" w:rsidRDefault="004400FE" w:rsidP="004400FE">
      <w:pPr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>1</w:t>
      </w:r>
      <w:r w:rsidR="000C350C" w:rsidRPr="00316BD1">
        <w:rPr>
          <w:sz w:val="28"/>
          <w:szCs w:val="28"/>
          <w:lang w:val="lv-LV"/>
        </w:rPr>
        <w:t>. </w:t>
      </w:r>
      <w:r w:rsidR="003525EB" w:rsidRPr="00316BD1">
        <w:rPr>
          <w:sz w:val="28"/>
          <w:szCs w:val="28"/>
          <w:lang w:val="lv-LV"/>
        </w:rPr>
        <w:t>Svītrot</w:t>
      </w:r>
      <w:r w:rsidR="009C0132" w:rsidRPr="00316BD1">
        <w:rPr>
          <w:sz w:val="28"/>
          <w:szCs w:val="28"/>
          <w:lang w:val="lv-LV"/>
        </w:rPr>
        <w:t xml:space="preserve"> 25.</w:t>
      </w:r>
      <w:r w:rsidR="005E5F49" w:rsidRPr="00316BD1">
        <w:rPr>
          <w:sz w:val="28"/>
          <w:szCs w:val="28"/>
          <w:lang w:val="lv-LV"/>
        </w:rPr>
        <w:t>,</w:t>
      </w:r>
      <w:r w:rsidR="009C0132" w:rsidRPr="00316BD1">
        <w:rPr>
          <w:sz w:val="28"/>
          <w:szCs w:val="28"/>
          <w:lang w:val="lv-LV"/>
        </w:rPr>
        <w:t xml:space="preserve"> 26.</w:t>
      </w:r>
      <w:r w:rsidR="005E5F49" w:rsidRPr="00316BD1">
        <w:rPr>
          <w:sz w:val="28"/>
          <w:szCs w:val="28"/>
          <w:lang w:val="lv-LV"/>
        </w:rPr>
        <w:t>,</w:t>
      </w:r>
      <w:r w:rsidR="00F7711E" w:rsidRPr="00316BD1">
        <w:rPr>
          <w:sz w:val="28"/>
          <w:szCs w:val="28"/>
          <w:lang w:val="lv-LV"/>
        </w:rPr>
        <w:t xml:space="preserve"> 30.</w:t>
      </w:r>
      <w:r w:rsidR="005E5F49" w:rsidRPr="00316BD1">
        <w:rPr>
          <w:sz w:val="28"/>
          <w:szCs w:val="28"/>
          <w:lang w:val="lv-LV"/>
        </w:rPr>
        <w:t>,</w:t>
      </w:r>
      <w:r w:rsidR="00F7711E" w:rsidRPr="00316BD1">
        <w:rPr>
          <w:sz w:val="28"/>
          <w:szCs w:val="28"/>
          <w:lang w:val="lv-LV"/>
        </w:rPr>
        <w:t xml:space="preserve"> 31.</w:t>
      </w:r>
      <w:r w:rsidR="005E5F49" w:rsidRPr="00316BD1">
        <w:rPr>
          <w:sz w:val="28"/>
          <w:szCs w:val="28"/>
          <w:lang w:val="lv-LV"/>
        </w:rPr>
        <w:t>,</w:t>
      </w:r>
      <w:r w:rsidR="00F7711E" w:rsidRPr="00316BD1">
        <w:rPr>
          <w:sz w:val="28"/>
          <w:szCs w:val="28"/>
          <w:lang w:val="lv-LV"/>
        </w:rPr>
        <w:t xml:space="preserve"> 34</w:t>
      </w:r>
      <w:r w:rsidR="000C350C" w:rsidRPr="00316BD1">
        <w:rPr>
          <w:sz w:val="28"/>
          <w:szCs w:val="28"/>
          <w:lang w:val="lv-LV"/>
        </w:rPr>
        <w:t>. </w:t>
      </w:r>
      <w:r w:rsidR="00F7711E" w:rsidRPr="00316BD1">
        <w:rPr>
          <w:sz w:val="28"/>
          <w:szCs w:val="28"/>
          <w:lang w:val="lv-LV"/>
        </w:rPr>
        <w:t>un 36</w:t>
      </w:r>
      <w:r w:rsidR="000C350C" w:rsidRPr="00316BD1">
        <w:rPr>
          <w:sz w:val="28"/>
          <w:szCs w:val="28"/>
          <w:lang w:val="lv-LV"/>
        </w:rPr>
        <w:t>. p</w:t>
      </w:r>
      <w:r w:rsidR="00F7711E" w:rsidRPr="00316BD1">
        <w:rPr>
          <w:sz w:val="28"/>
          <w:szCs w:val="28"/>
          <w:lang w:val="lv-LV"/>
        </w:rPr>
        <w:t>unktu.</w:t>
      </w:r>
    </w:p>
    <w:p w14:paraId="48E6C73D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43ACC205" w14:textId="10259DED" w:rsidR="00C27009" w:rsidRPr="00316BD1" w:rsidRDefault="004400FE" w:rsidP="003C5B72">
      <w:pPr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>2</w:t>
      </w:r>
      <w:r w:rsidR="000C350C" w:rsidRPr="00316BD1">
        <w:rPr>
          <w:sz w:val="28"/>
          <w:szCs w:val="28"/>
          <w:lang w:val="lv-LV"/>
        </w:rPr>
        <w:t>. </w:t>
      </w:r>
      <w:r w:rsidR="00C27009" w:rsidRPr="00316BD1">
        <w:rPr>
          <w:sz w:val="28"/>
          <w:szCs w:val="28"/>
          <w:lang w:val="lv-LV"/>
        </w:rPr>
        <w:t>Izteikt</w:t>
      </w:r>
      <w:r w:rsidR="005E5F49" w:rsidRPr="00316BD1">
        <w:rPr>
          <w:sz w:val="28"/>
          <w:szCs w:val="28"/>
          <w:lang w:val="lv-LV"/>
        </w:rPr>
        <w:t xml:space="preserve"> 39</w:t>
      </w:r>
      <w:r w:rsidR="000C350C" w:rsidRPr="00316BD1">
        <w:rPr>
          <w:sz w:val="28"/>
          <w:szCs w:val="28"/>
          <w:lang w:val="lv-LV"/>
        </w:rPr>
        <w:t>. p</w:t>
      </w:r>
      <w:r w:rsidR="005E5F49" w:rsidRPr="00316BD1">
        <w:rPr>
          <w:sz w:val="28"/>
          <w:szCs w:val="28"/>
          <w:lang w:val="lv-LV"/>
        </w:rPr>
        <w:t>unkt</w:t>
      </w:r>
      <w:r w:rsidR="00C27009" w:rsidRPr="00316BD1">
        <w:rPr>
          <w:sz w:val="28"/>
          <w:szCs w:val="28"/>
          <w:lang w:val="lv-LV"/>
        </w:rPr>
        <w:t>u šādā redakcijā:</w:t>
      </w:r>
    </w:p>
    <w:p w14:paraId="58765583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4662EA07" w14:textId="5FBEC793" w:rsidR="00C27009" w:rsidRPr="00316BD1" w:rsidRDefault="00D65A31" w:rsidP="003C5B72">
      <w:pPr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>"</w:t>
      </w:r>
      <w:r w:rsidR="00C27009" w:rsidRPr="00316BD1">
        <w:rPr>
          <w:sz w:val="28"/>
          <w:szCs w:val="28"/>
          <w:lang w:val="lv-LV"/>
        </w:rPr>
        <w:t>39</w:t>
      </w:r>
      <w:r w:rsidR="000C350C" w:rsidRPr="00316BD1">
        <w:rPr>
          <w:sz w:val="28"/>
          <w:szCs w:val="28"/>
          <w:lang w:val="lv-LV"/>
        </w:rPr>
        <w:t>. </w:t>
      </w:r>
      <w:r w:rsidR="00C27009" w:rsidRPr="00316BD1">
        <w:rPr>
          <w:sz w:val="28"/>
          <w:szCs w:val="28"/>
          <w:lang w:val="lv-LV"/>
        </w:rPr>
        <w:t>Atkarībā no cisternu katlu konstrukcijas un elementu izmēriem cisternas iedala kalibrēšanas tipos</w:t>
      </w:r>
      <w:r w:rsidR="000C350C" w:rsidRPr="00316BD1">
        <w:rPr>
          <w:sz w:val="28"/>
          <w:szCs w:val="28"/>
          <w:lang w:val="lv-LV"/>
        </w:rPr>
        <w:t>. </w:t>
      </w:r>
      <w:r w:rsidR="00C27009" w:rsidRPr="00316BD1">
        <w:rPr>
          <w:sz w:val="28"/>
          <w:szCs w:val="28"/>
          <w:lang w:val="lv-LV"/>
        </w:rPr>
        <w:t>Cisternas kalibrēšanas tipu norāda ar metāla cipariem vai cipariem un burtu, kas piemetināti pie katla sānu virsmas abās pusēs 100 mm zem cisternas numura</w:t>
      </w:r>
      <w:r w:rsidR="000C350C" w:rsidRPr="00316BD1">
        <w:rPr>
          <w:sz w:val="28"/>
          <w:szCs w:val="28"/>
          <w:lang w:val="lv-LV"/>
        </w:rPr>
        <w:t>. </w:t>
      </w:r>
      <w:r w:rsidR="00C27009" w:rsidRPr="00316BD1">
        <w:rPr>
          <w:sz w:val="28"/>
          <w:szCs w:val="28"/>
          <w:lang w:val="lv-LV"/>
        </w:rPr>
        <w:t>Lai ar mērīšanas paņēmienu noteiktu cisternās ielietās kravas masu, izmanto cisternu izgatavotāja izstrādātās cisternu kalibrēšanas tabulas un ievēro to piemērošanas nosacījumus.</w:t>
      </w:r>
      <w:r w:rsidRPr="00316BD1">
        <w:rPr>
          <w:sz w:val="28"/>
          <w:szCs w:val="28"/>
          <w:lang w:val="lv-LV"/>
        </w:rPr>
        <w:t>"</w:t>
      </w:r>
    </w:p>
    <w:p w14:paraId="4EBB6113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43891F68" w14:textId="3CA35226" w:rsidR="00F7711E" w:rsidRPr="00316BD1" w:rsidRDefault="004400FE">
      <w:pPr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>3</w:t>
      </w:r>
      <w:r w:rsidR="000C350C" w:rsidRPr="00316BD1">
        <w:rPr>
          <w:sz w:val="28"/>
          <w:szCs w:val="28"/>
          <w:lang w:val="lv-LV"/>
        </w:rPr>
        <w:t>. </w:t>
      </w:r>
      <w:r w:rsidR="005E5F49" w:rsidRPr="00316BD1">
        <w:rPr>
          <w:sz w:val="28"/>
          <w:szCs w:val="28"/>
          <w:lang w:val="lv-LV"/>
        </w:rPr>
        <w:t>Svītrot 43</w:t>
      </w:r>
      <w:r w:rsidR="000C350C" w:rsidRPr="00316BD1">
        <w:rPr>
          <w:sz w:val="28"/>
          <w:szCs w:val="28"/>
          <w:lang w:val="lv-LV"/>
        </w:rPr>
        <w:t>. p</w:t>
      </w:r>
      <w:r w:rsidR="005E5F49" w:rsidRPr="00316BD1">
        <w:rPr>
          <w:sz w:val="28"/>
          <w:szCs w:val="28"/>
          <w:lang w:val="lv-LV"/>
        </w:rPr>
        <w:t xml:space="preserve">unktā vārdus </w:t>
      </w:r>
      <w:r w:rsidR="00D65A31" w:rsidRPr="00316BD1">
        <w:rPr>
          <w:sz w:val="28"/>
          <w:szCs w:val="28"/>
          <w:lang w:val="lv-LV"/>
        </w:rPr>
        <w:t>"</w:t>
      </w:r>
      <w:r w:rsidR="005E5F49" w:rsidRPr="00316BD1">
        <w:rPr>
          <w:sz w:val="28"/>
          <w:szCs w:val="28"/>
          <w:lang w:val="lv-LV"/>
        </w:rPr>
        <w:t>kuru tipu publiskās lietošanas dzelzceļa infrastruktūras pārvaldītājs noteicis attiecīgajai kravai un</w:t>
      </w:r>
      <w:r w:rsidR="00D65A31" w:rsidRPr="00316BD1">
        <w:rPr>
          <w:sz w:val="28"/>
          <w:szCs w:val="28"/>
          <w:lang w:val="lv-LV"/>
        </w:rPr>
        <w:t>"</w:t>
      </w:r>
      <w:r w:rsidR="005E5F49" w:rsidRPr="00316BD1">
        <w:rPr>
          <w:sz w:val="28"/>
          <w:szCs w:val="28"/>
          <w:lang w:val="lv-LV"/>
        </w:rPr>
        <w:t>.</w:t>
      </w:r>
    </w:p>
    <w:p w14:paraId="0587F19E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42A11CF9" w14:textId="0D4CA382" w:rsidR="00DA1B33" w:rsidRPr="00316BD1" w:rsidRDefault="004400FE" w:rsidP="004400FE">
      <w:pPr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>4</w:t>
      </w:r>
      <w:r w:rsidR="000C350C" w:rsidRPr="00316BD1">
        <w:rPr>
          <w:sz w:val="28"/>
          <w:szCs w:val="28"/>
          <w:lang w:val="lv-LV"/>
        </w:rPr>
        <w:t>. </w:t>
      </w:r>
      <w:r w:rsidR="00DA1B33" w:rsidRPr="00316BD1">
        <w:rPr>
          <w:sz w:val="28"/>
          <w:szCs w:val="28"/>
          <w:lang w:val="lv-LV"/>
        </w:rPr>
        <w:t>Svītrot 103.</w:t>
      </w:r>
      <w:r w:rsidR="005E5F49" w:rsidRPr="00316BD1">
        <w:rPr>
          <w:sz w:val="28"/>
          <w:szCs w:val="28"/>
          <w:lang w:val="lv-LV"/>
        </w:rPr>
        <w:t>,</w:t>
      </w:r>
      <w:r w:rsidR="00DA1B33" w:rsidRPr="00316BD1">
        <w:rPr>
          <w:sz w:val="28"/>
          <w:szCs w:val="28"/>
          <w:lang w:val="lv-LV"/>
        </w:rPr>
        <w:t xml:space="preserve"> 107</w:t>
      </w:r>
      <w:r w:rsidR="000C350C" w:rsidRPr="00316BD1">
        <w:rPr>
          <w:sz w:val="28"/>
          <w:szCs w:val="28"/>
          <w:lang w:val="lv-LV"/>
        </w:rPr>
        <w:t>. </w:t>
      </w:r>
      <w:r w:rsidR="00DA1B33" w:rsidRPr="00316BD1">
        <w:rPr>
          <w:sz w:val="28"/>
          <w:szCs w:val="28"/>
          <w:lang w:val="lv-LV"/>
        </w:rPr>
        <w:t>un 120</w:t>
      </w:r>
      <w:r w:rsidR="000C350C" w:rsidRPr="00316BD1">
        <w:rPr>
          <w:sz w:val="28"/>
          <w:szCs w:val="28"/>
          <w:lang w:val="lv-LV"/>
        </w:rPr>
        <w:t>. p</w:t>
      </w:r>
      <w:r w:rsidR="00DA1B33" w:rsidRPr="00316BD1">
        <w:rPr>
          <w:sz w:val="28"/>
          <w:szCs w:val="28"/>
          <w:lang w:val="lv-LV"/>
        </w:rPr>
        <w:t>unktu.</w:t>
      </w:r>
    </w:p>
    <w:p w14:paraId="4B4CFA76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1289FF42" w14:textId="7FDE40DB" w:rsidR="00DA1B33" w:rsidRPr="00316BD1" w:rsidRDefault="004400FE" w:rsidP="004400FE">
      <w:pPr>
        <w:ind w:firstLine="720"/>
        <w:jc w:val="both"/>
        <w:rPr>
          <w:sz w:val="28"/>
          <w:szCs w:val="28"/>
          <w:lang w:val="lv-LV"/>
        </w:rPr>
      </w:pPr>
      <w:r w:rsidRPr="00316BD1">
        <w:rPr>
          <w:sz w:val="28"/>
          <w:szCs w:val="28"/>
          <w:lang w:val="lv-LV"/>
        </w:rPr>
        <w:t>5</w:t>
      </w:r>
      <w:r w:rsidR="000C350C" w:rsidRPr="00316BD1">
        <w:rPr>
          <w:sz w:val="28"/>
          <w:szCs w:val="28"/>
          <w:lang w:val="lv-LV"/>
        </w:rPr>
        <w:t>. </w:t>
      </w:r>
      <w:r w:rsidRPr="00316BD1">
        <w:rPr>
          <w:sz w:val="28"/>
          <w:szCs w:val="28"/>
          <w:lang w:val="lv-LV"/>
        </w:rPr>
        <w:t>Svītrot 6.10</w:t>
      </w:r>
      <w:r w:rsidR="000C350C" w:rsidRPr="00316BD1">
        <w:rPr>
          <w:sz w:val="28"/>
          <w:szCs w:val="28"/>
          <w:lang w:val="lv-LV"/>
        </w:rPr>
        <w:t>. </w:t>
      </w:r>
      <w:r w:rsidR="005E5F49" w:rsidRPr="00316BD1">
        <w:rPr>
          <w:sz w:val="28"/>
          <w:szCs w:val="28"/>
          <w:lang w:val="lv-LV"/>
        </w:rPr>
        <w:t>apakš</w:t>
      </w:r>
      <w:r w:rsidRPr="00316BD1">
        <w:rPr>
          <w:sz w:val="28"/>
          <w:szCs w:val="28"/>
          <w:lang w:val="lv-LV"/>
        </w:rPr>
        <w:t>nodaļu.</w:t>
      </w:r>
    </w:p>
    <w:p w14:paraId="63316651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792F2F61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2239830B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35C59CC7" w14:textId="1537391B" w:rsidR="00D65A31" w:rsidRPr="00316BD1" w:rsidRDefault="00D65A31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ab/>
        <w:t>A</w:t>
      </w:r>
      <w:r w:rsidR="000C350C" w:rsidRPr="00316BD1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0C350C" w:rsidRPr="00316BD1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56F14BDC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01F82C57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28C9AAEC" w14:textId="77777777" w:rsidR="003A5DAC" w:rsidRPr="00316BD1" w:rsidRDefault="003A5DAC" w:rsidP="003A5DAC">
      <w:pPr>
        <w:ind w:firstLine="720"/>
        <w:jc w:val="both"/>
        <w:rPr>
          <w:szCs w:val="28"/>
          <w:lang w:val="lv-LV"/>
        </w:rPr>
      </w:pPr>
    </w:p>
    <w:p w14:paraId="00A7706D" w14:textId="61E50B85" w:rsidR="00004BA0" w:rsidRPr="00316BD1" w:rsidRDefault="00D65A31" w:rsidP="00D65A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>Satiksmes ministrs</w:t>
      </w: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ab/>
        <w:t>T</w:t>
      </w:r>
      <w:r w:rsidR="000C350C" w:rsidRPr="00316BD1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316BD1">
        <w:rPr>
          <w:rFonts w:ascii="Times New Roman" w:hAnsi="Times New Roman"/>
          <w:color w:val="auto"/>
          <w:sz w:val="28"/>
          <w:szCs w:val="28"/>
          <w:lang w:val="de-DE"/>
        </w:rPr>
        <w:t>Linkaits</w:t>
      </w:r>
    </w:p>
    <w:sectPr w:rsidR="00004BA0" w:rsidRPr="00316BD1" w:rsidSect="00D65A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8AC" w14:textId="77777777" w:rsidR="00FB3F88" w:rsidRDefault="00FB3F88" w:rsidP="00E4597F">
      <w:r>
        <w:separator/>
      </w:r>
    </w:p>
  </w:endnote>
  <w:endnote w:type="continuationSeparator" w:id="0">
    <w:p w14:paraId="4A837915" w14:textId="77777777" w:rsidR="00FB3F88" w:rsidRDefault="00FB3F88" w:rsidP="00E4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A497" w14:textId="77777777" w:rsidR="006605A8" w:rsidRPr="00004BA0" w:rsidRDefault="006605A8" w:rsidP="006605A8">
    <w:pPr>
      <w:pStyle w:val="Footer"/>
      <w:rPr>
        <w:sz w:val="20"/>
        <w:szCs w:val="20"/>
        <w:lang w:val="lv-LV"/>
      </w:rPr>
    </w:pPr>
    <w:r w:rsidRPr="00004BA0">
      <w:rPr>
        <w:sz w:val="20"/>
        <w:szCs w:val="20"/>
        <w:lang w:val="lv-LV"/>
      </w:rPr>
      <w:t>SMNot_</w:t>
    </w:r>
    <w:r>
      <w:rPr>
        <w:sz w:val="20"/>
        <w:szCs w:val="20"/>
        <w:lang w:val="lv-LV"/>
      </w:rPr>
      <w:t>280520_</w:t>
    </w:r>
    <w:r w:rsidRPr="00004BA0">
      <w:rPr>
        <w:sz w:val="20"/>
        <w:szCs w:val="20"/>
        <w:lang w:val="lv-LV"/>
      </w:rPr>
      <w:t>GrozMKnot_</w:t>
    </w:r>
    <w:r>
      <w:rPr>
        <w:sz w:val="20"/>
        <w:szCs w:val="20"/>
        <w:lang w:val="lv-LV"/>
      </w:rPr>
      <w:t>377</w:t>
    </w:r>
  </w:p>
  <w:p w14:paraId="60F989A3" w14:textId="7E793614" w:rsidR="00004BA0" w:rsidRPr="006605A8" w:rsidRDefault="00004BA0" w:rsidP="0066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A62F" w14:textId="472178C2" w:rsidR="00004BA0" w:rsidRPr="00D65A31" w:rsidRDefault="00D65A31">
    <w:pPr>
      <w:pStyle w:val="Footer"/>
      <w:rPr>
        <w:sz w:val="16"/>
        <w:szCs w:val="16"/>
        <w:lang w:val="lv-LV"/>
      </w:rPr>
    </w:pPr>
    <w:r w:rsidRPr="00D65A31">
      <w:rPr>
        <w:sz w:val="16"/>
        <w:szCs w:val="16"/>
        <w:lang w:val="lv-LV"/>
      </w:rPr>
      <w:t>N1684_0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DC7B" w14:textId="77777777" w:rsidR="00FB3F88" w:rsidRDefault="00FB3F88" w:rsidP="00E4597F">
      <w:r>
        <w:separator/>
      </w:r>
    </w:p>
  </w:footnote>
  <w:footnote w:type="continuationSeparator" w:id="0">
    <w:p w14:paraId="01C55464" w14:textId="77777777" w:rsidR="00FB3F88" w:rsidRDefault="00FB3F88" w:rsidP="00E4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253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CAE64" w14:textId="733DED00" w:rsidR="00E4597F" w:rsidRDefault="00E459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43B56" w14:textId="77777777" w:rsidR="00E4597F" w:rsidRDefault="00E45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05A2" w14:textId="77777777" w:rsidR="00D65A31" w:rsidRPr="003629D6" w:rsidRDefault="00D65A31">
    <w:pPr>
      <w:pStyle w:val="Header"/>
    </w:pPr>
  </w:p>
  <w:p w14:paraId="7E8D2381" w14:textId="7F11D580" w:rsidR="00D65A31" w:rsidRPr="00D65A31" w:rsidRDefault="00D65A31">
    <w:pPr>
      <w:pStyle w:val="Header"/>
    </w:pPr>
    <w:r>
      <w:rPr>
        <w:noProof/>
      </w:rPr>
      <w:drawing>
        <wp:inline distT="0" distB="0" distL="0" distR="0" wp14:anchorId="7B26CB0C" wp14:editId="1A488D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345F"/>
    <w:multiLevelType w:val="hybridMultilevel"/>
    <w:tmpl w:val="9A04F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C60"/>
    <w:multiLevelType w:val="hybridMultilevel"/>
    <w:tmpl w:val="0A303656"/>
    <w:lvl w:ilvl="0" w:tplc="3CF4AD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5DDB6F1D"/>
    <w:multiLevelType w:val="multilevel"/>
    <w:tmpl w:val="D306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6"/>
    <w:rsid w:val="00003323"/>
    <w:rsid w:val="00004BA0"/>
    <w:rsid w:val="00012D8E"/>
    <w:rsid w:val="000217DE"/>
    <w:rsid w:val="00022416"/>
    <w:rsid w:val="0002582F"/>
    <w:rsid w:val="000730BE"/>
    <w:rsid w:val="00073919"/>
    <w:rsid w:val="000B4BC0"/>
    <w:rsid w:val="000B5F9A"/>
    <w:rsid w:val="000C350C"/>
    <w:rsid w:val="000D2251"/>
    <w:rsid w:val="000D7612"/>
    <w:rsid w:val="000F11C5"/>
    <w:rsid w:val="00127542"/>
    <w:rsid w:val="00133087"/>
    <w:rsid w:val="00133B51"/>
    <w:rsid w:val="001407B6"/>
    <w:rsid w:val="00176372"/>
    <w:rsid w:val="00185FDA"/>
    <w:rsid w:val="001E531D"/>
    <w:rsid w:val="001F5D4C"/>
    <w:rsid w:val="00225F83"/>
    <w:rsid w:val="0023041F"/>
    <w:rsid w:val="0027076C"/>
    <w:rsid w:val="002717E3"/>
    <w:rsid w:val="002848BA"/>
    <w:rsid w:val="00293F7C"/>
    <w:rsid w:val="002C7362"/>
    <w:rsid w:val="002E5EFA"/>
    <w:rsid w:val="00301341"/>
    <w:rsid w:val="00316BD1"/>
    <w:rsid w:val="00320AFE"/>
    <w:rsid w:val="003235F7"/>
    <w:rsid w:val="00333E2E"/>
    <w:rsid w:val="00344134"/>
    <w:rsid w:val="00351D57"/>
    <w:rsid w:val="003525EB"/>
    <w:rsid w:val="003554BB"/>
    <w:rsid w:val="003557EE"/>
    <w:rsid w:val="00362371"/>
    <w:rsid w:val="00370F9B"/>
    <w:rsid w:val="003715F4"/>
    <w:rsid w:val="003A5DAC"/>
    <w:rsid w:val="003A7891"/>
    <w:rsid w:val="003B7CFF"/>
    <w:rsid w:val="003C32A7"/>
    <w:rsid w:val="003C5B72"/>
    <w:rsid w:val="003C7B36"/>
    <w:rsid w:val="003E129C"/>
    <w:rsid w:val="00411418"/>
    <w:rsid w:val="00417C04"/>
    <w:rsid w:val="00422DF1"/>
    <w:rsid w:val="004313AD"/>
    <w:rsid w:val="004400FE"/>
    <w:rsid w:val="00443A18"/>
    <w:rsid w:val="004652CB"/>
    <w:rsid w:val="00475512"/>
    <w:rsid w:val="0048170D"/>
    <w:rsid w:val="004A20BB"/>
    <w:rsid w:val="004C4A8F"/>
    <w:rsid w:val="004C5487"/>
    <w:rsid w:val="004E10EE"/>
    <w:rsid w:val="00501B84"/>
    <w:rsid w:val="0051182D"/>
    <w:rsid w:val="00516081"/>
    <w:rsid w:val="005550F3"/>
    <w:rsid w:val="0056179A"/>
    <w:rsid w:val="00562782"/>
    <w:rsid w:val="005809D0"/>
    <w:rsid w:val="005C448A"/>
    <w:rsid w:val="005C6103"/>
    <w:rsid w:val="005D6A2A"/>
    <w:rsid w:val="005E5F49"/>
    <w:rsid w:val="00601DB6"/>
    <w:rsid w:val="00655B85"/>
    <w:rsid w:val="00657F5A"/>
    <w:rsid w:val="006605A8"/>
    <w:rsid w:val="006753D5"/>
    <w:rsid w:val="006C0CD4"/>
    <w:rsid w:val="006C39E6"/>
    <w:rsid w:val="006E2B3F"/>
    <w:rsid w:val="006E579E"/>
    <w:rsid w:val="0071657F"/>
    <w:rsid w:val="007260D8"/>
    <w:rsid w:val="00734325"/>
    <w:rsid w:val="00763B72"/>
    <w:rsid w:val="007A6CBB"/>
    <w:rsid w:val="007B7C1F"/>
    <w:rsid w:val="007C0B23"/>
    <w:rsid w:val="007D0C1C"/>
    <w:rsid w:val="007E42AD"/>
    <w:rsid w:val="00814650"/>
    <w:rsid w:val="008318D5"/>
    <w:rsid w:val="0084624A"/>
    <w:rsid w:val="0086284E"/>
    <w:rsid w:val="00880337"/>
    <w:rsid w:val="008909E8"/>
    <w:rsid w:val="008A4DDC"/>
    <w:rsid w:val="008B26EE"/>
    <w:rsid w:val="008B735B"/>
    <w:rsid w:val="008C1C5B"/>
    <w:rsid w:val="008C76E5"/>
    <w:rsid w:val="008D1CB7"/>
    <w:rsid w:val="008D65A4"/>
    <w:rsid w:val="008D6F85"/>
    <w:rsid w:val="008F071E"/>
    <w:rsid w:val="008F3FDC"/>
    <w:rsid w:val="00943443"/>
    <w:rsid w:val="0097042D"/>
    <w:rsid w:val="009738FE"/>
    <w:rsid w:val="00974E40"/>
    <w:rsid w:val="0098221A"/>
    <w:rsid w:val="00984012"/>
    <w:rsid w:val="009B3BC8"/>
    <w:rsid w:val="009C0132"/>
    <w:rsid w:val="009E07E0"/>
    <w:rsid w:val="009E3ED4"/>
    <w:rsid w:val="009F4D22"/>
    <w:rsid w:val="00A1583C"/>
    <w:rsid w:val="00A35671"/>
    <w:rsid w:val="00A62359"/>
    <w:rsid w:val="00A64561"/>
    <w:rsid w:val="00A64E36"/>
    <w:rsid w:val="00AA72A1"/>
    <w:rsid w:val="00AC79B8"/>
    <w:rsid w:val="00AD68F7"/>
    <w:rsid w:val="00B3002A"/>
    <w:rsid w:val="00B30830"/>
    <w:rsid w:val="00B62765"/>
    <w:rsid w:val="00B83731"/>
    <w:rsid w:val="00B8478F"/>
    <w:rsid w:val="00B87C59"/>
    <w:rsid w:val="00B917F3"/>
    <w:rsid w:val="00BF4047"/>
    <w:rsid w:val="00C0249E"/>
    <w:rsid w:val="00C17600"/>
    <w:rsid w:val="00C2124E"/>
    <w:rsid w:val="00C27009"/>
    <w:rsid w:val="00C30E1A"/>
    <w:rsid w:val="00C31F4B"/>
    <w:rsid w:val="00C53A02"/>
    <w:rsid w:val="00C74E50"/>
    <w:rsid w:val="00D16653"/>
    <w:rsid w:val="00D17629"/>
    <w:rsid w:val="00D41EB3"/>
    <w:rsid w:val="00D47C32"/>
    <w:rsid w:val="00D50B26"/>
    <w:rsid w:val="00D65A31"/>
    <w:rsid w:val="00D76BC1"/>
    <w:rsid w:val="00D77AE6"/>
    <w:rsid w:val="00DA1B33"/>
    <w:rsid w:val="00DF7E16"/>
    <w:rsid w:val="00E10F46"/>
    <w:rsid w:val="00E11845"/>
    <w:rsid w:val="00E4597F"/>
    <w:rsid w:val="00E53FF7"/>
    <w:rsid w:val="00E60FE9"/>
    <w:rsid w:val="00E8753F"/>
    <w:rsid w:val="00EA6FB7"/>
    <w:rsid w:val="00EC1A47"/>
    <w:rsid w:val="00EC56FC"/>
    <w:rsid w:val="00EE027F"/>
    <w:rsid w:val="00EE0A94"/>
    <w:rsid w:val="00EE1107"/>
    <w:rsid w:val="00EE1135"/>
    <w:rsid w:val="00EF7275"/>
    <w:rsid w:val="00F0622F"/>
    <w:rsid w:val="00F3654F"/>
    <w:rsid w:val="00F41147"/>
    <w:rsid w:val="00F43520"/>
    <w:rsid w:val="00F751AE"/>
    <w:rsid w:val="00F7711E"/>
    <w:rsid w:val="00FA0532"/>
    <w:rsid w:val="00FB29C9"/>
    <w:rsid w:val="00FB3F88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F7ABC6"/>
  <w15:docId w15:val="{1AFAF30D-3699-4B57-9648-70988C3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2 heading,Akapit z listą BS,List Paragraph1,Punkti ar numuriem,Strip,virsraksts3,H&amp;P List Paragraph,Numbered Para 1,Dot pt,No Spacing1,List Paragraph Char Char Char,Indicator Text,Bullet 1,Bullet Points,F5 List Paragraph"/>
    <w:basedOn w:val="Normal"/>
    <w:link w:val="ListParagraphChar"/>
    <w:uiPriority w:val="34"/>
    <w:qFormat/>
    <w:rsid w:val="006C39E6"/>
    <w:pPr>
      <w:spacing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C39E6"/>
    <w:rPr>
      <w:color w:val="0000FF"/>
      <w:u w:val="single"/>
    </w:rPr>
  </w:style>
  <w:style w:type="paragraph" w:customStyle="1" w:styleId="tv213">
    <w:name w:val="tv213"/>
    <w:basedOn w:val="Normal"/>
    <w:rsid w:val="000F11C5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DefaultParagraphFont"/>
    <w:rsid w:val="00FA0532"/>
  </w:style>
  <w:style w:type="paragraph" w:styleId="Header">
    <w:name w:val="header"/>
    <w:basedOn w:val="Normal"/>
    <w:link w:val="Head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D2251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5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H4">
    <w:name w:val="H4"/>
    <w:uiPriority w:val="99"/>
    <w:rsid w:val="004313A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ListParagraphChar">
    <w:name w:val="List Paragraph Char"/>
    <w:aliases w:val="2 Char,2 heading Char,Akapit z listą BS Char,List Paragraph1 Char,Punkti ar numuriem Char,Strip Char,virsraksts3 Char,H&amp;P List Paragraph Char,Numbered Para 1 Char,Dot pt Char,No Spacing1 Char,List Paragraph Char Char Char Char"/>
    <w:link w:val="ListParagraph"/>
    <w:uiPriority w:val="34"/>
    <w:rsid w:val="00AC79B8"/>
    <w:rPr>
      <w:rFonts w:ascii="Calibri" w:eastAsia="Calibri" w:hAnsi="Calibri" w:cs="Times New Roman"/>
    </w:rPr>
  </w:style>
  <w:style w:type="paragraph" w:customStyle="1" w:styleId="Body">
    <w:name w:val="Body"/>
    <w:rsid w:val="00D65A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6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77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33B8-FBC9-4033-ABA0-FFD21A00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MK noteikumiGrozījumi Ministru kabineta 2004. gada 22.aprīļa noteikumos Nr.377 “Noteikumi par lejamkravu pārvadāšanu cisternās un bunkura pusvagonos”</cp:keywords>
  <dc:description>kristine.grinvalde@sam.gov.lv
t.67028373</dc:description>
  <cp:lastModifiedBy>Leontine Babkina</cp:lastModifiedBy>
  <cp:revision>11</cp:revision>
  <cp:lastPrinted>2020-09-10T10:52:00Z</cp:lastPrinted>
  <dcterms:created xsi:type="dcterms:W3CDTF">2020-09-03T12:50:00Z</dcterms:created>
  <dcterms:modified xsi:type="dcterms:W3CDTF">2020-10-14T06:58:00Z</dcterms:modified>
</cp:coreProperties>
</file>