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7D" w:rsidR="00280AFA" w:rsidP="00280AFA" w:rsidRDefault="000A34E3" w14:paraId="43FCA7D7" w14:textId="59D7FEB3">
      <w:pPr>
        <w:jc w:val="center"/>
        <w:rPr>
          <w:b/>
          <w:bCs/>
        </w:rPr>
      </w:pPr>
      <w:r w:rsidRPr="0016067D">
        <w:rPr>
          <w:b/>
          <w:bCs/>
        </w:rPr>
        <w:t xml:space="preserve">Ministru kabineta rīkojuma projekta </w:t>
      </w:r>
    </w:p>
    <w:p w:rsidRPr="0016067D" w:rsidR="00FD7418" w:rsidP="0016067D" w:rsidRDefault="00280AFA" w14:paraId="189D70AF" w14:textId="5681C912">
      <w:pPr>
        <w:jc w:val="center"/>
        <w:rPr>
          <w:b/>
        </w:rPr>
      </w:pPr>
      <w:r w:rsidRPr="00A707E9">
        <w:rPr>
          <w:b/>
          <w:bCs/>
        </w:rPr>
        <w:t>“Par pievienotās vērtības nodokļa summas,</w:t>
      </w:r>
      <w:r w:rsidRPr="0016067D">
        <w:rPr>
          <w:b/>
          <w:bCs/>
        </w:rPr>
        <w:t xml:space="preserve"> kas nav atgūstama kā priekšnodoklis,</w:t>
      </w:r>
      <w:r w:rsidRPr="00265E92">
        <w:rPr>
          <w:b/>
        </w:rPr>
        <w:t xml:space="preserve"> kompensācij</w:t>
      </w:r>
      <w:r>
        <w:rPr>
          <w:b/>
        </w:rPr>
        <w:t xml:space="preserve">u </w:t>
      </w:r>
      <w:r w:rsidRPr="00265E92">
        <w:rPr>
          <w:b/>
        </w:rPr>
        <w:t xml:space="preserve">Igaunijas Republikai un Lietuvas Republikai </w:t>
      </w:r>
      <w:r w:rsidR="00A707E9">
        <w:rPr>
          <w:b/>
        </w:rPr>
        <w:t>akciju sabiedrības</w:t>
      </w:r>
      <w:r w:rsidRPr="00265E92" w:rsidR="00A707E9">
        <w:rPr>
          <w:b/>
        </w:rPr>
        <w:t xml:space="preserve"> </w:t>
      </w:r>
      <w:r w:rsidRPr="00265E92">
        <w:rPr>
          <w:b/>
        </w:rPr>
        <w:t xml:space="preserve">“RB Rail” veikto </w:t>
      </w:r>
      <w:r w:rsidRPr="0016067D">
        <w:rPr>
          <w:b/>
        </w:rPr>
        <w:t>aktivitāšu ietvaros</w:t>
      </w:r>
      <w:r w:rsidRPr="00A707E9">
        <w:rPr>
          <w:b/>
        </w:rPr>
        <w:t>”</w:t>
      </w:r>
      <w:r w:rsidRPr="00A707E9" w:rsidR="00A707E9">
        <w:rPr>
          <w:b/>
        </w:rPr>
        <w:t xml:space="preserve"> </w:t>
      </w:r>
      <w:r w:rsidRPr="0016067D" w:rsidR="00D47D98">
        <w:rPr>
          <w:b/>
        </w:rPr>
        <w:t>sākotnējās ietekmes novērtējuma ziņojums (anotācija)</w:t>
      </w:r>
    </w:p>
    <w:p w:rsidRPr="00265EEE"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265EEE" w:rsidR="00F10CDA" w:rsidTr="006F59AA" w14:paraId="1F799A7B" w14:textId="77777777">
        <w:trPr>
          <w:trHeight w:val="419"/>
        </w:trPr>
        <w:tc>
          <w:tcPr>
            <w:tcW w:w="5000" w:type="pct"/>
            <w:gridSpan w:val="2"/>
            <w:vAlign w:val="center"/>
          </w:tcPr>
          <w:p w:rsidRPr="00265EEE" w:rsidR="00F10CDA" w:rsidP="006F59AA" w:rsidRDefault="00F10CDA" w14:paraId="5E23D39A" w14:textId="77777777">
            <w:pPr>
              <w:pStyle w:val="naisnod"/>
              <w:spacing w:before="0" w:beforeAutospacing="0" w:after="0" w:afterAutospacing="0"/>
              <w:ind w:left="57" w:right="57"/>
              <w:jc w:val="center"/>
              <w:rPr>
                <w:b/>
              </w:rPr>
            </w:pPr>
            <w:r w:rsidRPr="00265EEE">
              <w:rPr>
                <w:b/>
              </w:rPr>
              <w:t xml:space="preserve">Tiesību akta projekta anotācijas </w:t>
            </w:r>
            <w:r w:rsidRPr="00265EEE">
              <w:rPr>
                <w:b/>
                <w:bCs/>
                <w:iCs/>
              </w:rPr>
              <w:t>kopsavilkums</w:t>
            </w:r>
          </w:p>
        </w:tc>
      </w:tr>
      <w:tr w:rsidRPr="00265EEE" w:rsidR="00F10CDA" w:rsidTr="00F10CDA" w14:paraId="781CFAEF" w14:textId="77777777">
        <w:trPr>
          <w:trHeight w:val="415"/>
        </w:trPr>
        <w:tc>
          <w:tcPr>
            <w:tcW w:w="1742" w:type="pct"/>
          </w:tcPr>
          <w:p w:rsidRPr="00265EEE" w:rsidR="00F10CDA" w:rsidP="00F10CDA" w:rsidRDefault="00F10CDA" w14:paraId="17282ADE" w14:textId="77777777">
            <w:pPr>
              <w:pStyle w:val="naiskr"/>
              <w:spacing w:before="0" w:beforeAutospacing="0" w:after="0" w:afterAutospacing="0"/>
              <w:ind w:left="57" w:right="57"/>
            </w:pPr>
            <w:r w:rsidRPr="00265EEE">
              <w:rPr>
                <w:iCs/>
              </w:rPr>
              <w:t>Mērķis, risinājums un projekta spēkā stāšanās laiks (500 zīmes bez atstarpēm)</w:t>
            </w:r>
          </w:p>
        </w:tc>
        <w:tc>
          <w:tcPr>
            <w:tcW w:w="3258" w:type="pct"/>
          </w:tcPr>
          <w:p w:rsidR="00BA2A96" w:rsidP="00817914" w:rsidRDefault="00817914" w14:paraId="02500569" w14:textId="77777777">
            <w:pPr>
              <w:jc w:val="both"/>
            </w:pPr>
            <w:r>
              <w:t xml:space="preserve">Ministru kabineta rīkojuma projekts “Par pievienotās vērtības nodokļa summas, kas nav atgūstama kā priekšnodoklis, kompensāciju Igaunijas Republikai un Lietuvas Republikai akciju sabiedrības “RB Rail” veikto aktivitāšu ietvaros” (turpmāk – Rīkojuma projekts) </w:t>
            </w:r>
            <w:r w:rsidRPr="00A81DB1" w:rsidR="00F32255">
              <w:t xml:space="preserve">izstrādāts, lai </w:t>
            </w:r>
            <w:r w:rsidR="002C12B2">
              <w:t>Igaunijai un Lietuvai kompensētu pievienotās vērtības nodokli (turpmāk – PVN)</w:t>
            </w:r>
            <w:r w:rsidRPr="002C12B2" w:rsidR="002C12B2">
              <w:t>, kas nav atgūstama kā priekšnodoklis,</w:t>
            </w:r>
            <w:r w:rsidR="002C12B2">
              <w:t xml:space="preserve"> no </w:t>
            </w:r>
            <w:r w:rsidR="00A707E9">
              <w:t>akciju sabiedrības</w:t>
            </w:r>
            <w:r w:rsidR="00C007C7">
              <w:t xml:space="preserve"> </w:t>
            </w:r>
            <w:r w:rsidR="00A707E9">
              <w:t>“</w:t>
            </w:r>
            <w:r w:rsidRPr="00A81DB1" w:rsidR="005F5E0A">
              <w:t>RB Rail</w:t>
            </w:r>
            <w:r w:rsidR="00A707E9">
              <w:t>”</w:t>
            </w:r>
            <w:r w:rsidRPr="00A81DB1" w:rsidR="005F5E0A">
              <w:t xml:space="preserve"> (turpmāk – RBR)</w:t>
            </w:r>
            <w:r w:rsidR="00C007C7">
              <w:t xml:space="preserve"> </w:t>
            </w:r>
            <w:r w:rsidR="002C12B2">
              <w:t>darījumiem ar</w:t>
            </w:r>
            <w:r w:rsidR="00C007C7">
              <w:t xml:space="preserve"> Latvijā reģistrētiem PVN maksātājiem.</w:t>
            </w:r>
          </w:p>
          <w:p w:rsidRPr="00817914" w:rsidR="009B59E5" w:rsidP="00817914" w:rsidRDefault="00471FE3" w14:paraId="7B013361" w14:textId="407E86CF">
            <w:pPr>
              <w:jc w:val="both"/>
              <w:rPr>
                <w:rFonts w:eastAsia="Calibri"/>
                <w:lang w:eastAsia="en-US"/>
              </w:rPr>
            </w:pPr>
            <w:r>
              <w:rPr>
                <w:rFonts w:eastAsia="Calibri"/>
                <w:lang w:eastAsia="en-US"/>
              </w:rPr>
              <w:t xml:space="preserve">Rīkojuma projekts stāsies spēkā </w:t>
            </w:r>
            <w:r w:rsidRPr="00471FE3">
              <w:rPr>
                <w:rFonts w:eastAsia="Calibri"/>
                <w:lang w:eastAsia="en-US"/>
              </w:rPr>
              <w:t>tā parakstīšanas brīdī.</w:t>
            </w:r>
          </w:p>
        </w:tc>
      </w:tr>
    </w:tbl>
    <w:p w:rsidRPr="00E40874" w:rsidR="00551A0F" w:rsidP="00696675" w:rsidRDefault="00551A0F" w14:paraId="0AD395D8" w14:textId="77777777">
      <w:pPr>
        <w:tabs>
          <w:tab w:val="left" w:pos="1125"/>
        </w:tabs>
        <w:rPr>
          <w:sz w:val="22"/>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9"/>
        <w:gridCol w:w="2725"/>
        <w:gridCol w:w="5905"/>
      </w:tblGrid>
      <w:tr w:rsidRPr="00265EEE" w:rsidR="00551A0F" w:rsidTr="002259BB" w14:paraId="0A2ECB7D" w14:textId="77777777">
        <w:trPr>
          <w:trHeight w:val="419"/>
        </w:trPr>
        <w:tc>
          <w:tcPr>
            <w:tcW w:w="5000" w:type="pct"/>
            <w:gridSpan w:val="3"/>
            <w:vAlign w:val="center"/>
          </w:tcPr>
          <w:p w:rsidRPr="00265EEE" w:rsidR="00551A0F" w:rsidP="00017065" w:rsidRDefault="00551A0F" w14:paraId="72282C0C" w14:textId="77777777">
            <w:pPr>
              <w:pStyle w:val="naisnod"/>
              <w:spacing w:before="0" w:beforeAutospacing="0" w:after="0" w:afterAutospacing="0"/>
              <w:ind w:left="57" w:right="57"/>
              <w:jc w:val="center"/>
              <w:rPr>
                <w:b/>
              </w:rPr>
            </w:pPr>
            <w:r w:rsidRPr="00265EEE">
              <w:rPr>
                <w:b/>
              </w:rPr>
              <w:t>I. Tiesību akta projekta izstrādes nepieciešamība</w:t>
            </w:r>
          </w:p>
        </w:tc>
      </w:tr>
      <w:tr w:rsidRPr="00265EEE" w:rsidR="00551A0F" w:rsidTr="002259BB" w14:paraId="26516C0F" w14:textId="77777777">
        <w:trPr>
          <w:trHeight w:val="415"/>
        </w:trPr>
        <w:tc>
          <w:tcPr>
            <w:tcW w:w="237" w:type="pct"/>
          </w:tcPr>
          <w:p w:rsidRPr="00265EEE" w:rsidR="00551A0F" w:rsidP="00017065" w:rsidRDefault="00551A0F" w14:paraId="40412917" w14:textId="77777777">
            <w:pPr>
              <w:pStyle w:val="naiskr"/>
              <w:spacing w:before="0" w:beforeAutospacing="0" w:after="0" w:afterAutospacing="0"/>
              <w:ind w:left="57" w:right="57"/>
              <w:jc w:val="center"/>
            </w:pPr>
            <w:r w:rsidRPr="00265EEE">
              <w:t>1.</w:t>
            </w:r>
          </w:p>
        </w:tc>
        <w:tc>
          <w:tcPr>
            <w:tcW w:w="1504" w:type="pct"/>
          </w:tcPr>
          <w:p w:rsidRPr="00265EEE" w:rsidR="00551A0F" w:rsidP="00017065" w:rsidRDefault="00551A0F" w14:paraId="1ED2376A" w14:textId="77777777">
            <w:pPr>
              <w:pStyle w:val="naiskr"/>
              <w:spacing w:before="0" w:beforeAutospacing="0" w:after="0" w:afterAutospacing="0"/>
              <w:ind w:left="57" w:right="57"/>
            </w:pPr>
            <w:r w:rsidRPr="00265EEE">
              <w:t>Pamatojums</w:t>
            </w:r>
          </w:p>
        </w:tc>
        <w:tc>
          <w:tcPr>
            <w:tcW w:w="3257" w:type="pct"/>
          </w:tcPr>
          <w:p w:rsidR="00EE39A4" w:rsidP="00D02649" w:rsidRDefault="00424A68" w14:paraId="26126B83" w14:textId="6BE608DF">
            <w:pPr>
              <w:jc w:val="both"/>
              <w:rPr>
                <w:szCs w:val="22"/>
              </w:rPr>
            </w:pPr>
            <w:r>
              <w:rPr>
                <w:szCs w:val="22"/>
              </w:rPr>
              <w:t xml:space="preserve">Likuma </w:t>
            </w:r>
            <w:r w:rsidR="00F32255">
              <w:rPr>
                <w:szCs w:val="22"/>
              </w:rPr>
              <w:t>“</w:t>
            </w:r>
            <w:r>
              <w:rPr>
                <w:szCs w:val="22"/>
              </w:rPr>
              <w:t>Par valsts budžetu 2020.gadam</w:t>
            </w:r>
            <w:r w:rsidR="00F32255">
              <w:rPr>
                <w:szCs w:val="22"/>
              </w:rPr>
              <w:t>”</w:t>
            </w:r>
            <w:r>
              <w:rPr>
                <w:szCs w:val="22"/>
              </w:rPr>
              <w:t xml:space="preserve"> 55.pants.</w:t>
            </w:r>
          </w:p>
          <w:p w:rsidR="00396753" w:rsidP="00A707E9" w:rsidRDefault="002C12B2" w14:paraId="15DF3753" w14:textId="49CD8D26">
            <w:pPr>
              <w:jc w:val="both"/>
              <w:rPr>
                <w:szCs w:val="22"/>
              </w:rPr>
            </w:pPr>
            <w:r>
              <w:rPr>
                <w:szCs w:val="22"/>
              </w:rPr>
              <w:t>Ministru kabineta 2020.gada 14.aprīļa n</w:t>
            </w:r>
            <w:r w:rsidRPr="00194D1F" w:rsidR="00194D1F">
              <w:rPr>
                <w:szCs w:val="22"/>
              </w:rPr>
              <w:t>oteikum</w:t>
            </w:r>
            <w:r w:rsidR="00A707E9">
              <w:rPr>
                <w:szCs w:val="22"/>
              </w:rPr>
              <w:t>u</w:t>
            </w:r>
            <w:r w:rsidRPr="00194D1F" w:rsidR="00194D1F">
              <w:rPr>
                <w:szCs w:val="22"/>
              </w:rPr>
              <w:t xml:space="preserve"> Nr.218 </w:t>
            </w:r>
            <w:r w:rsidR="00194D1F">
              <w:rPr>
                <w:szCs w:val="22"/>
              </w:rPr>
              <w:t xml:space="preserve"> </w:t>
            </w:r>
            <w:r>
              <w:rPr>
                <w:szCs w:val="22"/>
              </w:rPr>
              <w:t>“</w:t>
            </w:r>
            <w:r w:rsidRPr="002C12B2">
              <w:rPr>
                <w:szCs w:val="22"/>
              </w:rPr>
              <w:t xml:space="preserve">Kārtība, kādā kompensē pievienotās vērtības nodokļa summas Igaunijai un Lietuvai par akciju sabiedrības </w:t>
            </w:r>
            <w:r w:rsidR="00845895">
              <w:rPr>
                <w:szCs w:val="22"/>
              </w:rPr>
              <w:t>“</w:t>
            </w:r>
            <w:r w:rsidRPr="002C12B2">
              <w:rPr>
                <w:szCs w:val="22"/>
              </w:rPr>
              <w:t>RB Rail</w:t>
            </w:r>
            <w:r w:rsidR="00845895">
              <w:rPr>
                <w:szCs w:val="22"/>
              </w:rPr>
              <w:t>”</w:t>
            </w:r>
            <w:r w:rsidRPr="002C12B2">
              <w:rPr>
                <w:szCs w:val="22"/>
              </w:rPr>
              <w:t xml:space="preserve"> veiktajām aktivitātēm</w:t>
            </w:r>
            <w:r>
              <w:rPr>
                <w:szCs w:val="22"/>
              </w:rPr>
              <w:t xml:space="preserve">” </w:t>
            </w:r>
            <w:r w:rsidR="000565F6">
              <w:rPr>
                <w:szCs w:val="22"/>
              </w:rPr>
              <w:t xml:space="preserve">(turpmāk – Noteikumi Nr.218) </w:t>
            </w:r>
            <w:r w:rsidR="00194D1F">
              <w:rPr>
                <w:szCs w:val="22"/>
              </w:rPr>
              <w:t>8.punkts.</w:t>
            </w:r>
          </w:p>
          <w:p w:rsidRPr="00BB3200" w:rsidR="002015B1" w:rsidP="00A707E9" w:rsidRDefault="002C12B2" w14:paraId="01A4B21B" w14:textId="7572B9C0">
            <w:pPr>
              <w:jc w:val="both"/>
              <w:rPr>
                <w:szCs w:val="22"/>
              </w:rPr>
            </w:pPr>
            <w:r w:rsidRPr="002C12B2">
              <w:rPr>
                <w:szCs w:val="22"/>
              </w:rPr>
              <w:t xml:space="preserve">Ministru kabineta 2019.gada 3.decembra </w:t>
            </w:r>
            <w:r w:rsidR="00817914">
              <w:rPr>
                <w:szCs w:val="22"/>
              </w:rPr>
              <w:t>sēdes p</w:t>
            </w:r>
            <w:r w:rsidRPr="002C12B2">
              <w:rPr>
                <w:szCs w:val="22"/>
              </w:rPr>
              <w:t xml:space="preserve">rotokollēmuma </w:t>
            </w:r>
            <w:r w:rsidR="00817914">
              <w:rPr>
                <w:szCs w:val="22"/>
              </w:rPr>
              <w:t>(prot.</w:t>
            </w:r>
            <w:r w:rsidRPr="002C12B2">
              <w:rPr>
                <w:szCs w:val="22"/>
              </w:rPr>
              <w:t>Nr.56, 37.§</w:t>
            </w:r>
            <w:r w:rsidR="00817914">
              <w:rPr>
                <w:szCs w:val="22"/>
              </w:rPr>
              <w:t>)</w:t>
            </w:r>
            <w:r w:rsidR="000565F6">
              <w:rPr>
                <w:szCs w:val="22"/>
              </w:rPr>
              <w:t xml:space="preserve"> 3.punkts</w:t>
            </w:r>
            <w:r w:rsidR="002015B1">
              <w:rPr>
                <w:szCs w:val="22"/>
              </w:rPr>
              <w:t xml:space="preserve">.  </w:t>
            </w:r>
          </w:p>
        </w:tc>
      </w:tr>
      <w:tr w:rsidRPr="00265EEE" w:rsidR="00D47D98" w:rsidTr="002259BB" w14:paraId="5589370A" w14:textId="77777777">
        <w:trPr>
          <w:trHeight w:val="472"/>
        </w:trPr>
        <w:tc>
          <w:tcPr>
            <w:tcW w:w="237" w:type="pct"/>
          </w:tcPr>
          <w:p w:rsidRPr="00265EEE" w:rsidR="00D47D98" w:rsidP="00D47D98" w:rsidRDefault="00D47D98" w14:paraId="1CAB4269" w14:textId="77777777">
            <w:pPr>
              <w:pStyle w:val="naiskr"/>
              <w:spacing w:before="0" w:beforeAutospacing="0" w:after="0" w:afterAutospacing="0"/>
              <w:ind w:left="57" w:right="57"/>
              <w:jc w:val="center"/>
            </w:pPr>
            <w:r w:rsidRPr="00265EEE">
              <w:t>2.</w:t>
            </w:r>
          </w:p>
        </w:tc>
        <w:tc>
          <w:tcPr>
            <w:tcW w:w="1504" w:type="pct"/>
          </w:tcPr>
          <w:p w:rsidRPr="00265EEE" w:rsidR="00D47D98" w:rsidP="00D47D98" w:rsidRDefault="00D47D98" w14:paraId="711F75A5" w14:textId="77777777">
            <w:pPr>
              <w:pStyle w:val="naiskr"/>
              <w:tabs>
                <w:tab w:val="left" w:pos="170"/>
              </w:tabs>
              <w:spacing w:before="0" w:beforeAutospacing="0" w:after="0" w:afterAutospacing="0"/>
              <w:ind w:left="57" w:right="57"/>
            </w:pPr>
            <w:r w:rsidRPr="00265EEE">
              <w:t>Pašreizējā situācija un problēmas, kuru risināšanai tiesību akta projekts izstrādāts, tiesiskā regulējuma mērķis un būtība</w:t>
            </w:r>
          </w:p>
        </w:tc>
        <w:tc>
          <w:tcPr>
            <w:tcW w:w="3257" w:type="pct"/>
          </w:tcPr>
          <w:p w:rsidR="00932C3F" w:rsidP="00932C3F" w:rsidRDefault="00A707E9" w14:paraId="01617BAA" w14:textId="271D526D">
            <w:pPr>
              <w:jc w:val="both"/>
            </w:pPr>
            <w:r>
              <w:t xml:space="preserve">Noteikumi Nr.218 </w:t>
            </w:r>
            <w:r w:rsidR="00194D1F">
              <w:t xml:space="preserve">paredz </w:t>
            </w:r>
            <w:r w:rsidR="00C87A6A">
              <w:t xml:space="preserve">no valsts budžeta kompensēt PVN, ko Baltijas valstu kopuzņēmums </w:t>
            </w:r>
            <w:r w:rsidRPr="00A81DB1" w:rsidR="000C2864">
              <w:t>RB</w:t>
            </w:r>
            <w:r w:rsidR="001C596E">
              <w:t xml:space="preserve">R </w:t>
            </w:r>
            <w:r w:rsidR="00C87A6A">
              <w:t xml:space="preserve">horizontālo aktivitāšu (vienlīdzīgās daļās līdzfinansē Igaunija, Latvija un Lietuva) </w:t>
            </w:r>
            <w:r w:rsidR="00CF08F2">
              <w:t xml:space="preserve">īstenošanas </w:t>
            </w:r>
            <w:r w:rsidR="00C87A6A">
              <w:t>ietvaros ir samaksāji</w:t>
            </w:r>
            <w:r w:rsidR="000565F6">
              <w:t>s</w:t>
            </w:r>
            <w:r w:rsidR="00C87A6A">
              <w:t xml:space="preserve"> </w:t>
            </w:r>
            <w:r w:rsidRPr="000565F6" w:rsidR="000565F6">
              <w:t xml:space="preserve">Valsts ieņēmumu dienesta </w:t>
            </w:r>
            <w:r w:rsidR="00EE5B1B">
              <w:t>PVN</w:t>
            </w:r>
            <w:r w:rsidRPr="000565F6" w:rsidR="000565F6">
              <w:t xml:space="preserve"> maksātāju reģistrā reģistrētiem nodokļu maksātājiem </w:t>
            </w:r>
            <w:r w:rsidR="00C87A6A">
              <w:t>par precēm un pakalpojumiem.</w:t>
            </w:r>
          </w:p>
          <w:p w:rsidR="000C2864" w:rsidP="00932C3F" w:rsidRDefault="00214A64" w14:paraId="282FC0C8" w14:textId="7BFD1EE9">
            <w:pPr>
              <w:jc w:val="both"/>
              <w:rPr>
                <w:rFonts w:eastAsia="Calibri"/>
                <w:lang w:eastAsia="en-US"/>
              </w:rPr>
            </w:pPr>
            <w:r>
              <w:rPr>
                <w:rFonts w:eastAsia="Calibri"/>
                <w:lang w:eastAsia="en-US"/>
              </w:rPr>
              <w:t>Noteikumi Nr.218</w:t>
            </w:r>
            <w:r w:rsidRPr="00A81DB1">
              <w:rPr>
                <w:rFonts w:eastAsia="Calibri"/>
                <w:lang w:eastAsia="en-US"/>
              </w:rPr>
              <w:t xml:space="preserve"> </w:t>
            </w:r>
            <w:r w:rsidRPr="00A81DB1" w:rsidR="000C2864">
              <w:rPr>
                <w:rFonts w:eastAsia="Calibri"/>
                <w:lang w:eastAsia="en-US"/>
              </w:rPr>
              <w:t xml:space="preserve">paredz, ka RBR apkopo informāciju par PVN summu, </w:t>
            </w:r>
            <w:r w:rsidR="00882088">
              <w:rPr>
                <w:rFonts w:eastAsia="Calibri"/>
                <w:lang w:eastAsia="en-US"/>
              </w:rPr>
              <w:t xml:space="preserve">kas nav atgūstama kā priekšnodoklis un </w:t>
            </w:r>
            <w:r w:rsidRPr="00A81DB1" w:rsidR="000C2864">
              <w:rPr>
                <w:rFonts w:eastAsia="Calibri"/>
                <w:lang w:eastAsia="en-US"/>
              </w:rPr>
              <w:t>k</w:t>
            </w:r>
            <w:r w:rsidR="00882088">
              <w:rPr>
                <w:rFonts w:eastAsia="Calibri"/>
                <w:lang w:eastAsia="en-US"/>
              </w:rPr>
              <w:t xml:space="preserve">uru </w:t>
            </w:r>
            <w:r w:rsidRPr="00A81DB1" w:rsidR="000C2864">
              <w:rPr>
                <w:rFonts w:eastAsia="Calibri"/>
                <w:lang w:eastAsia="en-US"/>
              </w:rPr>
              <w:t>RBR ir faktiski samaksāj</w:t>
            </w:r>
            <w:r w:rsidR="00882088">
              <w:rPr>
                <w:rFonts w:eastAsia="Calibri"/>
                <w:lang w:eastAsia="en-US"/>
              </w:rPr>
              <w:t xml:space="preserve">is </w:t>
            </w:r>
            <w:r w:rsidRPr="00A81DB1" w:rsidR="000C2864">
              <w:rPr>
                <w:rFonts w:eastAsia="Calibri"/>
                <w:lang w:eastAsia="en-US"/>
              </w:rPr>
              <w:t xml:space="preserve">Valsts ieņēmuma dienesta PVN maksātāju reģistrā reģistrētiem nodokļu maksātājiem par preču piegādēm un pakalpojumiem, īstenojot Eiropas infrastruktūras savienošanas instrumenta finansētā Rail Baltica projekta (turpmāk – Projekta) aktivitātes, kuras ir noteiktas </w:t>
            </w:r>
            <w:r w:rsidR="000565F6">
              <w:rPr>
                <w:rFonts w:eastAsia="Calibri"/>
                <w:lang w:eastAsia="en-US"/>
              </w:rPr>
              <w:t>Projekta</w:t>
            </w:r>
            <w:r w:rsidRPr="00A81DB1" w:rsidR="000C2864">
              <w:rPr>
                <w:rFonts w:eastAsia="Calibri"/>
                <w:lang w:eastAsia="en-US"/>
              </w:rPr>
              <w:t xml:space="preserve"> finansēšanas līgumos un kuras vienlīdzīgās daļās līdzfinansē Igaunija, Latvija un Lietuva.</w:t>
            </w:r>
          </w:p>
          <w:p w:rsidR="00DE732F" w:rsidP="00AF3696" w:rsidRDefault="00AF3696" w14:paraId="753490BC" w14:textId="20C527B3">
            <w:pPr>
              <w:jc w:val="both"/>
              <w:rPr>
                <w:rFonts w:eastAsia="Calibri"/>
                <w:lang w:eastAsia="en-US"/>
              </w:rPr>
            </w:pPr>
            <w:r>
              <w:rPr>
                <w:rFonts w:eastAsia="Calibri"/>
                <w:lang w:eastAsia="en-US"/>
              </w:rPr>
              <w:t xml:space="preserve">Atbilstoši </w:t>
            </w:r>
            <w:r w:rsidR="00185139">
              <w:rPr>
                <w:rFonts w:eastAsia="Calibri"/>
                <w:lang w:eastAsia="en-US"/>
              </w:rPr>
              <w:t xml:space="preserve">Ministru kabineta </w:t>
            </w:r>
            <w:r w:rsidRPr="00760BEE" w:rsidR="00185139">
              <w:rPr>
                <w:rFonts w:eastAsia="Calibri"/>
                <w:lang w:eastAsia="en-US"/>
              </w:rPr>
              <w:t xml:space="preserve">2019.gada 3.decembra </w:t>
            </w:r>
            <w:r w:rsidR="00760BEE">
              <w:rPr>
                <w:rFonts w:eastAsia="Calibri"/>
                <w:lang w:eastAsia="en-US"/>
              </w:rPr>
              <w:t>p</w:t>
            </w:r>
            <w:r w:rsidRPr="00760BEE" w:rsidR="00185139">
              <w:rPr>
                <w:rFonts w:eastAsia="Calibri"/>
                <w:lang w:eastAsia="en-US"/>
              </w:rPr>
              <w:t xml:space="preserve">rotokollēmuma </w:t>
            </w:r>
            <w:r w:rsidR="00760BEE">
              <w:rPr>
                <w:rFonts w:eastAsia="Calibri"/>
                <w:lang w:eastAsia="en-US"/>
              </w:rPr>
              <w:t>(prot.</w:t>
            </w:r>
            <w:r w:rsidRPr="00760BEE" w:rsidR="00185139">
              <w:rPr>
                <w:rFonts w:eastAsia="Calibri"/>
                <w:lang w:eastAsia="en-US"/>
              </w:rPr>
              <w:t xml:space="preserve">Nr.56, </w:t>
            </w:r>
            <w:r w:rsidRPr="00760BEE">
              <w:rPr>
                <w:rFonts w:eastAsia="Calibri"/>
                <w:lang w:eastAsia="en-US"/>
              </w:rPr>
              <w:t>37.§</w:t>
            </w:r>
            <w:r w:rsidR="00760BEE">
              <w:rPr>
                <w:rFonts w:eastAsia="Calibri"/>
                <w:lang w:eastAsia="en-US"/>
              </w:rPr>
              <w:t>)</w:t>
            </w:r>
            <w:r w:rsidRPr="00760BEE">
              <w:rPr>
                <w:rFonts w:eastAsia="Calibri"/>
                <w:lang w:eastAsia="en-US"/>
              </w:rPr>
              <w:t xml:space="preserve"> </w:t>
            </w:r>
            <w:r w:rsidR="00760BEE">
              <w:rPr>
                <w:rFonts w:eastAsia="Calibri"/>
                <w:lang w:eastAsia="en-US"/>
              </w:rPr>
              <w:t>“I</w:t>
            </w:r>
            <w:r w:rsidRPr="00AF3696">
              <w:rPr>
                <w:rFonts w:eastAsia="Calibri"/>
                <w:lang w:eastAsia="en-US"/>
              </w:rPr>
              <w:t>nformatīv</w:t>
            </w:r>
            <w:r w:rsidR="00760BEE">
              <w:rPr>
                <w:rFonts w:eastAsia="Calibri"/>
                <w:lang w:eastAsia="en-US"/>
              </w:rPr>
              <w:t>ais</w:t>
            </w:r>
            <w:r w:rsidRPr="00AF3696">
              <w:rPr>
                <w:rFonts w:eastAsia="Calibri"/>
                <w:lang w:eastAsia="en-US"/>
              </w:rPr>
              <w:t xml:space="preserve"> ziņojum</w:t>
            </w:r>
            <w:r w:rsidR="00760BEE">
              <w:rPr>
                <w:rFonts w:eastAsia="Calibri"/>
                <w:lang w:eastAsia="en-US"/>
              </w:rPr>
              <w:t>s</w:t>
            </w:r>
            <w:r w:rsidRPr="00AF3696">
              <w:rPr>
                <w:rFonts w:eastAsia="Calibri"/>
                <w:lang w:eastAsia="en-US"/>
              </w:rPr>
              <w:t xml:space="preserve"> </w:t>
            </w:r>
            <w:r w:rsidR="00845895">
              <w:rPr>
                <w:rFonts w:eastAsia="Calibri"/>
                <w:lang w:eastAsia="en-US"/>
              </w:rPr>
              <w:t>“</w:t>
            </w:r>
            <w:r w:rsidRPr="00AF3696">
              <w:rPr>
                <w:rFonts w:eastAsia="Calibri"/>
                <w:lang w:eastAsia="en-US"/>
              </w:rPr>
              <w:t>Par pievienotās vērtības nodokļa finansējumu RB Rail AS aktivitāšu īstenošanai Latvijas teritorijā</w:t>
            </w:r>
            <w:r w:rsidR="00760BEE">
              <w:rPr>
                <w:rFonts w:eastAsia="Calibri"/>
                <w:lang w:eastAsia="en-US"/>
              </w:rPr>
              <w:t>”</w:t>
            </w:r>
            <w:r w:rsidRPr="00AF3696">
              <w:rPr>
                <w:rFonts w:eastAsia="Calibri"/>
                <w:lang w:eastAsia="en-US"/>
              </w:rPr>
              <w:t xml:space="preserve"> </w:t>
            </w:r>
            <w:r>
              <w:rPr>
                <w:rFonts w:eastAsia="Calibri"/>
                <w:lang w:eastAsia="en-US"/>
              </w:rPr>
              <w:t>(</w:t>
            </w:r>
            <w:r w:rsidR="00185139">
              <w:rPr>
                <w:rFonts w:eastAsia="Calibri"/>
                <w:lang w:eastAsia="en-US"/>
              </w:rPr>
              <w:t>TA-2395</w:t>
            </w:r>
            <w:r>
              <w:rPr>
                <w:rFonts w:eastAsia="Calibri"/>
                <w:lang w:eastAsia="en-US"/>
              </w:rPr>
              <w:t>)</w:t>
            </w:r>
            <w:r w:rsidR="00185139">
              <w:rPr>
                <w:rFonts w:eastAsia="Calibri"/>
                <w:lang w:eastAsia="en-US"/>
              </w:rPr>
              <w:t xml:space="preserve"> </w:t>
            </w:r>
            <w:r w:rsidR="005562C2">
              <w:rPr>
                <w:rFonts w:eastAsia="Calibri"/>
                <w:lang w:eastAsia="en-US"/>
              </w:rPr>
              <w:t>3</w:t>
            </w:r>
            <w:r w:rsidRPr="00760BEE" w:rsidR="00760BEE">
              <w:rPr>
                <w:rFonts w:eastAsia="Calibri"/>
                <w:color w:val="FF0000"/>
                <w:lang w:eastAsia="en-US"/>
              </w:rPr>
              <w:t>.</w:t>
            </w:r>
            <w:r w:rsidRPr="005562C2" w:rsidR="00760BEE">
              <w:rPr>
                <w:rFonts w:eastAsia="Calibri"/>
                <w:color w:val="000000" w:themeColor="text1"/>
                <w:lang w:eastAsia="en-US"/>
              </w:rPr>
              <w:t>punktam</w:t>
            </w:r>
            <w:r w:rsidRPr="00760BEE" w:rsidR="00760BEE">
              <w:rPr>
                <w:rFonts w:eastAsia="Calibri"/>
                <w:color w:val="FF0000"/>
                <w:lang w:eastAsia="en-US"/>
              </w:rPr>
              <w:t xml:space="preserve"> </w:t>
            </w:r>
            <w:r>
              <w:rPr>
                <w:rFonts w:eastAsia="Calibri"/>
                <w:lang w:eastAsia="en-US"/>
              </w:rPr>
              <w:t>ir atbalstīta</w:t>
            </w:r>
            <w:r w:rsidR="00185139">
              <w:rPr>
                <w:rFonts w:eastAsia="Calibri"/>
                <w:lang w:eastAsia="en-US"/>
              </w:rPr>
              <w:t xml:space="preserve"> RBR 2019. gadā samaksātā PVN kompensāciju no </w:t>
            </w:r>
            <w:r w:rsidR="000565F6">
              <w:rPr>
                <w:rFonts w:eastAsia="Calibri"/>
                <w:lang w:eastAsia="en-US"/>
              </w:rPr>
              <w:t>Satiksmes m</w:t>
            </w:r>
            <w:r w:rsidR="00185139">
              <w:rPr>
                <w:rFonts w:eastAsia="Calibri"/>
                <w:lang w:eastAsia="en-US"/>
              </w:rPr>
              <w:t>inistrijas</w:t>
            </w:r>
            <w:r w:rsidR="000565F6">
              <w:rPr>
                <w:rFonts w:eastAsia="Calibri"/>
                <w:lang w:eastAsia="en-US"/>
              </w:rPr>
              <w:t xml:space="preserve"> (turpmāk – Ministrija)</w:t>
            </w:r>
            <w:r w:rsidR="00185139">
              <w:rPr>
                <w:rFonts w:eastAsia="Calibri"/>
                <w:lang w:eastAsia="en-US"/>
              </w:rPr>
              <w:t xml:space="preserve"> budžeta apakšprogramm</w:t>
            </w:r>
            <w:r w:rsidR="000565F6">
              <w:rPr>
                <w:rFonts w:eastAsia="Calibri"/>
                <w:lang w:eastAsia="en-US"/>
              </w:rPr>
              <w:t>ā</w:t>
            </w:r>
            <w:r w:rsidR="00185139">
              <w:rPr>
                <w:rFonts w:eastAsia="Calibri"/>
                <w:lang w:eastAsia="en-US"/>
              </w:rPr>
              <w:t xml:space="preserve"> 60.07.00 “Eiropas transporta infrastruktūras projekti (Rail Baltica)” pieejamās vispārējā </w:t>
            </w:r>
            <w:r w:rsidR="00185139">
              <w:rPr>
                <w:rFonts w:eastAsia="Calibri"/>
                <w:lang w:eastAsia="en-US"/>
              </w:rPr>
              <w:lastRenderedPageBreak/>
              <w:t>kārtībā sadalāmās dotācijas no vispārējiem ieņēmumiem</w:t>
            </w:r>
            <w:r w:rsidR="00DE732F">
              <w:rPr>
                <w:rFonts w:eastAsia="Calibri"/>
                <w:lang w:eastAsia="en-US"/>
              </w:rPr>
              <w:t xml:space="preserve"> </w:t>
            </w:r>
            <w:r w:rsidRPr="004D30EC" w:rsidR="00DE732F">
              <w:rPr>
                <w:rFonts w:eastAsia="Calibri"/>
                <w:color w:val="000000" w:themeColor="text1"/>
                <w:lang w:eastAsia="en-US"/>
              </w:rPr>
              <w:t xml:space="preserve">1 139 191 </w:t>
            </w:r>
            <w:r w:rsidR="00DE732F">
              <w:rPr>
                <w:rFonts w:eastAsia="Calibri"/>
                <w:lang w:eastAsia="en-US"/>
              </w:rPr>
              <w:t>EUR apmērā</w:t>
            </w:r>
            <w:r w:rsidR="00185139">
              <w:rPr>
                <w:rFonts w:eastAsia="Calibri"/>
                <w:lang w:eastAsia="en-US"/>
              </w:rPr>
              <w:t>.</w:t>
            </w:r>
            <w:r w:rsidR="00DE732F">
              <w:rPr>
                <w:rFonts w:eastAsia="Calibri"/>
                <w:lang w:eastAsia="en-US"/>
              </w:rPr>
              <w:t xml:space="preserve"> </w:t>
            </w:r>
            <w:r w:rsidR="00760BEE">
              <w:rPr>
                <w:rFonts w:eastAsia="Calibri"/>
                <w:lang w:eastAsia="en-US"/>
              </w:rPr>
              <w:t>M</w:t>
            </w:r>
            <w:r w:rsidR="00DE732F">
              <w:rPr>
                <w:rFonts w:eastAsia="Calibri"/>
                <w:lang w:eastAsia="en-US"/>
              </w:rPr>
              <w:t xml:space="preserve">inistrija, kompensējot </w:t>
            </w:r>
            <w:r w:rsidR="000565F6">
              <w:rPr>
                <w:rFonts w:eastAsia="Calibri"/>
                <w:lang w:eastAsia="en-US"/>
              </w:rPr>
              <w:t xml:space="preserve">PVN no darījumiem, kas veikti </w:t>
            </w:r>
            <w:r w:rsidR="00DE732F">
              <w:rPr>
                <w:rFonts w:eastAsia="Calibri"/>
                <w:lang w:eastAsia="en-US"/>
              </w:rPr>
              <w:t xml:space="preserve">2018.gada 3. un 4. ceturksnī un 2019.gada janvārī – oktobrī, RBR pamatkapitālā atgrieza </w:t>
            </w:r>
            <w:r w:rsidRPr="00C50543" w:rsidR="00DE732F">
              <w:rPr>
                <w:color w:val="000000"/>
                <w:lang w:eastAsia="en-GB"/>
              </w:rPr>
              <w:t>897</w:t>
            </w:r>
            <w:r w:rsidR="00B23F2F">
              <w:rPr>
                <w:color w:val="000000"/>
                <w:lang w:eastAsia="en-GB"/>
              </w:rPr>
              <w:t> </w:t>
            </w:r>
            <w:r w:rsidRPr="00C50543" w:rsidR="00DE732F">
              <w:rPr>
                <w:color w:val="000000"/>
                <w:lang w:eastAsia="en-GB"/>
              </w:rPr>
              <w:t>695,38 EUR</w:t>
            </w:r>
            <w:r w:rsidR="00DE732F">
              <w:rPr>
                <w:color w:val="000000"/>
                <w:lang w:eastAsia="en-GB"/>
              </w:rPr>
              <w:t xml:space="preserve">. Tā kā dokumenti par RBR 2019.gada novembra – decembra PVN maksājumiem Ministrijā tika saņemti 2020.gada janvārī, 2019.gada novembra – decembra kompensējamā PVN summa 131 211,96 EUR apmērā ir </w:t>
            </w:r>
            <w:r w:rsidR="000565F6">
              <w:rPr>
                <w:color w:val="000000"/>
                <w:lang w:eastAsia="en-GB"/>
              </w:rPr>
              <w:t xml:space="preserve">iekļauta </w:t>
            </w:r>
            <w:r w:rsidR="00760BEE">
              <w:rPr>
                <w:color w:val="000000"/>
                <w:lang w:eastAsia="en-GB"/>
              </w:rPr>
              <w:t>R</w:t>
            </w:r>
            <w:r w:rsidR="000565F6">
              <w:rPr>
                <w:color w:val="000000"/>
                <w:lang w:eastAsia="en-GB"/>
              </w:rPr>
              <w:t xml:space="preserve">īkojuma projektā un </w:t>
            </w:r>
            <w:r w:rsidR="00DE732F">
              <w:rPr>
                <w:color w:val="000000"/>
                <w:lang w:eastAsia="en-GB"/>
              </w:rPr>
              <w:t>sākotnējās ietekmes ziņojum</w:t>
            </w:r>
            <w:r w:rsidR="000565F6">
              <w:rPr>
                <w:color w:val="000000"/>
                <w:lang w:eastAsia="en-GB"/>
              </w:rPr>
              <w:t>ā</w:t>
            </w:r>
            <w:r w:rsidR="00DE732F">
              <w:rPr>
                <w:color w:val="000000"/>
                <w:lang w:eastAsia="en-GB"/>
              </w:rPr>
              <w:t xml:space="preserve"> (anotācij</w:t>
            </w:r>
            <w:r w:rsidR="000565F6">
              <w:rPr>
                <w:color w:val="000000"/>
                <w:lang w:eastAsia="en-GB"/>
              </w:rPr>
              <w:t>ā</w:t>
            </w:r>
            <w:r w:rsidR="00DE732F">
              <w:rPr>
                <w:color w:val="000000"/>
                <w:lang w:eastAsia="en-GB"/>
              </w:rPr>
              <w:t>)</w:t>
            </w:r>
            <w:r w:rsidR="00B90538">
              <w:rPr>
                <w:color w:val="000000"/>
                <w:lang w:eastAsia="en-GB"/>
              </w:rPr>
              <w:t xml:space="preserve">. </w:t>
            </w:r>
            <w:r w:rsidR="00DE732F">
              <w:rPr>
                <w:color w:val="000000"/>
                <w:lang w:eastAsia="en-GB"/>
              </w:rPr>
              <w:t xml:space="preserve">2019.gadā </w:t>
            </w:r>
            <w:r w:rsidR="000565F6">
              <w:rPr>
                <w:color w:val="000000"/>
                <w:lang w:eastAsia="en-GB"/>
              </w:rPr>
              <w:t xml:space="preserve">jau </w:t>
            </w:r>
            <w:r w:rsidR="00DE732F">
              <w:rPr>
                <w:color w:val="000000"/>
                <w:lang w:eastAsia="en-GB"/>
              </w:rPr>
              <w:t xml:space="preserve">RBR kompensētā PVN un </w:t>
            </w:r>
            <w:r w:rsidR="00760BEE">
              <w:rPr>
                <w:color w:val="000000"/>
                <w:lang w:eastAsia="en-GB"/>
              </w:rPr>
              <w:t>R</w:t>
            </w:r>
            <w:r w:rsidR="000565F6">
              <w:rPr>
                <w:color w:val="000000"/>
                <w:lang w:eastAsia="en-GB"/>
              </w:rPr>
              <w:t>īkojum</w:t>
            </w:r>
            <w:r w:rsidR="00760BEE">
              <w:rPr>
                <w:color w:val="000000"/>
                <w:lang w:eastAsia="en-GB"/>
              </w:rPr>
              <w:t>a projektā</w:t>
            </w:r>
            <w:r w:rsidR="000565F6">
              <w:rPr>
                <w:color w:val="000000"/>
                <w:lang w:eastAsia="en-GB"/>
              </w:rPr>
              <w:t xml:space="preserve"> ietvertā 2019.gada novembra-decembra PVN </w:t>
            </w:r>
            <w:r w:rsidR="00DE732F">
              <w:rPr>
                <w:color w:val="000000"/>
                <w:lang w:eastAsia="en-GB"/>
              </w:rPr>
              <w:t xml:space="preserve">kopsumma </w:t>
            </w:r>
            <w:r w:rsidR="000565F6">
              <w:rPr>
                <w:color w:val="000000"/>
                <w:lang w:eastAsia="en-GB"/>
              </w:rPr>
              <w:t xml:space="preserve">ir </w:t>
            </w:r>
            <w:r w:rsidR="00DE732F">
              <w:rPr>
                <w:color w:val="000000"/>
                <w:lang w:eastAsia="en-GB"/>
              </w:rPr>
              <w:t xml:space="preserve">1 028 907,34 EUR, </w:t>
            </w:r>
            <w:r w:rsidR="000565F6">
              <w:rPr>
                <w:color w:val="000000"/>
                <w:lang w:eastAsia="en-GB"/>
              </w:rPr>
              <w:t xml:space="preserve">kas </w:t>
            </w:r>
            <w:r w:rsidR="00DE732F">
              <w:rPr>
                <w:color w:val="000000"/>
                <w:lang w:eastAsia="en-GB"/>
              </w:rPr>
              <w:t>nepārsniedz Ministru kabineta atbalstīto 1 139 191 EUR kompensāciju.</w:t>
            </w:r>
          </w:p>
          <w:p w:rsidR="00031E8A" w:rsidP="00E40874" w:rsidRDefault="00A1787D" w14:paraId="624409F6" w14:textId="1C44016F">
            <w:pPr>
              <w:jc w:val="both"/>
              <w:rPr>
                <w:rFonts w:eastAsia="Calibri"/>
                <w:lang w:eastAsia="en-US"/>
              </w:rPr>
            </w:pPr>
            <w:r>
              <w:rPr>
                <w:rFonts w:eastAsia="Calibri"/>
                <w:lang w:eastAsia="en-US"/>
              </w:rPr>
              <w:t xml:space="preserve">2019.gada novembrī – decembrī </w:t>
            </w:r>
            <w:r w:rsidR="00031E8A">
              <w:rPr>
                <w:rFonts w:eastAsia="Calibri"/>
                <w:lang w:eastAsia="en-US"/>
              </w:rPr>
              <w:t>un 202</w:t>
            </w:r>
            <w:r w:rsidR="00F42482">
              <w:rPr>
                <w:rFonts w:eastAsia="Calibri"/>
                <w:lang w:eastAsia="en-US"/>
              </w:rPr>
              <w:t>0</w:t>
            </w:r>
            <w:r w:rsidR="00031E8A">
              <w:rPr>
                <w:rFonts w:eastAsia="Calibri"/>
                <w:lang w:eastAsia="en-US"/>
              </w:rPr>
              <w:t>.gada 1.</w:t>
            </w:r>
            <w:r w:rsidR="00A157A3">
              <w:rPr>
                <w:rFonts w:eastAsia="Calibri"/>
                <w:lang w:eastAsia="en-US"/>
              </w:rPr>
              <w:t xml:space="preserve"> un 2.</w:t>
            </w:r>
            <w:r w:rsidR="00031E8A">
              <w:rPr>
                <w:rFonts w:eastAsia="Calibri"/>
                <w:lang w:eastAsia="en-US"/>
              </w:rPr>
              <w:t xml:space="preserve">ceturksnī </w:t>
            </w:r>
            <w:r>
              <w:rPr>
                <w:rFonts w:eastAsia="Calibri"/>
                <w:lang w:eastAsia="en-US"/>
              </w:rPr>
              <w:t xml:space="preserve">RBR ir </w:t>
            </w:r>
            <w:r w:rsidR="00031E8A">
              <w:rPr>
                <w:rFonts w:eastAsia="Calibri"/>
                <w:lang w:eastAsia="en-US"/>
              </w:rPr>
              <w:t xml:space="preserve">turpinājis </w:t>
            </w:r>
            <w:r>
              <w:rPr>
                <w:rFonts w:eastAsia="Calibri"/>
                <w:lang w:eastAsia="en-US"/>
              </w:rPr>
              <w:t>īsteno</w:t>
            </w:r>
            <w:r w:rsidR="00031E8A">
              <w:rPr>
                <w:rFonts w:eastAsia="Calibri"/>
                <w:lang w:eastAsia="en-US"/>
              </w:rPr>
              <w:t>t</w:t>
            </w:r>
            <w:r>
              <w:rPr>
                <w:rFonts w:eastAsia="Calibri"/>
                <w:lang w:eastAsia="en-US"/>
              </w:rPr>
              <w:t xml:space="preserve"> sekojošas horizontālās aktivitātes: Infrastruktūras elementu iepirkumu izpēte, Izejmateriālu iepirkumu izpēte, Piegādātāju tirgus izpēte un konsolidēto iepirkumu </w:t>
            </w:r>
            <w:r w:rsidR="00031E8A">
              <w:rPr>
                <w:rFonts w:eastAsia="Calibri"/>
                <w:lang w:eastAsia="en-US"/>
              </w:rPr>
              <w:t xml:space="preserve">ekonomija, </w:t>
            </w:r>
            <w:r w:rsidR="0086411E">
              <w:rPr>
                <w:rFonts w:eastAsia="Calibri"/>
                <w:lang w:eastAsia="en-US"/>
              </w:rPr>
              <w:t xml:space="preserve">Komunikācija </w:t>
            </w:r>
            <w:r w:rsidR="00D92EA4">
              <w:rPr>
                <w:rFonts w:eastAsia="Calibri"/>
                <w:lang w:eastAsia="en-US"/>
              </w:rPr>
              <w:t xml:space="preserve">un </w:t>
            </w:r>
            <w:r w:rsidR="0086411E">
              <w:rPr>
                <w:rFonts w:eastAsia="Calibri"/>
                <w:lang w:eastAsia="en-US"/>
              </w:rPr>
              <w:t xml:space="preserve">projekta reklāma, </w:t>
            </w:r>
            <w:r w:rsidR="00031E8A">
              <w:rPr>
                <w:rFonts w:eastAsia="Calibri"/>
                <w:lang w:eastAsia="en-US"/>
              </w:rPr>
              <w:t>Dzelzceļš</w:t>
            </w:r>
            <w:r w:rsidR="00194D1F">
              <w:rPr>
                <w:rFonts w:eastAsia="Calibri"/>
                <w:lang w:eastAsia="en-US"/>
              </w:rPr>
              <w:t>-</w:t>
            </w:r>
            <w:r w:rsidR="00031E8A">
              <w:rPr>
                <w:rFonts w:eastAsia="Calibri"/>
                <w:lang w:eastAsia="en-US"/>
              </w:rPr>
              <w:t xml:space="preserve">gaiss pētījums, Rail Baltica līnijas elektroapgāde un apakšstacijas. </w:t>
            </w:r>
          </w:p>
          <w:p w:rsidR="00E77A10" w:rsidP="00E40874" w:rsidRDefault="00031E8A" w14:paraId="583BE58B" w14:textId="70323395">
            <w:pPr>
              <w:jc w:val="both"/>
              <w:rPr>
                <w:rFonts w:eastAsia="Calibri"/>
                <w:lang w:eastAsia="en-US"/>
              </w:rPr>
            </w:pPr>
            <w:r>
              <w:rPr>
                <w:rFonts w:eastAsia="Calibri"/>
                <w:lang w:eastAsia="en-US"/>
              </w:rPr>
              <w:t xml:space="preserve">Informācija par minēto aktivitāšu </w:t>
            </w:r>
            <w:r w:rsidR="0086411E">
              <w:rPr>
                <w:rFonts w:eastAsia="Calibri"/>
                <w:lang w:eastAsia="en-US"/>
              </w:rPr>
              <w:t xml:space="preserve">īstenošanas </w:t>
            </w:r>
            <w:r>
              <w:rPr>
                <w:rFonts w:eastAsia="Calibri"/>
                <w:lang w:eastAsia="en-US"/>
              </w:rPr>
              <w:t>ietva</w:t>
            </w:r>
            <w:r w:rsidR="0086411E">
              <w:rPr>
                <w:rFonts w:eastAsia="Calibri"/>
                <w:lang w:eastAsia="en-US"/>
              </w:rPr>
              <w:t xml:space="preserve">ros </w:t>
            </w:r>
            <w:r>
              <w:rPr>
                <w:rFonts w:eastAsia="Calibri"/>
                <w:lang w:eastAsia="en-US"/>
              </w:rPr>
              <w:t xml:space="preserve">faktiski samaksātajām PVN </w:t>
            </w:r>
            <w:r w:rsidR="0086411E">
              <w:rPr>
                <w:rFonts w:eastAsia="Calibri"/>
                <w:lang w:eastAsia="en-US"/>
              </w:rPr>
              <w:t>summām ir iesniegta Ministrijā un apkopota tabulā</w:t>
            </w:r>
            <w:r w:rsidR="004D30EC">
              <w:rPr>
                <w:rFonts w:eastAsia="Calibri"/>
                <w:lang w:eastAsia="en-US"/>
              </w:rPr>
              <w:t>:</w:t>
            </w:r>
          </w:p>
          <w:p w:rsidR="00B90538" w:rsidP="00E40874" w:rsidRDefault="00B90538" w14:paraId="7058BE8C" w14:textId="77777777">
            <w:pPr>
              <w:jc w:val="both"/>
              <w:rPr>
                <w:rFonts w:eastAsia="Calibri"/>
                <w:lang w:eastAsia="en-US"/>
              </w:rPr>
            </w:pPr>
          </w:p>
          <w:p w:rsidR="004D30EC" w:rsidP="0016067D" w:rsidRDefault="00AC2AB3" w14:paraId="62AEDF00" w14:textId="77777777">
            <w:pPr>
              <w:ind w:firstLine="664"/>
              <w:jc w:val="right"/>
              <w:rPr>
                <w:rFonts w:eastAsia="Calibri"/>
                <w:sz w:val="22"/>
                <w:szCs w:val="22"/>
                <w:lang w:eastAsia="en-US"/>
              </w:rPr>
            </w:pPr>
            <w:r w:rsidRPr="00882088">
              <w:rPr>
                <w:rFonts w:eastAsia="Calibri"/>
                <w:sz w:val="22"/>
                <w:szCs w:val="22"/>
                <w:lang w:eastAsia="en-US"/>
              </w:rPr>
              <w:t xml:space="preserve">RBR iesniegtie ar PVN apliekamie darījumi </w:t>
            </w:r>
            <w:r w:rsidR="000565F6">
              <w:rPr>
                <w:rFonts w:eastAsia="Calibri"/>
                <w:sz w:val="22"/>
                <w:szCs w:val="22"/>
                <w:lang w:eastAsia="en-US"/>
              </w:rPr>
              <w:t>2019.gada novembrī-decembrī</w:t>
            </w:r>
            <w:r w:rsidR="00B36B09">
              <w:rPr>
                <w:rFonts w:eastAsia="Calibri"/>
                <w:sz w:val="22"/>
                <w:szCs w:val="22"/>
                <w:lang w:eastAsia="en-US"/>
              </w:rPr>
              <w:t xml:space="preserve"> un </w:t>
            </w:r>
            <w:r w:rsidRPr="00882088" w:rsidR="00A34682">
              <w:rPr>
                <w:rFonts w:eastAsia="Calibri"/>
                <w:sz w:val="22"/>
                <w:szCs w:val="22"/>
                <w:lang w:eastAsia="en-US"/>
              </w:rPr>
              <w:t xml:space="preserve">2020.gada </w:t>
            </w:r>
            <w:r w:rsidR="00194D1F">
              <w:rPr>
                <w:rFonts w:eastAsia="Calibri"/>
                <w:sz w:val="22"/>
                <w:szCs w:val="22"/>
                <w:lang w:eastAsia="en-US"/>
              </w:rPr>
              <w:t>1.</w:t>
            </w:r>
            <w:r w:rsidR="00B36B09">
              <w:rPr>
                <w:rFonts w:eastAsia="Calibri"/>
                <w:sz w:val="22"/>
                <w:szCs w:val="22"/>
                <w:lang w:eastAsia="en-US"/>
              </w:rPr>
              <w:t xml:space="preserve"> un 2. </w:t>
            </w:r>
            <w:r w:rsidR="00194D1F">
              <w:rPr>
                <w:rFonts w:eastAsia="Calibri"/>
                <w:sz w:val="22"/>
                <w:szCs w:val="22"/>
                <w:lang w:eastAsia="en-US"/>
              </w:rPr>
              <w:t>ceturksnī</w:t>
            </w:r>
            <w:r w:rsidR="00B36B09">
              <w:rPr>
                <w:rFonts w:eastAsia="Calibri"/>
                <w:sz w:val="22"/>
                <w:szCs w:val="22"/>
                <w:lang w:eastAsia="en-US"/>
              </w:rPr>
              <w:t xml:space="preserve"> </w:t>
            </w:r>
          </w:p>
          <w:p w:rsidRPr="004D30EC" w:rsidR="00A34682" w:rsidP="0016067D" w:rsidRDefault="004D30EC" w14:paraId="619FCC79" w14:textId="10C25E9B">
            <w:pPr>
              <w:ind w:firstLine="664"/>
              <w:jc w:val="right"/>
              <w:rPr>
                <w:rFonts w:eastAsia="Calibri"/>
                <w:i/>
                <w:iCs/>
                <w:sz w:val="22"/>
                <w:szCs w:val="22"/>
                <w:lang w:eastAsia="en-US"/>
              </w:rPr>
            </w:pPr>
            <w:r w:rsidRPr="004D30EC">
              <w:rPr>
                <w:rFonts w:eastAsia="Calibri"/>
                <w:i/>
                <w:iCs/>
                <w:sz w:val="22"/>
                <w:szCs w:val="22"/>
                <w:lang w:eastAsia="en-US"/>
              </w:rPr>
              <w:t>euro</w:t>
            </w:r>
            <w:r w:rsidRPr="004D30EC" w:rsidR="00A34682">
              <w:rPr>
                <w:rFonts w:eastAsia="Calibri"/>
                <w:i/>
                <w:iCs/>
                <w:sz w:val="22"/>
                <w:szCs w:val="22"/>
                <w:lang w:eastAsia="en-US"/>
              </w:rPr>
              <w:t xml:space="preserve"> </w:t>
            </w:r>
            <w:r w:rsidRPr="004D30EC" w:rsidR="000565F6">
              <w:rPr>
                <w:rFonts w:eastAsia="Calibri"/>
                <w:i/>
                <w:iCs/>
                <w:sz w:val="22"/>
                <w:szCs w:val="22"/>
                <w:lang w:eastAsia="en-US"/>
              </w:rPr>
              <w:t xml:space="preserve"> </w:t>
            </w:r>
          </w:p>
          <w:tbl>
            <w:tblPr>
              <w:tblW w:w="5838" w:type="dxa"/>
              <w:tblLook w:val="04A0" w:firstRow="1" w:lastRow="0" w:firstColumn="1" w:lastColumn="0" w:noHBand="0" w:noVBand="1"/>
            </w:tblPr>
            <w:tblGrid>
              <w:gridCol w:w="1798"/>
              <w:gridCol w:w="1346"/>
              <w:gridCol w:w="1346"/>
              <w:gridCol w:w="1348"/>
            </w:tblGrid>
            <w:tr w:rsidR="00B36B09" w:rsidTr="007A4534" w14:paraId="501F1055" w14:textId="77777777">
              <w:trPr>
                <w:divId w:val="1311248454"/>
                <w:trHeight w:val="877"/>
              </w:trPr>
              <w:tc>
                <w:tcPr>
                  <w:tcW w:w="179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B36B09" w:rsidP="00B23F2F" w:rsidRDefault="00B36B09" w14:paraId="50AA72E3" w14:textId="77777777">
                  <w:pPr>
                    <w:framePr w:hSpace="180" w:wrap="around" w:hAnchor="margin" w:vAnchor="text" w:xAlign="center" w:y="149"/>
                    <w:jc w:val="both"/>
                    <w:rPr>
                      <w:color w:val="000000"/>
                      <w:sz w:val="20"/>
                      <w:szCs w:val="20"/>
                    </w:rPr>
                  </w:pPr>
                  <w:r>
                    <w:rPr>
                      <w:rFonts w:eastAsia="Calibri"/>
                      <w:color w:val="000000"/>
                      <w:sz w:val="20"/>
                      <w:szCs w:val="20"/>
                      <w:lang w:eastAsia="en-US"/>
                    </w:rPr>
                    <w:t>Maksājumi par ar PVN apliekamiem darījumiem, t.sk.</w:t>
                  </w:r>
                </w:p>
              </w:tc>
              <w:tc>
                <w:tcPr>
                  <w:tcW w:w="1346" w:type="dxa"/>
                  <w:tcBorders>
                    <w:top w:val="single" w:color="auto" w:sz="8" w:space="0"/>
                    <w:left w:val="nil"/>
                    <w:bottom w:val="nil"/>
                    <w:right w:val="single" w:color="auto" w:sz="8" w:space="0"/>
                  </w:tcBorders>
                  <w:shd w:val="clear" w:color="auto" w:fill="auto"/>
                  <w:vAlign w:val="center"/>
                  <w:hideMark/>
                </w:tcPr>
                <w:p w:rsidR="00B36B09" w:rsidP="00B23F2F" w:rsidRDefault="00B36B09" w14:paraId="36065E2F"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c>
                <w:tcPr>
                  <w:tcW w:w="1346" w:type="dxa"/>
                  <w:tcBorders>
                    <w:top w:val="single" w:color="auto" w:sz="8" w:space="0"/>
                    <w:left w:val="nil"/>
                    <w:bottom w:val="nil"/>
                    <w:right w:val="single" w:color="auto" w:sz="8" w:space="0"/>
                  </w:tcBorders>
                  <w:shd w:val="clear" w:color="auto" w:fill="auto"/>
                  <w:vAlign w:val="center"/>
                  <w:hideMark/>
                </w:tcPr>
                <w:p w:rsidR="00B36B09" w:rsidP="00B23F2F" w:rsidRDefault="00B36B09" w14:paraId="2D58043F"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c>
                <w:tcPr>
                  <w:tcW w:w="1346" w:type="dxa"/>
                  <w:tcBorders>
                    <w:top w:val="single" w:color="auto" w:sz="8" w:space="0"/>
                    <w:left w:val="nil"/>
                    <w:bottom w:val="nil"/>
                    <w:right w:val="single" w:color="auto" w:sz="8" w:space="0"/>
                  </w:tcBorders>
                  <w:shd w:val="clear" w:color="auto" w:fill="auto"/>
                  <w:vAlign w:val="center"/>
                  <w:hideMark/>
                </w:tcPr>
                <w:p w:rsidR="00B36B09" w:rsidP="00B23F2F" w:rsidRDefault="00B36B09" w14:paraId="24A7B031"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r>
            <w:tr w:rsidR="00B36B09" w:rsidTr="003636F7" w14:paraId="14142A73" w14:textId="77777777">
              <w:trPr>
                <w:divId w:val="1311248454"/>
                <w:trHeight w:val="373"/>
              </w:trPr>
              <w:tc>
                <w:tcPr>
                  <w:tcW w:w="1798" w:type="dxa"/>
                  <w:vMerge/>
                  <w:tcBorders>
                    <w:top w:val="single" w:color="auto" w:sz="8" w:space="0"/>
                    <w:left w:val="single" w:color="auto" w:sz="8" w:space="0"/>
                    <w:bottom w:val="single" w:color="000000" w:sz="8" w:space="0"/>
                    <w:right w:val="single" w:color="auto" w:sz="8" w:space="0"/>
                  </w:tcBorders>
                  <w:vAlign w:val="center"/>
                  <w:hideMark/>
                </w:tcPr>
                <w:p w:rsidR="00B36B09" w:rsidP="00B23F2F" w:rsidRDefault="00B36B09" w14:paraId="52C26020" w14:textId="77777777">
                  <w:pPr>
                    <w:framePr w:hSpace="180" w:wrap="around" w:hAnchor="margin" w:vAnchor="text" w:xAlign="center" w:y="149"/>
                    <w:rPr>
                      <w:color w:val="000000"/>
                      <w:sz w:val="20"/>
                      <w:szCs w:val="20"/>
                    </w:rPr>
                  </w:pPr>
                </w:p>
              </w:tc>
              <w:tc>
                <w:tcPr>
                  <w:tcW w:w="1346" w:type="dxa"/>
                  <w:tcBorders>
                    <w:top w:val="nil"/>
                    <w:left w:val="nil"/>
                    <w:bottom w:val="nil"/>
                    <w:right w:val="single" w:color="auto" w:sz="8" w:space="0"/>
                  </w:tcBorders>
                  <w:shd w:val="clear" w:color="auto" w:fill="auto"/>
                  <w:hideMark/>
                </w:tcPr>
                <w:p w:rsidR="00B36B09" w:rsidP="00B23F2F" w:rsidRDefault="00B36B09" w14:paraId="05EE7DE6" w14:textId="56BBF2E3">
                  <w:pPr>
                    <w:framePr w:hSpace="180" w:wrap="around" w:hAnchor="margin" w:vAnchor="text" w:xAlign="center" w:y="149"/>
                    <w:jc w:val="both"/>
                    <w:rPr>
                      <w:color w:val="000000"/>
                      <w:sz w:val="20"/>
                      <w:szCs w:val="20"/>
                    </w:rPr>
                  </w:pPr>
                </w:p>
              </w:tc>
              <w:tc>
                <w:tcPr>
                  <w:tcW w:w="1346" w:type="dxa"/>
                  <w:tcBorders>
                    <w:top w:val="nil"/>
                    <w:left w:val="nil"/>
                    <w:bottom w:val="nil"/>
                    <w:right w:val="single" w:color="auto" w:sz="8" w:space="0"/>
                  </w:tcBorders>
                  <w:shd w:val="clear" w:color="auto" w:fill="auto"/>
                  <w:hideMark/>
                </w:tcPr>
                <w:p w:rsidR="00B36B09" w:rsidP="00B23F2F" w:rsidRDefault="00B36B09" w14:paraId="2960A4F7" w14:textId="0361D040">
                  <w:pPr>
                    <w:framePr w:hSpace="180" w:wrap="around" w:hAnchor="margin" w:vAnchor="text" w:xAlign="center" w:y="149"/>
                    <w:jc w:val="both"/>
                    <w:rPr>
                      <w:color w:val="000000"/>
                      <w:sz w:val="20"/>
                      <w:szCs w:val="20"/>
                    </w:rPr>
                  </w:pPr>
                </w:p>
              </w:tc>
              <w:tc>
                <w:tcPr>
                  <w:tcW w:w="1346" w:type="dxa"/>
                  <w:tcBorders>
                    <w:top w:val="nil"/>
                    <w:left w:val="nil"/>
                    <w:bottom w:val="nil"/>
                    <w:right w:val="single" w:color="auto" w:sz="8" w:space="0"/>
                  </w:tcBorders>
                  <w:shd w:val="clear" w:color="auto" w:fill="auto"/>
                  <w:hideMark/>
                </w:tcPr>
                <w:p w:rsidR="00B36B09" w:rsidP="00B23F2F" w:rsidRDefault="00B36B09" w14:paraId="7BA56B59" w14:textId="5A7EDC4C">
                  <w:pPr>
                    <w:framePr w:hSpace="180" w:wrap="around" w:hAnchor="margin" w:vAnchor="text" w:xAlign="center" w:y="149"/>
                    <w:jc w:val="both"/>
                    <w:rPr>
                      <w:color w:val="000000"/>
                      <w:sz w:val="20"/>
                      <w:szCs w:val="20"/>
                    </w:rPr>
                  </w:pPr>
                </w:p>
              </w:tc>
            </w:tr>
            <w:tr w:rsidR="00B36B09" w:rsidTr="003636F7" w14:paraId="23024A0E" w14:textId="77777777">
              <w:trPr>
                <w:divId w:val="1311248454"/>
                <w:trHeight w:val="653"/>
              </w:trPr>
              <w:tc>
                <w:tcPr>
                  <w:tcW w:w="1798" w:type="dxa"/>
                  <w:vMerge/>
                  <w:tcBorders>
                    <w:top w:val="single" w:color="auto" w:sz="8" w:space="0"/>
                    <w:left w:val="single" w:color="auto" w:sz="8" w:space="0"/>
                    <w:bottom w:val="single" w:color="000000" w:sz="8" w:space="0"/>
                    <w:right w:val="single" w:color="auto" w:sz="8" w:space="0"/>
                  </w:tcBorders>
                  <w:vAlign w:val="center"/>
                  <w:hideMark/>
                </w:tcPr>
                <w:p w:rsidR="00B36B09" w:rsidP="00B23F2F" w:rsidRDefault="00B36B09" w14:paraId="64AD2DA8" w14:textId="77777777">
                  <w:pPr>
                    <w:framePr w:hSpace="180" w:wrap="around" w:hAnchor="margin" w:vAnchor="text" w:xAlign="center" w:y="149"/>
                    <w:rPr>
                      <w:color w:val="000000"/>
                      <w:sz w:val="20"/>
                      <w:szCs w:val="20"/>
                    </w:rPr>
                  </w:pPr>
                </w:p>
              </w:tc>
              <w:tc>
                <w:tcPr>
                  <w:tcW w:w="1346" w:type="dxa"/>
                  <w:tcBorders>
                    <w:top w:val="nil"/>
                    <w:left w:val="nil"/>
                    <w:bottom w:val="single" w:color="auto" w:sz="8" w:space="0"/>
                    <w:right w:val="single" w:color="auto" w:sz="8" w:space="0"/>
                  </w:tcBorders>
                  <w:shd w:val="clear" w:color="auto" w:fill="auto"/>
                  <w:hideMark/>
                </w:tcPr>
                <w:p w:rsidR="00B36B09" w:rsidP="00B23F2F" w:rsidRDefault="00B36B09" w14:paraId="62BD627E" w14:textId="77777777">
                  <w:pPr>
                    <w:framePr w:hSpace="180" w:wrap="around" w:hAnchor="margin" w:vAnchor="text" w:xAlign="center" w:y="149"/>
                    <w:jc w:val="both"/>
                    <w:rPr>
                      <w:color w:val="000000"/>
                      <w:sz w:val="20"/>
                      <w:szCs w:val="20"/>
                    </w:rPr>
                  </w:pPr>
                  <w:r>
                    <w:rPr>
                      <w:rFonts w:eastAsia="Calibri"/>
                      <w:color w:val="000000"/>
                      <w:sz w:val="20"/>
                      <w:szCs w:val="20"/>
                      <w:lang w:eastAsia="en-US"/>
                    </w:rPr>
                    <w:t>2019.gada nov.-dec.</w:t>
                  </w:r>
                </w:p>
              </w:tc>
              <w:tc>
                <w:tcPr>
                  <w:tcW w:w="1346" w:type="dxa"/>
                  <w:tcBorders>
                    <w:top w:val="nil"/>
                    <w:left w:val="nil"/>
                    <w:bottom w:val="single" w:color="auto" w:sz="8" w:space="0"/>
                    <w:right w:val="single" w:color="auto" w:sz="8" w:space="0"/>
                  </w:tcBorders>
                  <w:shd w:val="clear" w:color="auto" w:fill="auto"/>
                  <w:hideMark/>
                </w:tcPr>
                <w:p w:rsidR="00B36B09" w:rsidP="00B23F2F" w:rsidRDefault="00B36B09" w14:paraId="16785B29" w14:textId="77777777">
                  <w:pPr>
                    <w:framePr w:hSpace="180" w:wrap="around" w:hAnchor="margin" w:vAnchor="text" w:xAlign="center" w:y="149"/>
                    <w:jc w:val="both"/>
                    <w:rPr>
                      <w:color w:val="000000"/>
                      <w:sz w:val="20"/>
                      <w:szCs w:val="20"/>
                    </w:rPr>
                  </w:pPr>
                  <w:r>
                    <w:rPr>
                      <w:rFonts w:eastAsia="Calibri"/>
                      <w:color w:val="000000"/>
                      <w:sz w:val="20"/>
                      <w:szCs w:val="20"/>
                      <w:lang w:eastAsia="en-US"/>
                    </w:rPr>
                    <w:t>2020.gada 1.cet.</w:t>
                  </w:r>
                </w:p>
              </w:tc>
              <w:tc>
                <w:tcPr>
                  <w:tcW w:w="1346" w:type="dxa"/>
                  <w:tcBorders>
                    <w:top w:val="nil"/>
                    <w:left w:val="nil"/>
                    <w:bottom w:val="single" w:color="auto" w:sz="8" w:space="0"/>
                    <w:right w:val="single" w:color="auto" w:sz="8" w:space="0"/>
                  </w:tcBorders>
                  <w:shd w:val="clear" w:color="auto" w:fill="auto"/>
                  <w:hideMark/>
                </w:tcPr>
                <w:p w:rsidR="00B36B09" w:rsidP="00B23F2F" w:rsidRDefault="00B36B09" w14:paraId="224DF024" w14:textId="77777777">
                  <w:pPr>
                    <w:framePr w:hSpace="180" w:wrap="around" w:hAnchor="margin" w:vAnchor="text" w:xAlign="center" w:y="149"/>
                    <w:jc w:val="both"/>
                    <w:rPr>
                      <w:color w:val="000000"/>
                      <w:sz w:val="20"/>
                      <w:szCs w:val="20"/>
                    </w:rPr>
                  </w:pPr>
                  <w:r>
                    <w:rPr>
                      <w:rFonts w:eastAsia="Calibri"/>
                      <w:color w:val="000000"/>
                      <w:sz w:val="20"/>
                      <w:szCs w:val="20"/>
                      <w:lang w:eastAsia="en-US"/>
                    </w:rPr>
                    <w:t>2020.gada 2.cet.</w:t>
                  </w:r>
                </w:p>
              </w:tc>
            </w:tr>
            <w:tr w:rsidR="00B36B09" w:rsidTr="007A4534" w14:paraId="7A42A297" w14:textId="77777777">
              <w:trPr>
                <w:divId w:val="1311248454"/>
                <w:trHeight w:val="1287"/>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29DFBEAC" w14:textId="77777777">
                  <w:pPr>
                    <w:framePr w:hSpace="180" w:wrap="around" w:hAnchor="margin" w:vAnchor="text" w:xAlign="center" w:y="149"/>
                    <w:jc w:val="both"/>
                    <w:rPr>
                      <w:color w:val="000000"/>
                      <w:sz w:val="20"/>
                      <w:szCs w:val="20"/>
                    </w:rPr>
                  </w:pPr>
                  <w:r>
                    <w:rPr>
                      <w:rFonts w:eastAsia="Calibri"/>
                      <w:color w:val="000000"/>
                      <w:sz w:val="20"/>
                      <w:szCs w:val="20"/>
                      <w:lang w:eastAsia="en-US"/>
                    </w:rPr>
                    <w:t>Preču vai pakalpojumu vērtība bez PVN</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07A2A02F" w14:textId="77777777">
                  <w:pPr>
                    <w:framePr w:hSpace="180" w:wrap="around" w:hAnchor="margin" w:vAnchor="text" w:xAlign="center" w:y="149"/>
                    <w:jc w:val="both"/>
                    <w:rPr>
                      <w:color w:val="000000"/>
                      <w:sz w:val="20"/>
                      <w:szCs w:val="20"/>
                    </w:rPr>
                  </w:pPr>
                  <w:r>
                    <w:rPr>
                      <w:rFonts w:eastAsia="Calibri"/>
                      <w:color w:val="000000"/>
                      <w:sz w:val="20"/>
                      <w:szCs w:val="20"/>
                      <w:lang w:eastAsia="en-US"/>
                    </w:rPr>
                    <w:t>247 667,25</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04E7DA6F" w14:textId="77777777">
                  <w:pPr>
                    <w:framePr w:hSpace="180" w:wrap="around" w:hAnchor="margin" w:vAnchor="text" w:xAlign="center" w:y="149"/>
                    <w:jc w:val="both"/>
                    <w:rPr>
                      <w:color w:val="000000"/>
                      <w:sz w:val="20"/>
                      <w:szCs w:val="20"/>
                    </w:rPr>
                  </w:pPr>
                  <w:r>
                    <w:rPr>
                      <w:color w:val="000000"/>
                      <w:sz w:val="20"/>
                      <w:szCs w:val="20"/>
                    </w:rPr>
                    <w:t>134 592,21</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4DB38002" w14:textId="77777777">
                  <w:pPr>
                    <w:framePr w:hSpace="180" w:wrap="around" w:hAnchor="margin" w:vAnchor="text" w:xAlign="center" w:y="149"/>
                    <w:jc w:val="both"/>
                    <w:rPr>
                      <w:color w:val="000000"/>
                      <w:sz w:val="20"/>
                      <w:szCs w:val="20"/>
                    </w:rPr>
                  </w:pPr>
                  <w:r>
                    <w:rPr>
                      <w:color w:val="000000"/>
                      <w:sz w:val="20"/>
                      <w:szCs w:val="20"/>
                    </w:rPr>
                    <w:t>1 431 629,66</w:t>
                  </w:r>
                </w:p>
              </w:tc>
            </w:tr>
            <w:tr w:rsidR="00B36B09" w:rsidTr="007A4534" w14:paraId="0D111B68" w14:textId="77777777">
              <w:trPr>
                <w:divId w:val="1311248454"/>
                <w:trHeight w:val="653"/>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69648133" w14:textId="77777777">
                  <w:pPr>
                    <w:framePr w:hSpace="180" w:wrap="around" w:hAnchor="margin" w:vAnchor="text" w:xAlign="center" w:y="149"/>
                    <w:jc w:val="both"/>
                    <w:rPr>
                      <w:color w:val="000000"/>
                      <w:sz w:val="20"/>
                      <w:szCs w:val="20"/>
                    </w:rPr>
                  </w:pPr>
                  <w:r>
                    <w:rPr>
                      <w:rFonts w:eastAsia="Calibri"/>
                      <w:color w:val="000000"/>
                      <w:sz w:val="20"/>
                      <w:szCs w:val="20"/>
                      <w:lang w:eastAsia="en-US"/>
                    </w:rPr>
                    <w:t>PVN iekšzemē</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4FBD7597" w14:textId="77777777">
                  <w:pPr>
                    <w:framePr w:hSpace="180" w:wrap="around" w:hAnchor="margin" w:vAnchor="text" w:xAlign="center" w:y="149"/>
                    <w:jc w:val="both"/>
                    <w:rPr>
                      <w:color w:val="000000"/>
                      <w:sz w:val="20"/>
                      <w:szCs w:val="20"/>
                    </w:rPr>
                  </w:pPr>
                  <w:r>
                    <w:rPr>
                      <w:rFonts w:eastAsia="Calibri"/>
                      <w:color w:val="000000"/>
                      <w:sz w:val="20"/>
                      <w:szCs w:val="20"/>
                      <w:lang w:eastAsia="en-US"/>
                    </w:rPr>
                    <w:t>57 401,09</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255098F" w14:textId="77777777">
                  <w:pPr>
                    <w:framePr w:hSpace="180" w:wrap="around" w:hAnchor="margin" w:vAnchor="text" w:xAlign="center" w:y="149"/>
                    <w:jc w:val="both"/>
                    <w:rPr>
                      <w:color w:val="000000"/>
                      <w:sz w:val="20"/>
                      <w:szCs w:val="20"/>
                    </w:rPr>
                  </w:pPr>
                  <w:r>
                    <w:rPr>
                      <w:rFonts w:eastAsia="Calibri"/>
                      <w:color w:val="000000"/>
                      <w:sz w:val="20"/>
                      <w:szCs w:val="20"/>
                      <w:lang w:eastAsia="en-US"/>
                    </w:rPr>
                    <w:t>76 870,16</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035C756A" w14:textId="77777777">
                  <w:pPr>
                    <w:framePr w:hSpace="180" w:wrap="around" w:hAnchor="margin" w:vAnchor="text" w:xAlign="center" w:y="149"/>
                    <w:jc w:val="both"/>
                    <w:rPr>
                      <w:color w:val="000000"/>
                      <w:sz w:val="20"/>
                      <w:szCs w:val="20"/>
                    </w:rPr>
                  </w:pPr>
                  <w:r>
                    <w:rPr>
                      <w:rFonts w:eastAsia="Calibri"/>
                      <w:color w:val="000000"/>
                      <w:sz w:val="20"/>
                      <w:szCs w:val="20"/>
                      <w:lang w:eastAsia="en-US"/>
                    </w:rPr>
                    <w:t>84 211,12</w:t>
                  </w:r>
                </w:p>
              </w:tc>
            </w:tr>
            <w:tr w:rsidR="00B36B09" w:rsidTr="007A4534" w14:paraId="4DE8B7EE" w14:textId="77777777">
              <w:trPr>
                <w:divId w:val="1311248454"/>
                <w:trHeight w:val="653"/>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64552B96" w14:textId="77777777">
                  <w:pPr>
                    <w:framePr w:hSpace="180" w:wrap="around" w:hAnchor="margin" w:vAnchor="text" w:xAlign="center" w:y="149"/>
                    <w:jc w:val="both"/>
                    <w:rPr>
                      <w:color w:val="000000"/>
                      <w:sz w:val="20"/>
                      <w:szCs w:val="20"/>
                    </w:rPr>
                  </w:pPr>
                  <w:r>
                    <w:rPr>
                      <w:rFonts w:eastAsia="Calibri"/>
                      <w:color w:val="000000"/>
                      <w:sz w:val="20"/>
                      <w:szCs w:val="20"/>
                      <w:lang w:eastAsia="en-US"/>
                    </w:rPr>
                    <w:t>PVN reverss</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2760C49" w14:textId="77777777">
                  <w:pPr>
                    <w:framePr w:hSpace="180" w:wrap="around" w:hAnchor="margin" w:vAnchor="text" w:xAlign="center" w:y="149"/>
                    <w:jc w:val="both"/>
                    <w:rPr>
                      <w:color w:val="000000"/>
                      <w:sz w:val="20"/>
                      <w:szCs w:val="20"/>
                    </w:rPr>
                  </w:pPr>
                  <w:r>
                    <w:rPr>
                      <w:rFonts w:eastAsia="Calibri"/>
                      <w:color w:val="000000"/>
                      <w:sz w:val="20"/>
                      <w:szCs w:val="20"/>
                      <w:lang w:eastAsia="en-US"/>
                    </w:rPr>
                    <w:t>73 810.87</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75C20A7B" w14:textId="77777777">
                  <w:pPr>
                    <w:framePr w:hSpace="180" w:wrap="around" w:hAnchor="margin" w:vAnchor="text" w:xAlign="center" w:y="149"/>
                    <w:jc w:val="both"/>
                    <w:rPr>
                      <w:color w:val="000000"/>
                      <w:sz w:val="20"/>
                      <w:szCs w:val="20"/>
                    </w:rPr>
                  </w:pPr>
                  <w:r>
                    <w:rPr>
                      <w:rFonts w:eastAsia="Calibri"/>
                      <w:color w:val="000000"/>
                      <w:sz w:val="20"/>
                      <w:szCs w:val="20"/>
                      <w:lang w:eastAsia="en-US"/>
                    </w:rPr>
                    <w:t>44 075,33</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0191934" w14:textId="77777777">
                  <w:pPr>
                    <w:framePr w:hSpace="180" w:wrap="around" w:hAnchor="margin" w:vAnchor="text" w:xAlign="center" w:y="149"/>
                    <w:jc w:val="both"/>
                    <w:rPr>
                      <w:color w:val="000000"/>
                      <w:sz w:val="20"/>
                      <w:szCs w:val="20"/>
                    </w:rPr>
                  </w:pPr>
                  <w:r>
                    <w:rPr>
                      <w:rFonts w:eastAsia="Calibri"/>
                      <w:color w:val="000000"/>
                      <w:sz w:val="20"/>
                      <w:szCs w:val="20"/>
                      <w:lang w:eastAsia="en-US"/>
                    </w:rPr>
                    <w:t>84 293,16</w:t>
                  </w:r>
                </w:p>
              </w:tc>
            </w:tr>
            <w:tr w:rsidR="00B36B09" w:rsidTr="007A4534" w14:paraId="42FF5F43" w14:textId="77777777">
              <w:trPr>
                <w:divId w:val="1311248454"/>
                <w:trHeight w:val="2239"/>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73E50FB5" w14:textId="77777777">
                  <w:pPr>
                    <w:framePr w:hSpace="180" w:wrap="around" w:hAnchor="margin" w:vAnchor="text" w:xAlign="center" w:y="149"/>
                    <w:jc w:val="both"/>
                    <w:rPr>
                      <w:color w:val="000000"/>
                      <w:sz w:val="20"/>
                      <w:szCs w:val="20"/>
                    </w:rPr>
                  </w:pPr>
                  <w:r>
                    <w:rPr>
                      <w:rFonts w:eastAsia="Calibri"/>
                      <w:color w:val="000000"/>
                      <w:sz w:val="20"/>
                      <w:szCs w:val="20"/>
                      <w:lang w:eastAsia="en-US"/>
                    </w:rPr>
                    <w:lastRenderedPageBreak/>
                    <w:t>PVN summa, kas nav atskaitāma kā priekšnodoklis</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5988253" w14:textId="77777777">
                  <w:pPr>
                    <w:framePr w:hSpace="180" w:wrap="around" w:hAnchor="margin" w:vAnchor="text" w:xAlign="center" w:y="149"/>
                    <w:jc w:val="both"/>
                    <w:rPr>
                      <w:color w:val="000000"/>
                      <w:sz w:val="20"/>
                      <w:szCs w:val="20"/>
                    </w:rPr>
                  </w:pPr>
                  <w:r>
                    <w:rPr>
                      <w:rFonts w:eastAsia="Calibri"/>
                      <w:color w:val="000000"/>
                      <w:sz w:val="20"/>
                      <w:szCs w:val="20"/>
                      <w:lang w:eastAsia="en-US"/>
                    </w:rPr>
                    <w:t>131 211,96</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6CC6F76" w14:textId="77777777">
                  <w:pPr>
                    <w:framePr w:hSpace="180" w:wrap="around" w:hAnchor="margin" w:vAnchor="text" w:xAlign="center" w:y="149"/>
                    <w:jc w:val="both"/>
                    <w:rPr>
                      <w:color w:val="000000"/>
                      <w:sz w:val="20"/>
                      <w:szCs w:val="20"/>
                    </w:rPr>
                  </w:pPr>
                  <w:r>
                    <w:rPr>
                      <w:rFonts w:eastAsia="Calibri"/>
                      <w:color w:val="000000"/>
                      <w:sz w:val="20"/>
                      <w:szCs w:val="20"/>
                      <w:lang w:eastAsia="en-US"/>
                    </w:rPr>
                    <w:t>120 945,49</w:t>
                  </w:r>
                </w:p>
              </w:tc>
              <w:tc>
                <w:tcPr>
                  <w:tcW w:w="1346" w:type="dxa"/>
                  <w:tcBorders>
                    <w:top w:val="nil"/>
                    <w:left w:val="nil"/>
                    <w:bottom w:val="single" w:color="auto" w:sz="8" w:space="0"/>
                    <w:right w:val="single" w:color="auto" w:sz="8" w:space="0"/>
                  </w:tcBorders>
                  <w:shd w:val="clear" w:color="auto" w:fill="auto"/>
                  <w:vAlign w:val="center"/>
                  <w:hideMark/>
                </w:tcPr>
                <w:p w:rsidRPr="00760BEE" w:rsidR="00B36B09" w:rsidP="00B23F2F" w:rsidRDefault="00B36B09" w14:paraId="5BDCDC61" w14:textId="77777777">
                  <w:pPr>
                    <w:framePr w:hSpace="180" w:wrap="around" w:hAnchor="margin" w:vAnchor="text" w:xAlign="center" w:y="149"/>
                    <w:jc w:val="both"/>
                    <w:rPr>
                      <w:color w:val="000000"/>
                      <w:sz w:val="20"/>
                      <w:szCs w:val="20"/>
                    </w:rPr>
                  </w:pPr>
                  <w:r w:rsidRPr="00760BEE">
                    <w:rPr>
                      <w:color w:val="000000"/>
                      <w:sz w:val="20"/>
                      <w:szCs w:val="20"/>
                    </w:rPr>
                    <w:t>168 504,28</w:t>
                  </w:r>
                </w:p>
              </w:tc>
            </w:tr>
            <w:tr w:rsidR="00B36B09" w:rsidTr="007A4534" w14:paraId="4BAB4E50" w14:textId="77777777">
              <w:trPr>
                <w:divId w:val="1311248454"/>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59F66800" w14:textId="77777777">
                  <w:pPr>
                    <w:framePr w:hSpace="180" w:wrap="around" w:hAnchor="margin" w:vAnchor="text" w:xAlign="center" w:y="149"/>
                    <w:rPr>
                      <w:color w:val="000000"/>
                      <w:sz w:val="20"/>
                      <w:szCs w:val="20"/>
                    </w:rPr>
                  </w:pPr>
                  <w:r>
                    <w:rPr>
                      <w:rFonts w:eastAsia="Calibri"/>
                      <w:color w:val="000000"/>
                      <w:sz w:val="20"/>
                      <w:szCs w:val="20"/>
                      <w:lang w:eastAsia="en-US"/>
                    </w:rPr>
                    <w:t> </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5D00BFF5"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00D112CB"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6FCAA1BA"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r>
            <w:tr w:rsidR="00B36B09" w:rsidTr="007A4534" w14:paraId="7F5F5E30" w14:textId="77777777">
              <w:trPr>
                <w:divId w:val="1311248454"/>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05E82E1B" w14:textId="77777777">
                  <w:pPr>
                    <w:framePr w:hSpace="180" w:wrap="around" w:hAnchor="margin" w:vAnchor="text" w:xAlign="center" w:y="149"/>
                    <w:jc w:val="both"/>
                    <w:rPr>
                      <w:color w:val="000000"/>
                      <w:sz w:val="20"/>
                      <w:szCs w:val="20"/>
                    </w:rPr>
                  </w:pPr>
                  <w:r>
                    <w:rPr>
                      <w:rFonts w:eastAsia="Calibri"/>
                      <w:color w:val="000000"/>
                      <w:sz w:val="20"/>
                      <w:szCs w:val="20"/>
                      <w:lang w:eastAsia="en-US"/>
                    </w:rPr>
                    <w:t>Kopā</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373D6985" w14:textId="77777777">
                  <w:pPr>
                    <w:framePr w:hSpace="180" w:wrap="around" w:hAnchor="margin" w:vAnchor="text" w:xAlign="center" w:y="149"/>
                    <w:jc w:val="both"/>
                    <w:rPr>
                      <w:color w:val="000000"/>
                      <w:sz w:val="20"/>
                      <w:szCs w:val="20"/>
                    </w:rPr>
                  </w:pPr>
                  <w:r>
                    <w:rPr>
                      <w:rFonts w:eastAsia="Calibri"/>
                      <w:color w:val="000000"/>
                      <w:sz w:val="20"/>
                      <w:szCs w:val="20"/>
                      <w:lang w:eastAsia="en-US"/>
                    </w:rPr>
                    <w:t>131 211,96</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4A05F77F" w14:textId="77777777">
                  <w:pPr>
                    <w:framePr w:hSpace="180" w:wrap="around" w:hAnchor="margin" w:vAnchor="text" w:xAlign="center" w:y="149"/>
                    <w:jc w:val="both"/>
                    <w:rPr>
                      <w:color w:val="000000"/>
                      <w:sz w:val="20"/>
                      <w:szCs w:val="20"/>
                    </w:rPr>
                  </w:pPr>
                  <w:r>
                    <w:rPr>
                      <w:rFonts w:eastAsia="Calibri"/>
                      <w:color w:val="000000"/>
                      <w:sz w:val="20"/>
                      <w:szCs w:val="20"/>
                      <w:lang w:eastAsia="en-US"/>
                    </w:rPr>
                    <w:t>120 945,49</w:t>
                  </w:r>
                </w:p>
              </w:tc>
              <w:tc>
                <w:tcPr>
                  <w:tcW w:w="1346" w:type="dxa"/>
                  <w:tcBorders>
                    <w:top w:val="nil"/>
                    <w:left w:val="nil"/>
                    <w:bottom w:val="single" w:color="auto" w:sz="8" w:space="0"/>
                    <w:right w:val="single" w:color="auto" w:sz="8" w:space="0"/>
                  </w:tcBorders>
                  <w:shd w:val="clear" w:color="auto" w:fill="auto"/>
                  <w:vAlign w:val="center"/>
                  <w:hideMark/>
                </w:tcPr>
                <w:p w:rsidR="00B36B09" w:rsidP="00B23F2F" w:rsidRDefault="00B36B09" w14:paraId="61F4975B" w14:textId="77777777">
                  <w:pPr>
                    <w:framePr w:hSpace="180" w:wrap="around" w:hAnchor="margin" w:vAnchor="text" w:xAlign="center" w:y="149"/>
                    <w:jc w:val="both"/>
                    <w:rPr>
                      <w:color w:val="000000"/>
                      <w:sz w:val="20"/>
                      <w:szCs w:val="20"/>
                    </w:rPr>
                  </w:pPr>
                  <w:r>
                    <w:rPr>
                      <w:rFonts w:eastAsia="Calibri"/>
                      <w:color w:val="000000"/>
                      <w:sz w:val="20"/>
                      <w:szCs w:val="20"/>
                      <w:lang w:eastAsia="en-US"/>
                    </w:rPr>
                    <w:t>168 504,28</w:t>
                  </w:r>
                </w:p>
              </w:tc>
            </w:tr>
            <w:tr w:rsidR="00B36B09" w:rsidTr="007A4534" w14:paraId="1F57B3DE" w14:textId="77777777">
              <w:trPr>
                <w:divId w:val="1311248454"/>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08AD595E" w14:textId="77777777">
                  <w:pPr>
                    <w:framePr w:hSpace="180" w:wrap="around" w:hAnchor="margin" w:vAnchor="text" w:xAlign="center" w:y="149"/>
                    <w:jc w:val="both"/>
                    <w:rPr>
                      <w:color w:val="000000"/>
                      <w:sz w:val="20"/>
                      <w:szCs w:val="20"/>
                    </w:rPr>
                  </w:pPr>
                  <w:r>
                    <w:rPr>
                      <w:rFonts w:eastAsia="Calibri"/>
                      <w:color w:val="000000"/>
                      <w:sz w:val="20"/>
                      <w:szCs w:val="20"/>
                      <w:lang w:eastAsia="en-US"/>
                    </w:rPr>
                    <w:t> </w:t>
                  </w:r>
                </w:p>
              </w:tc>
              <w:tc>
                <w:tcPr>
                  <w:tcW w:w="4040" w:type="dxa"/>
                  <w:gridSpan w:val="3"/>
                  <w:tcBorders>
                    <w:top w:val="single" w:color="auto" w:sz="8" w:space="0"/>
                    <w:left w:val="nil"/>
                    <w:bottom w:val="single" w:color="auto" w:sz="8" w:space="0"/>
                    <w:right w:val="single" w:color="000000" w:sz="8" w:space="0"/>
                  </w:tcBorders>
                  <w:shd w:val="clear" w:color="auto" w:fill="auto"/>
                  <w:vAlign w:val="center"/>
                  <w:hideMark/>
                </w:tcPr>
                <w:p w:rsidR="00B36B09" w:rsidP="00B23F2F" w:rsidRDefault="00B36B09" w14:paraId="7D4A1D6C" w14:textId="77777777">
                  <w:pPr>
                    <w:framePr w:hSpace="180" w:wrap="around" w:hAnchor="margin" w:vAnchor="text" w:xAlign="center" w:y="149"/>
                    <w:jc w:val="center"/>
                    <w:rPr>
                      <w:color w:val="000000"/>
                      <w:sz w:val="20"/>
                      <w:szCs w:val="20"/>
                    </w:rPr>
                  </w:pPr>
                  <w:r>
                    <w:rPr>
                      <w:rFonts w:eastAsia="Calibri"/>
                      <w:color w:val="000000"/>
                      <w:sz w:val="20"/>
                      <w:szCs w:val="20"/>
                      <w:lang w:eastAsia="en-US"/>
                    </w:rPr>
                    <w:t> </w:t>
                  </w:r>
                </w:p>
              </w:tc>
            </w:tr>
            <w:tr w:rsidR="00B36B09" w:rsidTr="007A4534" w14:paraId="52A90D34" w14:textId="77777777">
              <w:trPr>
                <w:divId w:val="1311248454"/>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23F2F" w:rsidRDefault="00B36B09" w14:paraId="029C1A67" w14:textId="77777777">
                  <w:pPr>
                    <w:framePr w:hSpace="180" w:wrap="around" w:hAnchor="margin" w:vAnchor="text" w:xAlign="center" w:y="149"/>
                    <w:jc w:val="both"/>
                    <w:rPr>
                      <w:b/>
                      <w:bCs/>
                      <w:color w:val="000000"/>
                      <w:sz w:val="20"/>
                      <w:szCs w:val="20"/>
                    </w:rPr>
                  </w:pPr>
                  <w:r>
                    <w:rPr>
                      <w:rFonts w:eastAsia="Calibri"/>
                      <w:b/>
                      <w:bCs/>
                      <w:color w:val="000000"/>
                      <w:sz w:val="20"/>
                      <w:szCs w:val="20"/>
                      <w:lang w:eastAsia="en-US"/>
                    </w:rPr>
                    <w:t xml:space="preserve">Kopā </w:t>
                  </w:r>
                </w:p>
              </w:tc>
              <w:tc>
                <w:tcPr>
                  <w:tcW w:w="4040" w:type="dxa"/>
                  <w:gridSpan w:val="3"/>
                  <w:tcBorders>
                    <w:top w:val="single" w:color="auto" w:sz="8" w:space="0"/>
                    <w:left w:val="nil"/>
                    <w:bottom w:val="single" w:color="auto" w:sz="8" w:space="0"/>
                    <w:right w:val="single" w:color="000000" w:sz="8" w:space="0"/>
                  </w:tcBorders>
                  <w:shd w:val="clear" w:color="auto" w:fill="auto"/>
                  <w:vAlign w:val="center"/>
                  <w:hideMark/>
                </w:tcPr>
                <w:p w:rsidR="00B36B09" w:rsidP="00B23F2F" w:rsidRDefault="00B36B09" w14:paraId="39AD9139" w14:textId="09A32231">
                  <w:pPr>
                    <w:framePr w:hSpace="180" w:wrap="around" w:hAnchor="margin" w:vAnchor="text" w:xAlign="center" w:y="149"/>
                    <w:jc w:val="center"/>
                    <w:rPr>
                      <w:b/>
                      <w:bCs/>
                      <w:color w:val="000000"/>
                      <w:sz w:val="20"/>
                      <w:szCs w:val="20"/>
                    </w:rPr>
                  </w:pPr>
                  <w:r>
                    <w:rPr>
                      <w:rFonts w:eastAsia="Calibri"/>
                      <w:b/>
                      <w:bCs/>
                      <w:color w:val="000000"/>
                      <w:sz w:val="20"/>
                      <w:szCs w:val="20"/>
                      <w:lang w:eastAsia="en-US"/>
                    </w:rPr>
                    <w:t>420 661,73</w:t>
                  </w:r>
                  <w:r w:rsidR="003636F7">
                    <w:rPr>
                      <w:rFonts w:eastAsia="Calibri"/>
                      <w:b/>
                      <w:bCs/>
                      <w:color w:val="000000"/>
                      <w:sz w:val="20"/>
                      <w:szCs w:val="20"/>
                      <w:lang w:eastAsia="en-US"/>
                    </w:rPr>
                    <w:t xml:space="preserve"> </w:t>
                  </w:r>
                </w:p>
              </w:tc>
            </w:tr>
          </w:tbl>
          <w:p w:rsidR="00B90538" w:rsidP="00CF08F2" w:rsidRDefault="00B90538" w14:paraId="7AF63314" w14:textId="77777777">
            <w:pPr>
              <w:ind w:firstLine="663"/>
              <w:jc w:val="both"/>
              <w:rPr>
                <w:rFonts w:eastAsia="Calibri"/>
                <w:lang w:eastAsia="en-US"/>
              </w:rPr>
            </w:pPr>
          </w:p>
          <w:p w:rsidR="00556E46" w:rsidP="006A773F" w:rsidRDefault="000C2864" w14:paraId="02BBB01D" w14:textId="359D1C32">
            <w:pPr>
              <w:jc w:val="both"/>
              <w:rPr>
                <w:rFonts w:eastAsia="Calibri"/>
                <w:lang w:eastAsia="en-US"/>
              </w:rPr>
            </w:pPr>
            <w:r w:rsidRPr="00E4789B">
              <w:rPr>
                <w:rFonts w:eastAsia="Calibri"/>
                <w:lang w:eastAsia="en-US"/>
              </w:rPr>
              <w:t xml:space="preserve">Ministrija ir pārbaudījusi </w:t>
            </w:r>
            <w:r w:rsidRPr="00E4789B" w:rsidR="00194D1F">
              <w:rPr>
                <w:rFonts w:eastAsia="Calibri"/>
                <w:lang w:eastAsia="en-US"/>
              </w:rPr>
              <w:t xml:space="preserve">iesniegto informāciju </w:t>
            </w:r>
            <w:r w:rsidRPr="00E4789B">
              <w:rPr>
                <w:rFonts w:eastAsia="Calibri"/>
                <w:lang w:eastAsia="en-US"/>
              </w:rPr>
              <w:t xml:space="preserve">un sagatavojusi atzinumu par </w:t>
            </w:r>
            <w:r w:rsidRPr="006A773F" w:rsidR="00194D1F">
              <w:rPr>
                <w:rFonts w:eastAsia="Calibri"/>
                <w:lang w:eastAsia="en-US"/>
              </w:rPr>
              <w:t xml:space="preserve">veikto PVN maksājumu kompensēšanu no valsts budžeta </w:t>
            </w:r>
            <w:r w:rsidRPr="00B36B09" w:rsidR="00B36B09">
              <w:rPr>
                <w:rFonts w:eastAsia="Calibri"/>
                <w:lang w:eastAsia="en-US"/>
              </w:rPr>
              <w:t>289 449,77</w:t>
            </w:r>
            <w:r w:rsidR="00B36B09">
              <w:rPr>
                <w:rFonts w:eastAsia="Calibri"/>
                <w:lang w:eastAsia="en-US"/>
              </w:rPr>
              <w:t xml:space="preserve"> </w:t>
            </w:r>
            <w:r w:rsidRPr="006A773F">
              <w:rPr>
                <w:rFonts w:eastAsia="Calibri"/>
                <w:lang w:eastAsia="en-US"/>
              </w:rPr>
              <w:t>EUR</w:t>
            </w:r>
            <w:r w:rsidRPr="00E4789B">
              <w:rPr>
                <w:rFonts w:eastAsia="Calibri"/>
                <w:lang w:eastAsia="en-US"/>
              </w:rPr>
              <w:t xml:space="preserve"> </w:t>
            </w:r>
            <w:r w:rsidRPr="00E4789B" w:rsidR="00194D1F">
              <w:rPr>
                <w:rFonts w:eastAsia="Calibri"/>
                <w:lang w:eastAsia="en-US"/>
              </w:rPr>
              <w:t>apmērā</w:t>
            </w:r>
            <w:r w:rsidRPr="00E4789B" w:rsidR="00493E2A">
              <w:rPr>
                <w:rFonts w:eastAsia="Calibri"/>
                <w:lang w:eastAsia="en-US"/>
              </w:rPr>
              <w:t xml:space="preserve"> </w:t>
            </w:r>
            <w:r w:rsidRPr="006A773F" w:rsidR="00493E2A">
              <w:rPr>
                <w:rFonts w:eastAsia="Calibri"/>
                <w:lang w:eastAsia="en-US"/>
              </w:rPr>
              <w:t xml:space="preserve">un </w:t>
            </w:r>
            <w:r w:rsidRPr="004D30EC" w:rsidR="00493E2A">
              <w:rPr>
                <w:rFonts w:eastAsia="Calibri"/>
                <w:color w:val="000000" w:themeColor="text1"/>
                <w:lang w:eastAsia="en-US"/>
              </w:rPr>
              <w:t xml:space="preserve">131 211,96 </w:t>
            </w:r>
            <w:r w:rsidRPr="006A773F" w:rsidR="00493E2A">
              <w:rPr>
                <w:rFonts w:eastAsia="Calibri"/>
                <w:lang w:eastAsia="en-US"/>
              </w:rPr>
              <w:t>EUR kompensāciju no Ministrijas budžeta apakšprogramm</w:t>
            </w:r>
            <w:r w:rsidR="00AC2AB3">
              <w:rPr>
                <w:rFonts w:eastAsia="Calibri"/>
                <w:lang w:eastAsia="en-US"/>
              </w:rPr>
              <w:t>ā</w:t>
            </w:r>
            <w:r w:rsidRPr="006A773F" w:rsidR="00493E2A">
              <w:rPr>
                <w:rFonts w:eastAsia="Calibri"/>
                <w:lang w:eastAsia="en-US"/>
              </w:rPr>
              <w:t xml:space="preserve"> 60.07.00</w:t>
            </w:r>
            <w:r w:rsidR="00493E2A">
              <w:rPr>
                <w:rFonts w:eastAsia="Calibri"/>
                <w:lang w:eastAsia="en-US"/>
              </w:rPr>
              <w:t xml:space="preserve"> “Eiropas transporta infrastruktūras projekti (Rail Baltica)” pieejamās vispārējā kārtībā sadalāmās dotācijas no vispārējiem ieņēmumiem</w:t>
            </w:r>
            <w:r w:rsidR="005811B5">
              <w:rPr>
                <w:rFonts w:eastAsia="Calibri"/>
                <w:lang w:eastAsia="en-US"/>
              </w:rPr>
              <w:t>.</w:t>
            </w:r>
          </w:p>
          <w:p w:rsidR="00FB61FF" w:rsidP="009B59E5" w:rsidRDefault="00214A64" w14:paraId="7FD3990D" w14:textId="4714D384">
            <w:pPr>
              <w:jc w:val="both"/>
              <w:rPr>
                <w:rFonts w:eastAsia="Calibri"/>
                <w:lang w:eastAsia="en-US"/>
              </w:rPr>
            </w:pPr>
            <w:r>
              <w:rPr>
                <w:rFonts w:eastAsia="Calibri"/>
                <w:lang w:eastAsia="en-US"/>
              </w:rPr>
              <w:t xml:space="preserve">Noteikumu Nr.218 </w:t>
            </w:r>
            <w:r w:rsidR="0028450A">
              <w:rPr>
                <w:rFonts w:eastAsia="Calibri"/>
                <w:lang w:eastAsia="en-US"/>
              </w:rPr>
              <w:t>4.punkts no</w:t>
            </w:r>
            <w:r w:rsidR="003636F7">
              <w:rPr>
                <w:rFonts w:eastAsia="Calibri"/>
                <w:lang w:eastAsia="en-US"/>
              </w:rPr>
              <w:t>teic</w:t>
            </w:r>
            <w:r w:rsidR="0028450A">
              <w:rPr>
                <w:rFonts w:eastAsia="Calibri"/>
                <w:lang w:eastAsia="en-US"/>
              </w:rPr>
              <w:t xml:space="preserve">, ka Igaunijai un Lietuvai kompensējamo PVN summu Ministrija pārskaita RBR saskaņā ar Igaunijas un Lietuvas izsniegtu autorizāciju, kas pilnvaro RBR saņemt Igaunijai un Lietuvai kompensējamo PVN summu. </w:t>
            </w:r>
            <w:r w:rsidR="00B12CE8">
              <w:rPr>
                <w:rFonts w:eastAsia="Calibri"/>
                <w:lang w:eastAsia="en-US"/>
              </w:rPr>
              <w:t xml:space="preserve">Igaunijas un Lietuvas autorizācija RBR saņemt Igaunijai un Lietuvai kompensējamo PVN summu ir </w:t>
            </w:r>
            <w:r w:rsidR="00FB61FF">
              <w:rPr>
                <w:rFonts w:eastAsia="Calibri"/>
                <w:lang w:eastAsia="en-US"/>
              </w:rPr>
              <w:t xml:space="preserve">iestrādāta </w:t>
            </w:r>
            <w:r w:rsidR="000A5FD7">
              <w:rPr>
                <w:rFonts w:eastAsia="Calibri"/>
                <w:lang w:eastAsia="en-US"/>
              </w:rPr>
              <w:t>RBR Starpposma Finansēšanas līgum</w:t>
            </w:r>
            <w:r w:rsidR="00FB61FF">
              <w:rPr>
                <w:rFonts w:eastAsia="Calibri"/>
                <w:lang w:eastAsia="en-US"/>
              </w:rPr>
              <w:t>a</w:t>
            </w:r>
            <w:r w:rsidR="009B59E5">
              <w:rPr>
                <w:rFonts w:eastAsia="Calibri"/>
                <w:lang w:eastAsia="en-US"/>
              </w:rPr>
              <w:t xml:space="preserve"> projekta </w:t>
            </w:r>
            <w:r w:rsidR="000A5FD7">
              <w:rPr>
                <w:rFonts w:eastAsia="Calibri"/>
                <w:lang w:eastAsia="en-US"/>
              </w:rPr>
              <w:t xml:space="preserve">2020. - 2021.gadam </w:t>
            </w:r>
            <w:r w:rsidR="00B12CE8">
              <w:rPr>
                <w:rFonts w:eastAsia="Calibri"/>
                <w:lang w:eastAsia="en-US"/>
              </w:rPr>
              <w:t>(turpmāk – Līgums) 2.</w:t>
            </w:r>
            <w:r w:rsidR="00B36B09">
              <w:rPr>
                <w:rFonts w:eastAsia="Calibri"/>
                <w:lang w:eastAsia="en-US"/>
              </w:rPr>
              <w:t>6</w:t>
            </w:r>
            <w:r w:rsidR="00B12CE8">
              <w:rPr>
                <w:rFonts w:eastAsia="Calibri"/>
                <w:lang w:eastAsia="en-US"/>
              </w:rPr>
              <w:t>.</w:t>
            </w:r>
            <w:r w:rsidR="00B36B09">
              <w:rPr>
                <w:rFonts w:eastAsia="Calibri"/>
                <w:lang w:eastAsia="en-US"/>
              </w:rPr>
              <w:t>2</w:t>
            </w:r>
            <w:r w:rsidR="00B12CE8">
              <w:rPr>
                <w:rFonts w:eastAsia="Calibri"/>
                <w:lang w:eastAsia="en-US"/>
              </w:rPr>
              <w:t>.</w:t>
            </w:r>
            <w:r w:rsidRPr="004D30EC" w:rsidR="009B59E5">
              <w:rPr>
                <w:rFonts w:eastAsia="Calibri"/>
                <w:color w:val="000000" w:themeColor="text1"/>
                <w:lang w:eastAsia="en-US"/>
              </w:rPr>
              <w:t>apakš</w:t>
            </w:r>
            <w:r w:rsidRPr="004D30EC" w:rsidR="00B12CE8">
              <w:rPr>
                <w:rFonts w:eastAsia="Calibri"/>
                <w:color w:val="000000" w:themeColor="text1"/>
                <w:lang w:eastAsia="en-US"/>
              </w:rPr>
              <w:t>punkt</w:t>
            </w:r>
            <w:r w:rsidRPr="004D30EC" w:rsidR="00FB61FF">
              <w:rPr>
                <w:rFonts w:eastAsia="Calibri"/>
                <w:color w:val="000000" w:themeColor="text1"/>
                <w:lang w:eastAsia="en-US"/>
              </w:rPr>
              <w:t>ā</w:t>
            </w:r>
            <w:r w:rsidR="00CD4F77">
              <w:rPr>
                <w:rFonts w:eastAsia="Calibri"/>
                <w:lang w:eastAsia="en-US"/>
              </w:rPr>
              <w:t xml:space="preserve">. </w:t>
            </w:r>
            <w:r w:rsidR="00B12CE8">
              <w:rPr>
                <w:rFonts w:eastAsia="Calibri"/>
                <w:lang w:eastAsia="en-US"/>
              </w:rPr>
              <w:t xml:space="preserve">Līguma </w:t>
            </w:r>
            <w:r w:rsidR="00421D08">
              <w:rPr>
                <w:rFonts w:eastAsia="Calibri"/>
                <w:lang w:eastAsia="en-US"/>
              </w:rPr>
              <w:t xml:space="preserve">projekta </w:t>
            </w:r>
            <w:r w:rsidR="00B12CE8">
              <w:rPr>
                <w:rFonts w:eastAsia="Calibri"/>
                <w:lang w:eastAsia="en-US"/>
              </w:rPr>
              <w:t>2.</w:t>
            </w:r>
            <w:r w:rsidR="00B36B09">
              <w:rPr>
                <w:rFonts w:eastAsia="Calibri"/>
                <w:lang w:eastAsia="en-US"/>
              </w:rPr>
              <w:t>6.1</w:t>
            </w:r>
            <w:r w:rsidR="00B12CE8">
              <w:rPr>
                <w:rFonts w:eastAsia="Calibri"/>
                <w:lang w:eastAsia="en-US"/>
              </w:rPr>
              <w:t>.</w:t>
            </w:r>
            <w:r w:rsidR="009B59E5">
              <w:rPr>
                <w:rFonts w:eastAsia="Calibri"/>
                <w:lang w:eastAsia="en-US"/>
              </w:rPr>
              <w:t>apakš</w:t>
            </w:r>
            <w:r w:rsidR="00B12CE8">
              <w:rPr>
                <w:rFonts w:eastAsia="Calibri"/>
                <w:lang w:eastAsia="en-US"/>
              </w:rPr>
              <w:t xml:space="preserve">punkts </w:t>
            </w:r>
            <w:r w:rsidR="000A5FD7">
              <w:rPr>
                <w:rFonts w:eastAsia="Calibri"/>
                <w:lang w:eastAsia="en-US"/>
              </w:rPr>
              <w:t>paredz</w:t>
            </w:r>
            <w:r w:rsidR="00471595">
              <w:rPr>
                <w:rFonts w:eastAsia="Calibri"/>
                <w:lang w:eastAsia="en-US"/>
              </w:rPr>
              <w:t>, ka PVN maksājumiem Latvijas Republikā reģistrētiem nodokļu maksātājiem RBR izmanto pašu kapitālu, kuru vienādās daļ</w:t>
            </w:r>
            <w:r w:rsidR="0081583E">
              <w:rPr>
                <w:rFonts w:eastAsia="Calibri"/>
                <w:lang w:eastAsia="en-US"/>
              </w:rPr>
              <w:t>ā</w:t>
            </w:r>
            <w:r w:rsidR="00471595">
              <w:rPr>
                <w:rFonts w:eastAsia="Calibri"/>
                <w:lang w:eastAsia="en-US"/>
              </w:rPr>
              <w:t>s ir finansējusi Igaunija, Latvija un Lietuva</w:t>
            </w:r>
            <w:r w:rsidR="00B12CE8">
              <w:rPr>
                <w:rFonts w:eastAsia="Calibri"/>
                <w:lang w:eastAsia="en-US"/>
              </w:rPr>
              <w:t xml:space="preserve">. </w:t>
            </w:r>
            <w:r w:rsidR="00556E46">
              <w:rPr>
                <w:rFonts w:eastAsia="Calibri"/>
                <w:lang w:eastAsia="en-US"/>
              </w:rPr>
              <w:t xml:space="preserve">Lai izpildītu </w:t>
            </w:r>
            <w:r w:rsidR="008C111F">
              <w:rPr>
                <w:rFonts w:eastAsia="Calibri"/>
                <w:lang w:eastAsia="en-US"/>
              </w:rPr>
              <w:t xml:space="preserve">RBR </w:t>
            </w:r>
            <w:r w:rsidR="00556E46">
              <w:rPr>
                <w:rFonts w:eastAsia="Calibri"/>
                <w:lang w:eastAsia="en-US"/>
              </w:rPr>
              <w:t>Akcionāru līguma 4.3.</w:t>
            </w:r>
            <w:r w:rsidRPr="004D30EC" w:rsidR="009B59E5">
              <w:rPr>
                <w:rFonts w:eastAsia="Calibri"/>
                <w:color w:val="000000" w:themeColor="text1"/>
                <w:lang w:eastAsia="en-US"/>
              </w:rPr>
              <w:t>apakš</w:t>
            </w:r>
            <w:r w:rsidR="00556E46">
              <w:rPr>
                <w:rFonts w:eastAsia="Calibri"/>
                <w:lang w:eastAsia="en-US"/>
              </w:rPr>
              <w:t>punktu, kas no</w:t>
            </w:r>
            <w:r w:rsidR="00837418">
              <w:rPr>
                <w:rFonts w:eastAsia="Calibri"/>
                <w:lang w:eastAsia="en-US"/>
              </w:rPr>
              <w:t>teic</w:t>
            </w:r>
            <w:r w:rsidR="00556E46">
              <w:rPr>
                <w:rFonts w:eastAsia="Calibri"/>
                <w:lang w:eastAsia="en-US"/>
              </w:rPr>
              <w:t>, ka katra akcionāra daļa ir 33.33%</w:t>
            </w:r>
            <w:r w:rsidR="00837418">
              <w:rPr>
                <w:rFonts w:eastAsia="Calibri"/>
                <w:lang w:eastAsia="en-US"/>
              </w:rPr>
              <w:t>,</w:t>
            </w:r>
            <w:r w:rsidR="00556E46">
              <w:rPr>
                <w:rFonts w:eastAsia="Calibri"/>
                <w:lang w:eastAsia="en-US"/>
              </w:rPr>
              <w:t xml:space="preserve"> un 4.6.</w:t>
            </w:r>
            <w:r w:rsidR="004D30EC">
              <w:rPr>
                <w:rFonts w:eastAsia="Calibri"/>
                <w:lang w:eastAsia="en-US"/>
              </w:rPr>
              <w:t>apakš</w:t>
            </w:r>
            <w:r w:rsidR="00556E46">
              <w:rPr>
                <w:rFonts w:eastAsia="Calibri"/>
                <w:lang w:eastAsia="en-US"/>
              </w:rPr>
              <w:t>punktu, kas no</w:t>
            </w:r>
            <w:r w:rsidR="009B59E5">
              <w:rPr>
                <w:rFonts w:eastAsia="Calibri"/>
                <w:lang w:eastAsia="en-US"/>
              </w:rPr>
              <w:t>teic</w:t>
            </w:r>
            <w:r w:rsidR="0028450A">
              <w:rPr>
                <w:rFonts w:eastAsia="Calibri"/>
                <w:lang w:eastAsia="en-US"/>
              </w:rPr>
              <w:t xml:space="preserve">, ka akciju proporcionalitātei ir jāsaglabājas, arī </w:t>
            </w:r>
            <w:r w:rsidR="00B12CE8">
              <w:rPr>
                <w:rFonts w:eastAsia="Calibri"/>
                <w:lang w:eastAsia="en-US"/>
              </w:rPr>
              <w:t xml:space="preserve">PVN maksājumiem </w:t>
            </w:r>
            <w:r w:rsidR="0028450A">
              <w:rPr>
                <w:rFonts w:eastAsia="Calibri"/>
                <w:lang w:eastAsia="en-US"/>
              </w:rPr>
              <w:t>izmantotās Latvijas iemaksas RBR kapitālā ir atgriežamas RBR.</w:t>
            </w:r>
            <w:r w:rsidR="00E4789B">
              <w:rPr>
                <w:rFonts w:eastAsia="Calibri"/>
                <w:lang w:eastAsia="en-US"/>
              </w:rPr>
              <w:t xml:space="preserve"> </w:t>
            </w:r>
            <w:r w:rsidR="00B90538">
              <w:rPr>
                <w:rFonts w:eastAsia="Calibri"/>
                <w:lang w:eastAsia="en-US"/>
              </w:rPr>
              <w:t xml:space="preserve">Tā kā apropriācijas pārdale tiek veikta pirms Līguma parakstīšanas, Ministrija ir saņēmusi Igaunijas un Lietuvas autorizāciju kompensējamās PVN summas pārskaitīšanai RBR. </w:t>
            </w:r>
          </w:p>
          <w:p w:rsidR="00CA33DE" w:rsidP="006A773F" w:rsidRDefault="00FB61FF" w14:paraId="5CC099D6" w14:textId="32CACFEB">
            <w:pPr>
              <w:jc w:val="both"/>
              <w:rPr>
                <w:rFonts w:eastAsia="Calibri"/>
                <w:lang w:eastAsia="en-US"/>
              </w:rPr>
            </w:pPr>
            <w:r>
              <w:rPr>
                <w:rFonts w:eastAsia="Calibri"/>
                <w:lang w:eastAsia="en-US"/>
              </w:rPr>
              <w:t xml:space="preserve">Igaunija un Lietuva </w:t>
            </w:r>
            <w:r w:rsidR="00832FEE">
              <w:rPr>
                <w:rFonts w:eastAsia="Calibri"/>
                <w:lang w:eastAsia="en-US"/>
              </w:rPr>
              <w:t>PVN summas, kas nav atgūstamas kā priekšnodoklis un kuras RBR plāno maksāt Igaunijā un Lietuvā reģistrētiem PVN maksātājiem, RBR kompensē avansa maksājumu veidā</w:t>
            </w:r>
            <w:r w:rsidR="005811B5">
              <w:rPr>
                <w:rFonts w:eastAsia="Calibri"/>
                <w:lang w:eastAsia="en-US"/>
              </w:rPr>
              <w:t>, attiecīgi 2020.gadā katra iemaksājot 135 806 EUR.</w:t>
            </w:r>
            <w:r w:rsidR="00421D08">
              <w:rPr>
                <w:rFonts w:eastAsia="Calibri"/>
                <w:lang w:eastAsia="en-US"/>
              </w:rPr>
              <w:t xml:space="preserve"> Pārrēķini par faktiski samaksāto PVN katras valsts PVN maksātājiem tiek veikti reizi gadā</w:t>
            </w:r>
            <w:r w:rsidR="008C111F">
              <w:rPr>
                <w:rFonts w:eastAsia="Calibri"/>
                <w:lang w:eastAsia="en-US"/>
              </w:rPr>
              <w:t>,</w:t>
            </w:r>
            <w:r w:rsidR="00421D08">
              <w:rPr>
                <w:rFonts w:eastAsia="Calibri"/>
                <w:lang w:eastAsia="en-US"/>
              </w:rPr>
              <w:t xml:space="preserve"> attiecīgi palielinot vai samazinot </w:t>
            </w:r>
            <w:r w:rsidR="008C111F">
              <w:rPr>
                <w:rFonts w:eastAsia="Calibri"/>
                <w:lang w:eastAsia="en-US"/>
              </w:rPr>
              <w:t xml:space="preserve">nākamā </w:t>
            </w:r>
            <w:r w:rsidR="00421D08">
              <w:rPr>
                <w:rFonts w:eastAsia="Calibri"/>
                <w:lang w:eastAsia="en-US"/>
              </w:rPr>
              <w:t>finanšu gada avans</w:t>
            </w:r>
            <w:r w:rsidR="00F904B8">
              <w:rPr>
                <w:rFonts w:eastAsia="Calibri"/>
                <w:lang w:eastAsia="en-US"/>
              </w:rPr>
              <w:t>u PVN</w:t>
            </w:r>
            <w:r w:rsidR="00421D08">
              <w:rPr>
                <w:rFonts w:eastAsia="Calibri"/>
                <w:lang w:eastAsia="en-US"/>
              </w:rPr>
              <w:t xml:space="preserve"> maksājum</w:t>
            </w:r>
            <w:r w:rsidR="00F904B8">
              <w:rPr>
                <w:rFonts w:eastAsia="Calibri"/>
                <w:lang w:eastAsia="en-US"/>
              </w:rPr>
              <w:t>iem</w:t>
            </w:r>
            <w:r w:rsidR="00421D08">
              <w:rPr>
                <w:rFonts w:eastAsia="Calibri"/>
                <w:lang w:eastAsia="en-US"/>
              </w:rPr>
              <w:t>.</w:t>
            </w:r>
          </w:p>
          <w:p w:rsidRPr="00EE39A4" w:rsidR="00482BB3" w:rsidP="00A562A4" w:rsidRDefault="009006CE" w14:paraId="05C4449F" w14:textId="7B6A211C">
            <w:pPr>
              <w:jc w:val="both"/>
              <w:rPr>
                <w:iCs/>
                <w:color w:val="000000"/>
              </w:rPr>
            </w:pPr>
            <w:r w:rsidRPr="009006CE">
              <w:rPr>
                <w:rFonts w:eastAsia="Calibri"/>
                <w:lang w:eastAsia="en-US"/>
              </w:rPr>
              <w:lastRenderedPageBreak/>
              <w:t xml:space="preserve">Noteikumi Nr.218 paredz saņemt atbilstošu Lietuvas un Igaunijas autorizāciju tam, ka Ministrija Igaunijai un Lietuvai  kompensējamās PVN summas pārskaita RBR. </w:t>
            </w:r>
            <w:r w:rsidRPr="00B7191F" w:rsidR="009B59E5">
              <w:rPr>
                <w:rFonts w:eastAsia="Calibri"/>
                <w:color w:val="000000" w:themeColor="text1"/>
                <w:lang w:eastAsia="en-US"/>
              </w:rPr>
              <w:t>R</w:t>
            </w:r>
            <w:r w:rsidRPr="00B7191F">
              <w:rPr>
                <w:rFonts w:eastAsia="Calibri"/>
                <w:color w:val="000000" w:themeColor="text1"/>
                <w:lang w:eastAsia="en-US"/>
              </w:rPr>
              <w:t xml:space="preserve">īkojuma projekts </w:t>
            </w:r>
            <w:r w:rsidRPr="009006CE">
              <w:rPr>
                <w:rFonts w:eastAsia="Calibri"/>
                <w:lang w:eastAsia="en-US"/>
              </w:rPr>
              <w:t xml:space="preserve">aptver arī RBR 2019.gada novembrī un decembrī  no Latvijā veiktajiem darījumiem samaksātā PVN kompensāciju. Lai nodrošinātu iespēju Ministrijai arī divu minēto 2019.gada mēnešu kompensējamā PVN pārskaitīšanu RBR, tad Igaunija un Lietuva ir iesniegušas autorizāciju </w:t>
            </w:r>
            <w:r w:rsidR="00A562A4">
              <w:rPr>
                <w:rFonts w:eastAsia="Calibri"/>
                <w:lang w:eastAsia="en-US"/>
              </w:rPr>
              <w:t xml:space="preserve">(Lietuvas autorizācija angļu valodā un tulkojums – 1.pielikums, Igaunijas autorizācija angļu valodā un tulkojums – 2.pielikums) </w:t>
            </w:r>
            <w:r w:rsidRPr="009006CE">
              <w:rPr>
                <w:rFonts w:eastAsia="Calibri"/>
                <w:lang w:eastAsia="en-US"/>
              </w:rPr>
              <w:t xml:space="preserve">par summu, kas aptver 2019.gada novembra-decembra un 2020.gada janvāra-jūnija kompensējamo PVN. </w:t>
            </w:r>
            <w:r w:rsidR="00A562A4">
              <w:rPr>
                <w:rFonts w:eastAsia="Calibri"/>
                <w:lang w:eastAsia="en-US"/>
              </w:rPr>
              <w:t>Šāda pieeja, kad PVN kompensācija par vairākiem periodiem tiek iekļauta vienā autorizācijā,</w:t>
            </w:r>
            <w:r w:rsidRPr="009006CE">
              <w:rPr>
                <w:rFonts w:eastAsia="Calibri"/>
                <w:lang w:eastAsia="en-US"/>
              </w:rPr>
              <w:t xml:space="preserve"> pārskaitī</w:t>
            </w:r>
            <w:r w:rsidR="00A562A4">
              <w:rPr>
                <w:rFonts w:eastAsia="Calibri"/>
                <w:lang w:eastAsia="en-US"/>
              </w:rPr>
              <w:t>jumu veicot</w:t>
            </w:r>
            <w:r w:rsidRPr="009006CE">
              <w:rPr>
                <w:rFonts w:eastAsia="Calibri"/>
                <w:lang w:eastAsia="en-US"/>
              </w:rPr>
              <w:t xml:space="preserve"> RBR</w:t>
            </w:r>
            <w:r w:rsidR="00A562A4">
              <w:rPr>
                <w:rFonts w:eastAsia="Calibri"/>
                <w:lang w:eastAsia="en-US"/>
              </w:rPr>
              <w:t>,</w:t>
            </w:r>
            <w:r w:rsidRPr="009006CE">
              <w:rPr>
                <w:rFonts w:eastAsia="Calibri"/>
                <w:lang w:eastAsia="en-US"/>
              </w:rPr>
              <w:t xml:space="preserve"> atvieglo Ministrijas administratīvo slogu.</w:t>
            </w:r>
          </w:p>
        </w:tc>
      </w:tr>
      <w:tr w:rsidRPr="00265EEE" w:rsidR="00551A0F" w:rsidTr="002259BB" w14:paraId="3EFFF5B8" w14:textId="77777777">
        <w:trPr>
          <w:trHeight w:val="476"/>
        </w:trPr>
        <w:tc>
          <w:tcPr>
            <w:tcW w:w="237" w:type="pct"/>
          </w:tcPr>
          <w:p w:rsidRPr="00265EEE" w:rsidR="00551A0F" w:rsidP="00017065" w:rsidRDefault="00551A0F" w14:paraId="0C116C14" w14:textId="77777777">
            <w:pPr>
              <w:pStyle w:val="naiskr"/>
              <w:spacing w:before="0" w:beforeAutospacing="0" w:after="0" w:afterAutospacing="0"/>
              <w:ind w:left="57" w:right="57"/>
              <w:jc w:val="center"/>
            </w:pPr>
            <w:r w:rsidRPr="00265EEE">
              <w:lastRenderedPageBreak/>
              <w:t>3.</w:t>
            </w:r>
          </w:p>
        </w:tc>
        <w:tc>
          <w:tcPr>
            <w:tcW w:w="1504" w:type="pct"/>
          </w:tcPr>
          <w:p w:rsidRPr="00265EEE" w:rsidR="00551A0F" w:rsidP="00017065" w:rsidRDefault="00551A0F" w14:paraId="136BEEE5" w14:textId="4CCDD9C0">
            <w:pPr>
              <w:pStyle w:val="naiskr"/>
              <w:spacing w:before="0" w:beforeAutospacing="0" w:after="0" w:afterAutospacing="0"/>
              <w:ind w:left="57" w:right="57"/>
            </w:pPr>
            <w:r w:rsidRPr="009B59E5">
              <w:rPr>
                <w:color w:val="000000" w:themeColor="text1"/>
              </w:rPr>
              <w:t>Projekta izstrādē iesaistītās institūcijas</w:t>
            </w:r>
            <w:r w:rsidRPr="009B59E5" w:rsidR="00BA0D43">
              <w:rPr>
                <w:iCs/>
                <w:color w:val="000000" w:themeColor="text1"/>
              </w:rPr>
              <w:t xml:space="preserve"> </w:t>
            </w:r>
            <w:r w:rsidRPr="009B59E5" w:rsidR="008C111F">
              <w:rPr>
                <w:iCs/>
                <w:color w:val="000000" w:themeColor="text1"/>
              </w:rPr>
              <w:t>un publiskas personas kapitālsabiedrības</w:t>
            </w:r>
          </w:p>
        </w:tc>
        <w:tc>
          <w:tcPr>
            <w:tcW w:w="3257" w:type="pct"/>
          </w:tcPr>
          <w:p w:rsidRPr="00265EEE" w:rsidR="00EE39A4" w:rsidP="004B4548" w:rsidRDefault="00D47D98" w14:paraId="772419D5" w14:textId="5698B995">
            <w:pPr>
              <w:ind w:left="57" w:right="57"/>
              <w:jc w:val="both"/>
            </w:pPr>
            <w:r w:rsidRPr="00265EEE">
              <w:t>Satiksmes ministrija</w:t>
            </w:r>
            <w:r w:rsidR="004B4548">
              <w:t>.</w:t>
            </w:r>
          </w:p>
        </w:tc>
      </w:tr>
      <w:tr w:rsidRPr="00265EEE" w:rsidR="00551A0F" w:rsidTr="002259BB" w14:paraId="2A351EFD" w14:textId="77777777">
        <w:tc>
          <w:tcPr>
            <w:tcW w:w="237" w:type="pct"/>
          </w:tcPr>
          <w:p w:rsidRPr="00265EEE" w:rsidR="00551A0F" w:rsidP="00017065" w:rsidRDefault="00551A0F" w14:paraId="7C8258B3" w14:textId="77777777">
            <w:pPr>
              <w:pStyle w:val="naiskr"/>
              <w:spacing w:before="0" w:beforeAutospacing="0" w:after="0" w:afterAutospacing="0"/>
              <w:ind w:left="57" w:right="57"/>
              <w:jc w:val="center"/>
            </w:pPr>
            <w:r w:rsidRPr="00265EEE">
              <w:t>4.</w:t>
            </w:r>
          </w:p>
        </w:tc>
        <w:tc>
          <w:tcPr>
            <w:tcW w:w="1504" w:type="pct"/>
          </w:tcPr>
          <w:p w:rsidRPr="00265EEE" w:rsidR="00551A0F" w:rsidP="00017065" w:rsidRDefault="00551A0F" w14:paraId="2F91C875" w14:textId="77777777">
            <w:pPr>
              <w:pStyle w:val="naiskr"/>
              <w:spacing w:before="0" w:beforeAutospacing="0" w:after="0" w:afterAutospacing="0"/>
              <w:ind w:left="57" w:right="57"/>
            </w:pPr>
            <w:r w:rsidRPr="00265EEE">
              <w:t>Cita informācija</w:t>
            </w:r>
          </w:p>
        </w:tc>
        <w:tc>
          <w:tcPr>
            <w:tcW w:w="3257" w:type="pct"/>
          </w:tcPr>
          <w:p w:rsidRPr="00265EEE" w:rsidR="00551A0F" w:rsidP="00EA4942" w:rsidRDefault="00D47D98" w14:paraId="06C40D0B" w14:textId="77777777">
            <w:pPr>
              <w:pStyle w:val="NormalWeb"/>
              <w:spacing w:before="0" w:after="0"/>
              <w:ind w:right="13"/>
              <w:jc w:val="both"/>
            </w:pPr>
            <w:r w:rsidRPr="00265EEE">
              <w:t>Nav.</w:t>
            </w:r>
          </w:p>
        </w:tc>
      </w:tr>
    </w:tbl>
    <w:p w:rsidRPr="00BB3200"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265EEE" w:rsidR="00551A0F" w:rsidTr="006243B1" w14:paraId="26A3911B" w14:textId="77777777">
        <w:trPr>
          <w:trHeight w:val="556"/>
        </w:trPr>
        <w:tc>
          <w:tcPr>
            <w:tcW w:w="9077" w:type="dxa"/>
            <w:gridSpan w:val="3"/>
            <w:vAlign w:val="center"/>
          </w:tcPr>
          <w:p w:rsidRPr="00265EEE" w:rsidR="00551A0F" w:rsidP="00017065" w:rsidRDefault="00551A0F" w14:paraId="3D59769E" w14:textId="77777777">
            <w:pPr>
              <w:pStyle w:val="naisnod"/>
              <w:spacing w:before="0" w:beforeAutospacing="0" w:after="0" w:afterAutospacing="0"/>
              <w:ind w:left="57" w:right="57"/>
              <w:jc w:val="center"/>
              <w:rPr>
                <w:b/>
              </w:rPr>
            </w:pPr>
            <w:r w:rsidRPr="00265EEE">
              <w:rPr>
                <w:b/>
              </w:rPr>
              <w:t>II. Tiesību akta projekta ietekme uz sabiedrību, tautsaimniecības attīstību</w:t>
            </w:r>
          </w:p>
          <w:p w:rsidRPr="00265EEE" w:rsidR="00551A0F" w:rsidP="00017065" w:rsidRDefault="00551A0F" w14:paraId="2C2871D4" w14:textId="77777777">
            <w:pPr>
              <w:pStyle w:val="naisnod"/>
              <w:spacing w:before="0" w:beforeAutospacing="0" w:after="0" w:afterAutospacing="0"/>
              <w:ind w:left="57" w:right="57"/>
              <w:jc w:val="center"/>
              <w:rPr>
                <w:b/>
              </w:rPr>
            </w:pPr>
            <w:r w:rsidRPr="00265EEE">
              <w:rPr>
                <w:b/>
              </w:rPr>
              <w:t>un administratīvo slogu</w:t>
            </w:r>
          </w:p>
        </w:tc>
      </w:tr>
      <w:tr w:rsidRPr="00265EEE" w:rsidR="00551A0F" w:rsidTr="006243B1" w14:paraId="38AC62C3" w14:textId="77777777">
        <w:trPr>
          <w:trHeight w:val="467"/>
        </w:trPr>
        <w:tc>
          <w:tcPr>
            <w:tcW w:w="431" w:type="dxa"/>
          </w:tcPr>
          <w:p w:rsidRPr="00265EEE" w:rsidR="00551A0F" w:rsidP="00017065" w:rsidRDefault="00551A0F" w14:paraId="6C029066" w14:textId="77777777">
            <w:pPr>
              <w:pStyle w:val="naiskr"/>
              <w:spacing w:before="0" w:beforeAutospacing="0" w:after="0" w:afterAutospacing="0"/>
              <w:ind w:left="57" w:right="57"/>
              <w:jc w:val="both"/>
            </w:pPr>
            <w:r w:rsidRPr="00265EEE">
              <w:t>1.</w:t>
            </w:r>
          </w:p>
        </w:tc>
        <w:tc>
          <w:tcPr>
            <w:tcW w:w="2766" w:type="dxa"/>
          </w:tcPr>
          <w:p w:rsidRPr="00265EEE" w:rsidR="00551A0F" w:rsidP="00017065" w:rsidRDefault="00551A0F" w14:paraId="396A7FDB" w14:textId="77777777">
            <w:pPr>
              <w:pStyle w:val="naiskr"/>
              <w:spacing w:before="0" w:beforeAutospacing="0" w:after="0" w:afterAutospacing="0"/>
              <w:ind w:left="57" w:right="57"/>
            </w:pPr>
            <w:r w:rsidRPr="00265EEE">
              <w:t>Sabiedrības mērķgrupas, kuras tiesiskais regulējums ietekmē vai varētu ietekmēt</w:t>
            </w:r>
          </w:p>
        </w:tc>
        <w:tc>
          <w:tcPr>
            <w:tcW w:w="5880" w:type="dxa"/>
          </w:tcPr>
          <w:p w:rsidR="001211A0" w:rsidP="006243B1" w:rsidRDefault="009B59E5" w14:paraId="19788F06" w14:textId="72AB0046">
            <w:pPr>
              <w:shd w:val="clear" w:color="auto" w:fill="FFFFFF"/>
              <w:ind w:right="57"/>
              <w:jc w:val="both"/>
            </w:pPr>
            <w:bookmarkStart w:name="p21" w:id="0"/>
            <w:bookmarkEnd w:id="0"/>
            <w:r>
              <w:t>Rīkojuma projekts</w:t>
            </w:r>
            <w:r w:rsidR="004B4548">
              <w:t xml:space="preserve"> ietekmē RBR</w:t>
            </w:r>
            <w:r w:rsidR="00376DA9">
              <w:t xml:space="preserve">, jo </w:t>
            </w:r>
            <w:r w:rsidR="00046659">
              <w:t>no</w:t>
            </w:r>
            <w:r w:rsidR="00376DA9">
              <w:t xml:space="preserve"> PVN kompensēšanas </w:t>
            </w:r>
            <w:r w:rsidR="00046659">
              <w:t xml:space="preserve">ir atkarīga stabila </w:t>
            </w:r>
            <w:r w:rsidR="00376DA9">
              <w:t xml:space="preserve">RBR </w:t>
            </w:r>
            <w:r w:rsidR="00046659">
              <w:t>finanšu plūsma un saimnieciskā darbība.</w:t>
            </w:r>
          </w:p>
          <w:p w:rsidRPr="00265EEE" w:rsidR="0042239C" w:rsidP="006243B1" w:rsidRDefault="009B59E5" w14:paraId="45B7D67D" w14:textId="45DA730F">
            <w:pPr>
              <w:shd w:val="clear" w:color="auto" w:fill="FFFFFF"/>
              <w:ind w:right="57"/>
              <w:jc w:val="both"/>
            </w:pPr>
            <w:r>
              <w:t>Rīkojuma projekts</w:t>
            </w:r>
            <w:r w:rsidR="001211A0">
              <w:t xml:space="preserve"> n</w:t>
            </w:r>
            <w:r w:rsidR="00376DA9">
              <w:t xml:space="preserve">etieši ietekmē jebkuru cilvēku, kurš nākotnē varētu izmantot Rail Baltica </w:t>
            </w:r>
            <w:r w:rsidR="00512CF6">
              <w:t>dzelzceļa līniju</w:t>
            </w:r>
            <w:r w:rsidR="00376DA9">
              <w:t>, jo bez PVN kompens</w:t>
            </w:r>
            <w:r w:rsidR="00F904B8">
              <w:t>ācijas</w:t>
            </w:r>
            <w:r w:rsidR="00376DA9">
              <w:t xml:space="preserve"> RBR</w:t>
            </w:r>
            <w:r w:rsidR="001211A0">
              <w:t xml:space="preserve"> nevarēs funkcionēt, </w:t>
            </w:r>
            <w:r w:rsidR="00607541">
              <w:t xml:space="preserve">kā rezultātā netiks </w:t>
            </w:r>
            <w:r w:rsidR="00376DA9">
              <w:t>izveidota Rail Baltica infrastruktūra.</w:t>
            </w:r>
          </w:p>
        </w:tc>
      </w:tr>
      <w:tr w:rsidRPr="00265EEE" w:rsidR="00607541" w:rsidTr="00BB3200" w14:paraId="1E912B55" w14:textId="77777777">
        <w:trPr>
          <w:trHeight w:val="274"/>
        </w:trPr>
        <w:tc>
          <w:tcPr>
            <w:tcW w:w="431" w:type="dxa"/>
          </w:tcPr>
          <w:p w:rsidRPr="00265EEE" w:rsidR="00607541" w:rsidP="00607541" w:rsidRDefault="00607541" w14:paraId="48559527" w14:textId="77777777">
            <w:pPr>
              <w:pStyle w:val="naiskr"/>
              <w:spacing w:before="0" w:beforeAutospacing="0" w:after="0" w:afterAutospacing="0"/>
              <w:ind w:left="57" w:right="57"/>
              <w:jc w:val="both"/>
            </w:pPr>
            <w:r w:rsidRPr="00265EEE">
              <w:t>2.</w:t>
            </w:r>
          </w:p>
        </w:tc>
        <w:tc>
          <w:tcPr>
            <w:tcW w:w="2766" w:type="dxa"/>
          </w:tcPr>
          <w:p w:rsidRPr="00265EEE" w:rsidR="00607541" w:rsidP="00607541" w:rsidRDefault="00607541" w14:paraId="1647C97E" w14:textId="77777777">
            <w:pPr>
              <w:pStyle w:val="naiskr"/>
              <w:spacing w:before="0" w:beforeAutospacing="0" w:after="0" w:afterAutospacing="0"/>
              <w:ind w:left="57" w:right="57"/>
            </w:pPr>
            <w:r w:rsidRPr="00265EEE">
              <w:t>Tiesiskā regulējuma ietekme uz tautsaimniecību un administratīvo slogu</w:t>
            </w:r>
          </w:p>
        </w:tc>
        <w:tc>
          <w:tcPr>
            <w:tcW w:w="5880" w:type="dxa"/>
          </w:tcPr>
          <w:p w:rsidRPr="00265EEE" w:rsidR="00607541" w:rsidP="0016067D" w:rsidRDefault="00607541" w14:paraId="5B09B5D2" w14:textId="0BE1B213">
            <w:pPr>
              <w:shd w:val="clear" w:color="auto" w:fill="FFFFFF"/>
              <w:ind w:right="57"/>
              <w:jc w:val="both"/>
            </w:pPr>
            <w:r w:rsidRPr="008C111F">
              <w:t>Rīkojuma projekta tiesiskais regulējums nākotnē varētu ietekmēt tautsaimniecību kā valsts saimniecības nozari, jo</w:t>
            </w:r>
            <w:r w:rsidR="008C111F">
              <w:t>,</w:t>
            </w:r>
            <w:r w:rsidRPr="008C111F">
              <w:t xml:space="preserve"> plānojot un īstenojot Rail Baltica projektu</w:t>
            </w:r>
            <w:r w:rsidR="008C111F">
              <w:t>,</w:t>
            </w:r>
            <w:r w:rsidRPr="008C111F">
              <w:t xml:space="preserve"> tiek veidota tautsaimniecības vajadzībām, stabilas satiksmes interesēm, kā arī vides aizsardzības </w:t>
            </w:r>
            <w:r w:rsidRPr="00214A64">
              <w:t>prasībām atbilstoša infrastruktūra.</w:t>
            </w:r>
            <w:r w:rsidRPr="00A17421">
              <w:rPr>
                <w:iCs/>
              </w:rPr>
              <w:t xml:space="preserve"> </w:t>
            </w:r>
          </w:p>
        </w:tc>
      </w:tr>
      <w:tr w:rsidRPr="00265EEE" w:rsidR="00607541" w:rsidTr="006243B1" w14:paraId="5D06EFE6" w14:textId="77777777">
        <w:trPr>
          <w:trHeight w:val="523"/>
        </w:trPr>
        <w:tc>
          <w:tcPr>
            <w:tcW w:w="431" w:type="dxa"/>
          </w:tcPr>
          <w:p w:rsidRPr="00265EEE" w:rsidR="00607541" w:rsidP="00607541" w:rsidRDefault="00607541" w14:paraId="423820E3" w14:textId="77777777">
            <w:pPr>
              <w:pStyle w:val="naiskr"/>
              <w:spacing w:before="0" w:beforeAutospacing="0" w:after="0" w:afterAutospacing="0"/>
              <w:ind w:left="57" w:right="57"/>
              <w:jc w:val="both"/>
            </w:pPr>
            <w:r w:rsidRPr="00265EEE">
              <w:t>3.</w:t>
            </w:r>
          </w:p>
        </w:tc>
        <w:tc>
          <w:tcPr>
            <w:tcW w:w="2766" w:type="dxa"/>
          </w:tcPr>
          <w:p w:rsidRPr="00265EEE" w:rsidR="00607541" w:rsidP="00607541" w:rsidRDefault="00607541" w14:paraId="7E528977" w14:textId="77777777">
            <w:pPr>
              <w:pStyle w:val="naiskr"/>
              <w:spacing w:before="0" w:beforeAutospacing="0" w:after="0" w:afterAutospacing="0"/>
              <w:ind w:left="57" w:right="57"/>
            </w:pPr>
            <w:r w:rsidRPr="00265EEE">
              <w:t>Administratīvo izmaksu monetārs novērtējums</w:t>
            </w:r>
          </w:p>
        </w:tc>
        <w:tc>
          <w:tcPr>
            <w:tcW w:w="5880" w:type="dxa"/>
          </w:tcPr>
          <w:p w:rsidRPr="00265EEE" w:rsidR="00607541" w:rsidP="00607541" w:rsidRDefault="00607541" w14:paraId="3F7094BD" w14:textId="417C393D">
            <w:pPr>
              <w:shd w:val="clear" w:color="auto" w:fill="FFFFFF"/>
              <w:ind w:left="57" w:right="57"/>
              <w:jc w:val="both"/>
            </w:pPr>
            <w:r w:rsidRPr="00A17421">
              <w:t>Rīkojuma projekts neparedz jaunas administratīvās izmaksas</w:t>
            </w:r>
            <w:r w:rsidRPr="00265EEE">
              <w:t>.</w:t>
            </w:r>
          </w:p>
        </w:tc>
      </w:tr>
      <w:tr w:rsidRPr="00265EEE" w:rsidR="00607541" w:rsidTr="006243B1" w14:paraId="78BE4C30" w14:textId="77777777">
        <w:trPr>
          <w:trHeight w:val="523"/>
        </w:trPr>
        <w:tc>
          <w:tcPr>
            <w:tcW w:w="431" w:type="dxa"/>
          </w:tcPr>
          <w:p w:rsidRPr="00265EEE" w:rsidR="00607541" w:rsidP="00607541" w:rsidRDefault="00607541" w14:paraId="6E2E3134" w14:textId="77777777">
            <w:pPr>
              <w:pStyle w:val="naiskr"/>
              <w:spacing w:before="0" w:beforeAutospacing="0" w:after="0" w:afterAutospacing="0"/>
              <w:ind w:left="57" w:right="57"/>
              <w:jc w:val="both"/>
            </w:pPr>
            <w:r>
              <w:t>4.</w:t>
            </w:r>
          </w:p>
        </w:tc>
        <w:tc>
          <w:tcPr>
            <w:tcW w:w="2766" w:type="dxa"/>
          </w:tcPr>
          <w:p w:rsidRPr="006243B1" w:rsidR="00607541" w:rsidP="00607541" w:rsidRDefault="00607541" w14:paraId="7D22923F" w14:textId="77777777">
            <w:pPr>
              <w:pStyle w:val="naiskr"/>
              <w:spacing w:before="0" w:beforeAutospacing="0" w:after="0" w:afterAutospacing="0"/>
              <w:ind w:left="57" w:right="57"/>
            </w:pPr>
            <w:r w:rsidRPr="006243B1">
              <w:rPr>
                <w:iCs/>
              </w:rPr>
              <w:t>Atbilstības izmaksu monetārs novērtējums</w:t>
            </w:r>
          </w:p>
        </w:tc>
        <w:tc>
          <w:tcPr>
            <w:tcW w:w="5880" w:type="dxa"/>
          </w:tcPr>
          <w:p w:rsidRPr="00265EEE" w:rsidR="00607541" w:rsidP="00607541" w:rsidRDefault="00607541" w14:paraId="32516C8E" w14:textId="2AA9691A">
            <w:pPr>
              <w:shd w:val="clear" w:color="auto" w:fill="FFFFFF"/>
              <w:ind w:left="57" w:right="57"/>
              <w:jc w:val="both"/>
              <w:rPr>
                <w:bCs/>
                <w:iCs/>
              </w:rPr>
            </w:pPr>
            <w:r w:rsidRPr="00A17421">
              <w:rPr>
                <w:iCs/>
              </w:rPr>
              <w:t>Projekts šo jomu neskar. Tiesiskais regulējums atbilstības izmaksas nerada.</w:t>
            </w:r>
          </w:p>
        </w:tc>
      </w:tr>
      <w:tr w:rsidRPr="00265EEE" w:rsidR="00607541" w:rsidTr="00BB3200" w14:paraId="72F3F0F7" w14:textId="77777777">
        <w:trPr>
          <w:trHeight w:val="285"/>
        </w:trPr>
        <w:tc>
          <w:tcPr>
            <w:tcW w:w="431" w:type="dxa"/>
          </w:tcPr>
          <w:p w:rsidRPr="00265EEE" w:rsidR="00607541" w:rsidP="00607541" w:rsidRDefault="00607541" w14:paraId="377DCE04" w14:textId="77777777">
            <w:pPr>
              <w:pStyle w:val="naiskr"/>
              <w:spacing w:before="0" w:beforeAutospacing="0" w:after="0" w:afterAutospacing="0"/>
              <w:ind w:left="57" w:right="57"/>
              <w:jc w:val="both"/>
            </w:pPr>
            <w:r>
              <w:t>5</w:t>
            </w:r>
            <w:r w:rsidRPr="00265EEE">
              <w:t>.</w:t>
            </w:r>
          </w:p>
        </w:tc>
        <w:tc>
          <w:tcPr>
            <w:tcW w:w="2766" w:type="dxa"/>
          </w:tcPr>
          <w:p w:rsidRPr="00265EEE" w:rsidR="00607541" w:rsidP="00607541" w:rsidRDefault="00607541" w14:paraId="70553D9A" w14:textId="77777777">
            <w:pPr>
              <w:pStyle w:val="naiskr"/>
              <w:spacing w:before="0" w:beforeAutospacing="0" w:after="0" w:afterAutospacing="0"/>
              <w:ind w:left="57" w:right="57"/>
            </w:pPr>
            <w:r w:rsidRPr="00265EEE">
              <w:t>Cita informācija</w:t>
            </w:r>
          </w:p>
        </w:tc>
        <w:tc>
          <w:tcPr>
            <w:tcW w:w="5880" w:type="dxa"/>
          </w:tcPr>
          <w:p w:rsidRPr="00265EEE" w:rsidR="00607541" w:rsidP="00607541" w:rsidRDefault="00607541" w14:paraId="11292819" w14:textId="77777777">
            <w:pPr>
              <w:shd w:val="clear" w:color="auto" w:fill="FFFFFF"/>
              <w:ind w:left="57" w:right="57"/>
            </w:pPr>
            <w:r w:rsidRPr="00265EEE">
              <w:t>Nav.</w:t>
            </w:r>
          </w:p>
        </w:tc>
      </w:tr>
    </w:tbl>
    <w:p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917"/>
        <w:gridCol w:w="1276"/>
        <w:gridCol w:w="708"/>
        <w:gridCol w:w="1418"/>
        <w:gridCol w:w="850"/>
        <w:gridCol w:w="1276"/>
        <w:gridCol w:w="850"/>
      </w:tblGrid>
      <w:tr w:rsidRPr="00821079" w:rsidR="00D63E48" w:rsidTr="00D63E48"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2818AA" w:rsidR="00D63E48" w:rsidP="006E267F" w:rsidRDefault="00D63E48" w14:paraId="2EE9921E" w14:textId="77777777">
            <w:pPr>
              <w:jc w:val="center"/>
              <w:rPr>
                <w:b/>
                <w:bCs/>
              </w:rPr>
            </w:pPr>
            <w:r w:rsidRPr="002818AA">
              <w:rPr>
                <w:b/>
                <w:bCs/>
              </w:rPr>
              <w:t>III. Tiesību akta projekta ietekme uz valsts budžetu un pašvaldību budžetiem</w:t>
            </w:r>
          </w:p>
        </w:tc>
      </w:tr>
      <w:tr w:rsidRPr="00825345" w:rsidR="00D63E48" w:rsidTr="00D63E48" w14:paraId="4B298B52"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342C9C" w:rsidR="00D63E48" w:rsidP="006E267F" w:rsidRDefault="00D63E48" w14:paraId="34C2A037" w14:textId="77777777">
            <w:pPr>
              <w:jc w:val="center"/>
              <w:rPr>
                <w:bCs/>
                <w:sz w:val="22"/>
              </w:rPr>
            </w:pPr>
            <w:r w:rsidRPr="00342C9C">
              <w:rPr>
                <w:bCs/>
                <w:sz w:val="22"/>
              </w:rPr>
              <w:t>Rādītāji</w:t>
            </w:r>
          </w:p>
        </w:tc>
        <w:tc>
          <w:tcPr>
            <w:tcW w:w="219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9893CEB" w14:textId="77777777">
            <w:pPr>
              <w:jc w:val="center"/>
              <w:rPr>
                <w:bCs/>
              </w:rPr>
            </w:pPr>
            <w:r w:rsidRPr="002818AA">
              <w:rPr>
                <w:bCs/>
              </w:rPr>
              <w:t>2020. gads</w:t>
            </w:r>
          </w:p>
        </w:tc>
        <w:tc>
          <w:tcPr>
            <w:tcW w:w="510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0F2BC2C" w14:textId="77777777">
            <w:pPr>
              <w:jc w:val="center"/>
            </w:pPr>
            <w:r w:rsidRPr="002818AA">
              <w:t>Turpmākie trīs gadi (</w:t>
            </w:r>
            <w:r w:rsidRPr="002818AA">
              <w:rPr>
                <w:i/>
                <w:iCs/>
              </w:rPr>
              <w:t>euro</w:t>
            </w:r>
            <w:r w:rsidRPr="002818AA">
              <w:t>)</w:t>
            </w:r>
          </w:p>
        </w:tc>
      </w:tr>
      <w:tr w:rsidRPr="00825345" w:rsidR="00D63E48" w:rsidTr="00D63E48" w14:paraId="231F19C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3D2B07E" w14:textId="77777777">
            <w:pPr>
              <w:jc w:val="center"/>
              <w:rPr>
                <w:bCs/>
                <w:sz w:val="22"/>
              </w:rPr>
            </w:pPr>
          </w:p>
        </w:tc>
        <w:tc>
          <w:tcPr>
            <w:tcW w:w="219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14C9943D"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448A00F" w14:textId="77777777">
            <w:pPr>
              <w:jc w:val="center"/>
              <w:rPr>
                <w:bCs/>
              </w:rPr>
            </w:pPr>
            <w:r w:rsidRPr="002818AA">
              <w:rPr>
                <w:bCs/>
              </w:rPr>
              <w:t>2021</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41312642" w14:textId="77777777">
            <w:pPr>
              <w:jc w:val="center"/>
              <w:rPr>
                <w:bCs/>
              </w:rPr>
            </w:pPr>
            <w:r w:rsidRPr="002818AA">
              <w:rPr>
                <w:bCs/>
              </w:rPr>
              <w:t>2022</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5957E68" w14:textId="77777777">
            <w:pPr>
              <w:jc w:val="center"/>
              <w:rPr>
                <w:bCs/>
              </w:rPr>
            </w:pPr>
            <w:r w:rsidRPr="002818AA">
              <w:rPr>
                <w:bCs/>
              </w:rPr>
              <w:t>2023</w:t>
            </w:r>
          </w:p>
        </w:tc>
      </w:tr>
      <w:tr w:rsidRPr="00825345" w:rsidR="00D63E48" w:rsidTr="00D63E48" w14:paraId="27F68A9E"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B2B968A" w14:textId="77777777">
            <w:pPr>
              <w:jc w:val="center"/>
              <w:rPr>
                <w:b/>
                <w:bCs/>
                <w:sz w:val="22"/>
              </w:rPr>
            </w:pP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523B2A63" w14:textId="77777777">
            <w:pPr>
              <w:jc w:val="center"/>
              <w:rPr>
                <w:sz w:val="20"/>
                <w:szCs w:val="20"/>
              </w:rPr>
            </w:pPr>
            <w:r w:rsidRPr="002818AA">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42D5F45A" w14:textId="77777777">
            <w:pPr>
              <w:jc w:val="center"/>
              <w:rPr>
                <w:sz w:val="20"/>
                <w:szCs w:val="20"/>
              </w:rPr>
            </w:pPr>
            <w:r w:rsidRPr="002818AA">
              <w:rPr>
                <w:sz w:val="20"/>
                <w:szCs w:val="20"/>
              </w:rPr>
              <w:t>izmaiņas kārtējā gadā, salīdzinot ar valsts budžetu kārtējam gadam</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50BF91D" w14:textId="77777777">
            <w:pPr>
              <w:jc w:val="center"/>
              <w:rPr>
                <w:sz w:val="20"/>
                <w:szCs w:val="20"/>
              </w:rPr>
            </w:pPr>
            <w:r w:rsidRPr="002818AA">
              <w:rPr>
                <w:sz w:val="20"/>
                <w:szCs w:val="20"/>
              </w:rPr>
              <w:t xml:space="preserve">saskaņā ar vidēja termiņa budžeta </w:t>
            </w:r>
            <w:r w:rsidRPr="002818AA">
              <w:rPr>
                <w:sz w:val="20"/>
                <w:szCs w:val="20"/>
              </w:rPr>
              <w:lastRenderedPageBreak/>
              <w:t>ietvaru</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57608DE6" w14:textId="77777777">
            <w:pPr>
              <w:jc w:val="center"/>
              <w:rPr>
                <w:sz w:val="20"/>
                <w:szCs w:val="20"/>
              </w:rPr>
            </w:pPr>
            <w:r w:rsidRPr="002818AA">
              <w:rPr>
                <w:sz w:val="20"/>
                <w:szCs w:val="20"/>
              </w:rPr>
              <w:lastRenderedPageBreak/>
              <w:t>izmaiņas, salīdzinot ar vidēja termiņa budžeta ietvaru 2021.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E308B85" w14:textId="77777777">
            <w:pPr>
              <w:jc w:val="center"/>
              <w:rPr>
                <w:sz w:val="20"/>
                <w:szCs w:val="20"/>
              </w:rPr>
            </w:pPr>
            <w:r w:rsidRPr="002818AA">
              <w:rPr>
                <w:sz w:val="20"/>
                <w:szCs w:val="20"/>
              </w:rPr>
              <w:t>saskaņā ar vidēja termiņa budžeta ietvaru</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765346D" w14:textId="77777777">
            <w:pPr>
              <w:jc w:val="center"/>
              <w:rPr>
                <w:sz w:val="20"/>
                <w:szCs w:val="20"/>
              </w:rPr>
            </w:pPr>
            <w:r w:rsidRPr="002818AA">
              <w:rPr>
                <w:sz w:val="20"/>
                <w:szCs w:val="20"/>
              </w:rPr>
              <w:t xml:space="preserve">izmaiņas, </w:t>
            </w:r>
            <w:r w:rsidRPr="002818AA">
              <w:rPr>
                <w:sz w:val="18"/>
                <w:szCs w:val="18"/>
              </w:rPr>
              <w:t>salīdzino</w:t>
            </w:r>
            <w:r w:rsidRPr="002818AA">
              <w:rPr>
                <w:sz w:val="20"/>
                <w:szCs w:val="20"/>
              </w:rPr>
              <w:t>t ar vidēja termiņa budžeta ietvaru 2022.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098FB89" w14:textId="77777777">
            <w:pPr>
              <w:jc w:val="center"/>
              <w:rPr>
                <w:sz w:val="20"/>
                <w:szCs w:val="20"/>
              </w:rPr>
            </w:pPr>
            <w:r w:rsidRPr="002818AA">
              <w:rPr>
                <w:sz w:val="20"/>
                <w:szCs w:val="20"/>
              </w:rPr>
              <w:t xml:space="preserve">izmaiņas, salīdzinot ar vidēja termiņa budžeta </w:t>
            </w:r>
            <w:r w:rsidRPr="002818AA">
              <w:rPr>
                <w:sz w:val="20"/>
                <w:szCs w:val="20"/>
              </w:rPr>
              <w:lastRenderedPageBreak/>
              <w:t>ietvaru 2022. gadam</w:t>
            </w:r>
          </w:p>
        </w:tc>
      </w:tr>
      <w:tr w:rsidRPr="00825345" w:rsidR="00D63E48" w:rsidTr="00D63E48" w14:paraId="4A63AAD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42C9C" w:rsidR="00D63E48" w:rsidP="006E267F" w:rsidRDefault="00D63E48" w14:paraId="38308CB1" w14:textId="77777777">
            <w:pPr>
              <w:jc w:val="center"/>
              <w:rPr>
                <w:sz w:val="22"/>
              </w:rPr>
            </w:pPr>
            <w:r w:rsidRPr="00342C9C">
              <w:rPr>
                <w:sz w:val="22"/>
              </w:rPr>
              <w:lastRenderedPageBreak/>
              <w:t>1</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9922C1B" w14:textId="77777777">
            <w:pPr>
              <w:jc w:val="center"/>
              <w:rPr>
                <w:sz w:val="20"/>
                <w:szCs w:val="20"/>
              </w:rPr>
            </w:pPr>
            <w:r w:rsidRPr="002818AA">
              <w:rPr>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7B2DE6D" w14:textId="77777777">
            <w:pPr>
              <w:jc w:val="center"/>
              <w:rPr>
                <w:sz w:val="20"/>
                <w:szCs w:val="20"/>
              </w:rPr>
            </w:pPr>
            <w:r w:rsidRPr="002818AA">
              <w:rPr>
                <w:sz w:val="20"/>
                <w:szCs w:val="20"/>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640BD489" w14:textId="77777777">
            <w:pPr>
              <w:jc w:val="center"/>
              <w:rPr>
                <w:sz w:val="20"/>
                <w:szCs w:val="20"/>
              </w:rPr>
            </w:pPr>
            <w:r w:rsidRPr="002818AA">
              <w:rPr>
                <w:sz w:val="20"/>
                <w:szCs w:val="20"/>
              </w:rPr>
              <w:t>4</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34E57CEA" w14:textId="77777777">
            <w:pPr>
              <w:jc w:val="center"/>
              <w:rPr>
                <w:sz w:val="20"/>
                <w:szCs w:val="20"/>
              </w:rPr>
            </w:pPr>
            <w:r w:rsidRPr="002818AA">
              <w:rPr>
                <w:sz w:val="20"/>
                <w:szCs w:val="20"/>
              </w:rPr>
              <w:t>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62F5DB1F" w14:textId="77777777">
            <w:pPr>
              <w:jc w:val="center"/>
              <w:rPr>
                <w:sz w:val="20"/>
                <w:szCs w:val="20"/>
              </w:rPr>
            </w:pPr>
            <w:r w:rsidRPr="002818AA">
              <w:rPr>
                <w:sz w:val="20"/>
                <w:szCs w:val="20"/>
              </w:rPr>
              <w:t>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0CE4245C" w14:textId="77777777">
            <w:pPr>
              <w:jc w:val="center"/>
              <w:rPr>
                <w:sz w:val="20"/>
                <w:szCs w:val="20"/>
              </w:rPr>
            </w:pPr>
            <w:r w:rsidRPr="002818AA">
              <w:rPr>
                <w:sz w:val="20"/>
                <w:szCs w:val="20"/>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275386B6" w14:textId="77777777">
            <w:pPr>
              <w:jc w:val="center"/>
              <w:rPr>
                <w:sz w:val="20"/>
                <w:szCs w:val="20"/>
              </w:rPr>
            </w:pPr>
            <w:r w:rsidRPr="002818AA">
              <w:rPr>
                <w:sz w:val="20"/>
                <w:szCs w:val="20"/>
              </w:rPr>
              <w:t>8</w:t>
            </w:r>
          </w:p>
        </w:tc>
      </w:tr>
      <w:tr w:rsidRPr="00825345" w:rsidR="00D63E48" w:rsidTr="00D63E48" w14:paraId="7CFE711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342C9C" w:rsidR="00D63E48" w:rsidP="006E267F" w:rsidRDefault="00D63E48" w14:paraId="6C9CDE54" w14:textId="77777777">
            <w:pPr>
              <w:rPr>
                <w:sz w:val="22"/>
              </w:rPr>
            </w:pPr>
            <w:r w:rsidRPr="00342C9C">
              <w:rPr>
                <w:sz w:val="22"/>
              </w:rPr>
              <w:t>1. Budžeta ieņēmumi</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rsidRPr="002818AA" w:rsidR="00D63E48" w:rsidP="006E267F" w:rsidRDefault="00D63E48" w14:paraId="590A2484"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7A4534" w:rsidR="00B36B09" w:rsidP="00B36B09" w:rsidRDefault="00B36B09" w14:paraId="40A68162" w14:textId="349B434C">
            <w:pPr>
              <w:jc w:val="center"/>
              <w:rPr>
                <w:color w:val="000000"/>
                <w:sz w:val="20"/>
                <w:szCs w:val="20"/>
              </w:rPr>
            </w:pPr>
            <w:r w:rsidRPr="007A4534">
              <w:rPr>
                <w:color w:val="000000"/>
                <w:sz w:val="20"/>
                <w:szCs w:val="20"/>
              </w:rPr>
              <w:t>289 450</w:t>
            </w:r>
          </w:p>
          <w:p w:rsidRPr="002818AA" w:rsidR="00D63E48" w:rsidP="006E267F" w:rsidRDefault="00D63E48" w14:paraId="7527BA49" w14:textId="1162DD15">
            <w:pPr>
              <w:jc w:val="center"/>
              <w:rPr>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rsidRPr="002818AA" w:rsidR="00D63E48" w:rsidP="006E267F" w:rsidRDefault="00D63E48" w14:paraId="102276A9" w14:textId="77777777">
            <w:pPr>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2818AA" w:rsidR="00D63E48" w:rsidP="006E267F" w:rsidRDefault="00D63E48" w14:paraId="152EF9DA" w14:textId="77777777">
            <w:pPr>
              <w:jc w:val="center"/>
              <w:rPr>
                <w:sz w:val="20"/>
                <w:szCs w:val="20"/>
              </w:rPr>
            </w:pP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rsidRPr="002818AA" w:rsidR="00D63E48" w:rsidP="006E267F" w:rsidRDefault="00D63E48" w14:paraId="4633EC79" w14:textId="77777777">
            <w:pPr>
              <w:spacing w:before="120"/>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5103B459" w14:textId="77777777">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2818AA" w:rsidR="00D63E48" w:rsidP="006E267F" w:rsidRDefault="00D63E48" w14:paraId="162AA4BC" w14:textId="77777777">
            <w:pPr>
              <w:jc w:val="center"/>
              <w:rPr>
                <w:sz w:val="20"/>
                <w:szCs w:val="20"/>
              </w:rPr>
            </w:pPr>
            <w:r>
              <w:rPr>
                <w:iCs/>
                <w:sz w:val="20"/>
                <w:szCs w:val="20"/>
                <w:lang w:val="en-US"/>
              </w:rPr>
              <w:t>0</w:t>
            </w:r>
          </w:p>
        </w:tc>
      </w:tr>
      <w:tr w:rsidRPr="00825345" w:rsidR="00D63E48" w:rsidTr="00D63E48" w14:paraId="3A530516"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844C942" w14:textId="77777777">
            <w:pPr>
              <w:rPr>
                <w:sz w:val="22"/>
              </w:rPr>
            </w:pPr>
            <w:r w:rsidRPr="00342C9C">
              <w:rPr>
                <w:sz w:val="22"/>
              </w:rPr>
              <w:t>1.1. valsts pamatbudžets, tai skaitā ieņēmumi no maksas pakalpojumiem un citi pašu ieņēmumi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11E9BD6D"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B36B09" w14:paraId="4F14A6E9" w14:textId="50ABD929">
            <w:pPr>
              <w:jc w:val="center"/>
              <w:rPr>
                <w:sz w:val="20"/>
                <w:szCs w:val="20"/>
              </w:rPr>
            </w:pPr>
            <w:r w:rsidRPr="00B36B09">
              <w:rPr>
                <w:rFonts w:eastAsia="Calibri"/>
                <w:color w:val="000000"/>
                <w:sz w:val="20"/>
                <w:szCs w:val="20"/>
                <w:lang w:eastAsia="en-US"/>
              </w:rPr>
              <w:t>289 450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665407D7" w14:textId="77777777">
            <w:pPr>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40BDC315" w14:textId="77777777">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2818AA" w:rsidR="00D63E48" w:rsidP="006E267F" w:rsidRDefault="00D63E48" w14:paraId="4AF1DFC2" w14:textId="77777777">
            <w:pPr>
              <w:spacing w:before="960"/>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3C21FB3B" w14:textId="77777777">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EAFD388" w14:textId="77777777">
            <w:pPr>
              <w:jc w:val="center"/>
              <w:rPr>
                <w:sz w:val="20"/>
                <w:szCs w:val="20"/>
              </w:rPr>
            </w:pPr>
            <w:r>
              <w:rPr>
                <w:iCs/>
                <w:sz w:val="20"/>
                <w:szCs w:val="20"/>
                <w:lang w:val="en-US"/>
              </w:rPr>
              <w:t>0</w:t>
            </w:r>
          </w:p>
        </w:tc>
      </w:tr>
      <w:tr w:rsidRPr="00825345" w:rsidR="00D63E48" w:rsidTr="00D63E48" w14:paraId="76DE0A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1DF7006D" w14:textId="77777777">
            <w:pPr>
              <w:rPr>
                <w:sz w:val="22"/>
              </w:rPr>
            </w:pPr>
            <w:r w:rsidRPr="00342C9C">
              <w:rPr>
                <w:sz w:val="22"/>
              </w:rPr>
              <w:t>1.2.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27D80A80"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26178D1E" w14:textId="77777777">
            <w:pPr>
              <w:jc w:val="center"/>
              <w:rPr>
                <w:sz w:val="20"/>
                <w:szCs w:val="20"/>
              </w:rPr>
            </w:pPr>
            <w:r w:rsidRPr="002818AA">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08D8FB6" w14:textId="77777777">
            <w:pPr>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01CF34D4" w14:textId="35D55C8D">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052A584D"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48A26B1" w14:textId="6A73D04D">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02FB1EED" w14:textId="35B29AC9">
            <w:pPr>
              <w:jc w:val="center"/>
              <w:rPr>
                <w:sz w:val="20"/>
                <w:szCs w:val="20"/>
              </w:rPr>
            </w:pPr>
            <w:r w:rsidRPr="002818AA">
              <w:rPr>
                <w:iCs/>
                <w:sz w:val="20"/>
                <w:szCs w:val="20"/>
                <w:lang w:val="en-US"/>
              </w:rPr>
              <w:t> </w:t>
            </w:r>
            <w:r>
              <w:rPr>
                <w:iCs/>
                <w:sz w:val="20"/>
                <w:szCs w:val="20"/>
                <w:lang w:val="en-US"/>
              </w:rPr>
              <w:t>0</w:t>
            </w:r>
          </w:p>
        </w:tc>
      </w:tr>
      <w:tr w:rsidRPr="00825345" w:rsidR="00D63E48" w:rsidTr="00D63E48" w14:paraId="5AA103D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F588226" w14:textId="77777777">
            <w:pPr>
              <w:rPr>
                <w:sz w:val="22"/>
              </w:rPr>
            </w:pPr>
            <w:r w:rsidRPr="00342C9C">
              <w:rPr>
                <w:sz w:val="22"/>
              </w:rPr>
              <w:t>1.3.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185CE7C"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54F4D5A" w14:textId="77777777">
            <w:pPr>
              <w:jc w:val="center"/>
              <w:rPr>
                <w:sz w:val="20"/>
                <w:szCs w:val="20"/>
              </w:rPr>
            </w:pPr>
            <w:r w:rsidRPr="002818AA">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0E575B87" w14:textId="77777777">
            <w:pPr>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85EF7C0" w14:textId="15E0D9DA">
            <w:pPr>
              <w:jc w:val="center"/>
              <w:rPr>
                <w:sz w:val="20"/>
                <w:szCs w:val="20"/>
              </w:rPr>
            </w:pPr>
            <w:r>
              <w:rPr>
                <w:iCs/>
                <w:sz w:val="20"/>
                <w:szCs w:val="20"/>
                <w:lang w:val="en-US"/>
              </w:rPr>
              <w:t>0</w:t>
            </w:r>
            <w:r w:rsidRPr="002818AA">
              <w:rPr>
                <w:iCs/>
                <w:sz w:val="20"/>
                <w:szCs w:val="20"/>
                <w:lang w:val="en-US"/>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E5352F1"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5DA1F1B8" w14:textId="095A9477">
            <w:pPr>
              <w:jc w:val="center"/>
              <w:rPr>
                <w:sz w:val="20"/>
                <w:szCs w:val="20"/>
              </w:rPr>
            </w:pPr>
            <w:r w:rsidRPr="002818AA">
              <w:rPr>
                <w:iCs/>
                <w:sz w:val="20"/>
                <w:szCs w:val="20"/>
                <w:lang w:val="en-US"/>
              </w:rPr>
              <w:t> </w:t>
            </w: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28C2F796" w14:textId="3BF4E492">
            <w:pPr>
              <w:jc w:val="center"/>
              <w:rPr>
                <w:sz w:val="20"/>
                <w:szCs w:val="20"/>
              </w:rPr>
            </w:pPr>
            <w:r w:rsidRPr="002818AA">
              <w:rPr>
                <w:iCs/>
                <w:sz w:val="20"/>
                <w:szCs w:val="20"/>
                <w:lang w:val="en-US"/>
              </w:rPr>
              <w:t> </w:t>
            </w:r>
            <w:r>
              <w:rPr>
                <w:iCs/>
                <w:sz w:val="20"/>
                <w:szCs w:val="20"/>
                <w:lang w:val="en-US"/>
              </w:rPr>
              <w:t>0</w:t>
            </w:r>
          </w:p>
        </w:tc>
      </w:tr>
      <w:tr w:rsidRPr="00825345" w:rsidR="00D63E48" w:rsidTr="00D63E48" w14:paraId="755810D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E1E3556" w14:textId="77777777">
            <w:pPr>
              <w:rPr>
                <w:sz w:val="22"/>
              </w:rPr>
            </w:pPr>
            <w:r w:rsidRPr="00342C9C">
              <w:rPr>
                <w:sz w:val="22"/>
              </w:rPr>
              <w:t>2. Budžeta izdevumi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17F10E58"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B36B09" w14:paraId="15C0013D" w14:textId="621BEB7D">
            <w:pPr>
              <w:jc w:val="center"/>
              <w:rPr>
                <w:sz w:val="20"/>
                <w:szCs w:val="20"/>
              </w:rPr>
            </w:pPr>
            <w:r>
              <w:rPr>
                <w:iCs/>
                <w:sz w:val="20"/>
                <w:szCs w:val="20"/>
                <w:lang w:val="en-US"/>
              </w:rPr>
              <w:t>420 662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01FC4EA4" w14:textId="77777777">
            <w:pPr>
              <w:spacing w:before="120"/>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47619603" w14:textId="77777777">
            <w:pPr>
              <w:spacing w:before="120"/>
              <w:jc w:val="center"/>
              <w:rPr>
                <w:sz w:val="20"/>
                <w:szCs w:val="20"/>
              </w:rPr>
            </w:pP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05C4BFEC" w14:textId="77777777">
            <w:pPr>
              <w:spacing w:before="120"/>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68036825" w14:textId="77777777">
            <w:pPr>
              <w:jc w:val="center"/>
              <w:rPr>
                <w:sz w:val="20"/>
                <w:szCs w:val="20"/>
              </w:rPr>
            </w:pP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65BF421C" w14:textId="77777777">
            <w:pPr>
              <w:jc w:val="center"/>
              <w:rPr>
                <w:sz w:val="20"/>
                <w:szCs w:val="20"/>
              </w:rPr>
            </w:pPr>
            <w:r>
              <w:rPr>
                <w:iCs/>
                <w:sz w:val="20"/>
                <w:szCs w:val="20"/>
                <w:lang w:val="en-US"/>
              </w:rPr>
              <w:t>0</w:t>
            </w:r>
          </w:p>
        </w:tc>
      </w:tr>
      <w:tr w:rsidRPr="00825345" w:rsidR="00D63E48" w:rsidTr="00D63E48" w14:paraId="5BD9884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E8C4002" w14:textId="77777777">
            <w:pPr>
              <w:rPr>
                <w:sz w:val="22"/>
              </w:rPr>
            </w:pPr>
            <w:r w:rsidRPr="00342C9C">
              <w:rPr>
                <w:sz w:val="22"/>
              </w:rPr>
              <w:t>2.1.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75807673" w14:textId="77777777">
            <w:pPr>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B36B09" w14:paraId="5C4CFEEE" w14:textId="23DAD617">
            <w:pPr>
              <w:jc w:val="center"/>
              <w:rPr>
                <w:sz w:val="20"/>
                <w:szCs w:val="20"/>
              </w:rPr>
            </w:pPr>
            <w:r>
              <w:rPr>
                <w:iCs/>
                <w:sz w:val="20"/>
                <w:szCs w:val="20"/>
                <w:lang w:val="en-US"/>
              </w:rPr>
              <w:t>420 662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10DCD2B2" w14:textId="77777777">
            <w:pPr>
              <w:spacing w:before="120"/>
              <w:jc w:val="center"/>
              <w:rPr>
                <w:sz w:val="20"/>
                <w:szCs w:val="20"/>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028BAF2A" w14:textId="77777777">
            <w:pPr>
              <w:spacing w:before="120"/>
              <w:jc w:val="center"/>
              <w:rPr>
                <w:sz w:val="20"/>
                <w:szCs w:val="20"/>
              </w:rPr>
            </w:pP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2818AA" w:rsidR="00D63E48" w:rsidP="006E267F" w:rsidRDefault="00D63E48" w14:paraId="43CB9016" w14:textId="77777777">
            <w:pPr>
              <w:spacing w:before="120"/>
              <w:jc w:val="center"/>
              <w:rPr>
                <w:sz w:val="20"/>
                <w:szCs w:val="20"/>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3636DD0" w14:textId="77777777">
            <w:pPr>
              <w:jc w:val="center"/>
              <w:rPr>
                <w:sz w:val="20"/>
                <w:szCs w:val="20"/>
              </w:rPr>
            </w:pPr>
            <w:r>
              <w:rPr>
                <w:iCs/>
                <w:sz w:val="20"/>
                <w:szCs w:val="20"/>
                <w:lang w:val="en-US"/>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4878C2E4" w14:textId="77777777">
            <w:pPr>
              <w:jc w:val="center"/>
              <w:rPr>
                <w:sz w:val="20"/>
                <w:szCs w:val="20"/>
              </w:rPr>
            </w:pPr>
            <w:r>
              <w:rPr>
                <w:iCs/>
                <w:sz w:val="20"/>
                <w:szCs w:val="20"/>
                <w:lang w:val="en-US"/>
              </w:rPr>
              <w:t>0</w:t>
            </w:r>
          </w:p>
        </w:tc>
      </w:tr>
      <w:tr w:rsidRPr="00825345" w:rsidR="00D63E48" w:rsidTr="00D63E48" w14:paraId="0FEB194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34D273D" w14:textId="77777777">
            <w:pPr>
              <w:rPr>
                <w:sz w:val="22"/>
              </w:rPr>
            </w:pPr>
            <w:r w:rsidRPr="00342C9C">
              <w:rPr>
                <w:sz w:val="22"/>
              </w:rPr>
              <w:t>2.2.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01E73225" w14:textId="77777777">
            <w:pPr>
              <w:jc w:val="center"/>
              <w:rPr>
                <w:sz w:val="22"/>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1D7B66E6" w14:textId="77777777">
            <w:pPr>
              <w:jc w:val="center"/>
              <w:rPr>
                <w:sz w:val="22"/>
              </w:rPr>
            </w:pPr>
            <w:r w:rsidRPr="002818AA">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2227348A" w14:textId="77777777">
            <w:pPr>
              <w:jc w:val="center"/>
              <w:rPr>
                <w:sz w:val="22"/>
              </w:rPr>
            </w:pPr>
            <w:r w:rsidRPr="002818AA">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55175857" w14:textId="77777777">
            <w:pPr>
              <w:jc w:val="center"/>
              <w:rPr>
                <w:sz w:val="22"/>
              </w:rPr>
            </w:pPr>
            <w:r w:rsidRPr="002818AA">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BA4E302" w14:textId="77777777">
            <w:pPr>
              <w:jc w:val="center"/>
              <w:rPr>
                <w:sz w:val="22"/>
              </w:rPr>
            </w:pPr>
            <w:r w:rsidRPr="002818AA">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7FA5C905" w14:textId="77777777">
            <w:pPr>
              <w:jc w:val="center"/>
              <w:rPr>
                <w:sz w:val="22"/>
              </w:rPr>
            </w:pPr>
            <w:r w:rsidRPr="002818AA">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818AA" w:rsidR="00D63E48" w:rsidP="006E267F" w:rsidRDefault="00D63E48" w14:paraId="161DCA6B" w14:textId="77777777">
            <w:pPr>
              <w:jc w:val="center"/>
              <w:rPr>
                <w:sz w:val="22"/>
              </w:rPr>
            </w:pPr>
            <w:r w:rsidRPr="002818AA">
              <w:rPr>
                <w:sz w:val="20"/>
                <w:szCs w:val="20"/>
              </w:rPr>
              <w:t>0</w:t>
            </w:r>
          </w:p>
        </w:tc>
      </w:tr>
      <w:tr w:rsidRPr="00825345" w:rsidR="00D63E48" w:rsidTr="00D63E48" w14:paraId="20ECA8D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93496CC" w14:textId="77777777">
            <w:pPr>
              <w:rPr>
                <w:sz w:val="22"/>
              </w:rPr>
            </w:pPr>
            <w:r w:rsidRPr="00342C9C">
              <w:rPr>
                <w:sz w:val="22"/>
              </w:rPr>
              <w:t>2.3.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0189F531"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24900D8D" w14:textId="77777777">
            <w:pPr>
              <w:jc w:val="center"/>
              <w:rPr>
                <w:sz w:val="22"/>
              </w:rPr>
            </w:pPr>
            <w:r>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564AF44"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2A4AF43"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2E4808C"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53244137"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30E6CA53" w14:textId="77777777">
            <w:pPr>
              <w:jc w:val="center"/>
              <w:rPr>
                <w:sz w:val="22"/>
              </w:rPr>
            </w:pPr>
            <w:r>
              <w:rPr>
                <w:sz w:val="20"/>
                <w:szCs w:val="20"/>
              </w:rPr>
              <w:t>0</w:t>
            </w:r>
          </w:p>
        </w:tc>
      </w:tr>
      <w:tr w:rsidRPr="00BD0191" w:rsidR="00D63E48" w:rsidTr="00D63E48" w14:paraId="520FD308"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2164661" w14:textId="77777777">
            <w:pPr>
              <w:rPr>
                <w:sz w:val="22"/>
              </w:rPr>
            </w:pPr>
            <w:r w:rsidRPr="00342C9C">
              <w:rPr>
                <w:sz w:val="22"/>
              </w:rPr>
              <w:t>3. Finansiālā ietekme</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B96BDE6"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63E48" w:rsidP="006E267F" w:rsidRDefault="00FF3E44" w14:paraId="00FFDF0D" w14:textId="1D53F4C4">
            <w:pPr>
              <w:jc w:val="center"/>
              <w:rPr>
                <w:sz w:val="22"/>
              </w:rPr>
            </w:pPr>
            <w:r>
              <w:rPr>
                <w:sz w:val="20"/>
                <w:szCs w:val="20"/>
              </w:rPr>
              <w:t>- 131 21</w:t>
            </w:r>
            <w:r w:rsidR="007E3B54">
              <w:rPr>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31C9590"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06D29" w:rsidR="00D63E48" w:rsidP="006E267F" w:rsidRDefault="00D63E48" w14:paraId="2AA2BD16" w14:textId="77777777">
            <w:pPr>
              <w:jc w:val="center"/>
              <w:rPr>
                <w:sz w:val="22"/>
              </w:rPr>
            </w:pPr>
            <w:r w:rsidRPr="00A06D29">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03CB91A"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495F88D"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386D3ED2" w14:textId="77777777">
            <w:pPr>
              <w:jc w:val="center"/>
              <w:rPr>
                <w:sz w:val="22"/>
              </w:rPr>
            </w:pPr>
            <w:r>
              <w:rPr>
                <w:sz w:val="20"/>
                <w:szCs w:val="20"/>
              </w:rPr>
              <w:t>0</w:t>
            </w:r>
          </w:p>
        </w:tc>
      </w:tr>
      <w:tr w:rsidRPr="00825345" w:rsidR="00D63E48" w:rsidTr="00D63E48" w14:paraId="5CF7247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41FC474" w14:textId="77777777">
            <w:pPr>
              <w:rPr>
                <w:sz w:val="22"/>
              </w:rPr>
            </w:pPr>
            <w:r w:rsidRPr="00342C9C">
              <w:rPr>
                <w:sz w:val="22"/>
              </w:rPr>
              <w:t>3.1.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1C07B39"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42C9C" w:rsidR="00D63E48" w:rsidP="006E267F" w:rsidRDefault="00FF3E44" w14:paraId="2043EE75" w14:textId="38E1D6D3">
            <w:pPr>
              <w:jc w:val="center"/>
              <w:rPr>
                <w:sz w:val="22"/>
              </w:rPr>
            </w:pPr>
            <w:r>
              <w:rPr>
                <w:sz w:val="20"/>
                <w:szCs w:val="20"/>
              </w:rPr>
              <w:t>- 131 21</w:t>
            </w:r>
            <w:r w:rsidR="007E3B54">
              <w:rPr>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691FD38C"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050381EC"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29BE8F6"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62452857"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2297EEE" w14:textId="77777777">
            <w:pPr>
              <w:jc w:val="center"/>
              <w:rPr>
                <w:sz w:val="22"/>
              </w:rPr>
            </w:pPr>
            <w:r>
              <w:rPr>
                <w:sz w:val="20"/>
                <w:szCs w:val="20"/>
              </w:rPr>
              <w:t>0</w:t>
            </w:r>
          </w:p>
        </w:tc>
      </w:tr>
      <w:tr w:rsidRPr="00825345" w:rsidR="00D63E48" w:rsidTr="00D63E48" w14:paraId="3A73F83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103E9EF5" w14:textId="77777777">
            <w:pPr>
              <w:rPr>
                <w:sz w:val="22"/>
              </w:rPr>
            </w:pPr>
            <w:r w:rsidRPr="00342C9C">
              <w:rPr>
                <w:sz w:val="22"/>
              </w:rPr>
              <w:t>3.2.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D64D98C"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30FAA0B5" w14:textId="77777777">
            <w:pPr>
              <w:jc w:val="center"/>
              <w:rPr>
                <w:sz w:val="22"/>
              </w:rPr>
            </w:pPr>
            <w:r>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9F41939"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4784E8A"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5669CBC3"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33BAEA8E"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24C526F3" w14:textId="77777777">
            <w:pPr>
              <w:jc w:val="center"/>
              <w:rPr>
                <w:sz w:val="22"/>
              </w:rPr>
            </w:pPr>
            <w:r>
              <w:rPr>
                <w:sz w:val="20"/>
                <w:szCs w:val="20"/>
              </w:rPr>
              <w:t>0</w:t>
            </w:r>
          </w:p>
        </w:tc>
      </w:tr>
      <w:tr w:rsidRPr="00825345" w:rsidR="00D63E48" w:rsidTr="00D63E48" w14:paraId="491126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0E054752" w14:textId="77777777">
            <w:pPr>
              <w:rPr>
                <w:sz w:val="22"/>
              </w:rPr>
            </w:pPr>
            <w:r w:rsidRPr="00342C9C">
              <w:rPr>
                <w:sz w:val="22"/>
              </w:rPr>
              <w:t>3.3.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B8DCE41"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0A2EA008" w14:textId="77777777">
            <w:pPr>
              <w:jc w:val="center"/>
              <w:rPr>
                <w:sz w:val="22"/>
              </w:rPr>
            </w:pPr>
            <w:r>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39BE15AB"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4C5214E4"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03F84B85"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6775D4E0"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2E7491FB" w14:textId="77777777">
            <w:pPr>
              <w:jc w:val="center"/>
              <w:rPr>
                <w:sz w:val="22"/>
              </w:rPr>
            </w:pPr>
            <w:r>
              <w:rPr>
                <w:sz w:val="20"/>
                <w:szCs w:val="20"/>
              </w:rPr>
              <w:t>0</w:t>
            </w:r>
          </w:p>
        </w:tc>
      </w:tr>
      <w:tr w:rsidRPr="00825345" w:rsidR="00D63E48" w:rsidTr="00D63E48" w14:paraId="20D05F3D"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2046754" w14:textId="77777777">
            <w:pPr>
              <w:rPr>
                <w:sz w:val="22"/>
              </w:rPr>
            </w:pPr>
            <w:r w:rsidRPr="00342C9C">
              <w:rPr>
                <w:sz w:val="22"/>
              </w:rPr>
              <w:t>4. Finanšu līdzekļi papildu izdevumu finansēšanai (kompensējošu izdevumu samazinājumu norāda ar "+" zīmi)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6DFCBDC1"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140896D1" w14:textId="77777777">
            <w:pPr>
              <w:jc w:val="center"/>
              <w:rPr>
                <w:sz w:val="22"/>
              </w:rPr>
            </w:pPr>
            <w:r>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288E9396" w14:textId="77777777">
            <w:pPr>
              <w:jc w:val="center"/>
              <w:rPr>
                <w:sz w:val="22"/>
              </w:rPr>
            </w:pPr>
            <w:r>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00C0BC29"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CFF1C20" w14:textId="77777777">
            <w:pPr>
              <w:jc w:val="center"/>
              <w:rPr>
                <w:sz w:val="22"/>
              </w:rPr>
            </w:pPr>
            <w:r>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61E6F069" w14:textId="77777777">
            <w:pPr>
              <w:jc w:val="center"/>
              <w:rPr>
                <w:sz w:val="22"/>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42C9C" w:rsidR="00D63E48" w:rsidP="006E267F" w:rsidRDefault="00D63E48" w14:paraId="73A1CA07" w14:textId="77777777">
            <w:pPr>
              <w:jc w:val="center"/>
              <w:rPr>
                <w:sz w:val="22"/>
              </w:rPr>
            </w:pPr>
            <w:r>
              <w:rPr>
                <w:sz w:val="20"/>
                <w:szCs w:val="20"/>
              </w:rPr>
              <w:t>0</w:t>
            </w:r>
          </w:p>
        </w:tc>
      </w:tr>
      <w:tr w:rsidRPr="00825345" w:rsidR="00D63E48" w:rsidTr="00D63E48" w14:paraId="2CFA1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4E261D3" w14:textId="77777777">
            <w:pPr>
              <w:rPr>
                <w:sz w:val="22"/>
              </w:rPr>
            </w:pPr>
            <w:r w:rsidRPr="00342C9C">
              <w:rPr>
                <w:sz w:val="22"/>
              </w:rPr>
              <w:t>5. Precizēta finansiālā ietekme</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BCFE479" w14:textId="77777777">
            <w:pPr>
              <w:jc w:val="center"/>
              <w:rPr>
                <w:sz w:val="22"/>
              </w:rPr>
            </w:pPr>
            <w:r w:rsidRPr="00342C9C">
              <w:rPr>
                <w:sz w:val="22"/>
              </w:rPr>
              <w:t>0</w:t>
            </w:r>
          </w:p>
          <w:p w:rsidRPr="00342C9C" w:rsidR="00D63E48" w:rsidP="006E267F" w:rsidRDefault="00D63E48" w14:paraId="617CC382" w14:textId="77777777">
            <w:pPr>
              <w:jc w:val="center"/>
              <w:rPr>
                <w:sz w:val="22"/>
              </w:rPr>
            </w:pPr>
          </w:p>
          <w:p w:rsidRPr="00342C9C" w:rsidR="00D63E48" w:rsidP="006E267F" w:rsidRDefault="00D63E48" w14:paraId="0A652BFF" w14:textId="77777777">
            <w:pPr>
              <w:jc w:val="center"/>
              <w:rPr>
                <w:sz w:val="22"/>
              </w:rPr>
            </w:pPr>
          </w:p>
          <w:p w:rsidRPr="00342C9C" w:rsidR="00D63E48" w:rsidP="006E267F" w:rsidRDefault="00D63E48" w14:paraId="665579FA"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8354954" w14:textId="77777777">
            <w:pPr>
              <w:jc w:val="center"/>
              <w:rPr>
                <w:sz w:val="22"/>
              </w:rPr>
            </w:pPr>
            <w:r w:rsidRPr="00342C9C">
              <w:rPr>
                <w:sz w:val="22"/>
              </w:rPr>
              <w:t>0</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F4B0FBB" w14:textId="77777777">
            <w:pPr>
              <w:jc w:val="center"/>
              <w:rPr>
                <w:sz w:val="22"/>
              </w:rPr>
            </w:pPr>
            <w:r w:rsidRPr="00342C9C">
              <w:rPr>
                <w:sz w:val="22"/>
              </w:rPr>
              <w:t>0</w:t>
            </w:r>
          </w:p>
          <w:p w:rsidRPr="00342C9C" w:rsidR="00D63E48" w:rsidP="006E267F" w:rsidRDefault="00D63E48" w14:paraId="6DA74848" w14:textId="77777777">
            <w:pPr>
              <w:jc w:val="center"/>
              <w:rPr>
                <w:sz w:val="22"/>
              </w:rPr>
            </w:pPr>
          </w:p>
          <w:p w:rsidRPr="00342C9C" w:rsidR="00D63E48" w:rsidP="006E267F" w:rsidRDefault="00D63E48" w14:paraId="458CD9B5"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788CFCB" w14:textId="77777777">
            <w:pPr>
              <w:jc w:val="center"/>
              <w:rPr>
                <w:sz w:val="22"/>
              </w:rPr>
            </w:pPr>
            <w:r w:rsidRPr="00342C9C">
              <w:rPr>
                <w:sz w:val="22"/>
              </w:rPr>
              <w:t>0</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6986CD2" w14:textId="77777777">
            <w:pPr>
              <w:jc w:val="center"/>
              <w:rPr>
                <w:sz w:val="22"/>
              </w:rPr>
            </w:pPr>
            <w:r w:rsidRPr="00342C9C">
              <w:rPr>
                <w:sz w:val="22"/>
              </w:rPr>
              <w:t>0</w:t>
            </w:r>
          </w:p>
          <w:p w:rsidRPr="00342C9C" w:rsidR="00D63E48" w:rsidP="006E267F" w:rsidRDefault="00D63E48" w14:paraId="00939879" w14:textId="77777777">
            <w:pPr>
              <w:jc w:val="center"/>
              <w:rPr>
                <w:sz w:val="22"/>
              </w:rPr>
            </w:pPr>
          </w:p>
          <w:p w:rsidRPr="00342C9C" w:rsidR="00D63E48" w:rsidP="006E267F" w:rsidRDefault="00D63E48" w14:paraId="394D07D0" w14:textId="77777777">
            <w:pPr>
              <w:jc w:val="center"/>
              <w:rPr>
                <w:sz w:val="22"/>
              </w:rPr>
            </w:pPr>
          </w:p>
          <w:p w:rsidRPr="00342C9C" w:rsidR="00D63E48" w:rsidP="006E267F" w:rsidRDefault="00D63E48" w14:paraId="5B3196B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186F11B1" w14:textId="77777777">
            <w:pPr>
              <w:jc w:val="center"/>
              <w:rPr>
                <w:sz w:val="22"/>
              </w:rPr>
            </w:pPr>
            <w:r w:rsidRPr="00342C9C">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80683C5" w14:textId="77777777">
            <w:pPr>
              <w:jc w:val="center"/>
              <w:rPr>
                <w:sz w:val="22"/>
              </w:rPr>
            </w:pPr>
            <w:r w:rsidRPr="00342C9C">
              <w:rPr>
                <w:sz w:val="22"/>
              </w:rPr>
              <w:t>0</w:t>
            </w:r>
          </w:p>
        </w:tc>
      </w:tr>
      <w:tr w:rsidRPr="00825345" w:rsidR="00D63E48" w:rsidTr="00D63E48" w14:paraId="4CF6CAC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12A73DE2" w14:textId="77777777">
            <w:pPr>
              <w:rPr>
                <w:sz w:val="22"/>
              </w:rPr>
            </w:pPr>
            <w:r w:rsidRPr="00342C9C">
              <w:rPr>
                <w:sz w:val="22"/>
              </w:rPr>
              <w:t>5.1. valsts pamatbudžets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4FDD3D4"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08B445DC" w14:textId="77777777">
            <w:pPr>
              <w:jc w:val="center"/>
              <w:rPr>
                <w:sz w:val="22"/>
              </w:rPr>
            </w:pPr>
            <w:r w:rsidRPr="00342C9C">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06E8B43C"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85714D3" w14:textId="77777777">
            <w:pPr>
              <w:jc w:val="center"/>
              <w:rPr>
                <w:sz w:val="22"/>
              </w:rPr>
            </w:pPr>
            <w:r w:rsidRPr="00342C9C">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FC6B0E1"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47C737D" w14:textId="77777777">
            <w:pPr>
              <w:jc w:val="center"/>
              <w:rPr>
                <w:sz w:val="22"/>
              </w:rPr>
            </w:pPr>
            <w:r w:rsidRPr="00342C9C">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56774C0" w14:textId="77777777">
            <w:pPr>
              <w:jc w:val="center"/>
              <w:rPr>
                <w:sz w:val="22"/>
              </w:rPr>
            </w:pPr>
            <w:r w:rsidRPr="00342C9C">
              <w:rPr>
                <w:sz w:val="22"/>
              </w:rPr>
              <w:t>0</w:t>
            </w:r>
          </w:p>
        </w:tc>
      </w:tr>
      <w:tr w:rsidRPr="00825345" w:rsidR="00D63E48" w:rsidTr="00D63E48" w14:paraId="70E72B1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2CE3D1D" w14:textId="77777777">
            <w:pPr>
              <w:rPr>
                <w:sz w:val="22"/>
              </w:rPr>
            </w:pPr>
            <w:r w:rsidRPr="00342C9C">
              <w:rPr>
                <w:sz w:val="22"/>
              </w:rPr>
              <w:t>5.2. speciālais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D0B4EF0"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5E01904" w14:textId="77777777">
            <w:pPr>
              <w:jc w:val="center"/>
              <w:rPr>
                <w:sz w:val="22"/>
              </w:rPr>
            </w:pPr>
            <w:r w:rsidRPr="00342C9C">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12C8167"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36D02D1" w14:textId="77777777">
            <w:pPr>
              <w:jc w:val="center"/>
              <w:rPr>
                <w:sz w:val="22"/>
              </w:rPr>
            </w:pPr>
            <w:r w:rsidRPr="00342C9C">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4811E0D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0EAAA68" w14:textId="77777777">
            <w:pPr>
              <w:jc w:val="center"/>
              <w:rPr>
                <w:sz w:val="22"/>
              </w:rPr>
            </w:pPr>
            <w:r w:rsidRPr="00342C9C">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5985AFA" w14:textId="77777777">
            <w:pPr>
              <w:jc w:val="center"/>
              <w:rPr>
                <w:sz w:val="22"/>
              </w:rPr>
            </w:pPr>
            <w:r w:rsidRPr="00342C9C">
              <w:rPr>
                <w:sz w:val="22"/>
              </w:rPr>
              <w:t>0</w:t>
            </w:r>
          </w:p>
        </w:tc>
      </w:tr>
      <w:tr w:rsidRPr="00825345" w:rsidR="00D63E48" w:rsidTr="00D63E48" w14:paraId="6E53499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F6E194E" w14:textId="77777777">
            <w:pPr>
              <w:rPr>
                <w:sz w:val="22"/>
              </w:rPr>
            </w:pPr>
            <w:r w:rsidRPr="00342C9C">
              <w:rPr>
                <w:sz w:val="22"/>
              </w:rPr>
              <w:t>5.3. pašvaldību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DCDA577"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0551C83C" w14:textId="77777777">
            <w:pPr>
              <w:jc w:val="center"/>
              <w:rPr>
                <w:sz w:val="22"/>
              </w:rPr>
            </w:pPr>
            <w:r w:rsidRPr="00342C9C">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2D7B5EF8"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70F71A45" w14:textId="77777777">
            <w:pPr>
              <w:jc w:val="center"/>
              <w:rPr>
                <w:sz w:val="22"/>
              </w:rPr>
            </w:pPr>
            <w:r w:rsidRPr="00342C9C">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52B7C286"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6EAE7973" w14:textId="77777777">
            <w:pPr>
              <w:jc w:val="center"/>
              <w:rPr>
                <w:sz w:val="22"/>
              </w:rPr>
            </w:pPr>
            <w:r w:rsidRPr="00342C9C">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342C9C" w:rsidR="00D63E48" w:rsidP="006E267F" w:rsidRDefault="00D63E48" w14:paraId="36762AC3" w14:textId="77777777">
            <w:pPr>
              <w:jc w:val="center"/>
              <w:rPr>
                <w:sz w:val="22"/>
              </w:rPr>
            </w:pPr>
            <w:r w:rsidRPr="00342C9C">
              <w:rPr>
                <w:sz w:val="22"/>
              </w:rPr>
              <w:t>0</w:t>
            </w:r>
          </w:p>
        </w:tc>
      </w:tr>
      <w:tr w:rsidRPr="00825345" w:rsidR="00D63E48" w:rsidTr="00D63E48" w14:paraId="234734BC"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63E48" w:rsidP="006E267F" w:rsidRDefault="00D63E48" w14:paraId="0C3AFC07" w14:textId="77777777">
            <w:r w:rsidRPr="00821079">
              <w:lastRenderedPageBreak/>
              <w:t>6. Detalizēts ieņēmumu un izdevumu aprēķins (ja nepieciešams, detalizētu ieņēmumu un izdevumu aprēķinu var pievienot anotācijas pielikumā)</w:t>
            </w:r>
          </w:p>
        </w:tc>
        <w:tc>
          <w:tcPr>
            <w:tcW w:w="729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AC2AB3" w:rsidP="00214104" w:rsidRDefault="00AC2AB3" w14:paraId="391C3458" w14:textId="77777777">
            <w:pPr>
              <w:ind w:firstLine="664"/>
              <w:jc w:val="both"/>
              <w:rPr>
                <w:rFonts w:eastAsia="Calibri"/>
                <w:sz w:val="22"/>
                <w:szCs w:val="22"/>
                <w:lang w:eastAsia="en-US"/>
              </w:rPr>
            </w:pPr>
          </w:p>
          <w:p w:rsidR="00AC2AB3" w:rsidP="00214104" w:rsidRDefault="00AC2AB3" w14:paraId="46C39AC9" w14:textId="2E68E20C">
            <w:pPr>
              <w:ind w:firstLine="664"/>
              <w:jc w:val="both"/>
              <w:rPr>
                <w:rFonts w:eastAsia="Calibri"/>
                <w:sz w:val="22"/>
                <w:szCs w:val="22"/>
                <w:lang w:eastAsia="en-US"/>
              </w:rPr>
            </w:pPr>
            <w:r w:rsidRPr="00AC2AB3">
              <w:rPr>
                <w:rFonts w:eastAsia="Calibri"/>
                <w:sz w:val="22"/>
                <w:szCs w:val="22"/>
                <w:lang w:eastAsia="en-US"/>
              </w:rPr>
              <w:t>RBR iesniegtie ar PVN apliekamie darījumi 2019.gada novembrī-decembrī un 2020.gada 1.</w:t>
            </w:r>
            <w:r w:rsidR="00B36B09">
              <w:rPr>
                <w:rFonts w:eastAsia="Calibri"/>
                <w:sz w:val="22"/>
                <w:szCs w:val="22"/>
                <w:lang w:eastAsia="en-US"/>
              </w:rPr>
              <w:t xml:space="preserve"> un 2. </w:t>
            </w:r>
            <w:r w:rsidRPr="00AC2AB3">
              <w:rPr>
                <w:rFonts w:eastAsia="Calibri"/>
                <w:sz w:val="22"/>
                <w:szCs w:val="22"/>
                <w:lang w:eastAsia="en-US"/>
              </w:rPr>
              <w:t xml:space="preserve">ceturksnī  </w:t>
            </w:r>
          </w:p>
          <w:p w:rsidRPr="00B7191F" w:rsidR="00214104" w:rsidP="00B7191F" w:rsidRDefault="00B7191F" w14:paraId="48F9D14C" w14:textId="415BF39F">
            <w:pPr>
              <w:ind w:firstLine="664"/>
              <w:jc w:val="center"/>
              <w:rPr>
                <w:rFonts w:eastAsia="Calibri"/>
                <w:i/>
                <w:iCs/>
                <w:sz w:val="22"/>
                <w:szCs w:val="22"/>
                <w:lang w:eastAsia="en-US"/>
              </w:rPr>
            </w:pPr>
            <w:r>
              <w:rPr>
                <w:rFonts w:eastAsia="Calibri"/>
                <w:sz w:val="22"/>
                <w:szCs w:val="22"/>
                <w:lang w:eastAsia="en-US"/>
              </w:rPr>
              <w:t xml:space="preserve">                                                            </w:t>
            </w:r>
            <w:r w:rsidRPr="00B7191F">
              <w:rPr>
                <w:rFonts w:eastAsia="Calibri"/>
                <w:i/>
                <w:iCs/>
                <w:sz w:val="22"/>
                <w:szCs w:val="22"/>
                <w:lang w:eastAsia="en-US"/>
              </w:rPr>
              <w:t>euro</w:t>
            </w:r>
          </w:p>
          <w:tbl>
            <w:tblPr>
              <w:tblW w:w="5838" w:type="dxa"/>
              <w:tblLayout w:type="fixed"/>
              <w:tblLook w:val="04A0" w:firstRow="1" w:lastRow="0" w:firstColumn="1" w:lastColumn="0" w:noHBand="0" w:noVBand="1"/>
            </w:tblPr>
            <w:tblGrid>
              <w:gridCol w:w="1798"/>
              <w:gridCol w:w="1346"/>
              <w:gridCol w:w="1346"/>
              <w:gridCol w:w="1348"/>
            </w:tblGrid>
            <w:tr w:rsidR="00B36B09" w:rsidTr="00B36B09" w14:paraId="3B5E7F00" w14:textId="77777777">
              <w:trPr>
                <w:trHeight w:val="877"/>
              </w:trPr>
              <w:tc>
                <w:tcPr>
                  <w:tcW w:w="179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00B36B09" w:rsidP="00B36B09" w:rsidRDefault="00B36B09" w14:paraId="512E4211" w14:textId="77777777">
                  <w:pPr>
                    <w:jc w:val="both"/>
                    <w:rPr>
                      <w:color w:val="000000"/>
                      <w:sz w:val="20"/>
                      <w:szCs w:val="20"/>
                    </w:rPr>
                  </w:pPr>
                  <w:r>
                    <w:rPr>
                      <w:rFonts w:eastAsia="Calibri"/>
                      <w:color w:val="000000"/>
                      <w:sz w:val="20"/>
                      <w:szCs w:val="20"/>
                      <w:lang w:eastAsia="en-US"/>
                    </w:rPr>
                    <w:t>Maksājumi par ar PVN apliekamiem darījumiem, t.sk.</w:t>
                  </w:r>
                </w:p>
              </w:tc>
              <w:tc>
                <w:tcPr>
                  <w:tcW w:w="1346" w:type="dxa"/>
                  <w:tcBorders>
                    <w:top w:val="single" w:color="auto" w:sz="8" w:space="0"/>
                    <w:left w:val="nil"/>
                    <w:bottom w:val="nil"/>
                    <w:right w:val="single" w:color="auto" w:sz="8" w:space="0"/>
                  </w:tcBorders>
                  <w:shd w:val="clear" w:color="auto" w:fill="auto"/>
                  <w:vAlign w:val="center"/>
                  <w:hideMark/>
                </w:tcPr>
                <w:p w:rsidR="00B36B09" w:rsidP="00B36B09" w:rsidRDefault="00B36B09" w14:paraId="76A9773D" w14:textId="77777777">
                  <w:pPr>
                    <w:jc w:val="both"/>
                    <w:rPr>
                      <w:color w:val="000000"/>
                      <w:sz w:val="20"/>
                      <w:szCs w:val="20"/>
                    </w:rPr>
                  </w:pPr>
                  <w:r>
                    <w:rPr>
                      <w:rFonts w:eastAsia="Calibri"/>
                      <w:color w:val="000000"/>
                      <w:sz w:val="20"/>
                      <w:szCs w:val="20"/>
                      <w:lang w:eastAsia="en-US"/>
                    </w:rPr>
                    <w:t> </w:t>
                  </w:r>
                </w:p>
              </w:tc>
              <w:tc>
                <w:tcPr>
                  <w:tcW w:w="1346" w:type="dxa"/>
                  <w:tcBorders>
                    <w:top w:val="single" w:color="auto" w:sz="8" w:space="0"/>
                    <w:left w:val="nil"/>
                    <w:bottom w:val="nil"/>
                    <w:right w:val="single" w:color="auto" w:sz="8" w:space="0"/>
                  </w:tcBorders>
                  <w:shd w:val="clear" w:color="auto" w:fill="auto"/>
                  <w:vAlign w:val="center"/>
                  <w:hideMark/>
                </w:tcPr>
                <w:p w:rsidR="00B36B09" w:rsidP="00B36B09" w:rsidRDefault="00B36B09" w14:paraId="5E506308" w14:textId="77777777">
                  <w:pPr>
                    <w:jc w:val="both"/>
                    <w:rPr>
                      <w:color w:val="000000"/>
                      <w:sz w:val="20"/>
                      <w:szCs w:val="20"/>
                    </w:rPr>
                  </w:pPr>
                  <w:r>
                    <w:rPr>
                      <w:rFonts w:eastAsia="Calibri"/>
                      <w:color w:val="000000"/>
                      <w:sz w:val="20"/>
                      <w:szCs w:val="20"/>
                      <w:lang w:eastAsia="en-US"/>
                    </w:rPr>
                    <w:t> </w:t>
                  </w:r>
                </w:p>
              </w:tc>
              <w:tc>
                <w:tcPr>
                  <w:tcW w:w="1348" w:type="dxa"/>
                  <w:tcBorders>
                    <w:top w:val="single" w:color="auto" w:sz="8" w:space="0"/>
                    <w:left w:val="nil"/>
                    <w:bottom w:val="nil"/>
                    <w:right w:val="single" w:color="auto" w:sz="8" w:space="0"/>
                  </w:tcBorders>
                  <w:shd w:val="clear" w:color="auto" w:fill="auto"/>
                  <w:vAlign w:val="center"/>
                  <w:hideMark/>
                </w:tcPr>
                <w:p w:rsidR="00B36B09" w:rsidP="00B36B09" w:rsidRDefault="00B36B09" w14:paraId="4CF41E1F" w14:textId="77777777">
                  <w:pPr>
                    <w:jc w:val="both"/>
                    <w:rPr>
                      <w:color w:val="000000"/>
                      <w:sz w:val="20"/>
                      <w:szCs w:val="20"/>
                    </w:rPr>
                  </w:pPr>
                  <w:r>
                    <w:rPr>
                      <w:rFonts w:eastAsia="Calibri"/>
                      <w:color w:val="000000"/>
                      <w:sz w:val="20"/>
                      <w:szCs w:val="20"/>
                      <w:lang w:eastAsia="en-US"/>
                    </w:rPr>
                    <w:t> </w:t>
                  </w:r>
                </w:p>
              </w:tc>
            </w:tr>
            <w:tr w:rsidR="00B36B09" w:rsidTr="00B36B09" w14:paraId="2391C15D" w14:textId="77777777">
              <w:trPr>
                <w:trHeight w:val="373"/>
              </w:trPr>
              <w:tc>
                <w:tcPr>
                  <w:tcW w:w="1798" w:type="dxa"/>
                  <w:vMerge/>
                  <w:tcBorders>
                    <w:top w:val="single" w:color="auto" w:sz="8" w:space="0"/>
                    <w:left w:val="single" w:color="auto" w:sz="8" w:space="0"/>
                    <w:bottom w:val="single" w:color="000000" w:sz="8" w:space="0"/>
                    <w:right w:val="single" w:color="auto" w:sz="8" w:space="0"/>
                  </w:tcBorders>
                  <w:vAlign w:val="center"/>
                  <w:hideMark/>
                </w:tcPr>
                <w:p w:rsidR="00B36B09" w:rsidP="00B36B09" w:rsidRDefault="00B36B09" w14:paraId="0F821A5B" w14:textId="77777777">
                  <w:pPr>
                    <w:rPr>
                      <w:color w:val="000000"/>
                      <w:sz w:val="20"/>
                      <w:szCs w:val="20"/>
                    </w:rPr>
                  </w:pPr>
                </w:p>
              </w:tc>
              <w:tc>
                <w:tcPr>
                  <w:tcW w:w="1346" w:type="dxa"/>
                  <w:tcBorders>
                    <w:top w:val="nil"/>
                    <w:left w:val="nil"/>
                    <w:bottom w:val="nil"/>
                    <w:right w:val="single" w:color="auto" w:sz="8" w:space="0"/>
                  </w:tcBorders>
                  <w:shd w:val="clear" w:color="auto" w:fill="auto"/>
                  <w:vAlign w:val="center"/>
                  <w:hideMark/>
                </w:tcPr>
                <w:p w:rsidR="00B36B09" w:rsidP="00B36B09" w:rsidRDefault="00B36B09" w14:paraId="0D39CDB5" w14:textId="77777777">
                  <w:pPr>
                    <w:jc w:val="both"/>
                    <w:rPr>
                      <w:color w:val="000000"/>
                      <w:sz w:val="20"/>
                      <w:szCs w:val="20"/>
                    </w:rPr>
                  </w:pPr>
                  <w:r>
                    <w:rPr>
                      <w:rFonts w:eastAsia="Calibri"/>
                      <w:color w:val="000000"/>
                      <w:sz w:val="20"/>
                      <w:szCs w:val="20"/>
                      <w:lang w:eastAsia="en-US"/>
                    </w:rPr>
                    <w:t> </w:t>
                  </w:r>
                </w:p>
              </w:tc>
              <w:tc>
                <w:tcPr>
                  <w:tcW w:w="1346" w:type="dxa"/>
                  <w:tcBorders>
                    <w:top w:val="nil"/>
                    <w:left w:val="nil"/>
                    <w:bottom w:val="nil"/>
                    <w:right w:val="single" w:color="auto" w:sz="8" w:space="0"/>
                  </w:tcBorders>
                  <w:shd w:val="clear" w:color="auto" w:fill="auto"/>
                  <w:vAlign w:val="center"/>
                  <w:hideMark/>
                </w:tcPr>
                <w:p w:rsidR="00B36B09" w:rsidP="00B36B09" w:rsidRDefault="00B36B09" w14:paraId="7D955884" w14:textId="77777777">
                  <w:pPr>
                    <w:jc w:val="both"/>
                    <w:rPr>
                      <w:color w:val="000000"/>
                      <w:sz w:val="20"/>
                      <w:szCs w:val="20"/>
                    </w:rPr>
                  </w:pPr>
                  <w:r>
                    <w:rPr>
                      <w:rFonts w:eastAsia="Calibri"/>
                      <w:color w:val="000000"/>
                      <w:sz w:val="20"/>
                      <w:szCs w:val="20"/>
                      <w:lang w:eastAsia="en-US"/>
                    </w:rPr>
                    <w:t> </w:t>
                  </w:r>
                </w:p>
              </w:tc>
              <w:tc>
                <w:tcPr>
                  <w:tcW w:w="1348" w:type="dxa"/>
                  <w:tcBorders>
                    <w:top w:val="nil"/>
                    <w:left w:val="nil"/>
                    <w:bottom w:val="nil"/>
                    <w:right w:val="single" w:color="auto" w:sz="8" w:space="0"/>
                  </w:tcBorders>
                  <w:shd w:val="clear" w:color="auto" w:fill="auto"/>
                  <w:vAlign w:val="center"/>
                  <w:hideMark/>
                </w:tcPr>
                <w:p w:rsidR="00B36B09" w:rsidP="00B36B09" w:rsidRDefault="00B36B09" w14:paraId="6571AFE5" w14:textId="77777777">
                  <w:pPr>
                    <w:jc w:val="both"/>
                    <w:rPr>
                      <w:color w:val="000000"/>
                      <w:sz w:val="20"/>
                      <w:szCs w:val="20"/>
                    </w:rPr>
                  </w:pPr>
                  <w:r>
                    <w:rPr>
                      <w:rFonts w:eastAsia="Calibri"/>
                      <w:color w:val="000000"/>
                      <w:sz w:val="20"/>
                      <w:szCs w:val="20"/>
                      <w:lang w:eastAsia="en-US"/>
                    </w:rPr>
                    <w:t> </w:t>
                  </w:r>
                </w:p>
              </w:tc>
            </w:tr>
            <w:tr w:rsidR="00B36B09" w:rsidTr="00B36B09" w14:paraId="04C960E0" w14:textId="77777777">
              <w:trPr>
                <w:trHeight w:val="653"/>
              </w:trPr>
              <w:tc>
                <w:tcPr>
                  <w:tcW w:w="1798" w:type="dxa"/>
                  <w:vMerge/>
                  <w:tcBorders>
                    <w:top w:val="single" w:color="auto" w:sz="8" w:space="0"/>
                    <w:left w:val="single" w:color="auto" w:sz="8" w:space="0"/>
                    <w:bottom w:val="single" w:color="000000" w:sz="8" w:space="0"/>
                    <w:right w:val="single" w:color="auto" w:sz="8" w:space="0"/>
                  </w:tcBorders>
                  <w:vAlign w:val="center"/>
                  <w:hideMark/>
                </w:tcPr>
                <w:p w:rsidR="00B36B09" w:rsidP="00B36B09" w:rsidRDefault="00B36B09" w14:paraId="232FF1C0" w14:textId="77777777">
                  <w:pPr>
                    <w:rPr>
                      <w:color w:val="000000"/>
                      <w:sz w:val="20"/>
                      <w:szCs w:val="20"/>
                    </w:rPr>
                  </w:pP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015A142B" w14:textId="77777777">
                  <w:pPr>
                    <w:jc w:val="both"/>
                    <w:rPr>
                      <w:color w:val="000000"/>
                      <w:sz w:val="20"/>
                      <w:szCs w:val="20"/>
                    </w:rPr>
                  </w:pPr>
                  <w:r>
                    <w:rPr>
                      <w:rFonts w:eastAsia="Calibri"/>
                      <w:color w:val="000000"/>
                      <w:sz w:val="20"/>
                      <w:szCs w:val="20"/>
                      <w:lang w:eastAsia="en-US"/>
                    </w:rPr>
                    <w:t>2019.gada nov.-dec.</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7C458AF" w14:textId="77777777">
                  <w:pPr>
                    <w:jc w:val="both"/>
                    <w:rPr>
                      <w:color w:val="000000"/>
                      <w:sz w:val="20"/>
                      <w:szCs w:val="20"/>
                    </w:rPr>
                  </w:pPr>
                  <w:r>
                    <w:rPr>
                      <w:rFonts w:eastAsia="Calibri"/>
                      <w:color w:val="000000"/>
                      <w:sz w:val="20"/>
                      <w:szCs w:val="20"/>
                      <w:lang w:eastAsia="en-US"/>
                    </w:rPr>
                    <w:t>2020.gada 1.cet.</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428B3214" w14:textId="77777777">
                  <w:pPr>
                    <w:jc w:val="both"/>
                    <w:rPr>
                      <w:color w:val="000000"/>
                      <w:sz w:val="20"/>
                      <w:szCs w:val="20"/>
                    </w:rPr>
                  </w:pPr>
                  <w:r>
                    <w:rPr>
                      <w:rFonts w:eastAsia="Calibri"/>
                      <w:color w:val="000000"/>
                      <w:sz w:val="20"/>
                      <w:szCs w:val="20"/>
                      <w:lang w:eastAsia="en-US"/>
                    </w:rPr>
                    <w:t>2020.gada 2.cet.</w:t>
                  </w:r>
                </w:p>
              </w:tc>
            </w:tr>
            <w:tr w:rsidR="00B36B09" w:rsidTr="00B36B09" w14:paraId="42F55FB9" w14:textId="77777777">
              <w:trPr>
                <w:trHeight w:val="1287"/>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1A2EC0A4" w14:textId="77777777">
                  <w:pPr>
                    <w:jc w:val="both"/>
                    <w:rPr>
                      <w:color w:val="000000"/>
                      <w:sz w:val="20"/>
                      <w:szCs w:val="20"/>
                    </w:rPr>
                  </w:pPr>
                  <w:r>
                    <w:rPr>
                      <w:rFonts w:eastAsia="Calibri"/>
                      <w:color w:val="000000"/>
                      <w:sz w:val="20"/>
                      <w:szCs w:val="20"/>
                      <w:lang w:eastAsia="en-US"/>
                    </w:rPr>
                    <w:t>Preču vai pakalpojumu vērtība bez PVN</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0EA10A5B" w14:textId="77777777">
                  <w:pPr>
                    <w:jc w:val="both"/>
                    <w:rPr>
                      <w:color w:val="000000"/>
                      <w:sz w:val="20"/>
                      <w:szCs w:val="20"/>
                    </w:rPr>
                  </w:pPr>
                  <w:r>
                    <w:rPr>
                      <w:rFonts w:eastAsia="Calibri"/>
                      <w:color w:val="000000"/>
                      <w:sz w:val="20"/>
                      <w:szCs w:val="20"/>
                      <w:lang w:eastAsia="en-US"/>
                    </w:rPr>
                    <w:t>247 667,25</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5316F011" w14:textId="77777777">
                  <w:pPr>
                    <w:jc w:val="both"/>
                    <w:rPr>
                      <w:color w:val="000000"/>
                      <w:sz w:val="20"/>
                      <w:szCs w:val="20"/>
                    </w:rPr>
                  </w:pPr>
                  <w:r>
                    <w:rPr>
                      <w:color w:val="000000"/>
                      <w:sz w:val="20"/>
                      <w:szCs w:val="20"/>
                    </w:rPr>
                    <w:t>134 592,21</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3204A00E" w14:textId="77777777">
                  <w:pPr>
                    <w:jc w:val="both"/>
                    <w:rPr>
                      <w:color w:val="000000"/>
                      <w:sz w:val="20"/>
                      <w:szCs w:val="20"/>
                    </w:rPr>
                  </w:pPr>
                  <w:r>
                    <w:rPr>
                      <w:color w:val="000000"/>
                      <w:sz w:val="20"/>
                      <w:szCs w:val="20"/>
                    </w:rPr>
                    <w:t>1 431 629,66</w:t>
                  </w:r>
                </w:p>
              </w:tc>
            </w:tr>
            <w:tr w:rsidR="00B36B09" w:rsidTr="00B36B09" w14:paraId="0D4F5F52" w14:textId="77777777">
              <w:trPr>
                <w:trHeight w:val="653"/>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3806B75D" w14:textId="77777777">
                  <w:pPr>
                    <w:jc w:val="both"/>
                    <w:rPr>
                      <w:color w:val="000000"/>
                      <w:sz w:val="20"/>
                      <w:szCs w:val="20"/>
                    </w:rPr>
                  </w:pPr>
                  <w:r>
                    <w:rPr>
                      <w:rFonts w:eastAsia="Calibri"/>
                      <w:color w:val="000000"/>
                      <w:sz w:val="20"/>
                      <w:szCs w:val="20"/>
                      <w:lang w:eastAsia="en-US"/>
                    </w:rPr>
                    <w:t>PVN iekšzemē</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4B544EC" w14:textId="77777777">
                  <w:pPr>
                    <w:jc w:val="both"/>
                    <w:rPr>
                      <w:color w:val="000000"/>
                      <w:sz w:val="20"/>
                      <w:szCs w:val="20"/>
                    </w:rPr>
                  </w:pPr>
                  <w:r>
                    <w:rPr>
                      <w:rFonts w:eastAsia="Calibri"/>
                      <w:color w:val="000000"/>
                      <w:sz w:val="20"/>
                      <w:szCs w:val="20"/>
                      <w:lang w:eastAsia="en-US"/>
                    </w:rPr>
                    <w:t>57 401,09</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6921FF47" w14:textId="77777777">
                  <w:pPr>
                    <w:jc w:val="both"/>
                    <w:rPr>
                      <w:color w:val="000000"/>
                      <w:sz w:val="20"/>
                      <w:szCs w:val="20"/>
                    </w:rPr>
                  </w:pPr>
                  <w:r>
                    <w:rPr>
                      <w:rFonts w:eastAsia="Calibri"/>
                      <w:color w:val="000000"/>
                      <w:sz w:val="20"/>
                      <w:szCs w:val="20"/>
                      <w:lang w:eastAsia="en-US"/>
                    </w:rPr>
                    <w:t>76 870,16</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584B3636" w14:textId="77777777">
                  <w:pPr>
                    <w:jc w:val="both"/>
                    <w:rPr>
                      <w:color w:val="000000"/>
                      <w:sz w:val="20"/>
                      <w:szCs w:val="20"/>
                    </w:rPr>
                  </w:pPr>
                  <w:r>
                    <w:rPr>
                      <w:rFonts w:eastAsia="Calibri"/>
                      <w:color w:val="000000"/>
                      <w:sz w:val="20"/>
                      <w:szCs w:val="20"/>
                      <w:lang w:eastAsia="en-US"/>
                    </w:rPr>
                    <w:t>84 211,12</w:t>
                  </w:r>
                </w:p>
              </w:tc>
            </w:tr>
            <w:tr w:rsidR="00B36B09" w:rsidTr="00B36B09" w14:paraId="773CDCD8" w14:textId="77777777">
              <w:trPr>
                <w:trHeight w:val="653"/>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31FDE695" w14:textId="77777777">
                  <w:pPr>
                    <w:jc w:val="both"/>
                    <w:rPr>
                      <w:color w:val="000000"/>
                      <w:sz w:val="20"/>
                      <w:szCs w:val="20"/>
                    </w:rPr>
                  </w:pPr>
                  <w:r>
                    <w:rPr>
                      <w:rFonts w:eastAsia="Calibri"/>
                      <w:color w:val="000000"/>
                      <w:sz w:val="20"/>
                      <w:szCs w:val="20"/>
                      <w:lang w:eastAsia="en-US"/>
                    </w:rPr>
                    <w:t>PVN reverss</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483A928" w14:textId="77777777">
                  <w:pPr>
                    <w:jc w:val="both"/>
                    <w:rPr>
                      <w:color w:val="000000"/>
                      <w:sz w:val="20"/>
                      <w:szCs w:val="20"/>
                    </w:rPr>
                  </w:pPr>
                  <w:r>
                    <w:rPr>
                      <w:rFonts w:eastAsia="Calibri"/>
                      <w:color w:val="000000"/>
                      <w:sz w:val="20"/>
                      <w:szCs w:val="20"/>
                      <w:lang w:eastAsia="en-US"/>
                    </w:rPr>
                    <w:t>73 810.87</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9FD6B39" w14:textId="77777777">
                  <w:pPr>
                    <w:jc w:val="both"/>
                    <w:rPr>
                      <w:color w:val="000000"/>
                      <w:sz w:val="20"/>
                      <w:szCs w:val="20"/>
                    </w:rPr>
                  </w:pPr>
                  <w:r>
                    <w:rPr>
                      <w:rFonts w:eastAsia="Calibri"/>
                      <w:color w:val="000000"/>
                      <w:sz w:val="20"/>
                      <w:szCs w:val="20"/>
                      <w:lang w:eastAsia="en-US"/>
                    </w:rPr>
                    <w:t>44 075,33</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0A07681D" w14:textId="77777777">
                  <w:pPr>
                    <w:jc w:val="both"/>
                    <w:rPr>
                      <w:color w:val="000000"/>
                      <w:sz w:val="20"/>
                      <w:szCs w:val="20"/>
                    </w:rPr>
                  </w:pPr>
                  <w:r>
                    <w:rPr>
                      <w:rFonts w:eastAsia="Calibri"/>
                      <w:color w:val="000000"/>
                      <w:sz w:val="20"/>
                      <w:szCs w:val="20"/>
                      <w:lang w:eastAsia="en-US"/>
                    </w:rPr>
                    <w:t>84 293,16</w:t>
                  </w:r>
                </w:p>
              </w:tc>
            </w:tr>
            <w:tr w:rsidR="00B36B09" w:rsidTr="00B36B09" w14:paraId="69525032" w14:textId="77777777">
              <w:trPr>
                <w:trHeight w:val="2239"/>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6A17AC4F" w14:textId="77777777">
                  <w:pPr>
                    <w:jc w:val="both"/>
                    <w:rPr>
                      <w:color w:val="000000"/>
                      <w:sz w:val="20"/>
                      <w:szCs w:val="20"/>
                    </w:rPr>
                  </w:pPr>
                  <w:r>
                    <w:rPr>
                      <w:rFonts w:eastAsia="Calibri"/>
                      <w:color w:val="000000"/>
                      <w:sz w:val="20"/>
                      <w:szCs w:val="20"/>
                      <w:lang w:eastAsia="en-US"/>
                    </w:rPr>
                    <w:t>PVN summa, kas nav atskaitāma kā priekšnodoklis</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293A3A2D" w14:textId="77777777">
                  <w:pPr>
                    <w:jc w:val="both"/>
                    <w:rPr>
                      <w:color w:val="000000"/>
                      <w:sz w:val="20"/>
                      <w:szCs w:val="20"/>
                    </w:rPr>
                  </w:pPr>
                  <w:r>
                    <w:rPr>
                      <w:rFonts w:eastAsia="Calibri"/>
                      <w:color w:val="000000"/>
                      <w:sz w:val="20"/>
                      <w:szCs w:val="20"/>
                      <w:lang w:eastAsia="en-US"/>
                    </w:rPr>
                    <w:t>131 211,96</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39D6A445" w14:textId="77777777">
                  <w:pPr>
                    <w:jc w:val="both"/>
                    <w:rPr>
                      <w:color w:val="000000"/>
                      <w:sz w:val="20"/>
                      <w:szCs w:val="20"/>
                    </w:rPr>
                  </w:pPr>
                  <w:r>
                    <w:rPr>
                      <w:rFonts w:eastAsia="Calibri"/>
                      <w:color w:val="000000"/>
                      <w:sz w:val="20"/>
                      <w:szCs w:val="20"/>
                      <w:lang w:eastAsia="en-US"/>
                    </w:rPr>
                    <w:t>120 945,49</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A68AF53" w14:textId="77777777">
                  <w:pPr>
                    <w:jc w:val="both"/>
                    <w:rPr>
                      <w:rFonts w:ascii="Calibri" w:hAnsi="Calibri" w:cs="Calibri"/>
                      <w:color w:val="000000"/>
                      <w:sz w:val="20"/>
                      <w:szCs w:val="20"/>
                    </w:rPr>
                  </w:pPr>
                  <w:r>
                    <w:rPr>
                      <w:rFonts w:ascii="Calibri" w:hAnsi="Calibri" w:cs="Calibri"/>
                      <w:color w:val="000000"/>
                      <w:sz w:val="20"/>
                      <w:szCs w:val="20"/>
                    </w:rPr>
                    <w:t>168 504,28</w:t>
                  </w:r>
                </w:p>
              </w:tc>
            </w:tr>
            <w:tr w:rsidR="00B36B09" w:rsidTr="00B36B09" w14:paraId="77719AEB" w14:textId="77777777">
              <w:trPr>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2D574EAC" w14:textId="77777777">
                  <w:pPr>
                    <w:rPr>
                      <w:color w:val="000000"/>
                      <w:sz w:val="20"/>
                      <w:szCs w:val="20"/>
                    </w:rPr>
                  </w:pPr>
                  <w:r>
                    <w:rPr>
                      <w:rFonts w:eastAsia="Calibri"/>
                      <w:color w:val="000000"/>
                      <w:sz w:val="20"/>
                      <w:szCs w:val="20"/>
                      <w:lang w:eastAsia="en-US"/>
                    </w:rPr>
                    <w:t> </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0971D97B" w14:textId="77777777">
                  <w:pPr>
                    <w:jc w:val="both"/>
                    <w:rPr>
                      <w:color w:val="000000"/>
                      <w:sz w:val="20"/>
                      <w:szCs w:val="20"/>
                    </w:rPr>
                  </w:pPr>
                  <w:r>
                    <w:rPr>
                      <w:rFonts w:eastAsia="Calibri"/>
                      <w:color w:val="000000"/>
                      <w:sz w:val="20"/>
                      <w:szCs w:val="20"/>
                      <w:lang w:eastAsia="en-US"/>
                    </w:rPr>
                    <w:t> </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6FB0F19D" w14:textId="77777777">
                  <w:pPr>
                    <w:jc w:val="both"/>
                    <w:rPr>
                      <w:color w:val="000000"/>
                      <w:sz w:val="20"/>
                      <w:szCs w:val="20"/>
                    </w:rPr>
                  </w:pPr>
                  <w:r>
                    <w:rPr>
                      <w:rFonts w:eastAsia="Calibri"/>
                      <w:color w:val="000000"/>
                      <w:sz w:val="20"/>
                      <w:szCs w:val="20"/>
                      <w:lang w:eastAsia="en-US"/>
                    </w:rPr>
                    <w:t> </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7231FB22" w14:textId="77777777">
                  <w:pPr>
                    <w:jc w:val="both"/>
                    <w:rPr>
                      <w:color w:val="000000"/>
                      <w:sz w:val="20"/>
                      <w:szCs w:val="20"/>
                    </w:rPr>
                  </w:pPr>
                  <w:r>
                    <w:rPr>
                      <w:rFonts w:eastAsia="Calibri"/>
                      <w:color w:val="000000"/>
                      <w:sz w:val="20"/>
                      <w:szCs w:val="20"/>
                      <w:lang w:eastAsia="en-US"/>
                    </w:rPr>
                    <w:t> </w:t>
                  </w:r>
                </w:p>
              </w:tc>
            </w:tr>
            <w:tr w:rsidR="00B36B09" w:rsidTr="00B36B09" w14:paraId="68ECE188" w14:textId="77777777">
              <w:trPr>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7475E878" w14:textId="77777777">
                  <w:pPr>
                    <w:jc w:val="both"/>
                    <w:rPr>
                      <w:color w:val="000000"/>
                      <w:sz w:val="20"/>
                      <w:szCs w:val="20"/>
                    </w:rPr>
                  </w:pPr>
                  <w:r>
                    <w:rPr>
                      <w:rFonts w:eastAsia="Calibri"/>
                      <w:color w:val="000000"/>
                      <w:sz w:val="20"/>
                      <w:szCs w:val="20"/>
                      <w:lang w:eastAsia="en-US"/>
                    </w:rPr>
                    <w:t>Kopā</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6A6434BC" w14:textId="77777777">
                  <w:pPr>
                    <w:jc w:val="both"/>
                    <w:rPr>
                      <w:color w:val="000000"/>
                      <w:sz w:val="20"/>
                      <w:szCs w:val="20"/>
                    </w:rPr>
                  </w:pPr>
                  <w:r>
                    <w:rPr>
                      <w:rFonts w:eastAsia="Calibri"/>
                      <w:color w:val="000000"/>
                      <w:sz w:val="20"/>
                      <w:szCs w:val="20"/>
                      <w:lang w:eastAsia="en-US"/>
                    </w:rPr>
                    <w:t>131 211,96</w:t>
                  </w:r>
                </w:p>
              </w:tc>
              <w:tc>
                <w:tcPr>
                  <w:tcW w:w="1346" w:type="dxa"/>
                  <w:tcBorders>
                    <w:top w:val="nil"/>
                    <w:left w:val="nil"/>
                    <w:bottom w:val="single" w:color="auto" w:sz="8" w:space="0"/>
                    <w:right w:val="single" w:color="auto" w:sz="8" w:space="0"/>
                  </w:tcBorders>
                  <w:shd w:val="clear" w:color="auto" w:fill="auto"/>
                  <w:vAlign w:val="center"/>
                  <w:hideMark/>
                </w:tcPr>
                <w:p w:rsidR="00B36B09" w:rsidP="00B36B09" w:rsidRDefault="00B36B09" w14:paraId="21480BDB" w14:textId="77777777">
                  <w:pPr>
                    <w:jc w:val="both"/>
                    <w:rPr>
                      <w:color w:val="000000"/>
                      <w:sz w:val="20"/>
                      <w:szCs w:val="20"/>
                    </w:rPr>
                  </w:pPr>
                  <w:r>
                    <w:rPr>
                      <w:rFonts w:eastAsia="Calibri"/>
                      <w:color w:val="000000"/>
                      <w:sz w:val="20"/>
                      <w:szCs w:val="20"/>
                      <w:lang w:eastAsia="en-US"/>
                    </w:rPr>
                    <w:t>120 945,49</w:t>
                  </w:r>
                </w:p>
              </w:tc>
              <w:tc>
                <w:tcPr>
                  <w:tcW w:w="1348" w:type="dxa"/>
                  <w:tcBorders>
                    <w:top w:val="nil"/>
                    <w:left w:val="nil"/>
                    <w:bottom w:val="single" w:color="auto" w:sz="8" w:space="0"/>
                    <w:right w:val="single" w:color="auto" w:sz="8" w:space="0"/>
                  </w:tcBorders>
                  <w:shd w:val="clear" w:color="auto" w:fill="auto"/>
                  <w:vAlign w:val="center"/>
                  <w:hideMark/>
                </w:tcPr>
                <w:p w:rsidR="00B36B09" w:rsidP="00B36B09" w:rsidRDefault="00B36B09" w14:paraId="63FB9830" w14:textId="77777777">
                  <w:pPr>
                    <w:jc w:val="both"/>
                    <w:rPr>
                      <w:color w:val="000000"/>
                      <w:sz w:val="20"/>
                      <w:szCs w:val="20"/>
                    </w:rPr>
                  </w:pPr>
                  <w:r>
                    <w:rPr>
                      <w:rFonts w:eastAsia="Calibri"/>
                      <w:color w:val="000000"/>
                      <w:sz w:val="20"/>
                      <w:szCs w:val="20"/>
                      <w:lang w:eastAsia="en-US"/>
                    </w:rPr>
                    <w:t>168 504,28</w:t>
                  </w:r>
                </w:p>
              </w:tc>
            </w:tr>
            <w:tr w:rsidR="00B36B09" w:rsidTr="006E267F" w14:paraId="476D074E" w14:textId="77777777">
              <w:trPr>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167E2188" w14:textId="77777777">
                  <w:pPr>
                    <w:jc w:val="both"/>
                    <w:rPr>
                      <w:color w:val="000000"/>
                      <w:sz w:val="20"/>
                      <w:szCs w:val="20"/>
                    </w:rPr>
                  </w:pPr>
                  <w:r>
                    <w:rPr>
                      <w:rFonts w:eastAsia="Calibri"/>
                      <w:color w:val="000000"/>
                      <w:sz w:val="20"/>
                      <w:szCs w:val="20"/>
                      <w:lang w:eastAsia="en-US"/>
                    </w:rPr>
                    <w:t> </w:t>
                  </w:r>
                </w:p>
              </w:tc>
              <w:tc>
                <w:tcPr>
                  <w:tcW w:w="4040" w:type="dxa"/>
                  <w:gridSpan w:val="3"/>
                  <w:tcBorders>
                    <w:top w:val="single" w:color="auto" w:sz="8" w:space="0"/>
                    <w:left w:val="nil"/>
                    <w:bottom w:val="single" w:color="auto" w:sz="8" w:space="0"/>
                    <w:right w:val="single" w:color="000000" w:sz="8" w:space="0"/>
                  </w:tcBorders>
                  <w:shd w:val="clear" w:color="auto" w:fill="auto"/>
                  <w:vAlign w:val="center"/>
                  <w:hideMark/>
                </w:tcPr>
                <w:p w:rsidR="00B36B09" w:rsidP="00B36B09" w:rsidRDefault="00B36B09" w14:paraId="7FD91E51" w14:textId="77777777">
                  <w:pPr>
                    <w:jc w:val="center"/>
                    <w:rPr>
                      <w:color w:val="000000"/>
                      <w:sz w:val="20"/>
                      <w:szCs w:val="20"/>
                    </w:rPr>
                  </w:pPr>
                  <w:r>
                    <w:rPr>
                      <w:rFonts w:eastAsia="Calibri"/>
                      <w:color w:val="000000"/>
                      <w:sz w:val="20"/>
                      <w:szCs w:val="20"/>
                      <w:lang w:eastAsia="en-US"/>
                    </w:rPr>
                    <w:t> </w:t>
                  </w:r>
                </w:p>
              </w:tc>
            </w:tr>
            <w:tr w:rsidR="00B36B09" w:rsidTr="006E267F" w14:paraId="00497D77" w14:textId="77777777">
              <w:trPr>
                <w:trHeight w:val="391"/>
              </w:trPr>
              <w:tc>
                <w:tcPr>
                  <w:tcW w:w="1798" w:type="dxa"/>
                  <w:tcBorders>
                    <w:top w:val="nil"/>
                    <w:left w:val="single" w:color="auto" w:sz="8" w:space="0"/>
                    <w:bottom w:val="single" w:color="auto" w:sz="8" w:space="0"/>
                    <w:right w:val="single" w:color="auto" w:sz="8" w:space="0"/>
                  </w:tcBorders>
                  <w:shd w:val="clear" w:color="auto" w:fill="auto"/>
                  <w:vAlign w:val="center"/>
                  <w:hideMark/>
                </w:tcPr>
                <w:p w:rsidR="00B36B09" w:rsidP="00B36B09" w:rsidRDefault="00B36B09" w14:paraId="3CBE1B2B" w14:textId="77777777">
                  <w:pPr>
                    <w:jc w:val="both"/>
                    <w:rPr>
                      <w:b/>
                      <w:bCs/>
                      <w:color w:val="000000"/>
                      <w:sz w:val="20"/>
                      <w:szCs w:val="20"/>
                    </w:rPr>
                  </w:pPr>
                  <w:r>
                    <w:rPr>
                      <w:rFonts w:eastAsia="Calibri"/>
                      <w:b/>
                      <w:bCs/>
                      <w:color w:val="000000"/>
                      <w:sz w:val="20"/>
                      <w:szCs w:val="20"/>
                      <w:lang w:eastAsia="en-US"/>
                    </w:rPr>
                    <w:t xml:space="preserve">Kopā </w:t>
                  </w:r>
                </w:p>
              </w:tc>
              <w:tc>
                <w:tcPr>
                  <w:tcW w:w="4040" w:type="dxa"/>
                  <w:gridSpan w:val="3"/>
                  <w:tcBorders>
                    <w:top w:val="single" w:color="auto" w:sz="8" w:space="0"/>
                    <w:left w:val="nil"/>
                    <w:bottom w:val="single" w:color="auto" w:sz="8" w:space="0"/>
                    <w:right w:val="single" w:color="000000" w:sz="8" w:space="0"/>
                  </w:tcBorders>
                  <w:shd w:val="clear" w:color="auto" w:fill="auto"/>
                  <w:vAlign w:val="center"/>
                  <w:hideMark/>
                </w:tcPr>
                <w:p w:rsidR="00B36B09" w:rsidP="00B36B09" w:rsidRDefault="00B36B09" w14:paraId="642526AC" w14:textId="7F9DE77C">
                  <w:pPr>
                    <w:jc w:val="center"/>
                    <w:rPr>
                      <w:b/>
                      <w:bCs/>
                      <w:color w:val="000000"/>
                      <w:sz w:val="20"/>
                      <w:szCs w:val="20"/>
                    </w:rPr>
                  </w:pPr>
                  <w:r>
                    <w:rPr>
                      <w:rFonts w:eastAsia="Calibri"/>
                      <w:b/>
                      <w:bCs/>
                      <w:color w:val="000000"/>
                      <w:sz w:val="20"/>
                      <w:szCs w:val="20"/>
                      <w:lang w:eastAsia="en-US"/>
                    </w:rPr>
                    <w:t>420 661,73</w:t>
                  </w:r>
                  <w:r w:rsidR="009B59E5">
                    <w:rPr>
                      <w:rFonts w:eastAsia="Calibri"/>
                      <w:b/>
                      <w:bCs/>
                      <w:color w:val="000000"/>
                      <w:sz w:val="20"/>
                      <w:szCs w:val="20"/>
                      <w:lang w:eastAsia="en-US"/>
                    </w:rPr>
                    <w:t xml:space="preserve"> </w:t>
                  </w:r>
                </w:p>
              </w:tc>
            </w:tr>
          </w:tbl>
          <w:p w:rsidRPr="004F4C6C" w:rsidR="00D63E48" w:rsidP="006E267F" w:rsidRDefault="00D63E48" w14:paraId="4DE347D2" w14:textId="77777777">
            <w:pPr>
              <w:jc w:val="both"/>
            </w:pPr>
          </w:p>
        </w:tc>
      </w:tr>
      <w:tr w:rsidRPr="00825345" w:rsidR="00D63E48" w:rsidTr="00561492" w14:paraId="326C451E" w14:textId="77777777">
        <w:trPr>
          <w:trHeight w:val="78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63E48" w:rsidP="006E267F" w:rsidRDefault="00D63E48" w14:paraId="7DBEC3EB" w14:textId="77777777">
            <w:r w:rsidRPr="00821079">
              <w:t>6.1. detalizēts ieņēmumu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4F4C6C" w:rsidR="00D63E48" w:rsidP="006E267F" w:rsidRDefault="00D63E48" w14:paraId="1A6F1458" w14:textId="77777777"/>
        </w:tc>
      </w:tr>
      <w:tr w:rsidRPr="00825345" w:rsidR="00D63E48" w:rsidTr="00D63E48" w14:paraId="461D2132"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63E48" w:rsidP="006E267F" w:rsidRDefault="00D63E48" w14:paraId="7EA45EDF" w14:textId="77777777">
            <w:r w:rsidRPr="00821079">
              <w:t>6.2. detalizēts izdevumu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4F4C6C" w:rsidR="00D63E48" w:rsidP="006E267F" w:rsidRDefault="00D63E48" w14:paraId="02D87C17" w14:textId="77777777"/>
        </w:tc>
      </w:tr>
      <w:tr w:rsidRPr="00825345" w:rsidR="00D63E48" w:rsidTr="00D63E48" w14:paraId="3981880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63E48" w:rsidP="006E267F" w:rsidRDefault="00D63E48" w14:paraId="668F66C3" w14:textId="77777777">
            <w:r w:rsidRPr="00821079">
              <w:t>7. Amata vietu skaita izmaiņas</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tcPr>
          <w:p w:rsidRPr="00821079" w:rsidR="00D63E48" w:rsidP="006E267F" w:rsidRDefault="00D63E48" w14:paraId="26663164" w14:textId="77777777">
            <w:r w:rsidRPr="00821079">
              <w:t>Nav attiecināms.</w:t>
            </w:r>
          </w:p>
        </w:tc>
      </w:tr>
      <w:tr w:rsidRPr="00825345" w:rsidR="00D63E48" w:rsidTr="00D63E48" w14:paraId="5F40463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821079" w:rsidR="00D63E48" w:rsidP="006E267F" w:rsidRDefault="00D63E48" w14:paraId="394CE91C" w14:textId="77777777">
            <w:r w:rsidRPr="00821079">
              <w:t>8. Cita informācija</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561492" w:rsidR="00D63E48" w:rsidP="00E242E1" w:rsidRDefault="009B59E5" w14:paraId="13B69A0B" w14:textId="4D5DACCB">
            <w:pPr>
              <w:jc w:val="both"/>
            </w:pPr>
            <w:r>
              <w:rPr>
                <w:rFonts w:eastAsia="Calibri"/>
              </w:rPr>
              <w:t>Rīkojuma p</w:t>
            </w:r>
            <w:r w:rsidR="00766C82">
              <w:rPr>
                <w:rFonts w:eastAsia="Calibri"/>
              </w:rPr>
              <w:t>rojektam nav ietekme uz valsts budžetu</w:t>
            </w:r>
            <w:r w:rsidR="00E242E1">
              <w:rPr>
                <w:rFonts w:eastAsia="Calibri"/>
              </w:rPr>
              <w:t xml:space="preserve"> pēc naudas plūsmas</w:t>
            </w:r>
            <w:r w:rsidR="00766C82">
              <w:rPr>
                <w:rFonts w:eastAsia="Calibri"/>
              </w:rPr>
              <w:t>, jo PVN maksājumi</w:t>
            </w:r>
            <w:r w:rsidR="00AF00E1">
              <w:rPr>
                <w:rFonts w:eastAsia="Calibri"/>
              </w:rPr>
              <w:t>, kas attiecas uz Lietuvu un Igauniju</w:t>
            </w:r>
            <w:r w:rsidR="00766C82">
              <w:rPr>
                <w:rFonts w:eastAsia="Calibri"/>
              </w:rPr>
              <w:t xml:space="preserve"> jau ir ieskaitīti </w:t>
            </w:r>
            <w:r w:rsidR="00AF00E1">
              <w:rPr>
                <w:rFonts w:eastAsia="Calibri"/>
              </w:rPr>
              <w:t xml:space="preserve">Latvijas </w:t>
            </w:r>
            <w:r w:rsidR="00766C82">
              <w:rPr>
                <w:rFonts w:eastAsia="Calibri"/>
              </w:rPr>
              <w:t>valsts budžetā un attiecīgi tie ir jāpārdala Satiksmes ministrijai, lai tālāk varētu veikt norēķinus ar RBR.</w:t>
            </w:r>
            <w:r w:rsidR="00B41703">
              <w:rPr>
                <w:rFonts w:eastAsia="Calibri"/>
              </w:rPr>
              <w:t xml:space="preserve"> </w:t>
            </w:r>
            <w:r w:rsidR="00E242E1">
              <w:rPr>
                <w:rFonts w:eastAsia="Calibri"/>
              </w:rPr>
              <w:t xml:space="preserve">Atbilstoši Eiropas Kontu sistēmas metodoloģijai, </w:t>
            </w:r>
            <w:r>
              <w:rPr>
                <w:rFonts w:eastAsia="Calibri"/>
              </w:rPr>
              <w:t xml:space="preserve">Rīkojuma </w:t>
            </w:r>
            <w:r w:rsidR="00E242E1">
              <w:rPr>
                <w:rFonts w:eastAsia="Calibri"/>
              </w:rPr>
              <w:t xml:space="preserve">projekts radīs ietekmi uz vispārējās valdības budžeta bilanci 2020. gadā  </w:t>
            </w:r>
            <w:r w:rsidRPr="00E242E1" w:rsidR="00E242E1">
              <w:rPr>
                <w:rFonts w:eastAsia="Calibri"/>
              </w:rPr>
              <w:t>131 211,96</w:t>
            </w:r>
            <w:r w:rsidR="00E242E1">
              <w:rPr>
                <w:rFonts w:eastAsia="Calibri"/>
              </w:rPr>
              <w:t xml:space="preserve"> </w:t>
            </w:r>
            <w:r w:rsidR="0010357C">
              <w:rPr>
                <w:rFonts w:eastAsia="Calibri"/>
                <w:iCs/>
              </w:rPr>
              <w:t>EUR</w:t>
            </w:r>
            <w:r w:rsidR="00E242E1">
              <w:rPr>
                <w:rFonts w:eastAsia="Calibri"/>
              </w:rPr>
              <w:t xml:space="preserve"> apmērā.</w:t>
            </w:r>
          </w:p>
        </w:tc>
      </w:tr>
    </w:tbl>
    <w:p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265EEE" w:rsidR="0094189D" w:rsidTr="00B44E39" w14:paraId="49519A8B" w14:textId="77777777">
        <w:trPr>
          <w:trHeight w:val="361"/>
          <w:jc w:val="center"/>
        </w:trPr>
        <w:tc>
          <w:tcPr>
            <w:tcW w:w="9117" w:type="dxa"/>
            <w:vAlign w:val="center"/>
          </w:tcPr>
          <w:p w:rsidRPr="00265EEE" w:rsidR="0094189D" w:rsidP="00B44E39" w:rsidRDefault="0094189D" w14:paraId="49BBEBCB" w14:textId="77777777">
            <w:pPr>
              <w:pStyle w:val="naisnod"/>
              <w:spacing w:before="0" w:beforeAutospacing="0" w:after="0" w:afterAutospacing="0"/>
              <w:jc w:val="center"/>
              <w:rPr>
                <w:b/>
                <w:i/>
              </w:rPr>
            </w:pPr>
            <w:r w:rsidRPr="00265EEE">
              <w:rPr>
                <w:b/>
                <w:bCs/>
              </w:rPr>
              <w:t>IV. Tiesību akta projekta ietekme uz spēkā esošo tiesību normu sistēmu</w:t>
            </w:r>
          </w:p>
        </w:tc>
      </w:tr>
      <w:tr w:rsidRPr="00265EEE" w:rsidR="0094189D" w:rsidTr="00B44E39" w14:paraId="2E80174D" w14:textId="77777777">
        <w:trPr>
          <w:trHeight w:val="361"/>
          <w:jc w:val="center"/>
        </w:trPr>
        <w:tc>
          <w:tcPr>
            <w:tcW w:w="9117" w:type="dxa"/>
            <w:vAlign w:val="center"/>
          </w:tcPr>
          <w:p w:rsidRPr="00265EEE" w:rsidR="0094189D" w:rsidP="00B44E39" w:rsidRDefault="0094189D" w14:paraId="5AA2B17E" w14:textId="77777777">
            <w:pPr>
              <w:pStyle w:val="naisnod"/>
              <w:spacing w:before="0" w:beforeAutospacing="0" w:after="0" w:afterAutospacing="0"/>
              <w:jc w:val="center"/>
            </w:pPr>
            <w:r w:rsidRPr="00265EEE">
              <w:rPr>
                <w:bCs/>
                <w:iCs/>
              </w:rPr>
              <w:t>Projekts šo jomu neskar</w:t>
            </w:r>
            <w:r w:rsidRPr="00265EEE">
              <w:t>.</w:t>
            </w:r>
          </w:p>
        </w:tc>
      </w:tr>
    </w:tbl>
    <w:p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E023A2" w:rsidRDefault="00E023A2" w14:paraId="797F6F18" w14:textId="77777777">
            <w:pPr>
              <w:spacing w:before="100" w:beforeAutospacing="1" w:after="100" w:afterAutospacing="1" w:line="293" w:lineRule="atLeast"/>
              <w:jc w:val="center"/>
              <w:rPr>
                <w:b/>
                <w:bCs/>
              </w:rPr>
            </w:pPr>
            <w:r>
              <w:t> </w:t>
            </w:r>
            <w:r>
              <w:rPr>
                <w:b/>
                <w:bCs/>
              </w:rPr>
              <w:t>V. Tiesību akta projekta atbilstība Latvijas Republikas starptautiskajām saistībām</w:t>
            </w:r>
          </w:p>
        </w:tc>
      </w:tr>
      <w:tr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00E023A2" w:rsidRDefault="001211A0" w14:paraId="301F219F" w14:textId="46A45674">
            <w:pPr>
              <w:jc w:val="center"/>
            </w:pPr>
            <w:r>
              <w:t>P</w:t>
            </w:r>
            <w:r w:rsidR="00E023A2">
              <w:t>rojekts šo jomu neskar.</w:t>
            </w:r>
          </w:p>
        </w:tc>
      </w:tr>
    </w:tbl>
    <w:p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265EEE" w:rsidR="00551A0F" w:rsidTr="00FB6748" w14:paraId="1BDEFF8B" w14:textId="77777777">
        <w:trPr>
          <w:trHeight w:val="327"/>
          <w:jc w:val="center"/>
        </w:trPr>
        <w:tc>
          <w:tcPr>
            <w:tcW w:w="9110" w:type="dxa"/>
            <w:vAlign w:val="center"/>
          </w:tcPr>
          <w:p w:rsidRPr="00265EEE" w:rsidR="00551A0F" w:rsidP="00017065" w:rsidRDefault="00551A0F" w14:paraId="57D8310F" w14:textId="77777777">
            <w:pPr>
              <w:pStyle w:val="naisnod"/>
              <w:spacing w:before="0" w:beforeAutospacing="0" w:after="0" w:afterAutospacing="0"/>
              <w:ind w:left="57" w:right="57"/>
              <w:jc w:val="center"/>
            </w:pPr>
            <w:r w:rsidRPr="00265EEE">
              <w:rPr>
                <w:b/>
              </w:rPr>
              <w:t>VI. Sabiedrības līdzdalība un komunikācijas aktivitātes</w:t>
            </w:r>
          </w:p>
        </w:tc>
      </w:tr>
      <w:tr w:rsidRPr="00265EEE" w:rsidR="00BA0D43" w:rsidTr="00FB6748" w14:paraId="35C36421" w14:textId="77777777">
        <w:trPr>
          <w:trHeight w:val="319"/>
          <w:jc w:val="center"/>
        </w:trPr>
        <w:tc>
          <w:tcPr>
            <w:tcW w:w="9110" w:type="dxa"/>
            <w:vAlign w:val="center"/>
          </w:tcPr>
          <w:p w:rsidRPr="00265EEE" w:rsidR="00BA0D43" w:rsidP="00017065" w:rsidRDefault="00BA0D43" w14:paraId="54FE2AF9" w14:textId="77777777">
            <w:pPr>
              <w:pStyle w:val="naisnod"/>
              <w:spacing w:before="0" w:beforeAutospacing="0" w:after="0" w:afterAutospacing="0"/>
              <w:ind w:left="57" w:right="57"/>
              <w:jc w:val="center"/>
              <w:rPr>
                <w:b/>
              </w:rPr>
            </w:pPr>
            <w:r w:rsidRPr="00265EEE">
              <w:rPr>
                <w:bCs/>
                <w:iCs/>
              </w:rPr>
              <w:t>Projekts šo jomu neskar</w:t>
            </w:r>
            <w:r w:rsidRPr="00265EEE">
              <w:t>.</w:t>
            </w:r>
          </w:p>
        </w:tc>
      </w:tr>
    </w:tbl>
    <w:p w:rsidRPr="00265EEE" w:rsidR="009B59E5" w:rsidP="00551A0F" w:rsidRDefault="009B59E5" w14:paraId="3115DF54"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265EEE" w:rsidR="00551A0F" w:rsidTr="007002EC" w14:paraId="7ABF92FB" w14:textId="77777777">
        <w:trPr>
          <w:trHeight w:val="381"/>
          <w:jc w:val="center"/>
        </w:trPr>
        <w:tc>
          <w:tcPr>
            <w:tcW w:w="9132" w:type="dxa"/>
            <w:gridSpan w:val="3"/>
            <w:vAlign w:val="center"/>
          </w:tcPr>
          <w:p w:rsidRPr="00265EEE" w:rsidR="00551A0F" w:rsidP="00017065" w:rsidRDefault="00551A0F" w14:paraId="27F19A77" w14:textId="77777777">
            <w:pPr>
              <w:pStyle w:val="naisnod"/>
              <w:spacing w:before="0" w:beforeAutospacing="0" w:after="0" w:afterAutospacing="0"/>
              <w:ind w:left="57" w:right="57"/>
              <w:jc w:val="center"/>
            </w:pPr>
            <w:r w:rsidRPr="00265EEE">
              <w:rPr>
                <w:b/>
              </w:rPr>
              <w:t>VII. Tiesību akta projekta izpildes nodrošināšana un tās ietekme uz institūcijām</w:t>
            </w:r>
          </w:p>
        </w:tc>
      </w:tr>
      <w:tr w:rsidRPr="00265EEE" w:rsidR="00551A0F" w:rsidTr="004E0B23" w14:paraId="0BC6F4B5" w14:textId="77777777">
        <w:trPr>
          <w:trHeight w:val="427"/>
          <w:jc w:val="center"/>
        </w:trPr>
        <w:tc>
          <w:tcPr>
            <w:tcW w:w="486" w:type="dxa"/>
          </w:tcPr>
          <w:p w:rsidRPr="00265EEE" w:rsidR="00551A0F" w:rsidP="00017065" w:rsidRDefault="00551A0F" w14:paraId="22769987" w14:textId="77777777">
            <w:pPr>
              <w:pStyle w:val="naisnod"/>
              <w:spacing w:before="0" w:beforeAutospacing="0" w:after="0" w:afterAutospacing="0"/>
              <w:ind w:left="57" w:right="57"/>
              <w:jc w:val="both"/>
            </w:pPr>
            <w:r w:rsidRPr="00265EEE">
              <w:t>1.</w:t>
            </w:r>
          </w:p>
        </w:tc>
        <w:tc>
          <w:tcPr>
            <w:tcW w:w="3656" w:type="dxa"/>
          </w:tcPr>
          <w:p w:rsidRPr="00265EEE" w:rsidR="00551A0F" w:rsidP="00AF09E6" w:rsidRDefault="00551A0F" w14:paraId="3AEC8AB6" w14:textId="77777777">
            <w:pPr>
              <w:pStyle w:val="naisf"/>
              <w:spacing w:before="0" w:after="0"/>
              <w:ind w:left="57" w:right="57" w:firstLine="0"/>
            </w:pPr>
            <w:r w:rsidRPr="00265EEE">
              <w:t>Projekta izpildē iesaistītās institūcijas</w:t>
            </w:r>
          </w:p>
        </w:tc>
        <w:tc>
          <w:tcPr>
            <w:tcW w:w="4990" w:type="dxa"/>
          </w:tcPr>
          <w:p w:rsidRPr="00265EEE" w:rsidR="00631147" w:rsidP="00B3088C" w:rsidRDefault="001211A0" w14:paraId="22C8C8AA" w14:textId="465A4E82">
            <w:pPr>
              <w:ind w:left="57" w:right="57"/>
              <w:jc w:val="both"/>
            </w:pPr>
            <w:r>
              <w:t>Satiksmes ministrija</w:t>
            </w:r>
            <w:r w:rsidR="0069095A">
              <w:t>,</w:t>
            </w:r>
            <w:r w:rsidR="00BD54C1">
              <w:t xml:space="preserve"> </w:t>
            </w:r>
            <w:r>
              <w:t>Finanšu ministrija</w:t>
            </w:r>
            <w:r w:rsidR="00273B40">
              <w:t>.</w:t>
            </w:r>
          </w:p>
        </w:tc>
      </w:tr>
      <w:tr w:rsidRPr="00265EEE" w:rsidR="00551A0F" w:rsidTr="00347938" w14:paraId="3B953242" w14:textId="77777777">
        <w:trPr>
          <w:trHeight w:val="463"/>
          <w:jc w:val="center"/>
        </w:trPr>
        <w:tc>
          <w:tcPr>
            <w:tcW w:w="486" w:type="dxa"/>
          </w:tcPr>
          <w:p w:rsidRPr="00265EEE" w:rsidR="00551A0F" w:rsidP="00017065" w:rsidRDefault="00551A0F" w14:paraId="6AA67A26" w14:textId="77777777">
            <w:pPr>
              <w:pStyle w:val="naisnod"/>
              <w:spacing w:before="0" w:beforeAutospacing="0" w:after="0" w:afterAutospacing="0"/>
              <w:ind w:left="57" w:right="57"/>
              <w:jc w:val="both"/>
            </w:pPr>
            <w:r w:rsidRPr="00265EEE">
              <w:t>2.</w:t>
            </w:r>
          </w:p>
        </w:tc>
        <w:tc>
          <w:tcPr>
            <w:tcW w:w="3656" w:type="dxa"/>
            <w:shd w:val="clear" w:color="auto" w:fill="auto"/>
          </w:tcPr>
          <w:p w:rsidRPr="00265EEE" w:rsidR="00551A0F" w:rsidP="006A50EF" w:rsidRDefault="00551A0F" w14:paraId="0FA8FF11" w14:textId="77777777">
            <w:pPr>
              <w:pStyle w:val="naisf"/>
              <w:spacing w:before="0" w:after="0"/>
              <w:ind w:left="57" w:right="57" w:firstLine="0"/>
            </w:pPr>
            <w:r w:rsidRPr="00265EEE">
              <w:t>Projekta izpildes ietekme uz pār</w:t>
            </w:r>
            <w:r w:rsidRPr="00265EEE">
              <w:softHyphen/>
              <w:t>valdes funkcijām un institucionālo struktūru.</w:t>
            </w:r>
          </w:p>
          <w:p w:rsidRPr="00265EEE" w:rsidR="00551A0F" w:rsidP="006A50EF" w:rsidRDefault="00551A0F" w14:paraId="614DDAEF" w14:textId="77777777">
            <w:pPr>
              <w:pStyle w:val="naisf"/>
              <w:spacing w:before="0" w:after="0"/>
              <w:ind w:left="57" w:right="57" w:firstLine="0"/>
            </w:pPr>
            <w:r w:rsidRPr="00265EEE">
              <w:t>Jaunu institūciju izveide, esošu institūciju likvidācija vai reorga</w:t>
            </w:r>
            <w:r w:rsidRPr="00265EEE">
              <w:softHyphen/>
              <w:t>nizācija, to ietekme uz institūcijas cilvēkresursiem</w:t>
            </w:r>
          </w:p>
        </w:tc>
        <w:tc>
          <w:tcPr>
            <w:tcW w:w="4990" w:type="dxa"/>
          </w:tcPr>
          <w:p w:rsidRPr="00265EEE" w:rsidR="00B47DF7" w:rsidP="00017065" w:rsidRDefault="00B47DF7" w14:paraId="02D4DFAA" w14:textId="60871F2E">
            <w:pPr>
              <w:shd w:val="clear" w:color="auto" w:fill="FFFFFF"/>
              <w:jc w:val="both"/>
            </w:pPr>
            <w:r w:rsidRPr="00A17421">
              <w:t>Rīkojuma projekta īstenošana tiks veikta esošo valsts pārvaldes funkciju ietvaros, tā neietekmēs pārvaldes funkcijas vai institucionālo struktūru.</w:t>
            </w:r>
          </w:p>
        </w:tc>
      </w:tr>
      <w:tr w:rsidRPr="00265EEE"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265EEE" w:rsidR="00551A0F" w:rsidP="00017065" w:rsidRDefault="00551A0F" w14:paraId="65B5DBFA" w14:textId="77777777">
            <w:pPr>
              <w:pStyle w:val="naisnod"/>
              <w:spacing w:before="0" w:beforeAutospacing="0" w:after="0" w:afterAutospacing="0"/>
              <w:ind w:left="57" w:right="57"/>
              <w:jc w:val="both"/>
            </w:pPr>
            <w:r w:rsidRPr="00265EEE">
              <w:t>3.</w:t>
            </w:r>
          </w:p>
        </w:tc>
        <w:tc>
          <w:tcPr>
            <w:tcW w:w="3656" w:type="dxa"/>
            <w:tcBorders>
              <w:top w:val="single" w:color="auto" w:sz="4" w:space="0"/>
              <w:left w:val="single" w:color="auto" w:sz="4" w:space="0"/>
              <w:bottom w:val="single" w:color="auto" w:sz="4" w:space="0"/>
              <w:right w:val="single" w:color="auto" w:sz="4" w:space="0"/>
            </w:tcBorders>
          </w:tcPr>
          <w:p w:rsidRPr="00265EEE" w:rsidR="00551A0F" w:rsidP="00C850AB" w:rsidRDefault="00AF09E6" w14:paraId="0CC4FA0A" w14:textId="77777777">
            <w:pPr>
              <w:pStyle w:val="naisf"/>
              <w:spacing w:before="0" w:after="0"/>
              <w:ind w:firstLine="0"/>
            </w:pPr>
            <w:r w:rsidRPr="00265EEE">
              <w:t xml:space="preserve"> </w:t>
            </w:r>
            <w:r w:rsidRPr="00265EEE"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265EEE" w:rsidR="00551A0F" w:rsidP="00C850AB" w:rsidRDefault="00551A0F" w14:paraId="7BB8FA8A" w14:textId="77777777">
            <w:pPr>
              <w:ind w:left="57"/>
              <w:jc w:val="both"/>
            </w:pPr>
            <w:r w:rsidRPr="00265EEE">
              <w:t>Na</w:t>
            </w:r>
            <w:r w:rsidRPr="00265EEE" w:rsidR="006A50EF">
              <w:t>v.</w:t>
            </w:r>
          </w:p>
        </w:tc>
      </w:tr>
    </w:tbl>
    <w:p w:rsidRPr="00BB3200" w:rsidR="00551A0F" w:rsidP="00FD7418" w:rsidRDefault="00551A0F" w14:paraId="31FAE95A" w14:textId="77777777">
      <w:pPr>
        <w:jc w:val="center"/>
        <w:rPr>
          <w:b/>
          <w:bCs/>
          <w:sz w:val="20"/>
          <w:szCs w:val="20"/>
        </w:rPr>
      </w:pPr>
    </w:p>
    <w:p w:rsidR="00AB19B6" w:rsidP="001B5229" w:rsidRDefault="00AB19B6" w14:paraId="01D6E86F" w14:textId="77777777">
      <w:pPr>
        <w:ind w:firstLine="720"/>
      </w:pPr>
    </w:p>
    <w:p w:rsidRPr="001B5229" w:rsidR="001B5229" w:rsidP="001B5229" w:rsidRDefault="001B5229" w14:paraId="2C9FA06D" w14:textId="20C7615F">
      <w:pPr>
        <w:ind w:firstLine="720"/>
      </w:pPr>
      <w:r w:rsidRPr="001B5229">
        <w:t>Satiksmes ministrs</w:t>
      </w:r>
      <w:r w:rsidRPr="001B5229">
        <w:tab/>
      </w:r>
      <w:r w:rsidRPr="001B5229">
        <w:tab/>
      </w:r>
      <w:r w:rsidRPr="001B5229">
        <w:tab/>
      </w:r>
      <w:r w:rsidRPr="001B5229">
        <w:tab/>
      </w:r>
      <w:r w:rsidRPr="001B5229">
        <w:tab/>
      </w:r>
      <w:r w:rsidRPr="001B5229">
        <w:tab/>
      </w:r>
      <w:r w:rsidR="00EE39A4">
        <w:tab/>
      </w:r>
      <w:r w:rsidRPr="001B5229">
        <w:t>T.</w:t>
      </w:r>
      <w:r w:rsidR="001211A0">
        <w:t xml:space="preserve"> </w:t>
      </w:r>
      <w:r w:rsidRPr="001B5229">
        <w:t>Linkaits</w:t>
      </w:r>
    </w:p>
    <w:p w:rsidRPr="00BB3200" w:rsidR="001B5229" w:rsidP="001B5229" w:rsidRDefault="001B5229" w14:paraId="02DA2EA0" w14:textId="77777777">
      <w:pPr>
        <w:rPr>
          <w:sz w:val="28"/>
          <w:szCs w:val="28"/>
        </w:rPr>
      </w:pPr>
    </w:p>
    <w:p w:rsidR="00AB19B6" w:rsidP="001B5229" w:rsidRDefault="00AB19B6" w14:paraId="073B5D03" w14:textId="77777777">
      <w:pPr>
        <w:ind w:firstLine="720"/>
      </w:pPr>
    </w:p>
    <w:p w:rsidRPr="001B5229" w:rsidR="001B5229" w:rsidP="001B5229" w:rsidRDefault="001B5229" w14:paraId="0B6BE801" w14:textId="07DF68E2">
      <w:pPr>
        <w:ind w:firstLine="720"/>
      </w:pPr>
      <w:r w:rsidRPr="001B5229">
        <w:t>Vīza:</w:t>
      </w:r>
      <w:r w:rsidR="00EE39A4">
        <w:t xml:space="preserve"> </w:t>
      </w:r>
      <w:r w:rsidRPr="001B5229">
        <w:t>valsts sekretār</w:t>
      </w:r>
      <w:r w:rsidR="001211A0">
        <w:t>e</w:t>
      </w:r>
      <w:r w:rsidRPr="001B5229">
        <w:tab/>
      </w:r>
      <w:r w:rsidRPr="001B5229">
        <w:tab/>
      </w:r>
      <w:r w:rsidRPr="001B5229">
        <w:tab/>
      </w:r>
      <w:r w:rsidRPr="001B5229">
        <w:tab/>
      </w:r>
      <w:r>
        <w:tab/>
      </w:r>
      <w:r w:rsidRPr="001B5229">
        <w:tab/>
      </w:r>
      <w:r w:rsidR="001211A0">
        <w:t xml:space="preserve">            I. Stepanova</w:t>
      </w:r>
    </w:p>
    <w:p w:rsidR="00AB19B6" w:rsidP="00A07C74" w:rsidRDefault="00AB19B6" w14:paraId="3A1C4304" w14:textId="77777777">
      <w:pPr>
        <w:jc w:val="both"/>
        <w:rPr>
          <w:sz w:val="20"/>
          <w:lang w:val="de-DE"/>
        </w:rPr>
      </w:pPr>
    </w:p>
    <w:p w:rsidR="00AB19B6" w:rsidP="00A07C74" w:rsidRDefault="00AB19B6" w14:paraId="6943CD49" w14:textId="77777777">
      <w:pPr>
        <w:jc w:val="both"/>
        <w:rPr>
          <w:sz w:val="20"/>
          <w:lang w:val="de-DE"/>
        </w:rPr>
      </w:pPr>
    </w:p>
    <w:p w:rsidR="00B70025" w:rsidP="00347938" w:rsidRDefault="00B70025" w14:paraId="1F335941" w14:textId="77777777">
      <w:pPr>
        <w:jc w:val="both"/>
        <w:rPr>
          <w:sz w:val="20"/>
          <w:lang w:val="de-DE"/>
        </w:rPr>
      </w:pPr>
    </w:p>
    <w:p w:rsidR="00A07C74" w:rsidP="00347938" w:rsidRDefault="00B70025" w14:paraId="69276BBE" w14:textId="56AF53EC">
      <w:pPr>
        <w:jc w:val="both"/>
        <w:rPr>
          <w:sz w:val="20"/>
          <w:lang w:val="de-DE"/>
        </w:rPr>
      </w:pPr>
      <w:r>
        <w:rPr>
          <w:sz w:val="20"/>
          <w:lang w:val="de-DE"/>
        </w:rPr>
        <w:t>Bērziņa</w:t>
      </w:r>
      <w:r w:rsidR="00A07C74">
        <w:rPr>
          <w:sz w:val="20"/>
          <w:lang w:val="de-DE"/>
        </w:rPr>
        <w:t>, 67028</w:t>
      </w:r>
      <w:r>
        <w:rPr>
          <w:sz w:val="20"/>
          <w:lang w:val="de-DE"/>
        </w:rPr>
        <w:t>083</w:t>
      </w:r>
    </w:p>
    <w:p w:rsidR="006E267F" w:rsidP="00F851B4" w:rsidRDefault="00837418" w14:paraId="7C96A7CE" w14:textId="17202B24">
      <w:pPr>
        <w:jc w:val="both"/>
        <w:rPr>
          <w:rStyle w:val="Hyperlink"/>
          <w:sz w:val="20"/>
          <w:lang w:val="de-DE"/>
        </w:rPr>
      </w:pPr>
      <w:hyperlink w:history="1" r:id="rId8">
        <w:r w:rsidRPr="00B02335" w:rsidR="006E267F">
          <w:rPr>
            <w:rStyle w:val="Hyperlink"/>
            <w:sz w:val="20"/>
            <w:lang w:val="de-DE"/>
          </w:rPr>
          <w:t>Olita.Berzina@sam.gov.lv</w:t>
        </w:r>
      </w:hyperlink>
    </w:p>
    <w:sectPr w:rsidR="006E267F" w:rsidSect="008A4360">
      <w:headerReference w:type="even" r:id="rId9"/>
      <w:headerReference w:type="default" r:id="rId10"/>
      <w:footerReference w:type="default" r:id="rId11"/>
      <w:footerReference w:type="first" r:id="rId12"/>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B11D" w14:textId="77777777" w:rsidR="00365259" w:rsidRDefault="00365259">
      <w:r>
        <w:separator/>
      </w:r>
    </w:p>
  </w:endnote>
  <w:endnote w:type="continuationSeparator" w:id="0">
    <w:p w14:paraId="658A2D03" w14:textId="77777777" w:rsidR="00365259" w:rsidRDefault="003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B2E" w14:textId="613319C6" w:rsidR="007A4534" w:rsidRPr="0010357C" w:rsidRDefault="007A4534" w:rsidP="00685C10">
    <w:pPr>
      <w:pStyle w:val="Footer"/>
      <w:jc w:val="both"/>
      <w:rPr>
        <w:sz w:val="18"/>
        <w:szCs w:val="22"/>
      </w:rPr>
    </w:pPr>
    <w:r w:rsidRPr="000B028F">
      <w:rPr>
        <w:sz w:val="18"/>
        <w:szCs w:val="22"/>
      </w:rPr>
      <w:t>SM</w:t>
    </w:r>
    <w:r>
      <w:rPr>
        <w:sz w:val="18"/>
        <w:szCs w:val="22"/>
      </w:rPr>
      <w:t>a</w:t>
    </w:r>
    <w:r w:rsidRPr="000B028F">
      <w:rPr>
        <w:sz w:val="18"/>
        <w:szCs w:val="22"/>
      </w:rPr>
      <w:t>not_</w:t>
    </w:r>
    <w:r>
      <w:rPr>
        <w:sz w:val="18"/>
        <w:szCs w:val="22"/>
      </w:rPr>
      <w:t>150920_RBRpvnQ1Q2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8342" w14:textId="26BD5E34" w:rsidR="007A4534" w:rsidRPr="008118CB" w:rsidRDefault="007A4534" w:rsidP="008118CB">
    <w:pPr>
      <w:pStyle w:val="Footer"/>
    </w:pPr>
    <w:r w:rsidRPr="000B028F">
      <w:rPr>
        <w:sz w:val="18"/>
        <w:szCs w:val="22"/>
      </w:rPr>
      <w:t>SM</w:t>
    </w:r>
    <w:r>
      <w:rPr>
        <w:sz w:val="18"/>
        <w:szCs w:val="22"/>
      </w:rPr>
      <w:t>a</w:t>
    </w:r>
    <w:r w:rsidRPr="000B028F">
      <w:rPr>
        <w:sz w:val="18"/>
        <w:szCs w:val="22"/>
      </w:rPr>
      <w:t>not_</w:t>
    </w:r>
    <w:r>
      <w:rPr>
        <w:sz w:val="18"/>
        <w:szCs w:val="22"/>
      </w:rPr>
      <w:t>270820_RBRpvn1Q2020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FFCD" w14:textId="77777777" w:rsidR="00365259" w:rsidRDefault="00365259">
      <w:r>
        <w:separator/>
      </w:r>
    </w:p>
  </w:footnote>
  <w:footnote w:type="continuationSeparator" w:id="0">
    <w:p w14:paraId="214948C1" w14:textId="77777777" w:rsidR="00365259" w:rsidRDefault="0036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7A4534"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34" w:rsidRDefault="007A4534"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7A4534" w14:paraId="26A80ACE" w14:textId="20F7C566">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A4534" w:rsidRDefault="007A4534"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132F1"/>
    <w:rsid w:val="00015AD0"/>
    <w:rsid w:val="00017065"/>
    <w:rsid w:val="00031E8A"/>
    <w:rsid w:val="0003249F"/>
    <w:rsid w:val="00035B6C"/>
    <w:rsid w:val="000409DB"/>
    <w:rsid w:val="00040BE5"/>
    <w:rsid w:val="000429A5"/>
    <w:rsid w:val="00042C6C"/>
    <w:rsid w:val="00045A51"/>
    <w:rsid w:val="00046659"/>
    <w:rsid w:val="000466C5"/>
    <w:rsid w:val="00050D3F"/>
    <w:rsid w:val="00053AE9"/>
    <w:rsid w:val="00053CCF"/>
    <w:rsid w:val="000565F6"/>
    <w:rsid w:val="00057391"/>
    <w:rsid w:val="000603F5"/>
    <w:rsid w:val="00065350"/>
    <w:rsid w:val="00070E41"/>
    <w:rsid w:val="0007497A"/>
    <w:rsid w:val="000749F7"/>
    <w:rsid w:val="00080FFA"/>
    <w:rsid w:val="00086521"/>
    <w:rsid w:val="00087A5F"/>
    <w:rsid w:val="000A1525"/>
    <w:rsid w:val="000A34E3"/>
    <w:rsid w:val="000A5FD7"/>
    <w:rsid w:val="000B028F"/>
    <w:rsid w:val="000B2A2A"/>
    <w:rsid w:val="000B7961"/>
    <w:rsid w:val="000C2864"/>
    <w:rsid w:val="000C64FE"/>
    <w:rsid w:val="000D1545"/>
    <w:rsid w:val="000D7170"/>
    <w:rsid w:val="000F5E68"/>
    <w:rsid w:val="001022DC"/>
    <w:rsid w:val="0010357C"/>
    <w:rsid w:val="00112AE1"/>
    <w:rsid w:val="00114403"/>
    <w:rsid w:val="00116EAB"/>
    <w:rsid w:val="001211A0"/>
    <w:rsid w:val="00133FA8"/>
    <w:rsid w:val="00140160"/>
    <w:rsid w:val="00151ADB"/>
    <w:rsid w:val="0015266D"/>
    <w:rsid w:val="0015310B"/>
    <w:rsid w:val="001600F8"/>
    <w:rsid w:val="0016067D"/>
    <w:rsid w:val="00160B2B"/>
    <w:rsid w:val="00174BC5"/>
    <w:rsid w:val="00185139"/>
    <w:rsid w:val="0019314F"/>
    <w:rsid w:val="00193B74"/>
    <w:rsid w:val="00193B8F"/>
    <w:rsid w:val="00194D1F"/>
    <w:rsid w:val="001958CA"/>
    <w:rsid w:val="001A165C"/>
    <w:rsid w:val="001A5BBD"/>
    <w:rsid w:val="001B26EA"/>
    <w:rsid w:val="001B3877"/>
    <w:rsid w:val="001B5229"/>
    <w:rsid w:val="001C3289"/>
    <w:rsid w:val="001C596E"/>
    <w:rsid w:val="001D1FD8"/>
    <w:rsid w:val="001D5705"/>
    <w:rsid w:val="001E055A"/>
    <w:rsid w:val="001E23F3"/>
    <w:rsid w:val="001F5EC9"/>
    <w:rsid w:val="002015B1"/>
    <w:rsid w:val="00210E7D"/>
    <w:rsid w:val="00211ACB"/>
    <w:rsid w:val="00214104"/>
    <w:rsid w:val="00214A64"/>
    <w:rsid w:val="00217FDF"/>
    <w:rsid w:val="00222ECE"/>
    <w:rsid w:val="00224145"/>
    <w:rsid w:val="002259BB"/>
    <w:rsid w:val="0023642E"/>
    <w:rsid w:val="00242C7F"/>
    <w:rsid w:val="00243F3F"/>
    <w:rsid w:val="002445E7"/>
    <w:rsid w:val="0025232A"/>
    <w:rsid w:val="0025260A"/>
    <w:rsid w:val="002570B6"/>
    <w:rsid w:val="00263389"/>
    <w:rsid w:val="0026408B"/>
    <w:rsid w:val="0026418D"/>
    <w:rsid w:val="00265EEE"/>
    <w:rsid w:val="00266533"/>
    <w:rsid w:val="00266CCF"/>
    <w:rsid w:val="00267545"/>
    <w:rsid w:val="00270B21"/>
    <w:rsid w:val="00271275"/>
    <w:rsid w:val="00273B40"/>
    <w:rsid w:val="00280AFA"/>
    <w:rsid w:val="002818AA"/>
    <w:rsid w:val="00283081"/>
    <w:rsid w:val="0028450A"/>
    <w:rsid w:val="002847B9"/>
    <w:rsid w:val="00284F1A"/>
    <w:rsid w:val="00292D49"/>
    <w:rsid w:val="00296A16"/>
    <w:rsid w:val="002A5686"/>
    <w:rsid w:val="002A6CB2"/>
    <w:rsid w:val="002B3937"/>
    <w:rsid w:val="002B6D79"/>
    <w:rsid w:val="002C12B2"/>
    <w:rsid w:val="002C19C8"/>
    <w:rsid w:val="002C415F"/>
    <w:rsid w:val="002C67DB"/>
    <w:rsid w:val="002C6966"/>
    <w:rsid w:val="002D084B"/>
    <w:rsid w:val="002D0BBC"/>
    <w:rsid w:val="002E33F0"/>
    <w:rsid w:val="002E368A"/>
    <w:rsid w:val="002F3244"/>
    <w:rsid w:val="002F65C2"/>
    <w:rsid w:val="002F7C9B"/>
    <w:rsid w:val="00301F99"/>
    <w:rsid w:val="003041A8"/>
    <w:rsid w:val="003067D0"/>
    <w:rsid w:val="00307BB2"/>
    <w:rsid w:val="00311E42"/>
    <w:rsid w:val="0031789E"/>
    <w:rsid w:val="00320CA4"/>
    <w:rsid w:val="00337D02"/>
    <w:rsid w:val="00347938"/>
    <w:rsid w:val="0036265B"/>
    <w:rsid w:val="00362E1D"/>
    <w:rsid w:val="003636F7"/>
    <w:rsid w:val="00364987"/>
    <w:rsid w:val="00365259"/>
    <w:rsid w:val="00376DA9"/>
    <w:rsid w:val="003778DC"/>
    <w:rsid w:val="0038036C"/>
    <w:rsid w:val="0038210A"/>
    <w:rsid w:val="00385F5D"/>
    <w:rsid w:val="00393273"/>
    <w:rsid w:val="00396753"/>
    <w:rsid w:val="003B2A56"/>
    <w:rsid w:val="003C0601"/>
    <w:rsid w:val="003C2C23"/>
    <w:rsid w:val="003C451C"/>
    <w:rsid w:val="003D09CC"/>
    <w:rsid w:val="003D0CD2"/>
    <w:rsid w:val="003D49CF"/>
    <w:rsid w:val="003E1559"/>
    <w:rsid w:val="003E44EF"/>
    <w:rsid w:val="003E5142"/>
    <w:rsid w:val="003E72CB"/>
    <w:rsid w:val="003F71ED"/>
    <w:rsid w:val="00400BC0"/>
    <w:rsid w:val="00402252"/>
    <w:rsid w:val="004106E9"/>
    <w:rsid w:val="004216B6"/>
    <w:rsid w:val="00421D08"/>
    <w:rsid w:val="0042239C"/>
    <w:rsid w:val="004230A1"/>
    <w:rsid w:val="00424A68"/>
    <w:rsid w:val="00425364"/>
    <w:rsid w:val="0042548E"/>
    <w:rsid w:val="00425DD9"/>
    <w:rsid w:val="00425EE4"/>
    <w:rsid w:val="00426252"/>
    <w:rsid w:val="00441797"/>
    <w:rsid w:val="004428F2"/>
    <w:rsid w:val="00442D77"/>
    <w:rsid w:val="004430B0"/>
    <w:rsid w:val="00444193"/>
    <w:rsid w:val="00450B1F"/>
    <w:rsid w:val="00452204"/>
    <w:rsid w:val="0045278C"/>
    <w:rsid w:val="004564E0"/>
    <w:rsid w:val="0046534C"/>
    <w:rsid w:val="00467953"/>
    <w:rsid w:val="00471595"/>
    <w:rsid w:val="00471FE3"/>
    <w:rsid w:val="00472011"/>
    <w:rsid w:val="00477167"/>
    <w:rsid w:val="00482BB3"/>
    <w:rsid w:val="00490452"/>
    <w:rsid w:val="004908C3"/>
    <w:rsid w:val="004916A5"/>
    <w:rsid w:val="00493E2A"/>
    <w:rsid w:val="00495C87"/>
    <w:rsid w:val="004A3AE0"/>
    <w:rsid w:val="004A6913"/>
    <w:rsid w:val="004B1EA5"/>
    <w:rsid w:val="004B364B"/>
    <w:rsid w:val="004B4548"/>
    <w:rsid w:val="004B479B"/>
    <w:rsid w:val="004C1B5F"/>
    <w:rsid w:val="004C635C"/>
    <w:rsid w:val="004C6C3B"/>
    <w:rsid w:val="004D30EC"/>
    <w:rsid w:val="004D7731"/>
    <w:rsid w:val="004E0B23"/>
    <w:rsid w:val="004E1330"/>
    <w:rsid w:val="004F1CD7"/>
    <w:rsid w:val="004F2306"/>
    <w:rsid w:val="004F3EB1"/>
    <w:rsid w:val="004F76A6"/>
    <w:rsid w:val="005018F5"/>
    <w:rsid w:val="00507027"/>
    <w:rsid w:val="00511031"/>
    <w:rsid w:val="00512CF6"/>
    <w:rsid w:val="00522D7E"/>
    <w:rsid w:val="00524A7C"/>
    <w:rsid w:val="00525089"/>
    <w:rsid w:val="005262C6"/>
    <w:rsid w:val="00526336"/>
    <w:rsid w:val="00534552"/>
    <w:rsid w:val="00542AA6"/>
    <w:rsid w:val="00551A0F"/>
    <w:rsid w:val="00552DA9"/>
    <w:rsid w:val="005562C2"/>
    <w:rsid w:val="00556E46"/>
    <w:rsid w:val="00561492"/>
    <w:rsid w:val="005679B3"/>
    <w:rsid w:val="005811B5"/>
    <w:rsid w:val="00584DFC"/>
    <w:rsid w:val="00590AAF"/>
    <w:rsid w:val="005A01E7"/>
    <w:rsid w:val="005A0432"/>
    <w:rsid w:val="005A2218"/>
    <w:rsid w:val="005A4FE6"/>
    <w:rsid w:val="005B129B"/>
    <w:rsid w:val="005B205D"/>
    <w:rsid w:val="005B20D1"/>
    <w:rsid w:val="005B3F46"/>
    <w:rsid w:val="005C5307"/>
    <w:rsid w:val="005D16E8"/>
    <w:rsid w:val="005D488E"/>
    <w:rsid w:val="005D73F7"/>
    <w:rsid w:val="005D7798"/>
    <w:rsid w:val="005F0E10"/>
    <w:rsid w:val="005F5E0A"/>
    <w:rsid w:val="00607541"/>
    <w:rsid w:val="006243B1"/>
    <w:rsid w:val="00624D16"/>
    <w:rsid w:val="00631147"/>
    <w:rsid w:val="00631A0D"/>
    <w:rsid w:val="006329CD"/>
    <w:rsid w:val="006349E0"/>
    <w:rsid w:val="006428E8"/>
    <w:rsid w:val="00647EB4"/>
    <w:rsid w:val="00654A9C"/>
    <w:rsid w:val="00655AC1"/>
    <w:rsid w:val="006651BC"/>
    <w:rsid w:val="00665649"/>
    <w:rsid w:val="00666871"/>
    <w:rsid w:val="00673BF6"/>
    <w:rsid w:val="006817DF"/>
    <w:rsid w:val="00685C10"/>
    <w:rsid w:val="0068616F"/>
    <w:rsid w:val="0069095A"/>
    <w:rsid w:val="00691DA6"/>
    <w:rsid w:val="00696675"/>
    <w:rsid w:val="006A050C"/>
    <w:rsid w:val="006A3879"/>
    <w:rsid w:val="006A50EF"/>
    <w:rsid w:val="006A773F"/>
    <w:rsid w:val="006B3758"/>
    <w:rsid w:val="006B4CC0"/>
    <w:rsid w:val="006B5A84"/>
    <w:rsid w:val="006C6346"/>
    <w:rsid w:val="006D0198"/>
    <w:rsid w:val="006E267F"/>
    <w:rsid w:val="006E646F"/>
    <w:rsid w:val="006F59AA"/>
    <w:rsid w:val="007002EC"/>
    <w:rsid w:val="00704F52"/>
    <w:rsid w:val="00706EC0"/>
    <w:rsid w:val="0070704B"/>
    <w:rsid w:val="0071109C"/>
    <w:rsid w:val="007134E9"/>
    <w:rsid w:val="00714EBF"/>
    <w:rsid w:val="007167C1"/>
    <w:rsid w:val="00722FB0"/>
    <w:rsid w:val="00723C29"/>
    <w:rsid w:val="007270FE"/>
    <w:rsid w:val="00730D52"/>
    <w:rsid w:val="00730DF7"/>
    <w:rsid w:val="0073288E"/>
    <w:rsid w:val="0073717E"/>
    <w:rsid w:val="007409BD"/>
    <w:rsid w:val="00743B1D"/>
    <w:rsid w:val="007544FB"/>
    <w:rsid w:val="00760BEE"/>
    <w:rsid w:val="007624CB"/>
    <w:rsid w:val="007648C6"/>
    <w:rsid w:val="00766C82"/>
    <w:rsid w:val="0077343C"/>
    <w:rsid w:val="00783B65"/>
    <w:rsid w:val="00784639"/>
    <w:rsid w:val="00790453"/>
    <w:rsid w:val="0079480C"/>
    <w:rsid w:val="00795DED"/>
    <w:rsid w:val="007A00DB"/>
    <w:rsid w:val="007A2691"/>
    <w:rsid w:val="007A4534"/>
    <w:rsid w:val="007A6B1E"/>
    <w:rsid w:val="007B0914"/>
    <w:rsid w:val="007B2CFD"/>
    <w:rsid w:val="007C0D0B"/>
    <w:rsid w:val="007D1CF2"/>
    <w:rsid w:val="007E3B54"/>
    <w:rsid w:val="007E71AD"/>
    <w:rsid w:val="007F618B"/>
    <w:rsid w:val="007F6693"/>
    <w:rsid w:val="008118CB"/>
    <w:rsid w:val="008130A6"/>
    <w:rsid w:val="00813DDC"/>
    <w:rsid w:val="00813FAA"/>
    <w:rsid w:val="008145E9"/>
    <w:rsid w:val="008149EF"/>
    <w:rsid w:val="00814BE1"/>
    <w:rsid w:val="0081583E"/>
    <w:rsid w:val="008174BC"/>
    <w:rsid w:val="00817914"/>
    <w:rsid w:val="008226A2"/>
    <w:rsid w:val="008244ED"/>
    <w:rsid w:val="008325D9"/>
    <w:rsid w:val="00832FEE"/>
    <w:rsid w:val="00837418"/>
    <w:rsid w:val="00837EB6"/>
    <w:rsid w:val="008421FB"/>
    <w:rsid w:val="00845895"/>
    <w:rsid w:val="00851118"/>
    <w:rsid w:val="00855303"/>
    <w:rsid w:val="0086411E"/>
    <w:rsid w:val="008654FB"/>
    <w:rsid w:val="00871886"/>
    <w:rsid w:val="00877C79"/>
    <w:rsid w:val="00882088"/>
    <w:rsid w:val="00896328"/>
    <w:rsid w:val="008A4360"/>
    <w:rsid w:val="008A5452"/>
    <w:rsid w:val="008B2B5A"/>
    <w:rsid w:val="008C111F"/>
    <w:rsid w:val="008C79D6"/>
    <w:rsid w:val="008D0A5C"/>
    <w:rsid w:val="008D5029"/>
    <w:rsid w:val="008F3DAF"/>
    <w:rsid w:val="008F4BD9"/>
    <w:rsid w:val="009006CE"/>
    <w:rsid w:val="00900CD8"/>
    <w:rsid w:val="0090423F"/>
    <w:rsid w:val="009071E8"/>
    <w:rsid w:val="009126B5"/>
    <w:rsid w:val="009205CB"/>
    <w:rsid w:val="00922D8A"/>
    <w:rsid w:val="00923014"/>
    <w:rsid w:val="00932C3F"/>
    <w:rsid w:val="00932F2F"/>
    <w:rsid w:val="009352ED"/>
    <w:rsid w:val="00936E6C"/>
    <w:rsid w:val="009377A6"/>
    <w:rsid w:val="0094189D"/>
    <w:rsid w:val="009425EC"/>
    <w:rsid w:val="009435AA"/>
    <w:rsid w:val="0095036E"/>
    <w:rsid w:val="00955B92"/>
    <w:rsid w:val="00963117"/>
    <w:rsid w:val="0096329D"/>
    <w:rsid w:val="00971E56"/>
    <w:rsid w:val="00976BA0"/>
    <w:rsid w:val="00976FCC"/>
    <w:rsid w:val="009813B1"/>
    <w:rsid w:val="009834D7"/>
    <w:rsid w:val="009837FA"/>
    <w:rsid w:val="0098745E"/>
    <w:rsid w:val="00995758"/>
    <w:rsid w:val="00995F83"/>
    <w:rsid w:val="009A0AC2"/>
    <w:rsid w:val="009B59E5"/>
    <w:rsid w:val="009C0E81"/>
    <w:rsid w:val="009D2E32"/>
    <w:rsid w:val="009E4AF5"/>
    <w:rsid w:val="009E6638"/>
    <w:rsid w:val="009E72EA"/>
    <w:rsid w:val="009E79CD"/>
    <w:rsid w:val="00A03C4F"/>
    <w:rsid w:val="00A07953"/>
    <w:rsid w:val="00A07C74"/>
    <w:rsid w:val="00A13DD4"/>
    <w:rsid w:val="00A14385"/>
    <w:rsid w:val="00A157A3"/>
    <w:rsid w:val="00A1787D"/>
    <w:rsid w:val="00A202FB"/>
    <w:rsid w:val="00A264E4"/>
    <w:rsid w:val="00A31EBA"/>
    <w:rsid w:val="00A34682"/>
    <w:rsid w:val="00A358C9"/>
    <w:rsid w:val="00A36D3E"/>
    <w:rsid w:val="00A40B8F"/>
    <w:rsid w:val="00A40F9F"/>
    <w:rsid w:val="00A500A3"/>
    <w:rsid w:val="00A51261"/>
    <w:rsid w:val="00A52E93"/>
    <w:rsid w:val="00A552DF"/>
    <w:rsid w:val="00A562A4"/>
    <w:rsid w:val="00A60C63"/>
    <w:rsid w:val="00A64132"/>
    <w:rsid w:val="00A707E9"/>
    <w:rsid w:val="00A73BF1"/>
    <w:rsid w:val="00A749BF"/>
    <w:rsid w:val="00A74FA0"/>
    <w:rsid w:val="00A808EA"/>
    <w:rsid w:val="00A81DB1"/>
    <w:rsid w:val="00A869D9"/>
    <w:rsid w:val="00A91024"/>
    <w:rsid w:val="00A937EC"/>
    <w:rsid w:val="00A94C3D"/>
    <w:rsid w:val="00A9541E"/>
    <w:rsid w:val="00A96F01"/>
    <w:rsid w:val="00AB092E"/>
    <w:rsid w:val="00AB19B6"/>
    <w:rsid w:val="00AC2AB3"/>
    <w:rsid w:val="00AD4C39"/>
    <w:rsid w:val="00AF00E1"/>
    <w:rsid w:val="00AF09E6"/>
    <w:rsid w:val="00AF3696"/>
    <w:rsid w:val="00B01116"/>
    <w:rsid w:val="00B07EAC"/>
    <w:rsid w:val="00B12CE8"/>
    <w:rsid w:val="00B23334"/>
    <w:rsid w:val="00B23F2F"/>
    <w:rsid w:val="00B24DD3"/>
    <w:rsid w:val="00B3088C"/>
    <w:rsid w:val="00B36B09"/>
    <w:rsid w:val="00B375A8"/>
    <w:rsid w:val="00B37EEF"/>
    <w:rsid w:val="00B41703"/>
    <w:rsid w:val="00B4250B"/>
    <w:rsid w:val="00B425B2"/>
    <w:rsid w:val="00B44033"/>
    <w:rsid w:val="00B44116"/>
    <w:rsid w:val="00B44E39"/>
    <w:rsid w:val="00B47DF7"/>
    <w:rsid w:val="00B502BC"/>
    <w:rsid w:val="00B512EB"/>
    <w:rsid w:val="00B564D4"/>
    <w:rsid w:val="00B57AA9"/>
    <w:rsid w:val="00B61B0A"/>
    <w:rsid w:val="00B6446E"/>
    <w:rsid w:val="00B657F4"/>
    <w:rsid w:val="00B67BAC"/>
    <w:rsid w:val="00B70025"/>
    <w:rsid w:val="00B7191F"/>
    <w:rsid w:val="00B774F4"/>
    <w:rsid w:val="00B85697"/>
    <w:rsid w:val="00B85D07"/>
    <w:rsid w:val="00B90538"/>
    <w:rsid w:val="00B90AC5"/>
    <w:rsid w:val="00B92364"/>
    <w:rsid w:val="00B95C61"/>
    <w:rsid w:val="00B979E4"/>
    <w:rsid w:val="00BA0D43"/>
    <w:rsid w:val="00BA2A96"/>
    <w:rsid w:val="00BA3A69"/>
    <w:rsid w:val="00BB3200"/>
    <w:rsid w:val="00BB37A2"/>
    <w:rsid w:val="00BB47C6"/>
    <w:rsid w:val="00BC3EA3"/>
    <w:rsid w:val="00BD54C1"/>
    <w:rsid w:val="00BD5835"/>
    <w:rsid w:val="00BD6430"/>
    <w:rsid w:val="00BE1AF8"/>
    <w:rsid w:val="00BE1CA2"/>
    <w:rsid w:val="00BE29DE"/>
    <w:rsid w:val="00BE60B5"/>
    <w:rsid w:val="00BE745B"/>
    <w:rsid w:val="00BF22FF"/>
    <w:rsid w:val="00BF36C7"/>
    <w:rsid w:val="00BF5CD7"/>
    <w:rsid w:val="00BF6765"/>
    <w:rsid w:val="00C007C7"/>
    <w:rsid w:val="00C064D2"/>
    <w:rsid w:val="00C11989"/>
    <w:rsid w:val="00C174C3"/>
    <w:rsid w:val="00C301C6"/>
    <w:rsid w:val="00C33016"/>
    <w:rsid w:val="00C3333C"/>
    <w:rsid w:val="00C34D8D"/>
    <w:rsid w:val="00C46D3A"/>
    <w:rsid w:val="00C475B3"/>
    <w:rsid w:val="00C50543"/>
    <w:rsid w:val="00C55A8C"/>
    <w:rsid w:val="00C601C7"/>
    <w:rsid w:val="00C61874"/>
    <w:rsid w:val="00C662DA"/>
    <w:rsid w:val="00C73D32"/>
    <w:rsid w:val="00C75770"/>
    <w:rsid w:val="00C802CC"/>
    <w:rsid w:val="00C8204F"/>
    <w:rsid w:val="00C850AB"/>
    <w:rsid w:val="00C87A6A"/>
    <w:rsid w:val="00C91239"/>
    <w:rsid w:val="00C91E1A"/>
    <w:rsid w:val="00C9260B"/>
    <w:rsid w:val="00CA33DE"/>
    <w:rsid w:val="00CA729C"/>
    <w:rsid w:val="00CB060E"/>
    <w:rsid w:val="00CB12C8"/>
    <w:rsid w:val="00CB661A"/>
    <w:rsid w:val="00CB6894"/>
    <w:rsid w:val="00CC07AE"/>
    <w:rsid w:val="00CC2357"/>
    <w:rsid w:val="00CC3798"/>
    <w:rsid w:val="00CC5DCC"/>
    <w:rsid w:val="00CD1A80"/>
    <w:rsid w:val="00CD4D18"/>
    <w:rsid w:val="00CD4F77"/>
    <w:rsid w:val="00CD557A"/>
    <w:rsid w:val="00CE731F"/>
    <w:rsid w:val="00CF08F2"/>
    <w:rsid w:val="00CF150A"/>
    <w:rsid w:val="00CF19DA"/>
    <w:rsid w:val="00CF1F58"/>
    <w:rsid w:val="00CF28E5"/>
    <w:rsid w:val="00D01CAD"/>
    <w:rsid w:val="00D02649"/>
    <w:rsid w:val="00D02FF4"/>
    <w:rsid w:val="00D14096"/>
    <w:rsid w:val="00D21C15"/>
    <w:rsid w:val="00D22884"/>
    <w:rsid w:val="00D353DC"/>
    <w:rsid w:val="00D368BB"/>
    <w:rsid w:val="00D46453"/>
    <w:rsid w:val="00D46A40"/>
    <w:rsid w:val="00D47D98"/>
    <w:rsid w:val="00D509AB"/>
    <w:rsid w:val="00D524E9"/>
    <w:rsid w:val="00D53FCE"/>
    <w:rsid w:val="00D55699"/>
    <w:rsid w:val="00D63E48"/>
    <w:rsid w:val="00D66A97"/>
    <w:rsid w:val="00D716A3"/>
    <w:rsid w:val="00D73261"/>
    <w:rsid w:val="00D76D09"/>
    <w:rsid w:val="00D77963"/>
    <w:rsid w:val="00D84D08"/>
    <w:rsid w:val="00D84DDE"/>
    <w:rsid w:val="00D92EA4"/>
    <w:rsid w:val="00D9396E"/>
    <w:rsid w:val="00D93D77"/>
    <w:rsid w:val="00DA1510"/>
    <w:rsid w:val="00DA2B47"/>
    <w:rsid w:val="00DA4E09"/>
    <w:rsid w:val="00DA5F12"/>
    <w:rsid w:val="00DB17A1"/>
    <w:rsid w:val="00DB4A10"/>
    <w:rsid w:val="00DB6C3B"/>
    <w:rsid w:val="00DC1B44"/>
    <w:rsid w:val="00DD2BD2"/>
    <w:rsid w:val="00DD7BA8"/>
    <w:rsid w:val="00DE1992"/>
    <w:rsid w:val="00DE1FF2"/>
    <w:rsid w:val="00DE2C8A"/>
    <w:rsid w:val="00DE3F16"/>
    <w:rsid w:val="00DE726E"/>
    <w:rsid w:val="00DE732F"/>
    <w:rsid w:val="00DE785B"/>
    <w:rsid w:val="00DF2574"/>
    <w:rsid w:val="00DF4BAF"/>
    <w:rsid w:val="00E023A2"/>
    <w:rsid w:val="00E02DDC"/>
    <w:rsid w:val="00E04970"/>
    <w:rsid w:val="00E242E1"/>
    <w:rsid w:val="00E25F52"/>
    <w:rsid w:val="00E26C37"/>
    <w:rsid w:val="00E276CC"/>
    <w:rsid w:val="00E35A8C"/>
    <w:rsid w:val="00E40874"/>
    <w:rsid w:val="00E4789B"/>
    <w:rsid w:val="00E55E4C"/>
    <w:rsid w:val="00E57093"/>
    <w:rsid w:val="00E6072B"/>
    <w:rsid w:val="00E62B3A"/>
    <w:rsid w:val="00E679D4"/>
    <w:rsid w:val="00E73AEA"/>
    <w:rsid w:val="00E7474A"/>
    <w:rsid w:val="00E77A10"/>
    <w:rsid w:val="00E85221"/>
    <w:rsid w:val="00E878B1"/>
    <w:rsid w:val="00E91929"/>
    <w:rsid w:val="00E929EE"/>
    <w:rsid w:val="00E95666"/>
    <w:rsid w:val="00E96649"/>
    <w:rsid w:val="00EA0862"/>
    <w:rsid w:val="00EA2AD2"/>
    <w:rsid w:val="00EA4942"/>
    <w:rsid w:val="00EB2E5B"/>
    <w:rsid w:val="00EB60B6"/>
    <w:rsid w:val="00EC120E"/>
    <w:rsid w:val="00ED371E"/>
    <w:rsid w:val="00ED7F6A"/>
    <w:rsid w:val="00EE2BB5"/>
    <w:rsid w:val="00EE2CB7"/>
    <w:rsid w:val="00EE39A4"/>
    <w:rsid w:val="00EE5B1B"/>
    <w:rsid w:val="00EE62DA"/>
    <w:rsid w:val="00EF1F92"/>
    <w:rsid w:val="00F03978"/>
    <w:rsid w:val="00F07A23"/>
    <w:rsid w:val="00F10285"/>
    <w:rsid w:val="00F10CDA"/>
    <w:rsid w:val="00F26BDD"/>
    <w:rsid w:val="00F26EF5"/>
    <w:rsid w:val="00F32255"/>
    <w:rsid w:val="00F350F3"/>
    <w:rsid w:val="00F3681D"/>
    <w:rsid w:val="00F42482"/>
    <w:rsid w:val="00F5359F"/>
    <w:rsid w:val="00F53CDE"/>
    <w:rsid w:val="00F6070B"/>
    <w:rsid w:val="00F629D2"/>
    <w:rsid w:val="00F65CCB"/>
    <w:rsid w:val="00F67A29"/>
    <w:rsid w:val="00F71A58"/>
    <w:rsid w:val="00F75681"/>
    <w:rsid w:val="00F81B68"/>
    <w:rsid w:val="00F83202"/>
    <w:rsid w:val="00F85088"/>
    <w:rsid w:val="00F851B4"/>
    <w:rsid w:val="00F904B8"/>
    <w:rsid w:val="00F9124E"/>
    <w:rsid w:val="00F93E7A"/>
    <w:rsid w:val="00F94BF1"/>
    <w:rsid w:val="00F96F9F"/>
    <w:rsid w:val="00FA208D"/>
    <w:rsid w:val="00FB61FF"/>
    <w:rsid w:val="00FB6748"/>
    <w:rsid w:val="00FC0E2E"/>
    <w:rsid w:val="00FC1D0C"/>
    <w:rsid w:val="00FC334A"/>
    <w:rsid w:val="00FD17C1"/>
    <w:rsid w:val="00FD507C"/>
    <w:rsid w:val="00FD7418"/>
    <w:rsid w:val="00FE0063"/>
    <w:rsid w:val="00FE3D4E"/>
    <w:rsid w:val="00FE5137"/>
    <w:rsid w:val="00FE7DCB"/>
    <w:rsid w:val="00FF3E44"/>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rsid w:val="00A34682"/>
    <w:rPr>
      <w:sz w:val="20"/>
      <w:szCs w:val="20"/>
    </w:rPr>
  </w:style>
  <w:style w:type="character" w:customStyle="1" w:styleId="FootnoteTextChar">
    <w:name w:val="Footnote Text Char"/>
    <w:basedOn w:val="DefaultParagraphFont"/>
    <w:link w:val="FootnoteText"/>
    <w:rsid w:val="00A34682"/>
  </w:style>
  <w:style w:type="character" w:styleId="FootnoteReference">
    <w:name w:val="footnote reference"/>
    <w:basedOn w:val="DefaultParagraphFont"/>
    <w:rsid w:val="00A34682"/>
    <w:rPr>
      <w:vertAlign w:val="superscript"/>
    </w:rPr>
  </w:style>
  <w:style w:type="table" w:styleId="TableGrid">
    <w:name w:val="Table Grid"/>
    <w:basedOn w:val="TableNormal"/>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styleId="UnresolvedMention">
    <w:name w:val="Unresolved Mention"/>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F6D5-AB41-4204-895F-AA59AF73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7812</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rīkojums "Par pievienotās vērtības nodokļa summas, kas nav atgūstama kā priekšnodoklis, kompensēšanu Igaunijas Republikai un Lietuvas Republikai akciju sabiedrības “RB Rail” veikto aktivitāšu ietvaros"</vt:lpstr>
    </vt:vector>
  </TitlesOfParts>
  <Company>Satiksmes Ministrija</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pievienotās vērtības nodokļa summas, kas nav atgūstama kā priekšnodoklis, kompensēšanu Igaunijas Republikai un Lietuvas Republikai akciju sabiedrības “RB Rail” veikto aktivitāšu ietvaros"</dc:title>
  <dc:subject>Anotācija</dc:subject>
  <dc:creator>Kārlis Enģelis</dc:creator>
  <cp:keywords>Anotācija</cp:keywords>
  <dc:description>O.Bērziņa, 67028083
Olita.Berzina@sam.gov.lv</dc:description>
  <cp:lastModifiedBy>Baiba Jirgena</cp:lastModifiedBy>
  <cp:revision>16</cp:revision>
  <cp:lastPrinted>2020-06-09T05:42:00Z</cp:lastPrinted>
  <dcterms:created xsi:type="dcterms:W3CDTF">2020-09-22T07:14:00Z</dcterms:created>
  <dcterms:modified xsi:type="dcterms:W3CDTF">2020-09-24T07:05:00Z</dcterms:modified>
</cp:coreProperties>
</file>