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563BC" w:rsidR="00BF435A" w:rsidP="001B0DA3" w:rsidRDefault="00BF435A" w14:paraId="1B6A4B03" w14:textId="77777777">
      <w:pPr>
        <w:rPr>
          <w:b/>
          <w:bCs/>
        </w:rPr>
      </w:pPr>
    </w:p>
    <w:p w:rsidRPr="00C563BC" w:rsidR="00BF435A" w:rsidP="00B64457" w:rsidRDefault="00BF435A" w14:paraId="57CC7560" w14:textId="77777777">
      <w:pPr>
        <w:jc w:val="center"/>
        <w:rPr>
          <w:b/>
          <w:bCs/>
        </w:rPr>
      </w:pPr>
    </w:p>
    <w:p w:rsidRPr="00C563BC" w:rsidR="00B64457" w:rsidP="00B64457" w:rsidRDefault="0083656C" w14:paraId="59BFC20F" w14:textId="77777777">
      <w:pPr>
        <w:jc w:val="center"/>
        <w:rPr>
          <w:b/>
        </w:rPr>
      </w:pPr>
      <w:r w:rsidRPr="00C563BC">
        <w:rPr>
          <w:b/>
          <w:bCs/>
        </w:rPr>
        <w:t>Ministru kabineta rīkojuma projekta</w:t>
      </w:r>
      <w:r w:rsidRPr="00C563BC">
        <w:rPr>
          <w:b/>
        </w:rPr>
        <w:t xml:space="preserve"> „</w:t>
      </w:r>
      <w:r w:rsidRPr="00C563BC">
        <w:rPr>
          <w:b/>
          <w:bCs/>
        </w:rPr>
        <w:t>Par valstij dividendēs izmaksā</w:t>
      </w:r>
      <w:r w:rsidRPr="00C563BC" w:rsidR="00777709">
        <w:rPr>
          <w:b/>
          <w:bCs/>
        </w:rPr>
        <w:t>jamo valsts akciju sabiedrības “Ceļu satiksmes drošības direkcija”</w:t>
      </w:r>
      <w:r w:rsidRPr="00C563BC">
        <w:rPr>
          <w:b/>
          <w:bCs/>
        </w:rPr>
        <w:t xml:space="preserve"> peļņas daļu par </w:t>
      </w:r>
      <w:r w:rsidRPr="00C563BC" w:rsidR="00B51F0C">
        <w:rPr>
          <w:b/>
          <w:bCs/>
        </w:rPr>
        <w:t>2019</w:t>
      </w:r>
      <w:r w:rsidRPr="00C563BC">
        <w:rPr>
          <w:b/>
          <w:bCs/>
        </w:rPr>
        <w:t>.gadu</w:t>
      </w:r>
      <w:r w:rsidRPr="00C563BC">
        <w:rPr>
          <w:b/>
        </w:rPr>
        <w:t>” sākotnējās ietekmes novērtējuma ziņojums (anotācija)</w:t>
      </w:r>
    </w:p>
    <w:p w:rsidRPr="00C563BC" w:rsidR="000C78B2" w:rsidP="00D842F4" w:rsidRDefault="000C78B2" w14:paraId="2C849FA7" w14:textId="77777777">
      <w:pPr>
        <w:jc w:val="center"/>
        <w:rPr>
          <w:b/>
          <w:sz w:val="28"/>
          <w:szCs w:val="28"/>
        </w:rPr>
      </w:pPr>
    </w:p>
    <w:tbl>
      <w:tblPr>
        <w:tblStyle w:val="TableGrid"/>
        <w:tblW w:w="5334" w:type="pct"/>
        <w:tblInd w:w="-5" w:type="dxa"/>
        <w:tblLook w:val="04A0" w:firstRow="1" w:lastRow="0" w:firstColumn="1" w:lastColumn="0" w:noHBand="0" w:noVBand="1"/>
      </w:tblPr>
      <w:tblGrid>
        <w:gridCol w:w="2268"/>
        <w:gridCol w:w="6946"/>
      </w:tblGrid>
      <w:tr w:rsidRPr="00C563BC" w:rsidR="00C563BC" w:rsidTr="0066301E" w14:paraId="144213F0" w14:textId="77777777">
        <w:tc>
          <w:tcPr>
            <w:tcW w:w="5000" w:type="pct"/>
            <w:gridSpan w:val="2"/>
            <w:hideMark/>
          </w:tcPr>
          <w:p w:rsidRPr="00C563BC" w:rsidR="000C78B2" w:rsidP="00154C9E" w:rsidRDefault="000C78B2" w14:paraId="76ED9A36" w14:textId="77777777">
            <w:pPr>
              <w:spacing w:before="100" w:beforeAutospacing="1" w:after="100" w:afterAutospacing="1" w:line="360" w:lineRule="auto"/>
              <w:ind w:firstLine="300"/>
              <w:jc w:val="center"/>
              <w:rPr>
                <w:b/>
                <w:bCs/>
              </w:rPr>
            </w:pPr>
            <w:r w:rsidRPr="00C563BC">
              <w:rPr>
                <w:b/>
                <w:bCs/>
              </w:rPr>
              <w:t>Tiesību akta projekta anotācijas kopsavilkums</w:t>
            </w:r>
          </w:p>
        </w:tc>
      </w:tr>
      <w:tr w:rsidRPr="00C563BC" w:rsidR="00C563BC" w:rsidTr="0066301E" w14:paraId="7AD07A8F" w14:textId="77777777">
        <w:tc>
          <w:tcPr>
            <w:tcW w:w="1231" w:type="pct"/>
            <w:hideMark/>
          </w:tcPr>
          <w:p w:rsidRPr="00C563BC" w:rsidR="000C78B2" w:rsidP="000C78B2" w:rsidRDefault="000C78B2" w14:paraId="46039DA7" w14:textId="77777777">
            <w:r w:rsidRPr="00C563BC">
              <w:t>Mērķis, risinājums un projekta spēkā stāšanās laiks</w:t>
            </w:r>
          </w:p>
        </w:tc>
        <w:tc>
          <w:tcPr>
            <w:tcW w:w="3769" w:type="pct"/>
            <w:hideMark/>
          </w:tcPr>
          <w:p w:rsidRPr="00C563BC" w:rsidR="003A0B52" w:rsidP="00B02A5F" w:rsidRDefault="006C6361" w14:paraId="5D049BDB" w14:textId="2BA62359">
            <w:pPr>
              <w:jc w:val="both"/>
              <w:rPr>
                <w:iCs/>
              </w:rPr>
            </w:pPr>
            <w:r w:rsidRPr="00C563BC">
              <w:rPr>
                <w:iCs/>
              </w:rPr>
              <w:t xml:space="preserve">       </w:t>
            </w:r>
            <w:r w:rsidRPr="00C563BC" w:rsidR="00ED6C85">
              <w:rPr>
                <w:iCs/>
              </w:rPr>
              <w:t xml:space="preserve">Ministru kabineta rīkojuma projekta “Par valstij dividendēs izmaksājamo valsts akciju sabiedrības „Ceļu satiksmes drošības direkcija” (turpmāk tekstā – kapitālsabiedrība vai CSDD) peļņas daļu par </w:t>
            </w:r>
            <w:r w:rsidRPr="00C563BC" w:rsidR="00B818AD">
              <w:rPr>
                <w:iCs/>
              </w:rPr>
              <w:t>2019</w:t>
            </w:r>
            <w:r w:rsidRPr="00C563BC" w:rsidR="00ED6C85">
              <w:rPr>
                <w:iCs/>
              </w:rPr>
              <w:t xml:space="preserve">.gadu”” (turpmāk – Projekts) mērķis ir </w:t>
            </w:r>
            <w:r w:rsidRPr="00C563BC" w:rsidR="00495463">
              <w:rPr>
                <w:iCs/>
              </w:rPr>
              <w:t xml:space="preserve">noteikt atšķirīgu dividendēs valsts budžetā iemaksājamo daļu no peļņas par </w:t>
            </w:r>
            <w:r w:rsidRPr="00C563BC" w:rsidR="00B818AD">
              <w:rPr>
                <w:iCs/>
              </w:rPr>
              <w:t>2019</w:t>
            </w:r>
            <w:r w:rsidRPr="00C563BC" w:rsidR="00495463">
              <w:rPr>
                <w:iCs/>
              </w:rPr>
              <w:t>.gadu,</w:t>
            </w:r>
            <w:r w:rsidRPr="00C563BC" w:rsidR="00695539">
              <w:rPr>
                <w:iCs/>
              </w:rPr>
              <w:t xml:space="preserve"> ņemot vērā faktu, ka daļa kapitālsabiedrības 2019. peļņas gūta, pārvērtējot kapitālsabiedrības ilgtermiņa ieguldījumus (691 090 </w:t>
            </w:r>
            <w:r w:rsidRPr="00C563BC" w:rsidR="009D0118">
              <w:rPr>
                <w:iCs/>
              </w:rPr>
              <w:t>EUR</w:t>
            </w:r>
            <w:r w:rsidRPr="00C563BC" w:rsidR="00695539">
              <w:rPr>
                <w:iCs/>
              </w:rPr>
              <w:t>), tādējādi saskaņā ar Ministru kabineta noteikumu Nr.806 11.2.5.apakšpunktā noteikto, dividendes (80%) apmērā tiek aprēķinātas no peļņas 3</w:t>
            </w:r>
            <w:r w:rsidRPr="00C563BC">
              <w:rPr>
                <w:iCs/>
              </w:rPr>
              <w:t> </w:t>
            </w:r>
            <w:r w:rsidRPr="00C563BC" w:rsidR="00695539">
              <w:rPr>
                <w:iCs/>
              </w:rPr>
              <w:t>042</w:t>
            </w:r>
            <w:r w:rsidRPr="00C563BC">
              <w:rPr>
                <w:iCs/>
              </w:rPr>
              <w:t xml:space="preserve"> </w:t>
            </w:r>
            <w:r w:rsidRPr="00C563BC" w:rsidR="00695539">
              <w:rPr>
                <w:iCs/>
              </w:rPr>
              <w:t xml:space="preserve">056 </w:t>
            </w:r>
            <w:r w:rsidRPr="00C563BC" w:rsidR="009D0118">
              <w:rPr>
                <w:iCs/>
              </w:rPr>
              <w:t>EUR</w:t>
            </w:r>
            <w:r w:rsidRPr="00C563BC" w:rsidR="00695539">
              <w:rPr>
                <w:iCs/>
              </w:rPr>
              <w:t xml:space="preserve"> apmērā (t.i.</w:t>
            </w:r>
            <w:r w:rsidRPr="00C563BC" w:rsidR="009D0118">
              <w:rPr>
                <w:iCs/>
              </w:rPr>
              <w:t xml:space="preserve"> 2019. gada </w:t>
            </w:r>
            <w:r w:rsidRPr="00C563BC" w:rsidR="00695539">
              <w:rPr>
                <w:iCs/>
              </w:rPr>
              <w:t>peļņu</w:t>
            </w:r>
            <w:r w:rsidRPr="00C563BC" w:rsidR="009D0118">
              <w:rPr>
                <w:iCs/>
              </w:rPr>
              <w:t xml:space="preserve"> (</w:t>
            </w:r>
            <w:r w:rsidRPr="00C563BC" w:rsidR="009D0118">
              <w:t>3</w:t>
            </w:r>
            <w:r w:rsidRPr="00C563BC">
              <w:t> </w:t>
            </w:r>
            <w:r w:rsidRPr="00C563BC" w:rsidR="009D0118">
              <w:t>733</w:t>
            </w:r>
            <w:r w:rsidRPr="00C563BC">
              <w:t xml:space="preserve"> </w:t>
            </w:r>
            <w:r w:rsidRPr="00C563BC" w:rsidR="009D0118">
              <w:t>146 EUR</w:t>
            </w:r>
            <w:r w:rsidRPr="00C563BC">
              <w:t>)</w:t>
            </w:r>
            <w:r w:rsidRPr="00C563BC" w:rsidR="00695539">
              <w:rPr>
                <w:iCs/>
              </w:rPr>
              <w:t xml:space="preserve"> samazinot par 691</w:t>
            </w:r>
            <w:r w:rsidRPr="00C563BC">
              <w:rPr>
                <w:iCs/>
              </w:rPr>
              <w:t xml:space="preserve"> </w:t>
            </w:r>
            <w:r w:rsidRPr="00C563BC" w:rsidR="00695539">
              <w:rPr>
                <w:iCs/>
              </w:rPr>
              <w:t xml:space="preserve">090 </w:t>
            </w:r>
            <w:r w:rsidRPr="00C563BC" w:rsidR="009D0118">
              <w:rPr>
                <w:iCs/>
              </w:rPr>
              <w:t>EUR</w:t>
            </w:r>
            <w:r w:rsidRPr="00C563BC" w:rsidR="00695539">
              <w:rPr>
                <w:iCs/>
              </w:rPr>
              <w:t>)</w:t>
            </w:r>
            <w:r w:rsidRPr="00C563BC">
              <w:rPr>
                <w:iCs/>
              </w:rPr>
              <w:t>.</w:t>
            </w:r>
          </w:p>
          <w:p w:rsidRPr="00C563BC" w:rsidR="003A0B52" w:rsidP="00B02A5F" w:rsidRDefault="006C6361" w14:paraId="57A03B86" w14:textId="5B45D284">
            <w:pPr>
              <w:jc w:val="both"/>
            </w:pPr>
            <w:r w:rsidRPr="00C563BC">
              <w:t xml:space="preserve">        </w:t>
            </w:r>
            <w:r w:rsidRPr="00C563BC" w:rsidR="003A0B52">
              <w:t>Projekts paredz</w:t>
            </w:r>
            <w:r w:rsidRPr="00C563BC" w:rsidR="00B818AD">
              <w:t>, ka</w:t>
            </w:r>
            <w:r w:rsidRPr="00C563BC" w:rsidR="00D46696">
              <w:t xml:space="preserve"> valsts budžetā tiek noteiktas</w:t>
            </w:r>
            <w:r w:rsidRPr="00C563BC" w:rsidR="00695539">
              <w:t xml:space="preserve"> dividendes 2</w:t>
            </w:r>
            <w:r w:rsidRPr="00C563BC">
              <w:t xml:space="preserve"> </w:t>
            </w:r>
            <w:r w:rsidRPr="00C563BC" w:rsidR="00695539">
              <w:t>433</w:t>
            </w:r>
            <w:r w:rsidRPr="00C563BC">
              <w:t xml:space="preserve"> </w:t>
            </w:r>
            <w:r w:rsidRPr="00C563BC" w:rsidR="00695539">
              <w:t xml:space="preserve">645 </w:t>
            </w:r>
            <w:r w:rsidRPr="00C563BC" w:rsidR="009D0118">
              <w:t>EUR</w:t>
            </w:r>
            <w:r w:rsidRPr="00C563BC" w:rsidR="00695539">
              <w:t xml:space="preserve"> apmērā</w:t>
            </w:r>
            <w:r w:rsidRPr="00C563BC">
              <w:t>, ieskaitot uzņēmuma ienākuma nodokli</w:t>
            </w:r>
            <w:r w:rsidRPr="00C563BC" w:rsidR="00695539">
              <w:t xml:space="preserve">, savukārt </w:t>
            </w:r>
            <w:r w:rsidRPr="00C563BC" w:rsidR="00B818AD">
              <w:t xml:space="preserve"> kapitālsabiedrības rīcībā tiek atstāti</w:t>
            </w:r>
            <w:r w:rsidRPr="00C563BC" w:rsidR="00695539">
              <w:t xml:space="preserve"> </w:t>
            </w:r>
            <w:r w:rsidRPr="00C563BC" w:rsidR="00B818AD">
              <w:t xml:space="preserve"> finanšu līdzekļi </w:t>
            </w:r>
            <w:r w:rsidRPr="00C563BC" w:rsidR="00695539">
              <w:t>1</w:t>
            </w:r>
            <w:r w:rsidRPr="00C563BC">
              <w:t> </w:t>
            </w:r>
            <w:r w:rsidRPr="00C563BC" w:rsidR="00695539">
              <w:t>299</w:t>
            </w:r>
            <w:r w:rsidRPr="00C563BC">
              <w:t xml:space="preserve"> </w:t>
            </w:r>
            <w:r w:rsidRPr="00C563BC" w:rsidR="00695539">
              <w:t xml:space="preserve">501 </w:t>
            </w:r>
            <w:r w:rsidRPr="00C563BC" w:rsidR="009D0118">
              <w:t>EUR</w:t>
            </w:r>
            <w:r w:rsidRPr="00C563BC" w:rsidR="00695539">
              <w:t xml:space="preserve"> apmērā</w:t>
            </w:r>
            <w:r w:rsidRPr="00C563BC" w:rsidR="003A0B52">
              <w:t>.</w:t>
            </w:r>
          </w:p>
          <w:p w:rsidRPr="00C563BC" w:rsidR="006A39D1" w:rsidP="00B02A5F" w:rsidRDefault="006C6361" w14:paraId="3918786B" w14:textId="3A9F82F7">
            <w:pPr>
              <w:jc w:val="both"/>
            </w:pPr>
            <w:r w:rsidRPr="00C563BC">
              <w:t xml:space="preserve">      </w:t>
            </w:r>
            <w:r w:rsidRPr="00C563BC" w:rsidR="006A39D1">
              <w:t>Ministru kabineta rīkojums stāsies spēkā tā parakstīšanas brīdī.</w:t>
            </w:r>
          </w:p>
        </w:tc>
      </w:tr>
    </w:tbl>
    <w:p w:rsidRPr="00C563BC" w:rsidR="00D54FDA" w:rsidP="001B0DA3" w:rsidRDefault="00D54FDA" w14:paraId="2AFAAA0D" w14:textId="77777777">
      <w:pPr>
        <w:pStyle w:val="BodyText"/>
        <w:spacing w:before="120" w:after="0" w:line="276" w:lineRule="auto"/>
      </w:pPr>
    </w:p>
    <w:tbl>
      <w:tblPr>
        <w:tblW w:w="9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96"/>
        <w:gridCol w:w="1403"/>
        <w:gridCol w:w="7410"/>
      </w:tblGrid>
      <w:tr w:rsidRPr="00C563BC" w:rsidR="00C563BC" w:rsidTr="00C04EFA" w14:paraId="418730C0" w14:textId="77777777">
        <w:tc>
          <w:tcPr>
            <w:tcW w:w="9209" w:type="dxa"/>
            <w:gridSpan w:val="3"/>
          </w:tcPr>
          <w:p w:rsidRPr="00C563BC" w:rsidR="003A4EAB" w:rsidP="00FF4919" w:rsidRDefault="003A4EAB" w14:paraId="6D5A6FFD" w14:textId="77777777">
            <w:pPr>
              <w:spacing w:before="120" w:line="276" w:lineRule="auto"/>
              <w:jc w:val="center"/>
              <w:rPr>
                <w:b/>
              </w:rPr>
            </w:pPr>
            <w:r w:rsidRPr="00C563BC">
              <w:rPr>
                <w:b/>
              </w:rPr>
              <w:t>I. Tiesību akta projekta izstrādes nepieciešamība</w:t>
            </w:r>
          </w:p>
        </w:tc>
      </w:tr>
      <w:tr w:rsidRPr="00C563BC" w:rsidR="00C563BC" w:rsidTr="00C04EFA" w14:paraId="34676EA3" w14:textId="77777777">
        <w:tc>
          <w:tcPr>
            <w:tcW w:w="396" w:type="dxa"/>
          </w:tcPr>
          <w:p w:rsidRPr="00C563BC" w:rsidR="003A4EAB" w:rsidP="00FF4919" w:rsidRDefault="003A4EAB" w14:paraId="7A6608B1" w14:textId="77777777">
            <w:pPr>
              <w:spacing w:before="120" w:line="276" w:lineRule="auto"/>
              <w:jc w:val="center"/>
            </w:pPr>
            <w:r w:rsidRPr="00C563BC">
              <w:t xml:space="preserve">1. </w:t>
            </w:r>
          </w:p>
        </w:tc>
        <w:tc>
          <w:tcPr>
            <w:tcW w:w="1403" w:type="dxa"/>
          </w:tcPr>
          <w:p w:rsidRPr="00C563BC" w:rsidR="003A4EAB" w:rsidP="00D22E2A" w:rsidRDefault="003A4EAB" w14:paraId="3768716D" w14:textId="77777777">
            <w:pPr>
              <w:spacing w:before="120" w:line="276" w:lineRule="auto"/>
            </w:pPr>
            <w:r w:rsidRPr="00C563BC">
              <w:t>Pamatojums</w:t>
            </w:r>
          </w:p>
        </w:tc>
        <w:tc>
          <w:tcPr>
            <w:tcW w:w="7410" w:type="dxa"/>
          </w:tcPr>
          <w:p w:rsidRPr="00C563BC" w:rsidR="006F1693" w:rsidP="00FB77FC" w:rsidRDefault="003556AA" w14:paraId="3CD437A4" w14:textId="12E3666B">
            <w:pPr>
              <w:pStyle w:val="BodyText"/>
              <w:spacing w:after="0"/>
              <w:jc w:val="both"/>
            </w:pPr>
            <w:r w:rsidRPr="00C563BC">
              <w:t>Ministru kabineta rīkojuma projekts “</w:t>
            </w:r>
            <w:r w:rsidRPr="00C563BC">
              <w:rPr>
                <w:bCs/>
              </w:rPr>
              <w:t xml:space="preserve">Par valstij dividendēs izmaksājamo valsts akciju sabiedrības </w:t>
            </w:r>
            <w:r w:rsidRPr="00C563BC" w:rsidR="008710C4">
              <w:t>“Ceļu satiksmes drošības direkcija”</w:t>
            </w:r>
            <w:r w:rsidRPr="00C563BC" w:rsidR="00B10CAE">
              <w:t xml:space="preserve"> </w:t>
            </w:r>
            <w:r w:rsidRPr="00C563BC">
              <w:rPr>
                <w:bCs/>
              </w:rPr>
              <w:t xml:space="preserve">peļņas daļu par </w:t>
            </w:r>
            <w:r w:rsidRPr="00C563BC" w:rsidR="00B818AD">
              <w:rPr>
                <w:bCs/>
              </w:rPr>
              <w:t>2019</w:t>
            </w:r>
            <w:r w:rsidRPr="00C563BC">
              <w:rPr>
                <w:bCs/>
              </w:rPr>
              <w:t>.gadu”</w:t>
            </w:r>
            <w:r w:rsidRPr="00C563BC">
              <w:t xml:space="preserve"> sagatavots saskaņā ar Likuma par budžetu un finanšu vadību 5.panta otro daļu, </w:t>
            </w:r>
            <w:hyperlink w:tgtFrame="_blank" w:history="1" r:id="rId9">
              <w:r w:rsidRPr="00C563BC">
                <w:rPr>
                  <w:iCs/>
                </w:rPr>
                <w:t>Publiskas personas</w:t>
              </w:r>
              <w:r w:rsidRPr="00C563BC" w:rsidR="002B3276">
                <w:rPr>
                  <w:iCs/>
                </w:rPr>
                <w:t xml:space="preserve"> </w:t>
              </w:r>
              <w:r w:rsidRPr="00C563BC">
                <w:rPr>
                  <w:iCs/>
                </w:rPr>
                <w:t>kapitāla</w:t>
              </w:r>
              <w:r w:rsidRPr="00C563BC" w:rsidR="002B3276">
                <w:rPr>
                  <w:iCs/>
                </w:rPr>
                <w:t xml:space="preserve"> </w:t>
              </w:r>
              <w:r w:rsidRPr="00C563BC">
                <w:rPr>
                  <w:iCs/>
                </w:rPr>
                <w:t>daļu</w:t>
              </w:r>
              <w:r w:rsidRPr="00C563BC" w:rsidR="002B3276">
                <w:rPr>
                  <w:iCs/>
                </w:rPr>
                <w:t xml:space="preserve"> </w:t>
              </w:r>
              <w:r w:rsidRPr="00C563BC">
                <w:rPr>
                  <w:iCs/>
                </w:rPr>
                <w:t>un kapitālsabiedrību pārvaldības likuma</w:t>
              </w:r>
            </w:hyperlink>
            <w:r w:rsidRPr="00C563BC">
              <w:rPr>
                <w:iCs/>
              </w:rPr>
              <w:t xml:space="preserve"> </w:t>
            </w:r>
            <w:hyperlink w:tgtFrame="_blank" w:history="1" w:anchor="p28" r:id="rId10">
              <w:r w:rsidRPr="00C563BC">
                <w:rPr>
                  <w:iCs/>
                </w:rPr>
                <w:t>28.panta</w:t>
              </w:r>
            </w:hyperlink>
            <w:r w:rsidRPr="00C563BC">
              <w:rPr>
                <w:iCs/>
              </w:rPr>
              <w:t xml:space="preserve"> </w:t>
            </w:r>
            <w:r w:rsidRPr="00C563BC" w:rsidR="00E878D0">
              <w:rPr>
                <w:iCs/>
              </w:rPr>
              <w:t xml:space="preserve">trešo </w:t>
            </w:r>
            <w:r w:rsidRPr="00C563BC">
              <w:rPr>
                <w:iCs/>
              </w:rPr>
              <w:t>daļu</w:t>
            </w:r>
            <w:r w:rsidRPr="00C563BC">
              <w:t xml:space="preserve"> un Ministru kabineta 2015.gada 22.decembra noteikumiem Nr.806 „</w:t>
            </w:r>
            <w:r w:rsidRPr="00C563BC">
              <w:rPr>
                <w:bCs/>
              </w:rPr>
              <w:t>Kārtība, kādā valsts kapitālsabiedrības un publiski privātās kapitālsabiedrības, kurās valsts ir dalībnieks (akcionārs), prognozē un nosaka dividendēs izmaksājamo peļņas daļu un veic maksājumus valsts budžetā par valsts kapitāla izmantošanu</w:t>
            </w:r>
            <w:r w:rsidRPr="00C563BC">
              <w:t>” (turpmāk – Noteikumi Nr.806)</w:t>
            </w:r>
            <w:r w:rsidRPr="00C563BC" w:rsidR="00AD52ED">
              <w:t xml:space="preserve"> </w:t>
            </w:r>
            <w:r w:rsidRPr="00C563BC" w:rsidR="006C6361">
              <w:t xml:space="preserve">3. un </w:t>
            </w:r>
            <w:r w:rsidRPr="00C563BC" w:rsidR="00B818AD">
              <w:t>11.2.</w:t>
            </w:r>
            <w:r w:rsidRPr="00C563BC" w:rsidR="00695539">
              <w:t>5</w:t>
            </w:r>
            <w:r w:rsidRPr="00C563BC" w:rsidR="00B818AD">
              <w:t xml:space="preserve">. </w:t>
            </w:r>
            <w:r w:rsidRPr="00C563BC" w:rsidR="00AD52ED">
              <w:t>apakšpunktu</w:t>
            </w:r>
          </w:p>
        </w:tc>
      </w:tr>
      <w:tr w:rsidRPr="00C563BC" w:rsidR="00C563BC" w:rsidTr="00C04EFA" w14:paraId="64C29D1A" w14:textId="77777777">
        <w:tc>
          <w:tcPr>
            <w:tcW w:w="396" w:type="dxa"/>
          </w:tcPr>
          <w:p w:rsidRPr="00C563BC" w:rsidR="003A4EAB" w:rsidP="00FF4919" w:rsidRDefault="003A4EAB" w14:paraId="7F0C37CE" w14:textId="77777777">
            <w:pPr>
              <w:spacing w:before="120" w:line="276" w:lineRule="auto"/>
              <w:jc w:val="center"/>
            </w:pPr>
            <w:r w:rsidRPr="00C563BC">
              <w:t xml:space="preserve">2. </w:t>
            </w:r>
          </w:p>
        </w:tc>
        <w:tc>
          <w:tcPr>
            <w:tcW w:w="1403" w:type="dxa"/>
          </w:tcPr>
          <w:p w:rsidRPr="00C563BC" w:rsidR="003A4EAB" w:rsidP="00FF4919" w:rsidRDefault="00184DF9" w14:paraId="12C5DCD0" w14:textId="77777777">
            <w:pPr>
              <w:spacing w:before="120" w:line="276" w:lineRule="auto"/>
            </w:pPr>
            <w:r w:rsidRPr="00C563BC">
              <w:t>Pašreizējā situācija un problēmas, kuru risināšanai tiesību akta projekts izstrādāts, tiesiskā regulējuma mērķis un būtība</w:t>
            </w:r>
          </w:p>
        </w:tc>
        <w:tc>
          <w:tcPr>
            <w:tcW w:w="7410" w:type="dxa"/>
          </w:tcPr>
          <w:p w:rsidRPr="00C563BC" w:rsidR="00111D54" w:rsidP="00C04EFA" w:rsidRDefault="00111D54" w14:paraId="4BB4DE85" w14:textId="77777777">
            <w:pPr>
              <w:spacing w:before="120"/>
              <w:ind w:right="34"/>
              <w:jc w:val="both"/>
            </w:pPr>
            <w:r w:rsidRPr="00C563BC">
              <w:t xml:space="preserve">Valsts akciju sabiedrība “Ceļu satiksmes drošības direkcija” ir valsts kapitālsabiedrība, kurā 100%  kapitāla daļu turētāja ir Satiksmes ministrija. </w:t>
            </w:r>
          </w:p>
          <w:p w:rsidRPr="00C563BC" w:rsidR="001F3FDF" w:rsidP="00C04EFA" w:rsidRDefault="00E878D0" w14:paraId="74C96EAD" w14:textId="53F73FD9">
            <w:pPr>
              <w:spacing w:before="120"/>
              <w:ind w:right="34"/>
              <w:jc w:val="both"/>
            </w:pPr>
            <w:r w:rsidRPr="00C563BC">
              <w:t>N</w:t>
            </w:r>
            <w:r w:rsidRPr="00C563BC" w:rsidR="00DB29D9">
              <w:t>oteikumu Nr.806 3.punkts nosaka minimālo dividendēs izmaksājamo peļņas daļu 80% apmērā</w:t>
            </w:r>
            <w:r w:rsidRPr="00C563BC" w:rsidR="006C6361">
              <w:t xml:space="preserve">, </w:t>
            </w:r>
            <w:bookmarkStart w:name="_Hlk48641821" w:id="0"/>
            <w:r w:rsidRPr="00C563BC" w:rsidR="006C6361">
              <w:t>ieskaitot uzņēmuma ienākuma nodokli</w:t>
            </w:r>
            <w:bookmarkEnd w:id="0"/>
            <w:r w:rsidRPr="00C563BC" w:rsidR="00DB29D9">
              <w:t xml:space="preserve">. </w:t>
            </w:r>
            <w:r w:rsidRPr="00C563BC" w:rsidR="001F3FDF">
              <w:t>Š</w:t>
            </w:r>
            <w:r w:rsidRPr="00C563BC" w:rsidR="00DB29D9">
              <w:t>o</w:t>
            </w:r>
            <w:r w:rsidRPr="00C563BC" w:rsidR="001F3FDF">
              <w:t xml:space="preserve"> </w:t>
            </w:r>
            <w:r w:rsidRPr="00C563BC" w:rsidR="00DB29D9">
              <w:t xml:space="preserve">noteikumu </w:t>
            </w:r>
            <w:r w:rsidRPr="00C563BC">
              <w:t>10. un 11</w:t>
            </w:r>
            <w:r w:rsidRPr="00C563BC" w:rsidR="001F3FDF">
              <w:t>.pant</w:t>
            </w:r>
            <w:r w:rsidRPr="00C563BC" w:rsidR="00DB29D9">
              <w:t>s</w:t>
            </w:r>
            <w:r w:rsidRPr="00C563BC" w:rsidR="001F3FDF">
              <w:t xml:space="preserve"> nosaka, ka</w:t>
            </w:r>
            <w:r w:rsidRPr="00C563BC">
              <w:t xml:space="preserve"> </w:t>
            </w:r>
            <w:hyperlink w:tgtFrame="_blank" w:history="1" r:id="rId11">
              <w:r w:rsidRPr="00C563BC">
                <w:rPr>
                  <w:iCs/>
                </w:rPr>
                <w:t>Publiskas personas kapitāla daļu un kapitālsabiedrību pārvaldības likuma</w:t>
              </w:r>
            </w:hyperlink>
            <w:r w:rsidRPr="00C563BC">
              <w:rPr>
                <w:iCs/>
              </w:rPr>
              <w:t xml:space="preserve"> </w:t>
            </w:r>
            <w:hyperlink w:tgtFrame="_blank" w:history="1" w:anchor="p28" r:id="rId12">
              <w:r w:rsidRPr="00C563BC">
                <w:rPr>
                  <w:iCs/>
                </w:rPr>
                <w:t>28.panta</w:t>
              </w:r>
            </w:hyperlink>
            <w:r w:rsidRPr="00C563BC">
              <w:rPr>
                <w:iCs/>
              </w:rPr>
              <w:t xml:space="preserve"> trešajā daļā minētajā gadījumā Valsts kapitāla daļu turētājs iesniedz Finanšu ministrijai un koordinācijas institūcijai </w:t>
            </w:r>
            <w:r w:rsidRPr="00C563BC">
              <w:t xml:space="preserve">Noteikumu Nr.806 </w:t>
            </w:r>
            <w:hyperlink w:history="1" w:anchor="p10" r:id="rId13">
              <w:r w:rsidRPr="00C563BC">
                <w:rPr>
                  <w:iCs/>
                </w:rPr>
                <w:t>10. punktā</w:t>
              </w:r>
            </w:hyperlink>
            <w:r w:rsidRPr="00C563BC">
              <w:rPr>
                <w:iCs/>
              </w:rPr>
              <w:t xml:space="preserve"> minēto priekšlikumu un attiecīgu Ministru kabineta rīkojuma projektu un anotāciju. Savukārt</w:t>
            </w:r>
            <w:r w:rsidRPr="00C563BC" w:rsidR="00D45CDA">
              <w:rPr>
                <w:iCs/>
              </w:rPr>
              <w:t xml:space="preserve"> saskaņā ar </w:t>
            </w:r>
            <w:hyperlink w:tgtFrame="_blank" w:history="1" r:id="rId14">
              <w:r w:rsidRPr="00C563BC" w:rsidR="00D45CDA">
                <w:rPr>
                  <w:iCs/>
                </w:rPr>
                <w:t>Publiskas personas kapitāla daļu un kapitālsabiedrību pārvaldības likuma</w:t>
              </w:r>
            </w:hyperlink>
            <w:r w:rsidRPr="00C563BC" w:rsidR="00D45CDA">
              <w:rPr>
                <w:iCs/>
              </w:rPr>
              <w:t xml:space="preserve"> </w:t>
            </w:r>
            <w:hyperlink w:tgtFrame="_blank" w:history="1" w:anchor="p28" r:id="rId15">
              <w:r w:rsidRPr="00C563BC" w:rsidR="00D45CDA">
                <w:rPr>
                  <w:iCs/>
                </w:rPr>
                <w:t>28.panta</w:t>
              </w:r>
            </w:hyperlink>
            <w:r w:rsidRPr="00C563BC" w:rsidR="00D45CDA">
              <w:rPr>
                <w:iCs/>
              </w:rPr>
              <w:t xml:space="preserve"> ceturto daļu un </w:t>
            </w:r>
            <w:r w:rsidRPr="00C563BC" w:rsidR="00D45CDA">
              <w:t xml:space="preserve">Noteikumu Nr.806 </w:t>
            </w:r>
            <w:hyperlink w:history="1" w:anchor="p10" r:id="rId16">
              <w:r w:rsidRPr="00C563BC" w:rsidR="00D45CDA">
                <w:rPr>
                  <w:iCs/>
                </w:rPr>
                <w:t>14. punktu</w:t>
              </w:r>
            </w:hyperlink>
            <w:r w:rsidRPr="00C563BC">
              <w:rPr>
                <w:iCs/>
              </w:rPr>
              <w:t xml:space="preserve"> </w:t>
            </w:r>
            <w:r w:rsidRPr="00C563BC" w:rsidR="001F3FDF">
              <w:t>Ministru kabinets var pieņemt lēmumu par atšķirīgu dividendēs izmaksājamo peļņas daļu.</w:t>
            </w:r>
          </w:p>
          <w:p w:rsidRPr="00C563BC" w:rsidR="005D0786" w:rsidP="00695539" w:rsidRDefault="00D45CDA" w14:paraId="2AE0F607" w14:textId="775922F0">
            <w:pPr>
              <w:spacing w:before="120"/>
              <w:ind w:right="34"/>
              <w:jc w:val="both"/>
            </w:pPr>
            <w:r w:rsidRPr="00C563BC">
              <w:t xml:space="preserve">CSDD 2019. gada peļņa bija lielāka nekā tika plānots stratēģijā - </w:t>
            </w:r>
            <w:r w:rsidRPr="00C563BC" w:rsidR="009D0118">
              <w:t xml:space="preserve">kopējā </w:t>
            </w:r>
            <w:r w:rsidRPr="00C563BC">
              <w:t>faktiskā 2019.g. peļņa bija 3</w:t>
            </w:r>
            <w:r w:rsidRPr="00C563BC" w:rsidR="006C6361">
              <w:t> </w:t>
            </w:r>
            <w:r w:rsidRPr="00C563BC">
              <w:t>733</w:t>
            </w:r>
            <w:r w:rsidRPr="00C563BC" w:rsidR="006C6361">
              <w:t xml:space="preserve"> </w:t>
            </w:r>
            <w:r w:rsidRPr="00C563BC">
              <w:t>146 EUR.</w:t>
            </w:r>
            <w:r w:rsidRPr="00C563BC" w:rsidR="00695539">
              <w:t xml:space="preserve"> </w:t>
            </w:r>
            <w:r w:rsidRPr="00C563BC" w:rsidR="00AF2C40">
              <w:t>Vienlaikus</w:t>
            </w:r>
            <w:r w:rsidRPr="00C563BC" w:rsidR="006C6361">
              <w:t>,</w:t>
            </w:r>
            <w:r w:rsidRPr="00C563BC" w:rsidR="00AF2C40">
              <w:t xml:space="preserve"> a</w:t>
            </w:r>
            <w:r w:rsidRPr="00C563BC" w:rsidR="005D0786">
              <w:t>nalizējot 2019. pārskata gada peļņu</w:t>
            </w:r>
            <w:r w:rsidRPr="00C563BC" w:rsidR="006C6361">
              <w:t>,</w:t>
            </w:r>
            <w:r w:rsidRPr="00C563BC" w:rsidR="005D0786">
              <w:t xml:space="preserve"> ir konstatējami Noteikumu Nr.806 11.2.5.apakšpunktā </w:t>
            </w:r>
            <w:r w:rsidRPr="00C563BC" w:rsidR="005D0786">
              <w:lastRenderedPageBreak/>
              <w:t xml:space="preserve">minētie apstākļi, jo daļa 2019. gada peļņas </w:t>
            </w:r>
            <w:r w:rsidRPr="00C563BC" w:rsidR="006C6361">
              <w:t>–</w:t>
            </w:r>
            <w:r w:rsidRPr="00C563BC" w:rsidR="005D0786">
              <w:t xml:space="preserve"> 691</w:t>
            </w:r>
            <w:r w:rsidRPr="00C563BC" w:rsidR="006C6361">
              <w:t xml:space="preserve"> </w:t>
            </w:r>
            <w:r w:rsidRPr="00C563BC" w:rsidR="005D0786">
              <w:t>090 EUR apmērā ir gūta, veicot transportlīdzekļu stacionāro ātruma mērīšanas iekārtu lietderīgās lietošanas laika pārskatīšanu (Saskaņā ar Ministru kabineta 2019.gada 16.jūlija lēmumu (prot. Nr.33, 77.§), izskatot “Informatīvo ziņojumu "Par tehnisko līdzekļu (</w:t>
            </w:r>
            <w:proofErr w:type="spellStart"/>
            <w:r w:rsidRPr="00C563BC" w:rsidR="005D0786">
              <w:t>fotoradaru</w:t>
            </w:r>
            <w:proofErr w:type="spellEnd"/>
            <w:r w:rsidRPr="00C563BC" w:rsidR="005D0786">
              <w:t xml:space="preserve">) turpmākās darbības nodrošināšanu (atjaunošanu) un tās finansēšanas avotiem" </w:t>
            </w:r>
            <w:proofErr w:type="spellStart"/>
            <w:r w:rsidRPr="00C563BC" w:rsidR="005D0786">
              <w:t>fotoradaru</w:t>
            </w:r>
            <w:proofErr w:type="spellEnd"/>
            <w:r w:rsidRPr="00C563BC" w:rsidR="005D0786">
              <w:t xml:space="preserve"> nolietojuma periods tika pagarināts no 5 gadiem uz 8 gadiem).</w:t>
            </w:r>
            <w:r w:rsidRPr="00C563BC" w:rsidR="009D0118">
              <w:t xml:space="preserve"> CSDD vidējā termiņa darbības stratēģijā 2018.-2020. gadam par 2019. gadu tika prognozēta dividenžu iemaksa valsts budžetā 1</w:t>
            </w:r>
            <w:r w:rsidRPr="00C563BC" w:rsidR="006C6361">
              <w:t> </w:t>
            </w:r>
            <w:r w:rsidRPr="00C563BC" w:rsidR="009D0118">
              <w:t>764</w:t>
            </w:r>
            <w:r w:rsidRPr="00C563BC" w:rsidR="006C6361">
              <w:t xml:space="preserve"> </w:t>
            </w:r>
            <w:r w:rsidRPr="00C563BC" w:rsidR="009D0118">
              <w:t>559 EUR apmērā, tādējādi piedāvātais budžetā iemaksājamo dividenžu</w:t>
            </w:r>
            <w:r w:rsidRPr="00C563BC" w:rsidR="004811C3">
              <w:t xml:space="preserve"> apjoms (</w:t>
            </w:r>
            <w:r w:rsidRPr="00C563BC" w:rsidR="00D46696">
              <w:t>1 946 916</w:t>
            </w:r>
            <w:r w:rsidRPr="00C563BC" w:rsidR="004811C3">
              <w:t xml:space="preserve"> EUR)</w:t>
            </w:r>
            <w:r w:rsidRPr="00C563BC" w:rsidR="00D46696">
              <w:t xml:space="preserve"> un Uzņēmumu ienākuma nodoklis (486 729 </w:t>
            </w:r>
            <w:r w:rsidRPr="00C034E8" w:rsidR="00D46696">
              <w:t>EUR)</w:t>
            </w:r>
            <w:r w:rsidRPr="00C034E8" w:rsidR="009D0118">
              <w:t xml:space="preserve"> </w:t>
            </w:r>
            <w:r w:rsidRPr="00C034E8" w:rsidR="00D46696">
              <w:t xml:space="preserve">apmērā </w:t>
            </w:r>
            <w:r w:rsidRPr="00C034E8" w:rsidR="009D0118">
              <w:t>par 2019. gadu pat pārsniedz plānoto.</w:t>
            </w:r>
          </w:p>
          <w:p w:rsidRPr="00C563BC" w:rsidR="00B818AD" w:rsidP="004811C3" w:rsidRDefault="00695539" w14:paraId="22F2EBD9" w14:textId="3C57DF93">
            <w:pPr>
              <w:spacing w:before="120"/>
              <w:ind w:right="34"/>
              <w:jc w:val="both"/>
            </w:pPr>
            <w:r w:rsidRPr="00C563BC">
              <w:t xml:space="preserve">Papildus jāņem vērā, ka </w:t>
            </w:r>
            <w:r w:rsidRPr="00C563BC" w:rsidR="00D45CDA">
              <w:t>2020. gad</w:t>
            </w:r>
            <w:r w:rsidRPr="00C563BC">
              <w:t>a 1. pusgada laikā, it sevišķi 2. ceturksnī</w:t>
            </w:r>
            <w:r w:rsidRPr="00C563BC" w:rsidR="00D45CDA">
              <w:t xml:space="preserve"> COVID-19 pandēmijas iespaidā</w:t>
            </w:r>
            <w:r w:rsidRPr="00C563BC">
              <w:t xml:space="preserve"> </w:t>
            </w:r>
            <w:r w:rsidRPr="00C563BC" w:rsidR="00D45CDA">
              <w:t xml:space="preserve"> </w:t>
            </w:r>
            <w:r w:rsidRPr="00C563BC">
              <w:t xml:space="preserve">būtiski kritās </w:t>
            </w:r>
            <w:r w:rsidRPr="00C563BC" w:rsidR="00B818AD">
              <w:t xml:space="preserve"> </w:t>
            </w:r>
            <w:r w:rsidRPr="00C563BC">
              <w:t>pieprasījuma</w:t>
            </w:r>
            <w:r w:rsidRPr="00C563BC" w:rsidR="00B818AD">
              <w:t xml:space="preserve"> apjom</w:t>
            </w:r>
            <w:r w:rsidRPr="00C563BC">
              <w:t>s</w:t>
            </w:r>
            <w:r w:rsidRPr="00C563BC" w:rsidR="00B818AD">
              <w:t xml:space="preserve"> visās CSDD pamatpakalpojumu grupās – transportlīdzekļu tehniskajās apskatēs, transportlīdzekļu reģistrācijā un vadītāju kvalifikācijā, Rīgas Motormuzeja un Biķernieku kompleksās sporta bāzes darbība tika apturēta no marta vidus līdz maija vidum</w:t>
            </w:r>
            <w:r w:rsidRPr="00C563BC" w:rsidR="00C04EFA">
              <w:t>.</w:t>
            </w:r>
            <w:r w:rsidRPr="00C563BC">
              <w:t xml:space="preserve"> </w:t>
            </w:r>
            <w:r w:rsidRPr="00C563BC" w:rsidR="009D0118">
              <w:t xml:space="preserve"> Kopējais CSDD 2020. gada 2. ceturkšņa apgrozījums bija par 14,34% zemāks nekā šajā periodā pērn.</w:t>
            </w:r>
            <w:r w:rsidRPr="00C563BC" w:rsidR="005B352D">
              <w:t xml:space="preserve"> </w:t>
            </w:r>
            <w:r w:rsidRPr="00C563BC">
              <w:t xml:space="preserve">Šī </w:t>
            </w:r>
            <w:r w:rsidRPr="00C563BC" w:rsidR="005B352D">
              <w:t>finanšu situācijas pasliktināšanās</w:t>
            </w:r>
            <w:r w:rsidRPr="00C563BC">
              <w:t xml:space="preserve"> ir</w:t>
            </w:r>
            <w:r w:rsidRPr="00C563BC" w:rsidR="005B352D">
              <w:t xml:space="preserve"> radusies no kapitālsabiedrības darbības neatkarīgu apstākļu dēļ, neparedzētu notikumu vai ārkārtas situācij</w:t>
            </w:r>
            <w:r w:rsidRPr="00C563BC">
              <w:t>as</w:t>
            </w:r>
            <w:r w:rsidRPr="00C563BC" w:rsidR="005B352D">
              <w:t xml:space="preserve"> dēļ un ir iestājušās faktiskās sekas, kuru novēršanai un kapitālsabiedrības stratēģijā noteikto mērķu īstenošanai kapitālsabiedrības rīcībā nepieciešams atstāt finanšu līdzekļus.</w:t>
            </w:r>
            <w:r w:rsidRPr="00C563BC" w:rsidR="004811C3">
              <w:t xml:space="preserve"> </w:t>
            </w:r>
            <w:r w:rsidRPr="00C563BC" w:rsidR="00510875">
              <w:t>P</w:t>
            </w:r>
            <w:r w:rsidRPr="00C563BC" w:rsidR="00B818AD">
              <w:t xml:space="preserve">astāv </w:t>
            </w:r>
            <w:r w:rsidRPr="00C563BC" w:rsidR="009D0118">
              <w:t xml:space="preserve">arī </w:t>
            </w:r>
            <w:r w:rsidRPr="00C563BC" w:rsidR="00B818AD">
              <w:t>nenoteiktība par turpmākajiem ierobežojumiem COVID-19 izplatības mazināšanai un to ietekmi uz CSDD ieņēmumiem, kā arī ārkārtas situācijas ietekmi uz Latvijas ekonomiku un ekonomisko aktivitāti transporta jomā pēc ārkārtas situācijas beigām</w:t>
            </w:r>
            <w:r w:rsidRPr="00C563BC" w:rsidR="00893F16">
              <w:t>.</w:t>
            </w:r>
            <w:r w:rsidRPr="00C563BC" w:rsidR="00B818AD">
              <w:t xml:space="preserve"> </w:t>
            </w:r>
            <w:r w:rsidRPr="00C563BC" w:rsidR="00893F16">
              <w:t>V</w:t>
            </w:r>
            <w:r w:rsidRPr="00C563BC" w:rsidR="00B818AD">
              <w:t>eicot ekonomiskās aplēses un kopsakarā ar faktisko apgrozījuma kritumu pamatpakalpojumu grupās, CSDD prognozē, ka 2020.gads tiks noslēg</w:t>
            </w:r>
            <w:r w:rsidRPr="00C563BC" w:rsidR="00631002">
              <w:t>t</w:t>
            </w:r>
            <w:r w:rsidRPr="00C563BC" w:rsidR="00B818AD">
              <w:t xml:space="preserve">s ar zemāku peļņu </w:t>
            </w:r>
            <w:r w:rsidRPr="00C563BC" w:rsidR="005B352D">
              <w:t xml:space="preserve">nekā tas tika plānots </w:t>
            </w:r>
            <w:r w:rsidRPr="00C563BC" w:rsidR="00B818AD">
              <w:t>vai</w:t>
            </w:r>
            <w:r w:rsidRPr="00C563BC" w:rsidR="009D0118">
              <w:t xml:space="preserve"> iespējams</w:t>
            </w:r>
            <w:r w:rsidRPr="00C563BC" w:rsidR="005B352D">
              <w:t xml:space="preserve"> pat</w:t>
            </w:r>
            <w:r w:rsidRPr="00C563BC" w:rsidR="00B818AD">
              <w:t xml:space="preserve"> ar zaudējumiem</w:t>
            </w:r>
            <w:r w:rsidRPr="00C563BC" w:rsidR="00893F16">
              <w:t xml:space="preserve"> gadījumā, ja epidemioloģiskā situācija valstī liks pielietot būtiskus papildus ierobežojumus arī 2020. gada otrajā pusē</w:t>
            </w:r>
            <w:r w:rsidRPr="00C563BC" w:rsidR="00510875">
              <w:t>.</w:t>
            </w:r>
          </w:p>
          <w:p w:rsidRPr="00C563BC" w:rsidR="00510875" w:rsidP="00510875" w:rsidRDefault="00510875" w14:paraId="5C4EBA00" w14:textId="77777777">
            <w:pPr>
              <w:pStyle w:val="NoSpacing"/>
              <w:ind w:right="34"/>
              <w:jc w:val="both"/>
              <w:rPr>
                <w:rFonts w:ascii="Times New Roman" w:hAnsi="Times New Roman"/>
                <w:sz w:val="24"/>
                <w:szCs w:val="24"/>
                <w:lang w:val="lv-LV"/>
              </w:rPr>
            </w:pPr>
          </w:p>
          <w:p w:rsidRPr="00C563BC" w:rsidR="00893F16" w:rsidP="00273E43" w:rsidRDefault="00273E43" w14:paraId="37636D9D" w14:textId="2D31E427">
            <w:pPr>
              <w:pStyle w:val="NoSpacing"/>
              <w:ind w:right="34"/>
              <w:jc w:val="both"/>
              <w:rPr>
                <w:rFonts w:ascii="Times New Roman" w:hAnsi="Times New Roman"/>
                <w:sz w:val="24"/>
                <w:szCs w:val="24"/>
                <w:lang w:val="lv-LV"/>
              </w:rPr>
            </w:pPr>
            <w:r w:rsidRPr="00C563BC">
              <w:rPr>
                <w:rFonts w:ascii="Times New Roman" w:hAnsi="Times New Roman"/>
                <w:sz w:val="24"/>
                <w:szCs w:val="24"/>
                <w:lang w:val="lv-LV"/>
              </w:rPr>
              <w:t xml:space="preserve">Rūpējoties par klientu un darbinieku drošību, CSDD ir veikusi un turpina veikt pasākumus drošas klientu apkalpošanas nodrošināšanai, pārkārtojot klientu apkalpošanas un darba vietas un lietojot speciālus aizsardzības līdzekļus. Līdz ar to ir radušās papildus izmaksas, un samazinājusies darbinieku un resursu efektivitāte (t.i. klientu apkalpošanas kapacitāte uz vienu klientu apkalpošanas vietu, eksāmenu transportlīdzekli </w:t>
            </w:r>
            <w:proofErr w:type="spellStart"/>
            <w:r w:rsidRPr="00C563BC">
              <w:rPr>
                <w:rFonts w:ascii="Times New Roman" w:hAnsi="Times New Roman"/>
                <w:sz w:val="24"/>
                <w:szCs w:val="24"/>
                <w:lang w:val="lv-LV"/>
              </w:rPr>
              <w:t>utml</w:t>
            </w:r>
            <w:proofErr w:type="spellEnd"/>
            <w:r w:rsidRPr="00C563BC">
              <w:rPr>
                <w:rFonts w:ascii="Times New Roman" w:hAnsi="Times New Roman"/>
                <w:sz w:val="24"/>
                <w:szCs w:val="24"/>
                <w:lang w:val="lv-LV"/>
              </w:rPr>
              <w:t>.)</w:t>
            </w:r>
            <w:r w:rsidRPr="00C563BC" w:rsidR="00893F16">
              <w:rPr>
                <w:rFonts w:ascii="Times New Roman" w:hAnsi="Times New Roman"/>
                <w:sz w:val="24"/>
                <w:szCs w:val="24"/>
                <w:lang w:val="lv-LV"/>
              </w:rPr>
              <w:t>. Lai arī COVID-19 ierobežošanas pasākumi Eiropā un Latvijā ir bijuši</w:t>
            </w:r>
            <w:r w:rsidRPr="00C563BC" w:rsidR="009D0118">
              <w:rPr>
                <w:rFonts w:ascii="Times New Roman" w:hAnsi="Times New Roman"/>
                <w:sz w:val="24"/>
                <w:szCs w:val="24"/>
                <w:lang w:val="lv-LV"/>
              </w:rPr>
              <w:t xml:space="preserve"> salīdzinoši</w:t>
            </w:r>
            <w:r w:rsidRPr="00C563BC" w:rsidR="00893F16">
              <w:rPr>
                <w:rFonts w:ascii="Times New Roman" w:hAnsi="Times New Roman"/>
                <w:sz w:val="24"/>
                <w:szCs w:val="24"/>
                <w:lang w:val="lv-LV"/>
              </w:rPr>
              <w:t xml:space="preserve"> veiksmīgi (Latvijā 10. jūnijā beidzās 12. martā izsludinātā ārkārtējā situācija COVID-19 ierobežošanai), globāli kopējā situācij</w:t>
            </w:r>
            <w:r w:rsidRPr="00C563BC" w:rsidR="0095168B">
              <w:rPr>
                <w:rFonts w:ascii="Times New Roman" w:hAnsi="Times New Roman"/>
                <w:sz w:val="24"/>
                <w:szCs w:val="24"/>
                <w:lang w:val="lv-LV"/>
              </w:rPr>
              <w:t>a</w:t>
            </w:r>
            <w:r w:rsidRPr="00C563BC" w:rsidR="00893F16">
              <w:rPr>
                <w:rFonts w:ascii="Times New Roman" w:hAnsi="Times New Roman"/>
                <w:sz w:val="24"/>
                <w:szCs w:val="24"/>
                <w:lang w:val="lv-LV"/>
              </w:rPr>
              <w:t xml:space="preserve"> turpina pasliktināties</w:t>
            </w:r>
            <w:r w:rsidRPr="00C563BC" w:rsidR="0095168B">
              <w:rPr>
                <w:rFonts w:ascii="Times New Roman" w:hAnsi="Times New Roman"/>
                <w:sz w:val="24"/>
                <w:szCs w:val="24"/>
                <w:lang w:val="lv-LV"/>
              </w:rPr>
              <w:t>:</w:t>
            </w:r>
            <w:r w:rsidRPr="00C563BC" w:rsidR="00893F16">
              <w:rPr>
                <w:rFonts w:ascii="Times New Roman" w:hAnsi="Times New Roman"/>
                <w:sz w:val="24"/>
                <w:szCs w:val="24"/>
                <w:lang w:val="lv-LV"/>
              </w:rPr>
              <w:t xml:space="preserve"> pieaug jauno inficēšanās gadījumu skaits/dienā, smaga situācija saglabājas daudzviet abos Amerikas kontinentos, Tuvajos Austrumos un Dienvidāzijā. Tādēļ arī CSDD klientu apkalpošanā saglabāsim virkni inficēšanās risku ierobežošanas pasākumu, kā arī regulāri sekojot līdzi COVID-19 izplatības datiem un mediķu rekomendācijām, esam gatavi atgriezties pie stingrāku aizsardzības pasākumu pielietošanas. </w:t>
            </w:r>
          </w:p>
          <w:p w:rsidRPr="00C563BC" w:rsidR="00893F16" w:rsidP="00273E43" w:rsidRDefault="00893F16" w14:paraId="16626A36" w14:textId="77777777">
            <w:pPr>
              <w:pStyle w:val="NoSpacing"/>
              <w:ind w:right="34"/>
              <w:jc w:val="both"/>
              <w:rPr>
                <w:rFonts w:ascii="Times New Roman" w:hAnsi="Times New Roman"/>
                <w:sz w:val="24"/>
                <w:szCs w:val="24"/>
                <w:lang w:val="lv-LV"/>
              </w:rPr>
            </w:pPr>
          </w:p>
          <w:p w:rsidRPr="00C563BC" w:rsidR="00AF2C40" w:rsidP="00273E43" w:rsidRDefault="000E7232" w14:paraId="5827C974" w14:textId="12FCF75F">
            <w:pPr>
              <w:pStyle w:val="NoSpacing"/>
              <w:ind w:right="34"/>
              <w:jc w:val="both"/>
              <w:rPr>
                <w:rFonts w:ascii="Times New Roman" w:hAnsi="Times New Roman"/>
                <w:sz w:val="24"/>
                <w:szCs w:val="24"/>
                <w:lang w:val="lv-LV"/>
              </w:rPr>
            </w:pPr>
            <w:r w:rsidRPr="00C563BC">
              <w:rPr>
                <w:rFonts w:ascii="Times New Roman" w:hAnsi="Times New Roman"/>
                <w:sz w:val="24"/>
                <w:szCs w:val="24"/>
                <w:lang w:val="lv-LV"/>
              </w:rPr>
              <w:t xml:space="preserve">Viena no Nacionālajā attīstības plānā noteiktajām prioritātēm publisko pakalpojumu pieejamība attālināti un tiešsaistē tādējādi uzlabojot iedzīvotāju dzīves kvalitāti, iespējas reģionālajai attīstībai un dzīvesvietas </w:t>
            </w:r>
            <w:r w:rsidRPr="00C563BC">
              <w:rPr>
                <w:rFonts w:ascii="Times New Roman" w:hAnsi="Times New Roman"/>
                <w:sz w:val="24"/>
                <w:szCs w:val="24"/>
                <w:lang w:val="lv-LV"/>
              </w:rPr>
              <w:lastRenderedPageBreak/>
              <w:t xml:space="preserve">izvēlē radot līdzsvaru starp attālumu un pakalpojumu pieejamību. COVID-19 pandēmijas kontekstā attālināto pakalpojumu pieejamība ir arī papildus iespēja iedzīvotājiem pasargāt sevi no inficēšanās riskiem, jo pakalpojumus iespējams saņemt neatstājot savu dzīvesvietu, mazinās savstarpējie kontakti ar citiem cilvēkiem, kas rastos, lai nokļūtu pakalpojumu sniegšanas vietā un klientu apkalpošanas centros. </w:t>
            </w:r>
            <w:r w:rsidRPr="00C563BC" w:rsidR="00893F16">
              <w:rPr>
                <w:rFonts w:ascii="Times New Roman" w:hAnsi="Times New Roman"/>
                <w:sz w:val="24"/>
                <w:szCs w:val="24"/>
                <w:lang w:val="lv-LV"/>
              </w:rPr>
              <w:t>CSDD jau vairākus gadus piedāvā saviem klientiem virkni pakalpojumu</w:t>
            </w:r>
            <w:r w:rsidRPr="00C563BC">
              <w:rPr>
                <w:rFonts w:ascii="Times New Roman" w:hAnsi="Times New Roman"/>
                <w:sz w:val="24"/>
                <w:szCs w:val="24"/>
                <w:lang w:val="lv-LV"/>
              </w:rPr>
              <w:t xml:space="preserve"> portālā</w:t>
            </w:r>
            <w:r w:rsidRPr="00C563BC" w:rsidR="00893F16">
              <w:rPr>
                <w:rFonts w:ascii="Times New Roman" w:hAnsi="Times New Roman"/>
                <w:sz w:val="24"/>
                <w:szCs w:val="24"/>
                <w:lang w:val="lv-LV"/>
              </w:rPr>
              <w:t xml:space="preserve"> E-CSDD</w:t>
            </w:r>
            <w:r w:rsidRPr="00C563BC">
              <w:rPr>
                <w:rFonts w:ascii="Times New Roman" w:hAnsi="Times New Roman"/>
                <w:sz w:val="24"/>
                <w:szCs w:val="24"/>
                <w:lang w:val="lv-LV"/>
              </w:rPr>
              <w:t>. Reaģējot uz būtisku klientu intereses pieaugumu pēc e-pakalpojumiem COVID krīzes ietekmē (COVID krīzes ietekmē kopš 2020. gada marta ir notikusi ievērojamas klientu pieprasījuma daļas migrācija no klātienes pakalpojumu saņemšanas CSDD klientu apkalpošanas centros uz e-pakalpojumu kanālu, kā arī pieaugusi klientu interese pēc papildus konsultācijām t.sk. ārkārtas situācijas laikā tika veikta klientu apkalpošana pēc pieraksta, tādējādi būtiski pieauga aktivitāte zvanu centrā.), 2020.gadā esam būtiski paplašinājuši E-CSDD pieejamo CSDD pakalpojumu kā arī transport</w:t>
            </w:r>
            <w:r w:rsidRPr="00C563BC" w:rsidR="006C6361">
              <w:rPr>
                <w:rFonts w:ascii="Times New Roman" w:hAnsi="Times New Roman"/>
                <w:sz w:val="24"/>
                <w:szCs w:val="24"/>
                <w:lang w:val="lv-LV"/>
              </w:rPr>
              <w:t>līdzekļu</w:t>
            </w:r>
            <w:r w:rsidRPr="00C563BC">
              <w:rPr>
                <w:rFonts w:ascii="Times New Roman" w:hAnsi="Times New Roman"/>
                <w:sz w:val="24"/>
                <w:szCs w:val="24"/>
                <w:lang w:val="lv-LV"/>
              </w:rPr>
              <w:t xml:space="preserve"> ekspluatācijas nodokļa nomaksas atbalstošo pakalpojumu klāstu</w:t>
            </w:r>
            <w:r w:rsidRPr="00C563BC" w:rsidR="006C6361">
              <w:rPr>
                <w:rFonts w:ascii="Times New Roman" w:hAnsi="Times New Roman"/>
                <w:sz w:val="24"/>
                <w:szCs w:val="24"/>
                <w:lang w:val="lv-LV"/>
              </w:rPr>
              <w:t>,</w:t>
            </w:r>
            <w:r w:rsidRPr="00C563BC">
              <w:rPr>
                <w:rFonts w:ascii="Times New Roman" w:hAnsi="Times New Roman"/>
                <w:sz w:val="24"/>
                <w:szCs w:val="24"/>
                <w:lang w:val="lv-LV"/>
              </w:rPr>
              <w:t xml:space="preserve"> veicot šo pakalpojumu  </w:t>
            </w:r>
            <w:proofErr w:type="spellStart"/>
            <w:r w:rsidRPr="00C563BC">
              <w:rPr>
                <w:rFonts w:ascii="Times New Roman" w:hAnsi="Times New Roman"/>
                <w:sz w:val="24"/>
                <w:szCs w:val="24"/>
                <w:lang w:val="lv-LV"/>
              </w:rPr>
              <w:t>digitalizāciju</w:t>
            </w:r>
            <w:proofErr w:type="spellEnd"/>
            <w:r w:rsidRPr="00C563BC">
              <w:rPr>
                <w:rFonts w:ascii="Times New Roman" w:hAnsi="Times New Roman"/>
                <w:sz w:val="24"/>
                <w:szCs w:val="24"/>
                <w:lang w:val="lv-LV"/>
              </w:rPr>
              <w:t xml:space="preserve"> (pakalpojumu sniegšanu e-pakalpojumu kanālā). Turpinot darbu pie šīs CSDD digitālās transformācijas</w:t>
            </w:r>
            <w:r w:rsidRPr="00C563BC" w:rsidR="006C6361">
              <w:rPr>
                <w:rFonts w:ascii="Times New Roman" w:hAnsi="Times New Roman"/>
                <w:sz w:val="24"/>
                <w:szCs w:val="24"/>
                <w:lang w:val="lv-LV"/>
              </w:rPr>
              <w:t>,</w:t>
            </w:r>
            <w:r w:rsidRPr="00C563BC">
              <w:rPr>
                <w:rFonts w:ascii="Times New Roman" w:hAnsi="Times New Roman"/>
                <w:sz w:val="24"/>
                <w:szCs w:val="24"/>
                <w:lang w:val="lv-LV"/>
              </w:rPr>
              <w:t xml:space="preserve"> vienlaicīgi strādāsim divos virzienos: 1) pie tālākas pakalpojumu </w:t>
            </w:r>
            <w:proofErr w:type="spellStart"/>
            <w:r w:rsidRPr="00C563BC">
              <w:rPr>
                <w:rFonts w:ascii="Times New Roman" w:hAnsi="Times New Roman"/>
                <w:sz w:val="24"/>
                <w:szCs w:val="24"/>
                <w:lang w:val="lv-LV"/>
              </w:rPr>
              <w:t>digitalizācijas</w:t>
            </w:r>
            <w:proofErr w:type="spellEnd"/>
            <w:r w:rsidRPr="00C563BC">
              <w:rPr>
                <w:rFonts w:ascii="Times New Roman" w:hAnsi="Times New Roman"/>
                <w:sz w:val="24"/>
                <w:szCs w:val="24"/>
                <w:lang w:val="lv-LV"/>
              </w:rPr>
              <w:t xml:space="preserve">, papildinot pakalpojumus ar dažādiem papildus servisiem un </w:t>
            </w:r>
            <w:proofErr w:type="spellStart"/>
            <w:r w:rsidRPr="00C563BC">
              <w:rPr>
                <w:rFonts w:ascii="Times New Roman" w:hAnsi="Times New Roman"/>
                <w:sz w:val="24"/>
                <w:szCs w:val="24"/>
                <w:lang w:val="lv-LV"/>
              </w:rPr>
              <w:t>apakšservisiem</w:t>
            </w:r>
            <w:proofErr w:type="spellEnd"/>
            <w:r w:rsidRPr="00C563BC">
              <w:rPr>
                <w:rFonts w:ascii="Times New Roman" w:hAnsi="Times New Roman"/>
                <w:sz w:val="24"/>
                <w:szCs w:val="24"/>
                <w:lang w:val="lv-LV"/>
              </w:rPr>
              <w:t>, e-pakalpojumu popularizēšanas un klientu informēšanas, kā arī klientu digitālās pieredzes uzlabošanas</w:t>
            </w:r>
            <w:r w:rsidRPr="00C563BC" w:rsidR="006C6361">
              <w:rPr>
                <w:rFonts w:ascii="Times New Roman" w:hAnsi="Times New Roman"/>
                <w:sz w:val="24"/>
                <w:szCs w:val="24"/>
                <w:lang w:val="lv-LV"/>
              </w:rPr>
              <w:t xml:space="preserve">; </w:t>
            </w:r>
            <w:r w:rsidRPr="00C563BC">
              <w:rPr>
                <w:rFonts w:ascii="Times New Roman" w:hAnsi="Times New Roman"/>
                <w:sz w:val="24"/>
                <w:szCs w:val="24"/>
                <w:lang w:val="lv-LV"/>
              </w:rPr>
              <w:t>2) pie attālināto pakalpojumu atbalstošās infrastruktūras veikt</w:t>
            </w:r>
            <w:r w:rsidRPr="00C563BC" w:rsidR="006C6361">
              <w:rPr>
                <w:rFonts w:ascii="Times New Roman" w:hAnsi="Times New Roman"/>
                <w:sz w:val="24"/>
                <w:szCs w:val="24"/>
                <w:lang w:val="lv-LV"/>
              </w:rPr>
              <w:t>s</w:t>
            </w:r>
            <w:r w:rsidRPr="00C563BC">
              <w:rPr>
                <w:rFonts w:ascii="Times New Roman" w:hAnsi="Times New Roman"/>
                <w:sz w:val="24"/>
                <w:szCs w:val="24"/>
                <w:lang w:val="lv-LV"/>
              </w:rPr>
              <w:t xml:space="preserve">pējas un pieejamības un </w:t>
            </w:r>
            <w:proofErr w:type="spellStart"/>
            <w:r w:rsidRPr="00C563BC">
              <w:rPr>
                <w:rFonts w:ascii="Times New Roman" w:hAnsi="Times New Roman"/>
                <w:sz w:val="24"/>
                <w:szCs w:val="24"/>
                <w:lang w:val="lv-LV"/>
              </w:rPr>
              <w:t>palīgservisu</w:t>
            </w:r>
            <w:proofErr w:type="spellEnd"/>
            <w:r w:rsidRPr="00C563BC">
              <w:rPr>
                <w:rFonts w:ascii="Times New Roman" w:hAnsi="Times New Roman"/>
                <w:sz w:val="24"/>
                <w:szCs w:val="24"/>
                <w:lang w:val="lv-LV"/>
              </w:rPr>
              <w:t xml:space="preserve"> attīstības (ņemot vērā, ka e-pakalpojumi atšķirībā no CSDD klientu apkalpošanas centriem ir pieejami klientiem 24x7 režīmā, kā arī faktu, ka virkne reģistrācijas un nodokļu iekasēšanas pakalpojumu saņemšanas gaitā klientiem bieži rodas papildus jautājumi) CSDD ir atbilstoši jāpielāgo klientu konsultēšanas un atbalsta pakalpojumu kanāli, saturs un kapacitāte. Paātrināta pakalpojumu </w:t>
            </w:r>
            <w:proofErr w:type="spellStart"/>
            <w:r w:rsidRPr="00C563BC">
              <w:rPr>
                <w:rFonts w:ascii="Times New Roman" w:hAnsi="Times New Roman"/>
                <w:sz w:val="24"/>
                <w:szCs w:val="24"/>
                <w:lang w:val="lv-LV"/>
              </w:rPr>
              <w:t>digitalizācija</w:t>
            </w:r>
            <w:proofErr w:type="spellEnd"/>
            <w:r w:rsidRPr="00C563BC">
              <w:rPr>
                <w:rFonts w:ascii="Times New Roman" w:hAnsi="Times New Roman"/>
                <w:sz w:val="24"/>
                <w:szCs w:val="24"/>
                <w:lang w:val="lv-LV"/>
              </w:rPr>
              <w:t xml:space="preserve"> attiecīgi ir radījusi</w:t>
            </w:r>
            <w:r w:rsidRPr="00C563BC" w:rsidR="0095168B">
              <w:rPr>
                <w:rFonts w:ascii="Times New Roman" w:hAnsi="Times New Roman"/>
                <w:sz w:val="24"/>
                <w:szCs w:val="24"/>
                <w:lang w:val="lv-LV"/>
              </w:rPr>
              <w:t xml:space="preserve"> un radīs</w:t>
            </w:r>
            <w:r w:rsidRPr="00C563BC">
              <w:rPr>
                <w:rFonts w:ascii="Times New Roman" w:hAnsi="Times New Roman"/>
                <w:sz w:val="24"/>
                <w:szCs w:val="24"/>
                <w:lang w:val="lv-LV"/>
              </w:rPr>
              <w:t xml:space="preserve"> papildus izmaksas</w:t>
            </w:r>
            <w:r w:rsidRPr="00C563BC" w:rsidR="0095168B">
              <w:rPr>
                <w:rFonts w:ascii="Times New Roman" w:hAnsi="Times New Roman"/>
                <w:sz w:val="24"/>
                <w:szCs w:val="24"/>
                <w:lang w:val="lv-LV"/>
              </w:rPr>
              <w:t xml:space="preserve"> un kapitālieguldījumus CSDD</w:t>
            </w:r>
            <w:r w:rsidRPr="00C563BC">
              <w:rPr>
                <w:rFonts w:ascii="Times New Roman" w:hAnsi="Times New Roman"/>
                <w:sz w:val="24"/>
                <w:szCs w:val="24"/>
                <w:lang w:val="lv-LV"/>
              </w:rPr>
              <w:t xml:space="preserve"> IT </w:t>
            </w:r>
            <w:r w:rsidRPr="00C563BC" w:rsidR="0095168B">
              <w:rPr>
                <w:rFonts w:ascii="Times New Roman" w:hAnsi="Times New Roman"/>
                <w:sz w:val="24"/>
                <w:szCs w:val="24"/>
                <w:lang w:val="lv-LV"/>
              </w:rPr>
              <w:t>servisos.</w:t>
            </w:r>
            <w:r w:rsidRPr="00C563BC" w:rsidR="00AF2C40">
              <w:rPr>
                <w:rFonts w:ascii="Times New Roman" w:hAnsi="Times New Roman"/>
                <w:sz w:val="24"/>
                <w:szCs w:val="24"/>
                <w:lang w:val="lv-LV"/>
              </w:rPr>
              <w:t xml:space="preserve"> Iepriekš minētais ieņēmumu samazinājums un izdevumu palielinājums ir radījis iespaidu arī uz CSDD spēju realizēt ieplānotos investīciju projektus.</w:t>
            </w:r>
          </w:p>
          <w:p w:rsidR="001D30E1" w:rsidP="00A2612B" w:rsidRDefault="001D30E1" w14:paraId="511B2F0B" w14:textId="77777777">
            <w:pPr>
              <w:spacing w:before="120"/>
              <w:jc w:val="both"/>
            </w:pPr>
            <w:r w:rsidRPr="001D30E1">
              <w:t>Ņemot vērā, ka saskaņā ar rīkojuma projektā minēto CSDD rīcībā atstātā peļņas daļa izlietojama deleģēto valsts pārvaldes uzdevumu izpildei, lēmumam par atšķirīgu kapitālsabiedrības dividendēs izmaksājamo peļņas daļu par 2019.pārskata gadu nav attiecināms komercdarbības atbalsta regulējums. Pamatojoties uz Eiropas Komisijas paziņojuma par Līguma par Eiropas Savienības darbību 107.panta 1.punktā minēto valsts atbalsta jēdzienu (2016/C 262/01) 17.punktā noteikto, finansējums, kas paredzēts, lai segtu ar valsts funkciju saistītos izdevumus, nav saistīts ar saimnieciskās darbības veikšanu un attiecīgi nav kvalificējams kā komercdarbības atbalsts.</w:t>
            </w:r>
          </w:p>
          <w:p w:rsidRPr="00C563BC" w:rsidR="00595D48" w:rsidP="00A2612B" w:rsidRDefault="00510875" w14:paraId="0D35D1E9" w14:textId="34D8CFB3">
            <w:pPr>
              <w:spacing w:before="120"/>
              <w:jc w:val="both"/>
            </w:pPr>
            <w:r w:rsidRPr="00C563BC">
              <w:t>Ievērojot iepriekš minēto, Satiksmes ministrija ierosina Ministru kabinetam pieņemt lēmumu, ar kuru atļaut noteikt kapitālsabiedrībai atšķirīgu dividendēs izmaksājamo peļņas daļu</w:t>
            </w:r>
            <w:r w:rsidRPr="00C563BC" w:rsidR="00A2612B">
              <w:t xml:space="preserve">, nosakot ka </w:t>
            </w:r>
            <w:r w:rsidRPr="00C563BC">
              <w:t>VAS “Ceļu satiksmes drošības direkcija”</w:t>
            </w:r>
            <w:r w:rsidRPr="00C563BC" w:rsidR="009D0118">
              <w:t xml:space="preserve"> izmaksā dividendes par 2019. gadu 2</w:t>
            </w:r>
            <w:r w:rsidRPr="00C563BC" w:rsidR="006C6361">
              <w:t> </w:t>
            </w:r>
            <w:r w:rsidRPr="00C563BC" w:rsidR="009D0118">
              <w:t>433</w:t>
            </w:r>
            <w:r w:rsidRPr="00C563BC" w:rsidR="006C6361">
              <w:t xml:space="preserve"> </w:t>
            </w:r>
            <w:r w:rsidRPr="00C563BC" w:rsidR="009D0118">
              <w:t>645 EUR apmērā (65 % no tīrās peļņas par 2019. gadu)</w:t>
            </w:r>
            <w:r w:rsidRPr="00E540A9" w:rsidR="00E540A9">
              <w:t xml:space="preserve">, ieskaitot uzņēmuma ienākuma nodokli, kas tiek aprēķināts saskaņā ar Ministru kabineta 2015.gada 22.decembra noteikumu Nr.806 “Kārtība, kādā valsts kapitālsabiedrības un publiski privātās kapitālsabiedrības, kurās valsts ir </w:t>
            </w:r>
            <w:r w:rsidRPr="00E540A9" w:rsidR="00E540A9">
              <w:lastRenderedPageBreak/>
              <w:t xml:space="preserve">dalībnieks (akcionārs), prognozē un nosaka dividendēs izmaksājamo peļņas daļu un veic maksājumus valsts budžetā par valsts kapitāla izmantošanu” </w:t>
            </w:r>
            <w:r w:rsidR="00E540A9">
              <w:t>3</w:t>
            </w:r>
            <w:r w:rsidRPr="00E540A9" w:rsidR="00E540A9">
              <w:t>.punktu.</w:t>
            </w:r>
          </w:p>
        </w:tc>
      </w:tr>
      <w:tr w:rsidRPr="00C563BC" w:rsidR="00C563BC" w:rsidTr="00C04EFA" w14:paraId="3B4B4491" w14:textId="77777777">
        <w:tc>
          <w:tcPr>
            <w:tcW w:w="396" w:type="dxa"/>
          </w:tcPr>
          <w:p w:rsidRPr="00C563BC" w:rsidR="0082475D" w:rsidP="00FF4919" w:rsidRDefault="00FE786C" w14:paraId="1911D6E6" w14:textId="77777777">
            <w:pPr>
              <w:spacing w:before="120" w:line="276" w:lineRule="auto"/>
              <w:jc w:val="center"/>
            </w:pPr>
            <w:r w:rsidRPr="00C563BC">
              <w:lastRenderedPageBreak/>
              <w:t>3</w:t>
            </w:r>
            <w:r w:rsidRPr="00C563BC" w:rsidR="0082475D">
              <w:t xml:space="preserve">. </w:t>
            </w:r>
          </w:p>
        </w:tc>
        <w:tc>
          <w:tcPr>
            <w:tcW w:w="1403" w:type="dxa"/>
          </w:tcPr>
          <w:p w:rsidRPr="00C563BC" w:rsidR="0082475D" w:rsidP="00FF4919" w:rsidRDefault="0082475D" w14:paraId="5C6DF0F9" w14:textId="77777777">
            <w:pPr>
              <w:spacing w:before="120" w:line="276" w:lineRule="auto"/>
            </w:pPr>
            <w:r w:rsidRPr="00C563BC">
              <w:t>Projekta izstrādē iesaistītās institūcijas</w:t>
            </w:r>
          </w:p>
        </w:tc>
        <w:tc>
          <w:tcPr>
            <w:tcW w:w="7410" w:type="dxa"/>
          </w:tcPr>
          <w:p w:rsidRPr="00C563BC" w:rsidR="00A41BE1" w:rsidP="00FF4919" w:rsidRDefault="003556AA" w14:paraId="00C25BE0" w14:textId="77777777">
            <w:pPr>
              <w:spacing w:before="120" w:line="276" w:lineRule="auto"/>
            </w:pPr>
            <w:r w:rsidRPr="00C563BC">
              <w:t xml:space="preserve">Satiksmes ministrija, valsts akciju sabiedrība </w:t>
            </w:r>
            <w:r w:rsidRPr="00C563BC" w:rsidR="00024D3E">
              <w:t>VAS “Ceļu satiksmes drošības direkcija”</w:t>
            </w:r>
          </w:p>
        </w:tc>
      </w:tr>
      <w:tr w:rsidRPr="00C563BC" w:rsidR="00FA4112" w:rsidTr="00C04EFA" w14:paraId="4FBA23BF" w14:textId="77777777">
        <w:tc>
          <w:tcPr>
            <w:tcW w:w="396" w:type="dxa"/>
          </w:tcPr>
          <w:p w:rsidRPr="00C563BC" w:rsidR="0082475D" w:rsidP="00FF4919" w:rsidRDefault="00FE786C" w14:paraId="51923E40" w14:textId="77777777">
            <w:pPr>
              <w:spacing w:before="120" w:line="276" w:lineRule="auto"/>
              <w:jc w:val="center"/>
            </w:pPr>
            <w:r w:rsidRPr="00C563BC">
              <w:t>4</w:t>
            </w:r>
            <w:r w:rsidRPr="00C563BC" w:rsidR="0082475D">
              <w:t xml:space="preserve">. </w:t>
            </w:r>
          </w:p>
        </w:tc>
        <w:tc>
          <w:tcPr>
            <w:tcW w:w="1403" w:type="dxa"/>
          </w:tcPr>
          <w:p w:rsidRPr="00C563BC" w:rsidR="0082475D" w:rsidP="00FF4919" w:rsidRDefault="0082475D" w14:paraId="726AFECE" w14:textId="77777777">
            <w:pPr>
              <w:spacing w:before="120" w:line="276" w:lineRule="auto"/>
            </w:pPr>
            <w:r w:rsidRPr="00C563BC">
              <w:t>Cita informācija</w:t>
            </w:r>
          </w:p>
        </w:tc>
        <w:tc>
          <w:tcPr>
            <w:tcW w:w="7410" w:type="dxa"/>
          </w:tcPr>
          <w:p w:rsidRPr="00C563BC" w:rsidR="0082475D" w:rsidP="00FF4919" w:rsidRDefault="00D41FAA" w14:paraId="0DBE11B6" w14:textId="77777777">
            <w:pPr>
              <w:spacing w:before="120" w:line="276" w:lineRule="auto"/>
              <w:jc w:val="both"/>
            </w:pPr>
            <w:r w:rsidRPr="00C563BC">
              <w:t>Nav</w:t>
            </w:r>
          </w:p>
        </w:tc>
      </w:tr>
    </w:tbl>
    <w:p w:rsidRPr="00C563BC" w:rsidR="00A67525" w:rsidP="0066301E" w:rsidRDefault="00A67525" w14:paraId="32FA2BCE" w14:textId="77777777">
      <w:pPr>
        <w:spacing w:before="120" w:line="276" w:lineRule="auto"/>
        <w:jc w:val="both"/>
      </w:pPr>
    </w:p>
    <w:p w:rsidRPr="00C563BC" w:rsidR="009B074D" w:rsidP="0066301E" w:rsidRDefault="009B074D" w14:paraId="426F5A5F" w14:textId="77777777">
      <w:pPr>
        <w:spacing w:before="120" w:line="276" w:lineRule="auto"/>
        <w:jc w:val="both"/>
      </w:pPr>
    </w:p>
    <w:tbl>
      <w:tblPr>
        <w:tblW w:w="5338" w:type="pct"/>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000" w:firstRow="0" w:lastRow="0" w:firstColumn="0" w:lastColumn="0" w:noHBand="0" w:noVBand="0"/>
      </w:tblPr>
      <w:tblGrid>
        <w:gridCol w:w="9214"/>
      </w:tblGrid>
      <w:tr w:rsidRPr="00C563BC" w:rsidR="00C563BC" w:rsidTr="0066301E" w14:paraId="7FF500C4" w14:textId="77777777">
        <w:tc>
          <w:tcPr>
            <w:tcW w:w="5000" w:type="pct"/>
            <w:tcBorders>
              <w:top w:val="outset" w:color="auto" w:sz="6" w:space="0"/>
              <w:left w:val="outset" w:color="auto" w:sz="6" w:space="0"/>
              <w:bottom w:val="outset" w:color="auto" w:sz="6" w:space="0"/>
              <w:right w:val="outset" w:color="auto" w:sz="6" w:space="0"/>
            </w:tcBorders>
          </w:tcPr>
          <w:p w:rsidRPr="00C563BC" w:rsidR="001875D8" w:rsidP="00154C9E" w:rsidRDefault="001875D8" w14:paraId="44EAD4DD" w14:textId="77777777">
            <w:pPr>
              <w:ind w:firstLine="374"/>
              <w:contextualSpacing/>
              <w:jc w:val="center"/>
            </w:pPr>
            <w:bookmarkStart w:name="_Hlk500850562" w:id="1"/>
            <w:r w:rsidRPr="00C563BC">
              <w:rPr>
                <w:b/>
                <w:bCs/>
              </w:rPr>
              <w:t>II. Tiesību akta projekta ietekme uz sabiedrību, tautsaimniecības attīstību un administratīvo slogu</w:t>
            </w:r>
          </w:p>
        </w:tc>
      </w:tr>
      <w:tr w:rsidRPr="00C563BC" w:rsidR="00C563BC" w:rsidTr="0066301E" w14:paraId="1C3FC739" w14:textId="77777777">
        <w:trPr>
          <w:trHeight w:val="427"/>
        </w:trPr>
        <w:tc>
          <w:tcPr>
            <w:tcW w:w="5000" w:type="pct"/>
            <w:tcBorders>
              <w:top w:val="outset" w:color="auto" w:sz="6" w:space="0"/>
              <w:left w:val="outset" w:color="auto" w:sz="6" w:space="0"/>
              <w:bottom w:val="outset" w:color="auto" w:sz="6" w:space="0"/>
              <w:right w:val="outset" w:color="auto" w:sz="6" w:space="0"/>
            </w:tcBorders>
          </w:tcPr>
          <w:p w:rsidRPr="00C563BC" w:rsidR="001875D8" w:rsidP="00154C9E" w:rsidRDefault="001875D8" w14:paraId="752B6147" w14:textId="77777777">
            <w:pPr>
              <w:ind w:firstLine="374"/>
              <w:contextualSpacing/>
              <w:jc w:val="center"/>
            </w:pPr>
            <w:r w:rsidRPr="00C563BC">
              <w:t>Projekts šo jomu neskar</w:t>
            </w:r>
          </w:p>
        </w:tc>
      </w:tr>
      <w:bookmarkEnd w:id="1"/>
    </w:tbl>
    <w:p w:rsidRPr="00C563BC" w:rsidR="001875D8" w:rsidP="00FF4919" w:rsidRDefault="001875D8" w14:paraId="55CA94DF" w14:textId="77777777">
      <w:pPr>
        <w:spacing w:before="120" w:line="276" w:lineRule="auto"/>
        <w:jc w:val="both"/>
      </w:pPr>
    </w:p>
    <w:tbl>
      <w:tblPr>
        <w:tblW w:w="5338" w:type="pct"/>
        <w:tblInd w:w="-8" w:type="dxa"/>
        <w:tblBorders>
          <w:top w:val="outset" w:color="414142" w:sz="6" w:space="0"/>
          <w:left w:val="outset" w:color="414142" w:sz="6" w:space="0"/>
          <w:bottom w:val="outset" w:color="414142" w:sz="6" w:space="0"/>
          <w:right w:val="outset" w:color="414142" w:sz="6" w:space="0"/>
        </w:tblBorders>
        <w:shd w:val="clear" w:color="auto" w:fill="FFFFFF"/>
        <w:tblCellMar>
          <w:top w:w="30" w:type="dxa"/>
          <w:left w:w="30" w:type="dxa"/>
          <w:bottom w:w="30" w:type="dxa"/>
          <w:right w:w="30" w:type="dxa"/>
        </w:tblCellMar>
        <w:tblLook w:val="04A0" w:firstRow="1" w:lastRow="0" w:firstColumn="1" w:lastColumn="0" w:noHBand="0" w:noVBand="1"/>
      </w:tblPr>
      <w:tblGrid>
        <w:gridCol w:w="1683"/>
        <w:gridCol w:w="1252"/>
        <w:gridCol w:w="1393"/>
        <w:gridCol w:w="855"/>
        <w:gridCol w:w="1026"/>
        <w:gridCol w:w="855"/>
        <w:gridCol w:w="1030"/>
        <w:gridCol w:w="1120"/>
      </w:tblGrid>
      <w:tr w:rsidRPr="00C563BC" w:rsidR="00C563BC" w:rsidTr="0066301E" w14:paraId="311B7CB9" w14:textId="77777777">
        <w:tc>
          <w:tcPr>
            <w:tcW w:w="5000" w:type="pct"/>
            <w:gridSpan w:val="8"/>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C563BC" w:rsidR="00446352" w:rsidP="00874890" w:rsidRDefault="00446352" w14:paraId="57BE0D92" w14:textId="77777777">
            <w:pPr>
              <w:spacing w:before="120" w:line="276" w:lineRule="auto"/>
              <w:ind w:left="110"/>
              <w:jc w:val="center"/>
              <w:rPr>
                <w:b/>
              </w:rPr>
            </w:pPr>
            <w:r w:rsidRPr="00C563BC">
              <w:rPr>
                <w:b/>
              </w:rPr>
              <w:t>III. Tiesību akta projekta ietekme uz valsts budžetu un pašvaldību budžetiem</w:t>
            </w:r>
          </w:p>
        </w:tc>
      </w:tr>
      <w:tr w:rsidRPr="00C563BC" w:rsidR="00C563BC" w:rsidTr="00145346" w14:paraId="47E4F7CD" w14:textId="77777777">
        <w:tc>
          <w:tcPr>
            <w:tcW w:w="913" w:type="pct"/>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C563BC" w:rsidR="00E42F47" w:rsidP="00874890" w:rsidRDefault="00446352" w14:paraId="068C8127" w14:textId="77777777">
            <w:pPr>
              <w:spacing w:before="120" w:line="276" w:lineRule="auto"/>
              <w:ind w:left="110"/>
              <w:jc w:val="center"/>
              <w:rPr>
                <w:sz w:val="22"/>
                <w:szCs w:val="22"/>
              </w:rPr>
            </w:pPr>
            <w:r w:rsidRPr="00C563BC">
              <w:rPr>
                <w:sz w:val="22"/>
                <w:szCs w:val="22"/>
              </w:rPr>
              <w:t>Rādītāji</w:t>
            </w:r>
          </w:p>
          <w:p w:rsidRPr="00C563BC" w:rsidR="00E42F47" w:rsidP="00E42F47" w:rsidRDefault="00E42F47" w14:paraId="574374A2" w14:textId="77777777">
            <w:pPr>
              <w:rPr>
                <w:sz w:val="22"/>
                <w:szCs w:val="22"/>
              </w:rPr>
            </w:pPr>
          </w:p>
          <w:p w:rsidRPr="00C563BC" w:rsidR="00E42F47" w:rsidP="00E42F47" w:rsidRDefault="00E42F47" w14:paraId="51DE3EEC" w14:textId="77777777">
            <w:pPr>
              <w:rPr>
                <w:sz w:val="22"/>
                <w:szCs w:val="22"/>
              </w:rPr>
            </w:pPr>
          </w:p>
          <w:p w:rsidRPr="00C563BC" w:rsidR="00E42F47" w:rsidP="00E42F47" w:rsidRDefault="00E42F47" w14:paraId="5620B5EE" w14:textId="77777777">
            <w:pPr>
              <w:rPr>
                <w:sz w:val="22"/>
                <w:szCs w:val="22"/>
              </w:rPr>
            </w:pPr>
          </w:p>
          <w:p w:rsidRPr="00C563BC" w:rsidR="00E42F47" w:rsidP="00E42F47" w:rsidRDefault="00E42F47" w14:paraId="3FF04F44" w14:textId="77777777">
            <w:pPr>
              <w:rPr>
                <w:sz w:val="22"/>
                <w:szCs w:val="22"/>
              </w:rPr>
            </w:pPr>
          </w:p>
          <w:p w:rsidRPr="00C563BC" w:rsidR="00E42F47" w:rsidP="00E42F47" w:rsidRDefault="00E42F47" w14:paraId="011DBB73" w14:textId="77777777">
            <w:pPr>
              <w:rPr>
                <w:sz w:val="22"/>
                <w:szCs w:val="22"/>
              </w:rPr>
            </w:pPr>
          </w:p>
          <w:p w:rsidRPr="00C563BC" w:rsidR="00446352" w:rsidP="00E42F47" w:rsidRDefault="00446352" w14:paraId="6CACD2C9" w14:textId="77777777">
            <w:pPr>
              <w:rPr>
                <w:sz w:val="22"/>
                <w:szCs w:val="22"/>
              </w:rPr>
            </w:pPr>
          </w:p>
        </w:tc>
        <w:tc>
          <w:tcPr>
            <w:tcW w:w="1435" w:type="pct"/>
            <w:gridSpan w:val="2"/>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C563BC" w:rsidR="00446352" w:rsidP="00874890" w:rsidRDefault="00446352" w14:paraId="3D1F6913" w14:textId="77777777">
            <w:pPr>
              <w:spacing w:before="120" w:line="276" w:lineRule="auto"/>
              <w:ind w:left="110"/>
              <w:jc w:val="center"/>
              <w:rPr>
                <w:sz w:val="22"/>
                <w:szCs w:val="22"/>
              </w:rPr>
            </w:pPr>
            <w:r w:rsidRPr="00C563BC">
              <w:rPr>
                <w:sz w:val="22"/>
                <w:szCs w:val="22"/>
              </w:rPr>
              <w:t>20</w:t>
            </w:r>
            <w:r w:rsidRPr="00C563BC" w:rsidR="00A2612B">
              <w:rPr>
                <w:sz w:val="22"/>
                <w:szCs w:val="22"/>
              </w:rPr>
              <w:t>20</w:t>
            </w:r>
          </w:p>
        </w:tc>
        <w:tc>
          <w:tcPr>
            <w:tcW w:w="2651" w:type="pct"/>
            <w:gridSpan w:val="5"/>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C563BC" w:rsidR="00446352" w:rsidP="00874890" w:rsidRDefault="00446352" w14:paraId="790ECD40" w14:textId="77777777">
            <w:pPr>
              <w:spacing w:before="120" w:line="276" w:lineRule="auto"/>
              <w:ind w:left="110"/>
              <w:jc w:val="center"/>
              <w:rPr>
                <w:sz w:val="22"/>
                <w:szCs w:val="22"/>
              </w:rPr>
            </w:pPr>
            <w:r w:rsidRPr="00C563BC">
              <w:rPr>
                <w:sz w:val="22"/>
                <w:szCs w:val="22"/>
              </w:rPr>
              <w:t>Turpmākie trīs gadi (</w:t>
            </w:r>
            <w:proofErr w:type="spellStart"/>
            <w:r w:rsidRPr="00C563BC">
              <w:rPr>
                <w:sz w:val="22"/>
                <w:szCs w:val="22"/>
              </w:rPr>
              <w:t>euro</w:t>
            </w:r>
            <w:proofErr w:type="spellEnd"/>
            <w:r w:rsidRPr="00C563BC">
              <w:rPr>
                <w:sz w:val="22"/>
                <w:szCs w:val="22"/>
              </w:rPr>
              <w:t>)</w:t>
            </w:r>
          </w:p>
        </w:tc>
      </w:tr>
      <w:tr w:rsidRPr="00C563BC" w:rsidR="00C563BC" w:rsidTr="00145346" w14:paraId="2DF57692" w14:textId="77777777">
        <w:tc>
          <w:tcPr>
            <w:tcW w:w="913" w:type="pct"/>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C563BC" w:rsidR="00446352" w:rsidP="00874890" w:rsidRDefault="00446352" w14:paraId="36034E83" w14:textId="77777777">
            <w:pPr>
              <w:spacing w:before="120" w:line="276" w:lineRule="auto"/>
              <w:ind w:left="110"/>
              <w:jc w:val="center"/>
              <w:rPr>
                <w:sz w:val="22"/>
                <w:szCs w:val="22"/>
              </w:rPr>
            </w:pPr>
          </w:p>
        </w:tc>
        <w:tc>
          <w:tcPr>
            <w:tcW w:w="1435" w:type="pct"/>
            <w:gridSpan w:val="2"/>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C563BC" w:rsidR="00446352" w:rsidP="00874890" w:rsidRDefault="00446352" w14:paraId="37E7C5AA" w14:textId="77777777">
            <w:pPr>
              <w:spacing w:before="120" w:line="276" w:lineRule="auto"/>
              <w:ind w:left="110"/>
              <w:jc w:val="center"/>
              <w:rPr>
                <w:sz w:val="22"/>
                <w:szCs w:val="22"/>
              </w:rPr>
            </w:pPr>
          </w:p>
        </w:tc>
        <w:tc>
          <w:tcPr>
            <w:tcW w:w="1021" w:type="pct"/>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C563BC" w:rsidR="00446352" w:rsidP="00874890" w:rsidRDefault="00446352" w14:paraId="5196EEF0" w14:textId="77777777">
            <w:pPr>
              <w:pStyle w:val="NormalWeb"/>
              <w:spacing w:before="120" w:line="276" w:lineRule="auto"/>
              <w:ind w:left="110"/>
              <w:jc w:val="center"/>
              <w:rPr>
                <w:sz w:val="22"/>
                <w:szCs w:val="22"/>
              </w:rPr>
            </w:pPr>
            <w:r w:rsidRPr="00C563BC">
              <w:rPr>
                <w:sz w:val="22"/>
                <w:szCs w:val="22"/>
              </w:rPr>
              <w:t>20</w:t>
            </w:r>
            <w:r w:rsidRPr="00C563BC" w:rsidR="00A2612B">
              <w:rPr>
                <w:sz w:val="22"/>
                <w:szCs w:val="22"/>
              </w:rPr>
              <w:t>21</w:t>
            </w:r>
          </w:p>
        </w:tc>
        <w:tc>
          <w:tcPr>
            <w:tcW w:w="1023" w:type="pct"/>
            <w:gridSpan w:val="2"/>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C563BC" w:rsidR="00446352" w:rsidP="00874890" w:rsidRDefault="00446352" w14:paraId="26594169" w14:textId="77777777">
            <w:pPr>
              <w:pStyle w:val="NormalWeb"/>
              <w:spacing w:before="120" w:line="276" w:lineRule="auto"/>
              <w:ind w:left="110"/>
              <w:jc w:val="center"/>
              <w:rPr>
                <w:sz w:val="22"/>
                <w:szCs w:val="22"/>
              </w:rPr>
            </w:pPr>
            <w:r w:rsidRPr="00C563BC">
              <w:rPr>
                <w:sz w:val="22"/>
                <w:szCs w:val="22"/>
              </w:rPr>
              <w:t>202</w:t>
            </w:r>
            <w:r w:rsidRPr="00C563BC" w:rsidR="00A2612B">
              <w:rPr>
                <w:sz w:val="22"/>
                <w:szCs w:val="22"/>
              </w:rPr>
              <w:t>2</w:t>
            </w:r>
          </w:p>
        </w:tc>
        <w:tc>
          <w:tcPr>
            <w:tcW w:w="608"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C563BC" w:rsidR="00446352" w:rsidP="00874890" w:rsidRDefault="00446352" w14:paraId="492F12EA" w14:textId="77777777">
            <w:pPr>
              <w:pStyle w:val="NormalWeb"/>
              <w:spacing w:before="120" w:line="276" w:lineRule="auto"/>
              <w:ind w:left="110"/>
              <w:jc w:val="center"/>
              <w:rPr>
                <w:sz w:val="22"/>
                <w:szCs w:val="22"/>
              </w:rPr>
            </w:pPr>
            <w:r w:rsidRPr="00C563BC">
              <w:rPr>
                <w:sz w:val="22"/>
                <w:szCs w:val="22"/>
              </w:rPr>
              <w:t>202</w:t>
            </w:r>
            <w:r w:rsidRPr="00C563BC" w:rsidR="00A2612B">
              <w:rPr>
                <w:sz w:val="22"/>
                <w:szCs w:val="22"/>
              </w:rPr>
              <w:t>3</w:t>
            </w:r>
          </w:p>
        </w:tc>
      </w:tr>
      <w:tr w:rsidRPr="00C563BC" w:rsidR="00C563BC" w:rsidTr="00145346" w14:paraId="5691DC79" w14:textId="77777777">
        <w:tc>
          <w:tcPr>
            <w:tcW w:w="913" w:type="pct"/>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C563BC" w:rsidR="00446352" w:rsidP="00874890" w:rsidRDefault="00446352" w14:paraId="3CD29788" w14:textId="77777777">
            <w:pPr>
              <w:spacing w:before="120" w:line="276" w:lineRule="auto"/>
              <w:ind w:left="110"/>
              <w:jc w:val="center"/>
              <w:rPr>
                <w:sz w:val="22"/>
                <w:szCs w:val="22"/>
              </w:rPr>
            </w:pPr>
          </w:p>
        </w:tc>
        <w:tc>
          <w:tcPr>
            <w:tcW w:w="679"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C563BC" w:rsidR="00446352" w:rsidP="00874890" w:rsidRDefault="00446352" w14:paraId="760C03BC" w14:textId="77777777">
            <w:pPr>
              <w:pStyle w:val="NormalWeb"/>
              <w:spacing w:before="120" w:line="276" w:lineRule="auto"/>
              <w:ind w:left="110"/>
              <w:jc w:val="center"/>
              <w:rPr>
                <w:sz w:val="22"/>
                <w:szCs w:val="22"/>
              </w:rPr>
            </w:pPr>
            <w:r w:rsidRPr="00C563BC">
              <w:rPr>
                <w:sz w:val="22"/>
                <w:szCs w:val="22"/>
              </w:rPr>
              <w:t>saskaņā ar valsts budžetu kārtējam gadam</w:t>
            </w:r>
          </w:p>
        </w:tc>
        <w:tc>
          <w:tcPr>
            <w:tcW w:w="756"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C563BC" w:rsidR="00446352" w:rsidP="00874890" w:rsidRDefault="00446352" w14:paraId="45F84081" w14:textId="77777777">
            <w:pPr>
              <w:pStyle w:val="NormalWeb"/>
              <w:spacing w:before="120" w:line="276" w:lineRule="auto"/>
              <w:ind w:left="110"/>
              <w:jc w:val="center"/>
              <w:rPr>
                <w:sz w:val="22"/>
                <w:szCs w:val="22"/>
              </w:rPr>
            </w:pPr>
            <w:r w:rsidRPr="00C563BC">
              <w:rPr>
                <w:sz w:val="22"/>
                <w:szCs w:val="22"/>
              </w:rPr>
              <w:t>izmaiņas kārtējā gadā, salīdzinot ar valsts budžetu kārtējam gadam</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C563BC" w:rsidR="00446352" w:rsidP="00874890" w:rsidRDefault="00446352" w14:paraId="5FCF5C6B" w14:textId="77777777">
            <w:pPr>
              <w:pStyle w:val="NormalWeb"/>
              <w:spacing w:before="120" w:line="276" w:lineRule="auto"/>
              <w:ind w:left="110"/>
              <w:jc w:val="center"/>
              <w:rPr>
                <w:sz w:val="22"/>
                <w:szCs w:val="22"/>
              </w:rPr>
            </w:pPr>
            <w:r w:rsidRPr="00C563BC">
              <w:rPr>
                <w:sz w:val="22"/>
                <w:szCs w:val="22"/>
              </w:rPr>
              <w:t>saskaņā ar vidēja termiņa budžeta ietvaru</w:t>
            </w:r>
          </w:p>
        </w:tc>
        <w:tc>
          <w:tcPr>
            <w:tcW w:w="557"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C563BC" w:rsidR="00446352" w:rsidP="00874890" w:rsidRDefault="00446352" w14:paraId="3119609F" w14:textId="77777777">
            <w:pPr>
              <w:pStyle w:val="NormalWeb"/>
              <w:spacing w:before="120" w:line="276" w:lineRule="auto"/>
              <w:ind w:left="110"/>
              <w:jc w:val="center"/>
              <w:rPr>
                <w:sz w:val="22"/>
                <w:szCs w:val="22"/>
              </w:rPr>
            </w:pPr>
            <w:r w:rsidRPr="00C563BC">
              <w:rPr>
                <w:sz w:val="22"/>
                <w:szCs w:val="22"/>
              </w:rPr>
              <w:t xml:space="preserve">izmaiņas, salīdzinot ar vidēja termiņa budžeta ietvaru </w:t>
            </w:r>
            <w:r w:rsidRPr="00C563BC" w:rsidR="00145346">
              <w:rPr>
                <w:sz w:val="22"/>
                <w:szCs w:val="22"/>
              </w:rPr>
              <w:t>2019</w:t>
            </w:r>
            <w:r w:rsidRPr="00C563BC">
              <w:rPr>
                <w:sz w:val="22"/>
                <w:szCs w:val="22"/>
              </w:rPr>
              <w:t xml:space="preserve"> gadam</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C563BC" w:rsidR="00446352" w:rsidP="00874890" w:rsidRDefault="00446352" w14:paraId="359C6EE2" w14:textId="77777777">
            <w:pPr>
              <w:pStyle w:val="NormalWeb"/>
              <w:spacing w:before="120" w:line="276" w:lineRule="auto"/>
              <w:ind w:left="110"/>
              <w:jc w:val="center"/>
              <w:rPr>
                <w:sz w:val="22"/>
                <w:szCs w:val="22"/>
              </w:rPr>
            </w:pPr>
            <w:r w:rsidRPr="00C563BC">
              <w:rPr>
                <w:sz w:val="22"/>
                <w:szCs w:val="22"/>
              </w:rPr>
              <w:t>saskaņā ar vidēja termiņa budžeta ietvaru</w:t>
            </w:r>
          </w:p>
        </w:tc>
        <w:tc>
          <w:tcPr>
            <w:tcW w:w="559"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C563BC" w:rsidR="00446352" w:rsidP="00874890" w:rsidRDefault="00446352" w14:paraId="4D5693A4" w14:textId="77777777">
            <w:pPr>
              <w:pStyle w:val="NormalWeb"/>
              <w:spacing w:before="120" w:line="276" w:lineRule="auto"/>
              <w:ind w:left="110"/>
              <w:jc w:val="center"/>
              <w:rPr>
                <w:sz w:val="22"/>
                <w:szCs w:val="22"/>
              </w:rPr>
            </w:pPr>
            <w:r w:rsidRPr="00C563BC">
              <w:rPr>
                <w:sz w:val="22"/>
                <w:szCs w:val="22"/>
              </w:rPr>
              <w:t xml:space="preserve">izmaiņas, salīdzinot ar vidēja termiņa budžeta ietvaru </w:t>
            </w:r>
            <w:r w:rsidRPr="00C563BC" w:rsidR="00145346">
              <w:rPr>
                <w:sz w:val="22"/>
                <w:szCs w:val="22"/>
              </w:rPr>
              <w:t>2020</w:t>
            </w:r>
            <w:r w:rsidRPr="00C563BC">
              <w:rPr>
                <w:sz w:val="22"/>
                <w:szCs w:val="22"/>
              </w:rPr>
              <w:t xml:space="preserve"> gadam</w:t>
            </w:r>
          </w:p>
        </w:tc>
        <w:tc>
          <w:tcPr>
            <w:tcW w:w="608"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C563BC" w:rsidR="00446352" w:rsidP="00874890" w:rsidRDefault="00446352" w14:paraId="0D6AD59F" w14:textId="77777777">
            <w:pPr>
              <w:pStyle w:val="NormalWeb"/>
              <w:spacing w:before="120" w:line="276" w:lineRule="auto"/>
              <w:ind w:left="110"/>
              <w:jc w:val="center"/>
              <w:rPr>
                <w:sz w:val="22"/>
                <w:szCs w:val="22"/>
              </w:rPr>
            </w:pPr>
            <w:r w:rsidRPr="00C563BC">
              <w:rPr>
                <w:sz w:val="22"/>
                <w:szCs w:val="22"/>
              </w:rPr>
              <w:t xml:space="preserve">izmaiņas, salīdzinot ar vidēja termiņa budžeta ietvaru </w:t>
            </w:r>
            <w:r w:rsidRPr="00C563BC" w:rsidR="00145346">
              <w:rPr>
                <w:sz w:val="22"/>
                <w:szCs w:val="22"/>
              </w:rPr>
              <w:t>2020</w:t>
            </w:r>
            <w:r w:rsidRPr="00C563BC">
              <w:rPr>
                <w:sz w:val="22"/>
                <w:szCs w:val="22"/>
              </w:rPr>
              <w:t xml:space="preserve"> gadam</w:t>
            </w:r>
          </w:p>
        </w:tc>
      </w:tr>
      <w:tr w:rsidRPr="00C563BC" w:rsidR="00C563BC" w:rsidTr="00145346" w14:paraId="54D66BB1"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C563BC" w:rsidR="00446352" w:rsidP="00874890" w:rsidRDefault="00446352" w14:paraId="34C3F223" w14:textId="77777777">
            <w:pPr>
              <w:pStyle w:val="NormalWeb"/>
              <w:spacing w:line="293" w:lineRule="atLeast"/>
              <w:ind w:left="110"/>
              <w:jc w:val="center"/>
              <w:rPr>
                <w:sz w:val="22"/>
                <w:szCs w:val="22"/>
              </w:rPr>
            </w:pPr>
            <w:r w:rsidRPr="00C563BC">
              <w:rPr>
                <w:sz w:val="22"/>
                <w:szCs w:val="22"/>
              </w:rPr>
              <w:t>1</w:t>
            </w:r>
          </w:p>
        </w:tc>
        <w:tc>
          <w:tcPr>
            <w:tcW w:w="679"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C563BC" w:rsidR="00446352" w:rsidP="00874890" w:rsidRDefault="00446352" w14:paraId="5C2CFCEF" w14:textId="77777777">
            <w:pPr>
              <w:pStyle w:val="NormalWeb"/>
              <w:spacing w:line="293" w:lineRule="atLeast"/>
              <w:ind w:left="110"/>
              <w:jc w:val="center"/>
              <w:rPr>
                <w:sz w:val="22"/>
                <w:szCs w:val="22"/>
              </w:rPr>
            </w:pPr>
            <w:r w:rsidRPr="00C563BC">
              <w:rPr>
                <w:sz w:val="22"/>
                <w:szCs w:val="22"/>
              </w:rPr>
              <w:t>2</w:t>
            </w:r>
          </w:p>
        </w:tc>
        <w:tc>
          <w:tcPr>
            <w:tcW w:w="756"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C563BC" w:rsidR="00446352" w:rsidP="00874890" w:rsidRDefault="00446352" w14:paraId="44F03CF5" w14:textId="77777777">
            <w:pPr>
              <w:pStyle w:val="NormalWeb"/>
              <w:spacing w:line="293" w:lineRule="atLeast"/>
              <w:ind w:left="110"/>
              <w:jc w:val="center"/>
              <w:rPr>
                <w:sz w:val="22"/>
                <w:szCs w:val="22"/>
              </w:rPr>
            </w:pPr>
            <w:r w:rsidRPr="00C563BC">
              <w:rPr>
                <w:sz w:val="22"/>
                <w:szCs w:val="22"/>
              </w:rPr>
              <w:t>3</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C563BC" w:rsidR="00446352" w:rsidP="00874890" w:rsidRDefault="00446352" w14:paraId="4F5F5E91" w14:textId="77777777">
            <w:pPr>
              <w:pStyle w:val="NormalWeb"/>
              <w:spacing w:line="293" w:lineRule="atLeast"/>
              <w:ind w:left="110"/>
              <w:jc w:val="center"/>
              <w:rPr>
                <w:sz w:val="22"/>
                <w:szCs w:val="22"/>
              </w:rPr>
            </w:pPr>
            <w:r w:rsidRPr="00C563BC">
              <w:rPr>
                <w:sz w:val="22"/>
                <w:szCs w:val="22"/>
              </w:rPr>
              <w:t>4</w:t>
            </w:r>
          </w:p>
        </w:tc>
        <w:tc>
          <w:tcPr>
            <w:tcW w:w="557"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C563BC" w:rsidR="00446352" w:rsidP="00874890" w:rsidRDefault="00446352" w14:paraId="18BBB92B" w14:textId="77777777">
            <w:pPr>
              <w:pStyle w:val="NormalWeb"/>
              <w:spacing w:line="293" w:lineRule="atLeast"/>
              <w:ind w:left="110"/>
              <w:jc w:val="center"/>
              <w:rPr>
                <w:sz w:val="22"/>
                <w:szCs w:val="22"/>
              </w:rPr>
            </w:pPr>
            <w:r w:rsidRPr="00C563BC">
              <w:rPr>
                <w:sz w:val="22"/>
                <w:szCs w:val="22"/>
              </w:rPr>
              <w:t>5</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C563BC" w:rsidR="00446352" w:rsidP="00874890" w:rsidRDefault="00446352" w14:paraId="74BB6DF3" w14:textId="77777777">
            <w:pPr>
              <w:pStyle w:val="NormalWeb"/>
              <w:spacing w:line="293" w:lineRule="atLeast"/>
              <w:ind w:left="110"/>
              <w:jc w:val="center"/>
              <w:rPr>
                <w:sz w:val="22"/>
                <w:szCs w:val="22"/>
              </w:rPr>
            </w:pPr>
            <w:r w:rsidRPr="00C563BC">
              <w:rPr>
                <w:sz w:val="22"/>
                <w:szCs w:val="22"/>
              </w:rPr>
              <w:t>6</w:t>
            </w:r>
          </w:p>
        </w:tc>
        <w:tc>
          <w:tcPr>
            <w:tcW w:w="559"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C563BC" w:rsidR="00446352" w:rsidP="00874890" w:rsidRDefault="00446352" w14:paraId="5576007B" w14:textId="77777777">
            <w:pPr>
              <w:pStyle w:val="NormalWeb"/>
              <w:spacing w:line="293" w:lineRule="atLeast"/>
              <w:ind w:left="110"/>
              <w:jc w:val="center"/>
              <w:rPr>
                <w:sz w:val="22"/>
                <w:szCs w:val="22"/>
              </w:rPr>
            </w:pPr>
            <w:r w:rsidRPr="00C563BC">
              <w:rPr>
                <w:sz w:val="22"/>
                <w:szCs w:val="22"/>
              </w:rPr>
              <w:t>7</w:t>
            </w:r>
          </w:p>
        </w:tc>
        <w:tc>
          <w:tcPr>
            <w:tcW w:w="608" w:type="pc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C563BC" w:rsidR="00446352" w:rsidP="00874890" w:rsidRDefault="00446352" w14:paraId="2AFD5C9B" w14:textId="77777777">
            <w:pPr>
              <w:pStyle w:val="NormalWeb"/>
              <w:spacing w:line="293" w:lineRule="atLeast"/>
              <w:ind w:left="110"/>
              <w:jc w:val="center"/>
              <w:rPr>
                <w:sz w:val="22"/>
                <w:szCs w:val="22"/>
              </w:rPr>
            </w:pPr>
            <w:r w:rsidRPr="00C563BC">
              <w:rPr>
                <w:sz w:val="22"/>
                <w:szCs w:val="22"/>
              </w:rPr>
              <w:t>8</w:t>
            </w:r>
          </w:p>
        </w:tc>
      </w:tr>
      <w:tr w:rsidRPr="00C563BC" w:rsidR="00C563BC" w:rsidTr="00145346" w14:paraId="377CEC1D"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hideMark/>
          </w:tcPr>
          <w:p w:rsidRPr="00C563BC" w:rsidR="00984937" w:rsidP="00984937" w:rsidRDefault="00984937" w14:paraId="40EE46C8" w14:textId="77777777">
            <w:pPr>
              <w:ind w:left="110"/>
              <w:rPr>
                <w:sz w:val="22"/>
                <w:szCs w:val="22"/>
              </w:rPr>
            </w:pPr>
            <w:r w:rsidRPr="00C563BC">
              <w:rPr>
                <w:sz w:val="22"/>
                <w:szCs w:val="22"/>
              </w:rPr>
              <w:t>1. Budžeta ieņēmumi</w:t>
            </w:r>
          </w:p>
        </w:tc>
        <w:tc>
          <w:tcPr>
            <w:tcW w:w="67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984937" w:rsidP="00984937" w:rsidRDefault="00984937" w14:paraId="101E4C90" w14:textId="77777777">
            <w:pPr>
              <w:ind w:left="11"/>
              <w:rPr>
                <w:sz w:val="22"/>
                <w:szCs w:val="22"/>
              </w:rPr>
            </w:pPr>
          </w:p>
        </w:tc>
        <w:tc>
          <w:tcPr>
            <w:tcW w:w="756"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984937" w:rsidP="00311293" w:rsidRDefault="005B352D" w14:paraId="756BE4FC" w14:textId="6CB69C4C">
            <w:pPr>
              <w:rPr>
                <w:sz w:val="22"/>
                <w:szCs w:val="22"/>
              </w:rPr>
            </w:pPr>
            <w:r w:rsidRPr="00C563BC">
              <w:rPr>
                <w:sz w:val="22"/>
                <w:szCs w:val="22"/>
              </w:rPr>
              <w:t>-</w:t>
            </w:r>
            <w:r w:rsidRPr="00C563BC" w:rsidR="004811C3">
              <w:rPr>
                <w:sz w:val="22"/>
                <w:szCs w:val="22"/>
              </w:rPr>
              <w:t>552 872</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984937" w:rsidP="00984937" w:rsidRDefault="00145346" w14:paraId="473C8BFC" w14:textId="77777777">
            <w:pPr>
              <w:rPr>
                <w:sz w:val="20"/>
                <w:szCs w:val="20"/>
              </w:rPr>
            </w:pPr>
            <w:r w:rsidRPr="00C563BC">
              <w:rPr>
                <w:sz w:val="20"/>
                <w:szCs w:val="20"/>
              </w:rPr>
              <w:t>0</w:t>
            </w:r>
          </w:p>
        </w:tc>
        <w:tc>
          <w:tcPr>
            <w:tcW w:w="557"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984937" w:rsidP="00984937" w:rsidRDefault="00145346" w14:paraId="78D326DF" w14:textId="77777777">
            <w:pPr>
              <w:rPr>
                <w:sz w:val="22"/>
                <w:szCs w:val="22"/>
              </w:rPr>
            </w:pPr>
            <w:r w:rsidRPr="00C563BC">
              <w:rPr>
                <w:sz w:val="22"/>
                <w:szCs w:val="22"/>
              </w:rPr>
              <w:t>0</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984937" w:rsidP="00984937" w:rsidRDefault="00145346" w14:paraId="57874188" w14:textId="77777777">
            <w:pPr>
              <w:rPr>
                <w:sz w:val="20"/>
                <w:szCs w:val="20"/>
              </w:rPr>
            </w:pPr>
            <w:r w:rsidRPr="00C563BC">
              <w:rPr>
                <w:sz w:val="20"/>
                <w:szCs w:val="20"/>
              </w:rPr>
              <w:t>0</w:t>
            </w:r>
          </w:p>
        </w:tc>
        <w:tc>
          <w:tcPr>
            <w:tcW w:w="55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984937" w:rsidP="00984937" w:rsidRDefault="00145346" w14:paraId="7AE9D672" w14:textId="77777777">
            <w:pPr>
              <w:ind w:left="110"/>
              <w:rPr>
                <w:sz w:val="22"/>
                <w:szCs w:val="22"/>
              </w:rPr>
            </w:pPr>
            <w:r w:rsidRPr="00C563BC">
              <w:rPr>
                <w:sz w:val="22"/>
                <w:szCs w:val="22"/>
              </w:rPr>
              <w:t>0</w:t>
            </w:r>
          </w:p>
        </w:tc>
        <w:tc>
          <w:tcPr>
            <w:tcW w:w="608"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984937" w:rsidP="00984937" w:rsidRDefault="00145346" w14:paraId="77D4BDA9" w14:textId="77777777">
            <w:pPr>
              <w:ind w:left="110"/>
              <w:rPr>
                <w:sz w:val="22"/>
                <w:szCs w:val="22"/>
              </w:rPr>
            </w:pPr>
            <w:r w:rsidRPr="00C563BC">
              <w:rPr>
                <w:sz w:val="22"/>
                <w:szCs w:val="22"/>
              </w:rPr>
              <w:t>0</w:t>
            </w:r>
          </w:p>
        </w:tc>
      </w:tr>
      <w:tr w:rsidRPr="00C563BC" w:rsidR="00C563BC" w:rsidTr="00145346" w14:paraId="21ECB098"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hideMark/>
          </w:tcPr>
          <w:p w:rsidRPr="00C563BC" w:rsidR="00984937" w:rsidP="00984937" w:rsidRDefault="00984937" w14:paraId="4E7AE7C8" w14:textId="77777777">
            <w:pPr>
              <w:ind w:left="110"/>
              <w:rPr>
                <w:sz w:val="22"/>
                <w:szCs w:val="22"/>
              </w:rPr>
            </w:pPr>
            <w:r w:rsidRPr="00C563BC">
              <w:rPr>
                <w:sz w:val="22"/>
                <w:szCs w:val="22"/>
              </w:rPr>
              <w:t>1.1. valsts pamatbudžets, tai skaitā ieņēmumi no maksas pakalpojumiem un citi pašu ieņēmumi</w:t>
            </w:r>
          </w:p>
        </w:tc>
        <w:tc>
          <w:tcPr>
            <w:tcW w:w="67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984937" w:rsidP="00984937" w:rsidRDefault="00984937" w14:paraId="5C1AB5ED" w14:textId="77777777">
            <w:pPr>
              <w:ind w:hanging="147"/>
              <w:rPr>
                <w:sz w:val="22"/>
                <w:szCs w:val="22"/>
              </w:rPr>
            </w:pPr>
          </w:p>
        </w:tc>
        <w:tc>
          <w:tcPr>
            <w:tcW w:w="756"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984937" w:rsidP="003556AA" w:rsidRDefault="004811C3" w14:paraId="07C22FE0" w14:textId="69381744">
            <w:pPr>
              <w:ind w:left="110" w:hanging="110"/>
              <w:rPr>
                <w:sz w:val="22"/>
                <w:szCs w:val="22"/>
              </w:rPr>
            </w:pPr>
            <w:r w:rsidRPr="00C563BC">
              <w:rPr>
                <w:sz w:val="22"/>
                <w:szCs w:val="22"/>
              </w:rPr>
              <w:t>-552 872</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984937" w:rsidP="00984937" w:rsidRDefault="00960E41" w14:paraId="3FB351A2" w14:textId="2D77D742">
            <w:pPr>
              <w:ind w:left="110"/>
              <w:rPr>
                <w:sz w:val="22"/>
                <w:szCs w:val="22"/>
              </w:rPr>
            </w:pPr>
            <w:r w:rsidRPr="00C563BC">
              <w:rPr>
                <w:sz w:val="22"/>
                <w:szCs w:val="22"/>
              </w:rPr>
              <w:t> 0</w:t>
            </w:r>
          </w:p>
        </w:tc>
        <w:tc>
          <w:tcPr>
            <w:tcW w:w="557"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984937" w:rsidP="00984937" w:rsidRDefault="00145346" w14:paraId="5D4F829A" w14:textId="77777777">
            <w:pPr>
              <w:ind w:left="-17"/>
              <w:rPr>
                <w:sz w:val="22"/>
                <w:szCs w:val="22"/>
              </w:rPr>
            </w:pPr>
            <w:r w:rsidRPr="00C563BC">
              <w:rPr>
                <w:sz w:val="22"/>
                <w:szCs w:val="22"/>
              </w:rPr>
              <w:t>0</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984937" w:rsidP="00984937" w:rsidRDefault="00145346" w14:paraId="4E52241D" w14:textId="77777777">
            <w:pPr>
              <w:rPr>
                <w:sz w:val="22"/>
                <w:szCs w:val="22"/>
              </w:rPr>
            </w:pPr>
            <w:r w:rsidRPr="00C563BC">
              <w:rPr>
                <w:sz w:val="22"/>
                <w:szCs w:val="22"/>
              </w:rPr>
              <w:t>0</w:t>
            </w:r>
          </w:p>
        </w:tc>
        <w:tc>
          <w:tcPr>
            <w:tcW w:w="55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984937" w:rsidP="00984937" w:rsidRDefault="00145346" w14:paraId="40404207" w14:textId="77777777">
            <w:pPr>
              <w:ind w:left="110"/>
              <w:rPr>
                <w:sz w:val="22"/>
                <w:szCs w:val="22"/>
              </w:rPr>
            </w:pPr>
            <w:r w:rsidRPr="00C563BC">
              <w:rPr>
                <w:sz w:val="22"/>
                <w:szCs w:val="22"/>
              </w:rPr>
              <w:t>0</w:t>
            </w:r>
          </w:p>
        </w:tc>
        <w:tc>
          <w:tcPr>
            <w:tcW w:w="608"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984937" w:rsidP="00984937" w:rsidRDefault="00145346" w14:paraId="7C31EA0B" w14:textId="77777777">
            <w:pPr>
              <w:ind w:left="110"/>
              <w:rPr>
                <w:sz w:val="22"/>
                <w:szCs w:val="22"/>
              </w:rPr>
            </w:pPr>
            <w:r w:rsidRPr="00C563BC">
              <w:rPr>
                <w:sz w:val="22"/>
                <w:szCs w:val="22"/>
              </w:rPr>
              <w:t>0</w:t>
            </w:r>
          </w:p>
        </w:tc>
      </w:tr>
      <w:tr w:rsidRPr="00C563BC" w:rsidR="00C563BC" w:rsidTr="00145346" w14:paraId="0EE85B88"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hideMark/>
          </w:tcPr>
          <w:p w:rsidRPr="00C563BC" w:rsidR="00145346" w:rsidP="00145346" w:rsidRDefault="00145346" w14:paraId="103F6FCB" w14:textId="77777777">
            <w:pPr>
              <w:ind w:left="110"/>
              <w:rPr>
                <w:sz w:val="22"/>
                <w:szCs w:val="22"/>
              </w:rPr>
            </w:pPr>
            <w:r w:rsidRPr="00C563BC">
              <w:rPr>
                <w:sz w:val="22"/>
                <w:szCs w:val="22"/>
              </w:rPr>
              <w:t>1.2. valsts speciālais budžets</w:t>
            </w:r>
          </w:p>
        </w:tc>
        <w:tc>
          <w:tcPr>
            <w:tcW w:w="67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6CB0778A" w14:textId="77777777">
            <w:pPr>
              <w:ind w:left="110"/>
              <w:rPr>
                <w:sz w:val="22"/>
                <w:szCs w:val="22"/>
              </w:rPr>
            </w:pPr>
            <w:r w:rsidRPr="00C563BC">
              <w:rPr>
                <w:sz w:val="22"/>
                <w:szCs w:val="22"/>
              </w:rPr>
              <w:t> 0</w:t>
            </w:r>
          </w:p>
        </w:tc>
        <w:tc>
          <w:tcPr>
            <w:tcW w:w="756"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48E6DD32" w14:textId="77777777">
            <w:pPr>
              <w:ind w:left="110" w:hanging="110"/>
              <w:rPr>
                <w:sz w:val="22"/>
                <w:szCs w:val="22"/>
              </w:rPr>
            </w:pPr>
            <w:r w:rsidRPr="00C563BC">
              <w:rPr>
                <w:sz w:val="22"/>
                <w:szCs w:val="22"/>
              </w:rPr>
              <w:t> 0</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5BC0AEF0" w14:textId="77777777">
            <w:pPr>
              <w:ind w:left="110"/>
              <w:rPr>
                <w:sz w:val="22"/>
                <w:szCs w:val="22"/>
              </w:rPr>
            </w:pPr>
            <w:r w:rsidRPr="00C563BC">
              <w:rPr>
                <w:sz w:val="22"/>
                <w:szCs w:val="22"/>
              </w:rPr>
              <w:t> 0</w:t>
            </w:r>
          </w:p>
        </w:tc>
        <w:tc>
          <w:tcPr>
            <w:tcW w:w="557"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0A041CFC" w14:textId="77777777">
            <w:pPr>
              <w:ind w:left="110" w:hanging="110"/>
              <w:rPr>
                <w:sz w:val="22"/>
                <w:szCs w:val="22"/>
              </w:rPr>
            </w:pPr>
            <w:r w:rsidRPr="00C563BC">
              <w:rPr>
                <w:sz w:val="22"/>
                <w:szCs w:val="22"/>
              </w:rPr>
              <w:t> 0</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5AD8A352" w14:textId="77777777">
            <w:pPr>
              <w:ind w:left="110"/>
              <w:rPr>
                <w:sz w:val="22"/>
                <w:szCs w:val="22"/>
              </w:rPr>
            </w:pPr>
            <w:r w:rsidRPr="00C563BC">
              <w:rPr>
                <w:sz w:val="22"/>
                <w:szCs w:val="22"/>
              </w:rPr>
              <w:t> 0</w:t>
            </w:r>
          </w:p>
        </w:tc>
        <w:tc>
          <w:tcPr>
            <w:tcW w:w="55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43FE6E56" w14:textId="77777777">
            <w:pPr>
              <w:ind w:left="110" w:hanging="110"/>
              <w:rPr>
                <w:sz w:val="22"/>
                <w:szCs w:val="22"/>
              </w:rPr>
            </w:pPr>
            <w:r w:rsidRPr="00C563BC">
              <w:rPr>
                <w:sz w:val="22"/>
                <w:szCs w:val="22"/>
              </w:rPr>
              <w:t> 0</w:t>
            </w:r>
          </w:p>
        </w:tc>
        <w:tc>
          <w:tcPr>
            <w:tcW w:w="608"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12DBA227" w14:textId="77777777">
            <w:pPr>
              <w:ind w:left="110"/>
              <w:rPr>
                <w:sz w:val="22"/>
                <w:szCs w:val="22"/>
              </w:rPr>
            </w:pPr>
            <w:r w:rsidRPr="00C563BC">
              <w:rPr>
                <w:sz w:val="22"/>
                <w:szCs w:val="22"/>
              </w:rPr>
              <w:t>0</w:t>
            </w:r>
          </w:p>
        </w:tc>
      </w:tr>
      <w:tr w:rsidRPr="00C563BC" w:rsidR="00C563BC" w:rsidTr="00145346" w14:paraId="6D9A1494"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hideMark/>
          </w:tcPr>
          <w:p w:rsidRPr="00C563BC" w:rsidR="00145346" w:rsidP="00145346" w:rsidRDefault="00145346" w14:paraId="030C2E14" w14:textId="77777777">
            <w:pPr>
              <w:ind w:left="110"/>
              <w:rPr>
                <w:sz w:val="22"/>
                <w:szCs w:val="22"/>
              </w:rPr>
            </w:pPr>
            <w:r w:rsidRPr="00C563BC">
              <w:rPr>
                <w:sz w:val="22"/>
                <w:szCs w:val="22"/>
              </w:rPr>
              <w:t>1.3. pašvaldību budžets</w:t>
            </w:r>
          </w:p>
        </w:tc>
        <w:tc>
          <w:tcPr>
            <w:tcW w:w="67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05505530" w14:textId="77777777">
            <w:pPr>
              <w:ind w:left="110"/>
              <w:rPr>
                <w:sz w:val="22"/>
                <w:szCs w:val="22"/>
              </w:rPr>
            </w:pPr>
            <w:r w:rsidRPr="00C563BC">
              <w:rPr>
                <w:sz w:val="22"/>
                <w:szCs w:val="22"/>
              </w:rPr>
              <w:t> 0</w:t>
            </w:r>
          </w:p>
        </w:tc>
        <w:tc>
          <w:tcPr>
            <w:tcW w:w="756"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75E0D473" w14:textId="77777777">
            <w:pPr>
              <w:ind w:left="110" w:hanging="110"/>
              <w:rPr>
                <w:sz w:val="22"/>
                <w:szCs w:val="22"/>
              </w:rPr>
            </w:pPr>
            <w:r w:rsidRPr="00C563BC">
              <w:rPr>
                <w:sz w:val="22"/>
                <w:szCs w:val="22"/>
              </w:rPr>
              <w:t> 0</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4D433195" w14:textId="77777777">
            <w:pPr>
              <w:ind w:left="110"/>
              <w:rPr>
                <w:sz w:val="22"/>
                <w:szCs w:val="22"/>
              </w:rPr>
            </w:pPr>
            <w:r w:rsidRPr="00C563BC">
              <w:rPr>
                <w:sz w:val="22"/>
                <w:szCs w:val="22"/>
              </w:rPr>
              <w:t> 0</w:t>
            </w:r>
          </w:p>
        </w:tc>
        <w:tc>
          <w:tcPr>
            <w:tcW w:w="557"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25D20EC0" w14:textId="77777777">
            <w:pPr>
              <w:ind w:left="110" w:hanging="110"/>
              <w:rPr>
                <w:sz w:val="22"/>
                <w:szCs w:val="22"/>
              </w:rPr>
            </w:pPr>
            <w:r w:rsidRPr="00C563BC">
              <w:rPr>
                <w:sz w:val="22"/>
                <w:szCs w:val="22"/>
              </w:rPr>
              <w:t> 0</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068CABA1" w14:textId="77777777">
            <w:pPr>
              <w:ind w:left="110"/>
              <w:rPr>
                <w:sz w:val="22"/>
                <w:szCs w:val="22"/>
              </w:rPr>
            </w:pPr>
            <w:r w:rsidRPr="00C563BC">
              <w:rPr>
                <w:sz w:val="22"/>
                <w:szCs w:val="22"/>
              </w:rPr>
              <w:t> 0</w:t>
            </w:r>
          </w:p>
        </w:tc>
        <w:tc>
          <w:tcPr>
            <w:tcW w:w="55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5DA0E4BA" w14:textId="77777777">
            <w:pPr>
              <w:ind w:left="110" w:hanging="110"/>
              <w:rPr>
                <w:sz w:val="22"/>
                <w:szCs w:val="22"/>
              </w:rPr>
            </w:pPr>
            <w:r w:rsidRPr="00C563BC">
              <w:rPr>
                <w:sz w:val="22"/>
                <w:szCs w:val="22"/>
              </w:rPr>
              <w:t> 0</w:t>
            </w:r>
          </w:p>
        </w:tc>
        <w:tc>
          <w:tcPr>
            <w:tcW w:w="608"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007397FA" w14:textId="77777777">
            <w:pPr>
              <w:ind w:left="110"/>
              <w:rPr>
                <w:sz w:val="22"/>
                <w:szCs w:val="22"/>
              </w:rPr>
            </w:pPr>
            <w:r w:rsidRPr="00C563BC">
              <w:rPr>
                <w:sz w:val="22"/>
                <w:szCs w:val="22"/>
              </w:rPr>
              <w:t>0</w:t>
            </w:r>
          </w:p>
        </w:tc>
      </w:tr>
      <w:tr w:rsidRPr="00C563BC" w:rsidR="00C563BC" w:rsidTr="00145346" w14:paraId="7F5101EC"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hideMark/>
          </w:tcPr>
          <w:p w:rsidRPr="00C563BC" w:rsidR="00145346" w:rsidP="00145346" w:rsidRDefault="00145346" w14:paraId="4B146BE6" w14:textId="77777777">
            <w:pPr>
              <w:ind w:left="110"/>
              <w:rPr>
                <w:sz w:val="22"/>
                <w:szCs w:val="22"/>
              </w:rPr>
            </w:pPr>
            <w:r w:rsidRPr="00C563BC">
              <w:rPr>
                <w:sz w:val="22"/>
                <w:szCs w:val="22"/>
              </w:rPr>
              <w:t>2. Budžeta izdevumi</w:t>
            </w:r>
          </w:p>
        </w:tc>
        <w:tc>
          <w:tcPr>
            <w:tcW w:w="67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697C3EC7" w14:textId="77777777">
            <w:pPr>
              <w:ind w:left="110"/>
              <w:rPr>
                <w:sz w:val="22"/>
                <w:szCs w:val="22"/>
              </w:rPr>
            </w:pPr>
            <w:r w:rsidRPr="00C563BC">
              <w:rPr>
                <w:sz w:val="22"/>
                <w:szCs w:val="22"/>
              </w:rPr>
              <w:t> 0</w:t>
            </w:r>
          </w:p>
        </w:tc>
        <w:tc>
          <w:tcPr>
            <w:tcW w:w="756"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5E814B88" w14:textId="77777777">
            <w:pPr>
              <w:ind w:left="110" w:hanging="110"/>
              <w:rPr>
                <w:sz w:val="22"/>
                <w:szCs w:val="22"/>
              </w:rPr>
            </w:pPr>
            <w:r w:rsidRPr="00C563BC">
              <w:rPr>
                <w:sz w:val="22"/>
                <w:szCs w:val="22"/>
              </w:rPr>
              <w:t> 0</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213B882F" w14:textId="77777777">
            <w:pPr>
              <w:ind w:left="110"/>
              <w:rPr>
                <w:sz w:val="22"/>
                <w:szCs w:val="22"/>
              </w:rPr>
            </w:pPr>
            <w:r w:rsidRPr="00C563BC">
              <w:rPr>
                <w:sz w:val="22"/>
                <w:szCs w:val="22"/>
              </w:rPr>
              <w:t> 0</w:t>
            </w:r>
          </w:p>
        </w:tc>
        <w:tc>
          <w:tcPr>
            <w:tcW w:w="557"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03E43C82" w14:textId="77777777">
            <w:pPr>
              <w:ind w:left="110" w:hanging="110"/>
              <w:rPr>
                <w:sz w:val="22"/>
                <w:szCs w:val="22"/>
              </w:rPr>
            </w:pPr>
            <w:r w:rsidRPr="00C563BC">
              <w:rPr>
                <w:sz w:val="22"/>
                <w:szCs w:val="22"/>
              </w:rPr>
              <w:t> 0</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65F1FB00" w14:textId="77777777">
            <w:pPr>
              <w:ind w:left="110"/>
              <w:rPr>
                <w:sz w:val="22"/>
                <w:szCs w:val="22"/>
              </w:rPr>
            </w:pPr>
            <w:r w:rsidRPr="00C563BC">
              <w:rPr>
                <w:sz w:val="22"/>
                <w:szCs w:val="22"/>
              </w:rPr>
              <w:t> 0</w:t>
            </w:r>
          </w:p>
        </w:tc>
        <w:tc>
          <w:tcPr>
            <w:tcW w:w="55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0F371C8C" w14:textId="77777777">
            <w:pPr>
              <w:ind w:left="110" w:hanging="110"/>
              <w:rPr>
                <w:sz w:val="22"/>
                <w:szCs w:val="22"/>
              </w:rPr>
            </w:pPr>
            <w:r w:rsidRPr="00C563BC">
              <w:rPr>
                <w:sz w:val="22"/>
                <w:szCs w:val="22"/>
              </w:rPr>
              <w:t> 0</w:t>
            </w:r>
          </w:p>
        </w:tc>
        <w:tc>
          <w:tcPr>
            <w:tcW w:w="608"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504EEFC4" w14:textId="77777777">
            <w:pPr>
              <w:ind w:left="110"/>
              <w:rPr>
                <w:sz w:val="22"/>
                <w:szCs w:val="22"/>
              </w:rPr>
            </w:pPr>
            <w:r w:rsidRPr="00C563BC">
              <w:rPr>
                <w:sz w:val="22"/>
                <w:szCs w:val="22"/>
              </w:rPr>
              <w:t>0</w:t>
            </w:r>
          </w:p>
        </w:tc>
      </w:tr>
      <w:tr w:rsidRPr="00C563BC" w:rsidR="00C563BC" w:rsidTr="00145346" w14:paraId="59B796CA"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hideMark/>
          </w:tcPr>
          <w:p w:rsidRPr="00C563BC" w:rsidR="00145346" w:rsidP="00145346" w:rsidRDefault="00145346" w14:paraId="61C3C520" w14:textId="77777777">
            <w:pPr>
              <w:ind w:left="110"/>
              <w:rPr>
                <w:sz w:val="22"/>
                <w:szCs w:val="22"/>
              </w:rPr>
            </w:pPr>
            <w:r w:rsidRPr="00C563BC">
              <w:rPr>
                <w:sz w:val="22"/>
                <w:szCs w:val="22"/>
              </w:rPr>
              <w:lastRenderedPageBreak/>
              <w:t>2.1. valsts pamatbudžets</w:t>
            </w:r>
          </w:p>
        </w:tc>
        <w:tc>
          <w:tcPr>
            <w:tcW w:w="67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2E6E4959" w14:textId="77777777">
            <w:pPr>
              <w:ind w:left="110"/>
              <w:rPr>
                <w:sz w:val="22"/>
                <w:szCs w:val="22"/>
              </w:rPr>
            </w:pPr>
            <w:r w:rsidRPr="00C563BC">
              <w:rPr>
                <w:sz w:val="22"/>
                <w:szCs w:val="22"/>
              </w:rPr>
              <w:t> 0</w:t>
            </w:r>
          </w:p>
        </w:tc>
        <w:tc>
          <w:tcPr>
            <w:tcW w:w="756"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5800A450" w14:textId="77777777">
            <w:pPr>
              <w:ind w:left="110" w:hanging="110"/>
              <w:rPr>
                <w:sz w:val="22"/>
                <w:szCs w:val="22"/>
              </w:rPr>
            </w:pPr>
            <w:r w:rsidRPr="00C563BC">
              <w:rPr>
                <w:sz w:val="22"/>
                <w:szCs w:val="22"/>
              </w:rPr>
              <w:t> 0</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2BAC67C2" w14:textId="77777777">
            <w:pPr>
              <w:ind w:left="110"/>
              <w:rPr>
                <w:sz w:val="22"/>
                <w:szCs w:val="22"/>
              </w:rPr>
            </w:pPr>
            <w:r w:rsidRPr="00C563BC">
              <w:rPr>
                <w:sz w:val="22"/>
                <w:szCs w:val="22"/>
              </w:rPr>
              <w:t> 0</w:t>
            </w:r>
          </w:p>
        </w:tc>
        <w:tc>
          <w:tcPr>
            <w:tcW w:w="557"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10153706" w14:textId="77777777">
            <w:pPr>
              <w:ind w:left="110" w:hanging="110"/>
              <w:rPr>
                <w:sz w:val="22"/>
                <w:szCs w:val="22"/>
              </w:rPr>
            </w:pPr>
            <w:r w:rsidRPr="00C563BC">
              <w:rPr>
                <w:sz w:val="22"/>
                <w:szCs w:val="22"/>
              </w:rPr>
              <w:t> 0</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18ECA7D7" w14:textId="77777777">
            <w:pPr>
              <w:ind w:left="110"/>
              <w:rPr>
                <w:sz w:val="22"/>
                <w:szCs w:val="22"/>
              </w:rPr>
            </w:pPr>
            <w:r w:rsidRPr="00C563BC">
              <w:rPr>
                <w:sz w:val="22"/>
                <w:szCs w:val="22"/>
              </w:rPr>
              <w:t> 0</w:t>
            </w:r>
          </w:p>
        </w:tc>
        <w:tc>
          <w:tcPr>
            <w:tcW w:w="55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49EFA198" w14:textId="77777777">
            <w:pPr>
              <w:ind w:left="110" w:hanging="110"/>
              <w:rPr>
                <w:sz w:val="22"/>
                <w:szCs w:val="22"/>
              </w:rPr>
            </w:pPr>
            <w:r w:rsidRPr="00C563BC">
              <w:rPr>
                <w:sz w:val="22"/>
                <w:szCs w:val="22"/>
              </w:rPr>
              <w:t> 0</w:t>
            </w:r>
          </w:p>
        </w:tc>
        <w:tc>
          <w:tcPr>
            <w:tcW w:w="608"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091730CB" w14:textId="77777777">
            <w:pPr>
              <w:ind w:left="110"/>
              <w:rPr>
                <w:sz w:val="22"/>
                <w:szCs w:val="22"/>
              </w:rPr>
            </w:pPr>
            <w:r w:rsidRPr="00C563BC">
              <w:rPr>
                <w:sz w:val="22"/>
                <w:szCs w:val="22"/>
              </w:rPr>
              <w:t>0</w:t>
            </w:r>
          </w:p>
        </w:tc>
      </w:tr>
      <w:tr w:rsidRPr="00C563BC" w:rsidR="00C563BC" w:rsidTr="00145346" w14:paraId="58E027B4"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hideMark/>
          </w:tcPr>
          <w:p w:rsidRPr="00C563BC" w:rsidR="00145346" w:rsidP="00145346" w:rsidRDefault="00145346" w14:paraId="7320A250" w14:textId="77777777">
            <w:pPr>
              <w:ind w:left="110"/>
              <w:rPr>
                <w:sz w:val="22"/>
                <w:szCs w:val="22"/>
              </w:rPr>
            </w:pPr>
            <w:r w:rsidRPr="00C563BC">
              <w:rPr>
                <w:sz w:val="22"/>
                <w:szCs w:val="22"/>
              </w:rPr>
              <w:t>2.2. valsts speciālais budžets</w:t>
            </w:r>
          </w:p>
        </w:tc>
        <w:tc>
          <w:tcPr>
            <w:tcW w:w="67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45FFDC96" w14:textId="77777777">
            <w:pPr>
              <w:ind w:left="110"/>
              <w:rPr>
                <w:sz w:val="22"/>
                <w:szCs w:val="22"/>
              </w:rPr>
            </w:pPr>
            <w:r w:rsidRPr="00C563BC">
              <w:rPr>
                <w:sz w:val="22"/>
                <w:szCs w:val="22"/>
              </w:rPr>
              <w:t> 0</w:t>
            </w:r>
          </w:p>
        </w:tc>
        <w:tc>
          <w:tcPr>
            <w:tcW w:w="756"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03BE3459" w14:textId="77777777">
            <w:pPr>
              <w:ind w:left="110" w:hanging="110"/>
              <w:rPr>
                <w:sz w:val="22"/>
                <w:szCs w:val="22"/>
              </w:rPr>
            </w:pPr>
            <w:r w:rsidRPr="00C563BC">
              <w:rPr>
                <w:sz w:val="22"/>
                <w:szCs w:val="22"/>
              </w:rPr>
              <w:t> 0</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32EAE33E" w14:textId="77777777">
            <w:pPr>
              <w:ind w:left="110"/>
              <w:rPr>
                <w:sz w:val="22"/>
                <w:szCs w:val="22"/>
              </w:rPr>
            </w:pPr>
            <w:r w:rsidRPr="00C563BC">
              <w:rPr>
                <w:sz w:val="22"/>
                <w:szCs w:val="22"/>
              </w:rPr>
              <w:t> 0</w:t>
            </w:r>
          </w:p>
        </w:tc>
        <w:tc>
          <w:tcPr>
            <w:tcW w:w="557"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781CA21A" w14:textId="77777777">
            <w:pPr>
              <w:ind w:left="110" w:hanging="110"/>
              <w:rPr>
                <w:sz w:val="22"/>
                <w:szCs w:val="22"/>
              </w:rPr>
            </w:pPr>
            <w:r w:rsidRPr="00C563BC">
              <w:rPr>
                <w:sz w:val="22"/>
                <w:szCs w:val="22"/>
              </w:rPr>
              <w:t> 0</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7D83C4D0" w14:textId="77777777">
            <w:pPr>
              <w:ind w:left="110"/>
              <w:rPr>
                <w:sz w:val="22"/>
                <w:szCs w:val="22"/>
              </w:rPr>
            </w:pPr>
            <w:r w:rsidRPr="00C563BC">
              <w:rPr>
                <w:sz w:val="22"/>
                <w:szCs w:val="22"/>
              </w:rPr>
              <w:t> 0</w:t>
            </w:r>
          </w:p>
        </w:tc>
        <w:tc>
          <w:tcPr>
            <w:tcW w:w="55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43226C0E" w14:textId="77777777">
            <w:pPr>
              <w:ind w:left="110" w:hanging="110"/>
              <w:rPr>
                <w:sz w:val="22"/>
                <w:szCs w:val="22"/>
              </w:rPr>
            </w:pPr>
            <w:r w:rsidRPr="00C563BC">
              <w:rPr>
                <w:sz w:val="22"/>
                <w:szCs w:val="22"/>
              </w:rPr>
              <w:t> 0</w:t>
            </w:r>
          </w:p>
        </w:tc>
        <w:tc>
          <w:tcPr>
            <w:tcW w:w="608"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1A981EBE" w14:textId="77777777">
            <w:pPr>
              <w:ind w:left="110"/>
              <w:rPr>
                <w:sz w:val="22"/>
                <w:szCs w:val="22"/>
              </w:rPr>
            </w:pPr>
            <w:r w:rsidRPr="00C563BC">
              <w:rPr>
                <w:sz w:val="22"/>
                <w:szCs w:val="22"/>
              </w:rPr>
              <w:t>0</w:t>
            </w:r>
          </w:p>
        </w:tc>
      </w:tr>
      <w:tr w:rsidRPr="00C563BC" w:rsidR="00C563BC" w:rsidTr="00145346" w14:paraId="6DFE67B7"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hideMark/>
          </w:tcPr>
          <w:p w:rsidRPr="00C563BC" w:rsidR="00145346" w:rsidP="00145346" w:rsidRDefault="00145346" w14:paraId="2A600593" w14:textId="77777777">
            <w:pPr>
              <w:ind w:left="110"/>
              <w:rPr>
                <w:sz w:val="22"/>
                <w:szCs w:val="22"/>
              </w:rPr>
            </w:pPr>
            <w:r w:rsidRPr="00C563BC">
              <w:rPr>
                <w:sz w:val="22"/>
                <w:szCs w:val="22"/>
              </w:rPr>
              <w:t>2.3. pašvaldību budžets</w:t>
            </w:r>
          </w:p>
        </w:tc>
        <w:tc>
          <w:tcPr>
            <w:tcW w:w="67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40C2A26F" w14:textId="77777777">
            <w:pPr>
              <w:ind w:left="110"/>
              <w:rPr>
                <w:sz w:val="22"/>
                <w:szCs w:val="22"/>
              </w:rPr>
            </w:pPr>
            <w:r w:rsidRPr="00C563BC">
              <w:rPr>
                <w:sz w:val="22"/>
                <w:szCs w:val="22"/>
              </w:rPr>
              <w:t> 0</w:t>
            </w:r>
          </w:p>
        </w:tc>
        <w:tc>
          <w:tcPr>
            <w:tcW w:w="756"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05DE417D" w14:textId="77777777">
            <w:pPr>
              <w:ind w:left="110" w:hanging="110"/>
              <w:rPr>
                <w:sz w:val="22"/>
                <w:szCs w:val="22"/>
              </w:rPr>
            </w:pPr>
            <w:r w:rsidRPr="00C563BC">
              <w:rPr>
                <w:sz w:val="22"/>
                <w:szCs w:val="22"/>
              </w:rPr>
              <w:t> 0</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3A82FEA0" w14:textId="77777777">
            <w:pPr>
              <w:ind w:left="110"/>
              <w:rPr>
                <w:sz w:val="22"/>
                <w:szCs w:val="22"/>
              </w:rPr>
            </w:pPr>
            <w:r w:rsidRPr="00C563BC">
              <w:rPr>
                <w:sz w:val="22"/>
                <w:szCs w:val="22"/>
              </w:rPr>
              <w:t> 0</w:t>
            </w:r>
          </w:p>
        </w:tc>
        <w:tc>
          <w:tcPr>
            <w:tcW w:w="557"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4E6F0C07" w14:textId="77777777">
            <w:pPr>
              <w:ind w:left="110" w:hanging="110"/>
              <w:rPr>
                <w:sz w:val="22"/>
                <w:szCs w:val="22"/>
              </w:rPr>
            </w:pPr>
            <w:r w:rsidRPr="00C563BC">
              <w:rPr>
                <w:sz w:val="22"/>
                <w:szCs w:val="22"/>
              </w:rPr>
              <w:t> 0</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152D4276" w14:textId="77777777">
            <w:pPr>
              <w:ind w:left="110"/>
              <w:rPr>
                <w:sz w:val="22"/>
                <w:szCs w:val="22"/>
              </w:rPr>
            </w:pPr>
            <w:r w:rsidRPr="00C563BC">
              <w:rPr>
                <w:sz w:val="22"/>
                <w:szCs w:val="22"/>
              </w:rPr>
              <w:t> 0</w:t>
            </w:r>
          </w:p>
        </w:tc>
        <w:tc>
          <w:tcPr>
            <w:tcW w:w="55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045B5B26" w14:textId="77777777">
            <w:pPr>
              <w:ind w:left="110" w:hanging="110"/>
              <w:rPr>
                <w:sz w:val="22"/>
                <w:szCs w:val="22"/>
              </w:rPr>
            </w:pPr>
            <w:r w:rsidRPr="00C563BC">
              <w:rPr>
                <w:sz w:val="22"/>
                <w:szCs w:val="22"/>
              </w:rPr>
              <w:t> 0</w:t>
            </w:r>
          </w:p>
        </w:tc>
        <w:tc>
          <w:tcPr>
            <w:tcW w:w="608"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3FC46FB6" w14:textId="77777777">
            <w:pPr>
              <w:ind w:left="110"/>
              <w:rPr>
                <w:sz w:val="22"/>
                <w:szCs w:val="22"/>
              </w:rPr>
            </w:pPr>
            <w:r w:rsidRPr="00C563BC">
              <w:rPr>
                <w:sz w:val="22"/>
                <w:szCs w:val="22"/>
              </w:rPr>
              <w:t>0</w:t>
            </w:r>
          </w:p>
        </w:tc>
      </w:tr>
      <w:tr w:rsidRPr="00C563BC" w:rsidR="00C563BC" w:rsidTr="00145346" w14:paraId="292E0EB3"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hideMark/>
          </w:tcPr>
          <w:p w:rsidRPr="00C563BC" w:rsidR="00145346" w:rsidP="00145346" w:rsidRDefault="00145346" w14:paraId="53DDC613" w14:textId="77777777">
            <w:pPr>
              <w:ind w:left="110"/>
              <w:rPr>
                <w:sz w:val="22"/>
                <w:szCs w:val="22"/>
              </w:rPr>
            </w:pPr>
            <w:r w:rsidRPr="00C563BC">
              <w:rPr>
                <w:sz w:val="22"/>
                <w:szCs w:val="22"/>
              </w:rPr>
              <w:t>3. Finansiālā ietekme</w:t>
            </w:r>
          </w:p>
        </w:tc>
        <w:tc>
          <w:tcPr>
            <w:tcW w:w="67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7E04A4A2" w14:textId="77777777">
            <w:pPr>
              <w:ind w:hanging="5"/>
              <w:rPr>
                <w:sz w:val="22"/>
                <w:szCs w:val="22"/>
              </w:rPr>
            </w:pPr>
          </w:p>
        </w:tc>
        <w:tc>
          <w:tcPr>
            <w:tcW w:w="756"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4811C3" w14:paraId="132CE3F9" w14:textId="12D2542E">
            <w:pPr>
              <w:ind w:left="110" w:hanging="110"/>
              <w:rPr>
                <w:sz w:val="22"/>
                <w:szCs w:val="22"/>
              </w:rPr>
            </w:pPr>
            <w:r w:rsidRPr="00C563BC">
              <w:rPr>
                <w:sz w:val="22"/>
                <w:szCs w:val="22"/>
              </w:rPr>
              <w:t>-552 872</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3C328A85" w14:textId="77777777">
            <w:pPr>
              <w:ind w:left="110"/>
              <w:rPr>
                <w:sz w:val="22"/>
                <w:szCs w:val="22"/>
              </w:rPr>
            </w:pPr>
            <w:r w:rsidRPr="00C563BC">
              <w:rPr>
                <w:sz w:val="22"/>
                <w:szCs w:val="22"/>
              </w:rPr>
              <w:t> 0</w:t>
            </w:r>
          </w:p>
        </w:tc>
        <w:tc>
          <w:tcPr>
            <w:tcW w:w="557"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79F8D998" w14:textId="77777777">
            <w:pPr>
              <w:ind w:left="110" w:hanging="110"/>
              <w:rPr>
                <w:sz w:val="22"/>
                <w:szCs w:val="22"/>
              </w:rPr>
            </w:pPr>
            <w:r w:rsidRPr="00C563BC">
              <w:rPr>
                <w:sz w:val="22"/>
                <w:szCs w:val="22"/>
              </w:rPr>
              <w:t> 0</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5AC08EC8" w14:textId="77777777">
            <w:pPr>
              <w:ind w:left="110"/>
              <w:rPr>
                <w:sz w:val="22"/>
                <w:szCs w:val="22"/>
              </w:rPr>
            </w:pPr>
            <w:r w:rsidRPr="00C563BC">
              <w:rPr>
                <w:sz w:val="22"/>
                <w:szCs w:val="22"/>
              </w:rPr>
              <w:t> 0</w:t>
            </w:r>
          </w:p>
        </w:tc>
        <w:tc>
          <w:tcPr>
            <w:tcW w:w="55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28328485" w14:textId="77777777">
            <w:pPr>
              <w:ind w:left="110" w:hanging="110"/>
              <w:rPr>
                <w:sz w:val="22"/>
                <w:szCs w:val="22"/>
              </w:rPr>
            </w:pPr>
            <w:r w:rsidRPr="00C563BC">
              <w:rPr>
                <w:sz w:val="22"/>
                <w:szCs w:val="22"/>
              </w:rPr>
              <w:t> 0</w:t>
            </w:r>
          </w:p>
        </w:tc>
        <w:tc>
          <w:tcPr>
            <w:tcW w:w="608"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3512B171" w14:textId="77777777">
            <w:pPr>
              <w:ind w:left="110"/>
              <w:rPr>
                <w:sz w:val="22"/>
                <w:szCs w:val="22"/>
              </w:rPr>
            </w:pPr>
            <w:r w:rsidRPr="00C563BC">
              <w:rPr>
                <w:sz w:val="22"/>
                <w:szCs w:val="22"/>
              </w:rPr>
              <w:t>0</w:t>
            </w:r>
          </w:p>
        </w:tc>
      </w:tr>
      <w:tr w:rsidRPr="00C563BC" w:rsidR="00C563BC" w:rsidTr="00145346" w14:paraId="42442141"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hideMark/>
          </w:tcPr>
          <w:p w:rsidRPr="00C563BC" w:rsidR="00145346" w:rsidP="00145346" w:rsidRDefault="00145346" w14:paraId="66F6A9EA" w14:textId="77777777">
            <w:pPr>
              <w:ind w:left="110"/>
              <w:rPr>
                <w:sz w:val="22"/>
                <w:szCs w:val="22"/>
              </w:rPr>
            </w:pPr>
            <w:r w:rsidRPr="00C563BC">
              <w:rPr>
                <w:sz w:val="22"/>
                <w:szCs w:val="22"/>
              </w:rPr>
              <w:t>3.1. valsts pamatbudžets</w:t>
            </w:r>
          </w:p>
        </w:tc>
        <w:tc>
          <w:tcPr>
            <w:tcW w:w="67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1FE15B63" w14:textId="77777777">
            <w:pPr>
              <w:ind w:left="110" w:hanging="110"/>
              <w:rPr>
                <w:sz w:val="22"/>
                <w:szCs w:val="22"/>
              </w:rPr>
            </w:pPr>
          </w:p>
        </w:tc>
        <w:tc>
          <w:tcPr>
            <w:tcW w:w="756"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4811C3" w14:paraId="237BB597" w14:textId="4851B29C">
            <w:pPr>
              <w:ind w:left="110" w:hanging="110"/>
              <w:rPr>
                <w:sz w:val="22"/>
                <w:szCs w:val="22"/>
              </w:rPr>
            </w:pPr>
            <w:r w:rsidRPr="00C563BC">
              <w:rPr>
                <w:sz w:val="22"/>
                <w:szCs w:val="22"/>
              </w:rPr>
              <w:t>-552 872</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5BF2266A" w14:textId="77777777">
            <w:pPr>
              <w:ind w:left="110"/>
              <w:rPr>
                <w:sz w:val="22"/>
                <w:szCs w:val="22"/>
              </w:rPr>
            </w:pPr>
            <w:r w:rsidRPr="00C563BC">
              <w:rPr>
                <w:sz w:val="22"/>
                <w:szCs w:val="22"/>
              </w:rPr>
              <w:t> 0</w:t>
            </w:r>
          </w:p>
        </w:tc>
        <w:tc>
          <w:tcPr>
            <w:tcW w:w="557"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73B89210" w14:textId="77777777">
            <w:pPr>
              <w:ind w:left="110" w:hanging="110"/>
              <w:rPr>
                <w:sz w:val="22"/>
                <w:szCs w:val="22"/>
              </w:rPr>
            </w:pPr>
            <w:r w:rsidRPr="00C563BC">
              <w:rPr>
                <w:sz w:val="22"/>
                <w:szCs w:val="22"/>
              </w:rPr>
              <w:t> 0</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0AC85CB0" w14:textId="77777777">
            <w:pPr>
              <w:ind w:left="110"/>
              <w:rPr>
                <w:sz w:val="22"/>
                <w:szCs w:val="22"/>
              </w:rPr>
            </w:pPr>
            <w:r w:rsidRPr="00C563BC">
              <w:rPr>
                <w:sz w:val="22"/>
                <w:szCs w:val="22"/>
              </w:rPr>
              <w:t> 0</w:t>
            </w:r>
          </w:p>
        </w:tc>
        <w:tc>
          <w:tcPr>
            <w:tcW w:w="55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43987C91" w14:textId="77777777">
            <w:pPr>
              <w:ind w:left="110" w:hanging="110"/>
              <w:rPr>
                <w:sz w:val="22"/>
                <w:szCs w:val="22"/>
              </w:rPr>
            </w:pPr>
            <w:r w:rsidRPr="00C563BC">
              <w:rPr>
                <w:sz w:val="22"/>
                <w:szCs w:val="22"/>
              </w:rPr>
              <w:t> 0</w:t>
            </w:r>
          </w:p>
        </w:tc>
        <w:tc>
          <w:tcPr>
            <w:tcW w:w="608"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4BEF9C18" w14:textId="77777777">
            <w:pPr>
              <w:ind w:left="110"/>
              <w:rPr>
                <w:sz w:val="22"/>
                <w:szCs w:val="22"/>
              </w:rPr>
            </w:pPr>
            <w:r w:rsidRPr="00C563BC">
              <w:rPr>
                <w:sz w:val="22"/>
                <w:szCs w:val="22"/>
              </w:rPr>
              <w:t>0</w:t>
            </w:r>
          </w:p>
        </w:tc>
      </w:tr>
      <w:tr w:rsidRPr="00C563BC" w:rsidR="00C563BC" w:rsidTr="00145346" w14:paraId="071A5382"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hideMark/>
          </w:tcPr>
          <w:p w:rsidRPr="00C563BC" w:rsidR="00145346" w:rsidP="00145346" w:rsidRDefault="00145346" w14:paraId="4ABCA0F7" w14:textId="77777777">
            <w:pPr>
              <w:ind w:left="110"/>
              <w:rPr>
                <w:sz w:val="22"/>
                <w:szCs w:val="22"/>
              </w:rPr>
            </w:pPr>
            <w:r w:rsidRPr="00C563BC">
              <w:rPr>
                <w:sz w:val="22"/>
                <w:szCs w:val="22"/>
              </w:rPr>
              <w:t>3.2. speciālais budžets</w:t>
            </w:r>
          </w:p>
        </w:tc>
        <w:tc>
          <w:tcPr>
            <w:tcW w:w="67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41780237" w14:textId="77777777">
            <w:pPr>
              <w:ind w:left="110"/>
              <w:rPr>
                <w:sz w:val="22"/>
                <w:szCs w:val="22"/>
              </w:rPr>
            </w:pPr>
            <w:r w:rsidRPr="00C563BC">
              <w:rPr>
                <w:sz w:val="22"/>
                <w:szCs w:val="22"/>
              </w:rPr>
              <w:t> 0</w:t>
            </w:r>
          </w:p>
        </w:tc>
        <w:tc>
          <w:tcPr>
            <w:tcW w:w="756"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33F9D3B2" w14:textId="77777777">
            <w:pPr>
              <w:ind w:left="110"/>
              <w:rPr>
                <w:sz w:val="22"/>
                <w:szCs w:val="22"/>
              </w:rPr>
            </w:pPr>
            <w:r w:rsidRPr="00C563BC">
              <w:rPr>
                <w:sz w:val="22"/>
                <w:szCs w:val="22"/>
              </w:rPr>
              <w:t> 0</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123B13BB" w14:textId="77777777">
            <w:pPr>
              <w:ind w:left="110"/>
              <w:rPr>
                <w:sz w:val="22"/>
                <w:szCs w:val="22"/>
              </w:rPr>
            </w:pPr>
            <w:r w:rsidRPr="00C563BC">
              <w:rPr>
                <w:sz w:val="22"/>
                <w:szCs w:val="22"/>
              </w:rPr>
              <w:t> 0</w:t>
            </w:r>
          </w:p>
        </w:tc>
        <w:tc>
          <w:tcPr>
            <w:tcW w:w="557"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7F70AC05" w14:textId="77777777">
            <w:pPr>
              <w:ind w:left="110" w:hanging="110"/>
              <w:rPr>
                <w:sz w:val="22"/>
                <w:szCs w:val="22"/>
              </w:rPr>
            </w:pPr>
            <w:r w:rsidRPr="00C563BC">
              <w:rPr>
                <w:sz w:val="22"/>
                <w:szCs w:val="22"/>
              </w:rPr>
              <w:t> 0</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208439C6" w14:textId="77777777">
            <w:pPr>
              <w:ind w:left="110"/>
              <w:rPr>
                <w:sz w:val="22"/>
                <w:szCs w:val="22"/>
              </w:rPr>
            </w:pPr>
            <w:r w:rsidRPr="00C563BC">
              <w:rPr>
                <w:sz w:val="22"/>
                <w:szCs w:val="22"/>
              </w:rPr>
              <w:t> 0</w:t>
            </w:r>
          </w:p>
        </w:tc>
        <w:tc>
          <w:tcPr>
            <w:tcW w:w="55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0BA92172" w14:textId="77777777">
            <w:pPr>
              <w:ind w:left="110" w:hanging="110"/>
              <w:rPr>
                <w:sz w:val="22"/>
                <w:szCs w:val="22"/>
              </w:rPr>
            </w:pPr>
            <w:r w:rsidRPr="00C563BC">
              <w:rPr>
                <w:sz w:val="22"/>
                <w:szCs w:val="22"/>
              </w:rPr>
              <w:t> 0</w:t>
            </w:r>
          </w:p>
        </w:tc>
        <w:tc>
          <w:tcPr>
            <w:tcW w:w="608"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7274D4F3" w14:textId="77777777">
            <w:pPr>
              <w:ind w:left="110"/>
              <w:rPr>
                <w:sz w:val="22"/>
                <w:szCs w:val="22"/>
              </w:rPr>
            </w:pPr>
            <w:r w:rsidRPr="00C563BC">
              <w:rPr>
                <w:sz w:val="22"/>
                <w:szCs w:val="22"/>
              </w:rPr>
              <w:t>0</w:t>
            </w:r>
          </w:p>
        </w:tc>
      </w:tr>
      <w:tr w:rsidRPr="00C563BC" w:rsidR="00C563BC" w:rsidTr="00145346" w14:paraId="01708956"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hideMark/>
          </w:tcPr>
          <w:p w:rsidRPr="00C563BC" w:rsidR="00145346" w:rsidP="00145346" w:rsidRDefault="00145346" w14:paraId="180264FE" w14:textId="77777777">
            <w:pPr>
              <w:ind w:left="110"/>
              <w:rPr>
                <w:sz w:val="22"/>
                <w:szCs w:val="22"/>
              </w:rPr>
            </w:pPr>
            <w:r w:rsidRPr="00C563BC">
              <w:rPr>
                <w:sz w:val="22"/>
                <w:szCs w:val="22"/>
              </w:rPr>
              <w:t>3.3. pašvaldību budžets</w:t>
            </w:r>
          </w:p>
        </w:tc>
        <w:tc>
          <w:tcPr>
            <w:tcW w:w="67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2EE911AE" w14:textId="77777777">
            <w:pPr>
              <w:ind w:left="110"/>
              <w:rPr>
                <w:sz w:val="22"/>
                <w:szCs w:val="22"/>
              </w:rPr>
            </w:pPr>
            <w:r w:rsidRPr="00C563BC">
              <w:rPr>
                <w:sz w:val="22"/>
                <w:szCs w:val="22"/>
              </w:rPr>
              <w:t> 0</w:t>
            </w:r>
          </w:p>
        </w:tc>
        <w:tc>
          <w:tcPr>
            <w:tcW w:w="756"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3E581CE6" w14:textId="77777777">
            <w:pPr>
              <w:ind w:left="110"/>
              <w:rPr>
                <w:sz w:val="22"/>
                <w:szCs w:val="22"/>
              </w:rPr>
            </w:pPr>
            <w:r w:rsidRPr="00C563BC">
              <w:rPr>
                <w:sz w:val="22"/>
                <w:szCs w:val="22"/>
              </w:rPr>
              <w:t> 0</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5559717B" w14:textId="77777777">
            <w:pPr>
              <w:ind w:left="110"/>
              <w:rPr>
                <w:sz w:val="22"/>
                <w:szCs w:val="22"/>
              </w:rPr>
            </w:pPr>
            <w:r w:rsidRPr="00C563BC">
              <w:rPr>
                <w:sz w:val="22"/>
                <w:szCs w:val="22"/>
              </w:rPr>
              <w:t> 0</w:t>
            </w:r>
          </w:p>
        </w:tc>
        <w:tc>
          <w:tcPr>
            <w:tcW w:w="557"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636351ED" w14:textId="77777777">
            <w:pPr>
              <w:ind w:left="110" w:hanging="110"/>
              <w:rPr>
                <w:sz w:val="22"/>
                <w:szCs w:val="22"/>
              </w:rPr>
            </w:pPr>
            <w:r w:rsidRPr="00C563BC">
              <w:rPr>
                <w:sz w:val="22"/>
                <w:szCs w:val="22"/>
              </w:rPr>
              <w:t> 0</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744ACD8E" w14:textId="77777777">
            <w:pPr>
              <w:ind w:left="110"/>
              <w:rPr>
                <w:sz w:val="22"/>
                <w:szCs w:val="22"/>
              </w:rPr>
            </w:pPr>
            <w:r w:rsidRPr="00C563BC">
              <w:rPr>
                <w:sz w:val="22"/>
                <w:szCs w:val="22"/>
              </w:rPr>
              <w:t> 0</w:t>
            </w:r>
          </w:p>
        </w:tc>
        <w:tc>
          <w:tcPr>
            <w:tcW w:w="55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74BCC654" w14:textId="77777777">
            <w:pPr>
              <w:ind w:left="110" w:hanging="110"/>
              <w:rPr>
                <w:sz w:val="22"/>
                <w:szCs w:val="22"/>
              </w:rPr>
            </w:pPr>
            <w:r w:rsidRPr="00C563BC">
              <w:rPr>
                <w:sz w:val="22"/>
                <w:szCs w:val="22"/>
              </w:rPr>
              <w:t> 0</w:t>
            </w:r>
          </w:p>
        </w:tc>
        <w:tc>
          <w:tcPr>
            <w:tcW w:w="608"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09118D90" w14:textId="77777777">
            <w:pPr>
              <w:ind w:left="110"/>
              <w:rPr>
                <w:sz w:val="22"/>
                <w:szCs w:val="22"/>
              </w:rPr>
            </w:pPr>
            <w:r w:rsidRPr="00C563BC">
              <w:rPr>
                <w:sz w:val="22"/>
                <w:szCs w:val="22"/>
              </w:rPr>
              <w:t>0</w:t>
            </w:r>
          </w:p>
        </w:tc>
      </w:tr>
      <w:tr w:rsidRPr="00C563BC" w:rsidR="00C563BC" w:rsidTr="00145346" w14:paraId="53475D57"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hideMark/>
          </w:tcPr>
          <w:p w:rsidRPr="00C563BC" w:rsidR="00145346" w:rsidP="00145346" w:rsidRDefault="00145346" w14:paraId="5551484F" w14:textId="77777777">
            <w:pPr>
              <w:ind w:left="110"/>
              <w:rPr>
                <w:sz w:val="22"/>
                <w:szCs w:val="22"/>
              </w:rPr>
            </w:pPr>
            <w:r w:rsidRPr="00C563BC">
              <w:rPr>
                <w:sz w:val="22"/>
                <w:szCs w:val="22"/>
              </w:rPr>
              <w:t>4. Finanšu līdzekļi papildu izdevumu finansēšanai (kompensējošu izdevumu samazinājumu norāda ar "+" zīmi)</w:t>
            </w:r>
          </w:p>
        </w:tc>
        <w:tc>
          <w:tcPr>
            <w:tcW w:w="67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2A4FF504" w14:textId="77777777">
            <w:pPr>
              <w:ind w:left="110"/>
              <w:rPr>
                <w:sz w:val="22"/>
                <w:szCs w:val="22"/>
              </w:rPr>
            </w:pPr>
            <w:r w:rsidRPr="00C563BC">
              <w:rPr>
                <w:sz w:val="22"/>
                <w:szCs w:val="22"/>
              </w:rPr>
              <w:t> x</w:t>
            </w:r>
          </w:p>
        </w:tc>
        <w:tc>
          <w:tcPr>
            <w:tcW w:w="756"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58775220" w14:textId="77777777">
            <w:pPr>
              <w:ind w:left="110"/>
              <w:rPr>
                <w:sz w:val="22"/>
                <w:szCs w:val="22"/>
              </w:rPr>
            </w:pPr>
            <w:r w:rsidRPr="00C563BC">
              <w:rPr>
                <w:sz w:val="22"/>
                <w:szCs w:val="22"/>
              </w:rPr>
              <w:t> 0</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74966DE3" w14:textId="77777777">
            <w:pPr>
              <w:ind w:left="110"/>
              <w:rPr>
                <w:sz w:val="22"/>
                <w:szCs w:val="22"/>
              </w:rPr>
            </w:pPr>
            <w:r w:rsidRPr="00C563BC">
              <w:rPr>
                <w:sz w:val="22"/>
                <w:szCs w:val="22"/>
              </w:rPr>
              <w:t> 0</w:t>
            </w:r>
          </w:p>
        </w:tc>
        <w:tc>
          <w:tcPr>
            <w:tcW w:w="557"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4A029C9E" w14:textId="77777777">
            <w:pPr>
              <w:ind w:left="110" w:hanging="110"/>
              <w:rPr>
                <w:sz w:val="22"/>
                <w:szCs w:val="22"/>
              </w:rPr>
            </w:pPr>
            <w:r w:rsidRPr="00C563BC">
              <w:rPr>
                <w:sz w:val="22"/>
                <w:szCs w:val="22"/>
              </w:rPr>
              <w:t> 0</w:t>
            </w:r>
          </w:p>
        </w:tc>
        <w:tc>
          <w:tcPr>
            <w:tcW w:w="464"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613F3CAD" w14:textId="77777777">
            <w:pPr>
              <w:ind w:left="110"/>
              <w:rPr>
                <w:sz w:val="22"/>
                <w:szCs w:val="22"/>
              </w:rPr>
            </w:pPr>
            <w:r w:rsidRPr="00C563BC">
              <w:rPr>
                <w:sz w:val="22"/>
                <w:szCs w:val="22"/>
              </w:rPr>
              <w:t> 0</w:t>
            </w:r>
          </w:p>
        </w:tc>
        <w:tc>
          <w:tcPr>
            <w:tcW w:w="55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5207AC89" w14:textId="77777777">
            <w:pPr>
              <w:ind w:left="110" w:hanging="110"/>
              <w:rPr>
                <w:sz w:val="22"/>
                <w:szCs w:val="22"/>
              </w:rPr>
            </w:pPr>
            <w:r w:rsidRPr="00C563BC">
              <w:rPr>
                <w:sz w:val="22"/>
                <w:szCs w:val="22"/>
              </w:rPr>
              <w:t> 0</w:t>
            </w:r>
          </w:p>
        </w:tc>
        <w:tc>
          <w:tcPr>
            <w:tcW w:w="608"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145346" w:rsidP="00145346" w:rsidRDefault="00145346" w14:paraId="0B72EEFF" w14:textId="77777777">
            <w:pPr>
              <w:ind w:left="110"/>
              <w:rPr>
                <w:sz w:val="22"/>
                <w:szCs w:val="22"/>
              </w:rPr>
            </w:pPr>
            <w:r w:rsidRPr="00C563BC">
              <w:rPr>
                <w:sz w:val="22"/>
                <w:szCs w:val="22"/>
              </w:rPr>
              <w:t>0</w:t>
            </w:r>
          </w:p>
        </w:tc>
      </w:tr>
      <w:tr w:rsidRPr="00C563BC" w:rsidR="00C563BC" w:rsidTr="00145346" w14:paraId="3643ED3F"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hideMark/>
          </w:tcPr>
          <w:p w:rsidRPr="00C563BC" w:rsidR="00984937" w:rsidP="00984937" w:rsidRDefault="00984937" w14:paraId="73D4AEFD" w14:textId="77777777">
            <w:pPr>
              <w:ind w:left="110"/>
              <w:rPr>
                <w:sz w:val="22"/>
                <w:szCs w:val="22"/>
              </w:rPr>
            </w:pPr>
            <w:r w:rsidRPr="00C563BC">
              <w:rPr>
                <w:sz w:val="22"/>
                <w:szCs w:val="22"/>
              </w:rPr>
              <w:t>5. Precizēta finansiālā ietekme</w:t>
            </w:r>
          </w:p>
        </w:tc>
        <w:tc>
          <w:tcPr>
            <w:tcW w:w="679" w:type="pct"/>
            <w:vMerge w:val="restar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984937" w:rsidP="00984937" w:rsidRDefault="00984937" w14:paraId="414A1EB0" w14:textId="77777777">
            <w:pPr>
              <w:ind w:left="110"/>
              <w:rPr>
                <w:sz w:val="22"/>
                <w:szCs w:val="22"/>
              </w:rPr>
            </w:pPr>
            <w:r w:rsidRPr="00C563BC">
              <w:rPr>
                <w:sz w:val="22"/>
                <w:szCs w:val="22"/>
              </w:rPr>
              <w:t> x</w:t>
            </w:r>
          </w:p>
        </w:tc>
        <w:tc>
          <w:tcPr>
            <w:tcW w:w="756"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984937" w:rsidP="00984937" w:rsidRDefault="00984937" w14:paraId="53882CAA" w14:textId="77777777">
            <w:pPr>
              <w:ind w:left="110"/>
              <w:rPr>
                <w:sz w:val="22"/>
                <w:szCs w:val="22"/>
              </w:rPr>
            </w:pPr>
            <w:r w:rsidRPr="00C563BC">
              <w:rPr>
                <w:sz w:val="22"/>
                <w:szCs w:val="22"/>
              </w:rPr>
              <w:t>0</w:t>
            </w:r>
          </w:p>
        </w:tc>
        <w:tc>
          <w:tcPr>
            <w:tcW w:w="464" w:type="pct"/>
            <w:vMerge w:val="restar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984937" w:rsidP="00984937" w:rsidRDefault="00145346" w14:paraId="2A2650B9" w14:textId="77777777">
            <w:pPr>
              <w:ind w:left="110"/>
              <w:rPr>
                <w:sz w:val="22"/>
                <w:szCs w:val="22"/>
              </w:rPr>
            </w:pPr>
            <w:r w:rsidRPr="00C563BC">
              <w:rPr>
                <w:sz w:val="22"/>
                <w:szCs w:val="22"/>
              </w:rPr>
              <w:t>0</w:t>
            </w:r>
          </w:p>
        </w:tc>
        <w:tc>
          <w:tcPr>
            <w:tcW w:w="557"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984937" w:rsidP="00984937" w:rsidRDefault="00145346" w14:paraId="1AF39051" w14:textId="77777777">
            <w:pPr>
              <w:ind w:left="110"/>
              <w:rPr>
                <w:sz w:val="22"/>
                <w:szCs w:val="22"/>
              </w:rPr>
            </w:pPr>
            <w:r w:rsidRPr="00C563BC">
              <w:rPr>
                <w:sz w:val="22"/>
                <w:szCs w:val="22"/>
              </w:rPr>
              <w:t>0</w:t>
            </w:r>
          </w:p>
        </w:tc>
        <w:tc>
          <w:tcPr>
            <w:tcW w:w="464" w:type="pct"/>
            <w:vMerge w:val="restar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984937" w:rsidP="00984937" w:rsidRDefault="00145346" w14:paraId="0CF4355E" w14:textId="77777777">
            <w:pPr>
              <w:ind w:left="110"/>
              <w:rPr>
                <w:sz w:val="22"/>
                <w:szCs w:val="22"/>
              </w:rPr>
            </w:pPr>
            <w:r w:rsidRPr="00C563BC">
              <w:rPr>
                <w:sz w:val="22"/>
                <w:szCs w:val="22"/>
              </w:rPr>
              <w:t>0</w:t>
            </w:r>
          </w:p>
        </w:tc>
        <w:tc>
          <w:tcPr>
            <w:tcW w:w="55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984937" w:rsidP="00984937" w:rsidRDefault="00145346" w14:paraId="0FB004A2" w14:textId="77777777">
            <w:pPr>
              <w:ind w:left="110"/>
              <w:rPr>
                <w:sz w:val="22"/>
                <w:szCs w:val="22"/>
              </w:rPr>
            </w:pPr>
            <w:r w:rsidRPr="00C563BC">
              <w:rPr>
                <w:sz w:val="22"/>
                <w:szCs w:val="22"/>
              </w:rPr>
              <w:t>0</w:t>
            </w:r>
          </w:p>
        </w:tc>
        <w:tc>
          <w:tcPr>
            <w:tcW w:w="608"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984937" w:rsidP="00984937" w:rsidRDefault="00145346" w14:paraId="6EAE7824" w14:textId="77777777">
            <w:pPr>
              <w:ind w:left="110"/>
              <w:rPr>
                <w:sz w:val="22"/>
                <w:szCs w:val="22"/>
              </w:rPr>
            </w:pPr>
            <w:r w:rsidRPr="00C563BC">
              <w:rPr>
                <w:sz w:val="22"/>
                <w:szCs w:val="22"/>
              </w:rPr>
              <w:t>0</w:t>
            </w:r>
          </w:p>
        </w:tc>
      </w:tr>
      <w:tr w:rsidRPr="00C563BC" w:rsidR="00C563BC" w:rsidTr="00145346" w14:paraId="0A6BB8E5"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hideMark/>
          </w:tcPr>
          <w:p w:rsidRPr="00C563BC" w:rsidR="00984937" w:rsidP="00984937" w:rsidRDefault="00984937" w14:paraId="66F16094" w14:textId="77777777">
            <w:pPr>
              <w:ind w:left="110"/>
              <w:rPr>
                <w:sz w:val="22"/>
                <w:szCs w:val="22"/>
              </w:rPr>
            </w:pPr>
            <w:r w:rsidRPr="00C563BC">
              <w:rPr>
                <w:sz w:val="22"/>
                <w:szCs w:val="22"/>
              </w:rPr>
              <w:t>5.1. valsts pamatbudžets</w:t>
            </w:r>
          </w:p>
        </w:tc>
        <w:tc>
          <w:tcPr>
            <w:tcW w:w="679" w:type="pct"/>
            <w:vMerge/>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984937" w:rsidP="00984937" w:rsidRDefault="00984937" w14:paraId="5512EDAC" w14:textId="77777777">
            <w:pPr>
              <w:ind w:left="110"/>
              <w:rPr>
                <w:sz w:val="22"/>
                <w:szCs w:val="22"/>
                <w:highlight w:val="yellow"/>
              </w:rPr>
            </w:pPr>
          </w:p>
        </w:tc>
        <w:tc>
          <w:tcPr>
            <w:tcW w:w="756"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984937" w:rsidP="00984937" w:rsidRDefault="00984937" w14:paraId="5234CC81" w14:textId="77777777">
            <w:pPr>
              <w:ind w:left="110"/>
              <w:rPr>
                <w:sz w:val="22"/>
                <w:szCs w:val="22"/>
                <w:highlight w:val="yellow"/>
              </w:rPr>
            </w:pPr>
            <w:r w:rsidRPr="00C563BC">
              <w:rPr>
                <w:sz w:val="22"/>
                <w:szCs w:val="22"/>
              </w:rPr>
              <w:t> 0</w:t>
            </w:r>
          </w:p>
        </w:tc>
        <w:tc>
          <w:tcPr>
            <w:tcW w:w="464" w:type="pct"/>
            <w:vMerge/>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984937" w:rsidP="00984937" w:rsidRDefault="00984937" w14:paraId="4E9655B7" w14:textId="77777777">
            <w:pPr>
              <w:ind w:left="110"/>
              <w:rPr>
                <w:sz w:val="22"/>
                <w:szCs w:val="22"/>
              </w:rPr>
            </w:pPr>
          </w:p>
        </w:tc>
        <w:tc>
          <w:tcPr>
            <w:tcW w:w="557"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984937" w:rsidP="00984937" w:rsidRDefault="00145346" w14:paraId="78633A0C" w14:textId="77777777">
            <w:pPr>
              <w:ind w:left="110"/>
              <w:rPr>
                <w:sz w:val="22"/>
                <w:szCs w:val="22"/>
              </w:rPr>
            </w:pPr>
            <w:r w:rsidRPr="00C563BC">
              <w:rPr>
                <w:sz w:val="22"/>
                <w:szCs w:val="22"/>
              </w:rPr>
              <w:t>0</w:t>
            </w:r>
          </w:p>
        </w:tc>
        <w:tc>
          <w:tcPr>
            <w:tcW w:w="0" w:type="auto"/>
            <w:vMerge/>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984937" w:rsidP="00984937" w:rsidRDefault="00984937" w14:paraId="11B6E622" w14:textId="77777777">
            <w:pPr>
              <w:ind w:left="110"/>
              <w:rPr>
                <w:sz w:val="22"/>
                <w:szCs w:val="22"/>
              </w:rPr>
            </w:pPr>
          </w:p>
        </w:tc>
        <w:tc>
          <w:tcPr>
            <w:tcW w:w="55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984937" w:rsidP="00984937" w:rsidRDefault="00145346" w14:paraId="30A75EEC" w14:textId="77777777">
            <w:pPr>
              <w:ind w:left="110"/>
              <w:rPr>
                <w:sz w:val="22"/>
                <w:szCs w:val="22"/>
              </w:rPr>
            </w:pPr>
            <w:r w:rsidRPr="00C563BC">
              <w:rPr>
                <w:sz w:val="22"/>
                <w:szCs w:val="22"/>
              </w:rPr>
              <w:t>0</w:t>
            </w:r>
          </w:p>
        </w:tc>
        <w:tc>
          <w:tcPr>
            <w:tcW w:w="608"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984937" w:rsidP="00984937" w:rsidRDefault="00145346" w14:paraId="1FF162E5" w14:textId="77777777">
            <w:pPr>
              <w:ind w:left="110"/>
              <w:rPr>
                <w:sz w:val="22"/>
                <w:szCs w:val="22"/>
              </w:rPr>
            </w:pPr>
            <w:r w:rsidRPr="00C563BC">
              <w:rPr>
                <w:sz w:val="22"/>
                <w:szCs w:val="22"/>
              </w:rPr>
              <w:t>0</w:t>
            </w:r>
          </w:p>
        </w:tc>
      </w:tr>
      <w:tr w:rsidRPr="00C563BC" w:rsidR="00C563BC" w:rsidTr="00145346" w14:paraId="2D6B219F"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hideMark/>
          </w:tcPr>
          <w:p w:rsidRPr="00C563BC" w:rsidR="00984937" w:rsidP="00984937" w:rsidRDefault="00984937" w14:paraId="61A0EA87" w14:textId="77777777">
            <w:pPr>
              <w:ind w:left="110"/>
              <w:rPr>
                <w:sz w:val="22"/>
                <w:szCs w:val="22"/>
              </w:rPr>
            </w:pPr>
            <w:r w:rsidRPr="00C563BC">
              <w:rPr>
                <w:sz w:val="22"/>
                <w:szCs w:val="22"/>
              </w:rPr>
              <w:t>5.2. speciālais budžets</w:t>
            </w:r>
          </w:p>
        </w:tc>
        <w:tc>
          <w:tcPr>
            <w:tcW w:w="679" w:type="pct"/>
            <w:vMerge/>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984937" w:rsidP="00984937" w:rsidRDefault="00984937" w14:paraId="755225DD" w14:textId="77777777">
            <w:pPr>
              <w:ind w:left="110"/>
              <w:rPr>
                <w:sz w:val="22"/>
                <w:szCs w:val="22"/>
                <w:highlight w:val="yellow"/>
              </w:rPr>
            </w:pPr>
          </w:p>
        </w:tc>
        <w:tc>
          <w:tcPr>
            <w:tcW w:w="756"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984937" w:rsidP="00984937" w:rsidRDefault="00984937" w14:paraId="6B8393E8" w14:textId="77777777">
            <w:pPr>
              <w:ind w:left="110"/>
              <w:rPr>
                <w:sz w:val="22"/>
                <w:szCs w:val="22"/>
                <w:highlight w:val="yellow"/>
              </w:rPr>
            </w:pPr>
            <w:r w:rsidRPr="00C563BC">
              <w:rPr>
                <w:sz w:val="22"/>
                <w:szCs w:val="22"/>
              </w:rPr>
              <w:t> 0</w:t>
            </w:r>
          </w:p>
        </w:tc>
        <w:tc>
          <w:tcPr>
            <w:tcW w:w="464" w:type="pct"/>
            <w:vMerge/>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984937" w:rsidP="00984937" w:rsidRDefault="00984937" w14:paraId="31CE189A" w14:textId="77777777">
            <w:pPr>
              <w:ind w:left="110"/>
              <w:rPr>
                <w:sz w:val="22"/>
                <w:szCs w:val="22"/>
              </w:rPr>
            </w:pPr>
          </w:p>
        </w:tc>
        <w:tc>
          <w:tcPr>
            <w:tcW w:w="557"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984937" w:rsidP="00984937" w:rsidRDefault="00145346" w14:paraId="4A92A662" w14:textId="77777777">
            <w:pPr>
              <w:ind w:left="110"/>
              <w:rPr>
                <w:sz w:val="22"/>
                <w:szCs w:val="22"/>
              </w:rPr>
            </w:pPr>
            <w:r w:rsidRPr="00C563BC">
              <w:rPr>
                <w:sz w:val="22"/>
                <w:szCs w:val="22"/>
              </w:rPr>
              <w:t>0</w:t>
            </w:r>
          </w:p>
        </w:tc>
        <w:tc>
          <w:tcPr>
            <w:tcW w:w="0" w:type="auto"/>
            <w:vMerge/>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984937" w:rsidP="00984937" w:rsidRDefault="00984937" w14:paraId="7705E0A7" w14:textId="77777777">
            <w:pPr>
              <w:ind w:left="110"/>
              <w:rPr>
                <w:sz w:val="22"/>
                <w:szCs w:val="22"/>
              </w:rPr>
            </w:pPr>
          </w:p>
        </w:tc>
        <w:tc>
          <w:tcPr>
            <w:tcW w:w="55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984937" w:rsidP="00984937" w:rsidRDefault="00145346" w14:paraId="37886BD1" w14:textId="77777777">
            <w:pPr>
              <w:ind w:left="110"/>
              <w:rPr>
                <w:sz w:val="22"/>
                <w:szCs w:val="22"/>
              </w:rPr>
            </w:pPr>
            <w:r w:rsidRPr="00C563BC">
              <w:rPr>
                <w:sz w:val="22"/>
                <w:szCs w:val="22"/>
              </w:rPr>
              <w:t>0</w:t>
            </w:r>
          </w:p>
        </w:tc>
        <w:tc>
          <w:tcPr>
            <w:tcW w:w="608"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984937" w:rsidP="00984937" w:rsidRDefault="00145346" w14:paraId="079D023A" w14:textId="77777777">
            <w:pPr>
              <w:ind w:left="110"/>
              <w:rPr>
                <w:sz w:val="22"/>
                <w:szCs w:val="22"/>
              </w:rPr>
            </w:pPr>
            <w:r w:rsidRPr="00C563BC">
              <w:rPr>
                <w:sz w:val="22"/>
                <w:szCs w:val="22"/>
              </w:rPr>
              <w:t>0</w:t>
            </w:r>
          </w:p>
        </w:tc>
      </w:tr>
      <w:tr w:rsidRPr="00C563BC" w:rsidR="00C563BC" w:rsidTr="00145346" w14:paraId="59AFC4B2"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hideMark/>
          </w:tcPr>
          <w:p w:rsidRPr="00C563BC" w:rsidR="00984937" w:rsidP="00984937" w:rsidRDefault="00984937" w14:paraId="01F58D3C" w14:textId="77777777">
            <w:pPr>
              <w:ind w:left="110"/>
              <w:rPr>
                <w:sz w:val="22"/>
                <w:szCs w:val="22"/>
              </w:rPr>
            </w:pPr>
            <w:r w:rsidRPr="00C563BC">
              <w:rPr>
                <w:sz w:val="22"/>
                <w:szCs w:val="22"/>
              </w:rPr>
              <w:t>5.3. pašvaldību budžets</w:t>
            </w:r>
          </w:p>
        </w:tc>
        <w:tc>
          <w:tcPr>
            <w:tcW w:w="679" w:type="pct"/>
            <w:vMerge/>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984937" w:rsidP="00984937" w:rsidRDefault="00984937" w14:paraId="4437DA50" w14:textId="77777777">
            <w:pPr>
              <w:ind w:left="110"/>
              <w:rPr>
                <w:sz w:val="22"/>
                <w:szCs w:val="22"/>
              </w:rPr>
            </w:pPr>
          </w:p>
        </w:tc>
        <w:tc>
          <w:tcPr>
            <w:tcW w:w="756"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984937" w:rsidP="00984937" w:rsidRDefault="00984937" w14:paraId="2DBF0CA7" w14:textId="77777777">
            <w:pPr>
              <w:ind w:left="110"/>
              <w:rPr>
                <w:sz w:val="22"/>
                <w:szCs w:val="22"/>
              </w:rPr>
            </w:pPr>
            <w:r w:rsidRPr="00C563BC">
              <w:rPr>
                <w:sz w:val="22"/>
                <w:szCs w:val="22"/>
              </w:rPr>
              <w:t> 0</w:t>
            </w:r>
          </w:p>
        </w:tc>
        <w:tc>
          <w:tcPr>
            <w:tcW w:w="464" w:type="pct"/>
            <w:vMerge/>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984937" w:rsidP="00984937" w:rsidRDefault="00984937" w14:paraId="15552821" w14:textId="77777777">
            <w:pPr>
              <w:ind w:left="110"/>
              <w:rPr>
                <w:sz w:val="22"/>
                <w:szCs w:val="22"/>
              </w:rPr>
            </w:pPr>
          </w:p>
        </w:tc>
        <w:tc>
          <w:tcPr>
            <w:tcW w:w="557"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984937" w:rsidP="00984937" w:rsidRDefault="00145346" w14:paraId="7EF13C12" w14:textId="77777777">
            <w:pPr>
              <w:ind w:left="110"/>
              <w:rPr>
                <w:sz w:val="22"/>
                <w:szCs w:val="22"/>
              </w:rPr>
            </w:pPr>
            <w:r w:rsidRPr="00C563BC">
              <w:rPr>
                <w:sz w:val="22"/>
                <w:szCs w:val="22"/>
              </w:rPr>
              <w:t>0</w:t>
            </w:r>
          </w:p>
        </w:tc>
        <w:tc>
          <w:tcPr>
            <w:tcW w:w="0" w:type="auto"/>
            <w:vMerge/>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984937" w:rsidP="00984937" w:rsidRDefault="00984937" w14:paraId="079A86B0" w14:textId="77777777">
            <w:pPr>
              <w:ind w:left="110"/>
              <w:rPr>
                <w:sz w:val="22"/>
                <w:szCs w:val="22"/>
              </w:rPr>
            </w:pPr>
          </w:p>
        </w:tc>
        <w:tc>
          <w:tcPr>
            <w:tcW w:w="559"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984937" w:rsidP="00984937" w:rsidRDefault="00145346" w14:paraId="4E2DC310" w14:textId="77777777">
            <w:pPr>
              <w:ind w:left="110"/>
              <w:rPr>
                <w:sz w:val="22"/>
                <w:szCs w:val="22"/>
              </w:rPr>
            </w:pPr>
            <w:r w:rsidRPr="00C563BC">
              <w:rPr>
                <w:sz w:val="22"/>
                <w:szCs w:val="22"/>
              </w:rPr>
              <w:t>0</w:t>
            </w:r>
          </w:p>
        </w:tc>
        <w:tc>
          <w:tcPr>
            <w:tcW w:w="608" w:type="pct"/>
            <w:tcBorders>
              <w:top w:val="outset" w:color="414142" w:sz="6" w:space="0"/>
              <w:left w:val="outset" w:color="414142" w:sz="6" w:space="0"/>
              <w:bottom w:val="outset" w:color="414142" w:sz="6" w:space="0"/>
              <w:right w:val="outset" w:color="414142" w:sz="6" w:space="0"/>
            </w:tcBorders>
            <w:shd w:val="clear" w:color="auto" w:fill="FFFFFF"/>
            <w:vAlign w:val="center"/>
          </w:tcPr>
          <w:p w:rsidRPr="00C563BC" w:rsidR="00984937" w:rsidP="00984937" w:rsidRDefault="00145346" w14:paraId="4CA10E56" w14:textId="77777777">
            <w:pPr>
              <w:ind w:left="110"/>
              <w:rPr>
                <w:sz w:val="22"/>
                <w:szCs w:val="22"/>
              </w:rPr>
            </w:pPr>
            <w:r w:rsidRPr="00C563BC">
              <w:rPr>
                <w:sz w:val="22"/>
                <w:szCs w:val="22"/>
              </w:rPr>
              <w:t>0</w:t>
            </w:r>
          </w:p>
        </w:tc>
      </w:tr>
      <w:tr w:rsidRPr="00C563BC" w:rsidR="00C563BC" w:rsidTr="00145346" w14:paraId="70979C14"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hideMark/>
          </w:tcPr>
          <w:p w:rsidRPr="00C563BC" w:rsidR="00446352" w:rsidP="00874890" w:rsidRDefault="00446352" w14:paraId="4719B722" w14:textId="77777777">
            <w:pPr>
              <w:ind w:left="110"/>
              <w:rPr>
                <w:sz w:val="22"/>
                <w:szCs w:val="22"/>
              </w:rPr>
            </w:pPr>
            <w:r w:rsidRPr="00C563BC">
              <w:rPr>
                <w:sz w:val="22"/>
                <w:szCs w:val="22"/>
              </w:rPr>
              <w:t>6. Detalizēts ieņēmumu un izdevumu aprēķins (ja nepieciešams, detalizētu ieņēmumu un izdevumu aprēķinu var pievienot anotācijas pielikumā)</w:t>
            </w:r>
          </w:p>
        </w:tc>
        <w:tc>
          <w:tcPr>
            <w:tcW w:w="4087" w:type="pct"/>
            <w:gridSpan w:val="7"/>
            <w:vMerge w:val="restart"/>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C563BC" w:rsidR="00446352" w:rsidP="00874890" w:rsidRDefault="00446352" w14:paraId="40935E5B" w14:textId="77777777">
            <w:pPr>
              <w:ind w:left="110"/>
              <w:rPr>
                <w:sz w:val="22"/>
                <w:szCs w:val="22"/>
              </w:rPr>
            </w:pPr>
            <w:r w:rsidRPr="00C563BC">
              <w:rPr>
                <w:sz w:val="22"/>
                <w:szCs w:val="22"/>
              </w:rPr>
              <w:t> Projekts šo jomu neskar.</w:t>
            </w:r>
          </w:p>
        </w:tc>
      </w:tr>
      <w:tr w:rsidRPr="00C563BC" w:rsidR="00C563BC" w:rsidTr="00145346" w14:paraId="5FDB7783"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hideMark/>
          </w:tcPr>
          <w:p w:rsidRPr="00C563BC" w:rsidR="00446352" w:rsidP="00874890" w:rsidRDefault="00446352" w14:paraId="034B8F00" w14:textId="77777777">
            <w:pPr>
              <w:ind w:left="110"/>
              <w:rPr>
                <w:sz w:val="22"/>
                <w:szCs w:val="22"/>
              </w:rPr>
            </w:pPr>
            <w:r w:rsidRPr="00C563BC">
              <w:rPr>
                <w:sz w:val="22"/>
                <w:szCs w:val="22"/>
              </w:rPr>
              <w:t>6.1. detalizēts ieņēmumu aprēķins</w:t>
            </w:r>
          </w:p>
        </w:tc>
        <w:tc>
          <w:tcPr>
            <w:tcW w:w="4087" w:type="pct"/>
            <w:gridSpan w:val="7"/>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C563BC" w:rsidR="00446352" w:rsidP="00874890" w:rsidRDefault="00446352" w14:paraId="04B99D7D" w14:textId="77777777">
            <w:pPr>
              <w:ind w:left="110"/>
              <w:rPr>
                <w:sz w:val="22"/>
                <w:szCs w:val="22"/>
              </w:rPr>
            </w:pPr>
          </w:p>
        </w:tc>
      </w:tr>
      <w:tr w:rsidRPr="00C563BC" w:rsidR="00C563BC" w:rsidTr="00145346" w14:paraId="3F627544"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hideMark/>
          </w:tcPr>
          <w:p w:rsidRPr="00C563BC" w:rsidR="00446352" w:rsidP="00874890" w:rsidRDefault="00446352" w14:paraId="0184C8C8" w14:textId="77777777">
            <w:pPr>
              <w:ind w:left="110"/>
              <w:rPr>
                <w:sz w:val="22"/>
                <w:szCs w:val="22"/>
              </w:rPr>
            </w:pPr>
            <w:r w:rsidRPr="00C563BC">
              <w:rPr>
                <w:sz w:val="22"/>
                <w:szCs w:val="22"/>
              </w:rPr>
              <w:t>6.2. detalizēts izdevumu aprēķins</w:t>
            </w:r>
          </w:p>
        </w:tc>
        <w:tc>
          <w:tcPr>
            <w:tcW w:w="4087" w:type="pct"/>
            <w:gridSpan w:val="7"/>
            <w:vMerge/>
            <w:tcBorders>
              <w:top w:val="outset" w:color="414142" w:sz="6" w:space="0"/>
              <w:left w:val="outset" w:color="414142" w:sz="6" w:space="0"/>
              <w:bottom w:val="outset" w:color="414142" w:sz="6" w:space="0"/>
              <w:right w:val="outset" w:color="414142" w:sz="6" w:space="0"/>
            </w:tcBorders>
            <w:shd w:val="clear" w:color="auto" w:fill="FFFFFF"/>
            <w:vAlign w:val="center"/>
            <w:hideMark/>
          </w:tcPr>
          <w:p w:rsidRPr="00C563BC" w:rsidR="00446352" w:rsidP="00874890" w:rsidRDefault="00446352" w14:paraId="5E174FEF" w14:textId="77777777">
            <w:pPr>
              <w:ind w:left="110"/>
              <w:rPr>
                <w:sz w:val="22"/>
                <w:szCs w:val="22"/>
              </w:rPr>
            </w:pPr>
          </w:p>
        </w:tc>
      </w:tr>
      <w:tr w:rsidRPr="00C563BC" w:rsidR="00C563BC" w:rsidTr="00145346" w14:paraId="0E5FD911"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hideMark/>
          </w:tcPr>
          <w:p w:rsidRPr="00C563BC" w:rsidR="00446352" w:rsidP="00874890" w:rsidRDefault="00446352" w14:paraId="3F399728" w14:textId="77777777">
            <w:pPr>
              <w:ind w:left="110"/>
              <w:rPr>
                <w:sz w:val="22"/>
                <w:szCs w:val="22"/>
              </w:rPr>
            </w:pPr>
            <w:r w:rsidRPr="00C563BC">
              <w:rPr>
                <w:sz w:val="22"/>
                <w:szCs w:val="22"/>
              </w:rPr>
              <w:lastRenderedPageBreak/>
              <w:t>7. Amata vietu skaita izmaiņas</w:t>
            </w:r>
          </w:p>
        </w:tc>
        <w:tc>
          <w:tcPr>
            <w:tcW w:w="4087" w:type="pct"/>
            <w:gridSpan w:val="7"/>
            <w:tcBorders>
              <w:top w:val="outset" w:color="414142" w:sz="6" w:space="0"/>
              <w:left w:val="outset" w:color="414142" w:sz="6" w:space="0"/>
              <w:bottom w:val="outset" w:color="414142" w:sz="6" w:space="0"/>
              <w:right w:val="outset" w:color="414142" w:sz="6" w:space="0"/>
            </w:tcBorders>
            <w:shd w:val="clear" w:color="auto" w:fill="FFFFFF"/>
            <w:hideMark/>
          </w:tcPr>
          <w:p w:rsidRPr="00C563BC" w:rsidR="00446352" w:rsidP="00874890" w:rsidRDefault="00446352" w14:paraId="1F68B120" w14:textId="77777777">
            <w:pPr>
              <w:ind w:left="110"/>
              <w:rPr>
                <w:sz w:val="22"/>
                <w:szCs w:val="22"/>
              </w:rPr>
            </w:pPr>
            <w:r w:rsidRPr="00C563BC">
              <w:rPr>
                <w:sz w:val="22"/>
                <w:szCs w:val="22"/>
              </w:rPr>
              <w:t>Projekts šo jomu neskar.</w:t>
            </w:r>
          </w:p>
        </w:tc>
      </w:tr>
      <w:tr w:rsidRPr="00C563BC" w:rsidR="00C563BC" w:rsidTr="00145346" w14:paraId="2180BB30" w14:textId="77777777">
        <w:tc>
          <w:tcPr>
            <w:tcW w:w="913" w:type="pct"/>
            <w:tcBorders>
              <w:top w:val="outset" w:color="414142" w:sz="6" w:space="0"/>
              <w:left w:val="outset" w:color="414142" w:sz="6" w:space="0"/>
              <w:bottom w:val="outset" w:color="414142" w:sz="6" w:space="0"/>
              <w:right w:val="outset" w:color="414142" w:sz="6" w:space="0"/>
            </w:tcBorders>
            <w:shd w:val="clear" w:color="auto" w:fill="FFFFFF"/>
            <w:hideMark/>
          </w:tcPr>
          <w:p w:rsidRPr="00C563BC" w:rsidR="00446352" w:rsidP="00874890" w:rsidRDefault="00446352" w14:paraId="0E171CBF" w14:textId="77777777">
            <w:pPr>
              <w:ind w:left="110"/>
              <w:rPr>
                <w:sz w:val="22"/>
                <w:szCs w:val="22"/>
              </w:rPr>
            </w:pPr>
            <w:r w:rsidRPr="00C563BC">
              <w:rPr>
                <w:sz w:val="22"/>
                <w:szCs w:val="22"/>
              </w:rPr>
              <w:t>8. Cita informācija</w:t>
            </w:r>
          </w:p>
        </w:tc>
        <w:tc>
          <w:tcPr>
            <w:tcW w:w="4087" w:type="pct"/>
            <w:gridSpan w:val="7"/>
            <w:tcBorders>
              <w:top w:val="outset" w:color="414142" w:sz="6" w:space="0"/>
              <w:left w:val="outset" w:color="414142" w:sz="6" w:space="0"/>
              <w:bottom w:val="outset" w:color="414142" w:sz="6" w:space="0"/>
              <w:right w:val="outset" w:color="414142" w:sz="6" w:space="0"/>
            </w:tcBorders>
            <w:shd w:val="clear" w:color="auto" w:fill="FFFFFF"/>
            <w:hideMark/>
          </w:tcPr>
          <w:p w:rsidRPr="00C563BC" w:rsidR="00446352" w:rsidP="00802046" w:rsidRDefault="00311293" w14:paraId="27B68E60" w14:textId="77777777">
            <w:pPr>
              <w:ind w:left="110"/>
              <w:jc w:val="both"/>
              <w:rPr>
                <w:sz w:val="22"/>
                <w:szCs w:val="22"/>
              </w:rPr>
            </w:pPr>
            <w:r w:rsidRPr="00C563BC">
              <w:rPr>
                <w:sz w:val="22"/>
                <w:szCs w:val="22"/>
              </w:rPr>
              <w:t>Projekts šo jomu neskar.</w:t>
            </w:r>
          </w:p>
        </w:tc>
      </w:tr>
    </w:tbl>
    <w:p w:rsidRPr="00C563BC" w:rsidR="00305D5F" w:rsidP="00437E83" w:rsidRDefault="00305D5F" w14:paraId="6299F0C2" w14:textId="77777777">
      <w:pPr>
        <w:spacing w:before="120"/>
        <w:ind w:left="-142"/>
      </w:pPr>
    </w:p>
    <w:tbl>
      <w:tblPr>
        <w:tblW w:w="5247" w:type="pct"/>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000" w:firstRow="0" w:lastRow="0" w:firstColumn="0" w:lastColumn="0" w:noHBand="0" w:noVBand="0"/>
      </w:tblPr>
      <w:tblGrid>
        <w:gridCol w:w="9057"/>
      </w:tblGrid>
      <w:tr w:rsidRPr="00C563BC" w:rsidR="00C563BC" w:rsidTr="008554B7" w14:paraId="578AF181" w14:textId="77777777">
        <w:tc>
          <w:tcPr>
            <w:tcW w:w="5000" w:type="pct"/>
            <w:tcBorders>
              <w:top w:val="outset" w:color="auto" w:sz="6" w:space="0"/>
              <w:left w:val="outset" w:color="auto" w:sz="6" w:space="0"/>
              <w:bottom w:val="outset" w:color="auto" w:sz="6" w:space="0"/>
              <w:right w:val="outset" w:color="auto" w:sz="6" w:space="0"/>
            </w:tcBorders>
          </w:tcPr>
          <w:p w:rsidRPr="00C563BC" w:rsidR="001875D8" w:rsidP="001875D8" w:rsidRDefault="001875D8" w14:paraId="46B637E4" w14:textId="77777777">
            <w:pPr>
              <w:ind w:left="-142"/>
              <w:contextualSpacing/>
              <w:jc w:val="center"/>
            </w:pPr>
            <w:bookmarkStart w:name="_Hlk500850618" w:id="2"/>
            <w:r w:rsidRPr="00C563BC">
              <w:rPr>
                <w:b/>
                <w:bCs/>
              </w:rPr>
              <w:t>IV. Tiesību akta projekta ietekme uz spēkā esošo tiesību normu sistēmu</w:t>
            </w:r>
          </w:p>
        </w:tc>
      </w:tr>
      <w:tr w:rsidRPr="00C563BC" w:rsidR="00C563BC" w:rsidTr="008554B7" w14:paraId="5E515BCC" w14:textId="77777777">
        <w:trPr>
          <w:trHeight w:val="427"/>
        </w:trPr>
        <w:tc>
          <w:tcPr>
            <w:tcW w:w="5000" w:type="pct"/>
            <w:tcBorders>
              <w:top w:val="outset" w:color="auto" w:sz="6" w:space="0"/>
              <w:left w:val="outset" w:color="auto" w:sz="6" w:space="0"/>
              <w:bottom w:val="outset" w:color="auto" w:sz="6" w:space="0"/>
              <w:right w:val="outset" w:color="auto" w:sz="6" w:space="0"/>
            </w:tcBorders>
          </w:tcPr>
          <w:p w:rsidRPr="00C563BC" w:rsidR="001875D8" w:rsidP="00874890" w:rsidRDefault="001875D8" w14:paraId="085FCD3D" w14:textId="77777777">
            <w:pPr>
              <w:contextualSpacing/>
              <w:jc w:val="center"/>
            </w:pPr>
            <w:r w:rsidRPr="00C563BC">
              <w:t>Projekts šo jomu neskar</w:t>
            </w:r>
          </w:p>
        </w:tc>
      </w:tr>
      <w:bookmarkEnd w:id="2"/>
    </w:tbl>
    <w:p w:rsidRPr="00C563BC" w:rsidR="001875D8" w:rsidP="001875D8" w:rsidRDefault="001875D8" w14:paraId="723B9B9D" w14:textId="77777777">
      <w:pPr>
        <w:ind w:left="-142"/>
        <w:contextualSpacing/>
        <w:rPr>
          <w:rFonts w:eastAsia="Calibri"/>
          <w:i/>
          <w:lang w:eastAsia="en-US"/>
        </w:rPr>
      </w:pPr>
    </w:p>
    <w:tbl>
      <w:tblPr>
        <w:tblW w:w="5247" w:type="pct"/>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000" w:firstRow="0" w:lastRow="0" w:firstColumn="0" w:lastColumn="0" w:noHBand="0" w:noVBand="0"/>
      </w:tblPr>
      <w:tblGrid>
        <w:gridCol w:w="9057"/>
      </w:tblGrid>
      <w:tr w:rsidRPr="00C563BC" w:rsidR="00C563BC" w:rsidTr="008554B7" w14:paraId="3A86D525" w14:textId="77777777">
        <w:tc>
          <w:tcPr>
            <w:tcW w:w="5000" w:type="pct"/>
            <w:tcBorders>
              <w:top w:val="outset" w:color="auto" w:sz="6" w:space="0"/>
              <w:left w:val="outset" w:color="auto" w:sz="6" w:space="0"/>
              <w:bottom w:val="outset" w:color="auto" w:sz="6" w:space="0"/>
              <w:right w:val="outset" w:color="auto" w:sz="6" w:space="0"/>
            </w:tcBorders>
          </w:tcPr>
          <w:p w:rsidRPr="00C563BC" w:rsidR="001875D8" w:rsidP="001875D8" w:rsidRDefault="001875D8" w14:paraId="73CDD58F" w14:textId="77777777">
            <w:pPr>
              <w:ind w:left="-142"/>
              <w:contextualSpacing/>
              <w:jc w:val="center"/>
            </w:pPr>
            <w:bookmarkStart w:name="_Hlk500850653" w:id="3"/>
            <w:bookmarkStart w:name="_Hlk502908508" w:id="4"/>
            <w:r w:rsidRPr="00C563BC">
              <w:rPr>
                <w:b/>
                <w:bCs/>
              </w:rPr>
              <w:t>V. Tiesību akta projekta atbilstība Latvijas Republikas starptautiskajām saistībām</w:t>
            </w:r>
          </w:p>
        </w:tc>
      </w:tr>
      <w:tr w:rsidRPr="00C563BC" w:rsidR="00C563BC" w:rsidTr="008554B7" w14:paraId="17B9F49F" w14:textId="77777777">
        <w:trPr>
          <w:trHeight w:val="427"/>
        </w:trPr>
        <w:tc>
          <w:tcPr>
            <w:tcW w:w="5000" w:type="pct"/>
            <w:tcBorders>
              <w:top w:val="outset" w:color="auto" w:sz="6" w:space="0"/>
              <w:left w:val="outset" w:color="auto" w:sz="6" w:space="0"/>
              <w:bottom w:val="outset" w:color="auto" w:sz="6" w:space="0"/>
              <w:right w:val="outset" w:color="auto" w:sz="6" w:space="0"/>
            </w:tcBorders>
          </w:tcPr>
          <w:p w:rsidRPr="00C563BC" w:rsidR="001875D8" w:rsidP="001875D8" w:rsidRDefault="001875D8" w14:paraId="61ABD291" w14:textId="77777777">
            <w:pPr>
              <w:ind w:left="-142"/>
              <w:contextualSpacing/>
              <w:jc w:val="center"/>
            </w:pPr>
            <w:r w:rsidRPr="00C563BC">
              <w:t>Projekts šo jomu neskar</w:t>
            </w:r>
          </w:p>
        </w:tc>
      </w:tr>
      <w:bookmarkEnd w:id="3"/>
    </w:tbl>
    <w:p w:rsidRPr="00C563BC" w:rsidR="009B074D" w:rsidP="001875D8" w:rsidRDefault="009B074D" w14:paraId="53EA3979" w14:textId="77777777">
      <w:pPr>
        <w:spacing w:before="120"/>
        <w:ind w:left="-142"/>
      </w:pPr>
    </w:p>
    <w:tbl>
      <w:tblPr>
        <w:tblW w:w="5247" w:type="pct"/>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000" w:firstRow="0" w:lastRow="0" w:firstColumn="0" w:lastColumn="0" w:noHBand="0" w:noVBand="0"/>
      </w:tblPr>
      <w:tblGrid>
        <w:gridCol w:w="9057"/>
      </w:tblGrid>
      <w:tr w:rsidRPr="00C563BC" w:rsidR="00C563BC" w:rsidTr="008554B7" w14:paraId="66621FFE" w14:textId="77777777">
        <w:tc>
          <w:tcPr>
            <w:tcW w:w="5000" w:type="pct"/>
            <w:tcBorders>
              <w:top w:val="outset" w:color="auto" w:sz="6" w:space="0"/>
              <w:left w:val="outset" w:color="auto" w:sz="6" w:space="0"/>
              <w:bottom w:val="outset" w:color="auto" w:sz="6" w:space="0"/>
              <w:right w:val="outset" w:color="auto" w:sz="6" w:space="0"/>
            </w:tcBorders>
          </w:tcPr>
          <w:bookmarkEnd w:id="4"/>
          <w:p w:rsidRPr="00C563BC" w:rsidR="001A617D" w:rsidP="00154C9E" w:rsidRDefault="001A617D" w14:paraId="5BABBC42" w14:textId="77777777">
            <w:pPr>
              <w:ind w:left="-142"/>
              <w:contextualSpacing/>
              <w:jc w:val="center"/>
            </w:pPr>
            <w:r w:rsidRPr="00C563BC">
              <w:rPr>
                <w:b/>
                <w:bCs/>
              </w:rPr>
              <w:t>V</w:t>
            </w:r>
            <w:r w:rsidRPr="00C563BC" w:rsidR="001B39AD">
              <w:rPr>
                <w:b/>
                <w:bCs/>
              </w:rPr>
              <w:t>I</w:t>
            </w:r>
            <w:r w:rsidRPr="00C563BC">
              <w:rPr>
                <w:b/>
                <w:bCs/>
              </w:rPr>
              <w:t xml:space="preserve">. </w:t>
            </w:r>
            <w:r w:rsidRPr="00C563BC" w:rsidR="001B39AD">
              <w:rPr>
                <w:b/>
                <w:bCs/>
              </w:rPr>
              <w:t xml:space="preserve"> Sabiedrības līdzdalība un komunikācijas aktivitātes</w:t>
            </w:r>
          </w:p>
        </w:tc>
      </w:tr>
      <w:tr w:rsidRPr="00C563BC" w:rsidR="00C563BC" w:rsidTr="008554B7" w14:paraId="0366FE9D" w14:textId="77777777">
        <w:trPr>
          <w:trHeight w:val="427"/>
        </w:trPr>
        <w:tc>
          <w:tcPr>
            <w:tcW w:w="5000" w:type="pct"/>
            <w:tcBorders>
              <w:top w:val="outset" w:color="auto" w:sz="6" w:space="0"/>
              <w:left w:val="outset" w:color="auto" w:sz="6" w:space="0"/>
              <w:bottom w:val="outset" w:color="auto" w:sz="6" w:space="0"/>
              <w:right w:val="outset" w:color="auto" w:sz="6" w:space="0"/>
            </w:tcBorders>
          </w:tcPr>
          <w:p w:rsidRPr="00C563BC" w:rsidR="001A617D" w:rsidP="00154C9E" w:rsidRDefault="001A617D" w14:paraId="5D724251" w14:textId="77777777">
            <w:pPr>
              <w:ind w:left="-142"/>
              <w:contextualSpacing/>
              <w:jc w:val="center"/>
            </w:pPr>
            <w:r w:rsidRPr="00C563BC">
              <w:t>Projekts šo jomu neskar</w:t>
            </w:r>
          </w:p>
        </w:tc>
      </w:tr>
    </w:tbl>
    <w:p w:rsidRPr="00C563BC" w:rsidR="001A617D" w:rsidP="001B39AD" w:rsidRDefault="001A617D" w14:paraId="214270B4" w14:textId="77777777">
      <w:pPr>
        <w:spacing w:before="120"/>
      </w:pPr>
    </w:p>
    <w:tbl>
      <w:tblPr>
        <w:tblW w:w="93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Look w:val="0000" w:firstRow="0" w:lastRow="0" w:firstColumn="0" w:lastColumn="0" w:noHBand="0" w:noVBand="0"/>
      </w:tblPr>
      <w:tblGrid>
        <w:gridCol w:w="742"/>
        <w:gridCol w:w="3970"/>
        <w:gridCol w:w="4644"/>
      </w:tblGrid>
      <w:tr w:rsidRPr="00C563BC" w:rsidR="00C563BC" w:rsidTr="008554B7" w14:paraId="189FE3CD" w14:textId="77777777">
        <w:tc>
          <w:tcPr>
            <w:tcW w:w="9356" w:type="dxa"/>
            <w:gridSpan w:val="3"/>
            <w:tcBorders>
              <w:top w:val="single" w:color="auto" w:sz="4" w:space="0"/>
            </w:tcBorders>
          </w:tcPr>
          <w:p w:rsidRPr="00C563BC" w:rsidR="006E0B3D" w:rsidP="001875D8" w:rsidRDefault="006E0B3D" w14:paraId="0CEA6E8E" w14:textId="77777777">
            <w:pPr>
              <w:pStyle w:val="naisnod"/>
              <w:spacing w:before="120" w:after="0"/>
              <w:ind w:left="-142" w:right="57"/>
            </w:pPr>
            <w:r w:rsidRPr="00C563BC">
              <w:t>VII. Tiesību akta projekta izpildes nodrošināšana un tās ietekme uz institūcijām</w:t>
            </w:r>
          </w:p>
        </w:tc>
      </w:tr>
      <w:tr w:rsidRPr="00C563BC" w:rsidR="00C563BC" w:rsidTr="008554B7" w14:paraId="78A19E86" w14:textId="77777777">
        <w:trPr>
          <w:trHeight w:val="427"/>
        </w:trPr>
        <w:tc>
          <w:tcPr>
            <w:tcW w:w="742" w:type="dxa"/>
          </w:tcPr>
          <w:p w:rsidRPr="00C563BC" w:rsidR="006E0B3D" w:rsidP="00437E83" w:rsidRDefault="00437E83" w14:paraId="48F2FB60" w14:textId="77777777">
            <w:pPr>
              <w:pStyle w:val="naisnod"/>
              <w:tabs>
                <w:tab w:val="left" w:pos="546"/>
              </w:tabs>
              <w:spacing w:before="120" w:after="0"/>
              <w:ind w:right="3"/>
              <w:jc w:val="left"/>
              <w:rPr>
                <w:b w:val="0"/>
              </w:rPr>
            </w:pPr>
            <w:r w:rsidRPr="00C563BC">
              <w:rPr>
                <w:b w:val="0"/>
              </w:rPr>
              <w:t>1.</w:t>
            </w:r>
          </w:p>
        </w:tc>
        <w:tc>
          <w:tcPr>
            <w:tcW w:w="3970" w:type="dxa"/>
          </w:tcPr>
          <w:p w:rsidRPr="00C563BC" w:rsidR="006E0B3D" w:rsidP="00437E83" w:rsidRDefault="006E0B3D" w14:paraId="2CA26BCA" w14:textId="77777777">
            <w:pPr>
              <w:pStyle w:val="naisf"/>
              <w:spacing w:before="120" w:after="0"/>
              <w:ind w:left="80" w:right="57" w:firstLine="0"/>
              <w:jc w:val="left"/>
            </w:pPr>
            <w:r w:rsidRPr="00C563BC">
              <w:t xml:space="preserve">Projekta izpildē iesaistītās institūcijas </w:t>
            </w:r>
          </w:p>
        </w:tc>
        <w:tc>
          <w:tcPr>
            <w:tcW w:w="4644" w:type="dxa"/>
          </w:tcPr>
          <w:p w:rsidRPr="00C563BC" w:rsidR="0035465F" w:rsidP="00A2612B" w:rsidRDefault="0035465F" w14:paraId="6E0DFD05" w14:textId="77777777">
            <w:pPr>
              <w:ind w:firstLine="3"/>
              <w:jc w:val="both"/>
            </w:pPr>
            <w:r w:rsidRPr="00C563BC">
              <w:t>Satiksmes ministrija, VAS “</w:t>
            </w:r>
            <w:r w:rsidRPr="00C563BC" w:rsidR="00024D3E">
              <w:t>Ceļu satiksmes drošības direkcija”</w:t>
            </w:r>
          </w:p>
          <w:p w:rsidRPr="00C563BC" w:rsidR="006E0B3D" w:rsidP="00437E83" w:rsidRDefault="006E0B3D" w14:paraId="29B0A473" w14:textId="77777777">
            <w:pPr>
              <w:pStyle w:val="naisnod"/>
              <w:spacing w:before="120" w:after="0"/>
              <w:ind w:right="57"/>
              <w:jc w:val="left"/>
              <w:rPr>
                <w:b w:val="0"/>
                <w:iCs/>
              </w:rPr>
            </w:pPr>
          </w:p>
        </w:tc>
      </w:tr>
      <w:tr w:rsidRPr="00C563BC" w:rsidR="00C563BC" w:rsidTr="008554B7" w14:paraId="44BA606C" w14:textId="77777777">
        <w:trPr>
          <w:trHeight w:val="463"/>
        </w:trPr>
        <w:tc>
          <w:tcPr>
            <w:tcW w:w="742" w:type="dxa"/>
          </w:tcPr>
          <w:p w:rsidRPr="00C563BC" w:rsidR="006E0B3D" w:rsidP="00437E83" w:rsidRDefault="00437E83" w14:paraId="6B4B7735" w14:textId="77777777">
            <w:pPr>
              <w:pStyle w:val="naisnod"/>
              <w:tabs>
                <w:tab w:val="left" w:pos="546"/>
              </w:tabs>
              <w:spacing w:before="120" w:after="0"/>
              <w:ind w:right="3"/>
              <w:jc w:val="left"/>
              <w:rPr>
                <w:b w:val="0"/>
                <w:bCs w:val="0"/>
              </w:rPr>
            </w:pPr>
            <w:r w:rsidRPr="00C563BC">
              <w:rPr>
                <w:b w:val="0"/>
                <w:bCs w:val="0"/>
              </w:rPr>
              <w:t>2.</w:t>
            </w:r>
          </w:p>
        </w:tc>
        <w:tc>
          <w:tcPr>
            <w:tcW w:w="3970" w:type="dxa"/>
          </w:tcPr>
          <w:p w:rsidRPr="00C563BC" w:rsidR="00184DF9" w:rsidP="00437E83" w:rsidRDefault="00184DF9" w14:paraId="49292843" w14:textId="77777777">
            <w:pPr>
              <w:ind w:left="80"/>
            </w:pPr>
            <w:r w:rsidRPr="00C563BC">
              <w:t xml:space="preserve">Projekta izpildes ietekme uz pārvaldes funkcijām un institucionālo struktūru. </w:t>
            </w:r>
          </w:p>
          <w:p w:rsidRPr="00C563BC" w:rsidR="006E0B3D" w:rsidP="00C72987" w:rsidRDefault="00184DF9" w14:paraId="4AFA5D7E" w14:textId="77777777">
            <w:pPr>
              <w:spacing w:before="100" w:beforeAutospacing="1" w:after="100" w:afterAutospacing="1"/>
              <w:ind w:left="80"/>
            </w:pPr>
            <w:r w:rsidRPr="00C563BC">
              <w:t>Jaunu institūciju izveide, esošu institūciju likvidācija vai reorganizācija, to ietekme uz institūcijas cilvēkresursiem</w:t>
            </w:r>
          </w:p>
        </w:tc>
        <w:tc>
          <w:tcPr>
            <w:tcW w:w="4644" w:type="dxa"/>
          </w:tcPr>
          <w:p w:rsidRPr="00C563BC" w:rsidR="006E0B3D" w:rsidP="00437E83" w:rsidRDefault="006E0B3D" w14:paraId="01E18BBC" w14:textId="77777777">
            <w:pPr>
              <w:pStyle w:val="naisnod"/>
              <w:spacing w:before="120" w:after="0"/>
              <w:ind w:right="57"/>
              <w:jc w:val="both"/>
              <w:rPr>
                <w:b w:val="0"/>
              </w:rPr>
            </w:pPr>
            <w:r w:rsidRPr="00C563BC">
              <w:rPr>
                <w:b w:val="0"/>
                <w:iCs/>
              </w:rPr>
              <w:t>Nav attiecināms.</w:t>
            </w:r>
          </w:p>
        </w:tc>
      </w:tr>
      <w:tr w:rsidRPr="00C563BC" w:rsidR="00C563BC" w:rsidTr="008554B7" w14:paraId="54A0D6F9" w14:textId="77777777">
        <w:trPr>
          <w:trHeight w:val="476"/>
        </w:trPr>
        <w:tc>
          <w:tcPr>
            <w:tcW w:w="742" w:type="dxa"/>
          </w:tcPr>
          <w:p w:rsidRPr="00C563BC" w:rsidR="006E0B3D" w:rsidP="00FF4919" w:rsidRDefault="00184DF9" w14:paraId="3D11E0C2" w14:textId="77777777">
            <w:pPr>
              <w:pStyle w:val="naiskr"/>
              <w:spacing w:before="120" w:beforeAutospacing="0" w:after="0" w:afterAutospacing="0"/>
              <w:ind w:left="57" w:right="57"/>
            </w:pPr>
            <w:r w:rsidRPr="00C563BC">
              <w:t>3</w:t>
            </w:r>
            <w:r w:rsidRPr="00C563BC" w:rsidR="006E0B3D">
              <w:t>.</w:t>
            </w:r>
          </w:p>
        </w:tc>
        <w:tc>
          <w:tcPr>
            <w:tcW w:w="3970" w:type="dxa"/>
          </w:tcPr>
          <w:p w:rsidRPr="00C563BC" w:rsidR="006E0B3D" w:rsidP="00FF4919" w:rsidRDefault="006E0B3D" w14:paraId="71E854EE" w14:textId="77777777">
            <w:pPr>
              <w:pStyle w:val="naiskr"/>
              <w:spacing w:before="120" w:beforeAutospacing="0" w:after="0" w:afterAutospacing="0"/>
              <w:ind w:left="57" w:right="57"/>
            </w:pPr>
            <w:r w:rsidRPr="00C563BC">
              <w:t>Cita informācija</w:t>
            </w:r>
          </w:p>
        </w:tc>
        <w:tc>
          <w:tcPr>
            <w:tcW w:w="4644" w:type="dxa"/>
          </w:tcPr>
          <w:p w:rsidRPr="00C563BC" w:rsidR="006E0B3D" w:rsidP="00FF4919" w:rsidRDefault="006E0B3D" w14:paraId="790F2239" w14:textId="77777777">
            <w:pPr>
              <w:pStyle w:val="naiskr"/>
              <w:spacing w:before="120" w:beforeAutospacing="0" w:after="0" w:afterAutospacing="0"/>
              <w:ind w:left="57" w:right="57"/>
            </w:pPr>
            <w:r w:rsidRPr="00C563BC">
              <w:t>Nav.</w:t>
            </w:r>
          </w:p>
        </w:tc>
      </w:tr>
    </w:tbl>
    <w:p w:rsidRPr="00C563BC" w:rsidR="00CE30C0" w:rsidP="00CE30C0" w:rsidRDefault="00CE30C0" w14:paraId="3963E872" w14:textId="77777777">
      <w:pPr>
        <w:rPr>
          <w:sz w:val="20"/>
          <w:szCs w:val="20"/>
        </w:rPr>
      </w:pPr>
    </w:p>
    <w:p w:rsidRPr="00C563BC" w:rsidR="00B82CB2" w:rsidP="007D254A" w:rsidRDefault="00B82CB2" w14:paraId="48D93D06" w14:textId="77777777">
      <w:pPr>
        <w:ind w:firstLine="284"/>
        <w:contextualSpacing/>
      </w:pPr>
    </w:p>
    <w:p w:rsidRPr="00C563BC" w:rsidR="007D254A" w:rsidP="007D254A" w:rsidRDefault="007D254A" w14:paraId="5106E054" w14:textId="77777777">
      <w:pPr>
        <w:ind w:firstLine="284"/>
        <w:contextualSpacing/>
      </w:pPr>
      <w:r w:rsidRPr="00C563BC">
        <w:t>Satiksmes ministrs</w:t>
      </w:r>
      <w:r w:rsidRPr="00C563BC">
        <w:tab/>
      </w:r>
      <w:r w:rsidRPr="00C563BC">
        <w:tab/>
      </w:r>
      <w:r w:rsidRPr="00C563BC">
        <w:tab/>
      </w:r>
      <w:r w:rsidRPr="00C563BC">
        <w:tab/>
      </w:r>
      <w:r w:rsidRPr="00C563BC">
        <w:tab/>
      </w:r>
      <w:r w:rsidRPr="00C563BC">
        <w:tab/>
      </w:r>
      <w:r w:rsidRPr="00C563BC">
        <w:tab/>
      </w:r>
      <w:proofErr w:type="spellStart"/>
      <w:r w:rsidRPr="00C563BC" w:rsidR="00A2612B">
        <w:t>T.Linkaits</w:t>
      </w:r>
      <w:proofErr w:type="spellEnd"/>
    </w:p>
    <w:p w:rsidRPr="00C563BC" w:rsidR="007D254A" w:rsidP="007D254A" w:rsidRDefault="007D254A" w14:paraId="0FD8C57E" w14:textId="77777777">
      <w:pPr>
        <w:ind w:firstLine="284"/>
        <w:contextualSpacing/>
      </w:pPr>
    </w:p>
    <w:p w:rsidRPr="00C563BC" w:rsidR="007D254A" w:rsidP="007D254A" w:rsidRDefault="007D254A" w14:paraId="0A1D377C" w14:textId="77777777">
      <w:pPr>
        <w:ind w:firstLine="284"/>
        <w:contextualSpacing/>
      </w:pPr>
      <w:r w:rsidRPr="00C563BC">
        <w:t>Vīza:</w:t>
      </w:r>
      <w:r w:rsidRPr="00C563BC" w:rsidR="00292C9B">
        <w:tab/>
      </w:r>
      <w:r w:rsidRPr="00C563BC" w:rsidR="00292C9B">
        <w:tab/>
      </w:r>
    </w:p>
    <w:p w:rsidRPr="00C563BC" w:rsidR="003C0731" w:rsidP="00AF4E13" w:rsidRDefault="003C0731" w14:paraId="1DE6592E" w14:textId="77777777">
      <w:pPr>
        <w:ind w:left="284"/>
        <w:contextualSpacing/>
      </w:pPr>
      <w:r w:rsidRPr="00C563BC">
        <w:t xml:space="preserve">Valsts </w:t>
      </w:r>
      <w:r w:rsidRPr="00C563BC" w:rsidR="00AF4E13">
        <w:t>sekretār</w:t>
      </w:r>
      <w:r w:rsidRPr="00C563BC" w:rsidR="00A2612B">
        <w:t>e</w:t>
      </w:r>
      <w:r w:rsidRPr="00C563BC">
        <w:tab/>
      </w:r>
      <w:r w:rsidRPr="00C563BC">
        <w:tab/>
      </w:r>
      <w:r w:rsidRPr="00C563BC">
        <w:tab/>
      </w:r>
      <w:r w:rsidRPr="00C563BC">
        <w:tab/>
      </w:r>
      <w:r w:rsidRPr="00C563BC">
        <w:tab/>
      </w:r>
      <w:r w:rsidRPr="00C563BC" w:rsidR="00292C9B">
        <w:tab/>
      </w:r>
      <w:r w:rsidRPr="00C563BC" w:rsidR="00292C9B">
        <w:tab/>
      </w:r>
      <w:proofErr w:type="spellStart"/>
      <w:r w:rsidRPr="00C563BC" w:rsidR="00A2612B">
        <w:t>I.Stepanova</w:t>
      </w:r>
      <w:proofErr w:type="spellEnd"/>
    </w:p>
    <w:p w:rsidRPr="00C563BC" w:rsidR="003C0731" w:rsidP="003C0731" w:rsidRDefault="003C0731" w14:paraId="28F7F7FA" w14:textId="77777777">
      <w:pPr>
        <w:ind w:left="284"/>
        <w:contextualSpacing/>
      </w:pPr>
    </w:p>
    <w:p w:rsidRPr="00C563BC" w:rsidR="009B140F" w:rsidP="00984937" w:rsidRDefault="009B140F" w14:paraId="4BF1097C" w14:textId="77777777">
      <w:pPr>
        <w:contextualSpacing/>
      </w:pPr>
    </w:p>
    <w:sectPr w:rsidRPr="00C563BC" w:rsidR="009B140F" w:rsidSect="001B0DA3">
      <w:headerReference w:type="even" r:id="rId17"/>
      <w:headerReference w:type="default" r:id="rId18"/>
      <w:footerReference w:type="default" r:id="rId19"/>
      <w:footerReference w:type="first" r:id="rId20"/>
      <w:pgSz w:w="11906" w:h="16838"/>
      <w:pgMar w:top="567" w:right="1558" w:bottom="851"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BE90C" w14:textId="77777777" w:rsidR="00806B2D" w:rsidRDefault="00806B2D">
      <w:r>
        <w:separator/>
      </w:r>
    </w:p>
  </w:endnote>
  <w:endnote w:type="continuationSeparator" w:id="0">
    <w:p w14:paraId="2B84F01E" w14:textId="77777777" w:rsidR="00806B2D" w:rsidRDefault="00806B2D">
      <w:r>
        <w:continuationSeparator/>
      </w:r>
    </w:p>
  </w:endnote>
  <w:endnote w:type="continuationNotice" w:id="1">
    <w:p w14:paraId="613F4D0D" w14:textId="77777777" w:rsidR="00806B2D" w:rsidRDefault="00806B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honar Bangla">
    <w:charset w:val="00"/>
    <w:family w:val="roman"/>
    <w:pitch w:val="variable"/>
    <w:sig w:usb0="0001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9933319"/>
      <w:docPartObj>
        <w:docPartGallery w:val="Page Numbers (Bottom of Page)"/>
        <w:docPartUnique/>
      </w:docPartObj>
    </w:sdtPr>
    <w:sdtEndPr>
      <w:rPr>
        <w:sz w:val="22"/>
        <w:szCs w:val="22"/>
      </w:rPr>
    </w:sdtEndPr>
    <w:sdtContent>
      <w:sdt>
        <w:sdtPr>
          <w:id w:val="-199863567"/>
          <w:docPartObj>
            <w:docPartGallery w:val="Page Numbers (Top of Page)"/>
            <w:docPartUnique/>
          </w:docPartObj>
        </w:sdtPr>
        <w:sdtEndPr>
          <w:rPr>
            <w:sz w:val="22"/>
            <w:szCs w:val="22"/>
          </w:rPr>
        </w:sdtEndPr>
        <w:sdtContent>
          <w:p w14:paraId="1DCF5924" w14:textId="6BEE0501" w:rsidR="00C12EC3" w:rsidRPr="00070ED3" w:rsidRDefault="00C12EC3" w:rsidP="003556AA">
            <w:pPr>
              <w:pStyle w:val="Footer"/>
              <w:rPr>
                <w:rFonts w:eastAsia="Calibri"/>
                <w:sz w:val="20"/>
                <w:szCs w:val="20"/>
                <w:lang w:eastAsia="en-US"/>
              </w:rPr>
            </w:pPr>
            <w:r w:rsidRPr="00070ED3">
              <w:rPr>
                <w:rFonts w:eastAsia="Calibri"/>
                <w:sz w:val="20"/>
                <w:szCs w:val="20"/>
                <w:lang w:eastAsia="en-US"/>
              </w:rPr>
              <w:t>SM</w:t>
            </w:r>
            <w:r w:rsidR="007D3320">
              <w:rPr>
                <w:rFonts w:eastAsia="Calibri"/>
                <w:sz w:val="20"/>
                <w:szCs w:val="20"/>
                <w:lang w:eastAsia="en-US"/>
              </w:rPr>
              <w:t>a</w:t>
            </w:r>
            <w:r w:rsidRPr="00070ED3">
              <w:rPr>
                <w:rFonts w:eastAsia="Calibri"/>
                <w:sz w:val="20"/>
                <w:szCs w:val="20"/>
                <w:lang w:eastAsia="en-US"/>
              </w:rPr>
              <w:t>not_</w:t>
            </w:r>
            <w:r w:rsidR="0082556F">
              <w:rPr>
                <w:rFonts w:eastAsia="Calibri"/>
                <w:sz w:val="20"/>
                <w:szCs w:val="20"/>
                <w:lang w:eastAsia="en-US"/>
              </w:rPr>
              <w:t>2509</w:t>
            </w:r>
            <w:r>
              <w:rPr>
                <w:rFonts w:eastAsia="Calibri"/>
                <w:sz w:val="20"/>
                <w:szCs w:val="20"/>
                <w:lang w:eastAsia="en-US"/>
              </w:rPr>
              <w:t>20</w:t>
            </w:r>
            <w:r w:rsidRPr="00070ED3">
              <w:rPr>
                <w:rFonts w:eastAsia="Calibri"/>
                <w:sz w:val="20"/>
                <w:szCs w:val="20"/>
                <w:lang w:eastAsia="en-US"/>
              </w:rPr>
              <w:t>_</w:t>
            </w:r>
            <w:r>
              <w:rPr>
                <w:rFonts w:eastAsia="Calibri"/>
                <w:sz w:val="20"/>
                <w:szCs w:val="20"/>
                <w:lang w:eastAsia="en-US"/>
              </w:rPr>
              <w:t>CSDD</w:t>
            </w:r>
            <w:r w:rsidRPr="00070ED3">
              <w:rPr>
                <w:rFonts w:eastAsia="Calibri"/>
                <w:sz w:val="20"/>
                <w:szCs w:val="20"/>
                <w:lang w:eastAsia="en-US"/>
              </w:rPr>
              <w:t>divid</w:t>
            </w:r>
          </w:p>
          <w:p w14:paraId="369B77D2" w14:textId="77777777" w:rsidR="00C12EC3" w:rsidRDefault="00C12EC3" w:rsidP="003556AA">
            <w:pPr>
              <w:pStyle w:val="Footer"/>
              <w:rPr>
                <w:sz w:val="20"/>
                <w:szCs w:val="20"/>
              </w:rPr>
            </w:pPr>
          </w:p>
          <w:p w14:paraId="0550808B" w14:textId="77777777" w:rsidR="00C12EC3" w:rsidRPr="00DA7EC0" w:rsidRDefault="0082556F">
            <w:pPr>
              <w:pStyle w:val="Footer"/>
              <w:jc w:val="right"/>
              <w:rPr>
                <w:sz w:val="22"/>
                <w:szCs w:val="22"/>
              </w:rPr>
            </w:pPr>
          </w:p>
        </w:sdtContent>
      </w:sdt>
    </w:sdtContent>
  </w:sdt>
  <w:p w14:paraId="7C601262" w14:textId="77777777" w:rsidR="00C12EC3" w:rsidRPr="004C6A9D" w:rsidRDefault="00C12EC3" w:rsidP="00DA7EC0">
    <w:pPr>
      <w:spacing w:before="120"/>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7105616"/>
      <w:docPartObj>
        <w:docPartGallery w:val="Page Numbers (Bottom of Page)"/>
        <w:docPartUnique/>
      </w:docPartObj>
    </w:sdtPr>
    <w:sdtEndPr/>
    <w:sdtContent>
      <w:bookmarkStart w:id="5" w:name="_Hlk507683994" w:displacedByCustomXml="next"/>
      <w:bookmarkStart w:id="6" w:name="_Hlk515364218" w:displacedByCustomXml="next"/>
      <w:sdt>
        <w:sdtPr>
          <w:id w:val="882288600"/>
          <w:docPartObj>
            <w:docPartGallery w:val="Page Numbers (Top of Page)"/>
            <w:docPartUnique/>
          </w:docPartObj>
        </w:sdtPr>
        <w:sdtEndPr/>
        <w:sdtContent>
          <w:p w14:paraId="13202342" w14:textId="478D0AC8" w:rsidR="00C12EC3" w:rsidRPr="00070ED3" w:rsidRDefault="00C12EC3" w:rsidP="002D0234">
            <w:pPr>
              <w:pStyle w:val="Footer"/>
              <w:rPr>
                <w:rFonts w:eastAsia="Calibri"/>
                <w:sz w:val="20"/>
                <w:szCs w:val="20"/>
                <w:lang w:eastAsia="en-US"/>
              </w:rPr>
            </w:pPr>
            <w:r w:rsidRPr="00070ED3">
              <w:rPr>
                <w:rFonts w:eastAsia="Calibri"/>
                <w:sz w:val="20"/>
                <w:szCs w:val="20"/>
                <w:lang w:eastAsia="en-US"/>
              </w:rPr>
              <w:t>SM</w:t>
            </w:r>
            <w:r w:rsidR="007D3320">
              <w:rPr>
                <w:rFonts w:eastAsia="Calibri"/>
                <w:sz w:val="20"/>
                <w:szCs w:val="20"/>
                <w:lang w:eastAsia="en-US"/>
              </w:rPr>
              <w:t>a</w:t>
            </w:r>
            <w:r w:rsidRPr="00070ED3">
              <w:rPr>
                <w:rFonts w:eastAsia="Calibri"/>
                <w:sz w:val="20"/>
                <w:szCs w:val="20"/>
                <w:lang w:eastAsia="en-US"/>
              </w:rPr>
              <w:t>not</w:t>
            </w:r>
            <w:r>
              <w:rPr>
                <w:rFonts w:eastAsia="Calibri"/>
                <w:sz w:val="20"/>
                <w:szCs w:val="20"/>
                <w:lang w:eastAsia="en-US"/>
              </w:rPr>
              <w:t>_</w:t>
            </w:r>
            <w:r w:rsidR="0082556F">
              <w:rPr>
                <w:rFonts w:eastAsia="Calibri"/>
                <w:sz w:val="20"/>
                <w:szCs w:val="20"/>
                <w:lang w:eastAsia="en-US"/>
              </w:rPr>
              <w:t>2509</w:t>
            </w:r>
            <w:r>
              <w:rPr>
                <w:rFonts w:eastAsia="Calibri"/>
                <w:sz w:val="20"/>
                <w:szCs w:val="20"/>
                <w:lang w:eastAsia="en-US"/>
              </w:rPr>
              <w:t>20</w:t>
            </w:r>
            <w:r w:rsidRPr="00070ED3">
              <w:rPr>
                <w:rFonts w:eastAsia="Calibri"/>
                <w:sz w:val="20"/>
                <w:szCs w:val="20"/>
                <w:lang w:eastAsia="en-US"/>
              </w:rPr>
              <w:t>_</w:t>
            </w:r>
            <w:r>
              <w:rPr>
                <w:rFonts w:eastAsia="Calibri"/>
                <w:sz w:val="20"/>
                <w:szCs w:val="20"/>
                <w:lang w:eastAsia="en-US"/>
              </w:rPr>
              <w:t>CSDD</w:t>
            </w:r>
            <w:r w:rsidRPr="00070ED3">
              <w:rPr>
                <w:rFonts w:eastAsia="Calibri"/>
                <w:sz w:val="20"/>
                <w:szCs w:val="20"/>
                <w:lang w:eastAsia="en-US"/>
              </w:rPr>
              <w:t>divid</w:t>
            </w:r>
          </w:p>
          <w:bookmarkEnd w:id="5"/>
          <w:p w14:paraId="52F55785" w14:textId="77777777" w:rsidR="00C12EC3" w:rsidRDefault="00C12EC3" w:rsidP="00DA7EC0">
            <w:pPr>
              <w:spacing w:before="120"/>
              <w:jc w:val="both"/>
              <w:rPr>
                <w:sz w:val="20"/>
                <w:szCs w:val="20"/>
              </w:rPr>
            </w:pPr>
          </w:p>
          <w:p w14:paraId="292B5A2A" w14:textId="77777777" w:rsidR="00C12EC3" w:rsidRDefault="0082556F">
            <w:pPr>
              <w:pStyle w:val="Footer"/>
              <w:jc w:val="right"/>
            </w:pPr>
          </w:p>
          <w:bookmarkEnd w:id="6" w:displacedByCustomXml="next"/>
        </w:sdtContent>
      </w:sdt>
    </w:sdtContent>
  </w:sdt>
  <w:p w14:paraId="7F2ED6B8" w14:textId="77777777" w:rsidR="00C12EC3" w:rsidRPr="004C6A9D" w:rsidRDefault="00C12EC3" w:rsidP="00DA7EC0">
    <w:pPr>
      <w:spacing w:before="120"/>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60EE2" w14:textId="77777777" w:rsidR="00806B2D" w:rsidRDefault="00806B2D">
      <w:r>
        <w:separator/>
      </w:r>
    </w:p>
  </w:footnote>
  <w:footnote w:type="continuationSeparator" w:id="0">
    <w:p w14:paraId="51FF58E4" w14:textId="77777777" w:rsidR="00806B2D" w:rsidRDefault="00806B2D">
      <w:r>
        <w:continuationSeparator/>
      </w:r>
    </w:p>
  </w:footnote>
  <w:footnote w:type="continuationNotice" w:id="1">
    <w:p w14:paraId="04804FB3" w14:textId="77777777" w:rsidR="00806B2D" w:rsidRDefault="00806B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2EC3" w:rsidP="00B54BB1" w:rsidRDefault="00C12EC3" w14:paraId="05767D75"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2EC3" w:rsidRDefault="00C12EC3" w14:paraId="2DB7B5F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7175914"/>
      <w:docPartObj>
        <w:docPartGallery w:val="Page Numbers (Top of Page)"/>
        <w:docPartUnique/>
      </w:docPartObj>
    </w:sdtPr>
    <w:sdtEndPr>
      <w:rPr>
        <w:noProof/>
      </w:rPr>
    </w:sdtEndPr>
    <w:sdtContent>
      <w:p w:rsidR="00C12EC3" w:rsidRDefault="00C12EC3" w14:paraId="16874A22" w14:textId="77777777">
        <w:pPr>
          <w:pStyle w:val="Header"/>
          <w:jc w:val="center"/>
        </w:pPr>
        <w:r>
          <w:fldChar w:fldCharType="begin"/>
        </w:r>
        <w:r>
          <w:instrText xml:space="preserve"> PAGE   \* MERGEFORMAT </w:instrText>
        </w:r>
        <w:r>
          <w:fldChar w:fldCharType="separate"/>
        </w:r>
        <w:r>
          <w:rPr>
            <w:noProof/>
          </w:rPr>
          <w:t>6</w:t>
        </w:r>
        <w:r>
          <w:rPr>
            <w:noProof/>
          </w:rPr>
          <w:fldChar w:fldCharType="end"/>
        </w:r>
      </w:p>
    </w:sdtContent>
  </w:sdt>
  <w:p w:rsidR="00C12EC3" w:rsidP="0066301E" w:rsidRDefault="00C12EC3" w14:paraId="5F33AA87"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6D53794"/>
    <w:multiLevelType w:val="hybridMultilevel"/>
    <w:tmpl w:val="50AC2C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01996"/>
    <w:multiLevelType w:val="multilevel"/>
    <w:tmpl w:val="8F124A5E"/>
    <w:lvl w:ilvl="0">
      <w:start w:val="20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354576"/>
    <w:multiLevelType w:val="hybridMultilevel"/>
    <w:tmpl w:val="114263F0"/>
    <w:lvl w:ilvl="0" w:tplc="0426000B">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21B7263D"/>
    <w:multiLevelType w:val="hybridMultilevel"/>
    <w:tmpl w:val="9FDEA6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F0281"/>
    <w:multiLevelType w:val="hybridMultilevel"/>
    <w:tmpl w:val="8A602F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81600AC"/>
    <w:multiLevelType w:val="hybridMultilevel"/>
    <w:tmpl w:val="A0185C04"/>
    <w:lvl w:ilvl="0" w:tplc="E2985DDE">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15:restartNumberingAfterBreak="0">
    <w:nsid w:val="294C1595"/>
    <w:multiLevelType w:val="hybridMultilevel"/>
    <w:tmpl w:val="6F56CB8C"/>
    <w:lvl w:ilvl="0" w:tplc="04260001">
      <w:start w:val="1"/>
      <w:numFmt w:val="bullet"/>
      <w:lvlText w:val=""/>
      <w:lvlJc w:val="left"/>
      <w:pPr>
        <w:ind w:left="1446" w:hanging="360"/>
      </w:pPr>
      <w:rPr>
        <w:rFonts w:ascii="Symbol" w:hAnsi="Symbol" w:hint="default"/>
      </w:rPr>
    </w:lvl>
    <w:lvl w:ilvl="1" w:tplc="04260003" w:tentative="1">
      <w:start w:val="1"/>
      <w:numFmt w:val="bullet"/>
      <w:lvlText w:val="o"/>
      <w:lvlJc w:val="left"/>
      <w:pPr>
        <w:ind w:left="2166" w:hanging="360"/>
      </w:pPr>
      <w:rPr>
        <w:rFonts w:ascii="Courier New" w:hAnsi="Courier New" w:cs="Courier New" w:hint="default"/>
      </w:rPr>
    </w:lvl>
    <w:lvl w:ilvl="2" w:tplc="04260005" w:tentative="1">
      <w:start w:val="1"/>
      <w:numFmt w:val="bullet"/>
      <w:lvlText w:val=""/>
      <w:lvlJc w:val="left"/>
      <w:pPr>
        <w:ind w:left="2886" w:hanging="360"/>
      </w:pPr>
      <w:rPr>
        <w:rFonts w:ascii="Wingdings" w:hAnsi="Wingdings" w:hint="default"/>
      </w:rPr>
    </w:lvl>
    <w:lvl w:ilvl="3" w:tplc="04260001" w:tentative="1">
      <w:start w:val="1"/>
      <w:numFmt w:val="bullet"/>
      <w:lvlText w:val=""/>
      <w:lvlJc w:val="left"/>
      <w:pPr>
        <w:ind w:left="3606" w:hanging="360"/>
      </w:pPr>
      <w:rPr>
        <w:rFonts w:ascii="Symbol" w:hAnsi="Symbol" w:hint="default"/>
      </w:rPr>
    </w:lvl>
    <w:lvl w:ilvl="4" w:tplc="04260003" w:tentative="1">
      <w:start w:val="1"/>
      <w:numFmt w:val="bullet"/>
      <w:lvlText w:val="o"/>
      <w:lvlJc w:val="left"/>
      <w:pPr>
        <w:ind w:left="4326" w:hanging="360"/>
      </w:pPr>
      <w:rPr>
        <w:rFonts w:ascii="Courier New" w:hAnsi="Courier New" w:cs="Courier New" w:hint="default"/>
      </w:rPr>
    </w:lvl>
    <w:lvl w:ilvl="5" w:tplc="04260005" w:tentative="1">
      <w:start w:val="1"/>
      <w:numFmt w:val="bullet"/>
      <w:lvlText w:val=""/>
      <w:lvlJc w:val="left"/>
      <w:pPr>
        <w:ind w:left="5046" w:hanging="360"/>
      </w:pPr>
      <w:rPr>
        <w:rFonts w:ascii="Wingdings" w:hAnsi="Wingdings" w:hint="default"/>
      </w:rPr>
    </w:lvl>
    <w:lvl w:ilvl="6" w:tplc="04260001" w:tentative="1">
      <w:start w:val="1"/>
      <w:numFmt w:val="bullet"/>
      <w:lvlText w:val=""/>
      <w:lvlJc w:val="left"/>
      <w:pPr>
        <w:ind w:left="5766" w:hanging="360"/>
      </w:pPr>
      <w:rPr>
        <w:rFonts w:ascii="Symbol" w:hAnsi="Symbol" w:hint="default"/>
      </w:rPr>
    </w:lvl>
    <w:lvl w:ilvl="7" w:tplc="04260003" w:tentative="1">
      <w:start w:val="1"/>
      <w:numFmt w:val="bullet"/>
      <w:lvlText w:val="o"/>
      <w:lvlJc w:val="left"/>
      <w:pPr>
        <w:ind w:left="6486" w:hanging="360"/>
      </w:pPr>
      <w:rPr>
        <w:rFonts w:ascii="Courier New" w:hAnsi="Courier New" w:cs="Courier New" w:hint="default"/>
      </w:rPr>
    </w:lvl>
    <w:lvl w:ilvl="8" w:tplc="04260005" w:tentative="1">
      <w:start w:val="1"/>
      <w:numFmt w:val="bullet"/>
      <w:lvlText w:val=""/>
      <w:lvlJc w:val="left"/>
      <w:pPr>
        <w:ind w:left="7206" w:hanging="360"/>
      </w:pPr>
      <w:rPr>
        <w:rFonts w:ascii="Wingdings" w:hAnsi="Wingdings" w:hint="default"/>
      </w:rPr>
    </w:lvl>
  </w:abstractNum>
  <w:abstractNum w:abstractNumId="8" w15:restartNumberingAfterBreak="0">
    <w:nsid w:val="29765810"/>
    <w:multiLevelType w:val="hybridMultilevel"/>
    <w:tmpl w:val="5F603B46"/>
    <w:lvl w:ilvl="0" w:tplc="56FA26E4">
      <w:start w:val="3"/>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9" w15:restartNumberingAfterBreak="0">
    <w:nsid w:val="2B187083"/>
    <w:multiLevelType w:val="hybridMultilevel"/>
    <w:tmpl w:val="AC6888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E8571C9"/>
    <w:multiLevelType w:val="hybridMultilevel"/>
    <w:tmpl w:val="1450C7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EA76FFA"/>
    <w:multiLevelType w:val="hybridMultilevel"/>
    <w:tmpl w:val="A07EA9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BB1B58"/>
    <w:multiLevelType w:val="hybridMultilevel"/>
    <w:tmpl w:val="4DC04658"/>
    <w:lvl w:ilvl="0" w:tplc="A25AC6F2">
      <w:start w:val="1"/>
      <w:numFmt w:val="bullet"/>
      <w:lvlText w:val="-"/>
      <w:lvlJc w:val="left"/>
      <w:pPr>
        <w:ind w:left="780" w:hanging="360"/>
      </w:pPr>
      <w:rPr>
        <w:rFonts w:ascii="Shonar Bangla" w:hAnsi="Shonar Bangla" w:hint="default"/>
      </w:rPr>
    </w:lvl>
    <w:lvl w:ilvl="1" w:tplc="04260003">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3" w15:restartNumberingAfterBreak="0">
    <w:nsid w:val="3C36343A"/>
    <w:multiLevelType w:val="hybridMultilevel"/>
    <w:tmpl w:val="9BBAA9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E9B06C2"/>
    <w:multiLevelType w:val="hybridMultilevel"/>
    <w:tmpl w:val="047C5338"/>
    <w:lvl w:ilvl="0" w:tplc="0C8E1D58">
      <w:start w:val="20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586735D"/>
    <w:multiLevelType w:val="hybridMultilevel"/>
    <w:tmpl w:val="FAE2537E"/>
    <w:lvl w:ilvl="0" w:tplc="0426000F">
      <w:start w:val="1"/>
      <w:numFmt w:val="decimal"/>
      <w:lvlText w:val="%1."/>
      <w:lvlJc w:val="left"/>
      <w:pPr>
        <w:ind w:left="1287" w:hanging="360"/>
      </w:p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6" w15:restartNumberingAfterBreak="0">
    <w:nsid w:val="53F64F35"/>
    <w:multiLevelType w:val="hybridMultilevel"/>
    <w:tmpl w:val="556C91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8" w15:restartNumberingAfterBreak="0">
    <w:nsid w:val="56140B4A"/>
    <w:multiLevelType w:val="hybridMultilevel"/>
    <w:tmpl w:val="2050DF8E"/>
    <w:lvl w:ilvl="0" w:tplc="DD06C81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401C24"/>
    <w:multiLevelType w:val="hybridMultilevel"/>
    <w:tmpl w:val="8FB6C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09E6B4D"/>
    <w:multiLevelType w:val="hybridMultilevel"/>
    <w:tmpl w:val="C64E5198"/>
    <w:lvl w:ilvl="0" w:tplc="9FBC656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68C47919"/>
    <w:multiLevelType w:val="multilevel"/>
    <w:tmpl w:val="2E24666E"/>
    <w:lvl w:ilvl="0">
      <w:start w:val="1"/>
      <w:numFmt w:val="decimal"/>
      <w:lvlText w:val="%1."/>
      <w:lvlJc w:val="left"/>
      <w:pPr>
        <w:ind w:left="420" w:hanging="420"/>
      </w:pPr>
      <w:rPr>
        <w:rFonts w:hint="default"/>
      </w:rPr>
    </w:lvl>
    <w:lvl w:ilvl="1">
      <w:start w:val="1"/>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2" w15:restartNumberingAfterBreak="0">
    <w:nsid w:val="700F34E9"/>
    <w:multiLevelType w:val="hybridMultilevel"/>
    <w:tmpl w:val="14D20F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A0F67B0"/>
    <w:multiLevelType w:val="hybridMultilevel"/>
    <w:tmpl w:val="534E4102"/>
    <w:lvl w:ilvl="0" w:tplc="7242B17C">
      <w:start w:val="14"/>
      <w:numFmt w:val="bullet"/>
      <w:lvlText w:val="-"/>
      <w:lvlJc w:val="left"/>
      <w:pPr>
        <w:tabs>
          <w:tab w:val="num" w:pos="1125"/>
        </w:tabs>
        <w:ind w:left="1125" w:hanging="360"/>
      </w:pPr>
      <w:rPr>
        <w:rFonts w:ascii="Times New Roman" w:eastAsia="Times New Roman" w:hAnsi="Times New Roman" w:cs="Times New Roman" w:hint="default"/>
      </w:rPr>
    </w:lvl>
    <w:lvl w:ilvl="1" w:tplc="04260003" w:tentative="1">
      <w:start w:val="1"/>
      <w:numFmt w:val="bullet"/>
      <w:lvlText w:val="o"/>
      <w:lvlJc w:val="left"/>
      <w:pPr>
        <w:tabs>
          <w:tab w:val="num" w:pos="1845"/>
        </w:tabs>
        <w:ind w:left="1845" w:hanging="360"/>
      </w:pPr>
      <w:rPr>
        <w:rFonts w:ascii="Courier New" w:hAnsi="Courier New" w:cs="Courier New" w:hint="default"/>
      </w:rPr>
    </w:lvl>
    <w:lvl w:ilvl="2" w:tplc="04260005" w:tentative="1">
      <w:start w:val="1"/>
      <w:numFmt w:val="bullet"/>
      <w:lvlText w:val=""/>
      <w:lvlJc w:val="left"/>
      <w:pPr>
        <w:tabs>
          <w:tab w:val="num" w:pos="2565"/>
        </w:tabs>
        <w:ind w:left="2565" w:hanging="360"/>
      </w:pPr>
      <w:rPr>
        <w:rFonts w:ascii="Wingdings" w:hAnsi="Wingdings" w:hint="default"/>
      </w:rPr>
    </w:lvl>
    <w:lvl w:ilvl="3" w:tplc="04260001" w:tentative="1">
      <w:start w:val="1"/>
      <w:numFmt w:val="bullet"/>
      <w:lvlText w:val=""/>
      <w:lvlJc w:val="left"/>
      <w:pPr>
        <w:tabs>
          <w:tab w:val="num" w:pos="3285"/>
        </w:tabs>
        <w:ind w:left="3285" w:hanging="360"/>
      </w:pPr>
      <w:rPr>
        <w:rFonts w:ascii="Symbol" w:hAnsi="Symbol" w:hint="default"/>
      </w:rPr>
    </w:lvl>
    <w:lvl w:ilvl="4" w:tplc="04260003" w:tentative="1">
      <w:start w:val="1"/>
      <w:numFmt w:val="bullet"/>
      <w:lvlText w:val="o"/>
      <w:lvlJc w:val="left"/>
      <w:pPr>
        <w:tabs>
          <w:tab w:val="num" w:pos="4005"/>
        </w:tabs>
        <w:ind w:left="4005" w:hanging="360"/>
      </w:pPr>
      <w:rPr>
        <w:rFonts w:ascii="Courier New" w:hAnsi="Courier New" w:cs="Courier New" w:hint="default"/>
      </w:rPr>
    </w:lvl>
    <w:lvl w:ilvl="5" w:tplc="04260005" w:tentative="1">
      <w:start w:val="1"/>
      <w:numFmt w:val="bullet"/>
      <w:lvlText w:val=""/>
      <w:lvlJc w:val="left"/>
      <w:pPr>
        <w:tabs>
          <w:tab w:val="num" w:pos="4725"/>
        </w:tabs>
        <w:ind w:left="4725" w:hanging="360"/>
      </w:pPr>
      <w:rPr>
        <w:rFonts w:ascii="Wingdings" w:hAnsi="Wingdings" w:hint="default"/>
      </w:rPr>
    </w:lvl>
    <w:lvl w:ilvl="6" w:tplc="04260001" w:tentative="1">
      <w:start w:val="1"/>
      <w:numFmt w:val="bullet"/>
      <w:lvlText w:val=""/>
      <w:lvlJc w:val="left"/>
      <w:pPr>
        <w:tabs>
          <w:tab w:val="num" w:pos="5445"/>
        </w:tabs>
        <w:ind w:left="5445" w:hanging="360"/>
      </w:pPr>
      <w:rPr>
        <w:rFonts w:ascii="Symbol" w:hAnsi="Symbol" w:hint="default"/>
      </w:rPr>
    </w:lvl>
    <w:lvl w:ilvl="7" w:tplc="04260003" w:tentative="1">
      <w:start w:val="1"/>
      <w:numFmt w:val="bullet"/>
      <w:lvlText w:val="o"/>
      <w:lvlJc w:val="left"/>
      <w:pPr>
        <w:tabs>
          <w:tab w:val="num" w:pos="6165"/>
        </w:tabs>
        <w:ind w:left="6165" w:hanging="360"/>
      </w:pPr>
      <w:rPr>
        <w:rFonts w:ascii="Courier New" w:hAnsi="Courier New" w:cs="Courier New" w:hint="default"/>
      </w:rPr>
    </w:lvl>
    <w:lvl w:ilvl="8" w:tplc="04260005" w:tentative="1">
      <w:start w:val="1"/>
      <w:numFmt w:val="bullet"/>
      <w:lvlText w:val=""/>
      <w:lvlJc w:val="left"/>
      <w:pPr>
        <w:tabs>
          <w:tab w:val="num" w:pos="6885"/>
        </w:tabs>
        <w:ind w:left="6885" w:hanging="360"/>
      </w:pPr>
      <w:rPr>
        <w:rFonts w:ascii="Wingdings" w:hAnsi="Wingdings" w:hint="default"/>
      </w:rPr>
    </w:lvl>
  </w:abstractNum>
  <w:num w:numId="1">
    <w:abstractNumId w:val="0"/>
  </w:num>
  <w:num w:numId="2">
    <w:abstractNumId w:val="17"/>
  </w:num>
  <w:num w:numId="3">
    <w:abstractNumId w:val="23"/>
  </w:num>
  <w:num w:numId="4">
    <w:abstractNumId w:val="6"/>
  </w:num>
  <w:num w:numId="5">
    <w:abstractNumId w:val="8"/>
  </w:num>
  <w:num w:numId="6">
    <w:abstractNumId w:val="10"/>
  </w:num>
  <w:num w:numId="7">
    <w:abstractNumId w:val="22"/>
  </w:num>
  <w:num w:numId="8">
    <w:abstractNumId w:val="21"/>
  </w:num>
  <w:num w:numId="9">
    <w:abstractNumId w:val="7"/>
  </w:num>
  <w:num w:numId="10">
    <w:abstractNumId w:val="5"/>
  </w:num>
  <w:num w:numId="11">
    <w:abstractNumId w:val="14"/>
  </w:num>
  <w:num w:numId="12">
    <w:abstractNumId w:val="1"/>
  </w:num>
  <w:num w:numId="13">
    <w:abstractNumId w:val="16"/>
  </w:num>
  <w:num w:numId="14">
    <w:abstractNumId w:val="4"/>
  </w:num>
  <w:num w:numId="15">
    <w:abstractNumId w:val="18"/>
  </w:num>
  <w:num w:numId="16">
    <w:abstractNumId w:val="11"/>
  </w:num>
  <w:num w:numId="17">
    <w:abstractNumId w:val="20"/>
  </w:num>
  <w:num w:numId="18">
    <w:abstractNumId w:val="15"/>
  </w:num>
  <w:num w:numId="19">
    <w:abstractNumId w:val="12"/>
  </w:num>
  <w:num w:numId="20">
    <w:abstractNumId w:val="3"/>
  </w:num>
  <w:num w:numId="21">
    <w:abstractNumId w:val="9"/>
  </w:num>
  <w:num w:numId="22">
    <w:abstractNumId w:val="13"/>
  </w:num>
  <w:num w:numId="23">
    <w:abstractNumId w:val="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18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1EB"/>
    <w:rsid w:val="00000FCE"/>
    <w:rsid w:val="00002F16"/>
    <w:rsid w:val="000106D1"/>
    <w:rsid w:val="000107F2"/>
    <w:rsid w:val="00010C45"/>
    <w:rsid w:val="00013219"/>
    <w:rsid w:val="00017172"/>
    <w:rsid w:val="0001735B"/>
    <w:rsid w:val="00020536"/>
    <w:rsid w:val="00020BD9"/>
    <w:rsid w:val="00021831"/>
    <w:rsid w:val="00023B51"/>
    <w:rsid w:val="00024629"/>
    <w:rsid w:val="00024D3E"/>
    <w:rsid w:val="0003027F"/>
    <w:rsid w:val="000307A2"/>
    <w:rsid w:val="00032FD4"/>
    <w:rsid w:val="0003587D"/>
    <w:rsid w:val="00036995"/>
    <w:rsid w:val="000377C1"/>
    <w:rsid w:val="000379EC"/>
    <w:rsid w:val="000416B7"/>
    <w:rsid w:val="00041B66"/>
    <w:rsid w:val="000431C7"/>
    <w:rsid w:val="000438FA"/>
    <w:rsid w:val="00044678"/>
    <w:rsid w:val="00046529"/>
    <w:rsid w:val="00047C9F"/>
    <w:rsid w:val="00051E98"/>
    <w:rsid w:val="0005263B"/>
    <w:rsid w:val="00055FF7"/>
    <w:rsid w:val="000575CA"/>
    <w:rsid w:val="0006004F"/>
    <w:rsid w:val="000610AF"/>
    <w:rsid w:val="00061345"/>
    <w:rsid w:val="00061409"/>
    <w:rsid w:val="00061B7D"/>
    <w:rsid w:val="00062AAE"/>
    <w:rsid w:val="0006317B"/>
    <w:rsid w:val="00070ED3"/>
    <w:rsid w:val="00071A6A"/>
    <w:rsid w:val="000734F0"/>
    <w:rsid w:val="000747C1"/>
    <w:rsid w:val="0007626E"/>
    <w:rsid w:val="00082055"/>
    <w:rsid w:val="0008210E"/>
    <w:rsid w:val="000821E2"/>
    <w:rsid w:val="0008370D"/>
    <w:rsid w:val="000860A6"/>
    <w:rsid w:val="00086EBD"/>
    <w:rsid w:val="00090538"/>
    <w:rsid w:val="00090A02"/>
    <w:rsid w:val="00091203"/>
    <w:rsid w:val="00092FD8"/>
    <w:rsid w:val="00093C51"/>
    <w:rsid w:val="00094E6A"/>
    <w:rsid w:val="0009552D"/>
    <w:rsid w:val="000963BA"/>
    <w:rsid w:val="000966F9"/>
    <w:rsid w:val="00096EEF"/>
    <w:rsid w:val="00096F61"/>
    <w:rsid w:val="00097979"/>
    <w:rsid w:val="000A00FA"/>
    <w:rsid w:val="000A08C0"/>
    <w:rsid w:val="000A2365"/>
    <w:rsid w:val="000A3592"/>
    <w:rsid w:val="000A3E52"/>
    <w:rsid w:val="000B0210"/>
    <w:rsid w:val="000B4AC1"/>
    <w:rsid w:val="000C0F07"/>
    <w:rsid w:val="000C1251"/>
    <w:rsid w:val="000C2096"/>
    <w:rsid w:val="000C2752"/>
    <w:rsid w:val="000C40C5"/>
    <w:rsid w:val="000C4201"/>
    <w:rsid w:val="000C6583"/>
    <w:rsid w:val="000C73E5"/>
    <w:rsid w:val="000C7567"/>
    <w:rsid w:val="000C77DA"/>
    <w:rsid w:val="000C78B2"/>
    <w:rsid w:val="000D075F"/>
    <w:rsid w:val="000D0B82"/>
    <w:rsid w:val="000D14CE"/>
    <w:rsid w:val="000D186A"/>
    <w:rsid w:val="000D1A22"/>
    <w:rsid w:val="000D21C0"/>
    <w:rsid w:val="000D4E1E"/>
    <w:rsid w:val="000D5543"/>
    <w:rsid w:val="000D5D73"/>
    <w:rsid w:val="000D6077"/>
    <w:rsid w:val="000D613F"/>
    <w:rsid w:val="000E0638"/>
    <w:rsid w:val="000E0BC2"/>
    <w:rsid w:val="000E12F3"/>
    <w:rsid w:val="000E1807"/>
    <w:rsid w:val="000E1A93"/>
    <w:rsid w:val="000E2039"/>
    <w:rsid w:val="000E3C0A"/>
    <w:rsid w:val="000E4AFC"/>
    <w:rsid w:val="000E4EB2"/>
    <w:rsid w:val="000E7232"/>
    <w:rsid w:val="000E7239"/>
    <w:rsid w:val="000E742F"/>
    <w:rsid w:val="000F2335"/>
    <w:rsid w:val="000F33CB"/>
    <w:rsid w:val="000F3896"/>
    <w:rsid w:val="000F3BF6"/>
    <w:rsid w:val="000F49B4"/>
    <w:rsid w:val="000F6BD7"/>
    <w:rsid w:val="000F74E9"/>
    <w:rsid w:val="001012CC"/>
    <w:rsid w:val="001016E8"/>
    <w:rsid w:val="0010317E"/>
    <w:rsid w:val="001042BD"/>
    <w:rsid w:val="00104D2A"/>
    <w:rsid w:val="00105A9E"/>
    <w:rsid w:val="001069E1"/>
    <w:rsid w:val="00111D54"/>
    <w:rsid w:val="00112B8C"/>
    <w:rsid w:val="00112DBA"/>
    <w:rsid w:val="00113594"/>
    <w:rsid w:val="001138D3"/>
    <w:rsid w:val="00113A81"/>
    <w:rsid w:val="00114337"/>
    <w:rsid w:val="00116847"/>
    <w:rsid w:val="001230EB"/>
    <w:rsid w:val="00123224"/>
    <w:rsid w:val="001232D4"/>
    <w:rsid w:val="00123790"/>
    <w:rsid w:val="00124661"/>
    <w:rsid w:val="001247F9"/>
    <w:rsid w:val="00125D3D"/>
    <w:rsid w:val="00126B97"/>
    <w:rsid w:val="0012755D"/>
    <w:rsid w:val="00127A34"/>
    <w:rsid w:val="00131A34"/>
    <w:rsid w:val="001334EA"/>
    <w:rsid w:val="001344DF"/>
    <w:rsid w:val="00134FF2"/>
    <w:rsid w:val="0013509F"/>
    <w:rsid w:val="001354B8"/>
    <w:rsid w:val="00136C4A"/>
    <w:rsid w:val="0013743A"/>
    <w:rsid w:val="001411EE"/>
    <w:rsid w:val="0014396E"/>
    <w:rsid w:val="00143CAC"/>
    <w:rsid w:val="00144889"/>
    <w:rsid w:val="00145346"/>
    <w:rsid w:val="00145711"/>
    <w:rsid w:val="00146138"/>
    <w:rsid w:val="0014652A"/>
    <w:rsid w:val="00147453"/>
    <w:rsid w:val="0015163D"/>
    <w:rsid w:val="00151670"/>
    <w:rsid w:val="00152767"/>
    <w:rsid w:val="00154C9E"/>
    <w:rsid w:val="00154EF9"/>
    <w:rsid w:val="00156E1E"/>
    <w:rsid w:val="00161239"/>
    <w:rsid w:val="001617C2"/>
    <w:rsid w:val="0016190F"/>
    <w:rsid w:val="00164651"/>
    <w:rsid w:val="0016556D"/>
    <w:rsid w:val="00165D3B"/>
    <w:rsid w:val="00167DA3"/>
    <w:rsid w:val="00170087"/>
    <w:rsid w:val="0017191A"/>
    <w:rsid w:val="00175EA1"/>
    <w:rsid w:val="0017609E"/>
    <w:rsid w:val="00177526"/>
    <w:rsid w:val="001806AF"/>
    <w:rsid w:val="00182C64"/>
    <w:rsid w:val="0018311F"/>
    <w:rsid w:val="00184DF9"/>
    <w:rsid w:val="001875D8"/>
    <w:rsid w:val="00187B8A"/>
    <w:rsid w:val="00187CEF"/>
    <w:rsid w:val="0019000D"/>
    <w:rsid w:val="001929F2"/>
    <w:rsid w:val="00193EB8"/>
    <w:rsid w:val="00193FA4"/>
    <w:rsid w:val="00196B11"/>
    <w:rsid w:val="0019753B"/>
    <w:rsid w:val="001A0473"/>
    <w:rsid w:val="001A0593"/>
    <w:rsid w:val="001A1533"/>
    <w:rsid w:val="001A4818"/>
    <w:rsid w:val="001A49FF"/>
    <w:rsid w:val="001A4E5B"/>
    <w:rsid w:val="001A5958"/>
    <w:rsid w:val="001A5CEF"/>
    <w:rsid w:val="001A617D"/>
    <w:rsid w:val="001A6472"/>
    <w:rsid w:val="001A6D04"/>
    <w:rsid w:val="001B0DA3"/>
    <w:rsid w:val="001B1117"/>
    <w:rsid w:val="001B1435"/>
    <w:rsid w:val="001B155A"/>
    <w:rsid w:val="001B1AF8"/>
    <w:rsid w:val="001B1D6B"/>
    <w:rsid w:val="001B2EE3"/>
    <w:rsid w:val="001B3212"/>
    <w:rsid w:val="001B39AD"/>
    <w:rsid w:val="001B512F"/>
    <w:rsid w:val="001B62A1"/>
    <w:rsid w:val="001B77E0"/>
    <w:rsid w:val="001C036A"/>
    <w:rsid w:val="001C1C48"/>
    <w:rsid w:val="001C3693"/>
    <w:rsid w:val="001C5CA5"/>
    <w:rsid w:val="001C5F76"/>
    <w:rsid w:val="001C6137"/>
    <w:rsid w:val="001C642C"/>
    <w:rsid w:val="001C707C"/>
    <w:rsid w:val="001C71A2"/>
    <w:rsid w:val="001D2385"/>
    <w:rsid w:val="001D24E8"/>
    <w:rsid w:val="001D30E1"/>
    <w:rsid w:val="001D403E"/>
    <w:rsid w:val="001D5135"/>
    <w:rsid w:val="001D57F8"/>
    <w:rsid w:val="001D5947"/>
    <w:rsid w:val="001D5FDD"/>
    <w:rsid w:val="001D6AF3"/>
    <w:rsid w:val="001D7BA8"/>
    <w:rsid w:val="001E029F"/>
    <w:rsid w:val="001E32EA"/>
    <w:rsid w:val="001E3FDC"/>
    <w:rsid w:val="001E5188"/>
    <w:rsid w:val="001E6411"/>
    <w:rsid w:val="001E7C55"/>
    <w:rsid w:val="001F0BAD"/>
    <w:rsid w:val="001F3FDF"/>
    <w:rsid w:val="001F4F13"/>
    <w:rsid w:val="001F58B8"/>
    <w:rsid w:val="001F5BF9"/>
    <w:rsid w:val="001F6BE3"/>
    <w:rsid w:val="001F71A6"/>
    <w:rsid w:val="0020221B"/>
    <w:rsid w:val="00203788"/>
    <w:rsid w:val="00203F40"/>
    <w:rsid w:val="00207A0C"/>
    <w:rsid w:val="00207CBE"/>
    <w:rsid w:val="00212EA4"/>
    <w:rsid w:val="002144C6"/>
    <w:rsid w:val="00214B00"/>
    <w:rsid w:val="00216597"/>
    <w:rsid w:val="0021731E"/>
    <w:rsid w:val="002202DC"/>
    <w:rsid w:val="00220DE4"/>
    <w:rsid w:val="00221D04"/>
    <w:rsid w:val="0022210C"/>
    <w:rsid w:val="0022231A"/>
    <w:rsid w:val="00222503"/>
    <w:rsid w:val="00222C3C"/>
    <w:rsid w:val="002234A5"/>
    <w:rsid w:val="00230DBF"/>
    <w:rsid w:val="00231EF6"/>
    <w:rsid w:val="00234018"/>
    <w:rsid w:val="0023401C"/>
    <w:rsid w:val="00234A8E"/>
    <w:rsid w:val="00234D41"/>
    <w:rsid w:val="00235042"/>
    <w:rsid w:val="0023615D"/>
    <w:rsid w:val="002426D3"/>
    <w:rsid w:val="002437F9"/>
    <w:rsid w:val="00243960"/>
    <w:rsid w:val="00243ABC"/>
    <w:rsid w:val="00244AD7"/>
    <w:rsid w:val="00244B26"/>
    <w:rsid w:val="0024719E"/>
    <w:rsid w:val="00247B93"/>
    <w:rsid w:val="00250DD0"/>
    <w:rsid w:val="002510C6"/>
    <w:rsid w:val="002543AC"/>
    <w:rsid w:val="0026020B"/>
    <w:rsid w:val="00261917"/>
    <w:rsid w:val="00262E71"/>
    <w:rsid w:val="002635A5"/>
    <w:rsid w:val="002653B1"/>
    <w:rsid w:val="0026683B"/>
    <w:rsid w:val="0026745C"/>
    <w:rsid w:val="0027265A"/>
    <w:rsid w:val="002736D2"/>
    <w:rsid w:val="00273A27"/>
    <w:rsid w:val="00273E43"/>
    <w:rsid w:val="00276360"/>
    <w:rsid w:val="0027713B"/>
    <w:rsid w:val="002805C2"/>
    <w:rsid w:val="0028109C"/>
    <w:rsid w:val="0028118D"/>
    <w:rsid w:val="00283E9F"/>
    <w:rsid w:val="00290BF9"/>
    <w:rsid w:val="002918BC"/>
    <w:rsid w:val="00292C9B"/>
    <w:rsid w:val="002936EE"/>
    <w:rsid w:val="00293F7E"/>
    <w:rsid w:val="002941DF"/>
    <w:rsid w:val="00295C71"/>
    <w:rsid w:val="00295EF3"/>
    <w:rsid w:val="002A08BB"/>
    <w:rsid w:val="002A2EC4"/>
    <w:rsid w:val="002A3B66"/>
    <w:rsid w:val="002A462D"/>
    <w:rsid w:val="002A6B53"/>
    <w:rsid w:val="002A6B67"/>
    <w:rsid w:val="002B1AE2"/>
    <w:rsid w:val="002B2A1C"/>
    <w:rsid w:val="002B3276"/>
    <w:rsid w:val="002B492E"/>
    <w:rsid w:val="002B5EE6"/>
    <w:rsid w:val="002B603D"/>
    <w:rsid w:val="002B6E63"/>
    <w:rsid w:val="002B7ACC"/>
    <w:rsid w:val="002C0254"/>
    <w:rsid w:val="002C087F"/>
    <w:rsid w:val="002C2D2C"/>
    <w:rsid w:val="002C33C6"/>
    <w:rsid w:val="002C39D0"/>
    <w:rsid w:val="002C40F8"/>
    <w:rsid w:val="002C415B"/>
    <w:rsid w:val="002C48C8"/>
    <w:rsid w:val="002C50EC"/>
    <w:rsid w:val="002C7161"/>
    <w:rsid w:val="002D0234"/>
    <w:rsid w:val="002D0D07"/>
    <w:rsid w:val="002D2A67"/>
    <w:rsid w:val="002D2E6E"/>
    <w:rsid w:val="002D5812"/>
    <w:rsid w:val="002D5F36"/>
    <w:rsid w:val="002D6B12"/>
    <w:rsid w:val="002D7BB6"/>
    <w:rsid w:val="002E09E1"/>
    <w:rsid w:val="002E1117"/>
    <w:rsid w:val="002E25D5"/>
    <w:rsid w:val="002E361F"/>
    <w:rsid w:val="002E6902"/>
    <w:rsid w:val="002E6B7B"/>
    <w:rsid w:val="002E7350"/>
    <w:rsid w:val="002F2A9E"/>
    <w:rsid w:val="002F314B"/>
    <w:rsid w:val="002F31E6"/>
    <w:rsid w:val="002F453C"/>
    <w:rsid w:val="002F5055"/>
    <w:rsid w:val="002F5D38"/>
    <w:rsid w:val="002F7B5E"/>
    <w:rsid w:val="00300072"/>
    <w:rsid w:val="00300ED0"/>
    <w:rsid w:val="0030112E"/>
    <w:rsid w:val="00302238"/>
    <w:rsid w:val="003027DC"/>
    <w:rsid w:val="00303A73"/>
    <w:rsid w:val="003041C7"/>
    <w:rsid w:val="00304A68"/>
    <w:rsid w:val="00305D5F"/>
    <w:rsid w:val="003071C0"/>
    <w:rsid w:val="00307AAA"/>
    <w:rsid w:val="0031019F"/>
    <w:rsid w:val="00311293"/>
    <w:rsid w:val="003123B6"/>
    <w:rsid w:val="003130FD"/>
    <w:rsid w:val="00313282"/>
    <w:rsid w:val="00314C5D"/>
    <w:rsid w:val="0031519E"/>
    <w:rsid w:val="00316035"/>
    <w:rsid w:val="0031742B"/>
    <w:rsid w:val="0032178D"/>
    <w:rsid w:val="003227C7"/>
    <w:rsid w:val="0032337D"/>
    <w:rsid w:val="00325A66"/>
    <w:rsid w:val="00326A53"/>
    <w:rsid w:val="003273AF"/>
    <w:rsid w:val="00327C0A"/>
    <w:rsid w:val="00327E4C"/>
    <w:rsid w:val="0033166F"/>
    <w:rsid w:val="0033168B"/>
    <w:rsid w:val="00333CAB"/>
    <w:rsid w:val="003344FD"/>
    <w:rsid w:val="003373A4"/>
    <w:rsid w:val="00340295"/>
    <w:rsid w:val="003408A6"/>
    <w:rsid w:val="00340DC9"/>
    <w:rsid w:val="00344461"/>
    <w:rsid w:val="00345906"/>
    <w:rsid w:val="00345E32"/>
    <w:rsid w:val="003503AA"/>
    <w:rsid w:val="00350D7A"/>
    <w:rsid w:val="00350EE0"/>
    <w:rsid w:val="0035178D"/>
    <w:rsid w:val="003529A2"/>
    <w:rsid w:val="0035465F"/>
    <w:rsid w:val="00355419"/>
    <w:rsid w:val="003556AA"/>
    <w:rsid w:val="003563CE"/>
    <w:rsid w:val="00356462"/>
    <w:rsid w:val="003570CA"/>
    <w:rsid w:val="003573DF"/>
    <w:rsid w:val="00357442"/>
    <w:rsid w:val="0035772C"/>
    <w:rsid w:val="0035786E"/>
    <w:rsid w:val="00360B70"/>
    <w:rsid w:val="00360FA3"/>
    <w:rsid w:val="00362AB5"/>
    <w:rsid w:val="003668AB"/>
    <w:rsid w:val="00371FD8"/>
    <w:rsid w:val="003721B6"/>
    <w:rsid w:val="00372FE5"/>
    <w:rsid w:val="0037547C"/>
    <w:rsid w:val="00376BCE"/>
    <w:rsid w:val="003800E6"/>
    <w:rsid w:val="003933A8"/>
    <w:rsid w:val="00393560"/>
    <w:rsid w:val="00394D82"/>
    <w:rsid w:val="00394DF1"/>
    <w:rsid w:val="00394E4E"/>
    <w:rsid w:val="00395975"/>
    <w:rsid w:val="00396FA3"/>
    <w:rsid w:val="00397C1F"/>
    <w:rsid w:val="003A0B52"/>
    <w:rsid w:val="003A1D83"/>
    <w:rsid w:val="003A23E8"/>
    <w:rsid w:val="003A4EAB"/>
    <w:rsid w:val="003A5048"/>
    <w:rsid w:val="003A50C0"/>
    <w:rsid w:val="003A6B97"/>
    <w:rsid w:val="003B1244"/>
    <w:rsid w:val="003B4069"/>
    <w:rsid w:val="003B55CE"/>
    <w:rsid w:val="003B680B"/>
    <w:rsid w:val="003B6A68"/>
    <w:rsid w:val="003B740C"/>
    <w:rsid w:val="003C0731"/>
    <w:rsid w:val="003C5CA3"/>
    <w:rsid w:val="003D07E5"/>
    <w:rsid w:val="003D1893"/>
    <w:rsid w:val="003D3A84"/>
    <w:rsid w:val="003D5653"/>
    <w:rsid w:val="003D583B"/>
    <w:rsid w:val="003D5B6D"/>
    <w:rsid w:val="003D69D9"/>
    <w:rsid w:val="003D7B53"/>
    <w:rsid w:val="003E1259"/>
    <w:rsid w:val="003E12B6"/>
    <w:rsid w:val="003E1710"/>
    <w:rsid w:val="003E18A7"/>
    <w:rsid w:val="003E2051"/>
    <w:rsid w:val="003E2974"/>
    <w:rsid w:val="003F7212"/>
    <w:rsid w:val="003F7958"/>
    <w:rsid w:val="004004DF"/>
    <w:rsid w:val="00402722"/>
    <w:rsid w:val="00410D48"/>
    <w:rsid w:val="00410F7F"/>
    <w:rsid w:val="00411097"/>
    <w:rsid w:val="0041205F"/>
    <w:rsid w:val="0041260D"/>
    <w:rsid w:val="004126C2"/>
    <w:rsid w:val="004155AF"/>
    <w:rsid w:val="0041582E"/>
    <w:rsid w:val="00415E8C"/>
    <w:rsid w:val="0042161A"/>
    <w:rsid w:val="004220B2"/>
    <w:rsid w:val="00423331"/>
    <w:rsid w:val="00423855"/>
    <w:rsid w:val="00423F61"/>
    <w:rsid w:val="00424299"/>
    <w:rsid w:val="004252BD"/>
    <w:rsid w:val="00425626"/>
    <w:rsid w:val="00425B45"/>
    <w:rsid w:val="004275BF"/>
    <w:rsid w:val="004279E7"/>
    <w:rsid w:val="0043122D"/>
    <w:rsid w:val="004325E4"/>
    <w:rsid w:val="004327BE"/>
    <w:rsid w:val="00434137"/>
    <w:rsid w:val="00434A43"/>
    <w:rsid w:val="00435652"/>
    <w:rsid w:val="0043576C"/>
    <w:rsid w:val="00435782"/>
    <w:rsid w:val="0043580E"/>
    <w:rsid w:val="00436F6F"/>
    <w:rsid w:val="00437E83"/>
    <w:rsid w:val="0044094F"/>
    <w:rsid w:val="004415D9"/>
    <w:rsid w:val="004436C2"/>
    <w:rsid w:val="00446352"/>
    <w:rsid w:val="00450AD2"/>
    <w:rsid w:val="00451389"/>
    <w:rsid w:val="00451B7C"/>
    <w:rsid w:val="004522C5"/>
    <w:rsid w:val="00454471"/>
    <w:rsid w:val="00454C19"/>
    <w:rsid w:val="00456B47"/>
    <w:rsid w:val="0046192F"/>
    <w:rsid w:val="00462526"/>
    <w:rsid w:val="00464A39"/>
    <w:rsid w:val="00464A9D"/>
    <w:rsid w:val="00464DBE"/>
    <w:rsid w:val="00470EB1"/>
    <w:rsid w:val="00471216"/>
    <w:rsid w:val="00471490"/>
    <w:rsid w:val="0047213C"/>
    <w:rsid w:val="0047534F"/>
    <w:rsid w:val="00476510"/>
    <w:rsid w:val="0048053D"/>
    <w:rsid w:val="00480859"/>
    <w:rsid w:val="004811C3"/>
    <w:rsid w:val="00481903"/>
    <w:rsid w:val="0048275F"/>
    <w:rsid w:val="004833F0"/>
    <w:rsid w:val="00490B60"/>
    <w:rsid w:val="00490F4A"/>
    <w:rsid w:val="004910BC"/>
    <w:rsid w:val="004928C4"/>
    <w:rsid w:val="00493295"/>
    <w:rsid w:val="00493DD4"/>
    <w:rsid w:val="00495463"/>
    <w:rsid w:val="00495BA2"/>
    <w:rsid w:val="00496AE0"/>
    <w:rsid w:val="00496BF5"/>
    <w:rsid w:val="0049790C"/>
    <w:rsid w:val="004A0580"/>
    <w:rsid w:val="004A067B"/>
    <w:rsid w:val="004A233C"/>
    <w:rsid w:val="004A2B34"/>
    <w:rsid w:val="004A2C13"/>
    <w:rsid w:val="004B07E6"/>
    <w:rsid w:val="004B133F"/>
    <w:rsid w:val="004B374D"/>
    <w:rsid w:val="004B3C97"/>
    <w:rsid w:val="004B3F2C"/>
    <w:rsid w:val="004C0046"/>
    <w:rsid w:val="004C0483"/>
    <w:rsid w:val="004C0991"/>
    <w:rsid w:val="004C1774"/>
    <w:rsid w:val="004C2F71"/>
    <w:rsid w:val="004C3F12"/>
    <w:rsid w:val="004C5941"/>
    <w:rsid w:val="004C60C4"/>
    <w:rsid w:val="004C66B8"/>
    <w:rsid w:val="004C6A9D"/>
    <w:rsid w:val="004C6EE7"/>
    <w:rsid w:val="004D2B14"/>
    <w:rsid w:val="004D3BDD"/>
    <w:rsid w:val="004D41F3"/>
    <w:rsid w:val="004E0271"/>
    <w:rsid w:val="004E4635"/>
    <w:rsid w:val="004E4B8A"/>
    <w:rsid w:val="004E584A"/>
    <w:rsid w:val="004E6C44"/>
    <w:rsid w:val="004E7252"/>
    <w:rsid w:val="004E7780"/>
    <w:rsid w:val="004E7CAD"/>
    <w:rsid w:val="004F0DCE"/>
    <w:rsid w:val="004F0FBD"/>
    <w:rsid w:val="004F476B"/>
    <w:rsid w:val="004F4D4B"/>
    <w:rsid w:val="004F4FD2"/>
    <w:rsid w:val="004F54BB"/>
    <w:rsid w:val="0050155A"/>
    <w:rsid w:val="00501F92"/>
    <w:rsid w:val="00503CF7"/>
    <w:rsid w:val="005040D6"/>
    <w:rsid w:val="00510875"/>
    <w:rsid w:val="005112AF"/>
    <w:rsid w:val="00512EB4"/>
    <w:rsid w:val="00514499"/>
    <w:rsid w:val="00514767"/>
    <w:rsid w:val="005158FA"/>
    <w:rsid w:val="00517614"/>
    <w:rsid w:val="005176F8"/>
    <w:rsid w:val="00517B0D"/>
    <w:rsid w:val="00517D1E"/>
    <w:rsid w:val="00520B55"/>
    <w:rsid w:val="005224C7"/>
    <w:rsid w:val="00523104"/>
    <w:rsid w:val="00523246"/>
    <w:rsid w:val="00523C00"/>
    <w:rsid w:val="00525458"/>
    <w:rsid w:val="0052545B"/>
    <w:rsid w:val="0052620D"/>
    <w:rsid w:val="00526873"/>
    <w:rsid w:val="00527634"/>
    <w:rsid w:val="00527763"/>
    <w:rsid w:val="00527994"/>
    <w:rsid w:val="00530648"/>
    <w:rsid w:val="00531281"/>
    <w:rsid w:val="00532514"/>
    <w:rsid w:val="00532703"/>
    <w:rsid w:val="005334FF"/>
    <w:rsid w:val="00533B8C"/>
    <w:rsid w:val="0053411A"/>
    <w:rsid w:val="00535711"/>
    <w:rsid w:val="00535F5B"/>
    <w:rsid w:val="00536C88"/>
    <w:rsid w:val="005407AA"/>
    <w:rsid w:val="005412FC"/>
    <w:rsid w:val="0054202A"/>
    <w:rsid w:val="0054348D"/>
    <w:rsid w:val="00544601"/>
    <w:rsid w:val="005455BD"/>
    <w:rsid w:val="005511D7"/>
    <w:rsid w:val="00553038"/>
    <w:rsid w:val="00553DC2"/>
    <w:rsid w:val="0055474B"/>
    <w:rsid w:val="00556B11"/>
    <w:rsid w:val="00556BBD"/>
    <w:rsid w:val="005576B6"/>
    <w:rsid w:val="0056034A"/>
    <w:rsid w:val="00560911"/>
    <w:rsid w:val="00564A9A"/>
    <w:rsid w:val="00565743"/>
    <w:rsid w:val="005707E9"/>
    <w:rsid w:val="00570E58"/>
    <w:rsid w:val="0057107E"/>
    <w:rsid w:val="00571634"/>
    <w:rsid w:val="00572315"/>
    <w:rsid w:val="00572723"/>
    <w:rsid w:val="005734BE"/>
    <w:rsid w:val="005735E2"/>
    <w:rsid w:val="005737F4"/>
    <w:rsid w:val="00574382"/>
    <w:rsid w:val="00576E02"/>
    <w:rsid w:val="005772AE"/>
    <w:rsid w:val="00581C4A"/>
    <w:rsid w:val="00583AF9"/>
    <w:rsid w:val="0058510B"/>
    <w:rsid w:val="005858D4"/>
    <w:rsid w:val="00586BF9"/>
    <w:rsid w:val="00587144"/>
    <w:rsid w:val="00587D98"/>
    <w:rsid w:val="005906F3"/>
    <w:rsid w:val="0059241C"/>
    <w:rsid w:val="00594A06"/>
    <w:rsid w:val="00595D48"/>
    <w:rsid w:val="00596359"/>
    <w:rsid w:val="00596BA0"/>
    <w:rsid w:val="005A0804"/>
    <w:rsid w:val="005A1306"/>
    <w:rsid w:val="005A252D"/>
    <w:rsid w:val="005A3027"/>
    <w:rsid w:val="005A3262"/>
    <w:rsid w:val="005A387B"/>
    <w:rsid w:val="005A6B90"/>
    <w:rsid w:val="005A6EED"/>
    <w:rsid w:val="005A7144"/>
    <w:rsid w:val="005A7A1A"/>
    <w:rsid w:val="005A7E73"/>
    <w:rsid w:val="005B0B64"/>
    <w:rsid w:val="005B0F63"/>
    <w:rsid w:val="005B1153"/>
    <w:rsid w:val="005B179C"/>
    <w:rsid w:val="005B2577"/>
    <w:rsid w:val="005B2A84"/>
    <w:rsid w:val="005B352D"/>
    <w:rsid w:val="005C35D5"/>
    <w:rsid w:val="005C6EE5"/>
    <w:rsid w:val="005C757B"/>
    <w:rsid w:val="005C76E3"/>
    <w:rsid w:val="005D0786"/>
    <w:rsid w:val="005D1402"/>
    <w:rsid w:val="005D3210"/>
    <w:rsid w:val="005D5DC7"/>
    <w:rsid w:val="005D69D3"/>
    <w:rsid w:val="005D7006"/>
    <w:rsid w:val="005D72B1"/>
    <w:rsid w:val="005D766F"/>
    <w:rsid w:val="005D7CA8"/>
    <w:rsid w:val="005D7E75"/>
    <w:rsid w:val="005E133B"/>
    <w:rsid w:val="005E1508"/>
    <w:rsid w:val="005E1F84"/>
    <w:rsid w:val="005E406C"/>
    <w:rsid w:val="005E45EF"/>
    <w:rsid w:val="005E4D6B"/>
    <w:rsid w:val="005E5535"/>
    <w:rsid w:val="005E66BB"/>
    <w:rsid w:val="005E72DA"/>
    <w:rsid w:val="005E7E1C"/>
    <w:rsid w:val="005F053D"/>
    <w:rsid w:val="005F1C0A"/>
    <w:rsid w:val="005F1CEA"/>
    <w:rsid w:val="005F54B0"/>
    <w:rsid w:val="005F6DBD"/>
    <w:rsid w:val="005F7062"/>
    <w:rsid w:val="005F758C"/>
    <w:rsid w:val="0060233E"/>
    <w:rsid w:val="0060289C"/>
    <w:rsid w:val="00604B36"/>
    <w:rsid w:val="00604C50"/>
    <w:rsid w:val="0060577E"/>
    <w:rsid w:val="006078DE"/>
    <w:rsid w:val="006125E7"/>
    <w:rsid w:val="0061525C"/>
    <w:rsid w:val="00617927"/>
    <w:rsid w:val="00620119"/>
    <w:rsid w:val="00620691"/>
    <w:rsid w:val="0062084B"/>
    <w:rsid w:val="006211B6"/>
    <w:rsid w:val="0062208D"/>
    <w:rsid w:val="00622D1E"/>
    <w:rsid w:val="00624595"/>
    <w:rsid w:val="006261AE"/>
    <w:rsid w:val="00627036"/>
    <w:rsid w:val="00627064"/>
    <w:rsid w:val="006302CE"/>
    <w:rsid w:val="00631002"/>
    <w:rsid w:val="006337B8"/>
    <w:rsid w:val="006366F2"/>
    <w:rsid w:val="00641F2F"/>
    <w:rsid w:val="006427C4"/>
    <w:rsid w:val="00642EAC"/>
    <w:rsid w:val="006444EB"/>
    <w:rsid w:val="00644B63"/>
    <w:rsid w:val="00644EAA"/>
    <w:rsid w:val="006450AA"/>
    <w:rsid w:val="006452CB"/>
    <w:rsid w:val="006466C8"/>
    <w:rsid w:val="0064775B"/>
    <w:rsid w:val="0065475E"/>
    <w:rsid w:val="00655B1B"/>
    <w:rsid w:val="00661501"/>
    <w:rsid w:val="00662250"/>
    <w:rsid w:val="0066301E"/>
    <w:rsid w:val="00663959"/>
    <w:rsid w:val="00665D2E"/>
    <w:rsid w:val="00666261"/>
    <w:rsid w:val="006702DA"/>
    <w:rsid w:val="00670956"/>
    <w:rsid w:val="006716D4"/>
    <w:rsid w:val="006746CD"/>
    <w:rsid w:val="00674B9E"/>
    <w:rsid w:val="006755BA"/>
    <w:rsid w:val="00675A82"/>
    <w:rsid w:val="00675D7A"/>
    <w:rsid w:val="006766AB"/>
    <w:rsid w:val="00680367"/>
    <w:rsid w:val="00680ADD"/>
    <w:rsid w:val="006820EA"/>
    <w:rsid w:val="0068303F"/>
    <w:rsid w:val="006843CD"/>
    <w:rsid w:val="00684A29"/>
    <w:rsid w:val="006854C7"/>
    <w:rsid w:val="006856E3"/>
    <w:rsid w:val="00686117"/>
    <w:rsid w:val="00687537"/>
    <w:rsid w:val="006878C8"/>
    <w:rsid w:val="00687C96"/>
    <w:rsid w:val="00693E65"/>
    <w:rsid w:val="0069499C"/>
    <w:rsid w:val="00695539"/>
    <w:rsid w:val="006A2BEA"/>
    <w:rsid w:val="006A2CF7"/>
    <w:rsid w:val="006A323A"/>
    <w:rsid w:val="006A39D1"/>
    <w:rsid w:val="006A460C"/>
    <w:rsid w:val="006A4625"/>
    <w:rsid w:val="006A554A"/>
    <w:rsid w:val="006B032B"/>
    <w:rsid w:val="006B083E"/>
    <w:rsid w:val="006B1096"/>
    <w:rsid w:val="006B1511"/>
    <w:rsid w:val="006B359B"/>
    <w:rsid w:val="006B5122"/>
    <w:rsid w:val="006B6CBD"/>
    <w:rsid w:val="006B7C76"/>
    <w:rsid w:val="006C02C4"/>
    <w:rsid w:val="006C07A2"/>
    <w:rsid w:val="006C2318"/>
    <w:rsid w:val="006C4E20"/>
    <w:rsid w:val="006C522F"/>
    <w:rsid w:val="006C5F2B"/>
    <w:rsid w:val="006C631D"/>
    <w:rsid w:val="006C6361"/>
    <w:rsid w:val="006C756B"/>
    <w:rsid w:val="006C7B9E"/>
    <w:rsid w:val="006D011E"/>
    <w:rsid w:val="006D0C11"/>
    <w:rsid w:val="006D0F93"/>
    <w:rsid w:val="006D25B7"/>
    <w:rsid w:val="006D2A62"/>
    <w:rsid w:val="006D3AB5"/>
    <w:rsid w:val="006D3B93"/>
    <w:rsid w:val="006D3BC7"/>
    <w:rsid w:val="006D409B"/>
    <w:rsid w:val="006D490F"/>
    <w:rsid w:val="006D58BC"/>
    <w:rsid w:val="006E0B3D"/>
    <w:rsid w:val="006E0B95"/>
    <w:rsid w:val="006E1CDD"/>
    <w:rsid w:val="006E2453"/>
    <w:rsid w:val="006E28DA"/>
    <w:rsid w:val="006E3E98"/>
    <w:rsid w:val="006E422B"/>
    <w:rsid w:val="006E639B"/>
    <w:rsid w:val="006E731C"/>
    <w:rsid w:val="006F0DAA"/>
    <w:rsid w:val="006F1693"/>
    <w:rsid w:val="006F281A"/>
    <w:rsid w:val="006F284A"/>
    <w:rsid w:val="006F2E43"/>
    <w:rsid w:val="006F637F"/>
    <w:rsid w:val="006F665C"/>
    <w:rsid w:val="006F78E0"/>
    <w:rsid w:val="007012B5"/>
    <w:rsid w:val="0070181C"/>
    <w:rsid w:val="00701C2D"/>
    <w:rsid w:val="00702B05"/>
    <w:rsid w:val="007030E6"/>
    <w:rsid w:val="00703127"/>
    <w:rsid w:val="007031FC"/>
    <w:rsid w:val="007033F9"/>
    <w:rsid w:val="0070411E"/>
    <w:rsid w:val="00705518"/>
    <w:rsid w:val="007057DC"/>
    <w:rsid w:val="00705CCC"/>
    <w:rsid w:val="00706C11"/>
    <w:rsid w:val="00707012"/>
    <w:rsid w:val="00710D51"/>
    <w:rsid w:val="00714174"/>
    <w:rsid w:val="0071468A"/>
    <w:rsid w:val="00715732"/>
    <w:rsid w:val="007167C9"/>
    <w:rsid w:val="0072021C"/>
    <w:rsid w:val="0072125A"/>
    <w:rsid w:val="00721609"/>
    <w:rsid w:val="00721FDA"/>
    <w:rsid w:val="00723B8C"/>
    <w:rsid w:val="0072622D"/>
    <w:rsid w:val="00726829"/>
    <w:rsid w:val="00726858"/>
    <w:rsid w:val="0072777E"/>
    <w:rsid w:val="0073055B"/>
    <w:rsid w:val="00730952"/>
    <w:rsid w:val="007312B9"/>
    <w:rsid w:val="00741723"/>
    <w:rsid w:val="0074270C"/>
    <w:rsid w:val="00747D67"/>
    <w:rsid w:val="00752257"/>
    <w:rsid w:val="00752624"/>
    <w:rsid w:val="00753471"/>
    <w:rsid w:val="00754486"/>
    <w:rsid w:val="00756450"/>
    <w:rsid w:val="007566F3"/>
    <w:rsid w:val="00757B53"/>
    <w:rsid w:val="007622C8"/>
    <w:rsid w:val="007641F4"/>
    <w:rsid w:val="00765EBE"/>
    <w:rsid w:val="00766807"/>
    <w:rsid w:val="007677E3"/>
    <w:rsid w:val="00767D37"/>
    <w:rsid w:val="00770EA8"/>
    <w:rsid w:val="00770FB3"/>
    <w:rsid w:val="00775219"/>
    <w:rsid w:val="0077652D"/>
    <w:rsid w:val="00777709"/>
    <w:rsid w:val="007777BA"/>
    <w:rsid w:val="00781F8A"/>
    <w:rsid w:val="00783B0B"/>
    <w:rsid w:val="00785B40"/>
    <w:rsid w:val="0078699E"/>
    <w:rsid w:val="00786E51"/>
    <w:rsid w:val="00787B01"/>
    <w:rsid w:val="00794445"/>
    <w:rsid w:val="007949A4"/>
    <w:rsid w:val="0079554C"/>
    <w:rsid w:val="007A15B1"/>
    <w:rsid w:val="007A165C"/>
    <w:rsid w:val="007A193D"/>
    <w:rsid w:val="007A1F96"/>
    <w:rsid w:val="007A3095"/>
    <w:rsid w:val="007A43EB"/>
    <w:rsid w:val="007B094D"/>
    <w:rsid w:val="007B13D8"/>
    <w:rsid w:val="007B29AC"/>
    <w:rsid w:val="007B2EEF"/>
    <w:rsid w:val="007B3B43"/>
    <w:rsid w:val="007B5FEB"/>
    <w:rsid w:val="007C1845"/>
    <w:rsid w:val="007C1964"/>
    <w:rsid w:val="007C1B98"/>
    <w:rsid w:val="007C1FF4"/>
    <w:rsid w:val="007C25C7"/>
    <w:rsid w:val="007C288D"/>
    <w:rsid w:val="007C2C9B"/>
    <w:rsid w:val="007C7542"/>
    <w:rsid w:val="007D05FA"/>
    <w:rsid w:val="007D0D2A"/>
    <w:rsid w:val="007D1362"/>
    <w:rsid w:val="007D253E"/>
    <w:rsid w:val="007D254A"/>
    <w:rsid w:val="007D31C2"/>
    <w:rsid w:val="007D3320"/>
    <w:rsid w:val="007D6C9E"/>
    <w:rsid w:val="007D70CC"/>
    <w:rsid w:val="007E0EA9"/>
    <w:rsid w:val="007E1E8E"/>
    <w:rsid w:val="007E2DF6"/>
    <w:rsid w:val="007E4DC5"/>
    <w:rsid w:val="007F5BF0"/>
    <w:rsid w:val="007F694A"/>
    <w:rsid w:val="008006BB"/>
    <w:rsid w:val="008012E3"/>
    <w:rsid w:val="00802046"/>
    <w:rsid w:val="008025E7"/>
    <w:rsid w:val="00805E3B"/>
    <w:rsid w:val="008069FC"/>
    <w:rsid w:val="00806B2D"/>
    <w:rsid w:val="008070B4"/>
    <w:rsid w:val="00807D4E"/>
    <w:rsid w:val="00810336"/>
    <w:rsid w:val="00810CAD"/>
    <w:rsid w:val="00811046"/>
    <w:rsid w:val="008127A5"/>
    <w:rsid w:val="008128AE"/>
    <w:rsid w:val="00813A26"/>
    <w:rsid w:val="00813ACA"/>
    <w:rsid w:val="008150E7"/>
    <w:rsid w:val="00815332"/>
    <w:rsid w:val="00817335"/>
    <w:rsid w:val="008204F7"/>
    <w:rsid w:val="0082389F"/>
    <w:rsid w:val="008241AA"/>
    <w:rsid w:val="0082475D"/>
    <w:rsid w:val="008252ED"/>
    <w:rsid w:val="0082556F"/>
    <w:rsid w:val="00826103"/>
    <w:rsid w:val="00826AA2"/>
    <w:rsid w:val="00826B5B"/>
    <w:rsid w:val="00827893"/>
    <w:rsid w:val="00831040"/>
    <w:rsid w:val="00831CD0"/>
    <w:rsid w:val="008328D9"/>
    <w:rsid w:val="00832CC7"/>
    <w:rsid w:val="00832CDB"/>
    <w:rsid w:val="008332B2"/>
    <w:rsid w:val="00834DA9"/>
    <w:rsid w:val="0083656C"/>
    <w:rsid w:val="008368D9"/>
    <w:rsid w:val="008409E9"/>
    <w:rsid w:val="00840CDF"/>
    <w:rsid w:val="008445A9"/>
    <w:rsid w:val="0084500A"/>
    <w:rsid w:val="008504B5"/>
    <w:rsid w:val="00850CD4"/>
    <w:rsid w:val="00850DBB"/>
    <w:rsid w:val="00853021"/>
    <w:rsid w:val="0085326D"/>
    <w:rsid w:val="008554B7"/>
    <w:rsid w:val="00855EB4"/>
    <w:rsid w:val="008568E8"/>
    <w:rsid w:val="008574EF"/>
    <w:rsid w:val="00857624"/>
    <w:rsid w:val="00863E17"/>
    <w:rsid w:val="00864492"/>
    <w:rsid w:val="0086483E"/>
    <w:rsid w:val="00870F6C"/>
    <w:rsid w:val="008710C4"/>
    <w:rsid w:val="0087170D"/>
    <w:rsid w:val="0087217B"/>
    <w:rsid w:val="00872675"/>
    <w:rsid w:val="008732D5"/>
    <w:rsid w:val="00873B5F"/>
    <w:rsid w:val="00874890"/>
    <w:rsid w:val="00874CCE"/>
    <w:rsid w:val="008754C6"/>
    <w:rsid w:val="0087606A"/>
    <w:rsid w:val="00876C02"/>
    <w:rsid w:val="00880A11"/>
    <w:rsid w:val="0088157C"/>
    <w:rsid w:val="00883E50"/>
    <w:rsid w:val="0088400A"/>
    <w:rsid w:val="008850EF"/>
    <w:rsid w:val="00890178"/>
    <w:rsid w:val="00890954"/>
    <w:rsid w:val="0089201A"/>
    <w:rsid w:val="00893185"/>
    <w:rsid w:val="00893F16"/>
    <w:rsid w:val="00895466"/>
    <w:rsid w:val="00895724"/>
    <w:rsid w:val="008A45D7"/>
    <w:rsid w:val="008A511F"/>
    <w:rsid w:val="008A5555"/>
    <w:rsid w:val="008A6C6A"/>
    <w:rsid w:val="008A7B7D"/>
    <w:rsid w:val="008B4176"/>
    <w:rsid w:val="008B4E45"/>
    <w:rsid w:val="008B50FD"/>
    <w:rsid w:val="008B5B04"/>
    <w:rsid w:val="008B7C5B"/>
    <w:rsid w:val="008B7D93"/>
    <w:rsid w:val="008B7EE0"/>
    <w:rsid w:val="008C1223"/>
    <w:rsid w:val="008C27CB"/>
    <w:rsid w:val="008C33AB"/>
    <w:rsid w:val="008C4024"/>
    <w:rsid w:val="008C42FA"/>
    <w:rsid w:val="008C494A"/>
    <w:rsid w:val="008C5256"/>
    <w:rsid w:val="008C7F04"/>
    <w:rsid w:val="008D19E6"/>
    <w:rsid w:val="008D78A4"/>
    <w:rsid w:val="008E051D"/>
    <w:rsid w:val="008E2424"/>
    <w:rsid w:val="008E3A0B"/>
    <w:rsid w:val="008E5615"/>
    <w:rsid w:val="008E5688"/>
    <w:rsid w:val="008E6AD4"/>
    <w:rsid w:val="008E6E18"/>
    <w:rsid w:val="008E73E5"/>
    <w:rsid w:val="008E78C0"/>
    <w:rsid w:val="008F28B7"/>
    <w:rsid w:val="008F35E0"/>
    <w:rsid w:val="008F3852"/>
    <w:rsid w:val="008F3FA2"/>
    <w:rsid w:val="008F5302"/>
    <w:rsid w:val="008F5647"/>
    <w:rsid w:val="008F6578"/>
    <w:rsid w:val="008F67B7"/>
    <w:rsid w:val="008F6F9A"/>
    <w:rsid w:val="008F71B4"/>
    <w:rsid w:val="00902C98"/>
    <w:rsid w:val="00904AA9"/>
    <w:rsid w:val="00904C6F"/>
    <w:rsid w:val="0090593D"/>
    <w:rsid w:val="00905F08"/>
    <w:rsid w:val="009061CB"/>
    <w:rsid w:val="00907CC6"/>
    <w:rsid w:val="00910716"/>
    <w:rsid w:val="0091176C"/>
    <w:rsid w:val="0091312A"/>
    <w:rsid w:val="0091358F"/>
    <w:rsid w:val="00913F4A"/>
    <w:rsid w:val="00915D97"/>
    <w:rsid w:val="00917B7A"/>
    <w:rsid w:val="00922130"/>
    <w:rsid w:val="00922CFA"/>
    <w:rsid w:val="0092644D"/>
    <w:rsid w:val="00926F0A"/>
    <w:rsid w:val="009274A2"/>
    <w:rsid w:val="0093279B"/>
    <w:rsid w:val="00935223"/>
    <w:rsid w:val="00935703"/>
    <w:rsid w:val="0093589A"/>
    <w:rsid w:val="00936E09"/>
    <w:rsid w:val="00937357"/>
    <w:rsid w:val="00937543"/>
    <w:rsid w:val="00940E31"/>
    <w:rsid w:val="0094128F"/>
    <w:rsid w:val="00941985"/>
    <w:rsid w:val="00942031"/>
    <w:rsid w:val="00943046"/>
    <w:rsid w:val="0094344C"/>
    <w:rsid w:val="009438BA"/>
    <w:rsid w:val="00943920"/>
    <w:rsid w:val="009449C4"/>
    <w:rsid w:val="00945217"/>
    <w:rsid w:val="009465D8"/>
    <w:rsid w:val="0095168B"/>
    <w:rsid w:val="009562D1"/>
    <w:rsid w:val="00960638"/>
    <w:rsid w:val="00960E41"/>
    <w:rsid w:val="009619A1"/>
    <w:rsid w:val="00963767"/>
    <w:rsid w:val="00965313"/>
    <w:rsid w:val="009653C4"/>
    <w:rsid w:val="00965B00"/>
    <w:rsid w:val="00965E34"/>
    <w:rsid w:val="00966CEE"/>
    <w:rsid w:val="0097072A"/>
    <w:rsid w:val="009734B0"/>
    <w:rsid w:val="00974363"/>
    <w:rsid w:val="00974D3B"/>
    <w:rsid w:val="00976F15"/>
    <w:rsid w:val="00977BA2"/>
    <w:rsid w:val="00982808"/>
    <w:rsid w:val="00984937"/>
    <w:rsid w:val="009856BF"/>
    <w:rsid w:val="00985A8E"/>
    <w:rsid w:val="00985F19"/>
    <w:rsid w:val="0098674F"/>
    <w:rsid w:val="00990CA9"/>
    <w:rsid w:val="0099114A"/>
    <w:rsid w:val="00991187"/>
    <w:rsid w:val="0099289C"/>
    <w:rsid w:val="009930DC"/>
    <w:rsid w:val="00993314"/>
    <w:rsid w:val="00994733"/>
    <w:rsid w:val="009952C7"/>
    <w:rsid w:val="00995B48"/>
    <w:rsid w:val="00996B27"/>
    <w:rsid w:val="009A13FA"/>
    <w:rsid w:val="009A1C96"/>
    <w:rsid w:val="009A22F7"/>
    <w:rsid w:val="009A379C"/>
    <w:rsid w:val="009A5724"/>
    <w:rsid w:val="009A7805"/>
    <w:rsid w:val="009A7B4A"/>
    <w:rsid w:val="009A7F38"/>
    <w:rsid w:val="009B074D"/>
    <w:rsid w:val="009B13C1"/>
    <w:rsid w:val="009B140F"/>
    <w:rsid w:val="009B17D3"/>
    <w:rsid w:val="009B228E"/>
    <w:rsid w:val="009B59F7"/>
    <w:rsid w:val="009B666D"/>
    <w:rsid w:val="009B67F2"/>
    <w:rsid w:val="009C02CA"/>
    <w:rsid w:val="009C0367"/>
    <w:rsid w:val="009C1DC8"/>
    <w:rsid w:val="009C20CD"/>
    <w:rsid w:val="009C2A57"/>
    <w:rsid w:val="009C35CC"/>
    <w:rsid w:val="009C456A"/>
    <w:rsid w:val="009C4A4D"/>
    <w:rsid w:val="009C5108"/>
    <w:rsid w:val="009C5CC3"/>
    <w:rsid w:val="009C7A47"/>
    <w:rsid w:val="009D0118"/>
    <w:rsid w:val="009D1502"/>
    <w:rsid w:val="009D2376"/>
    <w:rsid w:val="009D24C8"/>
    <w:rsid w:val="009D287F"/>
    <w:rsid w:val="009D3B0D"/>
    <w:rsid w:val="009D4664"/>
    <w:rsid w:val="009D513F"/>
    <w:rsid w:val="009D7788"/>
    <w:rsid w:val="009D79F9"/>
    <w:rsid w:val="009E091B"/>
    <w:rsid w:val="009E15E9"/>
    <w:rsid w:val="009E1812"/>
    <w:rsid w:val="009E358F"/>
    <w:rsid w:val="009E3A9B"/>
    <w:rsid w:val="009E787E"/>
    <w:rsid w:val="009F02FE"/>
    <w:rsid w:val="009F2B48"/>
    <w:rsid w:val="009F2B9D"/>
    <w:rsid w:val="009F3177"/>
    <w:rsid w:val="009F343F"/>
    <w:rsid w:val="009F34B9"/>
    <w:rsid w:val="009F5BED"/>
    <w:rsid w:val="009F5C4A"/>
    <w:rsid w:val="009F769B"/>
    <w:rsid w:val="00A01CAE"/>
    <w:rsid w:val="00A02B7D"/>
    <w:rsid w:val="00A0403A"/>
    <w:rsid w:val="00A07857"/>
    <w:rsid w:val="00A106EB"/>
    <w:rsid w:val="00A1091E"/>
    <w:rsid w:val="00A12281"/>
    <w:rsid w:val="00A1302A"/>
    <w:rsid w:val="00A16177"/>
    <w:rsid w:val="00A1638B"/>
    <w:rsid w:val="00A16F81"/>
    <w:rsid w:val="00A221CA"/>
    <w:rsid w:val="00A230E0"/>
    <w:rsid w:val="00A2381D"/>
    <w:rsid w:val="00A245E2"/>
    <w:rsid w:val="00A252CE"/>
    <w:rsid w:val="00A25454"/>
    <w:rsid w:val="00A2612B"/>
    <w:rsid w:val="00A30231"/>
    <w:rsid w:val="00A361C4"/>
    <w:rsid w:val="00A416BB"/>
    <w:rsid w:val="00A41BE1"/>
    <w:rsid w:val="00A462E9"/>
    <w:rsid w:val="00A46515"/>
    <w:rsid w:val="00A472AE"/>
    <w:rsid w:val="00A506D2"/>
    <w:rsid w:val="00A51D3A"/>
    <w:rsid w:val="00A52F27"/>
    <w:rsid w:val="00A546EB"/>
    <w:rsid w:val="00A56498"/>
    <w:rsid w:val="00A567A6"/>
    <w:rsid w:val="00A6013F"/>
    <w:rsid w:val="00A61976"/>
    <w:rsid w:val="00A63896"/>
    <w:rsid w:val="00A638A1"/>
    <w:rsid w:val="00A64714"/>
    <w:rsid w:val="00A64F62"/>
    <w:rsid w:val="00A657C4"/>
    <w:rsid w:val="00A67525"/>
    <w:rsid w:val="00A7007D"/>
    <w:rsid w:val="00A70166"/>
    <w:rsid w:val="00A726DF"/>
    <w:rsid w:val="00A7284F"/>
    <w:rsid w:val="00A73630"/>
    <w:rsid w:val="00A7457E"/>
    <w:rsid w:val="00A76436"/>
    <w:rsid w:val="00A7702F"/>
    <w:rsid w:val="00A81C83"/>
    <w:rsid w:val="00A83171"/>
    <w:rsid w:val="00A838FD"/>
    <w:rsid w:val="00A846C7"/>
    <w:rsid w:val="00A84F74"/>
    <w:rsid w:val="00A90369"/>
    <w:rsid w:val="00A90CC4"/>
    <w:rsid w:val="00A911EB"/>
    <w:rsid w:val="00A91ACA"/>
    <w:rsid w:val="00A9268F"/>
    <w:rsid w:val="00A929BE"/>
    <w:rsid w:val="00A92D54"/>
    <w:rsid w:val="00A9316F"/>
    <w:rsid w:val="00A9321E"/>
    <w:rsid w:val="00A959C8"/>
    <w:rsid w:val="00AA0414"/>
    <w:rsid w:val="00AA1B9B"/>
    <w:rsid w:val="00AA283F"/>
    <w:rsid w:val="00AA3656"/>
    <w:rsid w:val="00AA4D0C"/>
    <w:rsid w:val="00AA50BA"/>
    <w:rsid w:val="00AB0943"/>
    <w:rsid w:val="00AB0A16"/>
    <w:rsid w:val="00AB31C1"/>
    <w:rsid w:val="00AB3D5F"/>
    <w:rsid w:val="00AB4990"/>
    <w:rsid w:val="00AB4F87"/>
    <w:rsid w:val="00AB59B0"/>
    <w:rsid w:val="00AB6C7F"/>
    <w:rsid w:val="00AC025C"/>
    <w:rsid w:val="00AC026B"/>
    <w:rsid w:val="00AC2015"/>
    <w:rsid w:val="00AC209F"/>
    <w:rsid w:val="00AC3714"/>
    <w:rsid w:val="00AC377B"/>
    <w:rsid w:val="00AC4207"/>
    <w:rsid w:val="00AC4605"/>
    <w:rsid w:val="00AC4BBD"/>
    <w:rsid w:val="00AC5483"/>
    <w:rsid w:val="00AC555D"/>
    <w:rsid w:val="00AC5619"/>
    <w:rsid w:val="00AC5CAE"/>
    <w:rsid w:val="00AC5CC6"/>
    <w:rsid w:val="00AC5ECA"/>
    <w:rsid w:val="00AC61FB"/>
    <w:rsid w:val="00AD0971"/>
    <w:rsid w:val="00AD0B35"/>
    <w:rsid w:val="00AD1A71"/>
    <w:rsid w:val="00AD28C5"/>
    <w:rsid w:val="00AD2DA9"/>
    <w:rsid w:val="00AD3588"/>
    <w:rsid w:val="00AD4CCA"/>
    <w:rsid w:val="00AD5274"/>
    <w:rsid w:val="00AD52ED"/>
    <w:rsid w:val="00AD608E"/>
    <w:rsid w:val="00AD651C"/>
    <w:rsid w:val="00AD7474"/>
    <w:rsid w:val="00AD7E4D"/>
    <w:rsid w:val="00AE0576"/>
    <w:rsid w:val="00AE0E1F"/>
    <w:rsid w:val="00AE2D9F"/>
    <w:rsid w:val="00AE3529"/>
    <w:rsid w:val="00AE4622"/>
    <w:rsid w:val="00AE4906"/>
    <w:rsid w:val="00AE63C3"/>
    <w:rsid w:val="00AE6DCC"/>
    <w:rsid w:val="00AE7262"/>
    <w:rsid w:val="00AF2AE1"/>
    <w:rsid w:val="00AF2C40"/>
    <w:rsid w:val="00AF4E13"/>
    <w:rsid w:val="00AF50A5"/>
    <w:rsid w:val="00AF5943"/>
    <w:rsid w:val="00AF5F36"/>
    <w:rsid w:val="00AF6365"/>
    <w:rsid w:val="00AF69A1"/>
    <w:rsid w:val="00AF7EB0"/>
    <w:rsid w:val="00B0067F"/>
    <w:rsid w:val="00B0141E"/>
    <w:rsid w:val="00B020F5"/>
    <w:rsid w:val="00B021BC"/>
    <w:rsid w:val="00B02A5F"/>
    <w:rsid w:val="00B03116"/>
    <w:rsid w:val="00B06F1C"/>
    <w:rsid w:val="00B07547"/>
    <w:rsid w:val="00B10919"/>
    <w:rsid w:val="00B10CAE"/>
    <w:rsid w:val="00B1223F"/>
    <w:rsid w:val="00B12D5B"/>
    <w:rsid w:val="00B12E09"/>
    <w:rsid w:val="00B14EBF"/>
    <w:rsid w:val="00B15E77"/>
    <w:rsid w:val="00B17D55"/>
    <w:rsid w:val="00B21EF6"/>
    <w:rsid w:val="00B237CC"/>
    <w:rsid w:val="00B23BB9"/>
    <w:rsid w:val="00B27923"/>
    <w:rsid w:val="00B27A60"/>
    <w:rsid w:val="00B31252"/>
    <w:rsid w:val="00B31E5B"/>
    <w:rsid w:val="00B324C9"/>
    <w:rsid w:val="00B34007"/>
    <w:rsid w:val="00B34A17"/>
    <w:rsid w:val="00B407B0"/>
    <w:rsid w:val="00B40864"/>
    <w:rsid w:val="00B4128E"/>
    <w:rsid w:val="00B42F29"/>
    <w:rsid w:val="00B43AB8"/>
    <w:rsid w:val="00B44872"/>
    <w:rsid w:val="00B448DD"/>
    <w:rsid w:val="00B4570E"/>
    <w:rsid w:val="00B461F2"/>
    <w:rsid w:val="00B4656B"/>
    <w:rsid w:val="00B4692A"/>
    <w:rsid w:val="00B4694E"/>
    <w:rsid w:val="00B4713A"/>
    <w:rsid w:val="00B4790F"/>
    <w:rsid w:val="00B47C78"/>
    <w:rsid w:val="00B51F0C"/>
    <w:rsid w:val="00B51FE6"/>
    <w:rsid w:val="00B52A73"/>
    <w:rsid w:val="00B535D4"/>
    <w:rsid w:val="00B53990"/>
    <w:rsid w:val="00B53EBE"/>
    <w:rsid w:val="00B54BB1"/>
    <w:rsid w:val="00B54F42"/>
    <w:rsid w:val="00B57B3C"/>
    <w:rsid w:val="00B64457"/>
    <w:rsid w:val="00B65D99"/>
    <w:rsid w:val="00B661B6"/>
    <w:rsid w:val="00B6688D"/>
    <w:rsid w:val="00B66EA8"/>
    <w:rsid w:val="00B70236"/>
    <w:rsid w:val="00B7239C"/>
    <w:rsid w:val="00B731CE"/>
    <w:rsid w:val="00B75326"/>
    <w:rsid w:val="00B75759"/>
    <w:rsid w:val="00B75CBF"/>
    <w:rsid w:val="00B76A1D"/>
    <w:rsid w:val="00B77D3D"/>
    <w:rsid w:val="00B80357"/>
    <w:rsid w:val="00B80B4B"/>
    <w:rsid w:val="00B80D78"/>
    <w:rsid w:val="00B818AD"/>
    <w:rsid w:val="00B82CB2"/>
    <w:rsid w:val="00B839B6"/>
    <w:rsid w:val="00B84318"/>
    <w:rsid w:val="00B84401"/>
    <w:rsid w:val="00B8464E"/>
    <w:rsid w:val="00B90E6D"/>
    <w:rsid w:val="00B92B84"/>
    <w:rsid w:val="00B95EB2"/>
    <w:rsid w:val="00B96AB7"/>
    <w:rsid w:val="00B9789B"/>
    <w:rsid w:val="00B979A3"/>
    <w:rsid w:val="00BA0550"/>
    <w:rsid w:val="00BA2627"/>
    <w:rsid w:val="00BA6323"/>
    <w:rsid w:val="00BA715D"/>
    <w:rsid w:val="00BB05E1"/>
    <w:rsid w:val="00BB1348"/>
    <w:rsid w:val="00BB3AB2"/>
    <w:rsid w:val="00BB3C68"/>
    <w:rsid w:val="00BB4432"/>
    <w:rsid w:val="00BB5161"/>
    <w:rsid w:val="00BB75DA"/>
    <w:rsid w:val="00BC19F4"/>
    <w:rsid w:val="00BC3229"/>
    <w:rsid w:val="00BC5CC5"/>
    <w:rsid w:val="00BC7B09"/>
    <w:rsid w:val="00BD36D0"/>
    <w:rsid w:val="00BD4FFB"/>
    <w:rsid w:val="00BD5A0E"/>
    <w:rsid w:val="00BD675C"/>
    <w:rsid w:val="00BD7E02"/>
    <w:rsid w:val="00BE0253"/>
    <w:rsid w:val="00BE079E"/>
    <w:rsid w:val="00BE0947"/>
    <w:rsid w:val="00BE0E8A"/>
    <w:rsid w:val="00BE13C9"/>
    <w:rsid w:val="00BE2F4A"/>
    <w:rsid w:val="00BE2F50"/>
    <w:rsid w:val="00BE30C9"/>
    <w:rsid w:val="00BE3117"/>
    <w:rsid w:val="00BE349F"/>
    <w:rsid w:val="00BE3925"/>
    <w:rsid w:val="00BE486A"/>
    <w:rsid w:val="00BE52D7"/>
    <w:rsid w:val="00BE555B"/>
    <w:rsid w:val="00BE5FE0"/>
    <w:rsid w:val="00BF25F7"/>
    <w:rsid w:val="00BF435A"/>
    <w:rsid w:val="00BF4C07"/>
    <w:rsid w:val="00BF576A"/>
    <w:rsid w:val="00BF5932"/>
    <w:rsid w:val="00BF744B"/>
    <w:rsid w:val="00BF7606"/>
    <w:rsid w:val="00C00B12"/>
    <w:rsid w:val="00C034E8"/>
    <w:rsid w:val="00C04A75"/>
    <w:rsid w:val="00C04EFA"/>
    <w:rsid w:val="00C0549C"/>
    <w:rsid w:val="00C0561C"/>
    <w:rsid w:val="00C11A7D"/>
    <w:rsid w:val="00C12405"/>
    <w:rsid w:val="00C12EC3"/>
    <w:rsid w:val="00C14122"/>
    <w:rsid w:val="00C14176"/>
    <w:rsid w:val="00C14845"/>
    <w:rsid w:val="00C164FF"/>
    <w:rsid w:val="00C21322"/>
    <w:rsid w:val="00C21FBD"/>
    <w:rsid w:val="00C22965"/>
    <w:rsid w:val="00C233B0"/>
    <w:rsid w:val="00C23DA0"/>
    <w:rsid w:val="00C248A8"/>
    <w:rsid w:val="00C24B7B"/>
    <w:rsid w:val="00C25A74"/>
    <w:rsid w:val="00C316ED"/>
    <w:rsid w:val="00C32E54"/>
    <w:rsid w:val="00C33A2D"/>
    <w:rsid w:val="00C343B8"/>
    <w:rsid w:val="00C35775"/>
    <w:rsid w:val="00C3579F"/>
    <w:rsid w:val="00C35B49"/>
    <w:rsid w:val="00C3608D"/>
    <w:rsid w:val="00C3667E"/>
    <w:rsid w:val="00C366FF"/>
    <w:rsid w:val="00C368AE"/>
    <w:rsid w:val="00C3738E"/>
    <w:rsid w:val="00C40BC9"/>
    <w:rsid w:val="00C41A91"/>
    <w:rsid w:val="00C44FBD"/>
    <w:rsid w:val="00C45A05"/>
    <w:rsid w:val="00C46D79"/>
    <w:rsid w:val="00C47EAE"/>
    <w:rsid w:val="00C50917"/>
    <w:rsid w:val="00C51231"/>
    <w:rsid w:val="00C5213A"/>
    <w:rsid w:val="00C525B4"/>
    <w:rsid w:val="00C5424B"/>
    <w:rsid w:val="00C563BC"/>
    <w:rsid w:val="00C56BFE"/>
    <w:rsid w:val="00C60BE4"/>
    <w:rsid w:val="00C618C3"/>
    <w:rsid w:val="00C61C40"/>
    <w:rsid w:val="00C61EA0"/>
    <w:rsid w:val="00C62810"/>
    <w:rsid w:val="00C64D46"/>
    <w:rsid w:val="00C65A54"/>
    <w:rsid w:val="00C65B16"/>
    <w:rsid w:val="00C7150B"/>
    <w:rsid w:val="00C72987"/>
    <w:rsid w:val="00C72D72"/>
    <w:rsid w:val="00C73D9E"/>
    <w:rsid w:val="00C74814"/>
    <w:rsid w:val="00C74D40"/>
    <w:rsid w:val="00C76D1C"/>
    <w:rsid w:val="00C8010B"/>
    <w:rsid w:val="00C80203"/>
    <w:rsid w:val="00C8034F"/>
    <w:rsid w:val="00C81C7E"/>
    <w:rsid w:val="00C84B73"/>
    <w:rsid w:val="00C85F86"/>
    <w:rsid w:val="00C875FA"/>
    <w:rsid w:val="00C90459"/>
    <w:rsid w:val="00C90A93"/>
    <w:rsid w:val="00C910A0"/>
    <w:rsid w:val="00C915BB"/>
    <w:rsid w:val="00C91DC2"/>
    <w:rsid w:val="00C9718D"/>
    <w:rsid w:val="00C972BC"/>
    <w:rsid w:val="00C97464"/>
    <w:rsid w:val="00CA0CAF"/>
    <w:rsid w:val="00CA1070"/>
    <w:rsid w:val="00CA4D2C"/>
    <w:rsid w:val="00CA709A"/>
    <w:rsid w:val="00CB03BF"/>
    <w:rsid w:val="00CB040B"/>
    <w:rsid w:val="00CB2D8E"/>
    <w:rsid w:val="00CB4118"/>
    <w:rsid w:val="00CB4251"/>
    <w:rsid w:val="00CB6AF7"/>
    <w:rsid w:val="00CB7546"/>
    <w:rsid w:val="00CC125C"/>
    <w:rsid w:val="00CC1FAB"/>
    <w:rsid w:val="00CC30BB"/>
    <w:rsid w:val="00CC3D65"/>
    <w:rsid w:val="00CC5EC5"/>
    <w:rsid w:val="00CC6944"/>
    <w:rsid w:val="00CD0A9E"/>
    <w:rsid w:val="00CD0F10"/>
    <w:rsid w:val="00CD0FBE"/>
    <w:rsid w:val="00CD1649"/>
    <w:rsid w:val="00CD2F35"/>
    <w:rsid w:val="00CD3A13"/>
    <w:rsid w:val="00CD4175"/>
    <w:rsid w:val="00CD43A9"/>
    <w:rsid w:val="00CD5A97"/>
    <w:rsid w:val="00CD70BC"/>
    <w:rsid w:val="00CD72E7"/>
    <w:rsid w:val="00CE0D73"/>
    <w:rsid w:val="00CE30C0"/>
    <w:rsid w:val="00CE35C5"/>
    <w:rsid w:val="00CE5954"/>
    <w:rsid w:val="00CE7B57"/>
    <w:rsid w:val="00CE7C57"/>
    <w:rsid w:val="00CF0CB7"/>
    <w:rsid w:val="00CF1358"/>
    <w:rsid w:val="00CF230E"/>
    <w:rsid w:val="00CF256A"/>
    <w:rsid w:val="00CF3AE6"/>
    <w:rsid w:val="00CF4321"/>
    <w:rsid w:val="00CF61EA"/>
    <w:rsid w:val="00CF6598"/>
    <w:rsid w:val="00CF6640"/>
    <w:rsid w:val="00CF7E38"/>
    <w:rsid w:val="00D01B7A"/>
    <w:rsid w:val="00D03E11"/>
    <w:rsid w:val="00D04C83"/>
    <w:rsid w:val="00D0762E"/>
    <w:rsid w:val="00D10B13"/>
    <w:rsid w:val="00D110C3"/>
    <w:rsid w:val="00D151EF"/>
    <w:rsid w:val="00D2005A"/>
    <w:rsid w:val="00D22995"/>
    <w:rsid w:val="00D22E2A"/>
    <w:rsid w:val="00D23734"/>
    <w:rsid w:val="00D24017"/>
    <w:rsid w:val="00D270BD"/>
    <w:rsid w:val="00D325F7"/>
    <w:rsid w:val="00D36073"/>
    <w:rsid w:val="00D36E71"/>
    <w:rsid w:val="00D379D7"/>
    <w:rsid w:val="00D37DC1"/>
    <w:rsid w:val="00D40043"/>
    <w:rsid w:val="00D417AD"/>
    <w:rsid w:val="00D41FAA"/>
    <w:rsid w:val="00D42A36"/>
    <w:rsid w:val="00D42F7F"/>
    <w:rsid w:val="00D43B79"/>
    <w:rsid w:val="00D449D1"/>
    <w:rsid w:val="00D45CDA"/>
    <w:rsid w:val="00D46252"/>
    <w:rsid w:val="00D46696"/>
    <w:rsid w:val="00D46A03"/>
    <w:rsid w:val="00D46D11"/>
    <w:rsid w:val="00D51E6E"/>
    <w:rsid w:val="00D54FDA"/>
    <w:rsid w:val="00D55579"/>
    <w:rsid w:val="00D56BDF"/>
    <w:rsid w:val="00D60ADD"/>
    <w:rsid w:val="00D619AA"/>
    <w:rsid w:val="00D62241"/>
    <w:rsid w:val="00D67C88"/>
    <w:rsid w:val="00D71562"/>
    <w:rsid w:val="00D73E84"/>
    <w:rsid w:val="00D74629"/>
    <w:rsid w:val="00D754B4"/>
    <w:rsid w:val="00D76852"/>
    <w:rsid w:val="00D775C9"/>
    <w:rsid w:val="00D775EB"/>
    <w:rsid w:val="00D82466"/>
    <w:rsid w:val="00D842F4"/>
    <w:rsid w:val="00D847F9"/>
    <w:rsid w:val="00D84E4B"/>
    <w:rsid w:val="00D85F43"/>
    <w:rsid w:val="00D90273"/>
    <w:rsid w:val="00D91D6D"/>
    <w:rsid w:val="00D9399E"/>
    <w:rsid w:val="00D93F54"/>
    <w:rsid w:val="00D94A4E"/>
    <w:rsid w:val="00D95CDE"/>
    <w:rsid w:val="00D97D49"/>
    <w:rsid w:val="00DA0F18"/>
    <w:rsid w:val="00DA3165"/>
    <w:rsid w:val="00DA44F5"/>
    <w:rsid w:val="00DA66E4"/>
    <w:rsid w:val="00DA6731"/>
    <w:rsid w:val="00DA67B1"/>
    <w:rsid w:val="00DA769A"/>
    <w:rsid w:val="00DA7EC0"/>
    <w:rsid w:val="00DB106F"/>
    <w:rsid w:val="00DB29D9"/>
    <w:rsid w:val="00DB3560"/>
    <w:rsid w:val="00DB4732"/>
    <w:rsid w:val="00DB4BAB"/>
    <w:rsid w:val="00DB552F"/>
    <w:rsid w:val="00DC1956"/>
    <w:rsid w:val="00DC6418"/>
    <w:rsid w:val="00DC79C7"/>
    <w:rsid w:val="00DD03D2"/>
    <w:rsid w:val="00DD1A1D"/>
    <w:rsid w:val="00DD22DC"/>
    <w:rsid w:val="00DD2948"/>
    <w:rsid w:val="00DD39D6"/>
    <w:rsid w:val="00DD5D23"/>
    <w:rsid w:val="00DE137E"/>
    <w:rsid w:val="00DE1EA6"/>
    <w:rsid w:val="00DE2CAB"/>
    <w:rsid w:val="00DE35BF"/>
    <w:rsid w:val="00DE5DD9"/>
    <w:rsid w:val="00DE5EA9"/>
    <w:rsid w:val="00DE7E7F"/>
    <w:rsid w:val="00DE7E8B"/>
    <w:rsid w:val="00DF02F4"/>
    <w:rsid w:val="00DF094E"/>
    <w:rsid w:val="00DF23DD"/>
    <w:rsid w:val="00DF23FB"/>
    <w:rsid w:val="00DF4335"/>
    <w:rsid w:val="00DF4528"/>
    <w:rsid w:val="00DF5F8E"/>
    <w:rsid w:val="00DF69D1"/>
    <w:rsid w:val="00DF7322"/>
    <w:rsid w:val="00DF7B65"/>
    <w:rsid w:val="00E0439E"/>
    <w:rsid w:val="00E0504C"/>
    <w:rsid w:val="00E07926"/>
    <w:rsid w:val="00E124DF"/>
    <w:rsid w:val="00E13273"/>
    <w:rsid w:val="00E13E37"/>
    <w:rsid w:val="00E148B5"/>
    <w:rsid w:val="00E15B5E"/>
    <w:rsid w:val="00E222B5"/>
    <w:rsid w:val="00E233CB"/>
    <w:rsid w:val="00E23BC3"/>
    <w:rsid w:val="00E24FB4"/>
    <w:rsid w:val="00E25001"/>
    <w:rsid w:val="00E264D1"/>
    <w:rsid w:val="00E264F2"/>
    <w:rsid w:val="00E26817"/>
    <w:rsid w:val="00E26E3C"/>
    <w:rsid w:val="00E271E7"/>
    <w:rsid w:val="00E276C4"/>
    <w:rsid w:val="00E27D8C"/>
    <w:rsid w:val="00E27F3B"/>
    <w:rsid w:val="00E3015F"/>
    <w:rsid w:val="00E30171"/>
    <w:rsid w:val="00E30639"/>
    <w:rsid w:val="00E30E4F"/>
    <w:rsid w:val="00E328A7"/>
    <w:rsid w:val="00E347B7"/>
    <w:rsid w:val="00E34B6E"/>
    <w:rsid w:val="00E36833"/>
    <w:rsid w:val="00E42F47"/>
    <w:rsid w:val="00E44CAE"/>
    <w:rsid w:val="00E46825"/>
    <w:rsid w:val="00E47194"/>
    <w:rsid w:val="00E47454"/>
    <w:rsid w:val="00E476FE"/>
    <w:rsid w:val="00E47D55"/>
    <w:rsid w:val="00E507E2"/>
    <w:rsid w:val="00E52027"/>
    <w:rsid w:val="00E522F4"/>
    <w:rsid w:val="00E540A9"/>
    <w:rsid w:val="00E54BFC"/>
    <w:rsid w:val="00E54F8C"/>
    <w:rsid w:val="00E57D07"/>
    <w:rsid w:val="00E60BF5"/>
    <w:rsid w:val="00E60F6C"/>
    <w:rsid w:val="00E63BFA"/>
    <w:rsid w:val="00E64135"/>
    <w:rsid w:val="00E67893"/>
    <w:rsid w:val="00E70276"/>
    <w:rsid w:val="00E70886"/>
    <w:rsid w:val="00E71FF8"/>
    <w:rsid w:val="00E7425C"/>
    <w:rsid w:val="00E74BED"/>
    <w:rsid w:val="00E7695A"/>
    <w:rsid w:val="00E77806"/>
    <w:rsid w:val="00E806D0"/>
    <w:rsid w:val="00E81F10"/>
    <w:rsid w:val="00E847BA"/>
    <w:rsid w:val="00E85102"/>
    <w:rsid w:val="00E852CC"/>
    <w:rsid w:val="00E85360"/>
    <w:rsid w:val="00E85728"/>
    <w:rsid w:val="00E8599B"/>
    <w:rsid w:val="00E867CD"/>
    <w:rsid w:val="00E870E6"/>
    <w:rsid w:val="00E877BF"/>
    <w:rsid w:val="00E878D0"/>
    <w:rsid w:val="00E937DD"/>
    <w:rsid w:val="00E939D5"/>
    <w:rsid w:val="00E951F0"/>
    <w:rsid w:val="00E967F6"/>
    <w:rsid w:val="00E97077"/>
    <w:rsid w:val="00EA0E91"/>
    <w:rsid w:val="00EA1C15"/>
    <w:rsid w:val="00EA23D3"/>
    <w:rsid w:val="00EA4D94"/>
    <w:rsid w:val="00EA6A2E"/>
    <w:rsid w:val="00EA6CCF"/>
    <w:rsid w:val="00EA770C"/>
    <w:rsid w:val="00EB09DE"/>
    <w:rsid w:val="00EB1DFE"/>
    <w:rsid w:val="00EB2AE0"/>
    <w:rsid w:val="00EB3E94"/>
    <w:rsid w:val="00EB5D70"/>
    <w:rsid w:val="00EB5E2C"/>
    <w:rsid w:val="00EB661C"/>
    <w:rsid w:val="00EB78F0"/>
    <w:rsid w:val="00EC1353"/>
    <w:rsid w:val="00EC5DFC"/>
    <w:rsid w:val="00ED0580"/>
    <w:rsid w:val="00ED069A"/>
    <w:rsid w:val="00ED19E7"/>
    <w:rsid w:val="00ED1F78"/>
    <w:rsid w:val="00ED3689"/>
    <w:rsid w:val="00ED4471"/>
    <w:rsid w:val="00ED46E9"/>
    <w:rsid w:val="00ED499F"/>
    <w:rsid w:val="00ED6C85"/>
    <w:rsid w:val="00EE120F"/>
    <w:rsid w:val="00EE35AC"/>
    <w:rsid w:val="00EE7486"/>
    <w:rsid w:val="00EF01F6"/>
    <w:rsid w:val="00EF0E4D"/>
    <w:rsid w:val="00EF14D4"/>
    <w:rsid w:val="00EF201A"/>
    <w:rsid w:val="00EF21EC"/>
    <w:rsid w:val="00EF2214"/>
    <w:rsid w:val="00EF485D"/>
    <w:rsid w:val="00EF76A1"/>
    <w:rsid w:val="00EF7B94"/>
    <w:rsid w:val="00F00CB1"/>
    <w:rsid w:val="00F00FA0"/>
    <w:rsid w:val="00F01C57"/>
    <w:rsid w:val="00F02259"/>
    <w:rsid w:val="00F022CD"/>
    <w:rsid w:val="00F0393D"/>
    <w:rsid w:val="00F03C87"/>
    <w:rsid w:val="00F0626E"/>
    <w:rsid w:val="00F06BC9"/>
    <w:rsid w:val="00F06E1B"/>
    <w:rsid w:val="00F1084F"/>
    <w:rsid w:val="00F10C2D"/>
    <w:rsid w:val="00F121C4"/>
    <w:rsid w:val="00F12406"/>
    <w:rsid w:val="00F13D21"/>
    <w:rsid w:val="00F143E5"/>
    <w:rsid w:val="00F1592A"/>
    <w:rsid w:val="00F15DA4"/>
    <w:rsid w:val="00F20B8F"/>
    <w:rsid w:val="00F22606"/>
    <w:rsid w:val="00F24D3E"/>
    <w:rsid w:val="00F25DEA"/>
    <w:rsid w:val="00F2673B"/>
    <w:rsid w:val="00F27EC9"/>
    <w:rsid w:val="00F31626"/>
    <w:rsid w:val="00F316A8"/>
    <w:rsid w:val="00F351A7"/>
    <w:rsid w:val="00F351BA"/>
    <w:rsid w:val="00F36328"/>
    <w:rsid w:val="00F36DA5"/>
    <w:rsid w:val="00F40D91"/>
    <w:rsid w:val="00F41004"/>
    <w:rsid w:val="00F43DD8"/>
    <w:rsid w:val="00F4444E"/>
    <w:rsid w:val="00F54A8E"/>
    <w:rsid w:val="00F54B9E"/>
    <w:rsid w:val="00F556FF"/>
    <w:rsid w:val="00F55D46"/>
    <w:rsid w:val="00F56794"/>
    <w:rsid w:val="00F577CC"/>
    <w:rsid w:val="00F605EA"/>
    <w:rsid w:val="00F614D8"/>
    <w:rsid w:val="00F61BE1"/>
    <w:rsid w:val="00F6314A"/>
    <w:rsid w:val="00F631B6"/>
    <w:rsid w:val="00F66D55"/>
    <w:rsid w:val="00F6772D"/>
    <w:rsid w:val="00F67D8C"/>
    <w:rsid w:val="00F70ABB"/>
    <w:rsid w:val="00F715DD"/>
    <w:rsid w:val="00F71AAB"/>
    <w:rsid w:val="00F72465"/>
    <w:rsid w:val="00F769A3"/>
    <w:rsid w:val="00F7787D"/>
    <w:rsid w:val="00F805C8"/>
    <w:rsid w:val="00F818F5"/>
    <w:rsid w:val="00F819DA"/>
    <w:rsid w:val="00F82E1E"/>
    <w:rsid w:val="00F83105"/>
    <w:rsid w:val="00F85B84"/>
    <w:rsid w:val="00F864D1"/>
    <w:rsid w:val="00F9195C"/>
    <w:rsid w:val="00F92184"/>
    <w:rsid w:val="00F925F0"/>
    <w:rsid w:val="00F9261A"/>
    <w:rsid w:val="00F92886"/>
    <w:rsid w:val="00F93814"/>
    <w:rsid w:val="00F954F4"/>
    <w:rsid w:val="00F96344"/>
    <w:rsid w:val="00F963ED"/>
    <w:rsid w:val="00F97259"/>
    <w:rsid w:val="00F976BF"/>
    <w:rsid w:val="00FA0BD1"/>
    <w:rsid w:val="00FA1ADD"/>
    <w:rsid w:val="00FA1F54"/>
    <w:rsid w:val="00FA1F89"/>
    <w:rsid w:val="00FA2245"/>
    <w:rsid w:val="00FA22BA"/>
    <w:rsid w:val="00FA2F4F"/>
    <w:rsid w:val="00FA3FDB"/>
    <w:rsid w:val="00FA4083"/>
    <w:rsid w:val="00FA4112"/>
    <w:rsid w:val="00FA4BF4"/>
    <w:rsid w:val="00FA4D1F"/>
    <w:rsid w:val="00FA5CF5"/>
    <w:rsid w:val="00FA5FDD"/>
    <w:rsid w:val="00FA6D9E"/>
    <w:rsid w:val="00FA7004"/>
    <w:rsid w:val="00FB06F3"/>
    <w:rsid w:val="00FB095B"/>
    <w:rsid w:val="00FB1B59"/>
    <w:rsid w:val="00FB2D10"/>
    <w:rsid w:val="00FB5A8C"/>
    <w:rsid w:val="00FB6BC5"/>
    <w:rsid w:val="00FB7178"/>
    <w:rsid w:val="00FB77FC"/>
    <w:rsid w:val="00FC4735"/>
    <w:rsid w:val="00FC4800"/>
    <w:rsid w:val="00FC48FE"/>
    <w:rsid w:val="00FC5333"/>
    <w:rsid w:val="00FC64AB"/>
    <w:rsid w:val="00FC7730"/>
    <w:rsid w:val="00FC7C16"/>
    <w:rsid w:val="00FD1F11"/>
    <w:rsid w:val="00FD299A"/>
    <w:rsid w:val="00FD42A8"/>
    <w:rsid w:val="00FD7E1A"/>
    <w:rsid w:val="00FE2B63"/>
    <w:rsid w:val="00FE3F4A"/>
    <w:rsid w:val="00FE470D"/>
    <w:rsid w:val="00FE786C"/>
    <w:rsid w:val="00FE794B"/>
    <w:rsid w:val="00FE7C88"/>
    <w:rsid w:val="00FF0574"/>
    <w:rsid w:val="00FF0944"/>
    <w:rsid w:val="00FF0CF6"/>
    <w:rsid w:val="00FF11BD"/>
    <w:rsid w:val="00FF2C94"/>
    <w:rsid w:val="00FF4919"/>
    <w:rsid w:val="00FF753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C00391"/>
  <w15:docId w15:val="{1818524C-C63B-46B8-BC10-2E2FA5048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A1C"/>
    <w:rPr>
      <w:sz w:val="24"/>
      <w:szCs w:val="24"/>
    </w:rPr>
  </w:style>
  <w:style w:type="paragraph" w:styleId="Heading2">
    <w:name w:val="heading 2"/>
    <w:basedOn w:val="Normal"/>
    <w:next w:val="Normal"/>
    <w:qFormat/>
    <w:rsid w:val="009C2A5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rsid w:val="00A9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semiHidden/>
    <w:rsid w:val="001D7BA8"/>
    <w:rPr>
      <w:vertAlign w:val="superscript"/>
    </w:rPr>
  </w:style>
  <w:style w:type="paragraph" w:styleId="Header">
    <w:name w:val="header"/>
    <w:basedOn w:val="Normal"/>
    <w:link w:val="HeaderChar"/>
    <w:uiPriority w:val="99"/>
    <w:rsid w:val="001D7BA8"/>
    <w:pPr>
      <w:tabs>
        <w:tab w:val="center" w:pos="4153"/>
        <w:tab w:val="right" w:pos="8306"/>
      </w:tabs>
    </w:pPr>
  </w:style>
  <w:style w:type="paragraph" w:styleId="Footer">
    <w:name w:val="footer"/>
    <w:basedOn w:val="Normal"/>
    <w:link w:val="FooterChar"/>
    <w:uiPriority w:val="99"/>
    <w:rsid w:val="001D7BA8"/>
    <w:pPr>
      <w:tabs>
        <w:tab w:val="center" w:pos="4153"/>
        <w:tab w:val="right" w:pos="8306"/>
      </w:tabs>
    </w:pPr>
  </w:style>
  <w:style w:type="character" w:styleId="Hyperlink">
    <w:name w:val="Hyperlink"/>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uiPriority w:val="99"/>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uiPriority w:val="99"/>
    <w:semiHidden/>
    <w:rsid w:val="001230EB"/>
    <w:rPr>
      <w:sz w:val="16"/>
      <w:szCs w:val="16"/>
    </w:rPr>
  </w:style>
  <w:style w:type="paragraph" w:styleId="CommentText">
    <w:name w:val="annotation text"/>
    <w:basedOn w:val="Normal"/>
    <w:link w:val="CommentTextChar"/>
    <w:semiHidden/>
    <w:rsid w:val="001230EB"/>
    <w:rPr>
      <w:sz w:val="20"/>
      <w:szCs w:val="20"/>
    </w:rPr>
  </w:style>
  <w:style w:type="paragraph" w:styleId="CommentSubject">
    <w:name w:val="annotation subject"/>
    <w:basedOn w:val="CommentText"/>
    <w:next w:val="CommentText"/>
    <w:semiHidden/>
    <w:rsid w:val="001230EB"/>
    <w:rPr>
      <w:b/>
      <w:bCs/>
    </w:rPr>
  </w:style>
  <w:style w:type="paragraph" w:styleId="ListParagraph">
    <w:name w:val="List Paragraph"/>
    <w:basedOn w:val="Normal"/>
    <w:uiPriority w:val="34"/>
    <w:qFormat/>
    <w:rsid w:val="00A67525"/>
    <w:pPr>
      <w:ind w:left="720"/>
      <w:contextualSpacing/>
    </w:pPr>
    <w:rPr>
      <w:rFonts w:eastAsia="Calibri"/>
      <w:sz w:val="28"/>
      <w:szCs w:val="20"/>
    </w:rPr>
  </w:style>
  <w:style w:type="paragraph" w:styleId="BodyText2">
    <w:name w:val="Body Text 2"/>
    <w:basedOn w:val="Normal"/>
    <w:rsid w:val="00273A27"/>
    <w:pPr>
      <w:jc w:val="both"/>
    </w:pPr>
    <w:rPr>
      <w:sz w:val="28"/>
      <w:szCs w:val="20"/>
      <w:lang w:eastAsia="en-US"/>
    </w:rPr>
  </w:style>
  <w:style w:type="paragraph" w:styleId="DocumentMap">
    <w:name w:val="Document Map"/>
    <w:basedOn w:val="Normal"/>
    <w:semiHidden/>
    <w:rsid w:val="0031742B"/>
    <w:pPr>
      <w:shd w:val="clear" w:color="auto" w:fill="000080"/>
    </w:pPr>
    <w:rPr>
      <w:rFonts w:ascii="Tahoma" w:hAnsi="Tahoma" w:cs="Tahoma"/>
      <w:sz w:val="20"/>
      <w:szCs w:val="20"/>
    </w:rPr>
  </w:style>
  <w:style w:type="paragraph" w:styleId="BodyText">
    <w:name w:val="Body Text"/>
    <w:basedOn w:val="Normal"/>
    <w:link w:val="BodyTextChar"/>
    <w:rsid w:val="00E47194"/>
    <w:pPr>
      <w:spacing w:after="120"/>
    </w:pPr>
  </w:style>
  <w:style w:type="paragraph" w:styleId="BodyTextIndent3">
    <w:name w:val="Body Text Indent 3"/>
    <w:basedOn w:val="Normal"/>
    <w:rsid w:val="0082475D"/>
    <w:pPr>
      <w:spacing w:after="120"/>
      <w:ind w:left="283"/>
    </w:pPr>
    <w:rPr>
      <w:sz w:val="16"/>
      <w:szCs w:val="16"/>
    </w:rPr>
  </w:style>
  <w:style w:type="paragraph" w:customStyle="1" w:styleId="naisnod">
    <w:name w:val="naisnod"/>
    <w:basedOn w:val="Normal"/>
    <w:rsid w:val="006E0B3D"/>
    <w:pPr>
      <w:spacing w:before="150" w:after="150"/>
      <w:jc w:val="center"/>
    </w:pPr>
    <w:rPr>
      <w:b/>
      <w:bCs/>
    </w:rPr>
  </w:style>
  <w:style w:type="paragraph" w:styleId="BodyTextIndent2">
    <w:name w:val="Body Text Indent 2"/>
    <w:basedOn w:val="Normal"/>
    <w:link w:val="BodyTextIndent2Char"/>
    <w:rsid w:val="00436F6F"/>
    <w:pPr>
      <w:spacing w:after="120" w:line="480" w:lineRule="auto"/>
      <w:ind w:left="283"/>
    </w:pPr>
    <w:rPr>
      <w:lang w:val="x-none" w:eastAsia="x-none"/>
    </w:rPr>
  </w:style>
  <w:style w:type="character" w:customStyle="1" w:styleId="BodyTextIndent2Char">
    <w:name w:val="Body Text Indent 2 Char"/>
    <w:link w:val="BodyTextIndent2"/>
    <w:rsid w:val="00436F6F"/>
    <w:rPr>
      <w:sz w:val="24"/>
      <w:szCs w:val="24"/>
    </w:rPr>
  </w:style>
  <w:style w:type="character" w:customStyle="1" w:styleId="CommentTextChar">
    <w:name w:val="Comment Text Char"/>
    <w:link w:val="CommentText"/>
    <w:semiHidden/>
    <w:rsid w:val="00DF7B65"/>
    <w:rPr>
      <w:lang w:val="lv-LV" w:eastAsia="lv-LV"/>
    </w:rPr>
  </w:style>
  <w:style w:type="paragraph" w:styleId="Revision">
    <w:name w:val="Revision"/>
    <w:hidden/>
    <w:uiPriority w:val="99"/>
    <w:semiHidden/>
    <w:rsid w:val="00024629"/>
    <w:rPr>
      <w:sz w:val="24"/>
      <w:szCs w:val="24"/>
    </w:rPr>
  </w:style>
  <w:style w:type="paragraph" w:customStyle="1" w:styleId="Stilsparskats">
    <w:name w:val="Stils_parskats"/>
    <w:basedOn w:val="Normal"/>
    <w:link w:val="StilsparskatsChar"/>
    <w:autoRedefine/>
    <w:qFormat/>
    <w:rsid w:val="000106D1"/>
    <w:pPr>
      <w:spacing w:before="120"/>
      <w:jc w:val="both"/>
    </w:pPr>
  </w:style>
  <w:style w:type="paragraph" w:customStyle="1" w:styleId="tv2132">
    <w:name w:val="tv2132"/>
    <w:basedOn w:val="Normal"/>
    <w:rsid w:val="002F453C"/>
    <w:pPr>
      <w:spacing w:line="360" w:lineRule="auto"/>
      <w:ind w:firstLine="300"/>
    </w:pPr>
    <w:rPr>
      <w:color w:val="414142"/>
      <w:sz w:val="20"/>
      <w:szCs w:val="20"/>
    </w:rPr>
  </w:style>
  <w:style w:type="character" w:customStyle="1" w:styleId="StilsparskatsChar">
    <w:name w:val="Stils_parskats Char"/>
    <w:link w:val="Stilsparskats"/>
    <w:rsid w:val="000106D1"/>
    <w:rPr>
      <w:sz w:val="24"/>
      <w:szCs w:val="24"/>
    </w:rPr>
  </w:style>
  <w:style w:type="character" w:customStyle="1" w:styleId="HeaderChar">
    <w:name w:val="Header Char"/>
    <w:basedOn w:val="DefaultParagraphFont"/>
    <w:link w:val="Header"/>
    <w:uiPriority w:val="99"/>
    <w:rsid w:val="00DA7EC0"/>
    <w:rPr>
      <w:sz w:val="24"/>
      <w:szCs w:val="24"/>
    </w:rPr>
  </w:style>
  <w:style w:type="character" w:customStyle="1" w:styleId="FooterChar">
    <w:name w:val="Footer Char"/>
    <w:basedOn w:val="DefaultParagraphFont"/>
    <w:link w:val="Footer"/>
    <w:uiPriority w:val="99"/>
    <w:rsid w:val="00DA7EC0"/>
    <w:rPr>
      <w:sz w:val="24"/>
      <w:szCs w:val="24"/>
    </w:rPr>
  </w:style>
  <w:style w:type="paragraph" w:styleId="NoSpacing">
    <w:name w:val="No Spacing"/>
    <w:uiPriority w:val="1"/>
    <w:qFormat/>
    <w:rsid w:val="002F2A9E"/>
    <w:rPr>
      <w:rFonts w:asciiTheme="minorHAnsi" w:eastAsiaTheme="minorHAnsi" w:hAnsiTheme="minorHAnsi" w:cstheme="minorBidi"/>
      <w:sz w:val="22"/>
      <w:szCs w:val="22"/>
      <w:lang w:val="ru-RU" w:eastAsia="en-US"/>
    </w:rPr>
  </w:style>
  <w:style w:type="paragraph" w:customStyle="1" w:styleId="Stils1">
    <w:name w:val="Stils1"/>
    <w:basedOn w:val="Normal"/>
    <w:uiPriority w:val="99"/>
    <w:rsid w:val="00476510"/>
    <w:pPr>
      <w:spacing w:before="120"/>
      <w:ind w:firstLine="425"/>
      <w:jc w:val="both"/>
    </w:pPr>
    <w:rPr>
      <w:rFonts w:eastAsiaTheme="minorHAnsi"/>
      <w:color w:val="0000FF"/>
      <w:lang w:eastAsia="en-US"/>
    </w:rPr>
  </w:style>
  <w:style w:type="character" w:customStyle="1" w:styleId="BodyTextChar">
    <w:name w:val="Body Text Char"/>
    <w:link w:val="BodyText"/>
    <w:rsid w:val="008754C6"/>
    <w:rPr>
      <w:sz w:val="24"/>
      <w:szCs w:val="24"/>
    </w:rPr>
  </w:style>
  <w:style w:type="paragraph" w:customStyle="1" w:styleId="Parasts1">
    <w:name w:val="Parasts1"/>
    <w:qFormat/>
    <w:rsid w:val="001C5CA5"/>
    <w:pPr>
      <w:ind w:firstLine="720"/>
      <w:jc w:val="both"/>
    </w:pPr>
    <w:rPr>
      <w:sz w:val="28"/>
      <w:szCs w:val="24"/>
      <w:lang w:eastAsia="en-US"/>
    </w:rPr>
  </w:style>
  <w:style w:type="character" w:styleId="Strong">
    <w:name w:val="Strong"/>
    <w:basedOn w:val="DefaultParagraphFont"/>
    <w:uiPriority w:val="22"/>
    <w:qFormat/>
    <w:rsid w:val="00BF435A"/>
    <w:rPr>
      <w:b/>
      <w:bCs/>
    </w:rPr>
  </w:style>
  <w:style w:type="character" w:customStyle="1" w:styleId="object">
    <w:name w:val="object"/>
    <w:basedOn w:val="DefaultParagraphFont"/>
    <w:rsid w:val="00BF435A"/>
  </w:style>
  <w:style w:type="character" w:styleId="Emphasis">
    <w:name w:val="Emphasis"/>
    <w:basedOn w:val="DefaultParagraphFont"/>
    <w:uiPriority w:val="20"/>
    <w:qFormat/>
    <w:rsid w:val="004A2B34"/>
    <w:rPr>
      <w:i/>
      <w:iCs/>
    </w:rPr>
  </w:style>
  <w:style w:type="paragraph" w:styleId="Caption">
    <w:name w:val="caption"/>
    <w:basedOn w:val="Normal"/>
    <w:next w:val="Normal"/>
    <w:uiPriority w:val="35"/>
    <w:semiHidden/>
    <w:unhideWhenUsed/>
    <w:qFormat/>
    <w:rsid w:val="00B818AD"/>
    <w:pPr>
      <w:spacing w:after="200"/>
    </w:pPr>
    <w:rPr>
      <w:rFonts w:ascii="Calibri" w:eastAsia="Calibri" w:hAnsi="Calibri"/>
      <w:i/>
      <w:iCs/>
      <w:color w:val="44546A"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59144">
      <w:bodyDiv w:val="1"/>
      <w:marLeft w:val="0"/>
      <w:marRight w:val="0"/>
      <w:marTop w:val="0"/>
      <w:marBottom w:val="0"/>
      <w:divBdr>
        <w:top w:val="none" w:sz="0" w:space="0" w:color="auto"/>
        <w:left w:val="none" w:sz="0" w:space="0" w:color="auto"/>
        <w:bottom w:val="none" w:sz="0" w:space="0" w:color="auto"/>
        <w:right w:val="none" w:sz="0" w:space="0" w:color="auto"/>
      </w:divBdr>
      <w:divsChild>
        <w:div w:id="715927986">
          <w:marLeft w:val="0"/>
          <w:marRight w:val="0"/>
          <w:marTop w:val="0"/>
          <w:marBottom w:val="0"/>
          <w:divBdr>
            <w:top w:val="none" w:sz="0" w:space="0" w:color="auto"/>
            <w:left w:val="none" w:sz="0" w:space="0" w:color="auto"/>
            <w:bottom w:val="none" w:sz="0" w:space="0" w:color="auto"/>
            <w:right w:val="none" w:sz="0" w:space="0" w:color="auto"/>
          </w:divBdr>
          <w:divsChild>
            <w:div w:id="39791234">
              <w:marLeft w:val="0"/>
              <w:marRight w:val="0"/>
              <w:marTop w:val="0"/>
              <w:marBottom w:val="0"/>
              <w:divBdr>
                <w:top w:val="none" w:sz="0" w:space="0" w:color="auto"/>
                <w:left w:val="none" w:sz="0" w:space="0" w:color="auto"/>
                <w:bottom w:val="none" w:sz="0" w:space="0" w:color="auto"/>
                <w:right w:val="none" w:sz="0" w:space="0" w:color="auto"/>
              </w:divBdr>
            </w:div>
            <w:div w:id="14078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8140">
      <w:bodyDiv w:val="1"/>
      <w:marLeft w:val="0"/>
      <w:marRight w:val="0"/>
      <w:marTop w:val="0"/>
      <w:marBottom w:val="0"/>
      <w:divBdr>
        <w:top w:val="none" w:sz="0" w:space="0" w:color="auto"/>
        <w:left w:val="none" w:sz="0" w:space="0" w:color="auto"/>
        <w:bottom w:val="none" w:sz="0" w:space="0" w:color="auto"/>
        <w:right w:val="none" w:sz="0" w:space="0" w:color="auto"/>
      </w:divBdr>
    </w:div>
    <w:div w:id="237983028">
      <w:bodyDiv w:val="1"/>
      <w:marLeft w:val="0"/>
      <w:marRight w:val="0"/>
      <w:marTop w:val="0"/>
      <w:marBottom w:val="0"/>
      <w:divBdr>
        <w:top w:val="none" w:sz="0" w:space="0" w:color="auto"/>
        <w:left w:val="none" w:sz="0" w:space="0" w:color="auto"/>
        <w:bottom w:val="none" w:sz="0" w:space="0" w:color="auto"/>
        <w:right w:val="none" w:sz="0" w:space="0" w:color="auto"/>
      </w:divBdr>
    </w:div>
    <w:div w:id="381947797">
      <w:bodyDiv w:val="1"/>
      <w:marLeft w:val="0"/>
      <w:marRight w:val="0"/>
      <w:marTop w:val="0"/>
      <w:marBottom w:val="0"/>
      <w:divBdr>
        <w:top w:val="none" w:sz="0" w:space="0" w:color="auto"/>
        <w:left w:val="none" w:sz="0" w:space="0" w:color="auto"/>
        <w:bottom w:val="none" w:sz="0" w:space="0" w:color="auto"/>
        <w:right w:val="none" w:sz="0" w:space="0" w:color="auto"/>
      </w:divBdr>
    </w:div>
    <w:div w:id="483008958">
      <w:bodyDiv w:val="1"/>
      <w:marLeft w:val="0"/>
      <w:marRight w:val="0"/>
      <w:marTop w:val="0"/>
      <w:marBottom w:val="0"/>
      <w:divBdr>
        <w:top w:val="none" w:sz="0" w:space="0" w:color="auto"/>
        <w:left w:val="none" w:sz="0" w:space="0" w:color="auto"/>
        <w:bottom w:val="none" w:sz="0" w:space="0" w:color="auto"/>
        <w:right w:val="none" w:sz="0" w:space="0" w:color="auto"/>
      </w:divBdr>
    </w:div>
    <w:div w:id="550389767">
      <w:bodyDiv w:val="1"/>
      <w:marLeft w:val="0"/>
      <w:marRight w:val="0"/>
      <w:marTop w:val="0"/>
      <w:marBottom w:val="0"/>
      <w:divBdr>
        <w:top w:val="none" w:sz="0" w:space="0" w:color="auto"/>
        <w:left w:val="none" w:sz="0" w:space="0" w:color="auto"/>
        <w:bottom w:val="none" w:sz="0" w:space="0" w:color="auto"/>
        <w:right w:val="none" w:sz="0" w:space="0" w:color="auto"/>
      </w:divBdr>
      <w:divsChild>
        <w:div w:id="1701778591">
          <w:marLeft w:val="0"/>
          <w:marRight w:val="0"/>
          <w:marTop w:val="0"/>
          <w:marBottom w:val="0"/>
          <w:divBdr>
            <w:top w:val="none" w:sz="0" w:space="0" w:color="auto"/>
            <w:left w:val="none" w:sz="0" w:space="0" w:color="auto"/>
            <w:bottom w:val="none" w:sz="0" w:space="0" w:color="auto"/>
            <w:right w:val="none" w:sz="0" w:space="0" w:color="auto"/>
          </w:divBdr>
          <w:divsChild>
            <w:div w:id="1737315066">
              <w:marLeft w:val="0"/>
              <w:marRight w:val="0"/>
              <w:marTop w:val="0"/>
              <w:marBottom w:val="0"/>
              <w:divBdr>
                <w:top w:val="none" w:sz="0" w:space="0" w:color="auto"/>
                <w:left w:val="none" w:sz="0" w:space="0" w:color="auto"/>
                <w:bottom w:val="none" w:sz="0" w:space="0" w:color="auto"/>
                <w:right w:val="none" w:sz="0" w:space="0" w:color="auto"/>
              </w:divBdr>
              <w:divsChild>
                <w:div w:id="1178036080">
                  <w:marLeft w:val="0"/>
                  <w:marRight w:val="0"/>
                  <w:marTop w:val="0"/>
                  <w:marBottom w:val="0"/>
                  <w:divBdr>
                    <w:top w:val="none" w:sz="0" w:space="0" w:color="auto"/>
                    <w:left w:val="none" w:sz="0" w:space="0" w:color="auto"/>
                    <w:bottom w:val="none" w:sz="0" w:space="0" w:color="auto"/>
                    <w:right w:val="none" w:sz="0" w:space="0" w:color="auto"/>
                  </w:divBdr>
                  <w:divsChild>
                    <w:div w:id="1725637663">
                      <w:marLeft w:val="0"/>
                      <w:marRight w:val="0"/>
                      <w:marTop w:val="0"/>
                      <w:marBottom w:val="0"/>
                      <w:divBdr>
                        <w:top w:val="none" w:sz="0" w:space="0" w:color="auto"/>
                        <w:left w:val="none" w:sz="0" w:space="0" w:color="auto"/>
                        <w:bottom w:val="none" w:sz="0" w:space="0" w:color="auto"/>
                        <w:right w:val="none" w:sz="0" w:space="0" w:color="auto"/>
                      </w:divBdr>
                      <w:divsChild>
                        <w:div w:id="1472868498">
                          <w:marLeft w:val="0"/>
                          <w:marRight w:val="0"/>
                          <w:marTop w:val="0"/>
                          <w:marBottom w:val="0"/>
                          <w:divBdr>
                            <w:top w:val="none" w:sz="0" w:space="0" w:color="auto"/>
                            <w:left w:val="none" w:sz="0" w:space="0" w:color="auto"/>
                            <w:bottom w:val="none" w:sz="0" w:space="0" w:color="auto"/>
                            <w:right w:val="none" w:sz="0" w:space="0" w:color="auto"/>
                          </w:divBdr>
                          <w:divsChild>
                            <w:div w:id="30659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637763">
      <w:bodyDiv w:val="1"/>
      <w:marLeft w:val="0"/>
      <w:marRight w:val="0"/>
      <w:marTop w:val="0"/>
      <w:marBottom w:val="0"/>
      <w:divBdr>
        <w:top w:val="none" w:sz="0" w:space="0" w:color="auto"/>
        <w:left w:val="none" w:sz="0" w:space="0" w:color="auto"/>
        <w:bottom w:val="none" w:sz="0" w:space="0" w:color="auto"/>
        <w:right w:val="none" w:sz="0" w:space="0" w:color="auto"/>
      </w:divBdr>
    </w:div>
    <w:div w:id="629092118">
      <w:bodyDiv w:val="1"/>
      <w:marLeft w:val="0"/>
      <w:marRight w:val="0"/>
      <w:marTop w:val="0"/>
      <w:marBottom w:val="0"/>
      <w:divBdr>
        <w:top w:val="none" w:sz="0" w:space="0" w:color="auto"/>
        <w:left w:val="none" w:sz="0" w:space="0" w:color="auto"/>
        <w:bottom w:val="none" w:sz="0" w:space="0" w:color="auto"/>
        <w:right w:val="none" w:sz="0" w:space="0" w:color="auto"/>
      </w:divBdr>
      <w:divsChild>
        <w:div w:id="2034111730">
          <w:marLeft w:val="0"/>
          <w:marRight w:val="0"/>
          <w:marTop w:val="0"/>
          <w:marBottom w:val="0"/>
          <w:divBdr>
            <w:top w:val="none" w:sz="0" w:space="0" w:color="auto"/>
            <w:left w:val="none" w:sz="0" w:space="0" w:color="auto"/>
            <w:bottom w:val="none" w:sz="0" w:space="0" w:color="auto"/>
            <w:right w:val="none" w:sz="0" w:space="0" w:color="auto"/>
          </w:divBdr>
          <w:divsChild>
            <w:div w:id="671682424">
              <w:marLeft w:val="0"/>
              <w:marRight w:val="0"/>
              <w:marTop w:val="0"/>
              <w:marBottom w:val="0"/>
              <w:divBdr>
                <w:top w:val="none" w:sz="0" w:space="0" w:color="auto"/>
                <w:left w:val="none" w:sz="0" w:space="0" w:color="auto"/>
                <w:bottom w:val="none" w:sz="0" w:space="0" w:color="auto"/>
                <w:right w:val="none" w:sz="0" w:space="0" w:color="auto"/>
              </w:divBdr>
              <w:divsChild>
                <w:div w:id="830025078">
                  <w:marLeft w:val="0"/>
                  <w:marRight w:val="0"/>
                  <w:marTop w:val="0"/>
                  <w:marBottom w:val="0"/>
                  <w:divBdr>
                    <w:top w:val="none" w:sz="0" w:space="0" w:color="auto"/>
                    <w:left w:val="none" w:sz="0" w:space="0" w:color="auto"/>
                    <w:bottom w:val="none" w:sz="0" w:space="0" w:color="auto"/>
                    <w:right w:val="none" w:sz="0" w:space="0" w:color="auto"/>
                  </w:divBdr>
                  <w:divsChild>
                    <w:div w:id="1756704843">
                      <w:marLeft w:val="0"/>
                      <w:marRight w:val="0"/>
                      <w:marTop w:val="0"/>
                      <w:marBottom w:val="0"/>
                      <w:divBdr>
                        <w:top w:val="none" w:sz="0" w:space="0" w:color="auto"/>
                        <w:left w:val="none" w:sz="0" w:space="0" w:color="auto"/>
                        <w:bottom w:val="none" w:sz="0" w:space="0" w:color="auto"/>
                        <w:right w:val="none" w:sz="0" w:space="0" w:color="auto"/>
                      </w:divBdr>
                      <w:divsChild>
                        <w:div w:id="874930729">
                          <w:marLeft w:val="0"/>
                          <w:marRight w:val="0"/>
                          <w:marTop w:val="0"/>
                          <w:marBottom w:val="0"/>
                          <w:divBdr>
                            <w:top w:val="none" w:sz="0" w:space="0" w:color="auto"/>
                            <w:left w:val="none" w:sz="0" w:space="0" w:color="auto"/>
                            <w:bottom w:val="none" w:sz="0" w:space="0" w:color="auto"/>
                            <w:right w:val="none" w:sz="0" w:space="0" w:color="auto"/>
                          </w:divBdr>
                          <w:divsChild>
                            <w:div w:id="1307010303">
                              <w:marLeft w:val="0"/>
                              <w:marRight w:val="0"/>
                              <w:marTop w:val="0"/>
                              <w:marBottom w:val="0"/>
                              <w:divBdr>
                                <w:top w:val="none" w:sz="0" w:space="0" w:color="auto"/>
                                <w:left w:val="none" w:sz="0" w:space="0" w:color="auto"/>
                                <w:bottom w:val="none" w:sz="0" w:space="0" w:color="auto"/>
                                <w:right w:val="none" w:sz="0" w:space="0" w:color="auto"/>
                              </w:divBdr>
                              <w:divsChild>
                                <w:div w:id="125002878">
                                  <w:marLeft w:val="0"/>
                                  <w:marRight w:val="0"/>
                                  <w:marTop w:val="0"/>
                                  <w:marBottom w:val="0"/>
                                  <w:divBdr>
                                    <w:top w:val="none" w:sz="0" w:space="0" w:color="auto"/>
                                    <w:left w:val="none" w:sz="0" w:space="0" w:color="auto"/>
                                    <w:bottom w:val="none" w:sz="0" w:space="0" w:color="auto"/>
                                    <w:right w:val="none" w:sz="0" w:space="0" w:color="auto"/>
                                  </w:divBdr>
                                </w:div>
                                <w:div w:id="19584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89750">
                          <w:marLeft w:val="0"/>
                          <w:marRight w:val="0"/>
                          <w:marTop w:val="0"/>
                          <w:marBottom w:val="0"/>
                          <w:divBdr>
                            <w:top w:val="none" w:sz="0" w:space="0" w:color="auto"/>
                            <w:left w:val="none" w:sz="0" w:space="0" w:color="auto"/>
                            <w:bottom w:val="none" w:sz="0" w:space="0" w:color="auto"/>
                            <w:right w:val="none" w:sz="0" w:space="0" w:color="auto"/>
                          </w:divBdr>
                          <w:divsChild>
                            <w:div w:id="553931260">
                              <w:marLeft w:val="0"/>
                              <w:marRight w:val="0"/>
                              <w:marTop w:val="0"/>
                              <w:marBottom w:val="0"/>
                              <w:divBdr>
                                <w:top w:val="none" w:sz="0" w:space="0" w:color="auto"/>
                                <w:left w:val="none" w:sz="0" w:space="0" w:color="auto"/>
                                <w:bottom w:val="none" w:sz="0" w:space="0" w:color="auto"/>
                                <w:right w:val="none" w:sz="0" w:space="0" w:color="auto"/>
                              </w:divBdr>
                            </w:div>
                            <w:div w:id="998579290">
                              <w:marLeft w:val="0"/>
                              <w:marRight w:val="0"/>
                              <w:marTop w:val="0"/>
                              <w:marBottom w:val="0"/>
                              <w:divBdr>
                                <w:top w:val="none" w:sz="0" w:space="0" w:color="auto"/>
                                <w:left w:val="none" w:sz="0" w:space="0" w:color="auto"/>
                                <w:bottom w:val="none" w:sz="0" w:space="0" w:color="auto"/>
                                <w:right w:val="none" w:sz="0" w:space="0" w:color="auto"/>
                              </w:divBdr>
                              <w:divsChild>
                                <w:div w:id="888221254">
                                  <w:marLeft w:val="0"/>
                                  <w:marRight w:val="0"/>
                                  <w:marTop w:val="0"/>
                                  <w:marBottom w:val="0"/>
                                  <w:divBdr>
                                    <w:top w:val="none" w:sz="0" w:space="0" w:color="auto"/>
                                    <w:left w:val="none" w:sz="0" w:space="0" w:color="auto"/>
                                    <w:bottom w:val="none" w:sz="0" w:space="0" w:color="auto"/>
                                    <w:right w:val="none" w:sz="0" w:space="0" w:color="auto"/>
                                  </w:divBdr>
                                  <w:divsChild>
                                    <w:div w:id="933132678">
                                      <w:marLeft w:val="0"/>
                                      <w:marRight w:val="0"/>
                                      <w:marTop w:val="0"/>
                                      <w:marBottom w:val="0"/>
                                      <w:divBdr>
                                        <w:top w:val="none" w:sz="0" w:space="0" w:color="auto"/>
                                        <w:left w:val="none" w:sz="0" w:space="0" w:color="auto"/>
                                        <w:bottom w:val="none" w:sz="0" w:space="0" w:color="auto"/>
                                        <w:right w:val="none" w:sz="0" w:space="0" w:color="auto"/>
                                      </w:divBdr>
                                      <w:divsChild>
                                        <w:div w:id="1246765897">
                                          <w:marLeft w:val="0"/>
                                          <w:marRight w:val="0"/>
                                          <w:marTop w:val="0"/>
                                          <w:marBottom w:val="0"/>
                                          <w:divBdr>
                                            <w:top w:val="none" w:sz="0" w:space="0" w:color="auto"/>
                                            <w:left w:val="none" w:sz="0" w:space="0" w:color="auto"/>
                                            <w:bottom w:val="none" w:sz="0" w:space="0" w:color="auto"/>
                                            <w:right w:val="none" w:sz="0" w:space="0" w:color="auto"/>
                                          </w:divBdr>
                                          <w:divsChild>
                                            <w:div w:id="34078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64878">
                                      <w:marLeft w:val="0"/>
                                      <w:marRight w:val="0"/>
                                      <w:marTop w:val="0"/>
                                      <w:marBottom w:val="0"/>
                                      <w:divBdr>
                                        <w:top w:val="none" w:sz="0" w:space="0" w:color="auto"/>
                                        <w:left w:val="none" w:sz="0" w:space="0" w:color="auto"/>
                                        <w:bottom w:val="none" w:sz="0" w:space="0" w:color="auto"/>
                                        <w:right w:val="none" w:sz="0" w:space="0" w:color="auto"/>
                                      </w:divBdr>
                                      <w:divsChild>
                                        <w:div w:id="1041322699">
                                          <w:marLeft w:val="0"/>
                                          <w:marRight w:val="0"/>
                                          <w:marTop w:val="63"/>
                                          <w:marBottom w:val="125"/>
                                          <w:divBdr>
                                            <w:top w:val="none" w:sz="0" w:space="0" w:color="auto"/>
                                            <w:left w:val="none" w:sz="0" w:space="0" w:color="auto"/>
                                            <w:bottom w:val="none" w:sz="0" w:space="0" w:color="auto"/>
                                            <w:right w:val="none" w:sz="0" w:space="0" w:color="auto"/>
                                          </w:divBdr>
                                          <w:divsChild>
                                            <w:div w:id="2072775512">
                                              <w:marLeft w:val="38"/>
                                              <w:marRight w:val="0"/>
                                              <w:marTop w:val="0"/>
                                              <w:marBottom w:val="38"/>
                                              <w:divBdr>
                                                <w:top w:val="none" w:sz="0" w:space="0" w:color="auto"/>
                                                <w:left w:val="none" w:sz="0" w:space="0" w:color="auto"/>
                                                <w:bottom w:val="none" w:sz="0" w:space="0" w:color="auto"/>
                                                <w:right w:val="none" w:sz="0" w:space="0" w:color="auto"/>
                                              </w:divBdr>
                                            </w:div>
                                          </w:divsChild>
                                        </w:div>
                                        <w:div w:id="114565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933591">
                              <w:marLeft w:val="0"/>
                              <w:marRight w:val="0"/>
                              <w:marTop w:val="0"/>
                              <w:marBottom w:val="0"/>
                              <w:divBdr>
                                <w:top w:val="none" w:sz="0" w:space="0" w:color="auto"/>
                                <w:left w:val="none" w:sz="0" w:space="0" w:color="auto"/>
                                <w:bottom w:val="none" w:sz="0" w:space="0" w:color="auto"/>
                                <w:right w:val="none" w:sz="0" w:space="0" w:color="auto"/>
                              </w:divBdr>
                              <w:divsChild>
                                <w:div w:id="902253409">
                                  <w:marLeft w:val="0"/>
                                  <w:marRight w:val="0"/>
                                  <w:marTop w:val="0"/>
                                  <w:marBottom w:val="0"/>
                                  <w:divBdr>
                                    <w:top w:val="none" w:sz="0" w:space="0" w:color="auto"/>
                                    <w:left w:val="none" w:sz="0" w:space="0" w:color="auto"/>
                                    <w:bottom w:val="none" w:sz="0" w:space="0" w:color="auto"/>
                                    <w:right w:val="none" w:sz="0" w:space="0" w:color="auto"/>
                                  </w:divBdr>
                                  <w:divsChild>
                                    <w:div w:id="29690615">
                                      <w:marLeft w:val="0"/>
                                      <w:marRight w:val="0"/>
                                      <w:marTop w:val="0"/>
                                      <w:marBottom w:val="0"/>
                                      <w:divBdr>
                                        <w:top w:val="none" w:sz="0" w:space="0" w:color="auto"/>
                                        <w:left w:val="none" w:sz="0" w:space="0" w:color="auto"/>
                                        <w:bottom w:val="none" w:sz="0" w:space="0" w:color="auto"/>
                                        <w:right w:val="none" w:sz="0" w:space="0" w:color="auto"/>
                                      </w:divBdr>
                                      <w:divsChild>
                                        <w:div w:id="9791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849801">
      <w:bodyDiv w:val="1"/>
      <w:marLeft w:val="0"/>
      <w:marRight w:val="0"/>
      <w:marTop w:val="0"/>
      <w:marBottom w:val="0"/>
      <w:divBdr>
        <w:top w:val="none" w:sz="0" w:space="0" w:color="auto"/>
        <w:left w:val="none" w:sz="0" w:space="0" w:color="auto"/>
        <w:bottom w:val="none" w:sz="0" w:space="0" w:color="auto"/>
        <w:right w:val="none" w:sz="0" w:space="0" w:color="auto"/>
      </w:divBdr>
      <w:divsChild>
        <w:div w:id="1329670985">
          <w:marLeft w:val="0"/>
          <w:marRight w:val="0"/>
          <w:marTop w:val="0"/>
          <w:marBottom w:val="0"/>
          <w:divBdr>
            <w:top w:val="none" w:sz="0" w:space="0" w:color="auto"/>
            <w:left w:val="none" w:sz="0" w:space="0" w:color="auto"/>
            <w:bottom w:val="none" w:sz="0" w:space="0" w:color="auto"/>
            <w:right w:val="none" w:sz="0" w:space="0" w:color="auto"/>
          </w:divBdr>
        </w:div>
      </w:divsChild>
    </w:div>
    <w:div w:id="922178500">
      <w:bodyDiv w:val="1"/>
      <w:marLeft w:val="0"/>
      <w:marRight w:val="0"/>
      <w:marTop w:val="0"/>
      <w:marBottom w:val="0"/>
      <w:divBdr>
        <w:top w:val="none" w:sz="0" w:space="0" w:color="auto"/>
        <w:left w:val="none" w:sz="0" w:space="0" w:color="auto"/>
        <w:bottom w:val="none" w:sz="0" w:space="0" w:color="auto"/>
        <w:right w:val="none" w:sz="0" w:space="0" w:color="auto"/>
      </w:divBdr>
    </w:div>
    <w:div w:id="964118924">
      <w:bodyDiv w:val="1"/>
      <w:marLeft w:val="0"/>
      <w:marRight w:val="0"/>
      <w:marTop w:val="0"/>
      <w:marBottom w:val="0"/>
      <w:divBdr>
        <w:top w:val="none" w:sz="0" w:space="0" w:color="auto"/>
        <w:left w:val="none" w:sz="0" w:space="0" w:color="auto"/>
        <w:bottom w:val="none" w:sz="0" w:space="0" w:color="auto"/>
        <w:right w:val="none" w:sz="0" w:space="0" w:color="auto"/>
      </w:divBdr>
    </w:div>
    <w:div w:id="1109197234">
      <w:bodyDiv w:val="1"/>
      <w:marLeft w:val="0"/>
      <w:marRight w:val="0"/>
      <w:marTop w:val="0"/>
      <w:marBottom w:val="0"/>
      <w:divBdr>
        <w:top w:val="none" w:sz="0" w:space="0" w:color="auto"/>
        <w:left w:val="none" w:sz="0" w:space="0" w:color="auto"/>
        <w:bottom w:val="none" w:sz="0" w:space="0" w:color="auto"/>
        <w:right w:val="none" w:sz="0" w:space="0" w:color="auto"/>
      </w:divBdr>
    </w:div>
    <w:div w:id="1174951611">
      <w:bodyDiv w:val="1"/>
      <w:marLeft w:val="0"/>
      <w:marRight w:val="0"/>
      <w:marTop w:val="0"/>
      <w:marBottom w:val="0"/>
      <w:divBdr>
        <w:top w:val="none" w:sz="0" w:space="0" w:color="auto"/>
        <w:left w:val="none" w:sz="0" w:space="0" w:color="auto"/>
        <w:bottom w:val="none" w:sz="0" w:space="0" w:color="auto"/>
        <w:right w:val="none" w:sz="0" w:space="0" w:color="auto"/>
      </w:divBdr>
    </w:div>
    <w:div w:id="1179854864">
      <w:bodyDiv w:val="1"/>
      <w:marLeft w:val="0"/>
      <w:marRight w:val="0"/>
      <w:marTop w:val="0"/>
      <w:marBottom w:val="0"/>
      <w:divBdr>
        <w:top w:val="none" w:sz="0" w:space="0" w:color="auto"/>
        <w:left w:val="none" w:sz="0" w:space="0" w:color="auto"/>
        <w:bottom w:val="none" w:sz="0" w:space="0" w:color="auto"/>
        <w:right w:val="none" w:sz="0" w:space="0" w:color="auto"/>
      </w:divBdr>
    </w:div>
    <w:div w:id="1237203598">
      <w:bodyDiv w:val="1"/>
      <w:marLeft w:val="0"/>
      <w:marRight w:val="0"/>
      <w:marTop w:val="0"/>
      <w:marBottom w:val="0"/>
      <w:divBdr>
        <w:top w:val="none" w:sz="0" w:space="0" w:color="auto"/>
        <w:left w:val="none" w:sz="0" w:space="0" w:color="auto"/>
        <w:bottom w:val="none" w:sz="0" w:space="0" w:color="auto"/>
        <w:right w:val="none" w:sz="0" w:space="0" w:color="auto"/>
      </w:divBdr>
    </w:div>
    <w:div w:id="1518350429">
      <w:bodyDiv w:val="1"/>
      <w:marLeft w:val="0"/>
      <w:marRight w:val="0"/>
      <w:marTop w:val="0"/>
      <w:marBottom w:val="0"/>
      <w:divBdr>
        <w:top w:val="none" w:sz="0" w:space="0" w:color="auto"/>
        <w:left w:val="none" w:sz="0" w:space="0" w:color="auto"/>
        <w:bottom w:val="none" w:sz="0" w:space="0" w:color="auto"/>
        <w:right w:val="none" w:sz="0" w:space="0" w:color="auto"/>
      </w:divBdr>
      <w:divsChild>
        <w:div w:id="341862482">
          <w:marLeft w:val="0"/>
          <w:marRight w:val="0"/>
          <w:marTop w:val="0"/>
          <w:marBottom w:val="0"/>
          <w:divBdr>
            <w:top w:val="none" w:sz="0" w:space="0" w:color="auto"/>
            <w:left w:val="none" w:sz="0" w:space="0" w:color="auto"/>
            <w:bottom w:val="none" w:sz="0" w:space="0" w:color="auto"/>
            <w:right w:val="none" w:sz="0" w:space="0" w:color="auto"/>
          </w:divBdr>
        </w:div>
        <w:div w:id="828135150">
          <w:marLeft w:val="0"/>
          <w:marRight w:val="0"/>
          <w:marTop w:val="0"/>
          <w:marBottom w:val="0"/>
          <w:divBdr>
            <w:top w:val="none" w:sz="0" w:space="0" w:color="auto"/>
            <w:left w:val="none" w:sz="0" w:space="0" w:color="auto"/>
            <w:bottom w:val="none" w:sz="0" w:space="0" w:color="auto"/>
            <w:right w:val="none" w:sz="0" w:space="0" w:color="auto"/>
          </w:divBdr>
        </w:div>
        <w:div w:id="1504123701">
          <w:marLeft w:val="0"/>
          <w:marRight w:val="0"/>
          <w:marTop w:val="0"/>
          <w:marBottom w:val="0"/>
          <w:divBdr>
            <w:top w:val="none" w:sz="0" w:space="0" w:color="auto"/>
            <w:left w:val="none" w:sz="0" w:space="0" w:color="auto"/>
            <w:bottom w:val="none" w:sz="0" w:space="0" w:color="auto"/>
            <w:right w:val="none" w:sz="0" w:space="0" w:color="auto"/>
          </w:divBdr>
        </w:div>
      </w:divsChild>
    </w:div>
    <w:div w:id="1785298700">
      <w:bodyDiv w:val="1"/>
      <w:marLeft w:val="0"/>
      <w:marRight w:val="0"/>
      <w:marTop w:val="0"/>
      <w:marBottom w:val="0"/>
      <w:divBdr>
        <w:top w:val="none" w:sz="0" w:space="0" w:color="auto"/>
        <w:left w:val="none" w:sz="0" w:space="0" w:color="auto"/>
        <w:bottom w:val="none" w:sz="0" w:space="0" w:color="auto"/>
        <w:right w:val="none" w:sz="0" w:space="0" w:color="auto"/>
      </w:divBdr>
      <w:divsChild>
        <w:div w:id="1884903456">
          <w:marLeft w:val="0"/>
          <w:marRight w:val="0"/>
          <w:marTop w:val="0"/>
          <w:marBottom w:val="0"/>
          <w:divBdr>
            <w:top w:val="none" w:sz="0" w:space="0" w:color="auto"/>
            <w:left w:val="none" w:sz="0" w:space="0" w:color="auto"/>
            <w:bottom w:val="none" w:sz="0" w:space="0" w:color="auto"/>
            <w:right w:val="none" w:sz="0" w:space="0" w:color="auto"/>
          </w:divBdr>
        </w:div>
      </w:divsChild>
    </w:div>
    <w:div w:id="1835026001">
      <w:bodyDiv w:val="1"/>
      <w:marLeft w:val="0"/>
      <w:marRight w:val="0"/>
      <w:marTop w:val="0"/>
      <w:marBottom w:val="0"/>
      <w:divBdr>
        <w:top w:val="none" w:sz="0" w:space="0" w:color="auto"/>
        <w:left w:val="none" w:sz="0" w:space="0" w:color="auto"/>
        <w:bottom w:val="none" w:sz="0" w:space="0" w:color="auto"/>
        <w:right w:val="none" w:sz="0" w:space="0" w:color="auto"/>
      </w:divBdr>
    </w:div>
    <w:div w:id="1836722180">
      <w:bodyDiv w:val="1"/>
      <w:marLeft w:val="0"/>
      <w:marRight w:val="0"/>
      <w:marTop w:val="0"/>
      <w:marBottom w:val="0"/>
      <w:divBdr>
        <w:top w:val="none" w:sz="0" w:space="0" w:color="auto"/>
        <w:left w:val="none" w:sz="0" w:space="0" w:color="auto"/>
        <w:bottom w:val="none" w:sz="0" w:space="0" w:color="auto"/>
        <w:right w:val="none" w:sz="0" w:space="0" w:color="auto"/>
      </w:divBdr>
    </w:div>
    <w:div w:id="1954750786">
      <w:bodyDiv w:val="1"/>
      <w:marLeft w:val="0"/>
      <w:marRight w:val="0"/>
      <w:marTop w:val="0"/>
      <w:marBottom w:val="0"/>
      <w:divBdr>
        <w:top w:val="none" w:sz="0" w:space="0" w:color="auto"/>
        <w:left w:val="none" w:sz="0" w:space="0" w:color="auto"/>
        <w:bottom w:val="none" w:sz="0" w:space="0" w:color="auto"/>
        <w:right w:val="none" w:sz="0" w:space="0" w:color="auto"/>
      </w:divBdr>
    </w:div>
    <w:div w:id="208857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kumi.lv/ta/id/278921"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likumi.lv/ta/id/269907-publiskas-personas-kapitala-dalu-un-kapitalsabiedribu-parvaldibas-likum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ikumi.lv/ta/id/27892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269907-publiskas-personas-kapitala-dalu-un-kapitalsabiedribu-parvaldibas-likums" TargetMode="External"/><Relationship Id="rId5" Type="http://schemas.openxmlformats.org/officeDocument/2006/relationships/settings" Target="settings.xml"/><Relationship Id="rId15" Type="http://schemas.openxmlformats.org/officeDocument/2006/relationships/hyperlink" Target="http://likumi.lv/ta/id/269907-publiskas-personas-kapitala-dalu-un-kapitalsabiedribu-parvaldibas-likums" TargetMode="External"/><Relationship Id="rId10" Type="http://schemas.openxmlformats.org/officeDocument/2006/relationships/hyperlink" Target="http://likumi.lv/ta/id/269907-publiskas-personas-kapitala-dalu-un-kapitalsabiedribu-parvaldibas-likums"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likumi.lv/ta/id/269907-publiskas-personas-kapitala-dalu-un-kapitalsabiedribu-parvaldibas-likums" TargetMode="External"/><Relationship Id="rId14" Type="http://schemas.openxmlformats.org/officeDocument/2006/relationships/hyperlink" Target="http://likumi.lv/ta/id/269907-publiskas-personas-kapitala-dalu-un-kapitalsabiedribu-parvaldibas-likum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898C8-1FE3-4000-9292-11758CCC5F86}">
  <ds:schemaRefs>
    <ds:schemaRef ds:uri="http://schemas.openxmlformats.org/officeDocument/2006/bibliography"/>
  </ds:schemaRefs>
</ds:datastoreItem>
</file>

<file path=customXml/itemProps2.xml><?xml version="1.0" encoding="utf-8"?>
<ds:datastoreItem xmlns:ds="http://schemas.openxmlformats.org/officeDocument/2006/customXml" ds:itemID="{8C2AA40A-92C1-4202-B8CA-46976B27C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1720</Words>
  <Characters>12456</Characters>
  <Application>Microsoft Office Word</Application>
  <DocSecurity>0</DocSecurity>
  <Lines>103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valstij dividendēs izmaksājamo valsts akciju sabiedrības "Ceļu satiksmes drošības direkcija" peļņas daļu par 2019.gadu” sākotnējās ietekmes novērtējuma ziņojums (anotācija)</vt:lpstr>
      <vt:lpstr>MMinistru kabineta rīkojuma projekta „Par valstij dividendēs izmaksājamo valsts akciju sabiedrības "Latvijas autoceļu uzturētājs" peļņas daļu par 2017.gadu” sākotnējās ietekmes novērtējuma ziņojums (anotācija)</vt:lpstr>
    </vt:vector>
  </TitlesOfParts>
  <Manager>L.Pūce</Manager>
  <Company>Satiksmes ministrija</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valstij dividendēs izmaksājamo valsts akciju sabiedrības "Ceļu satiksmes drošības direkcija" peļņas daļu par 2019.gadu” sākotnējās ietekmes novērtējuma ziņojums (anotācija)</dc:title>
  <dc:subject>Anotācija</dc:subject>
  <dc:creator>R.Nīmanis</dc:creator>
  <dc:description>67025719; reinis.nimaniss@csdd.gov.lv_x000d_
67028237; Linda.Puce@sam.gov.lv</dc:description>
  <cp:lastModifiedBy>Īrisa Kalniņa</cp:lastModifiedBy>
  <cp:revision>5</cp:revision>
  <cp:lastPrinted>2020-08-18T08:15:00Z</cp:lastPrinted>
  <dcterms:created xsi:type="dcterms:W3CDTF">2020-09-25T09:47:00Z</dcterms:created>
  <dcterms:modified xsi:type="dcterms:W3CDTF">2020-09-29T08:59:00Z</dcterms:modified>
</cp:coreProperties>
</file>