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5BBA" w:rsidR="00E13162" w:rsidP="00E13162" w:rsidRDefault="00E13162" w14:paraId="495724AA" w14:textId="77777777">
      <w:pPr>
        <w:pStyle w:val="naisnod"/>
        <w:spacing w:before="0" w:after="0"/>
        <w:ind w:firstLine="720"/>
        <w:rPr>
          <w:color w:val="000000" w:themeColor="text1"/>
          <w:sz w:val="28"/>
          <w:szCs w:val="28"/>
        </w:rPr>
      </w:pPr>
      <w:r w:rsidRPr="001E5BBA">
        <w:rPr>
          <w:color w:val="000000" w:themeColor="text1"/>
          <w:sz w:val="28"/>
          <w:szCs w:val="28"/>
        </w:rPr>
        <w:t>Izziņa par atzinum</w:t>
      </w:r>
      <w:r>
        <w:rPr>
          <w:color w:val="000000" w:themeColor="text1"/>
          <w:sz w:val="28"/>
          <w:szCs w:val="28"/>
        </w:rPr>
        <w:t>os</w:t>
      </w:r>
      <w:r w:rsidRPr="001E5BBA">
        <w:rPr>
          <w:color w:val="000000" w:themeColor="text1"/>
          <w:sz w:val="28"/>
          <w:szCs w:val="28"/>
        </w:rPr>
        <w:t xml:space="preserve"> sniegtajiem iebildumiem</w:t>
      </w:r>
    </w:p>
    <w:p w:rsidRPr="001E5BBA" w:rsidR="00E13162" w:rsidP="00E13162" w:rsidRDefault="00E13162" w14:paraId="2F266A98"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Pr="001E5BBA" w:rsidR="00E13162" w:rsidTr="00B00685" w14:paraId="55E451C6" w14:textId="77777777">
        <w:trPr>
          <w:jc w:val="center"/>
        </w:trPr>
        <w:tc>
          <w:tcPr>
            <w:tcW w:w="10188" w:type="dxa"/>
          </w:tcPr>
          <w:p w:rsidR="00E13162" w:rsidP="00B00685" w:rsidRDefault="00E13162" w14:paraId="7AB030D2" w14:textId="08FC39C4">
            <w:pPr>
              <w:spacing w:after="0"/>
              <w:ind w:firstLine="720"/>
              <w:jc w:val="center"/>
              <w:rPr>
                <w:sz w:val="28"/>
                <w:szCs w:val="28"/>
              </w:rPr>
            </w:pPr>
            <w:r w:rsidRPr="00535935">
              <w:rPr>
                <w:sz w:val="28"/>
                <w:szCs w:val="28"/>
              </w:rPr>
              <w:t>Ministru kabineta rīkojuma projekt</w:t>
            </w:r>
            <w:r w:rsidR="002A2E5E">
              <w:rPr>
                <w:sz w:val="28"/>
                <w:szCs w:val="28"/>
              </w:rPr>
              <w:t>am</w:t>
            </w:r>
            <w:r w:rsidRPr="00535935">
              <w:rPr>
                <w:sz w:val="28"/>
                <w:szCs w:val="28"/>
              </w:rPr>
              <w:t xml:space="preserve"> </w:t>
            </w:r>
          </w:p>
          <w:p w:rsidR="00E13162" w:rsidP="00B00685" w:rsidRDefault="00E13162" w14:paraId="49C93385" w14:textId="77777777">
            <w:pPr>
              <w:spacing w:after="0"/>
              <w:ind w:firstLine="720"/>
              <w:jc w:val="center"/>
              <w:rPr>
                <w:sz w:val="28"/>
                <w:szCs w:val="28"/>
              </w:rPr>
            </w:pPr>
          </w:p>
          <w:p w:rsidRPr="001E5BBA" w:rsidR="00E13162" w:rsidP="00B00685" w:rsidRDefault="00E13162" w14:paraId="389F64A1" w14:textId="544DDAA1">
            <w:pPr>
              <w:spacing w:after="0"/>
              <w:ind w:firstLine="720"/>
              <w:jc w:val="center"/>
              <w:rPr>
                <w:color w:val="000000" w:themeColor="text1"/>
                <w:sz w:val="28"/>
                <w:szCs w:val="28"/>
              </w:rPr>
            </w:pPr>
            <w:r>
              <w:rPr>
                <w:sz w:val="28"/>
                <w:szCs w:val="28"/>
              </w:rPr>
              <w:t>“</w:t>
            </w:r>
            <w:r w:rsidRPr="00C22386">
              <w:rPr>
                <w:sz w:val="28"/>
                <w:szCs w:val="28"/>
              </w:rPr>
              <w:t>Par pievienotās vērtības nodokļa summas, kas nav atgūstama kā priekšnodoklis, kompensēšanu Igaunijas Republikai un Lietuvas Republikai akciju sabiedrības “RB Rail” veikto aktivitāšu ietvaros</w:t>
            </w:r>
            <w:r>
              <w:rPr>
                <w:sz w:val="28"/>
                <w:szCs w:val="28"/>
              </w:rPr>
              <w:t>”</w:t>
            </w:r>
            <w:r w:rsidRPr="00C22386">
              <w:rPr>
                <w:sz w:val="28"/>
                <w:szCs w:val="28"/>
              </w:rPr>
              <w:t xml:space="preserve">  </w:t>
            </w:r>
          </w:p>
        </w:tc>
      </w:tr>
    </w:tbl>
    <w:p w:rsidRPr="001E5BBA" w:rsidR="00E13162" w:rsidP="00E13162" w:rsidRDefault="00E13162" w14:paraId="3321F83D" w14:textId="77777777">
      <w:pPr>
        <w:pStyle w:val="naisc"/>
        <w:spacing w:before="0" w:after="0"/>
        <w:ind w:firstLine="1080"/>
        <w:rPr>
          <w:color w:val="000000" w:themeColor="text1"/>
        </w:rPr>
      </w:pPr>
    </w:p>
    <w:p w:rsidRPr="001E5BBA" w:rsidR="00E13162" w:rsidP="00E13162" w:rsidRDefault="00E13162" w14:paraId="393D17CC" w14:textId="77777777">
      <w:pPr>
        <w:pStyle w:val="naisf"/>
        <w:spacing w:before="0" w:after="0"/>
        <w:ind w:firstLine="720"/>
        <w:rPr>
          <w:color w:val="000000" w:themeColor="text1"/>
        </w:rPr>
      </w:pPr>
    </w:p>
    <w:p w:rsidRPr="001E5BBA" w:rsidR="00E13162" w:rsidP="00E13162" w:rsidRDefault="00E13162" w14:paraId="77C6CC91" w14:textId="77777777">
      <w:pPr>
        <w:pStyle w:val="naisf"/>
        <w:spacing w:before="0" w:after="0"/>
        <w:ind w:firstLine="0"/>
        <w:jc w:val="center"/>
        <w:rPr>
          <w:b/>
          <w:color w:val="000000" w:themeColor="text1"/>
        </w:rPr>
      </w:pPr>
      <w:r w:rsidRPr="001E5BBA">
        <w:rPr>
          <w:b/>
          <w:color w:val="000000" w:themeColor="text1"/>
        </w:rPr>
        <w:t>I. Jautājumi, par kuriem saskaņošanā vienošanās nav panākta</w:t>
      </w:r>
    </w:p>
    <w:p w:rsidRPr="001E5BBA" w:rsidR="00E13162" w:rsidP="00E13162" w:rsidRDefault="00E13162" w14:paraId="20A2C041" w14:textId="77777777">
      <w:pPr>
        <w:pStyle w:val="naisf"/>
        <w:spacing w:before="0" w:after="0"/>
        <w:ind w:firstLine="720"/>
        <w:rPr>
          <w:color w:val="000000" w:themeColor="text1"/>
        </w:rPr>
      </w:pPr>
    </w:p>
    <w:p w:rsidRPr="00115AE3" w:rsidR="00E13162" w:rsidP="00E13162" w:rsidRDefault="00E13162" w14:paraId="1EB62E8B" w14:textId="77777777">
      <w:pPr>
        <w:pStyle w:val="naisf"/>
        <w:spacing w:before="0" w:after="0"/>
        <w:ind w:firstLine="0"/>
        <w:rPr>
          <w:color w:val="000000" w:themeColor="text1"/>
        </w:rPr>
      </w:pPr>
    </w:p>
    <w:p w:rsidRPr="001E5BBA" w:rsidR="00E13162" w:rsidP="00E13162" w:rsidRDefault="00E13162" w14:paraId="4E24556D" w14:textId="77777777">
      <w:pPr>
        <w:pStyle w:val="naisf"/>
        <w:spacing w:before="0" w:after="0"/>
        <w:ind w:firstLine="0"/>
        <w:rPr>
          <w:b/>
          <w:color w:val="000000" w:themeColor="text1"/>
        </w:rPr>
      </w:pPr>
      <w:r w:rsidRPr="001E5BBA">
        <w:rPr>
          <w:b/>
          <w:color w:val="000000" w:themeColor="text1"/>
        </w:rPr>
        <w:t xml:space="preserve">Informācija par </w:t>
      </w:r>
      <w:proofErr w:type="spellStart"/>
      <w:r w:rsidRPr="001E5BBA">
        <w:rPr>
          <w:b/>
          <w:color w:val="000000" w:themeColor="text1"/>
        </w:rPr>
        <w:t>starpministriju</w:t>
      </w:r>
      <w:proofErr w:type="spellEnd"/>
      <w:r w:rsidRPr="001E5BBA">
        <w:rPr>
          <w:b/>
          <w:color w:val="000000" w:themeColor="text1"/>
        </w:rPr>
        <w:t xml:space="preserve"> (starpinstitūciju) sanāksmi vai </w:t>
      </w:r>
      <w:r w:rsidRPr="00F92857">
        <w:rPr>
          <w:b/>
          <w:color w:val="000000" w:themeColor="text1"/>
          <w:u w:val="single"/>
        </w:rPr>
        <w:t>elektronisko saskaņošanu</w:t>
      </w:r>
    </w:p>
    <w:p w:rsidRPr="001E5BBA" w:rsidR="00E13162" w:rsidP="00E13162" w:rsidRDefault="00E13162" w14:paraId="62EE02A6"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E13162" w:rsidTr="00B00685" w14:paraId="2FB1FE3E" w14:textId="77777777">
        <w:trPr>
          <w:gridAfter w:val="1"/>
          <w:wAfter w:w="236" w:type="dxa"/>
        </w:trPr>
        <w:tc>
          <w:tcPr>
            <w:tcW w:w="6016" w:type="dxa"/>
          </w:tcPr>
          <w:p w:rsidRPr="001E5BBA" w:rsidR="00E13162" w:rsidP="00B00685" w:rsidRDefault="00E13162" w14:paraId="5FE88227"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E13162" w:rsidP="00E0210E" w:rsidRDefault="00E13162" w14:paraId="75D608ED" w14:textId="1448D8B4">
            <w:pPr>
              <w:pStyle w:val="NormalWeb"/>
              <w:spacing w:after="0"/>
              <w:rPr>
                <w:color w:val="000000" w:themeColor="text1"/>
              </w:rPr>
            </w:pPr>
            <w:r>
              <w:rPr>
                <w:color w:val="000000" w:themeColor="text1"/>
              </w:rPr>
              <w:t>(</w:t>
            </w:r>
            <w:r w:rsidRPr="00E0210E" w:rsidR="00E0210E">
              <w:rPr>
                <w:color w:val="000000" w:themeColor="text1"/>
              </w:rPr>
              <w:t>17.06.</w:t>
            </w:r>
            <w:r w:rsidRPr="007E1AE1" w:rsidR="00E0210E">
              <w:rPr>
                <w:color w:val="000000" w:themeColor="text1"/>
              </w:rPr>
              <w:t>2020. –</w:t>
            </w:r>
            <w:r w:rsidRPr="007E1AE1" w:rsidR="002E5A59">
              <w:rPr>
                <w:color w:val="000000" w:themeColor="text1"/>
              </w:rPr>
              <w:t xml:space="preserve"> </w:t>
            </w:r>
            <w:r w:rsidR="00F91B45">
              <w:rPr>
                <w:color w:val="000000" w:themeColor="text1"/>
              </w:rPr>
              <w:t>22</w:t>
            </w:r>
            <w:r w:rsidRPr="007E1AE1" w:rsidR="002E5A59">
              <w:rPr>
                <w:color w:val="000000" w:themeColor="text1"/>
              </w:rPr>
              <w:t>.</w:t>
            </w:r>
            <w:r w:rsidRPr="007E1AE1" w:rsidR="00C52123">
              <w:rPr>
                <w:color w:val="000000" w:themeColor="text1"/>
              </w:rPr>
              <w:t>09</w:t>
            </w:r>
            <w:r w:rsidRPr="007E1AE1" w:rsidR="00E0210E">
              <w:rPr>
                <w:color w:val="000000" w:themeColor="text1"/>
              </w:rPr>
              <w:t>.2020</w:t>
            </w:r>
            <w:r w:rsidRPr="00E0210E" w:rsidR="00E0210E">
              <w:rPr>
                <w:color w:val="000000" w:themeColor="text1"/>
              </w:rPr>
              <w:t>.</w:t>
            </w:r>
            <w:r>
              <w:rPr>
                <w:color w:val="000000" w:themeColor="text1"/>
              </w:rPr>
              <w:t>) E</w:t>
            </w:r>
            <w:r w:rsidRPr="001E5BBA">
              <w:rPr>
                <w:color w:val="000000" w:themeColor="text1"/>
              </w:rPr>
              <w:t xml:space="preserve">lektroniskā </w:t>
            </w:r>
            <w:proofErr w:type="spellStart"/>
            <w:r w:rsidRPr="001E5BBA">
              <w:rPr>
                <w:color w:val="000000" w:themeColor="text1"/>
              </w:rPr>
              <w:t>starpministriju</w:t>
            </w:r>
            <w:proofErr w:type="spellEnd"/>
            <w:r>
              <w:rPr>
                <w:color w:val="000000" w:themeColor="text1"/>
              </w:rPr>
              <w:t>/starpinstitūciju</w:t>
            </w:r>
            <w:r w:rsidRPr="001E5BBA">
              <w:rPr>
                <w:color w:val="000000" w:themeColor="text1"/>
              </w:rPr>
              <w:t xml:space="preserve"> saskaņošana</w:t>
            </w:r>
          </w:p>
          <w:p w:rsidRPr="001E5BBA" w:rsidR="00E13162" w:rsidP="00B00685" w:rsidRDefault="00E13162" w14:paraId="2F21687B" w14:textId="77777777">
            <w:pPr>
              <w:pStyle w:val="NormalWeb"/>
              <w:spacing w:before="0" w:beforeAutospacing="0" w:after="0" w:afterAutospacing="0"/>
              <w:jc w:val="both"/>
              <w:rPr>
                <w:color w:val="000000" w:themeColor="text1"/>
              </w:rPr>
            </w:pPr>
          </w:p>
        </w:tc>
      </w:tr>
      <w:tr w:rsidRPr="001E5BBA" w:rsidR="00E13162" w:rsidTr="00B00685" w14:paraId="2345CCBF" w14:textId="77777777">
        <w:trPr>
          <w:gridAfter w:val="1"/>
          <w:wAfter w:w="236" w:type="dxa"/>
        </w:trPr>
        <w:tc>
          <w:tcPr>
            <w:tcW w:w="6016" w:type="dxa"/>
          </w:tcPr>
          <w:p w:rsidRPr="001E5BBA" w:rsidR="00E13162" w:rsidP="00B00685" w:rsidRDefault="00E13162" w14:paraId="5A7355E8" w14:textId="77777777">
            <w:pPr>
              <w:pStyle w:val="naisf"/>
              <w:spacing w:before="0" w:after="0"/>
              <w:ind w:firstLine="0"/>
              <w:rPr>
                <w:color w:val="000000" w:themeColor="text1"/>
              </w:rPr>
            </w:pPr>
          </w:p>
        </w:tc>
        <w:tc>
          <w:tcPr>
            <w:tcW w:w="6802" w:type="dxa"/>
            <w:gridSpan w:val="3"/>
            <w:tcBorders>
              <w:top w:val="single" w:color="auto" w:sz="4" w:space="0"/>
            </w:tcBorders>
          </w:tcPr>
          <w:p w:rsidRPr="001E5BBA" w:rsidR="00E13162" w:rsidP="00B00685" w:rsidRDefault="00E13162" w14:paraId="15B386C4" w14:textId="77777777">
            <w:pPr>
              <w:pStyle w:val="NormalWeb"/>
              <w:spacing w:before="0" w:beforeAutospacing="0" w:after="0" w:afterAutospacing="0"/>
              <w:ind w:firstLine="720"/>
              <w:rPr>
                <w:color w:val="000000" w:themeColor="text1"/>
              </w:rPr>
            </w:pPr>
          </w:p>
        </w:tc>
      </w:tr>
      <w:tr w:rsidRPr="001E5BBA" w:rsidR="00E13162" w:rsidTr="00B00685" w14:paraId="64B41129" w14:textId="77777777">
        <w:trPr>
          <w:gridAfter w:val="1"/>
          <w:wAfter w:w="236" w:type="dxa"/>
        </w:trPr>
        <w:tc>
          <w:tcPr>
            <w:tcW w:w="6016" w:type="dxa"/>
          </w:tcPr>
          <w:p w:rsidRPr="001E5BBA" w:rsidR="00E13162" w:rsidP="00B00685" w:rsidRDefault="00E13162" w14:paraId="47CC7010"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E13162" w:rsidP="00B00685" w:rsidRDefault="00E13162" w14:paraId="08F3E3E4" w14:textId="77777777">
            <w:pPr>
              <w:pStyle w:val="NormalWeb"/>
              <w:ind w:right="175"/>
              <w:jc w:val="both"/>
              <w:rPr>
                <w:color w:val="000000" w:themeColor="text1"/>
              </w:rPr>
            </w:pPr>
            <w:r w:rsidRPr="008B060E">
              <w:rPr>
                <w:color w:val="000000" w:themeColor="text1"/>
              </w:rPr>
              <w:t>Tieslietu ministrija, Finanšu ministrija</w:t>
            </w:r>
          </w:p>
          <w:p w:rsidRPr="008B060E" w:rsidR="00E13162" w:rsidP="00B00685" w:rsidRDefault="00E13162" w14:paraId="0F7A5FA6" w14:textId="77777777">
            <w:pPr>
              <w:pStyle w:val="NormalWeb"/>
              <w:ind w:right="175"/>
              <w:jc w:val="both"/>
              <w:rPr>
                <w:color w:val="000000" w:themeColor="text1"/>
              </w:rPr>
            </w:pPr>
          </w:p>
        </w:tc>
      </w:tr>
      <w:tr w:rsidRPr="001E5BBA" w:rsidR="00E13162" w:rsidTr="00B00685" w14:paraId="586C071F" w14:textId="77777777">
        <w:trPr>
          <w:gridAfter w:val="1"/>
          <w:wAfter w:w="236" w:type="dxa"/>
          <w:trHeight w:val="285"/>
        </w:trPr>
        <w:tc>
          <w:tcPr>
            <w:tcW w:w="6016" w:type="dxa"/>
          </w:tcPr>
          <w:p w:rsidRPr="001E5BBA" w:rsidR="00E13162" w:rsidP="00B00685" w:rsidRDefault="00E13162" w14:paraId="6B033206" w14:textId="77777777">
            <w:pPr>
              <w:pStyle w:val="naiskr"/>
              <w:spacing w:before="0" w:after="0"/>
              <w:rPr>
                <w:color w:val="000000" w:themeColor="text1"/>
              </w:rPr>
            </w:pPr>
          </w:p>
        </w:tc>
        <w:tc>
          <w:tcPr>
            <w:tcW w:w="1862" w:type="dxa"/>
            <w:gridSpan w:val="2"/>
            <w:tcBorders>
              <w:top w:val="single" w:color="auto" w:sz="4" w:space="0"/>
            </w:tcBorders>
          </w:tcPr>
          <w:p w:rsidRPr="008B060E" w:rsidR="00E13162" w:rsidP="00B00685" w:rsidRDefault="00E13162" w14:paraId="74A3121A" w14:textId="77777777">
            <w:pPr>
              <w:pStyle w:val="naiskr"/>
              <w:spacing w:before="0" w:after="0"/>
              <w:ind w:firstLine="720"/>
              <w:rPr>
                <w:color w:val="000000" w:themeColor="text1"/>
              </w:rPr>
            </w:pPr>
          </w:p>
        </w:tc>
        <w:tc>
          <w:tcPr>
            <w:tcW w:w="4940" w:type="dxa"/>
            <w:tcBorders>
              <w:top w:val="single" w:color="auto" w:sz="4" w:space="0"/>
            </w:tcBorders>
          </w:tcPr>
          <w:p w:rsidRPr="008B060E" w:rsidR="00E13162" w:rsidP="00B00685" w:rsidRDefault="00E13162" w14:paraId="2EFA6E73" w14:textId="77777777">
            <w:pPr>
              <w:pStyle w:val="naiskr"/>
              <w:spacing w:before="0" w:after="0"/>
              <w:ind w:firstLine="12"/>
              <w:rPr>
                <w:color w:val="000000" w:themeColor="text1"/>
              </w:rPr>
            </w:pPr>
          </w:p>
        </w:tc>
      </w:tr>
      <w:tr w:rsidRPr="001E5BBA" w:rsidR="00E13162" w:rsidTr="00B00685" w14:paraId="1D570FE5" w14:textId="77777777">
        <w:trPr>
          <w:trHeight w:val="285"/>
        </w:trPr>
        <w:tc>
          <w:tcPr>
            <w:tcW w:w="6355" w:type="dxa"/>
            <w:gridSpan w:val="2"/>
          </w:tcPr>
          <w:p w:rsidRPr="008B060E" w:rsidR="00E13162" w:rsidP="00B00685" w:rsidRDefault="00E13162" w14:paraId="435A05D4"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E13162" w:rsidP="00E13162" w:rsidRDefault="00E0210E" w14:paraId="2EB41985" w14:textId="5BCAA809">
            <w:pPr>
              <w:pStyle w:val="naiskr"/>
              <w:spacing w:before="0" w:after="0"/>
              <w:rPr>
                <w:color w:val="000000" w:themeColor="text1"/>
              </w:rPr>
            </w:pPr>
            <w:r>
              <w:rPr>
                <w:color w:val="000000" w:themeColor="text1"/>
              </w:rPr>
              <w:t xml:space="preserve">Tieslietu ministrija, </w:t>
            </w:r>
            <w:r w:rsidRPr="008B060E" w:rsidR="00E13162">
              <w:rPr>
                <w:color w:val="000000" w:themeColor="text1"/>
              </w:rPr>
              <w:t>Finanšu ministrija</w:t>
            </w:r>
          </w:p>
        </w:tc>
        <w:tc>
          <w:tcPr>
            <w:tcW w:w="236" w:type="dxa"/>
          </w:tcPr>
          <w:p w:rsidRPr="001E5BBA" w:rsidR="00E13162" w:rsidP="00B00685" w:rsidRDefault="00E13162" w14:paraId="4E43E28D" w14:textId="77777777">
            <w:pPr>
              <w:pStyle w:val="naiskr"/>
              <w:spacing w:before="0" w:after="0"/>
              <w:ind w:firstLine="12"/>
              <w:rPr>
                <w:color w:val="000000" w:themeColor="text1"/>
              </w:rPr>
            </w:pPr>
          </w:p>
        </w:tc>
      </w:tr>
      <w:tr w:rsidRPr="001E5BBA" w:rsidR="00E13162" w:rsidTr="00B00685" w14:paraId="77B65BFA" w14:textId="77777777">
        <w:trPr>
          <w:gridAfter w:val="1"/>
          <w:wAfter w:w="236" w:type="dxa"/>
          <w:trHeight w:val="312"/>
        </w:trPr>
        <w:tc>
          <w:tcPr>
            <w:tcW w:w="12818" w:type="dxa"/>
            <w:gridSpan w:val="4"/>
          </w:tcPr>
          <w:p w:rsidRPr="001E5BBA" w:rsidR="00E13162" w:rsidP="00B00685" w:rsidRDefault="00E13162" w14:paraId="30098169" w14:textId="77777777">
            <w:pPr>
              <w:pStyle w:val="naisc"/>
              <w:spacing w:before="0" w:after="0"/>
              <w:ind w:left="4820" w:firstLine="720"/>
              <w:rPr>
                <w:color w:val="000000" w:themeColor="text1"/>
              </w:rPr>
            </w:pPr>
          </w:p>
        </w:tc>
      </w:tr>
      <w:tr w:rsidRPr="001E5BBA" w:rsidR="00E13162" w:rsidTr="00B00685" w14:paraId="3D6FB631" w14:textId="77777777">
        <w:trPr>
          <w:gridAfter w:val="1"/>
          <w:wAfter w:w="236" w:type="dxa"/>
        </w:trPr>
        <w:tc>
          <w:tcPr>
            <w:tcW w:w="6355" w:type="dxa"/>
            <w:gridSpan w:val="2"/>
          </w:tcPr>
          <w:p w:rsidRPr="001E5BBA" w:rsidR="00E13162" w:rsidP="00B00685" w:rsidRDefault="00E13162" w14:paraId="29F386EC" w14:textId="77777777">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color="auto" w:sz="4" w:space="0"/>
            </w:tcBorders>
          </w:tcPr>
          <w:p w:rsidRPr="001E5BBA" w:rsidR="00E13162" w:rsidP="00B00685" w:rsidRDefault="00E13162" w14:paraId="7E8BE45F" w14:textId="77777777">
            <w:pPr>
              <w:pStyle w:val="naiskr"/>
              <w:spacing w:before="0" w:after="0"/>
              <w:rPr>
                <w:color w:val="000000" w:themeColor="text1"/>
              </w:rPr>
            </w:pPr>
          </w:p>
          <w:p w:rsidRPr="001E5BBA" w:rsidR="00E13162" w:rsidP="00B00685" w:rsidRDefault="00E13162" w14:paraId="57C50C24" w14:textId="77777777">
            <w:pPr>
              <w:pStyle w:val="naiskr"/>
              <w:spacing w:before="0" w:after="0"/>
              <w:rPr>
                <w:color w:val="000000" w:themeColor="text1"/>
              </w:rPr>
            </w:pPr>
          </w:p>
        </w:tc>
      </w:tr>
    </w:tbl>
    <w:p w:rsidRPr="001E5BBA" w:rsidR="00B31052" w:rsidP="00B31052" w:rsidRDefault="00B31052" w14:paraId="07EB0896" w14:textId="510C59D6">
      <w:pPr>
        <w:pStyle w:val="naisf"/>
        <w:spacing w:before="0" w:after="0"/>
        <w:ind w:firstLine="0"/>
        <w:jc w:val="center"/>
        <w:rPr>
          <w:b/>
          <w:color w:val="000000" w:themeColor="text1"/>
        </w:rPr>
      </w:pPr>
      <w:r w:rsidRPr="001E5BBA">
        <w:rPr>
          <w:b/>
          <w:color w:val="000000" w:themeColor="text1"/>
        </w:rPr>
        <w:lastRenderedPageBreak/>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01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7"/>
        <w:gridCol w:w="3581"/>
        <w:gridCol w:w="3481"/>
        <w:gridCol w:w="3439"/>
      </w:tblGrid>
      <w:tr w:rsidRPr="001E5BBA" w:rsidR="001E5BBA" w:rsidTr="00005AF5" w14:paraId="180FCD98" w14:textId="77777777">
        <w:tc>
          <w:tcPr>
            <w:tcW w:w="201" w:type="pct"/>
            <w:shd w:val="clear" w:color="auto" w:fill="FFFFFF" w:themeFill="background1"/>
          </w:tcPr>
          <w:p w:rsidRPr="002A2E5E" w:rsidR="00B31052" w:rsidP="00686C79" w:rsidRDefault="00B31052" w14:paraId="666E81DD" w14:textId="77777777">
            <w:pPr>
              <w:pStyle w:val="naisc"/>
              <w:spacing w:before="0" w:after="0"/>
              <w:rPr>
                <w:color w:val="000000" w:themeColor="text1"/>
              </w:rPr>
            </w:pPr>
            <w:r w:rsidRPr="002A2E5E">
              <w:rPr>
                <w:color w:val="000000" w:themeColor="text1"/>
              </w:rPr>
              <w:t>Nr. p.k.</w:t>
            </w:r>
          </w:p>
        </w:tc>
        <w:tc>
          <w:tcPr>
            <w:tcW w:w="1049" w:type="pct"/>
            <w:shd w:val="clear" w:color="auto" w:fill="FFFFFF" w:themeFill="background1"/>
          </w:tcPr>
          <w:p w:rsidRPr="002A2E5E" w:rsidR="00B31052" w:rsidP="00F26102" w:rsidRDefault="00B31052" w14:paraId="3878EDDA" w14:textId="77777777">
            <w:pPr>
              <w:pStyle w:val="naisc"/>
              <w:tabs>
                <w:tab w:val="left" w:pos="1111"/>
              </w:tabs>
              <w:spacing w:before="0" w:after="0"/>
              <w:ind w:firstLine="12"/>
              <w:rPr>
                <w:color w:val="000000" w:themeColor="text1"/>
              </w:rPr>
            </w:pPr>
            <w:r w:rsidRPr="002A2E5E">
              <w:rPr>
                <w:color w:val="000000" w:themeColor="text1"/>
              </w:rPr>
              <w:t>Saskaņošanai nosūtītā projekta redakcija (konkrēta punkta (panta) redakcija)</w:t>
            </w:r>
          </w:p>
        </w:tc>
        <w:tc>
          <w:tcPr>
            <w:tcW w:w="1279" w:type="pct"/>
            <w:shd w:val="clear" w:color="auto" w:fill="FFFFFF" w:themeFill="background1"/>
          </w:tcPr>
          <w:p w:rsidRPr="002A2E5E" w:rsidR="00B31052" w:rsidP="00686C79" w:rsidRDefault="00B31052" w14:paraId="1249939F" w14:textId="77777777">
            <w:pPr>
              <w:pStyle w:val="naisc"/>
              <w:spacing w:before="0" w:after="0"/>
              <w:ind w:right="3"/>
              <w:rPr>
                <w:color w:val="000000" w:themeColor="text1"/>
              </w:rPr>
            </w:pPr>
            <w:r w:rsidRPr="002A2E5E">
              <w:rPr>
                <w:color w:val="000000" w:themeColor="text1"/>
              </w:rPr>
              <w:t>Atzinumā norādītais ministrijas (citas institūcijas) iebildums, kā arī saskaņošanā papildus izteiktais iebildums par projekta konkrēto punktu (pantu)</w:t>
            </w:r>
          </w:p>
        </w:tc>
        <w:tc>
          <w:tcPr>
            <w:tcW w:w="1243" w:type="pct"/>
            <w:shd w:val="clear" w:color="auto" w:fill="FFFFFF" w:themeFill="background1"/>
          </w:tcPr>
          <w:p w:rsidRPr="002A2E5E" w:rsidR="00B31052" w:rsidP="00581E1B" w:rsidRDefault="00B31052" w14:paraId="2BB102EB" w14:textId="77777777">
            <w:pPr>
              <w:pStyle w:val="naisc"/>
              <w:spacing w:before="0" w:after="0"/>
              <w:ind w:firstLine="21"/>
              <w:jc w:val="both"/>
              <w:rPr>
                <w:color w:val="000000" w:themeColor="text1"/>
              </w:rPr>
            </w:pPr>
            <w:r w:rsidRPr="002A2E5E">
              <w:rPr>
                <w:color w:val="000000" w:themeColor="text1"/>
              </w:rPr>
              <w:t>Atbildīgās ministrijas norāde par to, ka iebildums ir ņemts vērā, vai informācija par saskaņošanā panākto alternatīvo risinājumu</w:t>
            </w:r>
          </w:p>
        </w:tc>
        <w:tc>
          <w:tcPr>
            <w:tcW w:w="1228" w:type="pct"/>
            <w:shd w:val="clear" w:color="auto" w:fill="FFFFFF" w:themeFill="background1"/>
          </w:tcPr>
          <w:p w:rsidRPr="002A2E5E" w:rsidR="00B31052" w:rsidP="00686C79" w:rsidRDefault="00B31052" w14:paraId="40C9C823" w14:textId="77777777">
            <w:pPr>
              <w:jc w:val="center"/>
              <w:rPr>
                <w:color w:val="000000" w:themeColor="text1"/>
              </w:rPr>
            </w:pPr>
            <w:r w:rsidRPr="002A2E5E">
              <w:rPr>
                <w:color w:val="000000" w:themeColor="text1"/>
              </w:rPr>
              <w:t>Projekta attiecīgā punkta (panta) galīgā redakcija</w:t>
            </w:r>
          </w:p>
        </w:tc>
      </w:tr>
      <w:tr w:rsidRPr="001E5BBA" w:rsidR="00054244" w:rsidTr="00054244" w14:paraId="7454C620" w14:textId="77777777">
        <w:tc>
          <w:tcPr>
            <w:tcW w:w="5000" w:type="pct"/>
            <w:gridSpan w:val="5"/>
            <w:shd w:val="clear" w:color="auto" w:fill="auto"/>
          </w:tcPr>
          <w:p w:rsidRPr="002A2E5E" w:rsidR="00E0210E" w:rsidP="00E0210E" w:rsidRDefault="00E0210E" w14:paraId="22B39F47" w14:textId="77777777">
            <w:pPr>
              <w:pStyle w:val="naisc"/>
              <w:spacing w:before="0" w:after="0"/>
              <w:jc w:val="both"/>
              <w:rPr>
                <w:b/>
                <w:bCs/>
                <w:color w:val="000000" w:themeColor="text1"/>
              </w:rPr>
            </w:pPr>
          </w:p>
          <w:p w:rsidRPr="002A2E5E" w:rsidR="00690795" w:rsidP="002A2E5E" w:rsidRDefault="00EF43F9" w14:paraId="6AF4208A" w14:textId="3A330B4B">
            <w:pPr>
              <w:pStyle w:val="naisc"/>
              <w:spacing w:before="0" w:after="0"/>
              <w:rPr>
                <w:color w:val="000000" w:themeColor="text1"/>
              </w:rPr>
            </w:pPr>
            <w:r w:rsidRPr="002A2E5E">
              <w:rPr>
                <w:b/>
                <w:bCs/>
                <w:color w:val="000000" w:themeColor="text1"/>
              </w:rPr>
              <w:t>Tieslietu ministrija</w:t>
            </w:r>
            <w:r w:rsidRPr="002A2E5E">
              <w:rPr>
                <w:color w:val="000000" w:themeColor="text1"/>
              </w:rPr>
              <w:t xml:space="preserve"> (25.06.2020. atzinums Nr.1-9.1/662)</w:t>
            </w:r>
          </w:p>
          <w:p w:rsidRPr="002A2E5E" w:rsidR="00E0210E" w:rsidP="00E0210E" w:rsidRDefault="00E0210E" w14:paraId="2CFCABBA" w14:textId="5FF23BFC">
            <w:pPr>
              <w:pStyle w:val="naisc"/>
              <w:spacing w:before="0" w:after="0"/>
              <w:jc w:val="both"/>
              <w:rPr>
                <w:color w:val="000000" w:themeColor="text1"/>
              </w:rPr>
            </w:pPr>
          </w:p>
        </w:tc>
      </w:tr>
      <w:tr w:rsidRPr="00C55724" w:rsidR="008401D4" w:rsidTr="00005AF5" w14:paraId="18B0D8EF" w14:textId="77777777">
        <w:tc>
          <w:tcPr>
            <w:tcW w:w="201" w:type="pct"/>
            <w:shd w:val="clear" w:color="auto" w:fill="auto"/>
          </w:tcPr>
          <w:p w:rsidRPr="002A2E5E" w:rsidR="008401D4" w:rsidP="00E0210E" w:rsidRDefault="00690795" w14:paraId="646FE7F3" w14:textId="7E8E7657">
            <w:pPr>
              <w:pStyle w:val="naisc"/>
              <w:spacing w:before="0" w:after="0"/>
            </w:pPr>
            <w:r w:rsidRPr="002A2E5E">
              <w:t>1</w:t>
            </w:r>
            <w:r w:rsidRPr="002A2E5E" w:rsidR="008401D4">
              <w:t>.</w:t>
            </w:r>
          </w:p>
        </w:tc>
        <w:tc>
          <w:tcPr>
            <w:tcW w:w="1049" w:type="pct"/>
            <w:shd w:val="clear" w:color="auto" w:fill="auto"/>
          </w:tcPr>
          <w:p w:rsidRPr="002A2E5E" w:rsidR="008401D4" w:rsidP="00D91E41" w:rsidRDefault="00777B22" w14:paraId="34223D47" w14:textId="26CEC47B">
            <w:pPr>
              <w:pStyle w:val="naisc"/>
              <w:spacing w:after="0"/>
              <w:jc w:val="both"/>
            </w:pPr>
            <w:r w:rsidRPr="002A2E5E">
              <w:t xml:space="preserve">2. </w:t>
            </w:r>
            <w:r w:rsidRPr="002A2E5E" w:rsidR="00E0210E">
              <w:t>Satiksmes ministrijai sagatavot un normatīvajos aktos noteiktajā kārtībā iesniegt Finanšu ministrijā pieprasījumu par valsts budžeta apropriācijas palielinājumu atbilstoši šā rīkojuma 1. punktam.</w:t>
            </w:r>
          </w:p>
        </w:tc>
        <w:tc>
          <w:tcPr>
            <w:tcW w:w="1279" w:type="pct"/>
            <w:shd w:val="clear" w:color="auto" w:fill="auto"/>
          </w:tcPr>
          <w:p w:rsidRPr="002A2E5E" w:rsidR="00C55724" w:rsidP="00C55724" w:rsidRDefault="00C55724" w14:paraId="28DD808B" w14:textId="20B9B8BC">
            <w:pPr>
              <w:pStyle w:val="naisc"/>
              <w:spacing w:before="0" w:after="0"/>
              <w:jc w:val="both"/>
            </w:pPr>
            <w:r w:rsidRPr="002A2E5E">
              <w:t xml:space="preserve">Likuma 55. panta otrais teikums paredz atļaut finanšu ministram palielināt apropriāciju Satiksmes ministrijai resursiem no dotācijas no vispārējiem ieņēmumiem par pievienotās vērtības nodokļa summu, kas nav atgūstama kā priekšnodoklis, kompensācijai Igaunijai un Lietuvai AS "RB Rail" veikto aktivitāšu ietvaros, ar nosacījumu, ka tiek nodrošināta neitrāla ietekme uz vispārējās valdības budžeta bilanci un ir pieņemts attiecīgs Ministru kabineta lēmums, kā arī Saeimas Budžeta un finanšu (nodokļu) komisija piecu darba dienu laikā no attiecīgās informācijas saņemšanas dienas nav iebildusi pret apropriācijas palielinājumu. </w:t>
            </w:r>
          </w:p>
          <w:p w:rsidRPr="002A2E5E" w:rsidR="00C55724" w:rsidP="00C55724" w:rsidRDefault="00D4110C" w14:paraId="5711A74D" w14:textId="53435DAA">
            <w:pPr>
              <w:pStyle w:val="naisc"/>
              <w:spacing w:before="0" w:after="0"/>
              <w:jc w:val="both"/>
            </w:pPr>
            <w:r w:rsidRPr="002A2E5E">
              <w:rPr>
                <w:bCs/>
                <w:color w:val="000000" w:themeColor="text1"/>
              </w:rPr>
              <w:lastRenderedPageBreak/>
              <w:t>MKN Nr.218</w:t>
            </w:r>
            <w:r w:rsidRPr="002A2E5E" w:rsidR="00C55724">
              <w:t xml:space="preserve"> 8. punkts paredz, ka Satiksmes ministrija līdz 2020. gada 1. jūnijam, 1. septembrim un 1. decembrim sagatavo un noteiktā kārtībā iesniedz Ministru kabinetā tiesību akta projektu par apropriācijas palielināšanu Satiksmes ministrijai resursiem no dotācijas no vispārējiem ieņēmumiem par apmēru, kas noteikts saskaņā ar </w:t>
            </w:r>
            <w:r w:rsidRPr="002A2E5E">
              <w:rPr>
                <w:bCs/>
                <w:color w:val="000000" w:themeColor="text1"/>
              </w:rPr>
              <w:t xml:space="preserve"> MKN Nr.218</w:t>
            </w:r>
            <w:r w:rsidRPr="002A2E5E" w:rsidR="00C55724">
              <w:t xml:space="preserve"> II nodaļu. </w:t>
            </w:r>
          </w:p>
          <w:p w:rsidRPr="002A2E5E" w:rsidR="00C55724" w:rsidP="00C55724" w:rsidRDefault="00C55724" w14:paraId="4F886E1B" w14:textId="77777777">
            <w:pPr>
              <w:pStyle w:val="naisc"/>
              <w:spacing w:before="0" w:after="0"/>
              <w:jc w:val="both"/>
            </w:pPr>
            <w:r w:rsidRPr="002A2E5E">
              <w:t xml:space="preserve">No  </w:t>
            </w:r>
            <w:r w:rsidRPr="002A2E5E" w:rsidR="00CB027A">
              <w:t>L</w:t>
            </w:r>
            <w:r w:rsidRPr="002A2E5E">
              <w:t xml:space="preserve">ikuma  55. panta izriet, ka finanšu ministrs var palielināt apropriāciju Satiksmes ministrijai, ja Ministru kabinets ir atbalstījis attiecīgu kompensāciju, savukārt no </w:t>
            </w:r>
            <w:r w:rsidRPr="002A2E5E" w:rsidR="00D4110C">
              <w:rPr>
                <w:bCs/>
                <w:color w:val="000000" w:themeColor="text1"/>
              </w:rPr>
              <w:t xml:space="preserve"> MKN Nr.218 </w:t>
            </w:r>
            <w:r w:rsidRPr="002A2E5E">
              <w:t xml:space="preserve">8. punkta izriet, ka Satiksmes ministrijai ir jāsagatavo un jāiesniedz Ministru kabinetā rīkojums par apropriācijas palielināšanu. Rīkojuma projekta 1. punkts paredz atbalstīt kompensācijas piešķiršanu, savukārt projekta 2. punkts paredz sagatavot un iesniegt Finanšu ministrijā vēl vienu dokumentu par apropriācijas palielināšanu, kad Ministru kabinets jau ir pieņēmis attiecīgu lēmumu. Likuma </w:t>
            </w:r>
            <w:r w:rsidRPr="002A2E5E">
              <w:lastRenderedPageBreak/>
              <w:t>55. panta otrais teikums nosaka skaidrus nosacījumus, kā finanšu ministrs var palielināt apropriāciju, neparedzot projekta 2. punktā minētās darbības.</w:t>
            </w:r>
          </w:p>
          <w:p w:rsidRPr="002A2E5E" w:rsidR="00E0210E" w:rsidP="00C55724" w:rsidRDefault="00E0210E" w14:paraId="2095AB21" w14:textId="0C25DD43">
            <w:pPr>
              <w:pStyle w:val="naisc"/>
              <w:spacing w:before="0" w:after="0"/>
              <w:jc w:val="both"/>
            </w:pPr>
            <w:r w:rsidRPr="002A2E5E">
              <w:t>Ņemot vērā minēto, rīkojuma projektu noformulēt tā, lai tas atbilstu  likuma "Par valsts budžetu 2020. gadam" (turpmāk – Likums) 55. pantā un   MKN Nr.218 8. punktā noteiktajam, vai skaidrot projekta sākotnējās ietekmes novērtējuma ziņojumā (anotācijā) tā atbilstību minētajiem normatīvajiem aktiem.</w:t>
            </w:r>
          </w:p>
        </w:tc>
        <w:tc>
          <w:tcPr>
            <w:tcW w:w="1243" w:type="pct"/>
            <w:shd w:val="clear" w:color="auto" w:fill="auto"/>
          </w:tcPr>
          <w:p w:rsidRPr="002A2E5E" w:rsidR="000A38AD" w:rsidP="002A2E5E" w:rsidRDefault="00DC219E" w14:paraId="159B50B4" w14:textId="1CF9E770">
            <w:pPr>
              <w:pStyle w:val="naisc"/>
              <w:spacing w:before="0" w:after="0"/>
              <w:rPr>
                <w:b/>
                <w:bCs/>
              </w:rPr>
            </w:pPr>
            <w:r w:rsidRPr="002A2E5E">
              <w:rPr>
                <w:b/>
                <w:bCs/>
              </w:rPr>
              <w:lastRenderedPageBreak/>
              <w:t>Iebildums ņemts vērā</w:t>
            </w:r>
            <w:r w:rsidR="002A2E5E">
              <w:rPr>
                <w:b/>
                <w:bCs/>
              </w:rPr>
              <w:t>.</w:t>
            </w:r>
          </w:p>
          <w:p w:rsidRPr="002A2E5E" w:rsidR="00DC219E" w:rsidP="00007AD4" w:rsidRDefault="00DC219E" w14:paraId="28D2DEC4" w14:textId="778DFB98">
            <w:pPr>
              <w:pStyle w:val="naisc"/>
              <w:spacing w:before="0" w:after="0"/>
              <w:jc w:val="both"/>
            </w:pPr>
          </w:p>
        </w:tc>
        <w:tc>
          <w:tcPr>
            <w:tcW w:w="1228" w:type="pct"/>
            <w:shd w:val="clear" w:color="auto" w:fill="auto"/>
          </w:tcPr>
          <w:p w:rsidRPr="002A2E5E" w:rsidR="00E0210E" w:rsidP="009B3E67" w:rsidRDefault="002A2E5E" w14:paraId="18F4BE53" w14:textId="0E9E7633">
            <w:pPr>
              <w:spacing w:after="120"/>
              <w:jc w:val="both"/>
            </w:pPr>
            <w:r>
              <w:t xml:space="preserve">Precizēts </w:t>
            </w:r>
            <w:r w:rsidRPr="002A2E5E" w:rsidR="00E0210E">
              <w:t xml:space="preserve">Rīkojuma projekta </w:t>
            </w:r>
            <w:r w:rsidRPr="002A2E5E" w:rsidR="00FA3D3E">
              <w:t>2</w:t>
            </w:r>
            <w:r w:rsidRPr="002A2E5E" w:rsidR="00E0210E">
              <w:t>.punkts</w:t>
            </w:r>
            <w:r>
              <w:t>:</w:t>
            </w:r>
            <w:r w:rsidRPr="002A2E5E" w:rsidR="00E0210E">
              <w:tab/>
            </w:r>
          </w:p>
          <w:p w:rsidRPr="002A2E5E" w:rsidR="008401D4" w:rsidP="009B3E67" w:rsidRDefault="002A2E5E" w14:paraId="3CB8CD82" w14:textId="08BF11C5">
            <w:pPr>
              <w:spacing w:after="120"/>
              <w:jc w:val="both"/>
            </w:pPr>
            <w:r>
              <w:t>“</w:t>
            </w:r>
            <w:r w:rsidRPr="002A2E5E" w:rsidR="00777B22">
              <w:t>2</w:t>
            </w:r>
            <w:r>
              <w:t>.</w:t>
            </w:r>
            <w:r w:rsidRPr="002A2E5E" w:rsidR="004D0FE5">
              <w:t xml:space="preserve"> Satiksmes ministrijai nodrošināt, ka šā rīkojuma 1.1.apakšpunktā minētais apmērs tiek segts no Satiksmes ministrijas budžeta apakšprogrammā 60.07.00 “Eiropas transporta infrastruktūras projekti (Rail Baltica)” pieejamās vispārējā kārtībā sadalāmās dotācijas no vispārējiem ieņēmumiem.</w:t>
            </w:r>
            <w:r>
              <w:t>”</w:t>
            </w:r>
          </w:p>
        </w:tc>
      </w:tr>
      <w:tr w:rsidRPr="00C55724" w:rsidR="00683D39" w:rsidTr="00005AF5" w14:paraId="6743378C" w14:textId="77777777">
        <w:tc>
          <w:tcPr>
            <w:tcW w:w="201" w:type="pct"/>
            <w:shd w:val="clear" w:color="auto" w:fill="auto"/>
          </w:tcPr>
          <w:p w:rsidRPr="002A2E5E" w:rsidR="00683D39" w:rsidP="00007AD4" w:rsidRDefault="00690795" w14:paraId="6174E13B" w14:textId="6751521D">
            <w:pPr>
              <w:pStyle w:val="naisc"/>
              <w:spacing w:before="0" w:after="0"/>
            </w:pPr>
            <w:r w:rsidRPr="002A2E5E">
              <w:lastRenderedPageBreak/>
              <w:t>2</w:t>
            </w:r>
            <w:r w:rsidRPr="002A2E5E" w:rsidR="00683D39">
              <w:t>.</w:t>
            </w:r>
          </w:p>
        </w:tc>
        <w:tc>
          <w:tcPr>
            <w:tcW w:w="1049" w:type="pct"/>
            <w:shd w:val="clear" w:color="auto" w:fill="auto"/>
          </w:tcPr>
          <w:p w:rsidRPr="002A2E5E" w:rsidR="00777B22" w:rsidP="00E0210E" w:rsidRDefault="00777B22" w14:paraId="5BF17E75" w14:textId="6298C741">
            <w:pPr>
              <w:pStyle w:val="naisc"/>
              <w:spacing w:before="0" w:after="0"/>
              <w:jc w:val="both"/>
            </w:pPr>
            <w:r w:rsidRPr="002A2E5E">
              <w:t xml:space="preserve">3.Finanšu ministram normatīvajos aktos noteiktajā kārtībā informēt Saeimas Budžeta un finanšu (nodokļu) komisiju par šā rīkojuma 1. punktā minēto apropriācijas palielinājumu. Finanšu ministram veikt minēto apropriācijas palielinājumu, ja Saeimas Budžeta un finanšu (nodokļu) komisija piecu darbdienu laikā pēc attiecīgās informācijas saņemšanas nav iebildusi </w:t>
            </w:r>
            <w:r w:rsidRPr="002A2E5E">
              <w:lastRenderedPageBreak/>
              <w:t>pret apropriācijas palielinājumu.</w:t>
            </w:r>
          </w:p>
        </w:tc>
        <w:tc>
          <w:tcPr>
            <w:tcW w:w="1279" w:type="pct"/>
            <w:shd w:val="clear" w:color="auto" w:fill="auto"/>
          </w:tcPr>
          <w:p w:rsidRPr="002A2E5E" w:rsidR="00EC08A7" w:rsidP="00253DAF" w:rsidRDefault="00253DAF" w14:paraId="5A8D292A" w14:textId="3AD8EB4F">
            <w:pPr>
              <w:pStyle w:val="naisc"/>
              <w:spacing w:before="0" w:after="0"/>
              <w:jc w:val="both"/>
            </w:pPr>
            <w:r w:rsidRPr="002A2E5E">
              <w:lastRenderedPageBreak/>
              <w:t>Lūdz</w:t>
            </w:r>
            <w:r w:rsidR="002A2E5E">
              <w:t>am</w:t>
            </w:r>
            <w:r w:rsidRPr="002A2E5E">
              <w:t xml:space="preserve"> svītrot rīkojuma projekta 3. punkta otro teikumu, jo tas dublē </w:t>
            </w:r>
            <w:r w:rsidRPr="002A2E5E" w:rsidR="00CB027A">
              <w:t>L</w:t>
            </w:r>
            <w:r w:rsidRPr="002A2E5E">
              <w:t>ikuma  55. panta otrajā teikumā noteikto.</w:t>
            </w:r>
          </w:p>
        </w:tc>
        <w:tc>
          <w:tcPr>
            <w:tcW w:w="1243" w:type="pct"/>
            <w:shd w:val="clear" w:color="auto" w:fill="auto"/>
          </w:tcPr>
          <w:p w:rsidRPr="002A2E5E" w:rsidR="00DC219E" w:rsidP="002A2E5E" w:rsidRDefault="00DC219E" w14:paraId="7C8881BC" w14:textId="675B71FB">
            <w:pPr>
              <w:pStyle w:val="naisc"/>
              <w:spacing w:before="0" w:after="0"/>
              <w:rPr>
                <w:b/>
                <w:bCs/>
              </w:rPr>
            </w:pPr>
            <w:r w:rsidRPr="002A2E5E">
              <w:rPr>
                <w:b/>
                <w:bCs/>
              </w:rPr>
              <w:t>Iebildums ņemts vērā.</w:t>
            </w:r>
          </w:p>
          <w:p w:rsidRPr="002A2E5E" w:rsidR="00C75D45" w:rsidP="00E0210E" w:rsidRDefault="00C75D45" w14:paraId="74712837" w14:textId="0D92A2FE">
            <w:pPr>
              <w:pStyle w:val="naisc"/>
              <w:spacing w:before="0" w:after="0"/>
              <w:jc w:val="both"/>
            </w:pPr>
          </w:p>
        </w:tc>
        <w:tc>
          <w:tcPr>
            <w:tcW w:w="1228" w:type="pct"/>
            <w:shd w:val="clear" w:color="auto" w:fill="auto"/>
          </w:tcPr>
          <w:p w:rsidRPr="002A2E5E" w:rsidR="004D0FE5" w:rsidP="004D0FE5" w:rsidRDefault="004D0FE5" w14:paraId="71821F06" w14:textId="1B8658ED">
            <w:pPr>
              <w:pStyle w:val="naisc"/>
              <w:spacing w:after="0"/>
              <w:jc w:val="both"/>
            </w:pPr>
            <w:r w:rsidRPr="002A2E5E">
              <w:t xml:space="preserve">Punkta redakcija precizēta atbilstoši Finanšu ministrijas </w:t>
            </w:r>
            <w:r w:rsidR="00BB57A0">
              <w:t>iebildumam</w:t>
            </w:r>
            <w:r w:rsidRPr="002A2E5E">
              <w:t xml:space="preserve"> (</w:t>
            </w:r>
            <w:r w:rsidR="002A2E5E">
              <w:t xml:space="preserve">izziņas </w:t>
            </w:r>
            <w:r w:rsidRPr="002A2E5E">
              <w:t>12</w:t>
            </w:r>
            <w:r w:rsidR="002A2E5E">
              <w:t>.punkt</w:t>
            </w:r>
            <w:r w:rsidR="00597C7F">
              <w:t>s</w:t>
            </w:r>
            <w:r w:rsidRPr="002A2E5E">
              <w:t>)</w:t>
            </w:r>
            <w:r w:rsidR="002A2E5E">
              <w:t>.</w:t>
            </w:r>
          </w:p>
          <w:p w:rsidRPr="002A2E5E" w:rsidR="004D0FE5" w:rsidP="004D0FE5" w:rsidRDefault="004D0FE5" w14:paraId="4BFE1887" w14:textId="5401449E">
            <w:pPr>
              <w:pStyle w:val="naisc"/>
              <w:spacing w:after="0"/>
              <w:jc w:val="both"/>
            </w:pPr>
            <w:r w:rsidRPr="002A2E5E">
              <w:t xml:space="preserve">Precizēta </w:t>
            </w:r>
            <w:r w:rsidR="002A2E5E">
              <w:t xml:space="preserve">Rīkojuma projekta </w:t>
            </w:r>
            <w:r w:rsidRPr="002A2E5E">
              <w:t>numerācija.</w:t>
            </w:r>
          </w:p>
          <w:p w:rsidRPr="002A2E5E" w:rsidR="002945D9" w:rsidP="002B33BC" w:rsidRDefault="00597C7F" w14:paraId="3420BEC4" w14:textId="0DA7EDB5">
            <w:pPr>
              <w:pStyle w:val="naisc"/>
              <w:tabs>
                <w:tab w:val="left" w:pos="236"/>
                <w:tab w:val="left" w:pos="520"/>
              </w:tabs>
              <w:spacing w:before="0" w:after="0"/>
              <w:jc w:val="both"/>
            </w:pPr>
            <w:r>
              <w:t>“</w:t>
            </w:r>
            <w:r w:rsidRPr="002A2E5E" w:rsidR="004D0FE5">
              <w:t>4.</w:t>
            </w:r>
            <w:r w:rsidR="002B33BC">
              <w:t xml:space="preserve"> </w:t>
            </w:r>
            <w:r w:rsidRPr="002A2E5E" w:rsidR="004D0FE5">
              <w:t xml:space="preserve">Finanšu ministram normatīvajos aktos noteiktajā kārtībā informēt Saeimas Budžeta un finanšu (nodokļu) komisiju par šā rīkojuma 1.2. un 1.3.apakšpunktā minēto apropriācijas palielināšanu un, ja Saeimas Budžeta un finanšu (nodokļu) komisija piecu darbdienu laikā pēc attiecīgās </w:t>
            </w:r>
            <w:r w:rsidRPr="002A2E5E" w:rsidR="004D0FE5">
              <w:lastRenderedPageBreak/>
              <w:t>informācijas saņemšanas nav izteikusi iebildumus, veikt apropriācijas palielināšanu.</w:t>
            </w:r>
            <w:r>
              <w:t>”</w:t>
            </w:r>
          </w:p>
        </w:tc>
      </w:tr>
      <w:tr w:rsidRPr="00C55724" w:rsidR="00690795" w:rsidTr="00690795" w14:paraId="21C6357E" w14:textId="77777777">
        <w:tc>
          <w:tcPr>
            <w:tcW w:w="5000" w:type="pct"/>
            <w:gridSpan w:val="5"/>
            <w:shd w:val="clear" w:color="auto" w:fill="auto"/>
          </w:tcPr>
          <w:p w:rsidRPr="002A2E5E" w:rsidR="00777B22" w:rsidP="00690795" w:rsidRDefault="00777B22" w14:paraId="57BC2148" w14:textId="77777777">
            <w:pPr>
              <w:pStyle w:val="naisc"/>
              <w:spacing w:before="0" w:after="0"/>
              <w:jc w:val="both"/>
              <w:rPr>
                <w:b/>
                <w:bCs/>
                <w:color w:val="000000" w:themeColor="text1"/>
              </w:rPr>
            </w:pPr>
          </w:p>
          <w:p w:rsidRPr="002A2E5E" w:rsidR="00690795" w:rsidP="002B33BC" w:rsidRDefault="00690795" w14:paraId="4A13EE45" w14:textId="6F061763">
            <w:pPr>
              <w:pStyle w:val="naisc"/>
              <w:spacing w:before="0" w:after="0"/>
              <w:rPr>
                <w:color w:val="000000" w:themeColor="text1"/>
              </w:rPr>
            </w:pPr>
            <w:r w:rsidRPr="002A2E5E">
              <w:rPr>
                <w:b/>
                <w:bCs/>
                <w:color w:val="000000" w:themeColor="text1"/>
              </w:rPr>
              <w:t>Finanšu ministrija</w:t>
            </w:r>
            <w:r w:rsidRPr="002A2E5E">
              <w:rPr>
                <w:color w:val="000000" w:themeColor="text1"/>
              </w:rPr>
              <w:t xml:space="preserve"> (26.06.2020. atzinums Nr.12/A-7/3497)</w:t>
            </w:r>
          </w:p>
          <w:p w:rsidRPr="002A2E5E" w:rsidR="00690795" w:rsidP="00E85134" w:rsidRDefault="00690795" w14:paraId="3E280EA2" w14:textId="77777777">
            <w:pPr>
              <w:pStyle w:val="naisc"/>
              <w:spacing w:after="0"/>
              <w:jc w:val="both"/>
            </w:pPr>
          </w:p>
        </w:tc>
      </w:tr>
      <w:tr w:rsidRPr="00C55724" w:rsidR="00690795" w:rsidTr="00005AF5" w14:paraId="72FDB8DB" w14:textId="77777777">
        <w:tc>
          <w:tcPr>
            <w:tcW w:w="201" w:type="pct"/>
            <w:shd w:val="clear" w:color="auto" w:fill="auto"/>
          </w:tcPr>
          <w:p w:rsidRPr="002A2E5E" w:rsidR="00690795" w:rsidP="00690795" w:rsidRDefault="00690795" w14:paraId="49472D0F" w14:textId="54F5D75D">
            <w:pPr>
              <w:pStyle w:val="naisc"/>
              <w:spacing w:before="0" w:after="0"/>
            </w:pPr>
            <w:r w:rsidRPr="002A2E5E">
              <w:t>3.</w:t>
            </w:r>
          </w:p>
        </w:tc>
        <w:tc>
          <w:tcPr>
            <w:tcW w:w="1049" w:type="pct"/>
            <w:shd w:val="clear" w:color="auto" w:fill="auto"/>
          </w:tcPr>
          <w:p w:rsidRPr="002A2E5E" w:rsidR="00690795" w:rsidP="00690795" w:rsidRDefault="00690795" w14:paraId="3CF3A8E3" w14:textId="0339B3E1">
            <w:pPr>
              <w:pStyle w:val="naisc"/>
              <w:spacing w:before="0" w:after="0"/>
              <w:jc w:val="both"/>
              <w:rPr>
                <w:bCs/>
                <w:color w:val="000000" w:themeColor="text1"/>
              </w:rPr>
            </w:pPr>
            <w:r w:rsidRPr="002A2E5E">
              <w:rPr>
                <w:bCs/>
                <w:color w:val="000000" w:themeColor="text1"/>
              </w:rPr>
              <w:t>Rīkojuma projekt</w:t>
            </w:r>
            <w:r w:rsidRPr="002A2E5E" w:rsidR="00015638">
              <w:rPr>
                <w:bCs/>
                <w:color w:val="000000" w:themeColor="text1"/>
              </w:rPr>
              <w:t>a 1.punkts</w:t>
            </w:r>
          </w:p>
          <w:p w:rsidRPr="002A2E5E" w:rsidR="00015638" w:rsidP="00690795" w:rsidRDefault="00015638" w14:paraId="57129734" w14:textId="57B66B8B">
            <w:pPr>
              <w:pStyle w:val="naisc"/>
              <w:spacing w:after="0"/>
              <w:jc w:val="both"/>
              <w:rPr>
                <w:bCs/>
                <w:color w:val="000000" w:themeColor="text1"/>
              </w:rPr>
            </w:pPr>
            <w:r w:rsidRPr="002A2E5E">
              <w:rPr>
                <w:bCs/>
                <w:color w:val="000000" w:themeColor="text1"/>
              </w:rPr>
              <w:t>1.Atbalstīt pievienotās vērtības nodokļa summas kompensēšanu Igaunijas Republikai un Lietuvas Republikai 252 158 eiro apmērā, kas nav atgūstama kā priekšnodoklis no akciju sabiedrības “RB Rail” veiktajiem darījumiem ar Valsts ieņēmumu dienesta Pievienotās vērtības nodokļu maksātāju reģistrā reģistrētiem nodokļu maksātājiem laika periodā no 2019.gada novembra līdz 2020.gada martam.</w:t>
            </w:r>
          </w:p>
          <w:p w:rsidRPr="002A2E5E" w:rsidR="00015638" w:rsidP="00690795" w:rsidRDefault="00015638" w14:paraId="42E8B109" w14:textId="77777777">
            <w:pPr>
              <w:pStyle w:val="naisc"/>
              <w:spacing w:after="0"/>
              <w:jc w:val="both"/>
              <w:rPr>
                <w:bCs/>
                <w:color w:val="000000" w:themeColor="text1"/>
              </w:rPr>
            </w:pPr>
          </w:p>
          <w:p w:rsidRPr="002A2E5E" w:rsidR="00690795" w:rsidP="00690795" w:rsidRDefault="00690795" w14:paraId="59F51BCA" w14:textId="77777777">
            <w:pPr>
              <w:pStyle w:val="naisc"/>
              <w:spacing w:after="0"/>
              <w:jc w:val="both"/>
              <w:rPr>
                <w:bCs/>
                <w:color w:val="000000" w:themeColor="text1"/>
              </w:rPr>
            </w:pPr>
            <w:r w:rsidRPr="002A2E5E">
              <w:rPr>
                <w:bCs/>
                <w:color w:val="000000" w:themeColor="text1"/>
              </w:rPr>
              <w:t>Anotācija.</w:t>
            </w:r>
          </w:p>
          <w:p w:rsidRPr="002A2E5E" w:rsidR="00015638" w:rsidP="00690795" w:rsidRDefault="00015638" w14:paraId="4A987A28" w14:textId="0C48A52B">
            <w:pPr>
              <w:pStyle w:val="naisc"/>
              <w:spacing w:after="0"/>
              <w:jc w:val="both"/>
            </w:pPr>
          </w:p>
        </w:tc>
        <w:tc>
          <w:tcPr>
            <w:tcW w:w="1279" w:type="pct"/>
            <w:shd w:val="clear" w:color="auto" w:fill="auto"/>
          </w:tcPr>
          <w:p w:rsidRPr="002A2E5E" w:rsidR="00690795" w:rsidP="00690795" w:rsidRDefault="00690795" w14:paraId="08193C9D" w14:textId="2A192C8B">
            <w:pPr>
              <w:jc w:val="both"/>
              <w:rPr>
                <w:bCs/>
                <w:color w:val="000000" w:themeColor="text1"/>
              </w:rPr>
            </w:pPr>
            <w:r w:rsidRPr="002A2E5E">
              <w:rPr>
                <w:bCs/>
                <w:color w:val="000000" w:themeColor="text1"/>
              </w:rPr>
              <w:t>Lūdz</w:t>
            </w:r>
            <w:r w:rsidR="00597C7F">
              <w:rPr>
                <w:bCs/>
                <w:color w:val="000000" w:themeColor="text1"/>
              </w:rPr>
              <w:t>am</w:t>
            </w:r>
            <w:r w:rsidRPr="002A2E5E">
              <w:rPr>
                <w:bCs/>
                <w:color w:val="000000" w:themeColor="text1"/>
              </w:rPr>
              <w:t xml:space="preserve">  rīkojuma projektā un anotācijā piedāvāt citu risinājumu jautājumam par 2019.gada novembra-decembra PVN saņemto ieņēmumu kompensēšanu 131 211,96 </w:t>
            </w:r>
            <w:r w:rsidRPr="002A2E5E">
              <w:rPr>
                <w:bCs/>
                <w:i/>
                <w:iCs/>
                <w:color w:val="000000" w:themeColor="text1"/>
              </w:rPr>
              <w:t>euro</w:t>
            </w:r>
            <w:r w:rsidRPr="002A2E5E">
              <w:rPr>
                <w:bCs/>
                <w:color w:val="000000" w:themeColor="text1"/>
              </w:rPr>
              <w:t xml:space="preserve"> apmērā, ņemot vērā, ka Ministru kabineta 2020.gada 14.aprīļa noteikumu Nr.218 “Kārtība, kādā kompensē pievienotās vērtības nodokļa summas Igaunijai un Lietuvai par akciju sabiedrības “RB Rail” veiktajām aktivitātēm” (turpmāk – MKN Nr.218) regulējums paredz apropriācijas palielinājumu saistībā ar saņemtajiem PVN ieņēmumiem 2020.gadā.</w:t>
            </w:r>
          </w:p>
          <w:p w:rsidRPr="002A2E5E" w:rsidR="00690795" w:rsidP="00690795" w:rsidRDefault="00690795" w14:paraId="569324F9" w14:textId="77777777">
            <w:pPr>
              <w:pStyle w:val="naisc"/>
              <w:spacing w:before="0" w:after="0"/>
              <w:jc w:val="both"/>
            </w:pPr>
          </w:p>
        </w:tc>
        <w:tc>
          <w:tcPr>
            <w:tcW w:w="1243" w:type="pct"/>
            <w:shd w:val="clear" w:color="auto" w:fill="auto"/>
          </w:tcPr>
          <w:p w:rsidRPr="002A2E5E" w:rsidR="00690795" w:rsidP="002B33BC" w:rsidRDefault="00DC219E" w14:paraId="0E1B13D8" w14:textId="77777777">
            <w:pPr>
              <w:pStyle w:val="naisc"/>
              <w:spacing w:before="0" w:after="0"/>
              <w:rPr>
                <w:b/>
                <w:bCs/>
              </w:rPr>
            </w:pPr>
            <w:r w:rsidRPr="002A2E5E">
              <w:rPr>
                <w:b/>
                <w:bCs/>
              </w:rPr>
              <w:t>Iebildums ņemts vērā.</w:t>
            </w:r>
          </w:p>
          <w:p w:rsidRPr="002A2E5E" w:rsidR="00DC219E" w:rsidP="00690795" w:rsidRDefault="00DC219E" w14:paraId="65FE597E" w14:textId="3BEC7055">
            <w:pPr>
              <w:pStyle w:val="naisc"/>
              <w:spacing w:before="0" w:after="0"/>
              <w:jc w:val="both"/>
            </w:pPr>
          </w:p>
        </w:tc>
        <w:tc>
          <w:tcPr>
            <w:tcW w:w="1228" w:type="pct"/>
            <w:shd w:val="clear" w:color="auto" w:fill="auto"/>
          </w:tcPr>
          <w:p w:rsidRPr="002A2E5E" w:rsidR="00C3609D" w:rsidP="00C3609D" w:rsidRDefault="002B33BC" w14:paraId="6061D094" w14:textId="2677EF86">
            <w:pPr>
              <w:pStyle w:val="naisc"/>
              <w:spacing w:before="0" w:after="0"/>
              <w:jc w:val="both"/>
              <w:rPr>
                <w:rFonts w:eastAsia="Calibri"/>
                <w:lang w:eastAsia="en-US"/>
              </w:rPr>
            </w:pPr>
            <w:r w:rsidRPr="002A2E5E">
              <w:t>Precizēts</w:t>
            </w:r>
            <w:r w:rsidRPr="002A2E5E">
              <w:rPr>
                <w:rFonts w:eastAsia="Calibri"/>
                <w:lang w:eastAsia="en-US"/>
              </w:rPr>
              <w:t xml:space="preserve"> </w:t>
            </w:r>
            <w:r w:rsidRPr="002A2E5E" w:rsidR="00C3609D">
              <w:rPr>
                <w:rFonts w:eastAsia="Calibri"/>
                <w:lang w:eastAsia="en-US"/>
              </w:rPr>
              <w:t>Rīkojuma projekta 1.punkts</w:t>
            </w:r>
            <w:r>
              <w:rPr>
                <w:rFonts w:eastAsia="Calibri"/>
                <w:lang w:eastAsia="en-US"/>
              </w:rPr>
              <w:t>:</w:t>
            </w:r>
          </w:p>
          <w:p w:rsidRPr="002A2E5E" w:rsidR="007E1AE1" w:rsidP="007E1AE1" w:rsidRDefault="002B33BC" w14:paraId="7B75A9E6" w14:textId="2B6E0336">
            <w:pPr>
              <w:pStyle w:val="naisc"/>
              <w:spacing w:after="0"/>
              <w:jc w:val="both"/>
              <w:rPr>
                <w:rFonts w:eastAsia="Calibri"/>
                <w:lang w:eastAsia="en-US"/>
              </w:rPr>
            </w:pPr>
            <w:r>
              <w:rPr>
                <w:rFonts w:eastAsia="Calibri"/>
                <w:lang w:eastAsia="en-US"/>
              </w:rPr>
              <w:t>“</w:t>
            </w:r>
            <w:r w:rsidRPr="002A2E5E" w:rsidR="007E1AE1">
              <w:rPr>
                <w:rFonts w:eastAsia="Calibri"/>
                <w:lang w:eastAsia="en-US"/>
              </w:rPr>
              <w:t>1.</w:t>
            </w:r>
            <w:r w:rsidRPr="002A2E5E" w:rsidR="007E1AE1">
              <w:rPr>
                <w:rFonts w:eastAsia="Calibri"/>
                <w:lang w:eastAsia="en-US"/>
              </w:rPr>
              <w:tab/>
              <w:t>Atbalstīt pievienotās vērtības nodokļa summas, kas nav atgūstama kā priekšnodoklis, kompensēšanu Igaunijas Republikai un Lietuvas Republikai  no akciju sabiedrības “RB Rail” veiktajiem darījumiem ar Valsts ieņēmumu dienesta Pievienotās vērtības nodokļa maksātāju reģistrā reģistrētiem nodokļu maksātājiem šādā apjomā:</w:t>
            </w:r>
          </w:p>
          <w:p w:rsidRPr="002A2E5E" w:rsidR="007E1AE1" w:rsidP="007E1AE1" w:rsidRDefault="007E1AE1" w14:paraId="6C03DEDA" w14:textId="77777777">
            <w:pPr>
              <w:pStyle w:val="naisc"/>
              <w:spacing w:after="0"/>
              <w:jc w:val="both"/>
              <w:rPr>
                <w:rFonts w:eastAsia="Calibri"/>
                <w:lang w:eastAsia="en-US"/>
              </w:rPr>
            </w:pPr>
            <w:r w:rsidRPr="002A2E5E">
              <w:rPr>
                <w:rFonts w:eastAsia="Calibri"/>
                <w:lang w:eastAsia="en-US"/>
              </w:rPr>
              <w:t>1.1.</w:t>
            </w:r>
            <w:r w:rsidRPr="002A2E5E">
              <w:rPr>
                <w:rFonts w:eastAsia="Calibri"/>
                <w:lang w:eastAsia="en-US"/>
              </w:rPr>
              <w:tab/>
              <w:t xml:space="preserve"> par 2019.gada novembrī un decembrī veiktajiem darījumiem 131 212 euro apmērā;</w:t>
            </w:r>
          </w:p>
          <w:p w:rsidRPr="002A2E5E" w:rsidR="007E1AE1" w:rsidP="007E1AE1" w:rsidRDefault="007E1AE1" w14:paraId="6B894C9A" w14:textId="77777777">
            <w:pPr>
              <w:pStyle w:val="naisc"/>
              <w:spacing w:after="0"/>
              <w:jc w:val="both"/>
              <w:rPr>
                <w:rFonts w:eastAsia="Calibri"/>
                <w:lang w:eastAsia="en-US"/>
              </w:rPr>
            </w:pPr>
            <w:r w:rsidRPr="002A2E5E">
              <w:rPr>
                <w:rFonts w:eastAsia="Calibri"/>
                <w:lang w:eastAsia="en-US"/>
              </w:rPr>
              <w:t>1.2.</w:t>
            </w:r>
            <w:r w:rsidRPr="002A2E5E">
              <w:rPr>
                <w:rFonts w:eastAsia="Calibri"/>
                <w:lang w:eastAsia="en-US"/>
              </w:rPr>
              <w:tab/>
              <w:t xml:space="preserve"> par 2020.gada janvārī, februārī un martā veiktajiem darījumiem 120 946 euro apmērā;</w:t>
            </w:r>
          </w:p>
          <w:p w:rsidRPr="002A2E5E" w:rsidR="00C3609D" w:rsidP="007E1AE1" w:rsidRDefault="007E1AE1" w14:paraId="561ACAE7" w14:textId="44E5C947">
            <w:pPr>
              <w:pStyle w:val="naisc"/>
              <w:spacing w:after="0"/>
              <w:jc w:val="both"/>
              <w:rPr>
                <w:rFonts w:eastAsia="Calibri"/>
                <w:lang w:eastAsia="en-US"/>
              </w:rPr>
            </w:pPr>
            <w:r w:rsidRPr="002A2E5E">
              <w:rPr>
                <w:rFonts w:eastAsia="Calibri"/>
                <w:lang w:eastAsia="en-US"/>
              </w:rPr>
              <w:t>1.3.</w:t>
            </w:r>
            <w:r w:rsidRPr="002A2E5E">
              <w:rPr>
                <w:rFonts w:eastAsia="Calibri"/>
                <w:lang w:eastAsia="en-US"/>
              </w:rPr>
              <w:tab/>
              <w:t xml:space="preserve"> par 2020.gada aprīlī, maijā un jūnijā veiktajiem </w:t>
            </w:r>
            <w:r w:rsidRPr="002A2E5E">
              <w:rPr>
                <w:rFonts w:eastAsia="Calibri"/>
                <w:lang w:eastAsia="en-US"/>
              </w:rPr>
              <w:lastRenderedPageBreak/>
              <w:t xml:space="preserve">darījumiem 168 505 </w:t>
            </w:r>
            <w:proofErr w:type="spellStart"/>
            <w:r w:rsidRPr="002A2E5E">
              <w:rPr>
                <w:rFonts w:eastAsia="Calibri"/>
                <w:lang w:eastAsia="en-US"/>
              </w:rPr>
              <w:t>euro</w:t>
            </w:r>
            <w:proofErr w:type="spellEnd"/>
            <w:r w:rsidRPr="002A2E5E">
              <w:rPr>
                <w:rFonts w:eastAsia="Calibri"/>
                <w:lang w:eastAsia="en-US"/>
              </w:rPr>
              <w:t xml:space="preserve"> apmērā.</w:t>
            </w:r>
            <w:r w:rsidR="002B33BC">
              <w:rPr>
                <w:rFonts w:eastAsia="Calibri"/>
                <w:lang w:eastAsia="en-US"/>
              </w:rPr>
              <w:t>”</w:t>
            </w:r>
          </w:p>
          <w:p w:rsidRPr="002A2E5E" w:rsidR="00C3609D" w:rsidP="00690795" w:rsidRDefault="002B33BC" w14:paraId="4276CB1A" w14:textId="02431213">
            <w:pPr>
              <w:pStyle w:val="naisc"/>
              <w:spacing w:after="0"/>
              <w:jc w:val="both"/>
              <w:rPr>
                <w:rFonts w:eastAsia="Calibri"/>
                <w:lang w:eastAsia="en-US"/>
              </w:rPr>
            </w:pPr>
            <w:r>
              <w:rPr>
                <w:rFonts w:eastAsia="Calibri"/>
                <w:lang w:eastAsia="en-US"/>
              </w:rPr>
              <w:t>Precizēta Rīkojuma projekta a</w:t>
            </w:r>
            <w:r w:rsidRPr="002A2E5E" w:rsidR="00C3609D">
              <w:rPr>
                <w:rFonts w:eastAsia="Calibri"/>
                <w:lang w:eastAsia="en-US"/>
              </w:rPr>
              <w:t>notācija</w:t>
            </w:r>
            <w:r>
              <w:rPr>
                <w:rFonts w:eastAsia="Calibri"/>
                <w:lang w:eastAsia="en-US"/>
              </w:rPr>
              <w:t xml:space="preserve">s </w:t>
            </w:r>
            <w:r>
              <w:t xml:space="preserve"> </w:t>
            </w:r>
            <w:r w:rsidRPr="002B33BC">
              <w:rPr>
                <w:rFonts w:eastAsia="Calibri"/>
                <w:lang w:eastAsia="en-US"/>
              </w:rPr>
              <w:t>I sadaļa</w:t>
            </w:r>
            <w:r w:rsidR="00FD5F83">
              <w:rPr>
                <w:rFonts w:eastAsia="Calibri"/>
                <w:lang w:eastAsia="en-US"/>
              </w:rPr>
              <w:t>s 2.punkts:</w:t>
            </w:r>
          </w:p>
          <w:p w:rsidRPr="002A2E5E" w:rsidR="005A5E44" w:rsidP="002B33BC" w:rsidRDefault="002B33BC" w14:paraId="69BC2C55" w14:textId="7BF92670">
            <w:pPr>
              <w:pStyle w:val="naisc"/>
              <w:spacing w:after="0"/>
              <w:jc w:val="both"/>
            </w:pPr>
            <w:r>
              <w:rPr>
                <w:rFonts w:eastAsia="Calibri"/>
                <w:lang w:eastAsia="en-US"/>
              </w:rPr>
              <w:t>“</w:t>
            </w:r>
            <w:r w:rsidRPr="0026232C" w:rsidR="0026232C">
              <w:rPr>
                <w:rFonts w:eastAsia="Calibri"/>
                <w:color w:val="000000" w:themeColor="text1"/>
                <w:lang w:eastAsia="en-US"/>
              </w:rPr>
              <w:t xml:space="preserve">Atbilstoši Ministru kabineta 2019.gada 3.decembra </w:t>
            </w:r>
            <w:proofErr w:type="spellStart"/>
            <w:r w:rsidRPr="0026232C" w:rsidR="0026232C">
              <w:rPr>
                <w:rFonts w:eastAsia="Calibri"/>
                <w:color w:val="000000" w:themeColor="text1"/>
                <w:lang w:eastAsia="en-US"/>
              </w:rPr>
              <w:t>protokollēmuma</w:t>
            </w:r>
            <w:proofErr w:type="spellEnd"/>
            <w:r w:rsidRPr="0026232C" w:rsidR="0026232C">
              <w:rPr>
                <w:rFonts w:eastAsia="Calibri"/>
                <w:color w:val="000000" w:themeColor="text1"/>
                <w:lang w:eastAsia="en-US"/>
              </w:rPr>
              <w:t xml:space="preserve"> (prot.Nr.56, 37.§) “Informatīvais ziņojums “Par pievienotās vērtības nodokļa finansējumu RB Rail AS aktivitāšu īstenošanai Latvijas teritorijā” (TA-2395) 3.punktam ir atbalstīta RBR 2019. gadā samaksātā PVN kompensāciju no Satiksmes ministrijas (turpmāk – Ministrija) budžeta apakšprogrammā 60.07.00 “Eiropas transporta infrastruktūras projekti (Rail </w:t>
            </w:r>
            <w:proofErr w:type="spellStart"/>
            <w:r w:rsidRPr="0026232C" w:rsidR="0026232C">
              <w:rPr>
                <w:rFonts w:eastAsia="Calibri"/>
                <w:color w:val="000000" w:themeColor="text1"/>
                <w:lang w:eastAsia="en-US"/>
              </w:rPr>
              <w:t>Baltica</w:t>
            </w:r>
            <w:proofErr w:type="spellEnd"/>
            <w:r w:rsidRPr="0026232C" w:rsidR="0026232C">
              <w:rPr>
                <w:rFonts w:eastAsia="Calibri"/>
                <w:color w:val="000000" w:themeColor="text1"/>
                <w:lang w:eastAsia="en-US"/>
              </w:rPr>
              <w:t xml:space="preserve">)” pieejamās vispārējā kārtībā sadalāmās dotācijas no vispārējiem ieņēmumiem 1 139 191 EUR apmērā. Ministrija, kompensējot PVN no darījumiem, kas veikti 2018.gada 3. un 4. ceturksnī un 2019.gada janvārī – oktobrī, RBR pamatkapitālā atgrieza 897 695,38 EUR. Tā kā dokumenti par RBR 2019.gada novembra – </w:t>
            </w:r>
            <w:r w:rsidRPr="0026232C" w:rsidR="0026232C">
              <w:rPr>
                <w:rFonts w:eastAsia="Calibri"/>
                <w:color w:val="000000" w:themeColor="text1"/>
                <w:lang w:eastAsia="en-US"/>
              </w:rPr>
              <w:lastRenderedPageBreak/>
              <w:t>decembra PVN maksājumiem Ministrijā tika saņemti 2020.gada janvārī, 2019.gada novembra – decembra kompensējamā PVN summa 131 211,96 EUR apmērā ir iekļauta Rīkojuma projektā un sākotnējās ietekmes ziņojumā (anotācijā). 2019.gadā jau RBR kompensētā PVN un Rīkojuma projektā ietvertā 2019.gada novembra-decembra PVN kopsumma ir 1 028 907,34 EUR, kas nepārsniedz Ministru kabineta atbalstīto 1 139 191 EUR kompensāciju.</w:t>
            </w:r>
            <w:r w:rsidRPr="0026232C" w:rsidR="0026232C">
              <w:rPr>
                <w:rFonts w:eastAsia="Calibri"/>
                <w:color w:val="000000" w:themeColor="text1"/>
                <w:lang w:eastAsia="en-US"/>
              </w:rPr>
              <w:t>”</w:t>
            </w:r>
          </w:p>
        </w:tc>
      </w:tr>
      <w:tr w:rsidRPr="00C55724" w:rsidR="00690795" w:rsidTr="00005AF5" w14:paraId="02BBECFF" w14:textId="77777777">
        <w:tc>
          <w:tcPr>
            <w:tcW w:w="201" w:type="pct"/>
            <w:shd w:val="clear" w:color="auto" w:fill="auto"/>
          </w:tcPr>
          <w:p w:rsidRPr="002A2E5E" w:rsidR="00690795" w:rsidP="00690795" w:rsidRDefault="00690795" w14:paraId="12EC53E2" w14:textId="0D8A67E0">
            <w:pPr>
              <w:pStyle w:val="naisc"/>
              <w:spacing w:before="0" w:after="0"/>
            </w:pPr>
            <w:r w:rsidRPr="002A2E5E">
              <w:lastRenderedPageBreak/>
              <w:t>4.</w:t>
            </w:r>
          </w:p>
        </w:tc>
        <w:tc>
          <w:tcPr>
            <w:tcW w:w="1049" w:type="pct"/>
            <w:shd w:val="clear" w:color="auto" w:fill="auto"/>
          </w:tcPr>
          <w:p w:rsidRPr="002A2E5E" w:rsidR="00690795" w:rsidP="00690795" w:rsidRDefault="00690795" w14:paraId="4B3701B7" w14:textId="67498E72">
            <w:pPr>
              <w:pStyle w:val="naisc"/>
              <w:spacing w:before="0" w:after="0"/>
              <w:jc w:val="both"/>
              <w:rPr>
                <w:bCs/>
                <w:color w:val="000000" w:themeColor="text1"/>
              </w:rPr>
            </w:pPr>
            <w:r w:rsidRPr="002A2E5E">
              <w:rPr>
                <w:bCs/>
                <w:color w:val="000000" w:themeColor="text1"/>
              </w:rPr>
              <w:t>Rīkojuma projekts</w:t>
            </w:r>
            <w:r w:rsidR="00597C7F">
              <w:rPr>
                <w:bCs/>
                <w:color w:val="000000" w:themeColor="text1"/>
              </w:rPr>
              <w:t>.</w:t>
            </w:r>
          </w:p>
          <w:p w:rsidRPr="002A2E5E" w:rsidR="00690795" w:rsidP="00690795" w:rsidRDefault="00690795" w14:paraId="0F5AB775" w14:textId="77777777">
            <w:pPr>
              <w:pStyle w:val="naisc"/>
              <w:spacing w:after="0"/>
              <w:jc w:val="both"/>
            </w:pPr>
          </w:p>
        </w:tc>
        <w:tc>
          <w:tcPr>
            <w:tcW w:w="1279" w:type="pct"/>
            <w:shd w:val="clear" w:color="auto" w:fill="auto"/>
          </w:tcPr>
          <w:p w:rsidRPr="002A2E5E" w:rsidR="00690795" w:rsidP="00690795" w:rsidRDefault="00690795" w14:paraId="1849A98B" w14:textId="43622E1B">
            <w:pPr>
              <w:pStyle w:val="naisc"/>
              <w:spacing w:before="0" w:after="0"/>
              <w:jc w:val="both"/>
              <w:rPr>
                <w:bCs/>
                <w:color w:val="000000" w:themeColor="text1"/>
              </w:rPr>
            </w:pPr>
            <w:r w:rsidRPr="002A2E5E">
              <w:t>Lūdz</w:t>
            </w:r>
            <w:r w:rsidR="00597C7F">
              <w:t>am</w:t>
            </w:r>
            <w:r w:rsidRPr="002A2E5E">
              <w:t xml:space="preserve"> rīkojuma projektam pievienot Igaunijas un Lietuvas izsniegtu autorizāciju, jo saskaņā ar MKN Nr.218 4.punktu Igaunijai un Lietuvai kompensējamo PVN summu Satiksmes ministrija pārskaita akciju sabiedrībai “RB Rail” saskaņā ar Igaunijas un Lietuvas izsniegtu autorizāciju, kas pilnvaro akciju sabiedrību “RB Rail” saņemt Igaunijai un Lietuvai kompensējamo PVN summu atbilstoši MKN Nr.218. </w:t>
            </w:r>
          </w:p>
          <w:p w:rsidRPr="002A2E5E" w:rsidR="00690795" w:rsidP="00690795" w:rsidRDefault="00690795" w14:paraId="263CB961" w14:textId="77777777">
            <w:pPr>
              <w:pStyle w:val="naisc"/>
              <w:spacing w:before="0" w:after="0"/>
              <w:jc w:val="both"/>
            </w:pPr>
          </w:p>
        </w:tc>
        <w:tc>
          <w:tcPr>
            <w:tcW w:w="1243" w:type="pct"/>
            <w:shd w:val="clear" w:color="auto" w:fill="auto"/>
          </w:tcPr>
          <w:p w:rsidRPr="002A2E5E" w:rsidR="00690795" w:rsidP="00597C7F" w:rsidRDefault="005A5E44" w14:paraId="33286DEC" w14:textId="77777777">
            <w:pPr>
              <w:pStyle w:val="naisc"/>
              <w:spacing w:before="0" w:after="0"/>
              <w:rPr>
                <w:b/>
                <w:bCs/>
              </w:rPr>
            </w:pPr>
            <w:r w:rsidRPr="002A2E5E">
              <w:rPr>
                <w:b/>
                <w:bCs/>
              </w:rPr>
              <w:t>Iebildums ņemts vērā.</w:t>
            </w:r>
          </w:p>
          <w:p w:rsidRPr="002A2E5E" w:rsidR="005A5E44" w:rsidP="00690795" w:rsidRDefault="005A5E44" w14:paraId="02A088B9" w14:textId="7B3036A7">
            <w:pPr>
              <w:pStyle w:val="naisc"/>
              <w:spacing w:before="0" w:after="0"/>
              <w:jc w:val="both"/>
            </w:pPr>
          </w:p>
        </w:tc>
        <w:tc>
          <w:tcPr>
            <w:tcW w:w="1228" w:type="pct"/>
            <w:shd w:val="clear" w:color="auto" w:fill="auto"/>
          </w:tcPr>
          <w:p w:rsidRPr="002A2E5E" w:rsidR="00690795" w:rsidP="009311AF" w:rsidRDefault="007E1AE1" w14:paraId="01E0BC96" w14:textId="7FAAB20D">
            <w:pPr>
              <w:pStyle w:val="naisc"/>
              <w:spacing w:before="0" w:after="0"/>
              <w:jc w:val="both"/>
            </w:pPr>
            <w:r w:rsidRPr="002A2E5E">
              <w:t xml:space="preserve">Atbilstoši Tieslietu ministrijas </w:t>
            </w:r>
            <w:r w:rsidR="00BB57A0">
              <w:t>iebildumam</w:t>
            </w:r>
            <w:r w:rsidRPr="002A2E5E">
              <w:t xml:space="preserve"> (</w:t>
            </w:r>
            <w:r w:rsidR="00597C7F">
              <w:t>izziņas</w:t>
            </w:r>
            <w:r w:rsidRPr="002A2E5E">
              <w:t xml:space="preserve"> 8</w:t>
            </w:r>
            <w:r w:rsidR="00597C7F">
              <w:t>.punkts</w:t>
            </w:r>
            <w:r w:rsidRPr="002A2E5E">
              <w:t xml:space="preserve">) </w:t>
            </w:r>
            <w:r w:rsidRPr="002A2E5E" w:rsidR="009311AF">
              <w:t xml:space="preserve">Lietuvas un Igaunijas autorizācijas </w:t>
            </w:r>
            <w:r w:rsidRPr="002A2E5E">
              <w:t xml:space="preserve">un to tulkojumi ir pievienoti </w:t>
            </w:r>
            <w:r w:rsidR="00597C7F">
              <w:t xml:space="preserve">Rīkojuma projekta </w:t>
            </w:r>
            <w:r w:rsidRPr="002A2E5E">
              <w:t>anotācijai</w:t>
            </w:r>
            <w:r w:rsidRPr="002A2E5E" w:rsidR="009311AF">
              <w:t>.</w:t>
            </w:r>
          </w:p>
          <w:p w:rsidR="00597C7F" w:rsidP="009311AF" w:rsidRDefault="00597C7F" w14:paraId="15B46B7F" w14:textId="77777777">
            <w:pPr>
              <w:pStyle w:val="naisc"/>
              <w:spacing w:before="0" w:after="0"/>
              <w:jc w:val="both"/>
            </w:pPr>
          </w:p>
          <w:p w:rsidR="009311AF" w:rsidP="009311AF" w:rsidRDefault="00597C7F" w14:paraId="7A13285C" w14:textId="76FDDE9A">
            <w:pPr>
              <w:pStyle w:val="naisc"/>
              <w:spacing w:before="0" w:after="0"/>
              <w:jc w:val="both"/>
            </w:pPr>
            <w:r>
              <w:t>Papildināt</w:t>
            </w:r>
            <w:r w:rsidR="00FD5F83">
              <w:t>s</w:t>
            </w:r>
            <w:r>
              <w:t xml:space="preserve"> Rīkojuma projekta a</w:t>
            </w:r>
            <w:r w:rsidRPr="002A2E5E" w:rsidR="007E1AE1">
              <w:t>notācijas II</w:t>
            </w:r>
            <w:r>
              <w:t xml:space="preserve"> </w:t>
            </w:r>
            <w:r w:rsidRPr="002A2E5E" w:rsidR="007E1AE1">
              <w:t>sadaļ</w:t>
            </w:r>
            <w:r>
              <w:t>as 1.punkts:</w:t>
            </w:r>
          </w:p>
          <w:p w:rsidRPr="002A2E5E" w:rsidR="007E1AE1" w:rsidP="009311AF" w:rsidRDefault="00597C7F" w14:paraId="63A9C373" w14:textId="3B9151D7">
            <w:pPr>
              <w:pStyle w:val="naisc"/>
              <w:spacing w:before="0" w:after="0"/>
              <w:jc w:val="both"/>
            </w:pPr>
            <w:r>
              <w:t>“</w:t>
            </w:r>
            <w:r w:rsidRPr="002A2E5E" w:rsidR="007E1AE1">
              <w:t xml:space="preserve">Noteikumi Nr.218 paredz saņemt atbilstošu Lietuvas un Igaunijas autorizāciju tam, ka Ministrija Igaunijai un Lietuvai  kompensējamās PVN summas pārskaita RBR. </w:t>
            </w:r>
            <w:r w:rsidRPr="00407A3F" w:rsidR="00407A3F">
              <w:rPr>
                <w:color w:val="000000" w:themeColor="text1"/>
              </w:rPr>
              <w:t>R</w:t>
            </w:r>
            <w:r w:rsidRPr="00407A3F" w:rsidR="007E1AE1">
              <w:rPr>
                <w:color w:val="000000" w:themeColor="text1"/>
              </w:rPr>
              <w:t xml:space="preserve">īkojuma </w:t>
            </w:r>
            <w:r w:rsidRPr="00407A3F" w:rsidR="007E1AE1">
              <w:rPr>
                <w:color w:val="000000" w:themeColor="text1"/>
              </w:rPr>
              <w:lastRenderedPageBreak/>
              <w:t xml:space="preserve">projekts </w:t>
            </w:r>
            <w:r w:rsidRPr="002A2E5E" w:rsidR="007E1AE1">
              <w:t>aptver arī RBR 2019.gada novembrī un decembrī  no Latvijā veiktajiem darījumiem samaksātā PVN kompensāciju. Lai nodrošinātu iespēju Ministrijai arī divu minēto 2019.gada mēnešu kompensējamā PVN pārskaitīšanu RBR, tad Igaunija un Lietuva ir iesniegušas autorizāciju par summu, kas aptver 2019.gada novembra-decembra un 2020.gada janvāra-jūnija kompensējamo PVN. Visu veicamo PVN kompensācijas summu iekļaušana vienā autorizācijā un tās pārskaitīšana RBR atvieglo Ministrijas administratīvo slogu.</w:t>
            </w:r>
            <w:r>
              <w:t>”</w:t>
            </w:r>
          </w:p>
        </w:tc>
      </w:tr>
      <w:tr w:rsidRPr="00C55724" w:rsidR="008F5BDC" w:rsidTr="008F5BDC" w14:paraId="54AF5272" w14:textId="77777777">
        <w:tc>
          <w:tcPr>
            <w:tcW w:w="5000" w:type="pct"/>
            <w:gridSpan w:val="5"/>
            <w:shd w:val="clear" w:color="auto" w:fill="auto"/>
          </w:tcPr>
          <w:p w:rsidRPr="002A2E5E" w:rsidR="008F5BDC" w:rsidP="00E222AC" w:rsidRDefault="008F5BDC" w14:paraId="567464BA" w14:textId="10C842FA">
            <w:pPr>
              <w:pStyle w:val="naisc"/>
              <w:spacing w:before="0" w:after="0"/>
              <w:rPr>
                <w:color w:val="000000" w:themeColor="text1"/>
              </w:rPr>
            </w:pPr>
            <w:r w:rsidRPr="002A2E5E">
              <w:rPr>
                <w:b/>
                <w:bCs/>
                <w:color w:val="000000" w:themeColor="text1"/>
              </w:rPr>
              <w:lastRenderedPageBreak/>
              <w:t>Tieslietu ministrija</w:t>
            </w:r>
            <w:r w:rsidRPr="002A2E5E">
              <w:rPr>
                <w:color w:val="000000" w:themeColor="text1"/>
              </w:rPr>
              <w:t xml:space="preserve"> (01.09.2020. </w:t>
            </w:r>
            <w:r w:rsidRPr="002A2E5E" w:rsidR="003D34EC">
              <w:rPr>
                <w:color w:val="000000" w:themeColor="text1"/>
              </w:rPr>
              <w:t>elektronisk</w:t>
            </w:r>
            <w:r w:rsidRPr="002A2E5E" w:rsidR="00F91B45">
              <w:rPr>
                <w:color w:val="000000" w:themeColor="text1"/>
              </w:rPr>
              <w:t>ā pasta z</w:t>
            </w:r>
            <w:r w:rsidRPr="002A2E5E">
              <w:rPr>
                <w:color w:val="000000" w:themeColor="text1"/>
              </w:rPr>
              <w:t>iņojums)</w:t>
            </w:r>
          </w:p>
          <w:p w:rsidRPr="002A2E5E" w:rsidR="008F5BDC" w:rsidP="007013C3" w:rsidRDefault="008F5BDC" w14:paraId="17ACA129" w14:textId="77777777">
            <w:pPr>
              <w:pStyle w:val="naisc"/>
              <w:spacing w:before="0" w:after="0"/>
              <w:jc w:val="both"/>
              <w:rPr>
                <w:rFonts w:eastAsia="Calibri"/>
                <w:lang w:eastAsia="en-US"/>
              </w:rPr>
            </w:pPr>
          </w:p>
        </w:tc>
      </w:tr>
      <w:tr w:rsidRPr="00C55724" w:rsidR="008F5BDC" w:rsidTr="00005AF5" w14:paraId="5B1F23B5" w14:textId="77777777">
        <w:tc>
          <w:tcPr>
            <w:tcW w:w="201" w:type="pct"/>
            <w:shd w:val="clear" w:color="auto" w:fill="auto"/>
          </w:tcPr>
          <w:p w:rsidRPr="002A2E5E" w:rsidR="008F5BDC" w:rsidP="00690795" w:rsidRDefault="009D34C7" w14:paraId="34814880" w14:textId="64C999D2">
            <w:pPr>
              <w:pStyle w:val="naisc"/>
              <w:spacing w:before="0" w:after="0"/>
            </w:pPr>
            <w:r>
              <w:t>5</w:t>
            </w:r>
            <w:r w:rsidRPr="002A2E5E" w:rsidR="005D3C26">
              <w:t>.</w:t>
            </w:r>
          </w:p>
        </w:tc>
        <w:tc>
          <w:tcPr>
            <w:tcW w:w="1049" w:type="pct"/>
            <w:shd w:val="clear" w:color="auto" w:fill="auto"/>
          </w:tcPr>
          <w:p w:rsidRPr="002A2E5E" w:rsidR="005D3C26" w:rsidP="009141F7" w:rsidRDefault="005D3C26" w14:paraId="5EC72732" w14:textId="30F1F845">
            <w:pPr>
              <w:pStyle w:val="naisc"/>
              <w:spacing w:before="0" w:after="0"/>
              <w:jc w:val="both"/>
              <w:rPr>
                <w:bCs/>
                <w:color w:val="000000" w:themeColor="text1"/>
              </w:rPr>
            </w:pPr>
            <w:r w:rsidRPr="002A2E5E">
              <w:t>2. Finanšu ministram normatīvajos aktos noteiktajā kārtībā palielināt apropriāciju Satiksmes ministrijai resursiem no dotācijas no vispārējiem ieņēmumiem šā rīkojuma 1.2.apakšpunktā norādītajā apmērā.</w:t>
            </w:r>
          </w:p>
        </w:tc>
        <w:tc>
          <w:tcPr>
            <w:tcW w:w="1279" w:type="pct"/>
            <w:shd w:val="clear" w:color="auto" w:fill="auto"/>
          </w:tcPr>
          <w:p w:rsidRPr="002A2E5E" w:rsidR="005D3C26" w:rsidP="005D3C26" w:rsidRDefault="005D3C26" w14:paraId="7B64C825" w14:textId="6665361A">
            <w:pPr>
              <w:jc w:val="both"/>
              <w:rPr>
                <w:lang w:eastAsia="en-US"/>
              </w:rPr>
            </w:pPr>
            <w:r w:rsidRPr="002A2E5E">
              <w:t>Tieslietu ministrija lūdz svītrot projekta 2. punktu, ņemot vērā to, ka likuma "Par valsts budžetu 2020. gadam" 55. panta otrais teikums paredz kārtību, kādā finanšu ministrs palielina apropriāciju Satiksmes ministrijai resursiem no dotācijas no vispārējiem ieņēmumiem.</w:t>
            </w:r>
          </w:p>
          <w:p w:rsidRPr="002A2E5E" w:rsidR="008F5BDC" w:rsidP="00690795" w:rsidRDefault="008F5BDC" w14:paraId="19379B0F" w14:textId="77777777">
            <w:pPr>
              <w:pStyle w:val="naisc"/>
              <w:spacing w:before="0" w:after="0"/>
              <w:jc w:val="both"/>
            </w:pPr>
          </w:p>
        </w:tc>
        <w:tc>
          <w:tcPr>
            <w:tcW w:w="1243" w:type="pct"/>
            <w:shd w:val="clear" w:color="auto" w:fill="auto"/>
          </w:tcPr>
          <w:p w:rsidRPr="002A2E5E" w:rsidR="008F5BDC" w:rsidP="00E222AC" w:rsidRDefault="00E222AC" w14:paraId="05444587" w14:textId="044FA556">
            <w:pPr>
              <w:pStyle w:val="naisc"/>
              <w:spacing w:before="0" w:after="0"/>
              <w:rPr>
                <w:b/>
                <w:bCs/>
              </w:rPr>
            </w:pPr>
            <w:r>
              <w:rPr>
                <w:b/>
                <w:bCs/>
              </w:rPr>
              <w:lastRenderedPageBreak/>
              <w:t>P</w:t>
            </w:r>
            <w:r w:rsidRPr="002A2E5E" w:rsidR="00A97C37">
              <w:rPr>
                <w:b/>
                <w:bCs/>
              </w:rPr>
              <w:t>anākta vienošanās</w:t>
            </w:r>
            <w:r>
              <w:rPr>
                <w:b/>
                <w:bCs/>
              </w:rPr>
              <w:t xml:space="preserve"> saskaņošanas laikā</w:t>
            </w:r>
            <w:r w:rsidRPr="002A2E5E" w:rsidR="00A97C37">
              <w:rPr>
                <w:b/>
                <w:bCs/>
              </w:rPr>
              <w:t>.</w:t>
            </w:r>
          </w:p>
        </w:tc>
        <w:tc>
          <w:tcPr>
            <w:tcW w:w="1228" w:type="pct"/>
            <w:shd w:val="clear" w:color="auto" w:fill="auto"/>
          </w:tcPr>
          <w:p w:rsidRPr="002A2E5E" w:rsidR="008F5BDC" w:rsidP="007013C3" w:rsidRDefault="00A97C37" w14:paraId="5E08E1A7" w14:textId="31067119">
            <w:pPr>
              <w:pStyle w:val="naisc"/>
              <w:spacing w:before="0" w:after="0"/>
              <w:jc w:val="both"/>
              <w:rPr>
                <w:rFonts w:eastAsia="Calibri"/>
                <w:lang w:eastAsia="en-US"/>
              </w:rPr>
            </w:pPr>
            <w:r w:rsidRPr="002A2E5E">
              <w:rPr>
                <w:rFonts w:eastAsia="Calibri"/>
                <w:lang w:eastAsia="en-US"/>
              </w:rPr>
              <w:t xml:space="preserve">Punkta redakcija precizēta atbilstoši Finanšu ministrijas </w:t>
            </w:r>
            <w:r w:rsidR="00A02E3D">
              <w:rPr>
                <w:rFonts w:eastAsia="Calibri"/>
                <w:lang w:eastAsia="en-US"/>
              </w:rPr>
              <w:t>iebildumam</w:t>
            </w:r>
            <w:r w:rsidRPr="002A2E5E">
              <w:rPr>
                <w:rFonts w:eastAsia="Calibri"/>
                <w:lang w:eastAsia="en-US"/>
              </w:rPr>
              <w:t xml:space="preserve"> (</w:t>
            </w:r>
            <w:r w:rsidR="00A02E3D">
              <w:rPr>
                <w:rFonts w:eastAsia="Calibri"/>
                <w:lang w:eastAsia="en-US"/>
              </w:rPr>
              <w:t>izziņas</w:t>
            </w:r>
            <w:r w:rsidRPr="002A2E5E">
              <w:rPr>
                <w:rFonts w:eastAsia="Calibri"/>
                <w:lang w:eastAsia="en-US"/>
              </w:rPr>
              <w:t xml:space="preserve"> 12</w:t>
            </w:r>
            <w:r w:rsidR="00A02E3D">
              <w:rPr>
                <w:rFonts w:eastAsia="Calibri"/>
                <w:lang w:eastAsia="en-US"/>
              </w:rPr>
              <w:t>.punkts</w:t>
            </w:r>
            <w:r w:rsidRPr="002A2E5E">
              <w:rPr>
                <w:rFonts w:eastAsia="Calibri"/>
                <w:lang w:eastAsia="en-US"/>
              </w:rPr>
              <w:t>)</w:t>
            </w:r>
            <w:r w:rsidR="00A02E3D">
              <w:rPr>
                <w:rFonts w:eastAsia="Calibri"/>
                <w:lang w:eastAsia="en-US"/>
              </w:rPr>
              <w:t>.</w:t>
            </w:r>
          </w:p>
          <w:p w:rsidRPr="002A2E5E" w:rsidR="00A97C37" w:rsidP="007013C3" w:rsidRDefault="00A97C37" w14:paraId="3AD01770" w14:textId="77777777">
            <w:pPr>
              <w:pStyle w:val="naisc"/>
              <w:spacing w:before="0" w:after="0"/>
              <w:jc w:val="both"/>
              <w:rPr>
                <w:rFonts w:eastAsia="Calibri"/>
                <w:lang w:eastAsia="en-US"/>
              </w:rPr>
            </w:pPr>
          </w:p>
          <w:p w:rsidRPr="002A2E5E" w:rsidR="009141F7" w:rsidP="007013C3" w:rsidRDefault="009141F7" w14:paraId="1658CD8E" w14:textId="142A6CA8">
            <w:pPr>
              <w:pStyle w:val="naisc"/>
              <w:spacing w:before="0" w:after="0"/>
              <w:jc w:val="both"/>
              <w:rPr>
                <w:rFonts w:eastAsia="Calibri"/>
                <w:lang w:eastAsia="en-US"/>
              </w:rPr>
            </w:pPr>
            <w:r w:rsidRPr="002A2E5E">
              <w:rPr>
                <w:rFonts w:eastAsia="Calibri"/>
                <w:lang w:eastAsia="en-US"/>
              </w:rPr>
              <w:t xml:space="preserve">Precizēta </w:t>
            </w:r>
            <w:r w:rsidR="008465C3">
              <w:rPr>
                <w:rFonts w:eastAsia="Calibri"/>
                <w:lang w:eastAsia="en-US"/>
              </w:rPr>
              <w:t xml:space="preserve">Rīkojuma projekta </w:t>
            </w:r>
            <w:r w:rsidRPr="002A2E5E">
              <w:rPr>
                <w:rFonts w:eastAsia="Calibri"/>
                <w:lang w:eastAsia="en-US"/>
              </w:rPr>
              <w:t>numerācija.</w:t>
            </w:r>
          </w:p>
          <w:p w:rsidRPr="002A2E5E" w:rsidR="004D0FE5" w:rsidP="004D0FE5" w:rsidRDefault="008465C3" w14:paraId="272BEC90" w14:textId="39F36214">
            <w:pPr>
              <w:pStyle w:val="naisc"/>
              <w:spacing w:before="0" w:after="0"/>
              <w:jc w:val="both"/>
              <w:rPr>
                <w:rFonts w:eastAsia="Calibri"/>
                <w:lang w:eastAsia="en-US"/>
              </w:rPr>
            </w:pPr>
            <w:r>
              <w:rPr>
                <w:rFonts w:eastAsia="Calibri"/>
                <w:lang w:eastAsia="en-US"/>
              </w:rPr>
              <w:t>“</w:t>
            </w:r>
            <w:r w:rsidRPr="002A2E5E" w:rsidR="004D0FE5">
              <w:rPr>
                <w:rFonts w:eastAsia="Calibri"/>
                <w:lang w:eastAsia="en-US"/>
              </w:rPr>
              <w:t xml:space="preserve">4. Finanšu ministram normatīvajos aktos noteiktajā kārtībā informēt Saeimas Budžeta </w:t>
            </w:r>
            <w:r w:rsidRPr="002A2E5E" w:rsidR="004D0FE5">
              <w:rPr>
                <w:rFonts w:eastAsia="Calibri"/>
                <w:lang w:eastAsia="en-US"/>
              </w:rPr>
              <w:lastRenderedPageBreak/>
              <w:t>un finanšu (nodokļu) komisiju par šā rīkojuma 1.2. un 1.3.apakšpunktā minēto apropriācijas palielināšanu un, ja Saeimas Budžeta un finanšu (nodokļu) komisija piecu darbdienu laikā pēc attiecīgās informācijas saņemšanas nav izteikusi iebildumus, veikt apropriācijas palielināšanu.</w:t>
            </w:r>
            <w:r>
              <w:rPr>
                <w:rFonts w:eastAsia="Calibri"/>
                <w:lang w:eastAsia="en-US"/>
              </w:rPr>
              <w:t>”</w:t>
            </w:r>
          </w:p>
        </w:tc>
      </w:tr>
      <w:tr w:rsidRPr="00C55724" w:rsidR="008F5BDC" w:rsidTr="00005AF5" w14:paraId="06CB22A4" w14:textId="77777777">
        <w:tc>
          <w:tcPr>
            <w:tcW w:w="201" w:type="pct"/>
            <w:shd w:val="clear" w:color="auto" w:fill="auto"/>
          </w:tcPr>
          <w:p w:rsidRPr="002A2E5E" w:rsidR="008F5BDC" w:rsidP="00690795" w:rsidRDefault="009D34C7" w14:paraId="056B28A5" w14:textId="316422D2">
            <w:pPr>
              <w:pStyle w:val="naisc"/>
              <w:spacing w:before="0" w:after="0"/>
            </w:pPr>
            <w:r>
              <w:lastRenderedPageBreak/>
              <w:t>6</w:t>
            </w:r>
            <w:r w:rsidRPr="002A2E5E" w:rsidR="005D3C26">
              <w:t>.</w:t>
            </w:r>
          </w:p>
        </w:tc>
        <w:tc>
          <w:tcPr>
            <w:tcW w:w="1049" w:type="pct"/>
            <w:shd w:val="clear" w:color="auto" w:fill="auto"/>
          </w:tcPr>
          <w:p w:rsidRPr="002A2E5E" w:rsidR="002E5A59" w:rsidP="002E5A59" w:rsidRDefault="00913120" w14:paraId="7B02FE1B" w14:textId="0E9B02C7">
            <w:pPr>
              <w:pStyle w:val="ListParagraph"/>
              <w:numPr>
                <w:ilvl w:val="0"/>
                <w:numId w:val="11"/>
              </w:numPr>
              <w:pBdr>
                <w:top w:val="nil"/>
                <w:left w:val="nil"/>
                <w:bottom w:val="nil"/>
                <w:right w:val="nil"/>
                <w:between w:val="nil"/>
              </w:pBdr>
              <w:tabs>
                <w:tab w:val="left" w:pos="29"/>
              </w:tabs>
              <w:spacing w:after="0" w:line="240" w:lineRule="auto"/>
              <w:ind w:left="0" w:firstLine="29"/>
              <w:jc w:val="both"/>
              <w:rPr>
                <w:rFonts w:ascii="Times New Roman" w:hAnsi="Times New Roman"/>
                <w:sz w:val="24"/>
                <w:szCs w:val="24"/>
                <w:lang w:eastAsia="lv-LV"/>
              </w:rPr>
            </w:pPr>
            <w:r w:rsidRPr="002A2E5E">
              <w:rPr>
                <w:rFonts w:ascii="Times New Roman" w:hAnsi="Times New Roman"/>
                <w:sz w:val="24"/>
                <w:szCs w:val="24"/>
                <w:lang w:eastAsia="lv-LV"/>
              </w:rPr>
              <w:t>Satiksmes ministrijai pēc šā rīkojuma 2.punktā minētās apropriācijas palielināšanas normatīvajos aktos noteiktajā kārtībā pārskaitīt akciju sabiedrībai “RB Rail” šā rīkojuma 1.punktā norādītās summas saskaņā ar Lietuvas Republikas Transporta un sakaru ministrijas autorizāciju (1.pielikums) un Igaunijas Republikas Ekonomisko lietu un sakaru ministrijas autorizāciju (2.pielikums).</w:t>
            </w:r>
          </w:p>
        </w:tc>
        <w:tc>
          <w:tcPr>
            <w:tcW w:w="1279" w:type="pct"/>
            <w:shd w:val="clear" w:color="auto" w:fill="auto"/>
          </w:tcPr>
          <w:p w:rsidRPr="002A2E5E" w:rsidR="008F5BDC" w:rsidP="00690795" w:rsidRDefault="005D3C26" w14:paraId="3CDB4C8B" w14:textId="6D8075E1">
            <w:pPr>
              <w:pStyle w:val="naisc"/>
              <w:spacing w:before="0" w:after="0"/>
              <w:jc w:val="both"/>
            </w:pPr>
            <w:r w:rsidRPr="002A2E5E">
              <w:t>Ministru kabineta 2020. gada 14. aprīļa noteikumu Nr. 218 "Kārtība, kādā kompensē pievienotās vērtības nodokļa summas Igaunijai un Lietuvai par akciju sabiedrības "RB Rail" veiktajām aktivitātēm" 4. un 9. punkts paredz kārtību, kādā tiek pārskaitīta projekta 1.2. apakšpunktā norādītā summa. Ņemot vērā minēto, Tieslietu ministrija lūdz</w:t>
            </w:r>
            <w:r w:rsidR="00597C7F">
              <w:t>am</w:t>
            </w:r>
            <w:r w:rsidRPr="002A2E5E">
              <w:t xml:space="preserve"> precizēt projekta 3. punktu, paredzot tikai kārtību, kādā tiek pārskaitīta projekta 1.1. apakšpunktā paredzētā summa</w:t>
            </w:r>
            <w:r w:rsidRPr="002A2E5E" w:rsidR="00913120">
              <w:t>.</w:t>
            </w:r>
          </w:p>
        </w:tc>
        <w:tc>
          <w:tcPr>
            <w:tcW w:w="1243" w:type="pct"/>
            <w:shd w:val="clear" w:color="auto" w:fill="auto"/>
          </w:tcPr>
          <w:p w:rsidRPr="002A2E5E" w:rsidR="008F5BDC" w:rsidP="008465C3" w:rsidRDefault="00913120" w14:paraId="4414385A" w14:textId="4906646B">
            <w:pPr>
              <w:pStyle w:val="naisc"/>
              <w:spacing w:before="0" w:after="0"/>
              <w:rPr>
                <w:b/>
                <w:bCs/>
              </w:rPr>
            </w:pPr>
            <w:r w:rsidRPr="002A2E5E">
              <w:rPr>
                <w:b/>
                <w:bCs/>
              </w:rPr>
              <w:t>Iebildums ņemts vērā</w:t>
            </w:r>
            <w:r w:rsidR="008465C3">
              <w:rPr>
                <w:b/>
                <w:bCs/>
              </w:rPr>
              <w:t>.</w:t>
            </w:r>
          </w:p>
        </w:tc>
        <w:tc>
          <w:tcPr>
            <w:tcW w:w="1228" w:type="pct"/>
            <w:shd w:val="clear" w:color="auto" w:fill="auto"/>
          </w:tcPr>
          <w:p w:rsidR="000D3CA2" w:rsidP="000D3CA2" w:rsidRDefault="00DE1213" w14:paraId="3B37DEA0" w14:textId="77777777">
            <w:pPr>
              <w:pStyle w:val="naisc"/>
              <w:spacing w:before="0" w:after="0"/>
              <w:jc w:val="both"/>
              <w:rPr>
                <w:rFonts w:eastAsia="Calibri"/>
                <w:lang w:eastAsia="en-US"/>
              </w:rPr>
            </w:pPr>
            <w:r w:rsidRPr="002A2E5E">
              <w:rPr>
                <w:rFonts w:eastAsia="Calibri"/>
                <w:lang w:eastAsia="en-US"/>
              </w:rPr>
              <w:t xml:space="preserve">Precizēta </w:t>
            </w:r>
            <w:r w:rsidRPr="002A2E5E" w:rsidR="000D3CA2">
              <w:rPr>
                <w:rFonts w:eastAsia="Calibri"/>
                <w:lang w:eastAsia="en-US"/>
              </w:rPr>
              <w:t xml:space="preserve"> </w:t>
            </w:r>
            <w:r w:rsidRPr="002A2E5E" w:rsidR="000D3CA2">
              <w:rPr>
                <w:rFonts w:eastAsia="Calibri"/>
                <w:lang w:eastAsia="en-US"/>
              </w:rPr>
              <w:t xml:space="preserve">Rīkojuma projekta </w:t>
            </w:r>
            <w:r w:rsidRPr="002A2E5E">
              <w:rPr>
                <w:rFonts w:eastAsia="Calibri"/>
                <w:lang w:eastAsia="en-US"/>
              </w:rPr>
              <w:t>numerācija.</w:t>
            </w:r>
          </w:p>
          <w:p w:rsidRPr="009D34C7" w:rsidR="00913120" w:rsidP="000D3CA2" w:rsidRDefault="00DE1213" w14:paraId="031951E7" w14:textId="543AD960">
            <w:pPr>
              <w:pStyle w:val="naisc"/>
              <w:spacing w:before="0" w:after="0"/>
              <w:jc w:val="both"/>
              <w:rPr>
                <w:rFonts w:eastAsia="Calibri"/>
                <w:color w:val="000000" w:themeColor="text1"/>
                <w:lang w:eastAsia="en-US"/>
              </w:rPr>
            </w:pPr>
            <w:r w:rsidRPr="009D34C7">
              <w:rPr>
                <w:rFonts w:eastAsia="Calibri"/>
                <w:color w:val="000000" w:themeColor="text1"/>
              </w:rPr>
              <w:t xml:space="preserve">“ </w:t>
            </w:r>
            <w:r w:rsidRPr="009D34C7" w:rsidR="009D34C7">
              <w:rPr>
                <w:color w:val="000000" w:themeColor="text1"/>
              </w:rPr>
              <w:t>5</w:t>
            </w:r>
            <w:r w:rsidRPr="009D34C7" w:rsidR="009D34C7">
              <w:rPr>
                <w:rFonts w:eastAsia="Calibri"/>
                <w:color w:val="000000" w:themeColor="text1"/>
              </w:rPr>
              <w:t>.</w:t>
            </w:r>
            <w:r w:rsidRPr="009D34C7" w:rsidR="009D34C7">
              <w:rPr>
                <w:rFonts w:eastAsia="Calibri"/>
                <w:color w:val="000000" w:themeColor="text1"/>
              </w:rPr>
              <w:tab/>
              <w:t>Satiksmes ministrijai pēc šā rīkojuma 3.punktā minētās apropriācijas palielināšanas pārskaitīt akciju sabiedrībai “RB Rail” šā rīkojuma 1. punktā norādītās summas saskaņā ar Lietuvas Republikas Transporta un sakaru ministrijas autorizāciju un Igaunijas Republikas Ekonomisko lietu un sakaru ministrijas autorizāciju Ministru kabineta 2020. gada 14. aprīļa noteikumu Nr. 218 “Kārtība, kādā kompensē pievienotās vērtības nodokļa summas Igaunijai un Lietuvai par akciju sabiedrības “RB Rail” veiktajām aktivitātēm” 9. punktā noteiktajā kārtībā.</w:t>
            </w:r>
            <w:r w:rsidRPr="009D34C7" w:rsidR="009D34C7">
              <w:rPr>
                <w:rFonts w:eastAsia="Calibri"/>
                <w:color w:val="000000" w:themeColor="text1"/>
              </w:rPr>
              <w:t>”</w:t>
            </w:r>
          </w:p>
          <w:p w:rsidRPr="002A2E5E" w:rsidR="00913120" w:rsidP="007013C3" w:rsidRDefault="0093384D" w14:paraId="0E47D41B" w14:textId="152F815A">
            <w:pPr>
              <w:pStyle w:val="naisc"/>
              <w:spacing w:before="0" w:after="0"/>
              <w:jc w:val="both"/>
              <w:rPr>
                <w:rFonts w:eastAsia="Calibri"/>
                <w:lang w:eastAsia="en-US"/>
              </w:rPr>
            </w:pPr>
            <w:r w:rsidRPr="002A2E5E">
              <w:rPr>
                <w:rFonts w:eastAsia="Calibri"/>
                <w:lang w:eastAsia="en-US"/>
              </w:rPr>
              <w:lastRenderedPageBreak/>
              <w:t>Papildināt</w:t>
            </w:r>
            <w:r w:rsidR="000D3CA2">
              <w:rPr>
                <w:rFonts w:eastAsia="Calibri"/>
                <w:lang w:eastAsia="en-US"/>
              </w:rPr>
              <w:t>s</w:t>
            </w:r>
            <w:r w:rsidRPr="002A2E5E">
              <w:rPr>
                <w:rFonts w:eastAsia="Calibri"/>
                <w:lang w:eastAsia="en-US"/>
              </w:rPr>
              <w:t xml:space="preserve"> </w:t>
            </w:r>
            <w:r w:rsidR="000D3CA2">
              <w:rPr>
                <w:rFonts w:eastAsia="Calibri"/>
                <w:lang w:eastAsia="en-US"/>
              </w:rPr>
              <w:t xml:space="preserve">Rīkojuma projekta </w:t>
            </w:r>
            <w:r w:rsidRPr="002A2E5E">
              <w:rPr>
                <w:rFonts w:eastAsia="Calibri"/>
                <w:lang w:eastAsia="en-US"/>
              </w:rPr>
              <w:t>anotācija</w:t>
            </w:r>
            <w:r w:rsidR="000D3CA2">
              <w:rPr>
                <w:rFonts w:eastAsia="Calibri"/>
                <w:lang w:eastAsia="en-US"/>
              </w:rPr>
              <w:t>s I sadaļas 2.punkts:</w:t>
            </w:r>
          </w:p>
          <w:p w:rsidRPr="002A2E5E" w:rsidR="0093384D" w:rsidP="007013C3" w:rsidRDefault="000D3CA2" w14:paraId="56C2B5F3" w14:textId="4DC5A7E8">
            <w:pPr>
              <w:pStyle w:val="naisc"/>
              <w:spacing w:before="0" w:after="0"/>
              <w:jc w:val="both"/>
              <w:rPr>
                <w:rFonts w:eastAsia="Calibri"/>
                <w:lang w:eastAsia="en-US"/>
              </w:rPr>
            </w:pPr>
            <w:r>
              <w:rPr>
                <w:rFonts w:eastAsia="Calibri"/>
              </w:rPr>
              <w:t>“</w:t>
            </w:r>
            <w:r w:rsidRPr="002A2E5E" w:rsidR="00700235">
              <w:rPr>
                <w:rFonts w:eastAsia="Calibri"/>
              </w:rPr>
              <w:t xml:space="preserve">Noteikumi Nr.218 paredz saņemt atbilstošu Lietuvas un Igaunijas autorizāciju tam, ka Ministrija Igaunijai un Lietuvai  kompensējamās PVN summas pārskaita RBR. </w:t>
            </w:r>
            <w:r w:rsidRPr="006C7BDE" w:rsidR="006C7BDE">
              <w:rPr>
                <w:rFonts w:eastAsia="Calibri"/>
                <w:color w:val="000000" w:themeColor="text1"/>
              </w:rPr>
              <w:t>R</w:t>
            </w:r>
            <w:r w:rsidRPr="006C7BDE" w:rsidR="00700235">
              <w:rPr>
                <w:rFonts w:eastAsia="Calibri"/>
                <w:color w:val="000000" w:themeColor="text1"/>
              </w:rPr>
              <w:t>īkojuma projekts</w:t>
            </w:r>
            <w:r w:rsidRPr="000D3CA2" w:rsidR="00700235">
              <w:rPr>
                <w:rFonts w:eastAsia="Calibri"/>
                <w:color w:val="FF0000"/>
              </w:rPr>
              <w:t xml:space="preserve"> </w:t>
            </w:r>
            <w:r w:rsidRPr="002A2E5E" w:rsidR="00700235">
              <w:rPr>
                <w:rFonts w:eastAsia="Calibri"/>
              </w:rPr>
              <w:t>aptver arī RBR 2019.gada novembrī un decembrī  no Latvijā veiktajiem darījumiem samaksātā PVN kompensāciju. Lai nodrošinātu iespēju Ministrijai arī divu minēto 2019.gada mēnešu kompensējamā PVN pārskaitīšanu RBR, tad Igaunija un Lietuva ir iesniegušas autorizāciju par summu, kas aptver 2019.gada novembra-decembra un 2020.gada janvāra-jūnija kompensējamo PVN. Visu veicamo PVN kompensācijas summu iekļaušana vienā autorizācijā un tās pārskaitīšana RBR atvieglo Ministrijas administratīvo slogu.</w:t>
            </w:r>
            <w:r>
              <w:rPr>
                <w:rFonts w:eastAsia="Calibri"/>
              </w:rPr>
              <w:t>”</w:t>
            </w:r>
          </w:p>
        </w:tc>
      </w:tr>
      <w:tr w:rsidRPr="00C55724" w:rsidR="008F5BDC" w:rsidTr="00005AF5" w14:paraId="3A05FB95" w14:textId="77777777">
        <w:tc>
          <w:tcPr>
            <w:tcW w:w="201" w:type="pct"/>
            <w:shd w:val="clear" w:color="auto" w:fill="auto"/>
          </w:tcPr>
          <w:p w:rsidRPr="002A2E5E" w:rsidR="008F5BDC" w:rsidP="00690795" w:rsidRDefault="009D34C7" w14:paraId="4854A508" w14:textId="1E9ABBFC">
            <w:pPr>
              <w:pStyle w:val="naisc"/>
              <w:spacing w:before="0" w:after="0"/>
            </w:pPr>
            <w:r>
              <w:lastRenderedPageBreak/>
              <w:t>7</w:t>
            </w:r>
            <w:r w:rsidRPr="002A2E5E" w:rsidR="00913120">
              <w:t>.</w:t>
            </w:r>
          </w:p>
        </w:tc>
        <w:tc>
          <w:tcPr>
            <w:tcW w:w="1049" w:type="pct"/>
            <w:shd w:val="clear" w:color="auto" w:fill="auto"/>
          </w:tcPr>
          <w:p w:rsidRPr="002A2E5E" w:rsidR="008F5BDC" w:rsidP="007013C3" w:rsidRDefault="000D3CA2" w14:paraId="724BFE91" w14:textId="2E634055">
            <w:pPr>
              <w:pStyle w:val="naisc"/>
              <w:spacing w:before="0" w:after="0"/>
              <w:jc w:val="both"/>
              <w:rPr>
                <w:bCs/>
                <w:color w:val="000000" w:themeColor="text1"/>
              </w:rPr>
            </w:pPr>
            <w:r>
              <w:rPr>
                <w:bCs/>
                <w:color w:val="000000" w:themeColor="text1"/>
              </w:rPr>
              <w:t>Rīkojuma projekta a</w:t>
            </w:r>
            <w:r w:rsidRPr="002A2E5E" w:rsidR="00113D14">
              <w:rPr>
                <w:bCs/>
                <w:color w:val="000000" w:themeColor="text1"/>
              </w:rPr>
              <w:t>notācija</w:t>
            </w:r>
            <w:r>
              <w:rPr>
                <w:bCs/>
                <w:color w:val="000000" w:themeColor="text1"/>
              </w:rPr>
              <w:t>.</w:t>
            </w:r>
          </w:p>
        </w:tc>
        <w:tc>
          <w:tcPr>
            <w:tcW w:w="1279" w:type="pct"/>
            <w:shd w:val="clear" w:color="auto" w:fill="auto"/>
          </w:tcPr>
          <w:p w:rsidRPr="002A2E5E" w:rsidR="008F5BDC" w:rsidP="00690795" w:rsidRDefault="00113D14" w14:paraId="6871F8A2" w14:textId="26A44A7C">
            <w:pPr>
              <w:pStyle w:val="naisc"/>
              <w:spacing w:before="0" w:after="0"/>
              <w:jc w:val="both"/>
            </w:pPr>
            <w:r w:rsidRPr="002A2E5E">
              <w:t xml:space="preserve">Tieslietu ministrija vērš uzmanību, ka tiesību aktu projekti izstrādājami valsts valodā. </w:t>
            </w:r>
            <w:r w:rsidRPr="002A2E5E">
              <w:lastRenderedPageBreak/>
              <w:t>Projektam pievienotie pielikumi ir projekta sastāvdaļa, līdz ar to tie nevar būt citā valodā. Vienlaikus norāda, ka projektam pievienotie pielikumi ir projektā ietverto regulējumu paskaidrojoša informācija, līdz ar to nav skaidrs, kāpēc tie ir jāpievieno kā projekta pielikumi. Ņemot vērā minēto, Tieslietu ministrija lūdz projekta pielikumos pievienotās valstu autorizācijas pievienot kā pielikumus projekta anotācijai.</w:t>
            </w:r>
          </w:p>
        </w:tc>
        <w:tc>
          <w:tcPr>
            <w:tcW w:w="1243" w:type="pct"/>
            <w:shd w:val="clear" w:color="auto" w:fill="auto"/>
          </w:tcPr>
          <w:p w:rsidRPr="002A2E5E" w:rsidR="008F5BDC" w:rsidP="000D3CA2" w:rsidRDefault="00113D14" w14:paraId="775C57B5" w14:textId="37D1D2EB">
            <w:pPr>
              <w:pStyle w:val="naisc"/>
              <w:spacing w:before="0" w:after="0"/>
              <w:rPr>
                <w:b/>
                <w:bCs/>
              </w:rPr>
            </w:pPr>
            <w:r w:rsidRPr="002A2E5E">
              <w:rPr>
                <w:b/>
                <w:bCs/>
              </w:rPr>
              <w:lastRenderedPageBreak/>
              <w:t>Iebildums ņemts vērā</w:t>
            </w:r>
            <w:r w:rsidRPr="002A2E5E" w:rsidR="00433973">
              <w:rPr>
                <w:b/>
                <w:bCs/>
              </w:rPr>
              <w:t>.</w:t>
            </w:r>
          </w:p>
        </w:tc>
        <w:tc>
          <w:tcPr>
            <w:tcW w:w="1228" w:type="pct"/>
            <w:shd w:val="clear" w:color="auto" w:fill="auto"/>
          </w:tcPr>
          <w:p w:rsidRPr="002A2E5E" w:rsidR="008F5BDC" w:rsidP="007013C3" w:rsidRDefault="00433973" w14:paraId="2C9DBA6F" w14:textId="2AFE174C">
            <w:pPr>
              <w:pStyle w:val="naisc"/>
              <w:spacing w:before="0" w:after="0"/>
              <w:jc w:val="both"/>
              <w:rPr>
                <w:rFonts w:eastAsia="Calibri"/>
                <w:lang w:eastAsia="en-US"/>
              </w:rPr>
            </w:pPr>
            <w:r w:rsidRPr="002A2E5E">
              <w:rPr>
                <w:rFonts w:eastAsia="Calibri"/>
                <w:lang w:eastAsia="en-US"/>
              </w:rPr>
              <w:t xml:space="preserve">Lietuvas un Igaunijas </w:t>
            </w:r>
            <w:r w:rsidRPr="002A2E5E" w:rsidR="00113D14">
              <w:rPr>
                <w:rFonts w:eastAsia="Calibri"/>
                <w:lang w:eastAsia="en-US"/>
              </w:rPr>
              <w:t xml:space="preserve">autorizācijas </w:t>
            </w:r>
            <w:r w:rsidRPr="002A2E5E" w:rsidR="00D55FCC">
              <w:rPr>
                <w:rFonts w:eastAsia="Calibri"/>
                <w:lang w:eastAsia="en-US"/>
              </w:rPr>
              <w:t xml:space="preserve">un to tulkojumi </w:t>
            </w:r>
            <w:r w:rsidRPr="002A2E5E" w:rsidR="00113D14">
              <w:rPr>
                <w:rFonts w:eastAsia="Calibri"/>
                <w:lang w:eastAsia="en-US"/>
              </w:rPr>
              <w:lastRenderedPageBreak/>
              <w:t>pievienot</w:t>
            </w:r>
            <w:r w:rsidRPr="002A2E5E" w:rsidR="00D55FCC">
              <w:rPr>
                <w:rFonts w:eastAsia="Calibri"/>
                <w:lang w:eastAsia="en-US"/>
              </w:rPr>
              <w:t>i</w:t>
            </w:r>
            <w:r w:rsidRPr="002A2E5E" w:rsidR="00113D14">
              <w:rPr>
                <w:rFonts w:eastAsia="Calibri"/>
                <w:lang w:eastAsia="en-US"/>
              </w:rPr>
              <w:t xml:space="preserve"> </w:t>
            </w:r>
            <w:r w:rsidR="000D3CA2">
              <w:rPr>
                <w:rFonts w:eastAsia="Calibri"/>
                <w:lang w:eastAsia="en-US"/>
              </w:rPr>
              <w:t xml:space="preserve">Rīkojuma projekta </w:t>
            </w:r>
            <w:r w:rsidRPr="002A2E5E" w:rsidR="00113D14">
              <w:rPr>
                <w:rFonts w:eastAsia="Calibri"/>
                <w:lang w:eastAsia="en-US"/>
              </w:rPr>
              <w:t>anotācijai</w:t>
            </w:r>
            <w:r w:rsidRPr="002A2E5E" w:rsidR="00697272">
              <w:rPr>
                <w:rFonts w:eastAsia="Calibri"/>
                <w:lang w:eastAsia="en-US"/>
              </w:rPr>
              <w:t>.</w:t>
            </w:r>
          </w:p>
        </w:tc>
      </w:tr>
      <w:tr w:rsidRPr="00C55724" w:rsidR="008F5BDC" w:rsidTr="004F308D" w14:paraId="131A568F" w14:textId="77777777">
        <w:trPr>
          <w:trHeight w:val="1207"/>
        </w:trPr>
        <w:tc>
          <w:tcPr>
            <w:tcW w:w="201" w:type="pct"/>
            <w:shd w:val="clear" w:color="auto" w:fill="auto"/>
          </w:tcPr>
          <w:p w:rsidRPr="002A2E5E" w:rsidR="008F5BDC" w:rsidP="00690795" w:rsidRDefault="00113D14" w14:paraId="59A4640A" w14:textId="7DD30F06">
            <w:pPr>
              <w:pStyle w:val="naisc"/>
              <w:spacing w:before="0" w:after="0"/>
            </w:pPr>
            <w:r w:rsidRPr="002A2E5E">
              <w:lastRenderedPageBreak/>
              <w:t>8.</w:t>
            </w:r>
          </w:p>
        </w:tc>
        <w:tc>
          <w:tcPr>
            <w:tcW w:w="1049" w:type="pct"/>
            <w:shd w:val="clear" w:color="auto" w:fill="auto"/>
          </w:tcPr>
          <w:p w:rsidRPr="002A2E5E" w:rsidR="008F5BDC" w:rsidP="007013C3" w:rsidRDefault="005C361B" w14:paraId="129EC7ED" w14:textId="68880DB4">
            <w:pPr>
              <w:pStyle w:val="naisc"/>
              <w:spacing w:before="0" w:after="0"/>
              <w:jc w:val="both"/>
              <w:rPr>
                <w:bCs/>
                <w:color w:val="000000" w:themeColor="text1"/>
              </w:rPr>
            </w:pPr>
            <w:r>
              <w:rPr>
                <w:bCs/>
                <w:color w:val="000000" w:themeColor="text1"/>
              </w:rPr>
              <w:t>Rīkojuma projekta a</w:t>
            </w:r>
            <w:r w:rsidRPr="002A2E5E" w:rsidR="00113D14">
              <w:rPr>
                <w:bCs/>
                <w:color w:val="000000" w:themeColor="text1"/>
              </w:rPr>
              <w:t>notācija</w:t>
            </w:r>
            <w:r>
              <w:rPr>
                <w:bCs/>
                <w:color w:val="000000" w:themeColor="text1"/>
              </w:rPr>
              <w:t>.</w:t>
            </w:r>
          </w:p>
        </w:tc>
        <w:tc>
          <w:tcPr>
            <w:tcW w:w="1279" w:type="pct"/>
            <w:shd w:val="clear" w:color="auto" w:fill="auto"/>
          </w:tcPr>
          <w:p w:rsidRPr="002A2E5E" w:rsidR="008F5BDC" w:rsidP="005C361B" w:rsidRDefault="00113D14" w14:paraId="70687EF9" w14:textId="6B805951">
            <w:pPr>
              <w:jc w:val="both"/>
            </w:pPr>
            <w:r w:rsidRPr="002A2E5E">
              <w:t>Tieslietu ministrija  lūdz anotācijā norādīt, uz kuru normatīvo aktu sniegta atsauce projekta 1.2. apakšpunktā.</w:t>
            </w:r>
          </w:p>
        </w:tc>
        <w:tc>
          <w:tcPr>
            <w:tcW w:w="1243" w:type="pct"/>
            <w:shd w:val="clear" w:color="auto" w:fill="auto"/>
          </w:tcPr>
          <w:p w:rsidRPr="002A2E5E" w:rsidR="008F5BDC" w:rsidP="005C361B" w:rsidRDefault="005C361B" w14:paraId="73DC1947" w14:textId="7F8FE43B">
            <w:pPr>
              <w:pStyle w:val="naisc"/>
              <w:spacing w:before="0" w:after="0"/>
              <w:rPr>
                <w:b/>
                <w:bCs/>
              </w:rPr>
            </w:pPr>
            <w:r w:rsidRPr="005C361B">
              <w:rPr>
                <w:b/>
                <w:bCs/>
              </w:rPr>
              <w:t>Panākta vienošanās saskaņošanas laikā.</w:t>
            </w:r>
          </w:p>
        </w:tc>
        <w:tc>
          <w:tcPr>
            <w:tcW w:w="1228" w:type="pct"/>
            <w:shd w:val="clear" w:color="auto" w:fill="auto"/>
          </w:tcPr>
          <w:p w:rsidRPr="002A2E5E" w:rsidR="008F5BDC" w:rsidP="007013C3" w:rsidRDefault="00113D14" w14:paraId="5DC2BEB0" w14:textId="14013554">
            <w:pPr>
              <w:pStyle w:val="naisc"/>
              <w:spacing w:before="0" w:after="0"/>
              <w:jc w:val="both"/>
              <w:rPr>
                <w:rFonts w:eastAsia="Calibri"/>
                <w:lang w:eastAsia="en-US"/>
              </w:rPr>
            </w:pPr>
            <w:r w:rsidRPr="002A2E5E">
              <w:rPr>
                <w:rFonts w:eastAsia="Calibri"/>
                <w:lang w:eastAsia="en-US"/>
              </w:rPr>
              <w:t>Rīkojuma</w:t>
            </w:r>
            <w:r w:rsidR="005C361B">
              <w:rPr>
                <w:rFonts w:eastAsia="Calibri"/>
                <w:lang w:eastAsia="en-US"/>
              </w:rPr>
              <w:t xml:space="preserve"> projekta </w:t>
            </w:r>
            <w:r w:rsidRPr="002A2E5E">
              <w:rPr>
                <w:rFonts w:eastAsia="Calibri"/>
                <w:lang w:eastAsia="en-US"/>
              </w:rPr>
              <w:t xml:space="preserve"> 1.2.apakšpunktā</w:t>
            </w:r>
            <w:r w:rsidRPr="002A2E5E" w:rsidR="00433973">
              <w:rPr>
                <w:rFonts w:eastAsia="Calibri"/>
                <w:lang w:eastAsia="en-US"/>
              </w:rPr>
              <w:t xml:space="preserve"> cita starpā </w:t>
            </w:r>
            <w:r w:rsidRPr="002A2E5E">
              <w:rPr>
                <w:rFonts w:eastAsia="Calibri"/>
                <w:lang w:eastAsia="en-US"/>
              </w:rPr>
              <w:t xml:space="preserve"> svītroti vārdi “normatīvajos aktos noteiktajā kārtībā”.</w:t>
            </w:r>
          </w:p>
        </w:tc>
      </w:tr>
      <w:tr w:rsidRPr="00C55724" w:rsidR="00113D14" w:rsidTr="00113D14" w14:paraId="12DCD65D" w14:textId="77777777">
        <w:tc>
          <w:tcPr>
            <w:tcW w:w="5000" w:type="pct"/>
            <w:gridSpan w:val="5"/>
            <w:shd w:val="clear" w:color="auto" w:fill="auto"/>
          </w:tcPr>
          <w:p w:rsidRPr="002A2E5E" w:rsidR="00113D14" w:rsidP="005C361B" w:rsidRDefault="00113D14" w14:paraId="1422B740" w14:textId="7F8893A9">
            <w:pPr>
              <w:pStyle w:val="naisc"/>
              <w:spacing w:before="0" w:after="0"/>
              <w:rPr>
                <w:b/>
                <w:bCs/>
                <w:color w:val="000000" w:themeColor="text1"/>
              </w:rPr>
            </w:pPr>
            <w:r w:rsidRPr="002A2E5E">
              <w:rPr>
                <w:b/>
                <w:bCs/>
                <w:color w:val="000000" w:themeColor="text1"/>
              </w:rPr>
              <w:t xml:space="preserve">Finanšu ministrija </w:t>
            </w:r>
            <w:r w:rsidRPr="002A2E5E">
              <w:rPr>
                <w:color w:val="000000" w:themeColor="text1"/>
              </w:rPr>
              <w:t>(03.09.2020. atzinums Nr.10.1-6/7-1803)</w:t>
            </w:r>
          </w:p>
        </w:tc>
      </w:tr>
      <w:tr w:rsidRPr="00C55724" w:rsidR="008F5BDC" w:rsidTr="00005AF5" w14:paraId="054C0A85" w14:textId="77777777">
        <w:tc>
          <w:tcPr>
            <w:tcW w:w="201" w:type="pct"/>
            <w:shd w:val="clear" w:color="auto" w:fill="auto"/>
          </w:tcPr>
          <w:p w:rsidRPr="002A2E5E" w:rsidR="008F5BDC" w:rsidP="00690795" w:rsidRDefault="00113D14" w14:paraId="6E36ED7A" w14:textId="4BD994B1">
            <w:pPr>
              <w:pStyle w:val="naisc"/>
              <w:spacing w:before="0" w:after="0"/>
            </w:pPr>
            <w:r w:rsidRPr="002A2E5E">
              <w:t>9.</w:t>
            </w:r>
          </w:p>
        </w:tc>
        <w:tc>
          <w:tcPr>
            <w:tcW w:w="1049" w:type="pct"/>
            <w:shd w:val="clear" w:color="auto" w:fill="auto"/>
          </w:tcPr>
          <w:p w:rsidRPr="002A2E5E" w:rsidR="008F5BDC" w:rsidP="007013C3" w:rsidRDefault="009A66AA" w14:paraId="4C4160FF" w14:textId="0D6780F4">
            <w:pPr>
              <w:pStyle w:val="naisc"/>
              <w:spacing w:before="0" w:after="0"/>
              <w:jc w:val="both"/>
              <w:rPr>
                <w:bCs/>
                <w:color w:val="000000" w:themeColor="text1"/>
              </w:rPr>
            </w:pPr>
            <w:r w:rsidRPr="002A2E5E">
              <w:rPr>
                <w:bCs/>
                <w:color w:val="000000" w:themeColor="text1"/>
              </w:rPr>
              <w:t>Rīkojuma projekts</w:t>
            </w:r>
            <w:r w:rsidR="005C361B">
              <w:rPr>
                <w:bCs/>
                <w:color w:val="000000" w:themeColor="text1"/>
              </w:rPr>
              <w:t>.</w:t>
            </w:r>
          </w:p>
        </w:tc>
        <w:tc>
          <w:tcPr>
            <w:tcW w:w="1279" w:type="pct"/>
            <w:shd w:val="clear" w:color="auto" w:fill="auto"/>
          </w:tcPr>
          <w:p w:rsidRPr="002A2E5E" w:rsidR="008F5BDC" w:rsidP="009A66AA" w:rsidRDefault="009A66AA" w14:paraId="03330443" w14:textId="4EA1E792">
            <w:pPr>
              <w:jc w:val="both"/>
            </w:pPr>
            <w:r w:rsidRPr="002A2E5E">
              <w:t xml:space="preserve">Ievērojot Ministru kabineta 2020. gada 14. aprīļa noteikumu Nr.218 “Kārtība, kādā kompensē pievienotās vērtības nodokļa summas Igaunijai un Lietuvai par akciju sabiedrības "RB Rail" veiktajām aktivitātēm” 5. un 8.punktā noteikto, Finanšu ministrija lūdz izvērtēt iespēju rīkojuma projektu papildināt arī ar informāciju par pievienotās vērtības nodokļa summas, kas nav </w:t>
            </w:r>
            <w:r w:rsidRPr="002A2E5E">
              <w:lastRenderedPageBreak/>
              <w:t>atgūstama kā priekšnodoklis, kompensēšanu par 2020.gada II ceturksni.</w:t>
            </w:r>
          </w:p>
        </w:tc>
        <w:tc>
          <w:tcPr>
            <w:tcW w:w="1243" w:type="pct"/>
            <w:shd w:val="clear" w:color="auto" w:fill="auto"/>
          </w:tcPr>
          <w:p w:rsidRPr="002A2E5E" w:rsidR="008F5BDC" w:rsidP="005C361B" w:rsidRDefault="009A66AA" w14:paraId="573727D9" w14:textId="56CAD546">
            <w:pPr>
              <w:pStyle w:val="naisc"/>
              <w:spacing w:before="0" w:after="0"/>
              <w:rPr>
                <w:b/>
                <w:bCs/>
              </w:rPr>
            </w:pPr>
            <w:r w:rsidRPr="002A2E5E">
              <w:rPr>
                <w:b/>
                <w:bCs/>
              </w:rPr>
              <w:lastRenderedPageBreak/>
              <w:t>Iebildums ņemts vērā</w:t>
            </w:r>
            <w:r w:rsidR="005C361B">
              <w:rPr>
                <w:b/>
                <w:bCs/>
              </w:rPr>
              <w:t>.</w:t>
            </w:r>
          </w:p>
        </w:tc>
        <w:tc>
          <w:tcPr>
            <w:tcW w:w="1228" w:type="pct"/>
            <w:shd w:val="clear" w:color="auto" w:fill="auto"/>
          </w:tcPr>
          <w:p w:rsidRPr="002A2E5E" w:rsidR="008F5BDC" w:rsidP="007013C3" w:rsidRDefault="005C361B" w14:paraId="1C2E46D1" w14:textId="3AE57BA5">
            <w:pPr>
              <w:pStyle w:val="naisc"/>
              <w:spacing w:before="0" w:after="0"/>
              <w:jc w:val="both"/>
              <w:rPr>
                <w:rFonts w:eastAsia="Calibri"/>
                <w:lang w:eastAsia="en-US"/>
              </w:rPr>
            </w:pPr>
            <w:r>
              <w:rPr>
                <w:rFonts w:eastAsia="Calibri"/>
                <w:lang w:eastAsia="en-US"/>
              </w:rPr>
              <w:t xml:space="preserve">Precizēts </w:t>
            </w:r>
            <w:r w:rsidRPr="002A2E5E" w:rsidR="009A66AA">
              <w:rPr>
                <w:rFonts w:eastAsia="Calibri"/>
                <w:lang w:eastAsia="en-US"/>
              </w:rPr>
              <w:t xml:space="preserve">Rīkojuma </w:t>
            </w:r>
            <w:r>
              <w:rPr>
                <w:rFonts w:eastAsia="Calibri"/>
                <w:lang w:eastAsia="en-US"/>
              </w:rPr>
              <w:t xml:space="preserve">projekta </w:t>
            </w:r>
            <w:r w:rsidRPr="002A2E5E" w:rsidR="009A66AA">
              <w:rPr>
                <w:rFonts w:eastAsia="Calibri"/>
                <w:lang w:eastAsia="en-US"/>
              </w:rPr>
              <w:t>1.punkts</w:t>
            </w:r>
            <w:r>
              <w:rPr>
                <w:rFonts w:eastAsia="Calibri"/>
                <w:lang w:eastAsia="en-US"/>
              </w:rPr>
              <w:t>:</w:t>
            </w:r>
          </w:p>
          <w:p w:rsidRPr="002A2E5E" w:rsidR="009A66AA" w:rsidP="009A66AA" w:rsidRDefault="009A66AA" w14:paraId="27DC9A36" w14:textId="3204352E">
            <w:pPr>
              <w:pStyle w:val="naisc"/>
              <w:spacing w:before="0" w:after="0"/>
              <w:jc w:val="both"/>
              <w:rPr>
                <w:rFonts w:eastAsia="Calibri"/>
                <w:lang w:eastAsia="en-US"/>
              </w:rPr>
            </w:pPr>
            <w:r w:rsidRPr="002A2E5E">
              <w:rPr>
                <w:rFonts w:eastAsia="Calibri"/>
                <w:lang w:eastAsia="en-US"/>
              </w:rPr>
              <w:t xml:space="preserve">“ 1. Atbalstīt pievienotās vērtības nodokļa summas, kas nav atgūstama kā priekšnodoklis, kompensēšanu Igaunijas Republikai un Lietuvas Republikai no akciju sabiedrības “RB Rail” veiktajiem darījumiem ar Valsts ieņēmumu dienesta Pievienotās vērtības nodokļu maksātāju reģistrā reģistrētiem </w:t>
            </w:r>
            <w:r w:rsidRPr="002A2E5E">
              <w:rPr>
                <w:rFonts w:eastAsia="Calibri"/>
                <w:lang w:eastAsia="en-US"/>
              </w:rPr>
              <w:lastRenderedPageBreak/>
              <w:t>nodokļu maksātājiem šādā apjomā:</w:t>
            </w:r>
          </w:p>
          <w:p w:rsidRPr="002A2E5E" w:rsidR="009A66AA" w:rsidP="009A66AA" w:rsidRDefault="009A66AA" w14:paraId="5514C017" w14:textId="59999647">
            <w:pPr>
              <w:pStyle w:val="naisc"/>
              <w:spacing w:before="0" w:after="0"/>
              <w:jc w:val="both"/>
              <w:rPr>
                <w:rFonts w:eastAsia="Calibri"/>
                <w:lang w:eastAsia="en-US"/>
              </w:rPr>
            </w:pPr>
            <w:r w:rsidRPr="002A2E5E">
              <w:rPr>
                <w:rFonts w:eastAsia="Calibri"/>
                <w:lang w:eastAsia="en-US"/>
              </w:rPr>
              <w:t>1.1. par 2019.gada novembrī un decembrī veiktajiem darījumiem 131</w:t>
            </w:r>
            <w:r w:rsidRPr="002A2E5E" w:rsidR="00DE1213">
              <w:rPr>
                <w:rFonts w:eastAsia="Calibri"/>
                <w:lang w:eastAsia="en-US"/>
              </w:rPr>
              <w:t> </w:t>
            </w:r>
            <w:r w:rsidRPr="002A2E5E">
              <w:rPr>
                <w:rFonts w:eastAsia="Calibri"/>
                <w:lang w:eastAsia="en-US"/>
              </w:rPr>
              <w:t xml:space="preserve">212 </w:t>
            </w:r>
            <w:r w:rsidRPr="002A2E5E">
              <w:rPr>
                <w:rFonts w:eastAsia="Calibri"/>
                <w:i/>
                <w:iCs/>
                <w:lang w:eastAsia="en-US"/>
              </w:rPr>
              <w:t>euro</w:t>
            </w:r>
            <w:r w:rsidRPr="002A2E5E">
              <w:rPr>
                <w:rFonts w:eastAsia="Calibri"/>
                <w:lang w:eastAsia="en-US"/>
              </w:rPr>
              <w:t xml:space="preserve"> apmērā;</w:t>
            </w:r>
          </w:p>
          <w:p w:rsidRPr="002A2E5E" w:rsidR="00DE1213" w:rsidP="009A66AA" w:rsidRDefault="009A66AA" w14:paraId="3CC9C5AB" w14:textId="77777777">
            <w:pPr>
              <w:pStyle w:val="naisc"/>
              <w:spacing w:before="0" w:after="0"/>
              <w:jc w:val="both"/>
              <w:rPr>
                <w:rFonts w:eastAsia="Calibri"/>
                <w:lang w:eastAsia="en-US"/>
              </w:rPr>
            </w:pPr>
            <w:r w:rsidRPr="002A2E5E">
              <w:rPr>
                <w:rFonts w:eastAsia="Calibri"/>
                <w:lang w:eastAsia="en-US"/>
              </w:rPr>
              <w:t>1.2. par 2020.gada janvārī, februārī un martā veiktajiem darījumiem 120</w:t>
            </w:r>
            <w:r w:rsidRPr="002A2E5E" w:rsidR="00DE1213">
              <w:rPr>
                <w:rFonts w:eastAsia="Calibri"/>
                <w:lang w:eastAsia="en-US"/>
              </w:rPr>
              <w:t> </w:t>
            </w:r>
            <w:r w:rsidRPr="002A2E5E">
              <w:rPr>
                <w:rFonts w:eastAsia="Calibri"/>
                <w:lang w:eastAsia="en-US"/>
              </w:rPr>
              <w:t>946</w:t>
            </w:r>
            <w:r w:rsidRPr="002A2E5E" w:rsidR="00DE1213">
              <w:rPr>
                <w:rFonts w:eastAsia="Calibri"/>
                <w:lang w:eastAsia="en-US"/>
              </w:rPr>
              <w:t> </w:t>
            </w:r>
            <w:r w:rsidRPr="002A2E5E">
              <w:rPr>
                <w:rFonts w:eastAsia="Calibri"/>
                <w:i/>
                <w:iCs/>
                <w:lang w:eastAsia="en-US"/>
              </w:rPr>
              <w:t>euro</w:t>
            </w:r>
            <w:r w:rsidRPr="002A2E5E">
              <w:rPr>
                <w:rFonts w:eastAsia="Calibri"/>
                <w:lang w:eastAsia="en-US"/>
              </w:rPr>
              <w:t xml:space="preserve"> apmērā</w:t>
            </w:r>
            <w:r w:rsidRPr="002A2E5E" w:rsidR="00DE1213">
              <w:rPr>
                <w:rFonts w:eastAsia="Calibri"/>
                <w:lang w:eastAsia="en-US"/>
              </w:rPr>
              <w:t>;</w:t>
            </w:r>
          </w:p>
          <w:p w:rsidRPr="002A2E5E" w:rsidR="00671017" w:rsidP="009A66AA" w:rsidRDefault="00DE1213" w14:paraId="019839B7" w14:textId="10C546C1">
            <w:pPr>
              <w:pStyle w:val="naisc"/>
              <w:spacing w:before="0" w:after="0"/>
              <w:jc w:val="both"/>
              <w:rPr>
                <w:rFonts w:eastAsia="Calibri"/>
                <w:lang w:eastAsia="en-US"/>
              </w:rPr>
            </w:pPr>
            <w:r w:rsidRPr="002A2E5E">
              <w:rPr>
                <w:rFonts w:eastAsia="Calibri"/>
                <w:lang w:eastAsia="en-US"/>
              </w:rPr>
              <w:t xml:space="preserve">1.3. par 2020.gada aprīlī, maijā un jūnijā veiktajiem darījumiem 168 505 </w:t>
            </w:r>
            <w:proofErr w:type="spellStart"/>
            <w:r w:rsidRPr="002A2E5E">
              <w:rPr>
                <w:rFonts w:eastAsia="Calibri"/>
                <w:i/>
                <w:iCs/>
                <w:lang w:eastAsia="en-US"/>
              </w:rPr>
              <w:t>euro</w:t>
            </w:r>
            <w:proofErr w:type="spellEnd"/>
            <w:r w:rsidRPr="002A2E5E">
              <w:rPr>
                <w:rFonts w:eastAsia="Calibri"/>
                <w:lang w:eastAsia="en-US"/>
              </w:rPr>
              <w:t xml:space="preserve"> apmērā.</w:t>
            </w:r>
            <w:r w:rsidRPr="002A2E5E" w:rsidR="009A66AA">
              <w:rPr>
                <w:rFonts w:eastAsia="Calibri"/>
                <w:lang w:eastAsia="en-US"/>
              </w:rPr>
              <w:t>”.</w:t>
            </w:r>
          </w:p>
          <w:p w:rsidRPr="002A2E5E" w:rsidR="009A66AA" w:rsidP="007013C3" w:rsidRDefault="004F308D" w14:paraId="7A00A1CC" w14:textId="706C043F">
            <w:pPr>
              <w:pStyle w:val="naisc"/>
              <w:spacing w:before="0" w:after="0"/>
              <w:jc w:val="both"/>
              <w:rPr>
                <w:rFonts w:eastAsia="Calibri"/>
                <w:lang w:eastAsia="en-US"/>
              </w:rPr>
            </w:pPr>
            <w:r w:rsidRPr="00150543">
              <w:rPr>
                <w:rFonts w:eastAsia="Calibri"/>
                <w:color w:val="000000" w:themeColor="text1"/>
                <w:lang w:eastAsia="en-US"/>
              </w:rPr>
              <w:t xml:space="preserve">Rīkojuma projekta </w:t>
            </w:r>
            <w:r w:rsidRPr="00150543">
              <w:rPr>
                <w:rFonts w:eastAsia="Calibri"/>
                <w:color w:val="000000" w:themeColor="text1"/>
                <w:lang w:eastAsia="en-US"/>
              </w:rPr>
              <w:t>anotācijas</w:t>
            </w:r>
            <w:r w:rsidRPr="00150543">
              <w:rPr>
                <w:rFonts w:eastAsia="Calibri"/>
                <w:color w:val="000000" w:themeColor="text1"/>
                <w:lang w:eastAsia="en-US"/>
              </w:rPr>
              <w:t xml:space="preserve"> I sadaļas 2.punkts un </w:t>
            </w:r>
            <w:r w:rsidRPr="00150543">
              <w:rPr>
                <w:rFonts w:eastAsia="Calibri"/>
                <w:color w:val="000000" w:themeColor="text1"/>
                <w:lang w:eastAsia="en-US"/>
              </w:rPr>
              <w:t>III</w:t>
            </w:r>
            <w:r w:rsidRPr="00150543">
              <w:rPr>
                <w:rFonts w:eastAsia="Calibri"/>
                <w:color w:val="000000" w:themeColor="text1"/>
                <w:lang w:eastAsia="en-US"/>
              </w:rPr>
              <w:t xml:space="preserve"> </w:t>
            </w:r>
            <w:r w:rsidRPr="00150543">
              <w:rPr>
                <w:rFonts w:eastAsia="Calibri"/>
                <w:color w:val="000000" w:themeColor="text1"/>
                <w:lang w:eastAsia="en-US"/>
              </w:rPr>
              <w:t>sadaļa</w:t>
            </w:r>
            <w:r w:rsidRPr="00150543">
              <w:rPr>
                <w:rFonts w:eastAsia="Calibri"/>
                <w:color w:val="000000" w:themeColor="text1"/>
                <w:lang w:eastAsia="en-US"/>
              </w:rPr>
              <w:t xml:space="preserve"> p</w:t>
            </w:r>
            <w:r w:rsidRPr="00150543" w:rsidR="00671017">
              <w:rPr>
                <w:rFonts w:eastAsia="Calibri"/>
                <w:color w:val="000000" w:themeColor="text1"/>
                <w:lang w:eastAsia="en-US"/>
              </w:rPr>
              <w:t>apildināta</w:t>
            </w:r>
            <w:r w:rsidRPr="00150543" w:rsidR="00150543">
              <w:rPr>
                <w:rFonts w:eastAsia="Calibri"/>
                <w:color w:val="000000" w:themeColor="text1"/>
                <w:lang w:eastAsia="en-US"/>
              </w:rPr>
              <w:t xml:space="preserve"> ar </w:t>
            </w:r>
            <w:r w:rsidRPr="00150543" w:rsidR="00671017">
              <w:rPr>
                <w:rFonts w:eastAsia="Calibri"/>
                <w:color w:val="000000" w:themeColor="text1"/>
                <w:lang w:eastAsia="en-US"/>
              </w:rPr>
              <w:t>tabul</w:t>
            </w:r>
            <w:r w:rsidRPr="00150543" w:rsidR="00150543">
              <w:rPr>
                <w:rFonts w:eastAsia="Calibri"/>
                <w:color w:val="000000" w:themeColor="text1"/>
                <w:lang w:eastAsia="en-US"/>
              </w:rPr>
              <w:t>u</w:t>
            </w:r>
            <w:r w:rsidRPr="00150543" w:rsidR="00671017">
              <w:rPr>
                <w:rFonts w:eastAsia="Calibri"/>
                <w:color w:val="000000" w:themeColor="text1"/>
                <w:lang w:eastAsia="en-US"/>
              </w:rPr>
              <w:t>.</w:t>
            </w:r>
          </w:p>
        </w:tc>
      </w:tr>
      <w:tr w:rsidRPr="00C55724" w:rsidR="008F5BDC" w:rsidTr="00005AF5" w14:paraId="53C2AB69" w14:textId="77777777">
        <w:tc>
          <w:tcPr>
            <w:tcW w:w="201" w:type="pct"/>
            <w:shd w:val="clear" w:color="auto" w:fill="auto"/>
          </w:tcPr>
          <w:p w:rsidRPr="002A2E5E" w:rsidR="008F5BDC" w:rsidP="00690795" w:rsidRDefault="009A66AA" w14:paraId="3477C028" w14:textId="0AAF9D59">
            <w:pPr>
              <w:pStyle w:val="naisc"/>
              <w:spacing w:before="0" w:after="0"/>
            </w:pPr>
            <w:r w:rsidRPr="002A2E5E">
              <w:lastRenderedPageBreak/>
              <w:t>10.</w:t>
            </w:r>
          </w:p>
        </w:tc>
        <w:tc>
          <w:tcPr>
            <w:tcW w:w="1049" w:type="pct"/>
            <w:shd w:val="clear" w:color="auto" w:fill="auto"/>
          </w:tcPr>
          <w:p w:rsidRPr="002A2E5E" w:rsidR="008F5BDC" w:rsidP="007013C3" w:rsidRDefault="009A66AA" w14:paraId="711383EA" w14:textId="1D3ADB7A">
            <w:pPr>
              <w:pStyle w:val="naisc"/>
              <w:spacing w:before="0" w:after="0"/>
              <w:jc w:val="both"/>
              <w:rPr>
                <w:bCs/>
                <w:color w:val="000000" w:themeColor="text1"/>
              </w:rPr>
            </w:pPr>
            <w:r w:rsidRPr="002A2E5E">
              <w:rPr>
                <w:bCs/>
                <w:color w:val="000000" w:themeColor="text1"/>
              </w:rPr>
              <w:t>Rīkojuma projekts</w:t>
            </w:r>
            <w:r w:rsidR="009046AD">
              <w:rPr>
                <w:bCs/>
                <w:color w:val="000000" w:themeColor="text1"/>
              </w:rPr>
              <w:t>.</w:t>
            </w:r>
          </w:p>
        </w:tc>
        <w:tc>
          <w:tcPr>
            <w:tcW w:w="1279" w:type="pct"/>
            <w:shd w:val="clear" w:color="auto" w:fill="auto"/>
          </w:tcPr>
          <w:p w:rsidRPr="002A2E5E" w:rsidR="008F5BDC" w:rsidP="009A66AA" w:rsidRDefault="009A66AA" w14:paraId="14B8897E" w14:textId="3BC762FA">
            <w:pPr>
              <w:jc w:val="both"/>
            </w:pPr>
            <w:r w:rsidRPr="002A2E5E">
              <w:t xml:space="preserve">Finanšu ministrija lūdz uzdevumu par 2019.gada novembra un decembra maksājumu kompensēšanu izteikt kā atsevišķu rīkojuma projekta punktu pēc 1.punkta šādā redakcijā: “Satiksmes ministrijai nodrošināt, ka šā rīkojuma 1.1.apakšpunktā minētais apmērs tiek segts no Satiksmes ministrijas budžeta apakšprogrammā 60.07.00 “Eiropas transporta infrastruktūras projekti (Rail Baltica)” pieejamās vispārējā kārtībā sadalāmās dotācijas no vispārējiem </w:t>
            </w:r>
            <w:r w:rsidRPr="002A2E5E">
              <w:lastRenderedPageBreak/>
              <w:t>ieņēmumiem.”. Attiecīgi lūdz arī precizēt tālāko rīkojuma projekta punktu numerāciju.</w:t>
            </w:r>
          </w:p>
        </w:tc>
        <w:tc>
          <w:tcPr>
            <w:tcW w:w="1243" w:type="pct"/>
            <w:shd w:val="clear" w:color="auto" w:fill="auto"/>
          </w:tcPr>
          <w:p w:rsidRPr="002A2E5E" w:rsidR="008F5BDC" w:rsidP="009046AD" w:rsidRDefault="009A66AA" w14:paraId="067F6664" w14:textId="2925765F">
            <w:pPr>
              <w:pStyle w:val="naisc"/>
              <w:spacing w:before="0" w:after="0"/>
              <w:rPr>
                <w:b/>
                <w:bCs/>
              </w:rPr>
            </w:pPr>
            <w:r w:rsidRPr="002A2E5E">
              <w:rPr>
                <w:b/>
                <w:bCs/>
              </w:rPr>
              <w:lastRenderedPageBreak/>
              <w:t>Iebildums ņemts vērā</w:t>
            </w:r>
            <w:r w:rsidR="009046AD">
              <w:rPr>
                <w:b/>
                <w:bCs/>
              </w:rPr>
              <w:t>.</w:t>
            </w:r>
          </w:p>
        </w:tc>
        <w:tc>
          <w:tcPr>
            <w:tcW w:w="1228" w:type="pct"/>
            <w:shd w:val="clear" w:color="auto" w:fill="auto"/>
          </w:tcPr>
          <w:p w:rsidRPr="002A2E5E" w:rsidR="009141F7" w:rsidP="007013C3" w:rsidRDefault="009A66AA" w14:paraId="5A26C3DD" w14:textId="5D5985D6">
            <w:pPr>
              <w:pStyle w:val="naisc"/>
              <w:spacing w:before="0" w:after="0"/>
              <w:jc w:val="both"/>
              <w:rPr>
                <w:rFonts w:eastAsia="Calibri"/>
                <w:lang w:eastAsia="en-US"/>
              </w:rPr>
            </w:pPr>
            <w:r w:rsidRPr="002A2E5E">
              <w:rPr>
                <w:rFonts w:eastAsia="Calibri"/>
                <w:lang w:eastAsia="en-US"/>
              </w:rPr>
              <w:t>Papildināts rīkojuma projekts</w:t>
            </w:r>
            <w:r w:rsidR="009046AD">
              <w:rPr>
                <w:rFonts w:eastAsia="Calibri"/>
                <w:lang w:eastAsia="en-US"/>
              </w:rPr>
              <w:t>:</w:t>
            </w:r>
            <w:r w:rsidRPr="002A2E5E">
              <w:rPr>
                <w:rFonts w:eastAsia="Calibri"/>
                <w:lang w:eastAsia="en-US"/>
              </w:rPr>
              <w:t xml:space="preserve"> </w:t>
            </w:r>
          </w:p>
          <w:p w:rsidRPr="002A2E5E" w:rsidR="009A66AA" w:rsidP="009A66AA" w:rsidRDefault="009A66AA" w14:paraId="5225D359" w14:textId="5ABC0B88">
            <w:pPr>
              <w:pStyle w:val="naisc"/>
              <w:pBdr>
                <w:top w:val="nil"/>
                <w:left w:val="nil"/>
                <w:bottom w:val="nil"/>
                <w:right w:val="nil"/>
                <w:between w:val="nil"/>
              </w:pBdr>
              <w:spacing w:before="0" w:after="0"/>
              <w:jc w:val="both"/>
              <w:rPr>
                <w:rFonts w:eastAsia="Calibri"/>
                <w:lang w:eastAsia="en-US"/>
              </w:rPr>
            </w:pPr>
            <w:r w:rsidRPr="002A2E5E">
              <w:rPr>
                <w:rFonts w:eastAsia="Calibri"/>
                <w:lang w:eastAsia="en-US"/>
              </w:rPr>
              <w:t>“2. Satiksmes ministrijai nodrošināt, ka šā rīkojuma 1.1.apakšpunktā minētais apmērs tiek segts no Satiksmes ministrijas budžeta apakšprogrammā 60.07.00 “Eiropas transporta infrastruktūras projekti (Rail Baltica)” pieejamās vispārējā kārtībā sadalāmās dotācijas no vispārējiem ieņēmumiem.</w:t>
            </w:r>
            <w:r w:rsidRPr="002A2E5E" w:rsidR="005172D3">
              <w:rPr>
                <w:rFonts w:eastAsia="Calibri"/>
                <w:lang w:eastAsia="en-US"/>
              </w:rPr>
              <w:t>”</w:t>
            </w:r>
          </w:p>
          <w:p w:rsidRPr="002A2E5E" w:rsidR="009A66AA" w:rsidP="007013C3" w:rsidRDefault="009A66AA" w14:paraId="6087C5F8" w14:textId="6FA9349B">
            <w:pPr>
              <w:pStyle w:val="naisc"/>
              <w:spacing w:before="0" w:after="0"/>
              <w:jc w:val="both"/>
              <w:rPr>
                <w:rFonts w:eastAsia="Calibri"/>
                <w:lang w:eastAsia="en-US"/>
              </w:rPr>
            </w:pPr>
          </w:p>
        </w:tc>
      </w:tr>
      <w:tr w:rsidRPr="00C55724" w:rsidR="009A66AA" w:rsidTr="00005AF5" w14:paraId="3AE39BC6" w14:textId="77777777">
        <w:tc>
          <w:tcPr>
            <w:tcW w:w="201" w:type="pct"/>
            <w:shd w:val="clear" w:color="auto" w:fill="auto"/>
          </w:tcPr>
          <w:p w:rsidRPr="002A2E5E" w:rsidR="009A66AA" w:rsidP="00690795" w:rsidRDefault="005172D3" w14:paraId="15DEC587" w14:textId="255A41E3">
            <w:pPr>
              <w:pStyle w:val="naisc"/>
              <w:spacing w:before="0" w:after="0"/>
            </w:pPr>
            <w:r w:rsidRPr="002A2E5E">
              <w:t>11.</w:t>
            </w:r>
          </w:p>
        </w:tc>
        <w:tc>
          <w:tcPr>
            <w:tcW w:w="1049" w:type="pct"/>
            <w:shd w:val="clear" w:color="auto" w:fill="auto"/>
          </w:tcPr>
          <w:p w:rsidRPr="002A2E5E" w:rsidR="009A66AA" w:rsidP="007013C3" w:rsidRDefault="005172D3" w14:paraId="1E4C7AF3" w14:textId="4E704E1D">
            <w:pPr>
              <w:pStyle w:val="naisc"/>
              <w:spacing w:before="0" w:after="0"/>
              <w:jc w:val="both"/>
              <w:rPr>
                <w:bCs/>
                <w:color w:val="000000" w:themeColor="text1"/>
              </w:rPr>
            </w:pPr>
            <w:r w:rsidRPr="002A2E5E">
              <w:rPr>
                <w:bCs/>
                <w:color w:val="000000" w:themeColor="text1"/>
              </w:rPr>
              <w:t>Rīkojuma projekts</w:t>
            </w:r>
            <w:r w:rsidR="009046AD">
              <w:rPr>
                <w:bCs/>
                <w:color w:val="000000" w:themeColor="text1"/>
              </w:rPr>
              <w:t>.</w:t>
            </w:r>
          </w:p>
        </w:tc>
        <w:tc>
          <w:tcPr>
            <w:tcW w:w="1279" w:type="pct"/>
            <w:shd w:val="clear" w:color="auto" w:fill="auto"/>
          </w:tcPr>
          <w:p w:rsidRPr="002A2E5E" w:rsidR="005172D3" w:rsidP="00C12394" w:rsidRDefault="005172D3" w14:paraId="4DCAA9C4" w14:textId="77777777">
            <w:pPr>
              <w:spacing w:after="0"/>
              <w:jc w:val="both"/>
            </w:pPr>
            <w:r w:rsidRPr="002A2E5E">
              <w:t xml:space="preserve">Finanšu ministrija lūdz rīkojuma projektā noteikt uzdevumu Satiksmes ministrijai iesniegt Finanšu ministrijā apropriācijas palielināšanas pieprasījumu, attiecīgi papildinot rīkojuma projektu ar punktu šādā redakcijā: “Satiksmes ministrijai sagatavot un normatīvajos aktos noteiktajā kārtībā iesniegt Finanšu ministrijā pieprasījumu par valsts budžeta apropriācijas palielināšanu resursiem no dotācijas no vispārējiem ieņēmumiem un izdevumiem Satiksmes ministrijas budžeta apakšprogrammā 60.07.00 “Eiropas transporta infrastruktūras projekti (Rail Baltica)”, lai nodrošinātu šā rīkojuma 1.2.apakšpunktā minēto.”. </w:t>
            </w:r>
          </w:p>
          <w:p w:rsidRPr="002A2E5E" w:rsidR="009A66AA" w:rsidP="00C12394" w:rsidRDefault="005172D3" w14:paraId="77158AE0" w14:textId="2AF8D26B">
            <w:pPr>
              <w:spacing w:after="0"/>
              <w:jc w:val="both"/>
            </w:pPr>
            <w:r w:rsidRPr="002A2E5E">
              <w:t>Lai ievērotu veicamo darbību secību, Finanšu ministrija lūdz šo punktu izteikt pirms rīkojuma projekta 2.punkta un attiecīgi precizēt tālāko rīkojuma projekta punktu numerāciju.</w:t>
            </w:r>
          </w:p>
        </w:tc>
        <w:tc>
          <w:tcPr>
            <w:tcW w:w="1243" w:type="pct"/>
            <w:shd w:val="clear" w:color="auto" w:fill="auto"/>
          </w:tcPr>
          <w:p w:rsidR="009046AD" w:rsidP="009046AD" w:rsidRDefault="005172D3" w14:paraId="367A93B0" w14:textId="77777777">
            <w:pPr>
              <w:pStyle w:val="naisc"/>
              <w:spacing w:before="0" w:after="0"/>
              <w:rPr>
                <w:b/>
                <w:bCs/>
              </w:rPr>
            </w:pPr>
            <w:r w:rsidRPr="002A2E5E">
              <w:rPr>
                <w:b/>
                <w:bCs/>
              </w:rPr>
              <w:t>Iebildums ņemts vērā</w:t>
            </w:r>
            <w:r w:rsidR="009046AD">
              <w:rPr>
                <w:b/>
                <w:bCs/>
              </w:rPr>
              <w:t>.</w:t>
            </w:r>
          </w:p>
          <w:p w:rsidRPr="002A2E5E" w:rsidR="009A66AA" w:rsidP="00690795" w:rsidRDefault="009A66AA" w14:paraId="107DA1F9" w14:textId="17809F22">
            <w:pPr>
              <w:pStyle w:val="naisc"/>
              <w:spacing w:before="0" w:after="0"/>
              <w:jc w:val="both"/>
              <w:rPr>
                <w:b/>
                <w:bCs/>
              </w:rPr>
            </w:pPr>
          </w:p>
        </w:tc>
        <w:tc>
          <w:tcPr>
            <w:tcW w:w="1228" w:type="pct"/>
            <w:shd w:val="clear" w:color="auto" w:fill="auto"/>
          </w:tcPr>
          <w:p w:rsidR="005C5A3C" w:rsidP="005C5A3C" w:rsidRDefault="004B03C6" w14:paraId="6D453A7E" w14:textId="77777777">
            <w:pPr>
              <w:pStyle w:val="naisc"/>
              <w:spacing w:before="0" w:after="0"/>
              <w:jc w:val="both"/>
              <w:rPr>
                <w:rFonts w:eastAsia="Calibri"/>
                <w:lang w:eastAsia="en-US"/>
              </w:rPr>
            </w:pPr>
            <w:r w:rsidRPr="002A2E5E">
              <w:rPr>
                <w:rFonts w:eastAsia="Calibri"/>
                <w:lang w:eastAsia="en-US"/>
              </w:rPr>
              <w:t xml:space="preserve">Precizēta </w:t>
            </w:r>
            <w:r w:rsidR="005C5A3C">
              <w:rPr>
                <w:rFonts w:eastAsia="Calibri"/>
                <w:lang w:eastAsia="en-US"/>
              </w:rPr>
              <w:t xml:space="preserve">Rīkojuma projekta </w:t>
            </w:r>
            <w:r w:rsidRPr="002A2E5E">
              <w:rPr>
                <w:rFonts w:eastAsia="Calibri"/>
                <w:lang w:eastAsia="en-US"/>
              </w:rPr>
              <w:t>numerācija.</w:t>
            </w:r>
          </w:p>
          <w:p w:rsidRPr="002A2E5E" w:rsidR="005172D3" w:rsidP="005C5A3C" w:rsidRDefault="005172D3" w14:paraId="731FA653" w14:textId="1D33F4DB">
            <w:pPr>
              <w:pStyle w:val="naisc"/>
              <w:spacing w:before="0" w:after="0"/>
              <w:jc w:val="both"/>
            </w:pPr>
            <w:r w:rsidRPr="002A2E5E">
              <w:rPr>
                <w:rFonts w:eastAsia="Calibri"/>
                <w:lang w:eastAsia="en-US"/>
              </w:rPr>
              <w:t>“</w:t>
            </w:r>
            <w:r w:rsidRPr="002A2E5E">
              <w:t>3. Satiksmes ministrijai sagatavot un normatīvajos aktos noteiktajā kārtībā iesniegt Finanšu ministrijā pieprasījumu par valsts budžeta apropriācijas palielināšanu resursiem no dotācijas no vispārējiem ieņēmumiem un izdevumiem Satiksmes ministrijas budžeta apakšprogrammā 60.07.00 “Eiropas transporta infrastruktūras projekti (Rail Baltica)”, lai nodrošinātu šā rīkojuma 1.2. un 1.3. apakšpunktā minēto.”</w:t>
            </w:r>
          </w:p>
          <w:p w:rsidRPr="002A2E5E" w:rsidR="005172D3" w:rsidP="007013C3" w:rsidRDefault="005172D3" w14:paraId="3EBB84D4" w14:textId="203CB032">
            <w:pPr>
              <w:pStyle w:val="naisc"/>
              <w:spacing w:before="0" w:after="0"/>
              <w:jc w:val="both"/>
              <w:rPr>
                <w:rFonts w:eastAsia="Calibri"/>
                <w:lang w:eastAsia="en-US"/>
              </w:rPr>
            </w:pPr>
          </w:p>
        </w:tc>
      </w:tr>
      <w:tr w:rsidRPr="00C55724" w:rsidR="009A66AA" w:rsidTr="00005AF5" w14:paraId="365C2AC2" w14:textId="77777777">
        <w:tc>
          <w:tcPr>
            <w:tcW w:w="201" w:type="pct"/>
            <w:shd w:val="clear" w:color="auto" w:fill="auto"/>
          </w:tcPr>
          <w:p w:rsidRPr="002A2E5E" w:rsidR="009A66AA" w:rsidP="00690795" w:rsidRDefault="005172D3" w14:paraId="59CAA203" w14:textId="705ACCD6">
            <w:pPr>
              <w:pStyle w:val="naisc"/>
              <w:spacing w:before="0" w:after="0"/>
            </w:pPr>
            <w:r w:rsidRPr="002A2E5E">
              <w:lastRenderedPageBreak/>
              <w:t>12.</w:t>
            </w:r>
          </w:p>
        </w:tc>
        <w:tc>
          <w:tcPr>
            <w:tcW w:w="1049" w:type="pct"/>
            <w:shd w:val="clear" w:color="auto" w:fill="auto"/>
          </w:tcPr>
          <w:p w:rsidRPr="002A2E5E" w:rsidR="009A66AA" w:rsidP="0093384D" w:rsidRDefault="0093384D" w14:paraId="4DB63038" w14:textId="29EA217B">
            <w:pPr>
              <w:pStyle w:val="naisc"/>
              <w:spacing w:before="0" w:after="0"/>
              <w:jc w:val="both"/>
              <w:rPr>
                <w:bCs/>
                <w:color w:val="000000" w:themeColor="text1"/>
              </w:rPr>
            </w:pPr>
            <w:r w:rsidRPr="002A2E5E">
              <w:t>2. Finanšu ministram normatīvajos aktos noteiktajā kārtībā palielināt apropriāciju Satiksmes ministrijai resursiem no dotācijas no vispārējiem ieņēmumiem šā rīkojuma 1.2.apakšpunktā norādītajā apmērā.</w:t>
            </w:r>
          </w:p>
        </w:tc>
        <w:tc>
          <w:tcPr>
            <w:tcW w:w="1279" w:type="pct"/>
            <w:shd w:val="clear" w:color="auto" w:fill="auto"/>
          </w:tcPr>
          <w:p w:rsidRPr="002A2E5E" w:rsidR="009A66AA" w:rsidP="00A63E56" w:rsidRDefault="005172D3" w14:paraId="6164BA18" w14:textId="1AE267D8">
            <w:pPr>
              <w:spacing w:after="0"/>
              <w:jc w:val="both"/>
              <w:rPr>
                <w:lang w:eastAsia="en-US"/>
              </w:rPr>
            </w:pPr>
            <w:r w:rsidRPr="002A2E5E">
              <w:t>Finanšu ministrija norāda, ka  likuma “Par valsts budžetu 2020.gadam” 55.pantā ir noteikts, ka finanšu ministram ir atļauja palielināt apropriāciju Satiksmes ministrijai, ja ir pieņemts attiecīgs Ministru kabineta lēmums, kā arī Saeimas Budžeta un finanšu (nodokļu) komisija piecu darba dienu laikā no attiecīgās informācijas saņemšanas dienas nav iebildusi pret apropriācijas palielinājumu, attiecīgi lūdzam rīkojuma projekta 2.punktu izteikt šādā redakcijā: “Finanšu ministram normatīvajos aktos noteiktajā kārtībā informēt Saeimas Budžeta un finanšu (nodokļu) komisiju par šā rīkojuma 1.2.apakšpunktā minēto apropriācijas palielināšanu un, ja Saeimas Budžeta un finanšu (nodokļu) komisija piecu darbdienu laikā pēc attiecīgās informācijas saņemšanas nav izteikusi iebildumus, veikt apropriācijas palielināšanu.”.</w:t>
            </w:r>
          </w:p>
        </w:tc>
        <w:tc>
          <w:tcPr>
            <w:tcW w:w="1243" w:type="pct"/>
            <w:shd w:val="clear" w:color="auto" w:fill="auto"/>
          </w:tcPr>
          <w:p w:rsidR="00EB0062" w:rsidP="00EB0062" w:rsidRDefault="004D0FE5" w14:paraId="0B0ABB40" w14:textId="35BE2E90">
            <w:pPr>
              <w:pBdr>
                <w:top w:val="nil"/>
                <w:left w:val="nil"/>
                <w:bottom w:val="nil"/>
                <w:right w:val="nil"/>
                <w:between w:val="nil"/>
              </w:pBdr>
              <w:tabs>
                <w:tab w:val="left" w:pos="851"/>
              </w:tabs>
              <w:spacing w:after="0"/>
              <w:jc w:val="center"/>
            </w:pPr>
            <w:r w:rsidRPr="002A2E5E">
              <w:rPr>
                <w:b/>
                <w:bCs/>
              </w:rPr>
              <w:t>Iebildums ņemts vērā.</w:t>
            </w:r>
          </w:p>
          <w:p w:rsidRPr="002A2E5E" w:rsidR="009A66AA" w:rsidP="00EB0062" w:rsidRDefault="009A66AA" w14:paraId="70441E2E" w14:textId="1E7E72B3">
            <w:pPr>
              <w:pBdr>
                <w:top w:val="nil"/>
                <w:left w:val="nil"/>
                <w:bottom w:val="nil"/>
                <w:right w:val="nil"/>
                <w:between w:val="nil"/>
              </w:pBdr>
              <w:tabs>
                <w:tab w:val="left" w:pos="851"/>
              </w:tabs>
              <w:spacing w:after="0"/>
              <w:jc w:val="both"/>
              <w:rPr>
                <w:b/>
                <w:bCs/>
              </w:rPr>
            </w:pPr>
          </w:p>
        </w:tc>
        <w:tc>
          <w:tcPr>
            <w:tcW w:w="1228" w:type="pct"/>
            <w:shd w:val="clear" w:color="auto" w:fill="auto"/>
          </w:tcPr>
          <w:p w:rsidRPr="002A2E5E" w:rsidR="00EB0062" w:rsidP="00EB0062" w:rsidRDefault="00EB0062" w14:paraId="1C014A2B" w14:textId="77777777">
            <w:pPr>
              <w:pBdr>
                <w:top w:val="nil"/>
                <w:left w:val="nil"/>
                <w:bottom w:val="nil"/>
                <w:right w:val="nil"/>
                <w:between w:val="nil"/>
              </w:pBdr>
              <w:tabs>
                <w:tab w:val="left" w:pos="851"/>
              </w:tabs>
              <w:spacing w:after="0"/>
              <w:jc w:val="both"/>
            </w:pPr>
            <w:r w:rsidRPr="00EB0062">
              <w:t>Precizēta Rīkojuma projekta numerācija.</w:t>
            </w:r>
          </w:p>
          <w:p w:rsidRPr="002A2E5E" w:rsidR="004B03C6" w:rsidP="007013C3" w:rsidRDefault="00EB0062" w14:paraId="0046C765" w14:textId="7087FA52">
            <w:pPr>
              <w:pStyle w:val="naisc"/>
              <w:spacing w:before="0" w:after="0"/>
              <w:jc w:val="both"/>
              <w:rPr>
                <w:rFonts w:eastAsia="Calibri"/>
                <w:lang w:eastAsia="en-US"/>
              </w:rPr>
            </w:pPr>
            <w:r>
              <w:rPr>
                <w:rFonts w:eastAsia="Calibri"/>
                <w:lang w:eastAsia="en-US"/>
              </w:rPr>
              <w:t>“</w:t>
            </w:r>
            <w:r w:rsidRPr="002A2E5E" w:rsidR="004D0FE5">
              <w:rPr>
                <w:rFonts w:eastAsia="Calibri"/>
                <w:lang w:eastAsia="en-US"/>
              </w:rPr>
              <w:t>4. Finanšu ministram normatīvajos aktos noteiktajā kārtībā informēt Saeimas Budžeta un finanšu (nodokļu) komisiju par šā rīkojuma 1.2. un 1.3.apakšpunktā minēto apropriācijas palielināšanu un, ja Saeimas Budžeta un finanšu (nodokļu) komisija piecu darbdienu laikā pēc attiecīgās informācijas saņemšanas nav izteikusi iebildumus, veikt apropriācijas palielināšanu.</w:t>
            </w:r>
            <w:r>
              <w:rPr>
                <w:rFonts w:eastAsia="Calibri"/>
                <w:lang w:eastAsia="en-US"/>
              </w:rPr>
              <w:t>”</w:t>
            </w:r>
          </w:p>
        </w:tc>
      </w:tr>
      <w:tr w:rsidRPr="00C55724" w:rsidR="009A66AA" w:rsidTr="00005AF5" w14:paraId="7B57FAF8" w14:textId="77777777">
        <w:tc>
          <w:tcPr>
            <w:tcW w:w="201" w:type="pct"/>
            <w:shd w:val="clear" w:color="auto" w:fill="auto"/>
          </w:tcPr>
          <w:p w:rsidRPr="002A2E5E" w:rsidR="009A66AA" w:rsidP="004B03C6" w:rsidRDefault="004B03C6" w14:paraId="581DD010" w14:textId="067302CC">
            <w:pPr>
              <w:pStyle w:val="naisc"/>
              <w:spacing w:before="0" w:after="0"/>
              <w:jc w:val="left"/>
            </w:pPr>
            <w:r w:rsidRPr="002A2E5E">
              <w:t>13.</w:t>
            </w:r>
          </w:p>
        </w:tc>
        <w:tc>
          <w:tcPr>
            <w:tcW w:w="1049" w:type="pct"/>
            <w:shd w:val="clear" w:color="auto" w:fill="auto"/>
          </w:tcPr>
          <w:p w:rsidRPr="002A2E5E" w:rsidR="009A66AA" w:rsidP="007013C3" w:rsidRDefault="00A63E56" w14:paraId="0AC3CF35" w14:textId="370817C7">
            <w:pPr>
              <w:pStyle w:val="naisc"/>
              <w:spacing w:before="0" w:after="0"/>
              <w:jc w:val="both"/>
              <w:rPr>
                <w:bCs/>
                <w:color w:val="000000" w:themeColor="text1"/>
              </w:rPr>
            </w:pPr>
            <w:r>
              <w:rPr>
                <w:bCs/>
                <w:color w:val="000000" w:themeColor="text1"/>
              </w:rPr>
              <w:t>Rīkojuma projekta a</w:t>
            </w:r>
            <w:r w:rsidRPr="002A2E5E" w:rsidR="004B03C6">
              <w:rPr>
                <w:bCs/>
                <w:color w:val="000000" w:themeColor="text1"/>
              </w:rPr>
              <w:t>notācija</w:t>
            </w:r>
            <w:r w:rsidR="0005414C">
              <w:rPr>
                <w:bCs/>
                <w:color w:val="000000" w:themeColor="text1"/>
              </w:rPr>
              <w:t>s III sadaļa</w:t>
            </w:r>
            <w:r>
              <w:rPr>
                <w:bCs/>
                <w:color w:val="000000" w:themeColor="text1"/>
              </w:rPr>
              <w:t>.</w:t>
            </w:r>
          </w:p>
        </w:tc>
        <w:tc>
          <w:tcPr>
            <w:tcW w:w="1279" w:type="pct"/>
            <w:shd w:val="clear" w:color="auto" w:fill="auto"/>
          </w:tcPr>
          <w:p w:rsidRPr="002A2E5E" w:rsidR="009A66AA" w:rsidP="00690795" w:rsidRDefault="004B03C6" w14:paraId="14F0CC1E" w14:textId="3ACBB9B4">
            <w:pPr>
              <w:pStyle w:val="naisc"/>
              <w:spacing w:before="0" w:after="0"/>
              <w:jc w:val="both"/>
            </w:pPr>
            <w:r w:rsidRPr="002A2E5E">
              <w:t xml:space="preserve">2019.gada novembra un decembra Igaunijai un Lietuvai kompensējamās PVN summas kompensēšana 2020. gadā radīs </w:t>
            </w:r>
            <w:r w:rsidRPr="002A2E5E">
              <w:lastRenderedPageBreak/>
              <w:t xml:space="preserve">negatīvu ietekmi uz vispārējās valdības budžeta bilanci 2020. gadā 131 212 </w:t>
            </w:r>
            <w:r w:rsidRPr="002A2E5E">
              <w:rPr>
                <w:i/>
                <w:iCs/>
              </w:rPr>
              <w:t>euro</w:t>
            </w:r>
            <w:r w:rsidRPr="002A2E5E">
              <w:t xml:space="preserve"> apmērā. Finanšu ministrija norāda, ka šīs izmaiņas nepieciešams atspoguļot anotācijas III sadaļas 1., 3. un 8.punktā.</w:t>
            </w:r>
          </w:p>
        </w:tc>
        <w:tc>
          <w:tcPr>
            <w:tcW w:w="1243" w:type="pct"/>
            <w:shd w:val="clear" w:color="auto" w:fill="auto"/>
          </w:tcPr>
          <w:p w:rsidRPr="002A2E5E" w:rsidR="009A66AA" w:rsidP="00A63E56" w:rsidRDefault="004D0FE5" w14:paraId="74D366A6" w14:textId="260EFD99">
            <w:pPr>
              <w:pStyle w:val="naisc"/>
              <w:spacing w:before="0" w:after="0"/>
              <w:rPr>
                <w:b/>
                <w:bCs/>
              </w:rPr>
            </w:pPr>
            <w:r w:rsidRPr="002A2E5E">
              <w:rPr>
                <w:b/>
                <w:bCs/>
              </w:rPr>
              <w:lastRenderedPageBreak/>
              <w:t>Iebildums ņemts vērā.</w:t>
            </w:r>
          </w:p>
        </w:tc>
        <w:tc>
          <w:tcPr>
            <w:tcW w:w="1228" w:type="pct"/>
            <w:shd w:val="clear" w:color="auto" w:fill="auto"/>
          </w:tcPr>
          <w:p w:rsidRPr="002A2E5E" w:rsidR="004D0FE5" w:rsidP="007013C3" w:rsidRDefault="004D0FE5" w14:paraId="0B63042C" w14:textId="774FE5DD">
            <w:pPr>
              <w:pStyle w:val="naisc"/>
              <w:spacing w:before="0" w:after="0"/>
              <w:jc w:val="both"/>
              <w:rPr>
                <w:rFonts w:eastAsia="Calibri"/>
              </w:rPr>
            </w:pPr>
            <w:r w:rsidRPr="002A2E5E">
              <w:rPr>
                <w:rFonts w:eastAsia="Calibri"/>
              </w:rPr>
              <w:t xml:space="preserve">Precizēti skaitļi </w:t>
            </w:r>
            <w:r w:rsidR="00A63E56">
              <w:rPr>
                <w:rFonts w:eastAsia="Calibri"/>
              </w:rPr>
              <w:t xml:space="preserve">Rīkojuma projekta </w:t>
            </w:r>
            <w:r w:rsidRPr="002A2E5E">
              <w:rPr>
                <w:rFonts w:eastAsia="Calibri"/>
              </w:rPr>
              <w:t>anotācijas III</w:t>
            </w:r>
            <w:r w:rsidR="00A63E56">
              <w:rPr>
                <w:rFonts w:eastAsia="Calibri"/>
              </w:rPr>
              <w:t xml:space="preserve"> </w:t>
            </w:r>
            <w:r w:rsidRPr="002A2E5E">
              <w:rPr>
                <w:rFonts w:eastAsia="Calibri"/>
              </w:rPr>
              <w:t>sadaļas 1. un 3.punktā un 8.punkt</w:t>
            </w:r>
            <w:r w:rsidR="00A63E56">
              <w:rPr>
                <w:rFonts w:eastAsia="Calibri"/>
              </w:rPr>
              <w:t>s:</w:t>
            </w:r>
          </w:p>
          <w:p w:rsidRPr="002A2E5E" w:rsidR="009A66AA" w:rsidP="007013C3" w:rsidRDefault="00A63E56" w14:paraId="6D15E0A5" w14:textId="28230B97">
            <w:pPr>
              <w:pStyle w:val="naisc"/>
              <w:spacing w:before="0" w:after="0"/>
              <w:jc w:val="both"/>
              <w:rPr>
                <w:rFonts w:eastAsia="Calibri"/>
                <w:lang w:eastAsia="en-US"/>
              </w:rPr>
            </w:pPr>
            <w:r>
              <w:rPr>
                <w:rFonts w:eastAsia="Calibri"/>
              </w:rPr>
              <w:lastRenderedPageBreak/>
              <w:t>“</w:t>
            </w:r>
            <w:r w:rsidRPr="002A2E5E" w:rsidR="004B03C6">
              <w:rPr>
                <w:rFonts w:eastAsia="Calibri"/>
              </w:rPr>
              <w:t xml:space="preserve">Projektam nav ietekme uz valsts budžetu pēc naudas plūsmas, jo PVN maksājumi, kas attiecas uz Lietuvu un Igauniju jau ir ieskaitīti Latvijas valsts budžetā un attiecīgi tie ir jāpārdala Satiksmes ministrijai, lai tālāk varētu veikt norēķinus ar RBR. Atbilstoši Eiropas Kontu sistēmas metodoloģijai, projekts radīs ietekmi uz vispārējās valdības budžeta bilanci 2020. gadā  131 211,96 </w:t>
            </w:r>
            <w:r w:rsidRPr="002A2E5E" w:rsidR="004D0FE5">
              <w:rPr>
                <w:rFonts w:eastAsia="Calibri"/>
              </w:rPr>
              <w:t>EUR</w:t>
            </w:r>
            <w:r w:rsidRPr="002A2E5E" w:rsidR="004B03C6">
              <w:rPr>
                <w:rFonts w:eastAsia="Calibri"/>
              </w:rPr>
              <w:t xml:space="preserve"> apmērā.</w:t>
            </w:r>
            <w:r>
              <w:rPr>
                <w:rFonts w:eastAsia="Calibri"/>
              </w:rPr>
              <w:t>”</w:t>
            </w:r>
          </w:p>
        </w:tc>
      </w:tr>
      <w:tr w:rsidRPr="00C55724" w:rsidR="00F91B45" w:rsidTr="00F91B45" w14:paraId="5CF85924" w14:textId="77777777">
        <w:tc>
          <w:tcPr>
            <w:tcW w:w="5000" w:type="pct"/>
            <w:gridSpan w:val="5"/>
            <w:shd w:val="clear" w:color="auto" w:fill="auto"/>
          </w:tcPr>
          <w:p w:rsidRPr="002A2E5E" w:rsidR="00F91B45" w:rsidP="00A63E56" w:rsidRDefault="00F91B45" w14:paraId="5AF0887D" w14:textId="087D3C5E">
            <w:pPr>
              <w:pStyle w:val="naisc"/>
              <w:spacing w:before="0" w:after="0"/>
              <w:rPr>
                <w:color w:val="000000" w:themeColor="text1"/>
              </w:rPr>
            </w:pPr>
            <w:r w:rsidRPr="002A2E5E">
              <w:rPr>
                <w:b/>
                <w:bCs/>
                <w:color w:val="000000" w:themeColor="text1"/>
              </w:rPr>
              <w:lastRenderedPageBreak/>
              <w:t>Tieslietu ministrijas</w:t>
            </w:r>
            <w:r w:rsidR="009D34C7">
              <w:rPr>
                <w:b/>
                <w:bCs/>
                <w:color w:val="000000" w:themeColor="text1"/>
              </w:rPr>
              <w:t xml:space="preserve"> priekšlikums</w:t>
            </w:r>
            <w:r w:rsidRPr="002A2E5E">
              <w:rPr>
                <w:color w:val="000000" w:themeColor="text1"/>
              </w:rPr>
              <w:t xml:space="preserve"> (18.09.2020. elektroniskā pasta ziņojums)</w:t>
            </w:r>
          </w:p>
          <w:p w:rsidRPr="002A2E5E" w:rsidR="00F91B45" w:rsidP="007013C3" w:rsidRDefault="00F91B45" w14:paraId="3729E30E" w14:textId="77777777">
            <w:pPr>
              <w:pStyle w:val="naisc"/>
              <w:spacing w:before="0" w:after="0"/>
              <w:jc w:val="both"/>
              <w:rPr>
                <w:rFonts w:eastAsia="Calibri"/>
              </w:rPr>
            </w:pPr>
          </w:p>
        </w:tc>
      </w:tr>
      <w:tr w:rsidRPr="00C55724" w:rsidR="00F91B45" w:rsidTr="00005AF5" w14:paraId="2B8AC29D" w14:textId="77777777">
        <w:tc>
          <w:tcPr>
            <w:tcW w:w="201" w:type="pct"/>
            <w:shd w:val="clear" w:color="auto" w:fill="auto"/>
          </w:tcPr>
          <w:p w:rsidRPr="002A2E5E" w:rsidR="00F91B45" w:rsidP="004B03C6" w:rsidRDefault="00F91B45" w14:paraId="481ECDCB" w14:textId="48946DB1">
            <w:pPr>
              <w:pStyle w:val="naisc"/>
              <w:spacing w:before="0" w:after="0"/>
              <w:jc w:val="left"/>
            </w:pPr>
            <w:r w:rsidRPr="002A2E5E">
              <w:t xml:space="preserve">14. </w:t>
            </w:r>
          </w:p>
        </w:tc>
        <w:tc>
          <w:tcPr>
            <w:tcW w:w="1049" w:type="pct"/>
            <w:shd w:val="clear" w:color="auto" w:fill="auto"/>
          </w:tcPr>
          <w:p w:rsidRPr="002A2E5E" w:rsidR="00F91B45" w:rsidP="007013C3" w:rsidRDefault="00F91B45" w14:paraId="60C9B212" w14:textId="5C512F45">
            <w:pPr>
              <w:pStyle w:val="naisc"/>
              <w:spacing w:before="0" w:after="0"/>
              <w:jc w:val="both"/>
              <w:rPr>
                <w:bCs/>
                <w:color w:val="000000" w:themeColor="text1"/>
              </w:rPr>
            </w:pPr>
            <w:r w:rsidRPr="002A2E5E">
              <w:rPr>
                <w:bCs/>
                <w:color w:val="000000" w:themeColor="text1"/>
              </w:rPr>
              <w:t>5.</w:t>
            </w:r>
            <w:r w:rsidRPr="002A2E5E">
              <w:rPr>
                <w:bCs/>
                <w:color w:val="000000" w:themeColor="text1"/>
              </w:rPr>
              <w:tab/>
              <w:t>Satiksmes ministrijai pēc šā rīkojuma 3.punktā minētās apropriācijas palielināšanas normatīvajos aktos noteiktajā kārtībā pārskaitīt akciju sabiedrībai “RB Rail” šā rīkojuma            1. punktā norādītās summas saskaņā ar Lietuvas Republikas Transporta un sakaru ministrijas autorizāciju un Igaunijas Republikas Ekonomisko lietu un sakaru ministrijas autorizāciju.</w:t>
            </w:r>
          </w:p>
        </w:tc>
        <w:tc>
          <w:tcPr>
            <w:tcW w:w="1279" w:type="pct"/>
            <w:shd w:val="clear" w:color="auto" w:fill="auto"/>
          </w:tcPr>
          <w:p w:rsidRPr="002A2E5E" w:rsidR="00F91B45" w:rsidP="00690795" w:rsidRDefault="00F91B45" w14:paraId="34C147C3" w14:textId="0B64E36A">
            <w:pPr>
              <w:pStyle w:val="naisc"/>
              <w:spacing w:before="0" w:after="0"/>
              <w:jc w:val="both"/>
            </w:pPr>
            <w:r w:rsidRPr="002A2E5E">
              <w:t xml:space="preserve">Projekta 5. punkts paredz, ka Satiksmes ministrija pēc projekta 3. punktā minētās apropriācijas palielināšanas normatīvajos aktos noteiktajā kārtībā pārskaita projekta 1. punktā norādītās summas. Ministru kabineta 2020. gada 14. aprīļa noteikumu Nr. 218 "Kārtība, kādā kompensē pievienotās vērtības nodokļa summas Igaunijai un Lietuvai par akciju sabiedrības "RB Rail" veiktajām aktivitātēm" 4. un 9. punkts paredz kārtību, kādā tiek pārskaitīta projekta 1.2. un 1.3. </w:t>
            </w:r>
            <w:r w:rsidRPr="002A2E5E">
              <w:lastRenderedPageBreak/>
              <w:t>apakšpunktā norādītā summa. Vienlaikus normatīvie akti nenosaka kārtību, kādā tiek pārskaitīta projekta 1.1. apakšpunktā norādītā summa. Ja projekta 1.1. apakšpunktā norādīto summu paredzēts pārskaitīt tādā pašā kārtībā, kādā tiks pārskaitītas projekta 1.2. un 1.3. apakšpunktā norādītās summas, lūdzam projekta 5. punktā norādīt, ka projekta 1. punktā norādītās summas tiks pārskaitītas Ministru kabineta 2020. gada 14. aprīļa noteikumu Nr. 218 "Kārtība, kādā kompensē pievienotās vērtības nodokļa summas Igaunijai un Lietuvai par akciju sabiedrības "RB Rail" veiktajām aktivitātēm" 9. punktā noteiktajā kārtībā.</w:t>
            </w:r>
          </w:p>
        </w:tc>
        <w:tc>
          <w:tcPr>
            <w:tcW w:w="1243" w:type="pct"/>
            <w:shd w:val="clear" w:color="auto" w:fill="auto"/>
          </w:tcPr>
          <w:p w:rsidRPr="002A2E5E" w:rsidR="00F91B45" w:rsidP="00811F42" w:rsidRDefault="00811F42" w14:paraId="75EADAE7" w14:textId="511E5B27">
            <w:pPr>
              <w:pStyle w:val="naisc"/>
              <w:spacing w:before="0" w:after="0"/>
              <w:rPr>
                <w:b/>
                <w:bCs/>
              </w:rPr>
            </w:pPr>
            <w:r w:rsidRPr="009D34C7">
              <w:rPr>
                <w:b/>
                <w:bCs/>
                <w:color w:val="000000" w:themeColor="text1"/>
              </w:rPr>
              <w:lastRenderedPageBreak/>
              <w:t>Priekšlikums</w:t>
            </w:r>
            <w:r w:rsidRPr="009D34C7" w:rsidR="00F91B45">
              <w:rPr>
                <w:b/>
                <w:bCs/>
                <w:color w:val="000000" w:themeColor="text1"/>
              </w:rPr>
              <w:t xml:space="preserve"> </w:t>
            </w:r>
            <w:r w:rsidRPr="002A2E5E" w:rsidR="00F91B45">
              <w:rPr>
                <w:b/>
                <w:bCs/>
              </w:rPr>
              <w:t>ņemts vērā.</w:t>
            </w:r>
          </w:p>
        </w:tc>
        <w:tc>
          <w:tcPr>
            <w:tcW w:w="1228" w:type="pct"/>
            <w:shd w:val="clear" w:color="auto" w:fill="auto"/>
          </w:tcPr>
          <w:p w:rsidRPr="002A2E5E" w:rsidR="00F91B45" w:rsidP="007013C3" w:rsidRDefault="00811F42" w14:paraId="3F158D4B" w14:textId="739473B8">
            <w:pPr>
              <w:pStyle w:val="naisc"/>
              <w:spacing w:before="0" w:after="0"/>
              <w:jc w:val="both"/>
              <w:rPr>
                <w:rFonts w:eastAsia="Calibri"/>
              </w:rPr>
            </w:pPr>
            <w:r>
              <w:rPr>
                <w:rFonts w:eastAsia="Calibri"/>
              </w:rPr>
              <w:t xml:space="preserve">Precizēts </w:t>
            </w:r>
            <w:r w:rsidRPr="002A2E5E" w:rsidR="00F91B45">
              <w:rPr>
                <w:rFonts w:eastAsia="Calibri"/>
              </w:rPr>
              <w:t>Rīkojuma</w:t>
            </w:r>
            <w:r>
              <w:rPr>
                <w:rFonts w:eastAsia="Calibri"/>
              </w:rPr>
              <w:t xml:space="preserve"> projekta</w:t>
            </w:r>
            <w:r w:rsidRPr="002A2E5E" w:rsidR="00F91B45">
              <w:rPr>
                <w:rFonts w:eastAsia="Calibri"/>
              </w:rPr>
              <w:t xml:space="preserve"> 5.punkts</w:t>
            </w:r>
            <w:r>
              <w:rPr>
                <w:rFonts w:eastAsia="Calibri"/>
              </w:rPr>
              <w:t>:</w:t>
            </w:r>
          </w:p>
          <w:p w:rsidRPr="002A2E5E" w:rsidR="00F91B45" w:rsidP="007013C3" w:rsidRDefault="00811F42" w14:paraId="4DDCD2AB" w14:textId="65904611">
            <w:pPr>
              <w:pStyle w:val="naisc"/>
              <w:spacing w:before="0" w:after="0"/>
              <w:jc w:val="both"/>
              <w:rPr>
                <w:rFonts w:eastAsia="Calibri"/>
              </w:rPr>
            </w:pPr>
            <w:r>
              <w:rPr>
                <w:rFonts w:eastAsia="Calibri"/>
              </w:rPr>
              <w:t>“</w:t>
            </w:r>
            <w:r w:rsidRPr="002A2E5E" w:rsidR="00F91B45">
              <w:rPr>
                <w:rFonts w:eastAsia="Calibri"/>
              </w:rPr>
              <w:t xml:space="preserve">5. Satiksmes ministrijai pēc šā rīkojuma 3.punktā minētās apropriācijas palielināšanas pārskaitīt akciju sabiedrībai “RB Rail” šā rīkojuma 1.punktā norādītās summas saskaņā ar Lietuvas Republikas Transporta un sakaru ministrijas autorizāciju un Igaunijas Republikas Ekonomisko lietu un sakaru ministrijas autorizāciju </w:t>
            </w:r>
            <w:r w:rsidRPr="004271D4" w:rsidR="00F91B45">
              <w:rPr>
                <w:rFonts w:eastAsia="Calibri"/>
              </w:rPr>
              <w:t xml:space="preserve">Ministru kabineta 2020. gada 14. aprīļa noteikumu Nr. 218 </w:t>
            </w:r>
            <w:r w:rsidRPr="004271D4">
              <w:rPr>
                <w:rFonts w:eastAsia="Calibri"/>
              </w:rPr>
              <w:t>“</w:t>
            </w:r>
            <w:r w:rsidRPr="004271D4" w:rsidR="00F91B45">
              <w:rPr>
                <w:rFonts w:eastAsia="Calibri"/>
              </w:rPr>
              <w:t xml:space="preserve">Kārtība, kādā </w:t>
            </w:r>
            <w:r w:rsidRPr="004271D4" w:rsidR="00F91B45">
              <w:rPr>
                <w:rFonts w:eastAsia="Calibri"/>
              </w:rPr>
              <w:lastRenderedPageBreak/>
              <w:t xml:space="preserve">kompensē pievienotās vērtības nodokļa summas Igaunijai un Lietuvai par akciju sabiedrības </w:t>
            </w:r>
            <w:r w:rsidRPr="004271D4">
              <w:rPr>
                <w:rFonts w:eastAsia="Calibri"/>
              </w:rPr>
              <w:t>“</w:t>
            </w:r>
            <w:r w:rsidRPr="004271D4" w:rsidR="00F91B45">
              <w:rPr>
                <w:rFonts w:eastAsia="Calibri"/>
              </w:rPr>
              <w:t>RB Rail</w:t>
            </w:r>
            <w:r w:rsidRPr="004271D4">
              <w:rPr>
                <w:rFonts w:eastAsia="Calibri"/>
              </w:rPr>
              <w:t>”</w:t>
            </w:r>
            <w:r w:rsidRPr="004271D4" w:rsidR="00F91B45">
              <w:rPr>
                <w:rFonts w:eastAsia="Calibri"/>
              </w:rPr>
              <w:t xml:space="preserve"> veiktajām aktivitātēm</w:t>
            </w:r>
            <w:r w:rsidRPr="004271D4">
              <w:rPr>
                <w:rFonts w:eastAsia="Calibri"/>
              </w:rPr>
              <w:t>”</w:t>
            </w:r>
            <w:r w:rsidRPr="004271D4" w:rsidR="00F91B45">
              <w:rPr>
                <w:rFonts w:eastAsia="Calibri"/>
              </w:rPr>
              <w:t xml:space="preserve"> 9. punktā noteiktajā kārtībā</w:t>
            </w:r>
            <w:r w:rsidRPr="002A2E5E" w:rsidR="00F91B45">
              <w:rPr>
                <w:rFonts w:eastAsia="Calibri"/>
              </w:rPr>
              <w:t>.</w:t>
            </w:r>
            <w:r>
              <w:rPr>
                <w:rFonts w:eastAsia="Calibri"/>
              </w:rPr>
              <w:t>”</w:t>
            </w:r>
          </w:p>
        </w:tc>
      </w:tr>
    </w:tbl>
    <w:tbl>
      <w:tblPr>
        <w:tblW w:w="0" w:type="auto"/>
        <w:tblLook w:val="00A0" w:firstRow="1" w:lastRow="0" w:firstColumn="1" w:lastColumn="0" w:noHBand="0" w:noVBand="0"/>
      </w:tblPr>
      <w:tblGrid>
        <w:gridCol w:w="8268"/>
      </w:tblGrid>
      <w:tr w:rsidRPr="00C55724" w:rsidR="001E5BBA" w:rsidTr="00517D4E" w14:paraId="029B61C0" w14:textId="77777777">
        <w:tc>
          <w:tcPr>
            <w:tcW w:w="8268" w:type="dxa"/>
            <w:tcBorders>
              <w:top w:val="single" w:color="000000" w:sz="4" w:space="0"/>
            </w:tcBorders>
          </w:tcPr>
          <w:p w:rsidRPr="00C55724" w:rsidR="00D764BA" w:rsidP="00144D70" w:rsidRDefault="00D764BA" w14:paraId="51A35908" w14:textId="4E358751">
            <w:pPr>
              <w:jc w:val="center"/>
              <w:rPr>
                <w:sz w:val="20"/>
                <w:szCs w:val="20"/>
              </w:rPr>
            </w:pPr>
          </w:p>
        </w:tc>
      </w:tr>
    </w:tbl>
    <w:p w:rsidR="00872FE2" w:rsidP="00D764BA" w:rsidRDefault="00872FE2" w14:paraId="2E1EF4DE" w14:textId="77777777">
      <w:pPr>
        <w:tabs>
          <w:tab w:val="left" w:pos="6840"/>
        </w:tabs>
        <w:jc w:val="both"/>
        <w:rPr>
          <w:color w:val="000000" w:themeColor="text1"/>
          <w:sz w:val="20"/>
          <w:szCs w:val="20"/>
        </w:rPr>
      </w:pPr>
    </w:p>
    <w:p w:rsidR="00F9334E" w:rsidP="008143A9" w:rsidRDefault="004D0BFE" w14:paraId="2F27E7A6" w14:textId="64D5319D">
      <w:pPr>
        <w:widowControl w:val="0"/>
        <w:spacing w:after="0"/>
        <w:rPr>
          <w:color w:val="000000" w:themeColor="text1"/>
          <w:sz w:val="22"/>
          <w:szCs w:val="22"/>
        </w:rPr>
      </w:pPr>
      <w:r>
        <w:rPr>
          <w:color w:val="000000" w:themeColor="text1"/>
          <w:sz w:val="22"/>
          <w:szCs w:val="22"/>
        </w:rPr>
        <w:t>Olita Bērziņa</w:t>
      </w:r>
      <w:r w:rsidRPr="008143A9" w:rsidR="00F9334E">
        <w:rPr>
          <w:color w:val="000000" w:themeColor="text1"/>
          <w:sz w:val="22"/>
          <w:szCs w:val="22"/>
        </w:rPr>
        <w:t>,</w:t>
      </w:r>
    </w:p>
    <w:p w:rsidR="007013C3" w:rsidP="008143A9" w:rsidRDefault="007013C3" w14:paraId="61DD3750" w14:textId="41917FD2">
      <w:pPr>
        <w:widowControl w:val="0"/>
        <w:spacing w:after="0"/>
        <w:rPr>
          <w:color w:val="000000" w:themeColor="text1"/>
          <w:sz w:val="22"/>
          <w:szCs w:val="22"/>
        </w:rPr>
      </w:pPr>
      <w:r>
        <w:rPr>
          <w:color w:val="000000" w:themeColor="text1"/>
          <w:sz w:val="22"/>
          <w:szCs w:val="22"/>
        </w:rPr>
        <w:t>Satiksmes ministrijas</w:t>
      </w:r>
    </w:p>
    <w:p w:rsidRPr="008143A9" w:rsidR="007013C3" w:rsidP="008143A9" w:rsidRDefault="007013C3" w14:paraId="05E18504" w14:textId="13360F8E">
      <w:pPr>
        <w:widowControl w:val="0"/>
        <w:spacing w:after="0"/>
        <w:rPr>
          <w:color w:val="000000" w:themeColor="text1"/>
          <w:sz w:val="22"/>
          <w:szCs w:val="22"/>
        </w:rPr>
      </w:pPr>
      <w:r>
        <w:rPr>
          <w:color w:val="000000" w:themeColor="text1"/>
          <w:sz w:val="22"/>
          <w:szCs w:val="22"/>
        </w:rPr>
        <w:t>Rail Baltica departamenta direktore</w:t>
      </w:r>
    </w:p>
    <w:p w:rsidRPr="00F9334E" w:rsidR="00B85D9F" w:rsidP="008143A9" w:rsidRDefault="00F9334E" w14:paraId="4CFAA261" w14:textId="1D7C5872">
      <w:pPr>
        <w:widowControl w:val="0"/>
        <w:spacing w:after="0"/>
        <w:rPr>
          <w:rFonts w:eastAsia="Calibri"/>
          <w:sz w:val="20"/>
          <w:szCs w:val="20"/>
        </w:rPr>
      </w:pPr>
      <w:r w:rsidRPr="00F9334E">
        <w:rPr>
          <w:rFonts w:eastAsia="Calibri"/>
          <w:sz w:val="20"/>
          <w:szCs w:val="20"/>
        </w:rPr>
        <w:t>T</w:t>
      </w:r>
      <w:r w:rsidR="004D0BFE">
        <w:rPr>
          <w:rFonts w:eastAsia="Calibri"/>
          <w:sz w:val="20"/>
          <w:szCs w:val="20"/>
        </w:rPr>
        <w:t xml:space="preserve">el.: </w:t>
      </w:r>
      <w:r w:rsidRPr="00F9334E" w:rsidR="00B85D9F">
        <w:rPr>
          <w:rFonts w:eastAsia="Calibri"/>
          <w:sz w:val="20"/>
          <w:szCs w:val="20"/>
        </w:rPr>
        <w:t>67028</w:t>
      </w:r>
      <w:r w:rsidR="004D0BFE">
        <w:rPr>
          <w:rFonts w:eastAsia="Calibri"/>
          <w:sz w:val="20"/>
          <w:szCs w:val="20"/>
        </w:rPr>
        <w:t>083</w:t>
      </w:r>
    </w:p>
    <w:p w:rsidRPr="00F9334E" w:rsidR="00B85D9F" w:rsidP="008143A9" w:rsidRDefault="004271D4" w14:paraId="46343BCE" w14:textId="05A747BD">
      <w:pPr>
        <w:widowControl w:val="0"/>
        <w:spacing w:after="0"/>
        <w:rPr>
          <w:rFonts w:eastAsia="Calibri"/>
          <w:sz w:val="20"/>
          <w:szCs w:val="20"/>
        </w:rPr>
      </w:pPr>
      <w:hyperlink w:history="1" r:id="rId11">
        <w:r w:rsidRPr="00D32791" w:rsidR="004D0BFE">
          <w:rPr>
            <w:rStyle w:val="Hyperlink"/>
            <w:rFonts w:eastAsia="Calibri"/>
            <w:sz w:val="20"/>
            <w:szCs w:val="20"/>
          </w:rPr>
          <w:t>olita.berzina@sam.gov.lv</w:t>
        </w:r>
      </w:hyperlink>
      <w:r w:rsidRPr="00F9334E" w:rsidR="00B85D9F">
        <w:rPr>
          <w:rFonts w:eastAsia="Calibri"/>
          <w:sz w:val="20"/>
          <w:szCs w:val="20"/>
        </w:rPr>
        <w:t xml:space="preserve"> </w:t>
      </w:r>
    </w:p>
    <w:sectPr w:rsidRPr="00F9334E" w:rsidR="00B85D9F" w:rsidSect="009B053F">
      <w:headerReference w:type="default" r:id="rId12"/>
      <w:footerReference w:type="default" r:id="rId13"/>
      <w:footerReference w:type="first" r:id="rId14"/>
      <w:pgSz w:w="16838" w:h="11906" w:orient="landscape"/>
      <w:pgMar w:top="1800"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9912" w14:textId="77777777" w:rsidR="000A2DF6" w:rsidRDefault="000A2DF6" w:rsidP="00B31052">
      <w:r>
        <w:separator/>
      </w:r>
    </w:p>
  </w:endnote>
  <w:endnote w:type="continuationSeparator" w:id="0">
    <w:p w14:paraId="14E23D17" w14:textId="77777777" w:rsidR="000A2DF6" w:rsidRDefault="000A2DF6" w:rsidP="00B31052">
      <w:r>
        <w:continuationSeparator/>
      </w:r>
    </w:p>
  </w:endnote>
  <w:endnote w:type="continuationNotice" w:id="1">
    <w:p w14:paraId="44333E90" w14:textId="77777777" w:rsidR="000A2DF6" w:rsidRDefault="000A2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AA7B" w14:textId="3D1EEF60" w:rsidR="000A6921" w:rsidRPr="000A6921" w:rsidRDefault="000A6921" w:rsidP="000A6921">
    <w:pPr>
      <w:pStyle w:val="Footer"/>
      <w:rPr>
        <w:sz w:val="20"/>
        <w:szCs w:val="20"/>
      </w:rPr>
    </w:pPr>
    <w:r w:rsidRPr="000A6921">
      <w:rPr>
        <w:sz w:val="20"/>
        <w:szCs w:val="20"/>
      </w:rPr>
      <w:t>SMizz_</w:t>
    </w:r>
    <w:r w:rsidR="00F91B45">
      <w:rPr>
        <w:sz w:val="20"/>
        <w:szCs w:val="20"/>
      </w:rPr>
      <w:t>22</w:t>
    </w:r>
    <w:r w:rsidRPr="000A6921">
      <w:rPr>
        <w:sz w:val="20"/>
        <w:szCs w:val="20"/>
      </w:rPr>
      <w:t>0</w:t>
    </w:r>
    <w:r w:rsidR="002E5A59">
      <w:rPr>
        <w:sz w:val="20"/>
        <w:szCs w:val="20"/>
      </w:rPr>
      <w:t>9</w:t>
    </w:r>
    <w:r w:rsidRPr="000A6921">
      <w:rPr>
        <w:sz w:val="20"/>
        <w:szCs w:val="20"/>
      </w:rPr>
      <w:t>20_RBRpvn</w:t>
    </w:r>
    <w:r w:rsidR="002E5A59">
      <w:rPr>
        <w:sz w:val="20"/>
        <w:szCs w:val="20"/>
      </w:rPr>
      <w:t>Q1Q2</w:t>
    </w:r>
  </w:p>
  <w:p w14:paraId="0656791B" w14:textId="77777777" w:rsidR="000A6921" w:rsidRDefault="000A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F77B" w14:textId="1A2771F5" w:rsidR="000A6921" w:rsidRPr="000A6921" w:rsidRDefault="000A6921">
    <w:pPr>
      <w:pStyle w:val="Footer"/>
      <w:rPr>
        <w:sz w:val="20"/>
        <w:szCs w:val="20"/>
      </w:rPr>
    </w:pPr>
    <w:r w:rsidRPr="000A6921">
      <w:rPr>
        <w:sz w:val="20"/>
        <w:szCs w:val="20"/>
      </w:rPr>
      <w:t>SMizz_</w:t>
    </w:r>
    <w:r w:rsidR="00F91B45">
      <w:rPr>
        <w:sz w:val="20"/>
        <w:szCs w:val="20"/>
      </w:rPr>
      <w:t>22</w:t>
    </w:r>
    <w:r w:rsidR="007E1AE1">
      <w:rPr>
        <w:sz w:val="20"/>
        <w:szCs w:val="20"/>
      </w:rPr>
      <w:t>0920</w:t>
    </w:r>
    <w:r w:rsidRPr="000A6921">
      <w:rPr>
        <w:sz w:val="20"/>
        <w:szCs w:val="20"/>
      </w:rPr>
      <w:t>_RBRpvn</w:t>
    </w:r>
    <w:r w:rsidR="007E1AE1">
      <w:rPr>
        <w:sz w:val="20"/>
        <w:szCs w:val="20"/>
      </w:rPr>
      <w:t>Q1Q2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70D6" w14:textId="77777777" w:rsidR="000A2DF6" w:rsidRDefault="000A2DF6" w:rsidP="00B31052">
      <w:r>
        <w:separator/>
      </w:r>
    </w:p>
  </w:footnote>
  <w:footnote w:type="continuationSeparator" w:id="0">
    <w:p w14:paraId="35EC5701" w14:textId="77777777" w:rsidR="000A2DF6" w:rsidRDefault="000A2DF6" w:rsidP="00B31052">
      <w:r>
        <w:continuationSeparator/>
      </w:r>
    </w:p>
  </w:footnote>
  <w:footnote w:type="continuationNotice" w:id="1">
    <w:p w14:paraId="1803724A" w14:textId="77777777" w:rsidR="000A2DF6" w:rsidRDefault="000A2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023"/>
    <w:multiLevelType w:val="hybridMultilevel"/>
    <w:tmpl w:val="5A5C100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15768"/>
    <w:multiLevelType w:val="multilevel"/>
    <w:tmpl w:val="1F5C66E6"/>
    <w:lvl w:ilvl="0">
      <w:start w:val="1"/>
      <w:numFmt w:val="decimal"/>
      <w:lvlText w:val="%1."/>
      <w:lvlJc w:val="left"/>
      <w:pPr>
        <w:ind w:left="36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2" w15:restartNumberingAfterBreak="0">
    <w:nsid w:val="1F037BE2"/>
    <w:multiLevelType w:val="hybridMultilevel"/>
    <w:tmpl w:val="141AA3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B4A13"/>
    <w:multiLevelType w:val="hybridMultilevel"/>
    <w:tmpl w:val="865AC6A2"/>
    <w:lvl w:ilvl="0" w:tplc="BF1887D2">
      <w:start w:val="1"/>
      <w:numFmt w:val="decimal"/>
      <w:lvlText w:val="%1."/>
      <w:lvlJc w:val="left"/>
      <w:pPr>
        <w:ind w:left="720" w:hanging="360"/>
      </w:pPr>
      <w:rPr>
        <w:rFonts w:ascii="Calibri" w:eastAsia="Calibri" w:hAnsi="Calibri"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7006831"/>
    <w:multiLevelType w:val="hybridMultilevel"/>
    <w:tmpl w:val="FE582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D3A09"/>
    <w:multiLevelType w:val="hybridMultilevel"/>
    <w:tmpl w:val="021A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8"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466544AE"/>
    <w:multiLevelType w:val="hybridMultilevel"/>
    <w:tmpl w:val="1400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AF83384"/>
    <w:multiLevelType w:val="multilevel"/>
    <w:tmpl w:val="1F5C66E6"/>
    <w:lvl w:ilvl="0">
      <w:start w:val="1"/>
      <w:numFmt w:val="decimal"/>
      <w:lvlText w:val="%1."/>
      <w:lvlJc w:val="left"/>
      <w:pPr>
        <w:ind w:left="36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2" w15:restartNumberingAfterBreak="0">
    <w:nsid w:val="5B687060"/>
    <w:multiLevelType w:val="multilevel"/>
    <w:tmpl w:val="1F5C66E6"/>
    <w:lvl w:ilvl="0">
      <w:start w:val="1"/>
      <w:numFmt w:val="decimal"/>
      <w:lvlText w:val="%1."/>
      <w:lvlJc w:val="left"/>
      <w:pPr>
        <w:ind w:left="36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3" w15:restartNumberingAfterBreak="0">
    <w:nsid w:val="746A57FF"/>
    <w:multiLevelType w:val="multilevel"/>
    <w:tmpl w:val="1F5C66E6"/>
    <w:lvl w:ilvl="0">
      <w:start w:val="1"/>
      <w:numFmt w:val="decimal"/>
      <w:lvlText w:val="%1."/>
      <w:lvlJc w:val="left"/>
      <w:pPr>
        <w:ind w:left="36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4" w15:restartNumberingAfterBreak="0">
    <w:nsid w:val="74CE5367"/>
    <w:multiLevelType w:val="hybridMultilevel"/>
    <w:tmpl w:val="74E04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37B17"/>
    <w:multiLevelType w:val="hybridMultilevel"/>
    <w:tmpl w:val="141AA3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7"/>
  </w:num>
  <w:num w:numId="2">
    <w:abstractNumId w:val="6"/>
  </w:num>
  <w:num w:numId="3">
    <w:abstractNumId w:val="10"/>
  </w:num>
  <w:num w:numId="4">
    <w:abstractNumId w:val="8"/>
  </w:num>
  <w:num w:numId="5">
    <w:abstractNumId w:val="4"/>
  </w:num>
  <w:num w:numId="6">
    <w:abstractNumId w:val="16"/>
  </w:num>
  <w:num w:numId="7">
    <w:abstractNumId w:val="5"/>
  </w:num>
  <w:num w:numId="8">
    <w:abstractNumId w:val="9"/>
  </w:num>
  <w:num w:numId="9">
    <w:abstractNumId w:val="14"/>
  </w:num>
  <w:num w:numId="10">
    <w:abstractNumId w:val="11"/>
  </w:num>
  <w:num w:numId="11">
    <w:abstractNumId w:val="15"/>
  </w:num>
  <w:num w:numId="12">
    <w:abstractNumId w:val="2"/>
  </w:num>
  <w:num w:numId="13">
    <w:abstractNumId w:val="1"/>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1E"/>
    <w:rsid w:val="00002B38"/>
    <w:rsid w:val="0000364D"/>
    <w:rsid w:val="00003873"/>
    <w:rsid w:val="00004BE7"/>
    <w:rsid w:val="00005AF5"/>
    <w:rsid w:val="00006EC9"/>
    <w:rsid w:val="00007AD4"/>
    <w:rsid w:val="00010448"/>
    <w:rsid w:val="000112E1"/>
    <w:rsid w:val="00011CD1"/>
    <w:rsid w:val="000123A2"/>
    <w:rsid w:val="000148ED"/>
    <w:rsid w:val="00014A9D"/>
    <w:rsid w:val="00015638"/>
    <w:rsid w:val="000156F3"/>
    <w:rsid w:val="00015B3A"/>
    <w:rsid w:val="00021150"/>
    <w:rsid w:val="00024B34"/>
    <w:rsid w:val="000252C9"/>
    <w:rsid w:val="00025CE7"/>
    <w:rsid w:val="00026237"/>
    <w:rsid w:val="00027267"/>
    <w:rsid w:val="0003218D"/>
    <w:rsid w:val="00032324"/>
    <w:rsid w:val="000325C6"/>
    <w:rsid w:val="00032D43"/>
    <w:rsid w:val="00034F0D"/>
    <w:rsid w:val="000351DC"/>
    <w:rsid w:val="00035738"/>
    <w:rsid w:val="0003722F"/>
    <w:rsid w:val="00037231"/>
    <w:rsid w:val="000419EE"/>
    <w:rsid w:val="00041C1A"/>
    <w:rsid w:val="00042BDE"/>
    <w:rsid w:val="0004307C"/>
    <w:rsid w:val="0004390A"/>
    <w:rsid w:val="000440E5"/>
    <w:rsid w:val="00044233"/>
    <w:rsid w:val="00044E34"/>
    <w:rsid w:val="000458A4"/>
    <w:rsid w:val="00046278"/>
    <w:rsid w:val="00047800"/>
    <w:rsid w:val="00047852"/>
    <w:rsid w:val="0005197C"/>
    <w:rsid w:val="00052316"/>
    <w:rsid w:val="00052F2D"/>
    <w:rsid w:val="00053565"/>
    <w:rsid w:val="0005414C"/>
    <w:rsid w:val="00054244"/>
    <w:rsid w:val="000545FB"/>
    <w:rsid w:val="00054F92"/>
    <w:rsid w:val="00055B1F"/>
    <w:rsid w:val="00056357"/>
    <w:rsid w:val="00056471"/>
    <w:rsid w:val="0005694B"/>
    <w:rsid w:val="00056C59"/>
    <w:rsid w:val="000575EA"/>
    <w:rsid w:val="000576B6"/>
    <w:rsid w:val="00060600"/>
    <w:rsid w:val="00060695"/>
    <w:rsid w:val="000615AA"/>
    <w:rsid w:val="00061A3C"/>
    <w:rsid w:val="00061C07"/>
    <w:rsid w:val="00063D40"/>
    <w:rsid w:val="000647E4"/>
    <w:rsid w:val="000649BA"/>
    <w:rsid w:val="00064D70"/>
    <w:rsid w:val="000655B3"/>
    <w:rsid w:val="0006578E"/>
    <w:rsid w:val="00065DE9"/>
    <w:rsid w:val="00066525"/>
    <w:rsid w:val="00067241"/>
    <w:rsid w:val="000674AC"/>
    <w:rsid w:val="00074AEF"/>
    <w:rsid w:val="00075616"/>
    <w:rsid w:val="00077A48"/>
    <w:rsid w:val="00080308"/>
    <w:rsid w:val="000808E9"/>
    <w:rsid w:val="0008111B"/>
    <w:rsid w:val="00081D2E"/>
    <w:rsid w:val="0008238C"/>
    <w:rsid w:val="00085AC6"/>
    <w:rsid w:val="000863A8"/>
    <w:rsid w:val="00087A90"/>
    <w:rsid w:val="0009474B"/>
    <w:rsid w:val="000A0D2B"/>
    <w:rsid w:val="000A1107"/>
    <w:rsid w:val="000A2DF6"/>
    <w:rsid w:val="000A3198"/>
    <w:rsid w:val="000A38AD"/>
    <w:rsid w:val="000A3CB3"/>
    <w:rsid w:val="000A4A1C"/>
    <w:rsid w:val="000A56F7"/>
    <w:rsid w:val="000A6921"/>
    <w:rsid w:val="000A749C"/>
    <w:rsid w:val="000B0D33"/>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3CA2"/>
    <w:rsid w:val="000D48F0"/>
    <w:rsid w:val="000D518F"/>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3D14"/>
    <w:rsid w:val="00114265"/>
    <w:rsid w:val="001142C4"/>
    <w:rsid w:val="0011491A"/>
    <w:rsid w:val="00114FAA"/>
    <w:rsid w:val="00115AE3"/>
    <w:rsid w:val="00116DA7"/>
    <w:rsid w:val="001213A5"/>
    <w:rsid w:val="0012189F"/>
    <w:rsid w:val="00121D77"/>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37C5D"/>
    <w:rsid w:val="00141063"/>
    <w:rsid w:val="00141FF5"/>
    <w:rsid w:val="0014266E"/>
    <w:rsid w:val="00142770"/>
    <w:rsid w:val="00144D70"/>
    <w:rsid w:val="001452E1"/>
    <w:rsid w:val="0014660F"/>
    <w:rsid w:val="00146C99"/>
    <w:rsid w:val="001477C0"/>
    <w:rsid w:val="001478FE"/>
    <w:rsid w:val="001503EB"/>
    <w:rsid w:val="0015048C"/>
    <w:rsid w:val="00150543"/>
    <w:rsid w:val="00150AE4"/>
    <w:rsid w:val="00151368"/>
    <w:rsid w:val="0015147A"/>
    <w:rsid w:val="001517F9"/>
    <w:rsid w:val="001529D1"/>
    <w:rsid w:val="00152BE2"/>
    <w:rsid w:val="0015538C"/>
    <w:rsid w:val="00160316"/>
    <w:rsid w:val="001619F5"/>
    <w:rsid w:val="001621D6"/>
    <w:rsid w:val="0016496F"/>
    <w:rsid w:val="00165B19"/>
    <w:rsid w:val="00165DB3"/>
    <w:rsid w:val="00166EAC"/>
    <w:rsid w:val="00170024"/>
    <w:rsid w:val="001711DA"/>
    <w:rsid w:val="00171D59"/>
    <w:rsid w:val="001728E4"/>
    <w:rsid w:val="0017342A"/>
    <w:rsid w:val="00175675"/>
    <w:rsid w:val="00175BF4"/>
    <w:rsid w:val="00176E8C"/>
    <w:rsid w:val="00181797"/>
    <w:rsid w:val="001819AE"/>
    <w:rsid w:val="001828C7"/>
    <w:rsid w:val="001841B2"/>
    <w:rsid w:val="0018474C"/>
    <w:rsid w:val="00185680"/>
    <w:rsid w:val="00185CA0"/>
    <w:rsid w:val="001865E7"/>
    <w:rsid w:val="00187994"/>
    <w:rsid w:val="00190037"/>
    <w:rsid w:val="00190393"/>
    <w:rsid w:val="00193E9B"/>
    <w:rsid w:val="001976F6"/>
    <w:rsid w:val="0019780A"/>
    <w:rsid w:val="00197D64"/>
    <w:rsid w:val="001A0C00"/>
    <w:rsid w:val="001A35BF"/>
    <w:rsid w:val="001A7FF9"/>
    <w:rsid w:val="001B05BC"/>
    <w:rsid w:val="001B0F21"/>
    <w:rsid w:val="001B1AD6"/>
    <w:rsid w:val="001B1CDC"/>
    <w:rsid w:val="001B3100"/>
    <w:rsid w:val="001B3F63"/>
    <w:rsid w:val="001B465F"/>
    <w:rsid w:val="001B4E64"/>
    <w:rsid w:val="001B7252"/>
    <w:rsid w:val="001B7DCD"/>
    <w:rsid w:val="001C0346"/>
    <w:rsid w:val="001C0ADE"/>
    <w:rsid w:val="001C0AF8"/>
    <w:rsid w:val="001C1E11"/>
    <w:rsid w:val="001C4332"/>
    <w:rsid w:val="001C6EF0"/>
    <w:rsid w:val="001D0B6B"/>
    <w:rsid w:val="001D1797"/>
    <w:rsid w:val="001D200C"/>
    <w:rsid w:val="001D2709"/>
    <w:rsid w:val="001D2C57"/>
    <w:rsid w:val="001D4731"/>
    <w:rsid w:val="001D5A56"/>
    <w:rsid w:val="001E0A32"/>
    <w:rsid w:val="001E228E"/>
    <w:rsid w:val="001E2FA0"/>
    <w:rsid w:val="001E3A18"/>
    <w:rsid w:val="001E4AAB"/>
    <w:rsid w:val="001E4E5F"/>
    <w:rsid w:val="001E5BBA"/>
    <w:rsid w:val="001E6A49"/>
    <w:rsid w:val="001E6B50"/>
    <w:rsid w:val="001F0947"/>
    <w:rsid w:val="001F3394"/>
    <w:rsid w:val="001F35CC"/>
    <w:rsid w:val="001F4F14"/>
    <w:rsid w:val="001F747F"/>
    <w:rsid w:val="00200427"/>
    <w:rsid w:val="0020131C"/>
    <w:rsid w:val="00201A95"/>
    <w:rsid w:val="002036D5"/>
    <w:rsid w:val="00204402"/>
    <w:rsid w:val="00204E5A"/>
    <w:rsid w:val="0020634F"/>
    <w:rsid w:val="002069B9"/>
    <w:rsid w:val="00213C7C"/>
    <w:rsid w:val="002150BC"/>
    <w:rsid w:val="002151D7"/>
    <w:rsid w:val="00215AA2"/>
    <w:rsid w:val="00215E20"/>
    <w:rsid w:val="002172DA"/>
    <w:rsid w:val="00217692"/>
    <w:rsid w:val="00217CB0"/>
    <w:rsid w:val="0022083A"/>
    <w:rsid w:val="00222E45"/>
    <w:rsid w:val="00225589"/>
    <w:rsid w:val="0022581F"/>
    <w:rsid w:val="00225F1D"/>
    <w:rsid w:val="002276B6"/>
    <w:rsid w:val="00230003"/>
    <w:rsid w:val="00231B15"/>
    <w:rsid w:val="00232C2C"/>
    <w:rsid w:val="00234148"/>
    <w:rsid w:val="0023482E"/>
    <w:rsid w:val="00235E0F"/>
    <w:rsid w:val="00237835"/>
    <w:rsid w:val="0024003D"/>
    <w:rsid w:val="00241303"/>
    <w:rsid w:val="00242331"/>
    <w:rsid w:val="00243DF5"/>
    <w:rsid w:val="00245313"/>
    <w:rsid w:val="0024541F"/>
    <w:rsid w:val="002456DE"/>
    <w:rsid w:val="00245F1E"/>
    <w:rsid w:val="0024613F"/>
    <w:rsid w:val="0024735C"/>
    <w:rsid w:val="00247A85"/>
    <w:rsid w:val="00252132"/>
    <w:rsid w:val="002523D9"/>
    <w:rsid w:val="00252E5D"/>
    <w:rsid w:val="00253B5F"/>
    <w:rsid w:val="00253DAF"/>
    <w:rsid w:val="002543C8"/>
    <w:rsid w:val="00254F29"/>
    <w:rsid w:val="00256A2C"/>
    <w:rsid w:val="00256A55"/>
    <w:rsid w:val="00256C8F"/>
    <w:rsid w:val="0025794E"/>
    <w:rsid w:val="002603D5"/>
    <w:rsid w:val="00261277"/>
    <w:rsid w:val="00261B25"/>
    <w:rsid w:val="0026225B"/>
    <w:rsid w:val="0026232C"/>
    <w:rsid w:val="00262B57"/>
    <w:rsid w:val="00262EA4"/>
    <w:rsid w:val="0026403B"/>
    <w:rsid w:val="00264F9E"/>
    <w:rsid w:val="00265A3E"/>
    <w:rsid w:val="00265EAD"/>
    <w:rsid w:val="0026605C"/>
    <w:rsid w:val="00266F88"/>
    <w:rsid w:val="002677F1"/>
    <w:rsid w:val="002702C2"/>
    <w:rsid w:val="00274491"/>
    <w:rsid w:val="00274915"/>
    <w:rsid w:val="00276141"/>
    <w:rsid w:val="00276CD5"/>
    <w:rsid w:val="00276D84"/>
    <w:rsid w:val="002802DF"/>
    <w:rsid w:val="002816E3"/>
    <w:rsid w:val="00284142"/>
    <w:rsid w:val="002846C2"/>
    <w:rsid w:val="00284A2D"/>
    <w:rsid w:val="00284D1E"/>
    <w:rsid w:val="002850FB"/>
    <w:rsid w:val="00286C22"/>
    <w:rsid w:val="00287665"/>
    <w:rsid w:val="00287EE3"/>
    <w:rsid w:val="002902B0"/>
    <w:rsid w:val="00291E23"/>
    <w:rsid w:val="00291FBA"/>
    <w:rsid w:val="00292D6A"/>
    <w:rsid w:val="002945D9"/>
    <w:rsid w:val="00296599"/>
    <w:rsid w:val="00296AE0"/>
    <w:rsid w:val="00296B4A"/>
    <w:rsid w:val="002A14D9"/>
    <w:rsid w:val="002A2E58"/>
    <w:rsid w:val="002A2E5E"/>
    <w:rsid w:val="002A2EE5"/>
    <w:rsid w:val="002A3F86"/>
    <w:rsid w:val="002A47D6"/>
    <w:rsid w:val="002A4BD8"/>
    <w:rsid w:val="002A587E"/>
    <w:rsid w:val="002A5B8E"/>
    <w:rsid w:val="002A5E22"/>
    <w:rsid w:val="002A6260"/>
    <w:rsid w:val="002A62C8"/>
    <w:rsid w:val="002A701F"/>
    <w:rsid w:val="002A798A"/>
    <w:rsid w:val="002B0820"/>
    <w:rsid w:val="002B3324"/>
    <w:rsid w:val="002B33BC"/>
    <w:rsid w:val="002B497E"/>
    <w:rsid w:val="002B59C6"/>
    <w:rsid w:val="002B5E21"/>
    <w:rsid w:val="002B7E54"/>
    <w:rsid w:val="002C0CBF"/>
    <w:rsid w:val="002C365E"/>
    <w:rsid w:val="002C3E0F"/>
    <w:rsid w:val="002C7D12"/>
    <w:rsid w:val="002D0DF3"/>
    <w:rsid w:val="002D1158"/>
    <w:rsid w:val="002D486B"/>
    <w:rsid w:val="002D5067"/>
    <w:rsid w:val="002D5104"/>
    <w:rsid w:val="002D6846"/>
    <w:rsid w:val="002E1D69"/>
    <w:rsid w:val="002E21F8"/>
    <w:rsid w:val="002E2612"/>
    <w:rsid w:val="002E327F"/>
    <w:rsid w:val="002E40FB"/>
    <w:rsid w:val="002E5A59"/>
    <w:rsid w:val="002F10B0"/>
    <w:rsid w:val="002F20B0"/>
    <w:rsid w:val="002F237F"/>
    <w:rsid w:val="002F2708"/>
    <w:rsid w:val="002F3F0D"/>
    <w:rsid w:val="002F42B2"/>
    <w:rsid w:val="00300DE8"/>
    <w:rsid w:val="003016BD"/>
    <w:rsid w:val="00301856"/>
    <w:rsid w:val="00302232"/>
    <w:rsid w:val="0030496F"/>
    <w:rsid w:val="00305098"/>
    <w:rsid w:val="00306F27"/>
    <w:rsid w:val="003074BB"/>
    <w:rsid w:val="00307A59"/>
    <w:rsid w:val="00307BA3"/>
    <w:rsid w:val="00307DCA"/>
    <w:rsid w:val="00310B25"/>
    <w:rsid w:val="00310BB1"/>
    <w:rsid w:val="00310FFD"/>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5CA3"/>
    <w:rsid w:val="00326574"/>
    <w:rsid w:val="00326C99"/>
    <w:rsid w:val="00327486"/>
    <w:rsid w:val="00330664"/>
    <w:rsid w:val="00331DE6"/>
    <w:rsid w:val="0034120B"/>
    <w:rsid w:val="00342411"/>
    <w:rsid w:val="00344219"/>
    <w:rsid w:val="003442DA"/>
    <w:rsid w:val="0034713B"/>
    <w:rsid w:val="00347A4E"/>
    <w:rsid w:val="003503F8"/>
    <w:rsid w:val="00350998"/>
    <w:rsid w:val="00352CD3"/>
    <w:rsid w:val="0035417C"/>
    <w:rsid w:val="003550DD"/>
    <w:rsid w:val="003568D7"/>
    <w:rsid w:val="003568E3"/>
    <w:rsid w:val="0036111E"/>
    <w:rsid w:val="00361883"/>
    <w:rsid w:val="00363A54"/>
    <w:rsid w:val="00363AAC"/>
    <w:rsid w:val="00371237"/>
    <w:rsid w:val="0037407C"/>
    <w:rsid w:val="00374F3C"/>
    <w:rsid w:val="00375CE5"/>
    <w:rsid w:val="00376BD8"/>
    <w:rsid w:val="003771D0"/>
    <w:rsid w:val="003774D7"/>
    <w:rsid w:val="0037793F"/>
    <w:rsid w:val="00380662"/>
    <w:rsid w:val="003806AE"/>
    <w:rsid w:val="003813A0"/>
    <w:rsid w:val="0038324A"/>
    <w:rsid w:val="00383393"/>
    <w:rsid w:val="00387D05"/>
    <w:rsid w:val="00391801"/>
    <w:rsid w:val="0039253E"/>
    <w:rsid w:val="00392B00"/>
    <w:rsid w:val="00392D70"/>
    <w:rsid w:val="00392E7E"/>
    <w:rsid w:val="00393176"/>
    <w:rsid w:val="00393C31"/>
    <w:rsid w:val="00395756"/>
    <w:rsid w:val="00397BBD"/>
    <w:rsid w:val="003A0D2B"/>
    <w:rsid w:val="003A2232"/>
    <w:rsid w:val="003A398F"/>
    <w:rsid w:val="003A3DA8"/>
    <w:rsid w:val="003A3DBB"/>
    <w:rsid w:val="003A4DE8"/>
    <w:rsid w:val="003A7EFF"/>
    <w:rsid w:val="003B241C"/>
    <w:rsid w:val="003B35DF"/>
    <w:rsid w:val="003B3744"/>
    <w:rsid w:val="003B4A25"/>
    <w:rsid w:val="003B5062"/>
    <w:rsid w:val="003B70C4"/>
    <w:rsid w:val="003C3305"/>
    <w:rsid w:val="003C47BE"/>
    <w:rsid w:val="003C5DAB"/>
    <w:rsid w:val="003C6D8C"/>
    <w:rsid w:val="003C6F30"/>
    <w:rsid w:val="003D0E7D"/>
    <w:rsid w:val="003D1358"/>
    <w:rsid w:val="003D1659"/>
    <w:rsid w:val="003D2590"/>
    <w:rsid w:val="003D26E6"/>
    <w:rsid w:val="003D3419"/>
    <w:rsid w:val="003D34AA"/>
    <w:rsid w:val="003D34EC"/>
    <w:rsid w:val="003D4038"/>
    <w:rsid w:val="003E060F"/>
    <w:rsid w:val="003E104B"/>
    <w:rsid w:val="003E1449"/>
    <w:rsid w:val="003E16E5"/>
    <w:rsid w:val="003E23C3"/>
    <w:rsid w:val="003E26CE"/>
    <w:rsid w:val="003E4D1B"/>
    <w:rsid w:val="003E6484"/>
    <w:rsid w:val="003E6E39"/>
    <w:rsid w:val="003E6E48"/>
    <w:rsid w:val="003F00F2"/>
    <w:rsid w:val="003F075C"/>
    <w:rsid w:val="003F1ED8"/>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07A3F"/>
    <w:rsid w:val="00410453"/>
    <w:rsid w:val="00411891"/>
    <w:rsid w:val="00413208"/>
    <w:rsid w:val="0041412F"/>
    <w:rsid w:val="0041489A"/>
    <w:rsid w:val="00415623"/>
    <w:rsid w:val="00415662"/>
    <w:rsid w:val="00415D65"/>
    <w:rsid w:val="00417014"/>
    <w:rsid w:val="0041720D"/>
    <w:rsid w:val="0041749A"/>
    <w:rsid w:val="004208CF"/>
    <w:rsid w:val="004210F7"/>
    <w:rsid w:val="004211B7"/>
    <w:rsid w:val="0042236F"/>
    <w:rsid w:val="00425C95"/>
    <w:rsid w:val="00426148"/>
    <w:rsid w:val="00426FF6"/>
    <w:rsid w:val="004271D4"/>
    <w:rsid w:val="00427F59"/>
    <w:rsid w:val="0043232B"/>
    <w:rsid w:val="004329CC"/>
    <w:rsid w:val="0043317E"/>
    <w:rsid w:val="00433973"/>
    <w:rsid w:val="00433A8D"/>
    <w:rsid w:val="00433CF2"/>
    <w:rsid w:val="00434D7E"/>
    <w:rsid w:val="00435EFF"/>
    <w:rsid w:val="004365C0"/>
    <w:rsid w:val="004365D2"/>
    <w:rsid w:val="004376BE"/>
    <w:rsid w:val="00443BE3"/>
    <w:rsid w:val="0044411E"/>
    <w:rsid w:val="00444143"/>
    <w:rsid w:val="00444578"/>
    <w:rsid w:val="00445A81"/>
    <w:rsid w:val="004466BB"/>
    <w:rsid w:val="00447028"/>
    <w:rsid w:val="00447255"/>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CC3"/>
    <w:rsid w:val="00463DA1"/>
    <w:rsid w:val="004640F0"/>
    <w:rsid w:val="0046662E"/>
    <w:rsid w:val="00467F6D"/>
    <w:rsid w:val="0047012D"/>
    <w:rsid w:val="00471414"/>
    <w:rsid w:val="00471874"/>
    <w:rsid w:val="00473B7A"/>
    <w:rsid w:val="0047456D"/>
    <w:rsid w:val="00474DFE"/>
    <w:rsid w:val="00476B15"/>
    <w:rsid w:val="00477AE8"/>
    <w:rsid w:val="004806A1"/>
    <w:rsid w:val="00480C5A"/>
    <w:rsid w:val="00480E58"/>
    <w:rsid w:val="00481B7F"/>
    <w:rsid w:val="004822C9"/>
    <w:rsid w:val="004856F8"/>
    <w:rsid w:val="004860D0"/>
    <w:rsid w:val="004867C8"/>
    <w:rsid w:val="00486873"/>
    <w:rsid w:val="00492B0B"/>
    <w:rsid w:val="00493434"/>
    <w:rsid w:val="00493804"/>
    <w:rsid w:val="00493CCC"/>
    <w:rsid w:val="00495298"/>
    <w:rsid w:val="004963CF"/>
    <w:rsid w:val="00497E77"/>
    <w:rsid w:val="004A0D4D"/>
    <w:rsid w:val="004A1563"/>
    <w:rsid w:val="004A5754"/>
    <w:rsid w:val="004B03C6"/>
    <w:rsid w:val="004B098C"/>
    <w:rsid w:val="004B1B76"/>
    <w:rsid w:val="004B4466"/>
    <w:rsid w:val="004B508F"/>
    <w:rsid w:val="004B51C7"/>
    <w:rsid w:val="004B566A"/>
    <w:rsid w:val="004B7086"/>
    <w:rsid w:val="004C3E2C"/>
    <w:rsid w:val="004C5000"/>
    <w:rsid w:val="004C6E8A"/>
    <w:rsid w:val="004C7E1E"/>
    <w:rsid w:val="004D0BFE"/>
    <w:rsid w:val="004D0FE5"/>
    <w:rsid w:val="004D1A1F"/>
    <w:rsid w:val="004D1ED0"/>
    <w:rsid w:val="004D2FD4"/>
    <w:rsid w:val="004D4875"/>
    <w:rsid w:val="004D4BB0"/>
    <w:rsid w:val="004D6638"/>
    <w:rsid w:val="004E4051"/>
    <w:rsid w:val="004E5C5B"/>
    <w:rsid w:val="004E5E5E"/>
    <w:rsid w:val="004E6B05"/>
    <w:rsid w:val="004E7B37"/>
    <w:rsid w:val="004F03DF"/>
    <w:rsid w:val="004F308D"/>
    <w:rsid w:val="004F3261"/>
    <w:rsid w:val="004F3756"/>
    <w:rsid w:val="004F4F1E"/>
    <w:rsid w:val="004F50C1"/>
    <w:rsid w:val="004F52F6"/>
    <w:rsid w:val="004F7D53"/>
    <w:rsid w:val="00500C32"/>
    <w:rsid w:val="0050168E"/>
    <w:rsid w:val="00502190"/>
    <w:rsid w:val="0050362C"/>
    <w:rsid w:val="0050549A"/>
    <w:rsid w:val="00505522"/>
    <w:rsid w:val="005063FD"/>
    <w:rsid w:val="00512E38"/>
    <w:rsid w:val="0051415E"/>
    <w:rsid w:val="00514260"/>
    <w:rsid w:val="005172D3"/>
    <w:rsid w:val="00517CB4"/>
    <w:rsid w:val="00517D4E"/>
    <w:rsid w:val="005208D6"/>
    <w:rsid w:val="00523363"/>
    <w:rsid w:val="00524C0D"/>
    <w:rsid w:val="00525194"/>
    <w:rsid w:val="00525EDD"/>
    <w:rsid w:val="0052791A"/>
    <w:rsid w:val="00530719"/>
    <w:rsid w:val="0053075F"/>
    <w:rsid w:val="005327E2"/>
    <w:rsid w:val="0053301B"/>
    <w:rsid w:val="00533073"/>
    <w:rsid w:val="00533F5A"/>
    <w:rsid w:val="005340BA"/>
    <w:rsid w:val="00534C28"/>
    <w:rsid w:val="005353DB"/>
    <w:rsid w:val="00535935"/>
    <w:rsid w:val="00536E64"/>
    <w:rsid w:val="00536FBD"/>
    <w:rsid w:val="00537DC1"/>
    <w:rsid w:val="005416F2"/>
    <w:rsid w:val="00542164"/>
    <w:rsid w:val="005427BB"/>
    <w:rsid w:val="0054330E"/>
    <w:rsid w:val="00544F02"/>
    <w:rsid w:val="00551571"/>
    <w:rsid w:val="00551D8F"/>
    <w:rsid w:val="00553E7B"/>
    <w:rsid w:val="0055441B"/>
    <w:rsid w:val="00557ED0"/>
    <w:rsid w:val="00560C3D"/>
    <w:rsid w:val="0056209A"/>
    <w:rsid w:val="005634B7"/>
    <w:rsid w:val="0056493E"/>
    <w:rsid w:val="00565A59"/>
    <w:rsid w:val="00565C69"/>
    <w:rsid w:val="00565F77"/>
    <w:rsid w:val="00571B40"/>
    <w:rsid w:val="005731F7"/>
    <w:rsid w:val="005752C1"/>
    <w:rsid w:val="00580E54"/>
    <w:rsid w:val="00581E1B"/>
    <w:rsid w:val="005822D5"/>
    <w:rsid w:val="00582368"/>
    <w:rsid w:val="00582E11"/>
    <w:rsid w:val="0058301C"/>
    <w:rsid w:val="00583CE2"/>
    <w:rsid w:val="00586C4B"/>
    <w:rsid w:val="00590109"/>
    <w:rsid w:val="0059056D"/>
    <w:rsid w:val="00592F0D"/>
    <w:rsid w:val="00595C26"/>
    <w:rsid w:val="005967C4"/>
    <w:rsid w:val="00596B2C"/>
    <w:rsid w:val="00597C7F"/>
    <w:rsid w:val="00597FB2"/>
    <w:rsid w:val="005A108F"/>
    <w:rsid w:val="005A2AC3"/>
    <w:rsid w:val="005A2B4F"/>
    <w:rsid w:val="005A2CA7"/>
    <w:rsid w:val="005A36E9"/>
    <w:rsid w:val="005A5D22"/>
    <w:rsid w:val="005A5E44"/>
    <w:rsid w:val="005B0F1B"/>
    <w:rsid w:val="005B118F"/>
    <w:rsid w:val="005B1E86"/>
    <w:rsid w:val="005B235E"/>
    <w:rsid w:val="005B559B"/>
    <w:rsid w:val="005B5D2A"/>
    <w:rsid w:val="005B78E5"/>
    <w:rsid w:val="005C01E0"/>
    <w:rsid w:val="005C0239"/>
    <w:rsid w:val="005C2B46"/>
    <w:rsid w:val="005C361B"/>
    <w:rsid w:val="005C443B"/>
    <w:rsid w:val="005C4554"/>
    <w:rsid w:val="005C4A64"/>
    <w:rsid w:val="005C5A3C"/>
    <w:rsid w:val="005C703C"/>
    <w:rsid w:val="005C76B2"/>
    <w:rsid w:val="005C7840"/>
    <w:rsid w:val="005D09B3"/>
    <w:rsid w:val="005D1CBB"/>
    <w:rsid w:val="005D3C26"/>
    <w:rsid w:val="005D415C"/>
    <w:rsid w:val="005D5CB2"/>
    <w:rsid w:val="005D5D1D"/>
    <w:rsid w:val="005D602E"/>
    <w:rsid w:val="005D6F5B"/>
    <w:rsid w:val="005E0A53"/>
    <w:rsid w:val="005E1F34"/>
    <w:rsid w:val="005E21D0"/>
    <w:rsid w:val="005E24A1"/>
    <w:rsid w:val="005E3894"/>
    <w:rsid w:val="005E4ADE"/>
    <w:rsid w:val="005E4E19"/>
    <w:rsid w:val="005E7612"/>
    <w:rsid w:val="005F0A0B"/>
    <w:rsid w:val="005F199E"/>
    <w:rsid w:val="005F20F5"/>
    <w:rsid w:val="005F2D65"/>
    <w:rsid w:val="005F3D27"/>
    <w:rsid w:val="005F4ED0"/>
    <w:rsid w:val="005F5340"/>
    <w:rsid w:val="00601117"/>
    <w:rsid w:val="0060340C"/>
    <w:rsid w:val="006036C1"/>
    <w:rsid w:val="00604D41"/>
    <w:rsid w:val="0060561F"/>
    <w:rsid w:val="00606E6A"/>
    <w:rsid w:val="006074B9"/>
    <w:rsid w:val="00613C38"/>
    <w:rsid w:val="00613D96"/>
    <w:rsid w:val="00614D98"/>
    <w:rsid w:val="00616C43"/>
    <w:rsid w:val="00617E02"/>
    <w:rsid w:val="00623225"/>
    <w:rsid w:val="0062718D"/>
    <w:rsid w:val="006271B6"/>
    <w:rsid w:val="00631B33"/>
    <w:rsid w:val="0063400B"/>
    <w:rsid w:val="006347AD"/>
    <w:rsid w:val="00634F32"/>
    <w:rsid w:val="006352E1"/>
    <w:rsid w:val="006354F3"/>
    <w:rsid w:val="00635D23"/>
    <w:rsid w:val="00637541"/>
    <w:rsid w:val="00637711"/>
    <w:rsid w:val="006404D6"/>
    <w:rsid w:val="006417B7"/>
    <w:rsid w:val="00642311"/>
    <w:rsid w:val="0064394C"/>
    <w:rsid w:val="00644B73"/>
    <w:rsid w:val="00644EB4"/>
    <w:rsid w:val="006477C4"/>
    <w:rsid w:val="0065013D"/>
    <w:rsid w:val="00650558"/>
    <w:rsid w:val="0065111F"/>
    <w:rsid w:val="00651386"/>
    <w:rsid w:val="00651532"/>
    <w:rsid w:val="00651F1F"/>
    <w:rsid w:val="006522CC"/>
    <w:rsid w:val="00652D96"/>
    <w:rsid w:val="00652FD4"/>
    <w:rsid w:val="006535F0"/>
    <w:rsid w:val="00654CE9"/>
    <w:rsid w:val="006553FC"/>
    <w:rsid w:val="006565EB"/>
    <w:rsid w:val="00656BC9"/>
    <w:rsid w:val="0065776C"/>
    <w:rsid w:val="00657884"/>
    <w:rsid w:val="00660780"/>
    <w:rsid w:val="006612A3"/>
    <w:rsid w:val="0066148B"/>
    <w:rsid w:val="00664389"/>
    <w:rsid w:val="006647CC"/>
    <w:rsid w:val="00665203"/>
    <w:rsid w:val="00665569"/>
    <w:rsid w:val="00665927"/>
    <w:rsid w:val="00666B9A"/>
    <w:rsid w:val="00670905"/>
    <w:rsid w:val="00671017"/>
    <w:rsid w:val="0067105C"/>
    <w:rsid w:val="0067119A"/>
    <w:rsid w:val="00675EA7"/>
    <w:rsid w:val="006774C2"/>
    <w:rsid w:val="00680806"/>
    <w:rsid w:val="00680E1F"/>
    <w:rsid w:val="00681A45"/>
    <w:rsid w:val="006827AB"/>
    <w:rsid w:val="006829DE"/>
    <w:rsid w:val="006830A6"/>
    <w:rsid w:val="006832C7"/>
    <w:rsid w:val="00683D39"/>
    <w:rsid w:val="00683EAB"/>
    <w:rsid w:val="00684E36"/>
    <w:rsid w:val="00685980"/>
    <w:rsid w:val="00685B92"/>
    <w:rsid w:val="00685CFE"/>
    <w:rsid w:val="00685FC3"/>
    <w:rsid w:val="00686C79"/>
    <w:rsid w:val="006906BE"/>
    <w:rsid w:val="00690795"/>
    <w:rsid w:val="00690A13"/>
    <w:rsid w:val="00691092"/>
    <w:rsid w:val="0069119F"/>
    <w:rsid w:val="006920DE"/>
    <w:rsid w:val="006923F2"/>
    <w:rsid w:val="00693425"/>
    <w:rsid w:val="00693D6F"/>
    <w:rsid w:val="00694CEE"/>
    <w:rsid w:val="00696BB3"/>
    <w:rsid w:val="00697272"/>
    <w:rsid w:val="006A0752"/>
    <w:rsid w:val="006A282A"/>
    <w:rsid w:val="006A2BFD"/>
    <w:rsid w:val="006A4CEB"/>
    <w:rsid w:val="006A551B"/>
    <w:rsid w:val="006A5B58"/>
    <w:rsid w:val="006A68DB"/>
    <w:rsid w:val="006A7CDF"/>
    <w:rsid w:val="006A7D88"/>
    <w:rsid w:val="006B036F"/>
    <w:rsid w:val="006B0A9D"/>
    <w:rsid w:val="006B27E6"/>
    <w:rsid w:val="006B68A6"/>
    <w:rsid w:val="006B7AFC"/>
    <w:rsid w:val="006C02EC"/>
    <w:rsid w:val="006C1C06"/>
    <w:rsid w:val="006C2532"/>
    <w:rsid w:val="006C401B"/>
    <w:rsid w:val="006C416E"/>
    <w:rsid w:val="006C4F94"/>
    <w:rsid w:val="006C592B"/>
    <w:rsid w:val="006C7618"/>
    <w:rsid w:val="006C7BDE"/>
    <w:rsid w:val="006D05E2"/>
    <w:rsid w:val="006D1142"/>
    <w:rsid w:val="006D212A"/>
    <w:rsid w:val="006D2999"/>
    <w:rsid w:val="006D3C23"/>
    <w:rsid w:val="006D6A05"/>
    <w:rsid w:val="006D784A"/>
    <w:rsid w:val="006E0132"/>
    <w:rsid w:val="006E0367"/>
    <w:rsid w:val="006E0CDC"/>
    <w:rsid w:val="006E1FC2"/>
    <w:rsid w:val="006E281B"/>
    <w:rsid w:val="006E5623"/>
    <w:rsid w:val="006E5A0A"/>
    <w:rsid w:val="006E7A0E"/>
    <w:rsid w:val="006E7A63"/>
    <w:rsid w:val="006F0D98"/>
    <w:rsid w:val="006F2CCA"/>
    <w:rsid w:val="006F2D6C"/>
    <w:rsid w:val="006F39BE"/>
    <w:rsid w:val="006F4B1B"/>
    <w:rsid w:val="006F5620"/>
    <w:rsid w:val="006F5C98"/>
    <w:rsid w:val="00700235"/>
    <w:rsid w:val="007013C3"/>
    <w:rsid w:val="00702029"/>
    <w:rsid w:val="00702337"/>
    <w:rsid w:val="00703CD7"/>
    <w:rsid w:val="00704FFC"/>
    <w:rsid w:val="00705A5B"/>
    <w:rsid w:val="007063FE"/>
    <w:rsid w:val="00706DE2"/>
    <w:rsid w:val="007074D4"/>
    <w:rsid w:val="00707C86"/>
    <w:rsid w:val="00707FFE"/>
    <w:rsid w:val="00710523"/>
    <w:rsid w:val="00712293"/>
    <w:rsid w:val="00714367"/>
    <w:rsid w:val="007158BB"/>
    <w:rsid w:val="007165B2"/>
    <w:rsid w:val="007177E0"/>
    <w:rsid w:val="00717EC4"/>
    <w:rsid w:val="00720F4E"/>
    <w:rsid w:val="00725AD6"/>
    <w:rsid w:val="00726025"/>
    <w:rsid w:val="0072653B"/>
    <w:rsid w:val="00726983"/>
    <w:rsid w:val="00726BFE"/>
    <w:rsid w:val="00730D82"/>
    <w:rsid w:val="00733355"/>
    <w:rsid w:val="00733F1B"/>
    <w:rsid w:val="007342C0"/>
    <w:rsid w:val="00734BD1"/>
    <w:rsid w:val="00734DDA"/>
    <w:rsid w:val="00736173"/>
    <w:rsid w:val="0073634D"/>
    <w:rsid w:val="00736584"/>
    <w:rsid w:val="00736C3D"/>
    <w:rsid w:val="00736F27"/>
    <w:rsid w:val="00737F1F"/>
    <w:rsid w:val="0074047B"/>
    <w:rsid w:val="00740A0C"/>
    <w:rsid w:val="00741200"/>
    <w:rsid w:val="00741A05"/>
    <w:rsid w:val="007420A6"/>
    <w:rsid w:val="007430C5"/>
    <w:rsid w:val="00745317"/>
    <w:rsid w:val="00745F8B"/>
    <w:rsid w:val="007461D8"/>
    <w:rsid w:val="00747566"/>
    <w:rsid w:val="007478CC"/>
    <w:rsid w:val="00750E9A"/>
    <w:rsid w:val="00751583"/>
    <w:rsid w:val="00754159"/>
    <w:rsid w:val="00755386"/>
    <w:rsid w:val="0075650D"/>
    <w:rsid w:val="00756553"/>
    <w:rsid w:val="00760179"/>
    <w:rsid w:val="00761712"/>
    <w:rsid w:val="00762005"/>
    <w:rsid w:val="00762564"/>
    <w:rsid w:val="00762B8D"/>
    <w:rsid w:val="00763B6C"/>
    <w:rsid w:val="00763D8A"/>
    <w:rsid w:val="00765609"/>
    <w:rsid w:val="00766E77"/>
    <w:rsid w:val="00770326"/>
    <w:rsid w:val="0077240D"/>
    <w:rsid w:val="00772C08"/>
    <w:rsid w:val="0077528B"/>
    <w:rsid w:val="00776AB3"/>
    <w:rsid w:val="00777112"/>
    <w:rsid w:val="00777B22"/>
    <w:rsid w:val="0078042F"/>
    <w:rsid w:val="00780502"/>
    <w:rsid w:val="00780BB2"/>
    <w:rsid w:val="00783D09"/>
    <w:rsid w:val="00783F0F"/>
    <w:rsid w:val="00787001"/>
    <w:rsid w:val="0078770E"/>
    <w:rsid w:val="007900CA"/>
    <w:rsid w:val="00793015"/>
    <w:rsid w:val="00793392"/>
    <w:rsid w:val="007938A2"/>
    <w:rsid w:val="00794D82"/>
    <w:rsid w:val="00794E61"/>
    <w:rsid w:val="007953FB"/>
    <w:rsid w:val="00796337"/>
    <w:rsid w:val="007A574A"/>
    <w:rsid w:val="007A7174"/>
    <w:rsid w:val="007A7CA9"/>
    <w:rsid w:val="007A7E1E"/>
    <w:rsid w:val="007B02F2"/>
    <w:rsid w:val="007B19DF"/>
    <w:rsid w:val="007B3FF8"/>
    <w:rsid w:val="007B492F"/>
    <w:rsid w:val="007B4E0D"/>
    <w:rsid w:val="007B68B2"/>
    <w:rsid w:val="007B6B22"/>
    <w:rsid w:val="007B70F5"/>
    <w:rsid w:val="007B77FE"/>
    <w:rsid w:val="007C00C7"/>
    <w:rsid w:val="007C11E7"/>
    <w:rsid w:val="007C14C4"/>
    <w:rsid w:val="007C29B7"/>
    <w:rsid w:val="007C3D68"/>
    <w:rsid w:val="007C46F8"/>
    <w:rsid w:val="007C49C6"/>
    <w:rsid w:val="007C55A5"/>
    <w:rsid w:val="007C6776"/>
    <w:rsid w:val="007D0DEE"/>
    <w:rsid w:val="007D1197"/>
    <w:rsid w:val="007D28D5"/>
    <w:rsid w:val="007D2961"/>
    <w:rsid w:val="007D2B38"/>
    <w:rsid w:val="007D2F6F"/>
    <w:rsid w:val="007D3329"/>
    <w:rsid w:val="007D3DF8"/>
    <w:rsid w:val="007D5800"/>
    <w:rsid w:val="007D7AE8"/>
    <w:rsid w:val="007D7B91"/>
    <w:rsid w:val="007E0AC2"/>
    <w:rsid w:val="007E0C75"/>
    <w:rsid w:val="007E15F1"/>
    <w:rsid w:val="007E1AE1"/>
    <w:rsid w:val="007E2771"/>
    <w:rsid w:val="007E5E1B"/>
    <w:rsid w:val="007E5FBB"/>
    <w:rsid w:val="007E651A"/>
    <w:rsid w:val="007E6AC1"/>
    <w:rsid w:val="007F0693"/>
    <w:rsid w:val="007F1724"/>
    <w:rsid w:val="007F24C3"/>
    <w:rsid w:val="007F279C"/>
    <w:rsid w:val="007F403E"/>
    <w:rsid w:val="007F471D"/>
    <w:rsid w:val="007F4E23"/>
    <w:rsid w:val="007F50FA"/>
    <w:rsid w:val="007F6076"/>
    <w:rsid w:val="007F6A3B"/>
    <w:rsid w:val="007F6FA2"/>
    <w:rsid w:val="007F72E1"/>
    <w:rsid w:val="007F7705"/>
    <w:rsid w:val="007F7AE0"/>
    <w:rsid w:val="00800BEB"/>
    <w:rsid w:val="00804282"/>
    <w:rsid w:val="008068FF"/>
    <w:rsid w:val="00806EE9"/>
    <w:rsid w:val="00806EF6"/>
    <w:rsid w:val="00807E3A"/>
    <w:rsid w:val="00810151"/>
    <w:rsid w:val="008109F1"/>
    <w:rsid w:val="008113F2"/>
    <w:rsid w:val="00811F42"/>
    <w:rsid w:val="008124B4"/>
    <w:rsid w:val="00813F76"/>
    <w:rsid w:val="008142F6"/>
    <w:rsid w:val="008143A9"/>
    <w:rsid w:val="00814811"/>
    <w:rsid w:val="00816245"/>
    <w:rsid w:val="00816C1D"/>
    <w:rsid w:val="0081769A"/>
    <w:rsid w:val="0082133B"/>
    <w:rsid w:val="00821466"/>
    <w:rsid w:val="00821D8A"/>
    <w:rsid w:val="00824DA1"/>
    <w:rsid w:val="0082666B"/>
    <w:rsid w:val="0082669F"/>
    <w:rsid w:val="00826EC0"/>
    <w:rsid w:val="008272D2"/>
    <w:rsid w:val="00827661"/>
    <w:rsid w:val="00830167"/>
    <w:rsid w:val="008303FC"/>
    <w:rsid w:val="00831911"/>
    <w:rsid w:val="008370B4"/>
    <w:rsid w:val="008401D4"/>
    <w:rsid w:val="0084597A"/>
    <w:rsid w:val="00845CE3"/>
    <w:rsid w:val="008465C3"/>
    <w:rsid w:val="008515BE"/>
    <w:rsid w:val="008534CE"/>
    <w:rsid w:val="008535F4"/>
    <w:rsid w:val="00854801"/>
    <w:rsid w:val="008549DA"/>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1525"/>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2D9F"/>
    <w:rsid w:val="008B73DA"/>
    <w:rsid w:val="008B780B"/>
    <w:rsid w:val="008C1961"/>
    <w:rsid w:val="008C2630"/>
    <w:rsid w:val="008C29C0"/>
    <w:rsid w:val="008C348F"/>
    <w:rsid w:val="008C39C2"/>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5A60"/>
    <w:rsid w:val="008E6745"/>
    <w:rsid w:val="008E796F"/>
    <w:rsid w:val="008F0E9E"/>
    <w:rsid w:val="008F1A7F"/>
    <w:rsid w:val="008F4087"/>
    <w:rsid w:val="008F5BCF"/>
    <w:rsid w:val="008F5BDC"/>
    <w:rsid w:val="0090023D"/>
    <w:rsid w:val="009009AF"/>
    <w:rsid w:val="00901A74"/>
    <w:rsid w:val="00901F6B"/>
    <w:rsid w:val="00903E38"/>
    <w:rsid w:val="00904376"/>
    <w:rsid w:val="009046AD"/>
    <w:rsid w:val="00906528"/>
    <w:rsid w:val="00907848"/>
    <w:rsid w:val="00907B71"/>
    <w:rsid w:val="00910D18"/>
    <w:rsid w:val="00911447"/>
    <w:rsid w:val="0091278F"/>
    <w:rsid w:val="00913120"/>
    <w:rsid w:val="009141F7"/>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398"/>
    <w:rsid w:val="00926C9C"/>
    <w:rsid w:val="009276B5"/>
    <w:rsid w:val="009305AB"/>
    <w:rsid w:val="00930824"/>
    <w:rsid w:val="009311AF"/>
    <w:rsid w:val="00931F73"/>
    <w:rsid w:val="00932C75"/>
    <w:rsid w:val="009330A9"/>
    <w:rsid w:val="009332BC"/>
    <w:rsid w:val="0093384D"/>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56ECD"/>
    <w:rsid w:val="00961871"/>
    <w:rsid w:val="00964E55"/>
    <w:rsid w:val="009669C3"/>
    <w:rsid w:val="00967AF5"/>
    <w:rsid w:val="00967D4B"/>
    <w:rsid w:val="009707B3"/>
    <w:rsid w:val="009716A2"/>
    <w:rsid w:val="009719D4"/>
    <w:rsid w:val="00972C4A"/>
    <w:rsid w:val="009733F6"/>
    <w:rsid w:val="0097408F"/>
    <w:rsid w:val="00974C2F"/>
    <w:rsid w:val="009768BC"/>
    <w:rsid w:val="0097799F"/>
    <w:rsid w:val="00977FE1"/>
    <w:rsid w:val="009802D0"/>
    <w:rsid w:val="00980E8D"/>
    <w:rsid w:val="0098351F"/>
    <w:rsid w:val="009855F6"/>
    <w:rsid w:val="0098590F"/>
    <w:rsid w:val="009901DD"/>
    <w:rsid w:val="00990CFE"/>
    <w:rsid w:val="009926E5"/>
    <w:rsid w:val="00994CEF"/>
    <w:rsid w:val="00995208"/>
    <w:rsid w:val="00995673"/>
    <w:rsid w:val="009967DE"/>
    <w:rsid w:val="009A08D4"/>
    <w:rsid w:val="009A1C56"/>
    <w:rsid w:val="009A2D8A"/>
    <w:rsid w:val="009A4056"/>
    <w:rsid w:val="009A43EC"/>
    <w:rsid w:val="009A4C22"/>
    <w:rsid w:val="009A4E37"/>
    <w:rsid w:val="009A59E5"/>
    <w:rsid w:val="009A6569"/>
    <w:rsid w:val="009A66AA"/>
    <w:rsid w:val="009B043B"/>
    <w:rsid w:val="009B053F"/>
    <w:rsid w:val="009B3399"/>
    <w:rsid w:val="009B351C"/>
    <w:rsid w:val="009B3E67"/>
    <w:rsid w:val="009B3E83"/>
    <w:rsid w:val="009B4C34"/>
    <w:rsid w:val="009B501D"/>
    <w:rsid w:val="009B5F0C"/>
    <w:rsid w:val="009B66D1"/>
    <w:rsid w:val="009C012A"/>
    <w:rsid w:val="009C1EAE"/>
    <w:rsid w:val="009C28EC"/>
    <w:rsid w:val="009C3C0D"/>
    <w:rsid w:val="009C4240"/>
    <w:rsid w:val="009C484E"/>
    <w:rsid w:val="009C4CFC"/>
    <w:rsid w:val="009C4D34"/>
    <w:rsid w:val="009C5499"/>
    <w:rsid w:val="009C7D8B"/>
    <w:rsid w:val="009D0011"/>
    <w:rsid w:val="009D05B0"/>
    <w:rsid w:val="009D2AF4"/>
    <w:rsid w:val="009D2BA3"/>
    <w:rsid w:val="009D34C7"/>
    <w:rsid w:val="009D5291"/>
    <w:rsid w:val="009D6179"/>
    <w:rsid w:val="009D62C8"/>
    <w:rsid w:val="009D6662"/>
    <w:rsid w:val="009D7749"/>
    <w:rsid w:val="009D7B4B"/>
    <w:rsid w:val="009E0167"/>
    <w:rsid w:val="009E0CD0"/>
    <w:rsid w:val="009E1F47"/>
    <w:rsid w:val="009E3CD7"/>
    <w:rsid w:val="009E599C"/>
    <w:rsid w:val="009E5CA1"/>
    <w:rsid w:val="009E712A"/>
    <w:rsid w:val="009E7AA2"/>
    <w:rsid w:val="009F0C24"/>
    <w:rsid w:val="009F102E"/>
    <w:rsid w:val="009F6ED0"/>
    <w:rsid w:val="009F7E0B"/>
    <w:rsid w:val="00A007C9"/>
    <w:rsid w:val="00A01B5B"/>
    <w:rsid w:val="00A02E3D"/>
    <w:rsid w:val="00A03499"/>
    <w:rsid w:val="00A03540"/>
    <w:rsid w:val="00A05488"/>
    <w:rsid w:val="00A059E4"/>
    <w:rsid w:val="00A05B35"/>
    <w:rsid w:val="00A05FF6"/>
    <w:rsid w:val="00A060FB"/>
    <w:rsid w:val="00A06C97"/>
    <w:rsid w:val="00A070BD"/>
    <w:rsid w:val="00A076FD"/>
    <w:rsid w:val="00A10510"/>
    <w:rsid w:val="00A1109A"/>
    <w:rsid w:val="00A115FC"/>
    <w:rsid w:val="00A12DE4"/>
    <w:rsid w:val="00A1320A"/>
    <w:rsid w:val="00A13B12"/>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108E"/>
    <w:rsid w:val="00A45166"/>
    <w:rsid w:val="00A45972"/>
    <w:rsid w:val="00A504DA"/>
    <w:rsid w:val="00A51C12"/>
    <w:rsid w:val="00A52BDE"/>
    <w:rsid w:val="00A53306"/>
    <w:rsid w:val="00A5527D"/>
    <w:rsid w:val="00A61F3D"/>
    <w:rsid w:val="00A63E56"/>
    <w:rsid w:val="00A64CD5"/>
    <w:rsid w:val="00A6548F"/>
    <w:rsid w:val="00A65A8C"/>
    <w:rsid w:val="00A67FEC"/>
    <w:rsid w:val="00A7113B"/>
    <w:rsid w:val="00A73A97"/>
    <w:rsid w:val="00A753CF"/>
    <w:rsid w:val="00A76D86"/>
    <w:rsid w:val="00A76E76"/>
    <w:rsid w:val="00A82BE5"/>
    <w:rsid w:val="00A83012"/>
    <w:rsid w:val="00A8378C"/>
    <w:rsid w:val="00A83848"/>
    <w:rsid w:val="00A8404C"/>
    <w:rsid w:val="00A85233"/>
    <w:rsid w:val="00A865C0"/>
    <w:rsid w:val="00A871A7"/>
    <w:rsid w:val="00A91540"/>
    <w:rsid w:val="00A927AC"/>
    <w:rsid w:val="00A93D50"/>
    <w:rsid w:val="00A9447E"/>
    <w:rsid w:val="00A94659"/>
    <w:rsid w:val="00A963FC"/>
    <w:rsid w:val="00A97C37"/>
    <w:rsid w:val="00AA1031"/>
    <w:rsid w:val="00AA1F5A"/>
    <w:rsid w:val="00AA544E"/>
    <w:rsid w:val="00AA636A"/>
    <w:rsid w:val="00AA6AB5"/>
    <w:rsid w:val="00AA6E0B"/>
    <w:rsid w:val="00AA7245"/>
    <w:rsid w:val="00AB0560"/>
    <w:rsid w:val="00AB1085"/>
    <w:rsid w:val="00AB1B49"/>
    <w:rsid w:val="00AB25A5"/>
    <w:rsid w:val="00AB3267"/>
    <w:rsid w:val="00AB506D"/>
    <w:rsid w:val="00AB52D5"/>
    <w:rsid w:val="00AB53F2"/>
    <w:rsid w:val="00AB73C9"/>
    <w:rsid w:val="00AB78E3"/>
    <w:rsid w:val="00AC2830"/>
    <w:rsid w:val="00AC4941"/>
    <w:rsid w:val="00AC5360"/>
    <w:rsid w:val="00AC5385"/>
    <w:rsid w:val="00AC572D"/>
    <w:rsid w:val="00AC74E8"/>
    <w:rsid w:val="00AD0510"/>
    <w:rsid w:val="00AD08AC"/>
    <w:rsid w:val="00AD2C8C"/>
    <w:rsid w:val="00AD7463"/>
    <w:rsid w:val="00AD7F8E"/>
    <w:rsid w:val="00AE0709"/>
    <w:rsid w:val="00AE1731"/>
    <w:rsid w:val="00AE2188"/>
    <w:rsid w:val="00AE22F5"/>
    <w:rsid w:val="00AE231D"/>
    <w:rsid w:val="00AE3A47"/>
    <w:rsid w:val="00AE3B38"/>
    <w:rsid w:val="00AE6716"/>
    <w:rsid w:val="00AF3A96"/>
    <w:rsid w:val="00AF44C0"/>
    <w:rsid w:val="00AF5BBF"/>
    <w:rsid w:val="00AF63C1"/>
    <w:rsid w:val="00AF7CAE"/>
    <w:rsid w:val="00B00662"/>
    <w:rsid w:val="00B011F9"/>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1FAE"/>
    <w:rsid w:val="00B220CD"/>
    <w:rsid w:val="00B243F2"/>
    <w:rsid w:val="00B24BA8"/>
    <w:rsid w:val="00B27B60"/>
    <w:rsid w:val="00B27CD9"/>
    <w:rsid w:val="00B30353"/>
    <w:rsid w:val="00B31052"/>
    <w:rsid w:val="00B31129"/>
    <w:rsid w:val="00B31146"/>
    <w:rsid w:val="00B31921"/>
    <w:rsid w:val="00B328E3"/>
    <w:rsid w:val="00B33B8F"/>
    <w:rsid w:val="00B349E2"/>
    <w:rsid w:val="00B356EC"/>
    <w:rsid w:val="00B35C86"/>
    <w:rsid w:val="00B37013"/>
    <w:rsid w:val="00B37EB6"/>
    <w:rsid w:val="00B41CB9"/>
    <w:rsid w:val="00B4268F"/>
    <w:rsid w:val="00B4491E"/>
    <w:rsid w:val="00B4542A"/>
    <w:rsid w:val="00B4564C"/>
    <w:rsid w:val="00B458A0"/>
    <w:rsid w:val="00B45F8F"/>
    <w:rsid w:val="00B46516"/>
    <w:rsid w:val="00B5154F"/>
    <w:rsid w:val="00B51941"/>
    <w:rsid w:val="00B52BCA"/>
    <w:rsid w:val="00B53609"/>
    <w:rsid w:val="00B545CE"/>
    <w:rsid w:val="00B54F66"/>
    <w:rsid w:val="00B56D74"/>
    <w:rsid w:val="00B6092F"/>
    <w:rsid w:val="00B62B1C"/>
    <w:rsid w:val="00B63749"/>
    <w:rsid w:val="00B7026D"/>
    <w:rsid w:val="00B7148A"/>
    <w:rsid w:val="00B72219"/>
    <w:rsid w:val="00B726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94FE6"/>
    <w:rsid w:val="00B95500"/>
    <w:rsid w:val="00B96AAC"/>
    <w:rsid w:val="00BA082A"/>
    <w:rsid w:val="00BA2E1E"/>
    <w:rsid w:val="00BA5302"/>
    <w:rsid w:val="00BA65CF"/>
    <w:rsid w:val="00BA7C14"/>
    <w:rsid w:val="00BB0A66"/>
    <w:rsid w:val="00BB1FED"/>
    <w:rsid w:val="00BB2193"/>
    <w:rsid w:val="00BB2573"/>
    <w:rsid w:val="00BB3507"/>
    <w:rsid w:val="00BB45F6"/>
    <w:rsid w:val="00BB57A0"/>
    <w:rsid w:val="00BB5F4F"/>
    <w:rsid w:val="00BB70D3"/>
    <w:rsid w:val="00BB7217"/>
    <w:rsid w:val="00BC0D69"/>
    <w:rsid w:val="00BC207D"/>
    <w:rsid w:val="00BC28C8"/>
    <w:rsid w:val="00BC6E49"/>
    <w:rsid w:val="00BD0652"/>
    <w:rsid w:val="00BD0D23"/>
    <w:rsid w:val="00BD207F"/>
    <w:rsid w:val="00BD2A2E"/>
    <w:rsid w:val="00BD3B64"/>
    <w:rsid w:val="00BD5DC4"/>
    <w:rsid w:val="00BD636D"/>
    <w:rsid w:val="00BD7052"/>
    <w:rsid w:val="00BE0108"/>
    <w:rsid w:val="00BE19C1"/>
    <w:rsid w:val="00BE2D77"/>
    <w:rsid w:val="00BE33B5"/>
    <w:rsid w:val="00BE3A85"/>
    <w:rsid w:val="00BE4802"/>
    <w:rsid w:val="00BE5051"/>
    <w:rsid w:val="00BF1213"/>
    <w:rsid w:val="00BF1BEF"/>
    <w:rsid w:val="00BF214E"/>
    <w:rsid w:val="00BF2D02"/>
    <w:rsid w:val="00BF32BE"/>
    <w:rsid w:val="00BF4858"/>
    <w:rsid w:val="00BF50EB"/>
    <w:rsid w:val="00BF5A80"/>
    <w:rsid w:val="00BF6017"/>
    <w:rsid w:val="00BF6CE6"/>
    <w:rsid w:val="00C005AB"/>
    <w:rsid w:val="00C010A7"/>
    <w:rsid w:val="00C01695"/>
    <w:rsid w:val="00C02669"/>
    <w:rsid w:val="00C02814"/>
    <w:rsid w:val="00C02DAE"/>
    <w:rsid w:val="00C03AD1"/>
    <w:rsid w:val="00C03BA2"/>
    <w:rsid w:val="00C04A10"/>
    <w:rsid w:val="00C04A8E"/>
    <w:rsid w:val="00C0532B"/>
    <w:rsid w:val="00C057D0"/>
    <w:rsid w:val="00C05BB6"/>
    <w:rsid w:val="00C10CCA"/>
    <w:rsid w:val="00C121FC"/>
    <w:rsid w:val="00C12394"/>
    <w:rsid w:val="00C1474F"/>
    <w:rsid w:val="00C14C17"/>
    <w:rsid w:val="00C15B06"/>
    <w:rsid w:val="00C15D9D"/>
    <w:rsid w:val="00C1610D"/>
    <w:rsid w:val="00C16826"/>
    <w:rsid w:val="00C17890"/>
    <w:rsid w:val="00C220D0"/>
    <w:rsid w:val="00C22386"/>
    <w:rsid w:val="00C22B78"/>
    <w:rsid w:val="00C22E3B"/>
    <w:rsid w:val="00C241A8"/>
    <w:rsid w:val="00C262A3"/>
    <w:rsid w:val="00C26CA9"/>
    <w:rsid w:val="00C30213"/>
    <w:rsid w:val="00C309F2"/>
    <w:rsid w:val="00C32747"/>
    <w:rsid w:val="00C32A86"/>
    <w:rsid w:val="00C338A9"/>
    <w:rsid w:val="00C34782"/>
    <w:rsid w:val="00C3609D"/>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2123"/>
    <w:rsid w:val="00C530B9"/>
    <w:rsid w:val="00C54593"/>
    <w:rsid w:val="00C54988"/>
    <w:rsid w:val="00C55724"/>
    <w:rsid w:val="00C55D5F"/>
    <w:rsid w:val="00C57822"/>
    <w:rsid w:val="00C57B35"/>
    <w:rsid w:val="00C63656"/>
    <w:rsid w:val="00C637BB"/>
    <w:rsid w:val="00C6428C"/>
    <w:rsid w:val="00C64D79"/>
    <w:rsid w:val="00C67498"/>
    <w:rsid w:val="00C67F4F"/>
    <w:rsid w:val="00C709DF"/>
    <w:rsid w:val="00C71CAB"/>
    <w:rsid w:val="00C7287B"/>
    <w:rsid w:val="00C733E1"/>
    <w:rsid w:val="00C73674"/>
    <w:rsid w:val="00C74985"/>
    <w:rsid w:val="00C75D4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82B"/>
    <w:rsid w:val="00C97DE6"/>
    <w:rsid w:val="00CA1A30"/>
    <w:rsid w:val="00CA1B24"/>
    <w:rsid w:val="00CA3283"/>
    <w:rsid w:val="00CA43D5"/>
    <w:rsid w:val="00CA45B3"/>
    <w:rsid w:val="00CA6143"/>
    <w:rsid w:val="00CA6329"/>
    <w:rsid w:val="00CA6A51"/>
    <w:rsid w:val="00CB027A"/>
    <w:rsid w:val="00CB0C44"/>
    <w:rsid w:val="00CB1E2A"/>
    <w:rsid w:val="00CB2157"/>
    <w:rsid w:val="00CB24B1"/>
    <w:rsid w:val="00CB3454"/>
    <w:rsid w:val="00CB44B3"/>
    <w:rsid w:val="00CB6B2A"/>
    <w:rsid w:val="00CB76B7"/>
    <w:rsid w:val="00CB7DD8"/>
    <w:rsid w:val="00CC0129"/>
    <w:rsid w:val="00CC0987"/>
    <w:rsid w:val="00CC34D5"/>
    <w:rsid w:val="00CC4515"/>
    <w:rsid w:val="00CC4523"/>
    <w:rsid w:val="00CC4646"/>
    <w:rsid w:val="00CC5ECB"/>
    <w:rsid w:val="00CC6E2F"/>
    <w:rsid w:val="00CD0068"/>
    <w:rsid w:val="00CD192B"/>
    <w:rsid w:val="00CD1CC6"/>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CF5D93"/>
    <w:rsid w:val="00D009F2"/>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4006"/>
    <w:rsid w:val="00D248EC"/>
    <w:rsid w:val="00D258F5"/>
    <w:rsid w:val="00D27C53"/>
    <w:rsid w:val="00D31B31"/>
    <w:rsid w:val="00D3245A"/>
    <w:rsid w:val="00D32F06"/>
    <w:rsid w:val="00D33043"/>
    <w:rsid w:val="00D33DA4"/>
    <w:rsid w:val="00D345F5"/>
    <w:rsid w:val="00D34A8B"/>
    <w:rsid w:val="00D34B27"/>
    <w:rsid w:val="00D366ED"/>
    <w:rsid w:val="00D36DF6"/>
    <w:rsid w:val="00D4103A"/>
    <w:rsid w:val="00D4110C"/>
    <w:rsid w:val="00D42BD4"/>
    <w:rsid w:val="00D42E88"/>
    <w:rsid w:val="00D438F8"/>
    <w:rsid w:val="00D439C0"/>
    <w:rsid w:val="00D443A2"/>
    <w:rsid w:val="00D4585A"/>
    <w:rsid w:val="00D45C77"/>
    <w:rsid w:val="00D475D9"/>
    <w:rsid w:val="00D51AE5"/>
    <w:rsid w:val="00D53303"/>
    <w:rsid w:val="00D54D7D"/>
    <w:rsid w:val="00D558C3"/>
    <w:rsid w:val="00D559BD"/>
    <w:rsid w:val="00D55FCC"/>
    <w:rsid w:val="00D56AAD"/>
    <w:rsid w:val="00D603CC"/>
    <w:rsid w:val="00D604BA"/>
    <w:rsid w:val="00D61096"/>
    <w:rsid w:val="00D6133C"/>
    <w:rsid w:val="00D63B8A"/>
    <w:rsid w:val="00D6408A"/>
    <w:rsid w:val="00D64A9D"/>
    <w:rsid w:val="00D65624"/>
    <w:rsid w:val="00D665B5"/>
    <w:rsid w:val="00D66CD6"/>
    <w:rsid w:val="00D674DD"/>
    <w:rsid w:val="00D707E0"/>
    <w:rsid w:val="00D7114A"/>
    <w:rsid w:val="00D72374"/>
    <w:rsid w:val="00D7316D"/>
    <w:rsid w:val="00D73598"/>
    <w:rsid w:val="00D73672"/>
    <w:rsid w:val="00D74E7B"/>
    <w:rsid w:val="00D74FA8"/>
    <w:rsid w:val="00D764BA"/>
    <w:rsid w:val="00D76EAB"/>
    <w:rsid w:val="00D77402"/>
    <w:rsid w:val="00D814D5"/>
    <w:rsid w:val="00D826F0"/>
    <w:rsid w:val="00D84C1E"/>
    <w:rsid w:val="00D85344"/>
    <w:rsid w:val="00D8665F"/>
    <w:rsid w:val="00D905A6"/>
    <w:rsid w:val="00D91E41"/>
    <w:rsid w:val="00D92245"/>
    <w:rsid w:val="00D9354D"/>
    <w:rsid w:val="00D94B21"/>
    <w:rsid w:val="00D9682F"/>
    <w:rsid w:val="00DA0A6C"/>
    <w:rsid w:val="00DA0E6B"/>
    <w:rsid w:val="00DA1250"/>
    <w:rsid w:val="00DA1B98"/>
    <w:rsid w:val="00DA2FC3"/>
    <w:rsid w:val="00DA34CB"/>
    <w:rsid w:val="00DA41D6"/>
    <w:rsid w:val="00DA4713"/>
    <w:rsid w:val="00DA5AD1"/>
    <w:rsid w:val="00DA6EF0"/>
    <w:rsid w:val="00DA7A02"/>
    <w:rsid w:val="00DB1A70"/>
    <w:rsid w:val="00DB6BA2"/>
    <w:rsid w:val="00DB7175"/>
    <w:rsid w:val="00DC00FE"/>
    <w:rsid w:val="00DC041A"/>
    <w:rsid w:val="00DC04AF"/>
    <w:rsid w:val="00DC1C79"/>
    <w:rsid w:val="00DC219E"/>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213"/>
    <w:rsid w:val="00DE17C8"/>
    <w:rsid w:val="00DE27F1"/>
    <w:rsid w:val="00DE2E7B"/>
    <w:rsid w:val="00DE37BC"/>
    <w:rsid w:val="00DE463F"/>
    <w:rsid w:val="00DE58C2"/>
    <w:rsid w:val="00DE59E1"/>
    <w:rsid w:val="00DE5E24"/>
    <w:rsid w:val="00DE66A3"/>
    <w:rsid w:val="00DE72A9"/>
    <w:rsid w:val="00DF0231"/>
    <w:rsid w:val="00DF0620"/>
    <w:rsid w:val="00DF093E"/>
    <w:rsid w:val="00DF38FC"/>
    <w:rsid w:val="00DF5608"/>
    <w:rsid w:val="00DF5C94"/>
    <w:rsid w:val="00DF5EFE"/>
    <w:rsid w:val="00DF6BED"/>
    <w:rsid w:val="00E0210E"/>
    <w:rsid w:val="00E02815"/>
    <w:rsid w:val="00E062DF"/>
    <w:rsid w:val="00E06A8B"/>
    <w:rsid w:val="00E077D4"/>
    <w:rsid w:val="00E10229"/>
    <w:rsid w:val="00E11288"/>
    <w:rsid w:val="00E12517"/>
    <w:rsid w:val="00E13145"/>
    <w:rsid w:val="00E13162"/>
    <w:rsid w:val="00E14522"/>
    <w:rsid w:val="00E168A9"/>
    <w:rsid w:val="00E172D3"/>
    <w:rsid w:val="00E17E18"/>
    <w:rsid w:val="00E219A4"/>
    <w:rsid w:val="00E222AC"/>
    <w:rsid w:val="00E22CA5"/>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4D3D"/>
    <w:rsid w:val="00E4559D"/>
    <w:rsid w:val="00E458F3"/>
    <w:rsid w:val="00E464A3"/>
    <w:rsid w:val="00E46A5E"/>
    <w:rsid w:val="00E46E68"/>
    <w:rsid w:val="00E50432"/>
    <w:rsid w:val="00E50FF0"/>
    <w:rsid w:val="00E5210C"/>
    <w:rsid w:val="00E52988"/>
    <w:rsid w:val="00E545B5"/>
    <w:rsid w:val="00E54F07"/>
    <w:rsid w:val="00E55573"/>
    <w:rsid w:val="00E56492"/>
    <w:rsid w:val="00E56C3D"/>
    <w:rsid w:val="00E5771A"/>
    <w:rsid w:val="00E57904"/>
    <w:rsid w:val="00E6077B"/>
    <w:rsid w:val="00E61C9E"/>
    <w:rsid w:val="00E63426"/>
    <w:rsid w:val="00E64898"/>
    <w:rsid w:val="00E6525D"/>
    <w:rsid w:val="00E6595B"/>
    <w:rsid w:val="00E700B7"/>
    <w:rsid w:val="00E71B5D"/>
    <w:rsid w:val="00E72022"/>
    <w:rsid w:val="00E7340A"/>
    <w:rsid w:val="00E75C1E"/>
    <w:rsid w:val="00E770D8"/>
    <w:rsid w:val="00E801F7"/>
    <w:rsid w:val="00E806D5"/>
    <w:rsid w:val="00E80C17"/>
    <w:rsid w:val="00E80DB8"/>
    <w:rsid w:val="00E8123B"/>
    <w:rsid w:val="00E812CB"/>
    <w:rsid w:val="00E82B04"/>
    <w:rsid w:val="00E83F75"/>
    <w:rsid w:val="00E85134"/>
    <w:rsid w:val="00E86277"/>
    <w:rsid w:val="00E873D1"/>
    <w:rsid w:val="00E92B81"/>
    <w:rsid w:val="00E92EDD"/>
    <w:rsid w:val="00E94645"/>
    <w:rsid w:val="00E97203"/>
    <w:rsid w:val="00EA050E"/>
    <w:rsid w:val="00EA2D9C"/>
    <w:rsid w:val="00EA6485"/>
    <w:rsid w:val="00EA652F"/>
    <w:rsid w:val="00EA7E45"/>
    <w:rsid w:val="00EB0062"/>
    <w:rsid w:val="00EB03F2"/>
    <w:rsid w:val="00EB368D"/>
    <w:rsid w:val="00EB4571"/>
    <w:rsid w:val="00EB4E96"/>
    <w:rsid w:val="00EB5D66"/>
    <w:rsid w:val="00EB617E"/>
    <w:rsid w:val="00EB6997"/>
    <w:rsid w:val="00EB7781"/>
    <w:rsid w:val="00EB78B2"/>
    <w:rsid w:val="00EB7F18"/>
    <w:rsid w:val="00EC08A7"/>
    <w:rsid w:val="00EC0A1F"/>
    <w:rsid w:val="00EC4241"/>
    <w:rsid w:val="00EC4FB1"/>
    <w:rsid w:val="00EC553E"/>
    <w:rsid w:val="00EC5DA3"/>
    <w:rsid w:val="00EC7B8F"/>
    <w:rsid w:val="00ED1199"/>
    <w:rsid w:val="00ED2E7B"/>
    <w:rsid w:val="00ED2FBA"/>
    <w:rsid w:val="00ED4DB9"/>
    <w:rsid w:val="00ED5551"/>
    <w:rsid w:val="00ED7BD8"/>
    <w:rsid w:val="00EE016C"/>
    <w:rsid w:val="00EE02C1"/>
    <w:rsid w:val="00EE06D3"/>
    <w:rsid w:val="00EE0EAC"/>
    <w:rsid w:val="00EE16AA"/>
    <w:rsid w:val="00EE18C0"/>
    <w:rsid w:val="00EE2D12"/>
    <w:rsid w:val="00EE3D31"/>
    <w:rsid w:val="00EE4CDA"/>
    <w:rsid w:val="00EE5ABA"/>
    <w:rsid w:val="00EE5F1C"/>
    <w:rsid w:val="00EE6E0D"/>
    <w:rsid w:val="00EE7D93"/>
    <w:rsid w:val="00EE7F38"/>
    <w:rsid w:val="00EF0583"/>
    <w:rsid w:val="00EF198C"/>
    <w:rsid w:val="00EF2665"/>
    <w:rsid w:val="00EF2C49"/>
    <w:rsid w:val="00EF3477"/>
    <w:rsid w:val="00EF432B"/>
    <w:rsid w:val="00EF43F9"/>
    <w:rsid w:val="00EF4E6D"/>
    <w:rsid w:val="00EF55A5"/>
    <w:rsid w:val="00EF6462"/>
    <w:rsid w:val="00F0012A"/>
    <w:rsid w:val="00F00D7B"/>
    <w:rsid w:val="00F0149F"/>
    <w:rsid w:val="00F01F2D"/>
    <w:rsid w:val="00F033E3"/>
    <w:rsid w:val="00F035FB"/>
    <w:rsid w:val="00F0374A"/>
    <w:rsid w:val="00F037C8"/>
    <w:rsid w:val="00F03E60"/>
    <w:rsid w:val="00F0566F"/>
    <w:rsid w:val="00F056D0"/>
    <w:rsid w:val="00F066E5"/>
    <w:rsid w:val="00F110A7"/>
    <w:rsid w:val="00F1246C"/>
    <w:rsid w:val="00F127F2"/>
    <w:rsid w:val="00F12CEB"/>
    <w:rsid w:val="00F13375"/>
    <w:rsid w:val="00F133B5"/>
    <w:rsid w:val="00F133F8"/>
    <w:rsid w:val="00F13F96"/>
    <w:rsid w:val="00F150AC"/>
    <w:rsid w:val="00F15734"/>
    <w:rsid w:val="00F1635E"/>
    <w:rsid w:val="00F229F4"/>
    <w:rsid w:val="00F23FAE"/>
    <w:rsid w:val="00F2420F"/>
    <w:rsid w:val="00F26102"/>
    <w:rsid w:val="00F27070"/>
    <w:rsid w:val="00F31517"/>
    <w:rsid w:val="00F317D4"/>
    <w:rsid w:val="00F31A87"/>
    <w:rsid w:val="00F33473"/>
    <w:rsid w:val="00F34477"/>
    <w:rsid w:val="00F354B2"/>
    <w:rsid w:val="00F35911"/>
    <w:rsid w:val="00F36AF2"/>
    <w:rsid w:val="00F37340"/>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6934"/>
    <w:rsid w:val="00F57167"/>
    <w:rsid w:val="00F6151A"/>
    <w:rsid w:val="00F6296F"/>
    <w:rsid w:val="00F62EB1"/>
    <w:rsid w:val="00F6336F"/>
    <w:rsid w:val="00F63931"/>
    <w:rsid w:val="00F640BA"/>
    <w:rsid w:val="00F6481C"/>
    <w:rsid w:val="00F653E9"/>
    <w:rsid w:val="00F656C8"/>
    <w:rsid w:val="00F65F50"/>
    <w:rsid w:val="00F6679B"/>
    <w:rsid w:val="00F67002"/>
    <w:rsid w:val="00F674CD"/>
    <w:rsid w:val="00F709C5"/>
    <w:rsid w:val="00F70BB0"/>
    <w:rsid w:val="00F71703"/>
    <w:rsid w:val="00F71EEA"/>
    <w:rsid w:val="00F7230E"/>
    <w:rsid w:val="00F73FAA"/>
    <w:rsid w:val="00F7421B"/>
    <w:rsid w:val="00F756E7"/>
    <w:rsid w:val="00F76105"/>
    <w:rsid w:val="00F764BF"/>
    <w:rsid w:val="00F8153B"/>
    <w:rsid w:val="00F819AC"/>
    <w:rsid w:val="00F81FFB"/>
    <w:rsid w:val="00F82826"/>
    <w:rsid w:val="00F828B6"/>
    <w:rsid w:val="00F8306A"/>
    <w:rsid w:val="00F8402B"/>
    <w:rsid w:val="00F85A3F"/>
    <w:rsid w:val="00F85DC4"/>
    <w:rsid w:val="00F87058"/>
    <w:rsid w:val="00F87369"/>
    <w:rsid w:val="00F8748F"/>
    <w:rsid w:val="00F91649"/>
    <w:rsid w:val="00F91B45"/>
    <w:rsid w:val="00F92563"/>
    <w:rsid w:val="00F92857"/>
    <w:rsid w:val="00F9334E"/>
    <w:rsid w:val="00F93FF1"/>
    <w:rsid w:val="00F9516D"/>
    <w:rsid w:val="00F96E1C"/>
    <w:rsid w:val="00FA0177"/>
    <w:rsid w:val="00FA0946"/>
    <w:rsid w:val="00FA32B8"/>
    <w:rsid w:val="00FA39BE"/>
    <w:rsid w:val="00FA3D3E"/>
    <w:rsid w:val="00FA63AB"/>
    <w:rsid w:val="00FA6BCA"/>
    <w:rsid w:val="00FA714F"/>
    <w:rsid w:val="00FA7D0B"/>
    <w:rsid w:val="00FB0B6D"/>
    <w:rsid w:val="00FB3211"/>
    <w:rsid w:val="00FB3B9F"/>
    <w:rsid w:val="00FB40FB"/>
    <w:rsid w:val="00FB4152"/>
    <w:rsid w:val="00FB5F7F"/>
    <w:rsid w:val="00FB63EF"/>
    <w:rsid w:val="00FB6DF3"/>
    <w:rsid w:val="00FB70AA"/>
    <w:rsid w:val="00FC02BC"/>
    <w:rsid w:val="00FC17EC"/>
    <w:rsid w:val="00FC2146"/>
    <w:rsid w:val="00FC214B"/>
    <w:rsid w:val="00FC22C9"/>
    <w:rsid w:val="00FC23DA"/>
    <w:rsid w:val="00FC248D"/>
    <w:rsid w:val="00FC3D18"/>
    <w:rsid w:val="00FC5741"/>
    <w:rsid w:val="00FD2061"/>
    <w:rsid w:val="00FD36C2"/>
    <w:rsid w:val="00FD38CD"/>
    <w:rsid w:val="00FD417F"/>
    <w:rsid w:val="00FD5F83"/>
    <w:rsid w:val="00FD78CF"/>
    <w:rsid w:val="00FD7ACA"/>
    <w:rsid w:val="00FD7D74"/>
    <w:rsid w:val="00FE0010"/>
    <w:rsid w:val="00FE06F1"/>
    <w:rsid w:val="00FE15B4"/>
    <w:rsid w:val="00FE1F2F"/>
    <w:rsid w:val="00FE3808"/>
    <w:rsid w:val="00FF04DD"/>
    <w:rsid w:val="00FF0BFD"/>
    <w:rsid w:val="00FF17D8"/>
    <w:rsid w:val="00FF3000"/>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43EE4"/>
  <w15:docId w15:val="{03EC89CE-C6AD-4669-B78D-1CCA79E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 w:type="character" w:styleId="UnresolvedMention">
    <w:name w:val="Unresolved Mention"/>
    <w:basedOn w:val="DefaultParagraphFont"/>
    <w:uiPriority w:val="99"/>
    <w:semiHidden/>
    <w:unhideWhenUsed/>
    <w:rsid w:val="00EB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281155351">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1180168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26183815">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2863620">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 w:id="20930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ta.berzina@s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ED8B0616EB24987A916B7FBD67046" ma:contentTypeVersion="0" ma:contentTypeDescription="Create a new document." ma:contentTypeScope="" ma:versionID="8e348ff79ecaec5478038cbc52114256">
  <xsd:schema xmlns:xsd="http://www.w3.org/2001/XMLSchema" xmlns:xs="http://www.w3.org/2001/XMLSchema" xmlns:p="http://schemas.microsoft.com/office/2006/metadata/properties" targetNamespace="http://schemas.microsoft.com/office/2006/metadata/properties" ma:root="true" ma:fieldsID="56802fc2c907c7628bba6b5e8ef4d6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DBA75-5AAF-4849-9803-9178856B74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039BA-6553-4941-A658-D2103494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876D0D-2BE2-4CB5-A9CA-7B54185FB3E3}">
  <ds:schemaRefs>
    <ds:schemaRef ds:uri="http://schemas.openxmlformats.org/officeDocument/2006/bibliography"/>
  </ds:schemaRefs>
</ds:datastoreItem>
</file>

<file path=customXml/itemProps4.xml><?xml version="1.0" encoding="utf-8"?>
<ds:datastoreItem xmlns:ds="http://schemas.openxmlformats.org/officeDocument/2006/customXml" ds:itemID="{CEED87E0-25AA-4FE4-8741-C8DDAFC5B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13657</Words>
  <Characters>7785</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rīkojums Par pievienotās vērtības nodokļa summas, kas nav atgūstama kā priekšnodoklis, kompensēšanu Igaunijas Republikai un Lietuvas Republikai akciju sabiedrības “RB Rail” veikto aktivitāšu ietvaros</vt:lpstr>
      <vt:lpstr>Grozījumi Ministru kabineta 2005. gada 1. februāra noteikumos Nr.79 „Dzelzceļa zemes nodalījuma joslas ekspluatācijas noteikumi”</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pievienotās vērtības nodokļa summas, kas nav atgūstama kā priekšnodoklis, kompensēšanu Igaunijas Republikai un Lietuvas Republikai akciju sabiedrības “RB Rail” veikto aktivitāšu ietvaros</dc:title>
  <dc:subject/>
  <dc:creator>Karlis.Engelis@sam.gov.lv</dc:creator>
  <cp:keywords>Izziņa</cp:keywords>
  <dc:description>K.Eņģelis, 67028229, Karlis.Engelis@sam.gov.lv</dc:description>
  <cp:lastModifiedBy>Ineta Vula</cp:lastModifiedBy>
  <cp:revision>27</cp:revision>
  <cp:lastPrinted>2020-08-06T06:57:00Z</cp:lastPrinted>
  <dcterms:created xsi:type="dcterms:W3CDTF">2020-09-22T07:11:00Z</dcterms:created>
  <dcterms:modified xsi:type="dcterms:W3CDTF">2020-09-23T13:53:00Z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0x0101005FFED8B0616EB24987A916B7FBD67046</vt:lpwstr>
  </property>
</Properties>
</file>