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38DB" w:rsidR="00B17A4E" w:rsidP="00B17A4E" w:rsidRDefault="00B17A4E" w14:paraId="30742817" w14:textId="77777777">
      <w:pPr>
        <w:jc w:val="right"/>
        <w:rPr>
          <w:i/>
          <w:sz w:val="28"/>
          <w:szCs w:val="28"/>
        </w:rPr>
      </w:pPr>
      <w:r w:rsidRPr="003938DB">
        <w:rPr>
          <w:i/>
          <w:sz w:val="28"/>
          <w:szCs w:val="28"/>
        </w:rPr>
        <w:t>Projekts</w:t>
      </w:r>
    </w:p>
    <w:p w:rsidRPr="003938DB" w:rsidR="00CA362A" w:rsidP="00B17A4E" w:rsidRDefault="00CA362A" w14:paraId="7332CC53" w14:textId="77777777">
      <w:pPr>
        <w:pStyle w:val="Virsraksts1"/>
        <w:rPr>
          <w:b w:val="0"/>
          <w:sz w:val="28"/>
          <w:szCs w:val="28"/>
          <w:u w:val="none"/>
        </w:rPr>
      </w:pPr>
    </w:p>
    <w:p w:rsidRPr="003938DB" w:rsidR="00822F0E" w:rsidP="005F1514" w:rsidRDefault="00822F0E" w14:paraId="7ED58169" w14:textId="77777777">
      <w:pPr>
        <w:pStyle w:val="Parastais"/>
        <w:jc w:val="center"/>
        <w:rPr>
          <w:b/>
        </w:rPr>
      </w:pPr>
      <w:r w:rsidRPr="003938DB">
        <w:rPr>
          <w:b/>
        </w:rPr>
        <w:t xml:space="preserve">VALSTS SEKRETĀRU SANĀKSMES </w:t>
      </w:r>
    </w:p>
    <w:p w:rsidRPr="003938DB" w:rsidR="005F1514" w:rsidP="005F1514" w:rsidRDefault="005F1514" w14:paraId="5FD2A3AF" w14:textId="77777777">
      <w:pPr>
        <w:pStyle w:val="Parastais"/>
        <w:jc w:val="center"/>
        <w:rPr>
          <w:b/>
        </w:rPr>
      </w:pPr>
      <w:r w:rsidRPr="003938DB">
        <w:rPr>
          <w:b/>
        </w:rPr>
        <w:t>PROTOKOLLĒMUMS</w:t>
      </w:r>
    </w:p>
    <w:p w:rsidRPr="003938DB" w:rsidR="005F1514" w:rsidP="005F1514" w:rsidRDefault="005F1514" w14:paraId="2EDE6B3C" w14:textId="77777777">
      <w:pPr>
        <w:pStyle w:val="Parastais"/>
        <w:jc w:val="center"/>
        <w:rPr>
          <w:b/>
        </w:rPr>
      </w:pPr>
      <w:r w:rsidRPr="003938DB">
        <w:rPr>
          <w:b/>
        </w:rPr>
        <w:t>_________________________________________________________</w:t>
      </w:r>
    </w:p>
    <w:p w:rsidRPr="003938DB" w:rsidR="005F1514" w:rsidP="005F1514" w:rsidRDefault="005F1514" w14:paraId="25C49D89" w14:textId="77777777">
      <w:pPr>
        <w:pStyle w:val="Parastais"/>
        <w:jc w:val="center"/>
        <w:rPr>
          <w:b/>
        </w:rPr>
      </w:pPr>
    </w:p>
    <w:p w:rsidRPr="003938DB" w:rsidR="005F1514" w:rsidP="000D4E60" w:rsidRDefault="005F1514" w14:paraId="02DC6837" w14:textId="77777777">
      <w:pPr>
        <w:pStyle w:val="Parastais"/>
        <w:tabs>
          <w:tab w:val="center" w:pos="4500"/>
          <w:tab w:val="right" w:pos="9000"/>
        </w:tabs>
        <w:jc w:val="both"/>
      </w:pPr>
      <w:r w:rsidRPr="003938DB">
        <w:t>Rīgā</w:t>
      </w:r>
      <w:r w:rsidRPr="003938DB">
        <w:tab/>
        <w:t>Nr.</w:t>
      </w:r>
      <w:r w:rsidRPr="003938DB">
        <w:tab/>
        <w:t>20</w:t>
      </w:r>
      <w:r w:rsidRPr="003938DB" w:rsidR="00BF065C">
        <w:t>20</w:t>
      </w:r>
      <w:r w:rsidRPr="003938DB">
        <w:t>. gada ___. ______</w:t>
      </w:r>
    </w:p>
    <w:p w:rsidRPr="003938DB" w:rsidR="005F1514" w:rsidP="005F1514" w:rsidRDefault="005F1514" w14:paraId="5C96B87B" w14:textId="77777777">
      <w:pPr>
        <w:pStyle w:val="Parastais"/>
        <w:jc w:val="both"/>
      </w:pPr>
    </w:p>
    <w:p w:rsidRPr="003938DB" w:rsidR="005F1514" w:rsidP="005F1514" w:rsidRDefault="005F1514" w14:paraId="1D3030DD" w14:textId="77777777">
      <w:pPr>
        <w:pStyle w:val="Pamatteksts"/>
        <w:jc w:val="center"/>
        <w:rPr>
          <w:b/>
          <w:szCs w:val="28"/>
        </w:rPr>
      </w:pPr>
      <w:r w:rsidRPr="003938DB">
        <w:rPr>
          <w:b/>
          <w:szCs w:val="28"/>
        </w:rPr>
        <w:t>.§</w:t>
      </w:r>
    </w:p>
    <w:p w:rsidRPr="003938DB" w:rsidR="001A562C" w:rsidP="001A562C" w:rsidRDefault="001A562C" w14:paraId="5CCF4129" w14:textId="77777777">
      <w:pPr>
        <w:tabs>
          <w:tab w:val="left" w:pos="3480"/>
          <w:tab w:val="left" w:pos="6240"/>
        </w:tabs>
        <w:jc w:val="both"/>
        <w:rPr>
          <w:sz w:val="28"/>
          <w:szCs w:val="28"/>
        </w:rPr>
      </w:pPr>
    </w:p>
    <w:p w:rsidRPr="003938DB" w:rsidR="001A562C" w:rsidP="00915437" w:rsidRDefault="00822F0E" w14:paraId="1603A88D" w14:textId="7544DE6F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>Par</w:t>
      </w:r>
      <w:r w:rsidR="00FF47BC">
        <w:rPr>
          <w:b/>
          <w:sz w:val="28"/>
          <w:szCs w:val="28"/>
        </w:rPr>
        <w:t xml:space="preserve"> </w:t>
      </w:r>
      <w:r w:rsidRPr="00FF47BC" w:rsidR="00FF47BC">
        <w:rPr>
          <w:b/>
          <w:sz w:val="28"/>
          <w:szCs w:val="28"/>
        </w:rPr>
        <w:t>Latvijas rīcību, lai īstenotu Eiropas Savienības Tiesas 2019.</w:t>
      </w:r>
      <w:r w:rsidR="0093785E">
        <w:rPr>
          <w:b/>
          <w:sz w:val="28"/>
          <w:szCs w:val="28"/>
        </w:rPr>
        <w:t> </w:t>
      </w:r>
      <w:r w:rsidRPr="00FF47BC" w:rsidR="00FF47BC">
        <w:rPr>
          <w:b/>
          <w:sz w:val="28"/>
          <w:szCs w:val="28"/>
        </w:rPr>
        <w:t>gada 8.</w:t>
      </w:r>
      <w:r w:rsidR="00FF47BC">
        <w:rPr>
          <w:b/>
          <w:sz w:val="28"/>
          <w:szCs w:val="28"/>
        </w:rPr>
        <w:t> </w:t>
      </w:r>
      <w:r w:rsidRPr="00FF47BC" w:rsidR="00FF47BC">
        <w:rPr>
          <w:b/>
          <w:sz w:val="28"/>
          <w:szCs w:val="28"/>
        </w:rPr>
        <w:t xml:space="preserve">jūlija spriedumu lietā C-543/17 </w:t>
      </w:r>
      <w:r w:rsidRPr="007B6763" w:rsidR="00FF47BC">
        <w:rPr>
          <w:b/>
          <w:i/>
          <w:iCs/>
          <w:sz w:val="28"/>
          <w:szCs w:val="28"/>
        </w:rPr>
        <w:t>Komisija/Beļģija</w:t>
      </w:r>
      <w:r w:rsidRPr="00FF47BC" w:rsidR="00FF47BC">
        <w:rPr>
          <w:b/>
          <w:sz w:val="28"/>
          <w:szCs w:val="28"/>
        </w:rPr>
        <w:t xml:space="preserve"> </w:t>
      </w:r>
    </w:p>
    <w:p w:rsidRPr="003938DB" w:rsidR="001A562C" w:rsidP="001A562C" w:rsidRDefault="001A562C" w14:paraId="2565D6DB" w14:textId="01600DEA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>________________________________________________________________</w:t>
      </w:r>
    </w:p>
    <w:p w:rsidRPr="003938DB" w:rsidR="00CA362A" w:rsidP="00822F0E" w:rsidRDefault="001A562C" w14:paraId="4EF05AC9" w14:textId="77777777">
      <w:pPr>
        <w:jc w:val="center"/>
        <w:rPr>
          <w:sz w:val="28"/>
          <w:szCs w:val="28"/>
        </w:rPr>
      </w:pPr>
      <w:r w:rsidRPr="003938DB">
        <w:rPr>
          <w:sz w:val="28"/>
          <w:szCs w:val="28"/>
        </w:rPr>
        <w:t>(...)</w:t>
      </w:r>
    </w:p>
    <w:p w:rsidRPr="00CD77BE" w:rsidR="00C131FD" w:rsidP="00822F0E" w:rsidRDefault="00C131FD" w14:paraId="75D7B8F1" w14:textId="77777777">
      <w:pPr>
        <w:jc w:val="center"/>
        <w:rPr>
          <w:sz w:val="28"/>
          <w:szCs w:val="28"/>
        </w:rPr>
      </w:pPr>
    </w:p>
    <w:p w:rsidRPr="00CD77BE" w:rsidR="00840B90" w:rsidP="00840B90" w:rsidRDefault="00840B90" w14:paraId="10294DB7" w14:textId="21A1ABC9">
      <w:pPr>
        <w:ind w:firstLine="720"/>
        <w:jc w:val="both"/>
        <w:rPr>
          <w:sz w:val="28"/>
          <w:szCs w:val="28"/>
        </w:rPr>
      </w:pPr>
      <w:r w:rsidRPr="00CD77BE">
        <w:rPr>
          <w:sz w:val="28"/>
          <w:szCs w:val="28"/>
        </w:rPr>
        <w:t>1.</w:t>
      </w:r>
      <w:r w:rsidR="00671750">
        <w:rPr>
          <w:sz w:val="28"/>
          <w:szCs w:val="28"/>
        </w:rPr>
        <w:t> </w:t>
      </w:r>
      <w:r w:rsidRPr="00CD77BE">
        <w:rPr>
          <w:sz w:val="28"/>
          <w:szCs w:val="28"/>
        </w:rPr>
        <w:t>L</w:t>
      </w:r>
      <w:r w:rsidRPr="00CD77BE">
        <w:rPr>
          <w:rFonts w:eastAsia="Calibri"/>
          <w:sz w:val="28"/>
          <w:szCs w:val="28"/>
          <w:lang w:eastAsia="en-US"/>
        </w:rPr>
        <w:t xml:space="preserve">ai nodrošinātu Latvijas Republikas rīcības saskaņotību, atbildīgajai ministrijai </w:t>
      </w:r>
      <w:r w:rsidRPr="00CD77BE" w:rsidR="00671750">
        <w:rPr>
          <w:rFonts w:eastAsia="Calibri"/>
          <w:sz w:val="28"/>
          <w:szCs w:val="28"/>
          <w:lang w:eastAsia="en-US"/>
        </w:rPr>
        <w:t>papildus valsts izpildes pasākumiem</w:t>
      </w:r>
      <w:r w:rsidR="006717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iesniegt</w:t>
      </w:r>
      <w:r w:rsidRPr="00CD77BE">
        <w:rPr>
          <w:rFonts w:eastAsia="Calibri"/>
          <w:sz w:val="28"/>
          <w:szCs w:val="28"/>
          <w:lang w:eastAsia="en-US"/>
        </w:rPr>
        <w:t xml:space="preserve"> Tieslietu ministrijai paziņo</w:t>
      </w:r>
      <w:r>
        <w:rPr>
          <w:rFonts w:eastAsia="Calibri"/>
          <w:sz w:val="28"/>
          <w:szCs w:val="28"/>
          <w:lang w:eastAsia="en-US"/>
        </w:rPr>
        <w:t>šanai</w:t>
      </w:r>
      <w:r w:rsidRPr="00CD77BE">
        <w:rPr>
          <w:rFonts w:eastAsia="Calibri"/>
          <w:sz w:val="28"/>
          <w:szCs w:val="28"/>
          <w:lang w:eastAsia="en-US"/>
        </w:rPr>
        <w:t xml:space="preserve"> Eiropas Komisijai </w:t>
      </w:r>
      <w:r>
        <w:rPr>
          <w:rFonts w:eastAsia="Calibri"/>
          <w:sz w:val="28"/>
          <w:szCs w:val="28"/>
          <w:lang w:eastAsia="en-US"/>
        </w:rPr>
        <w:t>šādu informāciju</w:t>
      </w:r>
      <w:r w:rsidRPr="00CD77BE">
        <w:rPr>
          <w:rFonts w:eastAsia="Calibri"/>
          <w:sz w:val="28"/>
          <w:szCs w:val="28"/>
          <w:lang w:eastAsia="en-US"/>
        </w:rPr>
        <w:t>:</w:t>
      </w:r>
    </w:p>
    <w:p w:rsidR="00671750" w:rsidP="00840B90" w:rsidRDefault="00671750" w14:paraId="6FB7283D" w14:textId="77777777">
      <w:pPr>
        <w:widowControl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Pr="00CD77BE" w:rsidR="00840B90" w:rsidP="00840B90" w:rsidRDefault="00840B90" w14:paraId="1B971B0F" w14:textId="2E9514F7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7BE">
        <w:rPr>
          <w:rFonts w:eastAsia="Calibri"/>
          <w:color w:val="000000" w:themeColor="text1"/>
          <w:sz w:val="28"/>
          <w:szCs w:val="28"/>
          <w:lang w:eastAsia="en-US"/>
        </w:rPr>
        <w:t>1.1.</w:t>
      </w:r>
      <w:r w:rsidR="0067175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CD77BE">
        <w:rPr>
          <w:rFonts w:eastAsiaTheme="minorHAnsi"/>
          <w:color w:val="000000" w:themeColor="text1"/>
          <w:sz w:val="28"/>
          <w:szCs w:val="28"/>
          <w:lang w:eastAsia="en-US"/>
        </w:rPr>
        <w:t xml:space="preserve">tiesību akta projekta sākotnējās ietekmes novērtējuma ziņojumu (anotāciju), </w:t>
      </w:r>
      <w:r w:rsidRPr="00CD77BE">
        <w:rPr>
          <w:rFonts w:eastAsia="Calibri"/>
          <w:sz w:val="28"/>
          <w:szCs w:val="28"/>
          <w:lang w:eastAsia="en-US"/>
        </w:rPr>
        <w:t xml:space="preserve">ja </w:t>
      </w:r>
      <w:r w:rsidR="00732DC7">
        <w:rPr>
          <w:rFonts w:eastAsia="Calibri"/>
          <w:sz w:val="28"/>
          <w:szCs w:val="28"/>
          <w:lang w:eastAsia="en-US"/>
        </w:rPr>
        <w:t xml:space="preserve">ir pieejama 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sākotnējās ietekmes novērtējuma ziņojum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(anotācij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as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732DC7">
        <w:rPr>
          <w:rFonts w:eastAsia="Calibri"/>
          <w:sz w:val="28"/>
          <w:szCs w:val="28"/>
          <w:lang w:eastAsia="en-US"/>
        </w:rPr>
        <w:t xml:space="preserve"> aktuālā versija</w:t>
      </w:r>
      <w:r w:rsidRPr="00CD77BE">
        <w:rPr>
          <w:rFonts w:eastAsia="Calibri"/>
          <w:sz w:val="28"/>
          <w:szCs w:val="28"/>
          <w:lang w:eastAsia="en-US"/>
        </w:rPr>
        <w:t xml:space="preserve">; </w:t>
      </w:r>
    </w:p>
    <w:p w:rsidR="00671750" w:rsidP="00840B90" w:rsidRDefault="00671750" w14:paraId="0202670D" w14:textId="77777777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40B90" w:rsidP="00840B90" w:rsidRDefault="00840B90" w14:paraId="0EF5BD0F" w14:textId="6D10670F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7BE">
        <w:rPr>
          <w:rFonts w:eastAsia="Calibri"/>
          <w:sz w:val="28"/>
          <w:szCs w:val="28"/>
          <w:lang w:eastAsia="en-US"/>
        </w:rPr>
        <w:t>1.2.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Pr="00CD77BE">
        <w:rPr>
          <w:rFonts w:eastAsia="Calibri"/>
          <w:sz w:val="28"/>
          <w:szCs w:val="28"/>
          <w:lang w:eastAsia="en-US"/>
        </w:rPr>
        <w:t xml:space="preserve">skaidrojošo dokumentu par Eiropas Savienību tiesību akta ieviešanu (pa tematiskajiem blokiem), ja nav pieejama 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sākotnējās ietekmes novērtējuma ziņojum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(anotācij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as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CD77BE">
        <w:rPr>
          <w:rFonts w:eastAsia="Calibri"/>
          <w:sz w:val="28"/>
          <w:szCs w:val="28"/>
          <w:lang w:eastAsia="en-US"/>
        </w:rPr>
        <w:t xml:space="preserve"> aktuālā versija</w:t>
      </w:r>
      <w:r w:rsidR="00A04D5E">
        <w:rPr>
          <w:rFonts w:eastAsia="Calibri"/>
          <w:sz w:val="28"/>
          <w:szCs w:val="28"/>
          <w:lang w:eastAsia="en-US"/>
        </w:rPr>
        <w:t>.</w:t>
      </w:r>
    </w:p>
    <w:p w:rsidRPr="00CD77BE" w:rsidR="00CD77BE" w:rsidP="00CD77BE" w:rsidRDefault="00CD77BE" w14:paraId="51AE739E" w14:textId="2C964506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2780F" w:rsidP="00840B90" w:rsidRDefault="00CD77BE" w14:paraId="711C67F7" w14:textId="6E164D9F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7BE">
        <w:rPr>
          <w:rFonts w:eastAsia="Calibri"/>
          <w:sz w:val="28"/>
          <w:szCs w:val="28"/>
          <w:lang w:eastAsia="en-US"/>
        </w:rPr>
        <w:t>2. </w:t>
      </w:r>
      <w:r w:rsidRPr="00840B90" w:rsidR="00840B90">
        <w:rPr>
          <w:rFonts w:eastAsia="Calibri"/>
          <w:sz w:val="28"/>
          <w:szCs w:val="28"/>
          <w:lang w:eastAsia="en-US"/>
        </w:rPr>
        <w:t>Atbildīgā ministrija šā protokollēmuma 1.1. un 1.2.</w:t>
      </w:r>
      <w:r w:rsidR="00CE0E75">
        <w:rPr>
          <w:rFonts w:eastAsia="Calibri"/>
          <w:sz w:val="28"/>
          <w:szCs w:val="28"/>
          <w:lang w:eastAsia="en-US"/>
        </w:rPr>
        <w:t> </w:t>
      </w:r>
      <w:r w:rsidRPr="00840B90" w:rsidR="00840B90">
        <w:rPr>
          <w:rFonts w:eastAsia="Calibri"/>
          <w:sz w:val="28"/>
          <w:szCs w:val="28"/>
          <w:lang w:eastAsia="en-US"/>
        </w:rPr>
        <w:t>apakšpunktā minēto informāciju sniedz</w:t>
      </w:r>
      <w:r w:rsidR="0052780F">
        <w:rPr>
          <w:rFonts w:eastAsia="Calibri"/>
          <w:sz w:val="28"/>
          <w:szCs w:val="28"/>
          <w:lang w:eastAsia="en-US"/>
        </w:rPr>
        <w:t>, ja Eiropas Savienības tiesību akts tiek ieviests ar likumu un Ministru kabineta noteikumiem</w:t>
      </w:r>
      <w:r w:rsidR="008F2C8E">
        <w:rPr>
          <w:rFonts w:eastAsia="Calibri"/>
          <w:sz w:val="28"/>
          <w:szCs w:val="28"/>
          <w:lang w:eastAsia="en-US"/>
        </w:rPr>
        <w:t xml:space="preserve">. </w:t>
      </w:r>
      <w:r w:rsidR="00671750">
        <w:rPr>
          <w:rFonts w:eastAsia="Calibri"/>
          <w:sz w:val="28"/>
          <w:szCs w:val="28"/>
          <w:lang w:eastAsia="en-US"/>
        </w:rPr>
        <w:t>J</w:t>
      </w:r>
      <w:r w:rsidR="008F2C8E">
        <w:rPr>
          <w:rFonts w:eastAsia="Calibri"/>
          <w:sz w:val="28"/>
          <w:szCs w:val="28"/>
          <w:lang w:eastAsia="en-US"/>
        </w:rPr>
        <w:t>a</w:t>
      </w:r>
      <w:r w:rsidRPr="008F2C8E" w:rsidR="008F2C8E">
        <w:rPr>
          <w:rFonts w:eastAsia="Calibri"/>
          <w:sz w:val="28"/>
          <w:szCs w:val="28"/>
          <w:lang w:eastAsia="en-US"/>
        </w:rPr>
        <w:t xml:space="preserve"> </w:t>
      </w:r>
      <w:r w:rsidR="008F2C8E">
        <w:rPr>
          <w:rFonts w:eastAsia="Calibri"/>
          <w:sz w:val="28"/>
          <w:szCs w:val="28"/>
          <w:lang w:eastAsia="en-US"/>
        </w:rPr>
        <w:t>Eiropas Savienības tiesību akts tiek ieviests tikai ar Ministru kabineta noteikumiem, tad atbildīgā ministrija sniedz</w:t>
      </w:r>
      <w:r w:rsidR="00671750">
        <w:rPr>
          <w:rFonts w:eastAsia="Calibri"/>
          <w:sz w:val="28"/>
          <w:szCs w:val="28"/>
          <w:lang w:eastAsia="en-US"/>
        </w:rPr>
        <w:t xml:space="preserve"> šā protokollēmuma </w:t>
      </w:r>
      <w:r w:rsidR="008F2C8E">
        <w:rPr>
          <w:rFonts w:eastAsia="Calibri"/>
          <w:sz w:val="28"/>
          <w:szCs w:val="28"/>
          <w:lang w:eastAsia="en-US"/>
        </w:rPr>
        <w:t>1.1.</w:t>
      </w:r>
      <w:r w:rsidR="0052780F">
        <w:rPr>
          <w:rFonts w:eastAsia="Calibri"/>
          <w:sz w:val="28"/>
          <w:szCs w:val="28"/>
          <w:lang w:eastAsia="en-US"/>
        </w:rPr>
        <w:t> apakšpunktā norādīto informāciju</w:t>
      </w:r>
      <w:r w:rsidR="0093785E">
        <w:rPr>
          <w:rFonts w:eastAsia="Calibri"/>
          <w:sz w:val="28"/>
          <w:szCs w:val="28"/>
          <w:lang w:eastAsia="en-US"/>
        </w:rPr>
        <w:t>. J</w:t>
      </w:r>
      <w:r w:rsidR="008F2C8E">
        <w:rPr>
          <w:rFonts w:eastAsia="Calibri"/>
          <w:sz w:val="28"/>
          <w:szCs w:val="28"/>
          <w:lang w:eastAsia="en-US"/>
        </w:rPr>
        <w:t>a Eiropas Savienības tiesību akts tiek ieviests tikai ar likumu</w:t>
      </w:r>
      <w:r w:rsidR="0093785E">
        <w:rPr>
          <w:rFonts w:eastAsia="Calibri"/>
          <w:sz w:val="28"/>
          <w:szCs w:val="28"/>
          <w:lang w:eastAsia="en-US"/>
        </w:rPr>
        <w:t>,</w:t>
      </w:r>
      <w:r w:rsidR="002839CD">
        <w:rPr>
          <w:rFonts w:eastAsia="Calibri"/>
          <w:sz w:val="28"/>
          <w:szCs w:val="28"/>
          <w:lang w:eastAsia="en-US"/>
        </w:rPr>
        <w:t xml:space="preserve"> un nav pieejama</w:t>
      </w:r>
      <w:r w:rsidR="00EE4803">
        <w:rPr>
          <w:rFonts w:eastAsia="Calibri"/>
          <w:sz w:val="28"/>
          <w:szCs w:val="28"/>
          <w:lang w:eastAsia="en-US"/>
        </w:rPr>
        <w:t xml:space="preserve"> šī likuma</w:t>
      </w:r>
      <w:r w:rsidR="002839CD">
        <w:rPr>
          <w:rFonts w:eastAsia="Calibri"/>
          <w:sz w:val="28"/>
          <w:szCs w:val="28"/>
          <w:lang w:eastAsia="en-US"/>
        </w:rPr>
        <w:t xml:space="preserve"> 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sākotnējās ietekmes novērtējuma ziņojum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(anotācij</w:t>
      </w:r>
      <w:r w:rsidR="00671750">
        <w:rPr>
          <w:rFonts w:eastAsiaTheme="minorHAnsi"/>
          <w:color w:val="000000" w:themeColor="text1"/>
          <w:sz w:val="28"/>
          <w:szCs w:val="28"/>
          <w:lang w:eastAsia="en-US"/>
        </w:rPr>
        <w:t>as</w:t>
      </w:r>
      <w:r w:rsidRPr="00CD77BE" w:rsidR="0067175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2839CD">
        <w:rPr>
          <w:rFonts w:eastAsia="Calibri"/>
          <w:sz w:val="28"/>
          <w:szCs w:val="28"/>
          <w:lang w:eastAsia="en-US"/>
        </w:rPr>
        <w:t xml:space="preserve"> aktuālā versija</w:t>
      </w:r>
      <w:r w:rsidR="0093785E">
        <w:rPr>
          <w:rFonts w:eastAsia="Calibri"/>
          <w:sz w:val="28"/>
          <w:szCs w:val="28"/>
          <w:lang w:eastAsia="en-US"/>
        </w:rPr>
        <w:t>,</w:t>
      </w:r>
      <w:r w:rsidR="00671750">
        <w:rPr>
          <w:rFonts w:eastAsia="Calibri"/>
          <w:sz w:val="28"/>
          <w:szCs w:val="28"/>
          <w:lang w:eastAsia="en-US"/>
        </w:rPr>
        <w:t xml:space="preserve"> -</w:t>
      </w:r>
      <w:r w:rsidR="008F2C8E">
        <w:rPr>
          <w:rFonts w:eastAsia="Calibri"/>
          <w:sz w:val="28"/>
          <w:szCs w:val="28"/>
          <w:lang w:eastAsia="en-US"/>
        </w:rPr>
        <w:t xml:space="preserve"> tad </w:t>
      </w:r>
      <w:r w:rsidR="0093785E">
        <w:rPr>
          <w:rFonts w:eastAsia="Calibri"/>
          <w:sz w:val="28"/>
          <w:szCs w:val="28"/>
          <w:lang w:eastAsia="en-US"/>
        </w:rPr>
        <w:t xml:space="preserve">atbildīgā ministrija sniedz </w:t>
      </w:r>
      <w:r w:rsidR="00671750">
        <w:rPr>
          <w:rFonts w:eastAsia="Calibri"/>
          <w:sz w:val="28"/>
          <w:szCs w:val="28"/>
          <w:lang w:eastAsia="en-US"/>
        </w:rPr>
        <w:t xml:space="preserve">šā protokollēmuma </w:t>
      </w:r>
      <w:r w:rsidR="0052780F">
        <w:rPr>
          <w:rFonts w:eastAsia="Calibri"/>
          <w:sz w:val="28"/>
          <w:szCs w:val="28"/>
          <w:lang w:eastAsia="en-US"/>
        </w:rPr>
        <w:t>1.2.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="0052780F">
        <w:rPr>
          <w:rFonts w:eastAsia="Calibri"/>
          <w:sz w:val="28"/>
          <w:szCs w:val="28"/>
          <w:lang w:eastAsia="en-US"/>
        </w:rPr>
        <w:t>apakšpunktā norādīto informāciju</w:t>
      </w:r>
      <w:r w:rsidR="008F2C8E">
        <w:rPr>
          <w:rFonts w:eastAsia="Calibri"/>
          <w:sz w:val="28"/>
          <w:szCs w:val="28"/>
          <w:lang w:eastAsia="en-US"/>
        </w:rPr>
        <w:t>.</w:t>
      </w:r>
      <w:r w:rsidR="0052780F">
        <w:rPr>
          <w:rFonts w:eastAsia="Calibri"/>
          <w:sz w:val="28"/>
          <w:szCs w:val="28"/>
          <w:lang w:eastAsia="en-US"/>
        </w:rPr>
        <w:t xml:space="preserve"> </w:t>
      </w:r>
    </w:p>
    <w:p w:rsidR="0052780F" w:rsidP="00840B90" w:rsidRDefault="0052780F" w14:paraId="44F964D1" w14:textId="2E9D70B5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Pr="00CD77BE" w:rsidR="00840B90" w:rsidP="00840B90" w:rsidRDefault="0052780F" w14:paraId="4A685481" w14:textId="68ACABFE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840B90">
        <w:rPr>
          <w:rFonts w:eastAsia="Calibri"/>
          <w:sz w:val="28"/>
          <w:szCs w:val="28"/>
          <w:lang w:eastAsia="en-US"/>
        </w:rPr>
        <w:t>Atbildīgā ministrija šā protokollēmuma 1.1. un</w:t>
      </w:r>
      <w:r>
        <w:rPr>
          <w:rFonts w:eastAsia="Calibri"/>
          <w:sz w:val="28"/>
          <w:szCs w:val="28"/>
          <w:lang w:eastAsia="en-US"/>
        </w:rPr>
        <w:t>/vai</w:t>
      </w:r>
      <w:r w:rsidRPr="00840B90">
        <w:rPr>
          <w:rFonts w:eastAsia="Calibri"/>
          <w:sz w:val="28"/>
          <w:szCs w:val="28"/>
          <w:lang w:eastAsia="en-US"/>
        </w:rPr>
        <w:t xml:space="preserve"> 1.2.</w:t>
      </w:r>
      <w:r>
        <w:rPr>
          <w:rFonts w:eastAsia="Calibri"/>
          <w:sz w:val="28"/>
          <w:szCs w:val="28"/>
          <w:lang w:eastAsia="en-US"/>
        </w:rPr>
        <w:t> </w:t>
      </w:r>
      <w:r w:rsidRPr="00840B90">
        <w:rPr>
          <w:rFonts w:eastAsia="Calibri"/>
          <w:sz w:val="28"/>
          <w:szCs w:val="28"/>
          <w:lang w:eastAsia="en-US"/>
        </w:rPr>
        <w:t>apakšpunktā minēto</w:t>
      </w:r>
      <w:r>
        <w:rPr>
          <w:rFonts w:eastAsia="Calibri"/>
          <w:sz w:val="28"/>
          <w:szCs w:val="28"/>
          <w:lang w:eastAsia="en-US"/>
        </w:rPr>
        <w:t xml:space="preserve"> informāciju sniedz</w:t>
      </w:r>
      <w:r w:rsidR="0087206F">
        <w:rPr>
          <w:rFonts w:eastAsia="Calibri"/>
          <w:sz w:val="28"/>
          <w:szCs w:val="28"/>
          <w:lang w:eastAsia="en-US"/>
        </w:rPr>
        <w:t xml:space="preserve"> Tieslietu ministrijai par katru direktīvu </w:t>
      </w:r>
      <w:r w:rsidRPr="00840B90" w:rsidR="00840B90">
        <w:rPr>
          <w:rFonts w:eastAsia="Calibri"/>
          <w:sz w:val="28"/>
          <w:szCs w:val="28"/>
          <w:lang w:eastAsia="en-US"/>
        </w:rPr>
        <w:t>no</w:t>
      </w:r>
      <w:r w:rsidR="00001BEA">
        <w:rPr>
          <w:rFonts w:eastAsia="Calibri"/>
          <w:sz w:val="28"/>
          <w:szCs w:val="28"/>
          <w:lang w:eastAsia="en-US"/>
        </w:rPr>
        <w:t xml:space="preserve"> šī</w:t>
      </w:r>
      <w:r w:rsidRPr="00840B90" w:rsidR="00840B90">
        <w:rPr>
          <w:rFonts w:eastAsia="Calibri"/>
          <w:sz w:val="28"/>
          <w:szCs w:val="28"/>
          <w:lang w:eastAsia="en-US"/>
        </w:rPr>
        <w:t xml:space="preserve"> Valsts sekretāru sanāksmes protokollēmuma pieņemšanas dienas. </w:t>
      </w:r>
      <w:r w:rsidR="00001BEA">
        <w:rPr>
          <w:rFonts w:eastAsia="Calibri"/>
          <w:sz w:val="28"/>
          <w:szCs w:val="28"/>
          <w:lang w:eastAsia="en-US"/>
        </w:rPr>
        <w:t>J</w:t>
      </w:r>
      <w:r w:rsidRPr="00CD77BE" w:rsidR="00840B90">
        <w:rPr>
          <w:rFonts w:eastAsia="Calibri"/>
          <w:sz w:val="28"/>
          <w:szCs w:val="28"/>
          <w:lang w:eastAsia="en-US"/>
        </w:rPr>
        <w:t>a Eiropas Komisija lūdz</w:t>
      </w:r>
      <w:r w:rsidR="00732DC7">
        <w:rPr>
          <w:rFonts w:eastAsia="Calibri"/>
          <w:sz w:val="28"/>
          <w:szCs w:val="28"/>
          <w:lang w:eastAsia="en-US"/>
        </w:rPr>
        <w:t xml:space="preserve"> rakstveidā</w:t>
      </w:r>
      <w:r w:rsidRPr="00CD77BE" w:rsidR="00840B90">
        <w:rPr>
          <w:rFonts w:eastAsia="Calibri"/>
          <w:sz w:val="28"/>
          <w:szCs w:val="28"/>
          <w:lang w:eastAsia="en-US"/>
        </w:rPr>
        <w:t xml:space="preserve"> sniegt informāciju par Eiropas Savienības normatīvajiem aktiem, kuri pārņemti pēc 2019. gada 9. jūlija</w:t>
      </w:r>
      <w:r w:rsidR="00001BEA">
        <w:rPr>
          <w:rFonts w:eastAsia="Calibri"/>
          <w:sz w:val="28"/>
          <w:szCs w:val="28"/>
          <w:lang w:eastAsia="en-US"/>
        </w:rPr>
        <w:t xml:space="preserve"> </w:t>
      </w:r>
      <w:r w:rsidRPr="00001BEA" w:rsidR="00001BEA">
        <w:rPr>
          <w:rFonts w:eastAsia="Calibri"/>
          <w:sz w:val="28"/>
          <w:szCs w:val="28"/>
          <w:lang w:eastAsia="en-US"/>
        </w:rPr>
        <w:t>līdz š</w:t>
      </w:r>
      <w:r w:rsidR="00671750">
        <w:rPr>
          <w:rFonts w:eastAsia="Calibri"/>
          <w:sz w:val="28"/>
          <w:szCs w:val="28"/>
          <w:lang w:eastAsia="en-US"/>
        </w:rPr>
        <w:t>ā</w:t>
      </w:r>
      <w:r w:rsidRPr="00001BEA" w:rsidR="00001BEA">
        <w:rPr>
          <w:rFonts w:eastAsia="Calibri"/>
          <w:sz w:val="28"/>
          <w:szCs w:val="28"/>
          <w:lang w:eastAsia="en-US"/>
        </w:rPr>
        <w:t xml:space="preserve"> Valsts sekretāru sanāksmes protokollēmuma pieņemšanas dienai</w:t>
      </w:r>
      <w:r w:rsidRPr="00CD77BE" w:rsidR="00840B90">
        <w:rPr>
          <w:rFonts w:eastAsia="Calibri"/>
          <w:sz w:val="28"/>
          <w:szCs w:val="28"/>
          <w:lang w:eastAsia="en-US"/>
        </w:rPr>
        <w:t>, atbildīg</w:t>
      </w:r>
      <w:r w:rsidR="00840B90">
        <w:rPr>
          <w:rFonts w:eastAsia="Calibri"/>
          <w:sz w:val="28"/>
          <w:szCs w:val="28"/>
          <w:lang w:eastAsia="en-US"/>
        </w:rPr>
        <w:t xml:space="preserve">ā </w:t>
      </w:r>
      <w:r w:rsidRPr="00CD77BE" w:rsidR="00840B90">
        <w:rPr>
          <w:rFonts w:eastAsia="Calibri"/>
          <w:sz w:val="28"/>
          <w:szCs w:val="28"/>
          <w:lang w:eastAsia="en-US"/>
        </w:rPr>
        <w:t xml:space="preserve">ministrija sagatavo </w:t>
      </w:r>
      <w:r w:rsidR="00671750">
        <w:rPr>
          <w:rFonts w:eastAsia="Calibri"/>
          <w:sz w:val="28"/>
          <w:szCs w:val="28"/>
          <w:lang w:eastAsia="en-US"/>
        </w:rPr>
        <w:t xml:space="preserve">šā protokollēmuma </w:t>
      </w:r>
      <w:r w:rsidR="00840B90">
        <w:rPr>
          <w:rFonts w:eastAsia="Calibri"/>
          <w:sz w:val="28"/>
          <w:szCs w:val="28"/>
          <w:lang w:eastAsia="en-US"/>
        </w:rPr>
        <w:t>1.1. un 1.2. apakšpunktā norādīto</w:t>
      </w:r>
      <w:r w:rsidRPr="00CD77BE" w:rsidR="00840B90">
        <w:rPr>
          <w:rFonts w:eastAsia="Calibri"/>
          <w:sz w:val="28"/>
          <w:szCs w:val="28"/>
          <w:lang w:eastAsia="en-US"/>
        </w:rPr>
        <w:t xml:space="preserve"> informācij</w:t>
      </w:r>
      <w:r w:rsidR="00840B90">
        <w:rPr>
          <w:rFonts w:eastAsia="Calibri"/>
          <w:sz w:val="28"/>
          <w:szCs w:val="28"/>
          <w:lang w:eastAsia="en-US"/>
        </w:rPr>
        <w:t>u</w:t>
      </w:r>
      <w:r w:rsidRPr="00CD77BE" w:rsidR="00840B90">
        <w:rPr>
          <w:rFonts w:eastAsia="Calibri"/>
          <w:sz w:val="28"/>
          <w:szCs w:val="28"/>
          <w:lang w:eastAsia="en-US"/>
        </w:rPr>
        <w:t xml:space="preserve"> un </w:t>
      </w:r>
      <w:r w:rsidR="00840B90">
        <w:rPr>
          <w:rFonts w:eastAsia="Calibri"/>
          <w:sz w:val="28"/>
          <w:szCs w:val="28"/>
          <w:lang w:eastAsia="en-US"/>
        </w:rPr>
        <w:t xml:space="preserve">nosūta to </w:t>
      </w:r>
      <w:r w:rsidRPr="00CD77BE" w:rsidR="00840B90">
        <w:rPr>
          <w:rFonts w:eastAsia="Calibri"/>
          <w:sz w:val="28"/>
          <w:szCs w:val="28"/>
          <w:lang w:eastAsia="en-US"/>
        </w:rPr>
        <w:t>Tieslietu ministrijai</w:t>
      </w:r>
      <w:r w:rsidR="00840B90">
        <w:rPr>
          <w:rFonts w:eastAsia="Calibri"/>
          <w:sz w:val="28"/>
          <w:szCs w:val="28"/>
          <w:lang w:eastAsia="en-US"/>
        </w:rPr>
        <w:t xml:space="preserve"> </w:t>
      </w:r>
      <w:r w:rsidRPr="00CD77BE" w:rsidR="00840B90">
        <w:rPr>
          <w:rFonts w:eastAsia="Calibri"/>
          <w:sz w:val="28"/>
          <w:szCs w:val="28"/>
          <w:lang w:eastAsia="en-US"/>
        </w:rPr>
        <w:t>paziņo</w:t>
      </w:r>
      <w:r w:rsidR="00840B90">
        <w:rPr>
          <w:rFonts w:eastAsia="Calibri"/>
          <w:sz w:val="28"/>
          <w:szCs w:val="28"/>
          <w:lang w:eastAsia="en-US"/>
        </w:rPr>
        <w:t>šanai</w:t>
      </w:r>
      <w:r w:rsidRPr="00CD77BE" w:rsidR="00840B90">
        <w:rPr>
          <w:rFonts w:eastAsia="Calibri"/>
          <w:sz w:val="28"/>
          <w:szCs w:val="28"/>
          <w:lang w:eastAsia="en-US"/>
        </w:rPr>
        <w:t xml:space="preserve"> Eiropas Komisijai. </w:t>
      </w:r>
    </w:p>
    <w:p w:rsidRPr="00CD77BE" w:rsidR="00CD77BE" w:rsidP="00CD77BE" w:rsidRDefault="00CD77BE" w14:paraId="408ECFC5" w14:textId="7E91C296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D77BE" w:rsidP="00CD77BE" w:rsidRDefault="001A502E" w14:paraId="328BFC27" w14:textId="2B182DEB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4.</w:t>
      </w:r>
      <w:r w:rsidRPr="00CD77BE" w:rsidR="00CD77BE">
        <w:rPr>
          <w:rFonts w:eastAsia="Calibri"/>
          <w:sz w:val="28"/>
          <w:szCs w:val="28"/>
          <w:lang w:eastAsia="en-US"/>
        </w:rPr>
        <w:t> </w:t>
      </w:r>
      <w:r w:rsidRPr="001463C7" w:rsidR="00840B90">
        <w:rPr>
          <w:rFonts w:eastAsia="Calibri"/>
          <w:sz w:val="28"/>
          <w:szCs w:val="28"/>
          <w:lang w:eastAsia="en-US"/>
        </w:rPr>
        <w:t>Atbildīgajām ministrijām</w:t>
      </w:r>
      <w:proofErr w:type="gramEnd"/>
      <w:r w:rsidRPr="001463C7" w:rsidR="00840B90">
        <w:rPr>
          <w:rFonts w:eastAsia="Calibri"/>
          <w:sz w:val="28"/>
          <w:szCs w:val="28"/>
          <w:lang w:eastAsia="en-US"/>
        </w:rPr>
        <w:t xml:space="preserve"> </w:t>
      </w:r>
      <w:r w:rsidR="001463C7">
        <w:rPr>
          <w:rFonts w:eastAsia="Calibri"/>
          <w:sz w:val="28"/>
          <w:szCs w:val="28"/>
          <w:lang w:eastAsia="en-US"/>
        </w:rPr>
        <w:t>turpināt</w:t>
      </w:r>
      <w:r w:rsidRPr="001463C7" w:rsidR="001463C7">
        <w:rPr>
          <w:rFonts w:eastAsia="Calibri"/>
          <w:sz w:val="28"/>
          <w:szCs w:val="28"/>
          <w:lang w:eastAsia="en-US"/>
        </w:rPr>
        <w:t xml:space="preserve"> </w:t>
      </w:r>
      <w:r w:rsidRPr="001463C7" w:rsidR="00840B90">
        <w:rPr>
          <w:rFonts w:eastAsia="Calibri"/>
          <w:sz w:val="28"/>
          <w:szCs w:val="28"/>
          <w:lang w:eastAsia="en-US"/>
        </w:rPr>
        <w:t xml:space="preserve">ņemt vērā </w:t>
      </w:r>
      <w:bookmarkStart w:name="_Hlk44946163" w:id="0"/>
      <w:r w:rsidRPr="001463C7" w:rsidR="00CD77BE">
        <w:rPr>
          <w:rFonts w:eastAsia="Calibri"/>
          <w:sz w:val="28"/>
          <w:szCs w:val="28"/>
          <w:lang w:eastAsia="en-US"/>
        </w:rPr>
        <w:t xml:space="preserve">Valsts sekretāru </w:t>
      </w:r>
      <w:r w:rsidRPr="001463C7" w:rsidR="00671750">
        <w:rPr>
          <w:rFonts w:eastAsia="Calibri"/>
          <w:sz w:val="28"/>
          <w:szCs w:val="28"/>
          <w:lang w:eastAsia="en-US"/>
        </w:rPr>
        <w:t>2017.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Pr="001463C7" w:rsidR="00671750">
        <w:rPr>
          <w:rFonts w:eastAsia="Calibri"/>
          <w:sz w:val="28"/>
          <w:szCs w:val="28"/>
          <w:lang w:eastAsia="en-US"/>
        </w:rPr>
        <w:t>gada 11.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Pr="001463C7" w:rsidR="00671750">
        <w:rPr>
          <w:rFonts w:eastAsia="Calibri"/>
          <w:sz w:val="28"/>
          <w:szCs w:val="28"/>
          <w:lang w:eastAsia="en-US"/>
        </w:rPr>
        <w:t xml:space="preserve">maija </w:t>
      </w:r>
      <w:r w:rsidRPr="001463C7" w:rsidR="00CD77BE">
        <w:rPr>
          <w:rFonts w:eastAsia="Calibri"/>
          <w:sz w:val="28"/>
          <w:szCs w:val="28"/>
          <w:lang w:eastAsia="en-US"/>
        </w:rPr>
        <w:t>sanāksmē nolemt</w:t>
      </w:r>
      <w:r w:rsidRPr="001463C7" w:rsidR="001463C7">
        <w:rPr>
          <w:rFonts w:eastAsia="Calibri"/>
          <w:sz w:val="28"/>
          <w:szCs w:val="28"/>
          <w:lang w:eastAsia="en-US"/>
        </w:rPr>
        <w:t>o (</w:t>
      </w:r>
      <w:r w:rsidRPr="001463C7" w:rsidR="00CD77BE">
        <w:rPr>
          <w:rFonts w:eastAsia="Calibri"/>
          <w:sz w:val="28"/>
          <w:szCs w:val="28"/>
          <w:lang w:eastAsia="en-US"/>
        </w:rPr>
        <w:t>protokola Nr.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Pr="001463C7" w:rsidR="00CD77BE">
        <w:rPr>
          <w:rFonts w:eastAsia="Calibri"/>
          <w:sz w:val="28"/>
          <w:szCs w:val="28"/>
          <w:lang w:eastAsia="en-US"/>
        </w:rPr>
        <w:t>18 37.</w:t>
      </w:r>
      <w:r w:rsidR="00671750">
        <w:rPr>
          <w:rFonts w:eastAsia="Calibri"/>
          <w:sz w:val="28"/>
          <w:szCs w:val="28"/>
          <w:lang w:eastAsia="en-US"/>
        </w:rPr>
        <w:t> </w:t>
      </w:r>
      <w:r w:rsidRPr="001463C7" w:rsidR="00CD77BE">
        <w:rPr>
          <w:rFonts w:eastAsia="Calibri"/>
          <w:sz w:val="28"/>
          <w:szCs w:val="28"/>
          <w:lang w:eastAsia="en-US"/>
        </w:rPr>
        <w:t>§ "Par korelācijas tabulu iesniegšanu Eiropas Komisijai"</w:t>
      </w:r>
      <w:r w:rsidR="00671750">
        <w:rPr>
          <w:rFonts w:eastAsia="Calibri"/>
          <w:sz w:val="28"/>
          <w:szCs w:val="28"/>
          <w:lang w:eastAsia="en-US"/>
        </w:rPr>
        <w:t xml:space="preserve"> </w:t>
      </w:r>
      <w:r w:rsidRPr="001463C7" w:rsidR="001463C7">
        <w:rPr>
          <w:rFonts w:eastAsia="Calibri"/>
          <w:sz w:val="28"/>
          <w:szCs w:val="28"/>
          <w:lang w:eastAsia="en-US"/>
        </w:rPr>
        <w:t>2</w:t>
      </w:r>
      <w:r w:rsidR="007B6763">
        <w:rPr>
          <w:rFonts w:eastAsia="Calibri"/>
          <w:sz w:val="28"/>
          <w:szCs w:val="28"/>
          <w:lang w:eastAsia="en-US"/>
        </w:rPr>
        <w:t xml:space="preserve">. </w:t>
      </w:r>
      <w:r w:rsidRPr="001463C7" w:rsidR="001463C7">
        <w:rPr>
          <w:rFonts w:eastAsia="Calibri"/>
          <w:sz w:val="28"/>
          <w:szCs w:val="28"/>
        </w:rPr>
        <w:t>punkts</w:t>
      </w:r>
      <w:r w:rsidRPr="001463C7" w:rsidR="001463C7">
        <w:rPr>
          <w:rFonts w:eastAsia="Calibri"/>
          <w:sz w:val="28"/>
          <w:szCs w:val="28"/>
          <w:lang w:eastAsia="en-US"/>
        </w:rPr>
        <w:t>).</w:t>
      </w:r>
      <w:bookmarkEnd w:id="0"/>
    </w:p>
    <w:p w:rsidRPr="00CD77BE" w:rsidR="00C131FD" w:rsidP="002210C6" w:rsidRDefault="00C131FD" w14:paraId="116785D7" w14:textId="4258D313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FA665E" w:rsidP="002210C6" w:rsidRDefault="00FA665E" w14:paraId="32858DEA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552962" w:rsidP="002210C6" w:rsidRDefault="00D92394" w14:paraId="4B86317E" w14:textId="13AB3AE6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  <w:r w:rsidRPr="003938DB">
        <w:rPr>
          <w:sz w:val="28"/>
          <w:szCs w:val="28"/>
          <w:lang w:val="lv-LV" w:eastAsia="lv-LV"/>
        </w:rPr>
        <w:t>Valsts kancelejas direktors</w:t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proofErr w:type="gramStart"/>
      <w:r w:rsidRPr="003938DB" w:rsidR="000331CE">
        <w:rPr>
          <w:sz w:val="28"/>
          <w:szCs w:val="28"/>
          <w:lang w:val="lv-LV" w:eastAsia="lv-LV"/>
        </w:rPr>
        <w:t xml:space="preserve">  </w:t>
      </w:r>
      <w:proofErr w:type="gramEnd"/>
      <w:r w:rsidRPr="003938DB">
        <w:rPr>
          <w:sz w:val="28"/>
          <w:szCs w:val="28"/>
          <w:lang w:val="lv-LV" w:eastAsia="lv-LV"/>
        </w:rPr>
        <w:t>J.</w:t>
      </w:r>
      <w:r w:rsidR="00A83715">
        <w:rPr>
          <w:sz w:val="28"/>
          <w:szCs w:val="28"/>
          <w:lang w:val="lv-LV" w:eastAsia="lv-LV"/>
        </w:rPr>
        <w:t> </w:t>
      </w:r>
      <w:proofErr w:type="spellStart"/>
      <w:r w:rsidRPr="003938DB">
        <w:rPr>
          <w:sz w:val="28"/>
          <w:szCs w:val="28"/>
          <w:lang w:val="lv-LV" w:eastAsia="lv-LV"/>
        </w:rPr>
        <w:t>Citskovskis</w:t>
      </w:r>
      <w:proofErr w:type="spellEnd"/>
    </w:p>
    <w:p w:rsidRPr="003938DB" w:rsidR="00D92394" w:rsidP="002210C6" w:rsidRDefault="00D92394" w14:paraId="762584F0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Pr="003938DB" w:rsidR="00002718" w:rsidP="002210C6" w:rsidRDefault="00002718" w14:paraId="1869E70C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="003938DB" w:rsidP="00822F0E" w:rsidRDefault="00E01AB0" w14:paraId="31D17494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3938DB">
        <w:rPr>
          <w:sz w:val="28"/>
          <w:szCs w:val="28"/>
          <w:lang w:val="lv-LV"/>
        </w:rPr>
        <w:t xml:space="preserve">Iesniedzējs: </w:t>
      </w:r>
    </w:p>
    <w:p w:rsidRPr="003938DB" w:rsidR="000447FC" w:rsidP="00FF47BC" w:rsidRDefault="00822F0E" w14:paraId="2DDE3C24" w14:textId="0028B899">
      <w:pPr>
        <w:pStyle w:val="naisf"/>
        <w:spacing w:before="0" w:after="0"/>
        <w:ind w:firstLine="0"/>
      </w:pPr>
      <w:r w:rsidRPr="003938DB">
        <w:rPr>
          <w:sz w:val="28"/>
          <w:szCs w:val="28"/>
          <w:lang w:val="lv-LV"/>
        </w:rPr>
        <w:t xml:space="preserve">Tieslietu </w:t>
      </w:r>
      <w:r w:rsidRPr="003938DB" w:rsidR="00E01AB0">
        <w:rPr>
          <w:sz w:val="28"/>
          <w:szCs w:val="28"/>
          <w:lang w:val="lv-LV"/>
        </w:rPr>
        <w:t>ministr</w:t>
      </w:r>
      <w:r w:rsidRPr="003938DB">
        <w:rPr>
          <w:sz w:val="28"/>
          <w:szCs w:val="28"/>
          <w:lang w:val="lv-LV"/>
        </w:rPr>
        <w:t>ijas valsts sekretārs</w:t>
      </w:r>
      <w:proofErr w:type="gramStart"/>
      <w:r w:rsidRPr="003938DB" w:rsidR="00E01AB0">
        <w:rPr>
          <w:sz w:val="28"/>
          <w:szCs w:val="28"/>
          <w:lang w:val="lv-LV"/>
        </w:rPr>
        <w:t xml:space="preserve">   </w:t>
      </w:r>
      <w:r w:rsidRPr="003938DB">
        <w:rPr>
          <w:sz w:val="28"/>
          <w:szCs w:val="28"/>
          <w:lang w:val="lv-LV"/>
        </w:rPr>
        <w:t xml:space="preserve">  </w:t>
      </w:r>
      <w:r w:rsidRPr="003938DB" w:rsidR="00E01AB0">
        <w:rPr>
          <w:sz w:val="28"/>
          <w:szCs w:val="28"/>
          <w:lang w:val="lv-LV"/>
        </w:rPr>
        <w:t xml:space="preserve">                        </w:t>
      </w:r>
      <w:proofErr w:type="gramEnd"/>
      <w:r w:rsidRPr="003938DB" w:rsidR="00915437">
        <w:rPr>
          <w:sz w:val="28"/>
          <w:szCs w:val="28"/>
          <w:lang w:val="lv-LV"/>
        </w:rPr>
        <w:tab/>
      </w:r>
      <w:r w:rsidRPr="003938DB" w:rsidR="00E01AB0">
        <w:rPr>
          <w:sz w:val="28"/>
          <w:szCs w:val="28"/>
          <w:lang w:val="lv-LV"/>
        </w:rPr>
        <w:t xml:space="preserve"> </w:t>
      </w:r>
      <w:r w:rsidR="003938DB">
        <w:rPr>
          <w:sz w:val="28"/>
          <w:szCs w:val="28"/>
          <w:lang w:val="lv-LV"/>
        </w:rPr>
        <w:t xml:space="preserve">          </w:t>
      </w:r>
      <w:r w:rsidRPr="003938DB" w:rsidR="00E55F3F">
        <w:rPr>
          <w:sz w:val="28"/>
          <w:szCs w:val="28"/>
          <w:lang w:val="lv-LV"/>
        </w:rPr>
        <w:t xml:space="preserve"> </w:t>
      </w:r>
      <w:r w:rsidRPr="003938DB">
        <w:rPr>
          <w:sz w:val="28"/>
          <w:szCs w:val="28"/>
          <w:lang w:val="lv-LV"/>
        </w:rPr>
        <w:t>R. Kronbergs</w:t>
      </w:r>
    </w:p>
    <w:sectPr w:rsidRPr="003938DB" w:rsidR="000447FC" w:rsidSect="00A83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2BD3" w14:textId="77777777" w:rsidR="00066373" w:rsidRDefault="00066373">
      <w:r>
        <w:separator/>
      </w:r>
    </w:p>
  </w:endnote>
  <w:endnote w:type="continuationSeparator" w:id="0">
    <w:p w14:paraId="25A76240" w14:textId="77777777" w:rsidR="00066373" w:rsidRDefault="000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8E18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14:paraId="1EDCF4DB" w14:textId="77777777" w:rsidR="00DE11E2" w:rsidRDefault="00DE11E2" w:rsidP="000B69B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0EE9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14:paraId="7DA4B910" w14:textId="4F19B5C9" w:rsidR="00DE11E2" w:rsidRDefault="00A83715" w:rsidP="00FC1B98">
    <w:pPr>
      <w:pStyle w:val="Kjene"/>
      <w:ind w:right="360"/>
      <w:jc w:val="both"/>
      <w:rPr>
        <w:sz w:val="20"/>
        <w:szCs w:val="20"/>
      </w:rPr>
    </w:pPr>
    <w:r w:rsidRPr="00A83715">
      <w:rPr>
        <w:sz w:val="20"/>
        <w:szCs w:val="20"/>
      </w:rPr>
      <w:t>TMprot_2</w:t>
    </w:r>
    <w:r w:rsidR="0093785E">
      <w:rPr>
        <w:sz w:val="20"/>
        <w:szCs w:val="20"/>
      </w:rPr>
      <w:t>2</w:t>
    </w:r>
    <w:r w:rsidRPr="00A83715">
      <w:rPr>
        <w:sz w:val="20"/>
        <w:szCs w:val="20"/>
      </w:rPr>
      <w:t>0920_kor_tab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5B5D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14:paraId="198CC4FF" w14:textId="285FC519" w:rsidR="00DE11E2" w:rsidRDefault="00A83715" w:rsidP="00FC1B98">
    <w:pPr>
      <w:pStyle w:val="Kjene"/>
      <w:tabs>
        <w:tab w:val="left" w:pos="9000"/>
      </w:tabs>
      <w:ind w:right="71"/>
      <w:jc w:val="both"/>
      <w:rPr>
        <w:sz w:val="20"/>
        <w:szCs w:val="20"/>
      </w:rPr>
    </w:pPr>
    <w:r w:rsidRPr="00A83715">
      <w:rPr>
        <w:sz w:val="20"/>
        <w:szCs w:val="20"/>
      </w:rPr>
      <w:t>TMprot_2</w:t>
    </w:r>
    <w:r w:rsidR="0093785E">
      <w:rPr>
        <w:sz w:val="20"/>
        <w:szCs w:val="20"/>
      </w:rPr>
      <w:t>2</w:t>
    </w:r>
    <w:r w:rsidRPr="00A83715">
      <w:rPr>
        <w:sz w:val="20"/>
        <w:szCs w:val="20"/>
      </w:rPr>
      <w:t>0920_kor_tab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74CE" w14:textId="77777777" w:rsidR="00066373" w:rsidRDefault="00066373">
      <w:r>
        <w:separator/>
      </w:r>
    </w:p>
  </w:footnote>
  <w:footnote w:type="continuationSeparator" w:id="0">
    <w:p w14:paraId="2F32B829" w14:textId="77777777" w:rsidR="00066373" w:rsidRDefault="0006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1E2" w:rsidP="00B3634F" w:rsidRDefault="00DE11E2" w14:paraId="5AF8059D" w14:textId="77777777">
    <w:pPr>
      <w:pStyle w:val="Galvene"/>
      <w:framePr w:wrap="around" w:hAnchor="margin" w:vAnchor="text" w:xAlign="center" w:y="1"/>
      <w:rPr>
        <w:rStyle w:val="Lappusesnumurs"/>
      </w:rPr>
    </w:pPr>
  </w:p>
  <w:p w:rsidR="00DE11E2" w:rsidRDefault="00DE11E2" w14:paraId="77FC438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1E2" w:rsidP="00FF47BC" w:rsidRDefault="00D92394" w14:paraId="5B10E491" w14:textId="353E6BF2">
    <w:pPr>
      <w:pStyle w:val="Galvene"/>
      <w:framePr w:wrap="around" w:hAnchor="margin" w:vAnchor="text" w:xAlign="center" w:y="1"/>
      <w:jc w:val="center"/>
      <w:rPr>
        <w:rStyle w:val="Lappusesnumurs"/>
      </w:rPr>
    </w:pPr>
    <w:r>
      <w:rPr>
        <w:rStyle w:val="Lappusesnumurs"/>
        <w:noProof/>
      </w:rPr>
      <w:t>2</w:t>
    </w:r>
  </w:p>
  <w:p w:rsidR="00DE11E2" w:rsidP="00FF47BC" w:rsidRDefault="00DE11E2" w14:paraId="321D8597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1E2" w:rsidP="005C37D9" w:rsidRDefault="00DE11E2" w14:paraId="01692900" w14:textId="7777777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27F0"/>
    <w:multiLevelType w:val="hybridMultilevel"/>
    <w:tmpl w:val="9CDAE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B36E5"/>
    <w:multiLevelType w:val="hybridMultilevel"/>
    <w:tmpl w:val="72FE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2A8F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C"/>
    <w:rsid w:val="0000052F"/>
    <w:rsid w:val="00001BEA"/>
    <w:rsid w:val="00001FF9"/>
    <w:rsid w:val="00002718"/>
    <w:rsid w:val="00012A3D"/>
    <w:rsid w:val="00015162"/>
    <w:rsid w:val="0002319B"/>
    <w:rsid w:val="000254F1"/>
    <w:rsid w:val="000331CE"/>
    <w:rsid w:val="00033451"/>
    <w:rsid w:val="00033AF4"/>
    <w:rsid w:val="00034ED5"/>
    <w:rsid w:val="00035DE8"/>
    <w:rsid w:val="00036C79"/>
    <w:rsid w:val="00036D86"/>
    <w:rsid w:val="000414EB"/>
    <w:rsid w:val="000447FC"/>
    <w:rsid w:val="000477E5"/>
    <w:rsid w:val="00061982"/>
    <w:rsid w:val="00062118"/>
    <w:rsid w:val="000631A7"/>
    <w:rsid w:val="000654E2"/>
    <w:rsid w:val="00066373"/>
    <w:rsid w:val="00067BBA"/>
    <w:rsid w:val="00073D60"/>
    <w:rsid w:val="0008437A"/>
    <w:rsid w:val="00091643"/>
    <w:rsid w:val="000B1179"/>
    <w:rsid w:val="000B6740"/>
    <w:rsid w:val="000B69BE"/>
    <w:rsid w:val="000B7FA9"/>
    <w:rsid w:val="000C0368"/>
    <w:rsid w:val="000C5C5A"/>
    <w:rsid w:val="000C5E60"/>
    <w:rsid w:val="000D04D5"/>
    <w:rsid w:val="000D0866"/>
    <w:rsid w:val="000D498B"/>
    <w:rsid w:val="000D4E60"/>
    <w:rsid w:val="000E282A"/>
    <w:rsid w:val="000E3B0A"/>
    <w:rsid w:val="000F7394"/>
    <w:rsid w:val="00100646"/>
    <w:rsid w:val="0011466F"/>
    <w:rsid w:val="00116602"/>
    <w:rsid w:val="0012416D"/>
    <w:rsid w:val="00125770"/>
    <w:rsid w:val="00125D0E"/>
    <w:rsid w:val="0013309C"/>
    <w:rsid w:val="00134F22"/>
    <w:rsid w:val="001427EE"/>
    <w:rsid w:val="001463C7"/>
    <w:rsid w:val="00146FF3"/>
    <w:rsid w:val="00154FB7"/>
    <w:rsid w:val="0015505B"/>
    <w:rsid w:val="00160A10"/>
    <w:rsid w:val="0016206B"/>
    <w:rsid w:val="00171574"/>
    <w:rsid w:val="0017199F"/>
    <w:rsid w:val="00173428"/>
    <w:rsid w:val="00174917"/>
    <w:rsid w:val="00176470"/>
    <w:rsid w:val="00183592"/>
    <w:rsid w:val="0019490D"/>
    <w:rsid w:val="001A502E"/>
    <w:rsid w:val="001A562C"/>
    <w:rsid w:val="001B2A00"/>
    <w:rsid w:val="001B5477"/>
    <w:rsid w:val="001C0839"/>
    <w:rsid w:val="001D5021"/>
    <w:rsid w:val="001E2689"/>
    <w:rsid w:val="001E51A8"/>
    <w:rsid w:val="001E6D67"/>
    <w:rsid w:val="001E7A81"/>
    <w:rsid w:val="001E7E58"/>
    <w:rsid w:val="001F0029"/>
    <w:rsid w:val="001F351B"/>
    <w:rsid w:val="00200C40"/>
    <w:rsid w:val="0020129F"/>
    <w:rsid w:val="00206D4D"/>
    <w:rsid w:val="00207C36"/>
    <w:rsid w:val="00212242"/>
    <w:rsid w:val="00220250"/>
    <w:rsid w:val="0022087D"/>
    <w:rsid w:val="002210C6"/>
    <w:rsid w:val="00236086"/>
    <w:rsid w:val="002440F5"/>
    <w:rsid w:val="00264E9D"/>
    <w:rsid w:val="00266C67"/>
    <w:rsid w:val="00270EA1"/>
    <w:rsid w:val="00281178"/>
    <w:rsid w:val="002839CD"/>
    <w:rsid w:val="00286863"/>
    <w:rsid w:val="00287819"/>
    <w:rsid w:val="0028789C"/>
    <w:rsid w:val="00292147"/>
    <w:rsid w:val="002A5AE1"/>
    <w:rsid w:val="002A79FC"/>
    <w:rsid w:val="002B0D77"/>
    <w:rsid w:val="002B5E09"/>
    <w:rsid w:val="002B646A"/>
    <w:rsid w:val="002C57B1"/>
    <w:rsid w:val="002D2158"/>
    <w:rsid w:val="002E5466"/>
    <w:rsid w:val="002E5B0D"/>
    <w:rsid w:val="002F0283"/>
    <w:rsid w:val="002F2E7C"/>
    <w:rsid w:val="002F751B"/>
    <w:rsid w:val="00302785"/>
    <w:rsid w:val="003178DE"/>
    <w:rsid w:val="003230E4"/>
    <w:rsid w:val="003258AA"/>
    <w:rsid w:val="00335875"/>
    <w:rsid w:val="003358B1"/>
    <w:rsid w:val="00335C13"/>
    <w:rsid w:val="00340780"/>
    <w:rsid w:val="003419BA"/>
    <w:rsid w:val="0035004A"/>
    <w:rsid w:val="003500E4"/>
    <w:rsid w:val="00363EAB"/>
    <w:rsid w:val="003670C0"/>
    <w:rsid w:val="003701E9"/>
    <w:rsid w:val="00373509"/>
    <w:rsid w:val="003833DF"/>
    <w:rsid w:val="00385AD5"/>
    <w:rsid w:val="00390307"/>
    <w:rsid w:val="00390D43"/>
    <w:rsid w:val="003938DB"/>
    <w:rsid w:val="00394AF9"/>
    <w:rsid w:val="0039636F"/>
    <w:rsid w:val="00396A17"/>
    <w:rsid w:val="003A588E"/>
    <w:rsid w:val="003A7EC0"/>
    <w:rsid w:val="003B2251"/>
    <w:rsid w:val="003B2FB5"/>
    <w:rsid w:val="003B6895"/>
    <w:rsid w:val="003D0EF4"/>
    <w:rsid w:val="003D22CC"/>
    <w:rsid w:val="003D2F71"/>
    <w:rsid w:val="003D423C"/>
    <w:rsid w:val="003D78AC"/>
    <w:rsid w:val="003D7DD5"/>
    <w:rsid w:val="003E11FD"/>
    <w:rsid w:val="003E26BB"/>
    <w:rsid w:val="003E54BC"/>
    <w:rsid w:val="003E75CC"/>
    <w:rsid w:val="003F4F0D"/>
    <w:rsid w:val="004025B2"/>
    <w:rsid w:val="004059E6"/>
    <w:rsid w:val="00405E85"/>
    <w:rsid w:val="00427005"/>
    <w:rsid w:val="00434995"/>
    <w:rsid w:val="004377FD"/>
    <w:rsid w:val="0044545D"/>
    <w:rsid w:val="004610B4"/>
    <w:rsid w:val="00466DC9"/>
    <w:rsid w:val="0046742C"/>
    <w:rsid w:val="00470509"/>
    <w:rsid w:val="0047342A"/>
    <w:rsid w:val="004930F6"/>
    <w:rsid w:val="004945C5"/>
    <w:rsid w:val="004A3C3C"/>
    <w:rsid w:val="004A626C"/>
    <w:rsid w:val="004B6F35"/>
    <w:rsid w:val="004C1A99"/>
    <w:rsid w:val="004D3E4E"/>
    <w:rsid w:val="004D5A76"/>
    <w:rsid w:val="004D6BB0"/>
    <w:rsid w:val="004F3100"/>
    <w:rsid w:val="00503FBB"/>
    <w:rsid w:val="00513225"/>
    <w:rsid w:val="005156FF"/>
    <w:rsid w:val="00517667"/>
    <w:rsid w:val="0052127E"/>
    <w:rsid w:val="00524646"/>
    <w:rsid w:val="0052560D"/>
    <w:rsid w:val="0052780F"/>
    <w:rsid w:val="00534F8B"/>
    <w:rsid w:val="00552962"/>
    <w:rsid w:val="005663D0"/>
    <w:rsid w:val="005720E4"/>
    <w:rsid w:val="00575FE9"/>
    <w:rsid w:val="005767B4"/>
    <w:rsid w:val="00590A35"/>
    <w:rsid w:val="00593305"/>
    <w:rsid w:val="00596D55"/>
    <w:rsid w:val="005A2D63"/>
    <w:rsid w:val="005A6509"/>
    <w:rsid w:val="005A6FF0"/>
    <w:rsid w:val="005C37D9"/>
    <w:rsid w:val="005D0E82"/>
    <w:rsid w:val="005D1F1C"/>
    <w:rsid w:val="005E4E11"/>
    <w:rsid w:val="005F13C6"/>
    <w:rsid w:val="005F1514"/>
    <w:rsid w:val="005F19E2"/>
    <w:rsid w:val="005F31DB"/>
    <w:rsid w:val="005F32C0"/>
    <w:rsid w:val="005F3628"/>
    <w:rsid w:val="00610055"/>
    <w:rsid w:val="0061565A"/>
    <w:rsid w:val="00624720"/>
    <w:rsid w:val="0062648E"/>
    <w:rsid w:val="0063285B"/>
    <w:rsid w:val="00635094"/>
    <w:rsid w:val="00636692"/>
    <w:rsid w:val="00645A09"/>
    <w:rsid w:val="00671750"/>
    <w:rsid w:val="00673218"/>
    <w:rsid w:val="006740B8"/>
    <w:rsid w:val="006A7158"/>
    <w:rsid w:val="006C13E6"/>
    <w:rsid w:val="006C3526"/>
    <w:rsid w:val="006C560A"/>
    <w:rsid w:val="006E2140"/>
    <w:rsid w:val="006E4A41"/>
    <w:rsid w:val="006F5BD5"/>
    <w:rsid w:val="00701676"/>
    <w:rsid w:val="00710671"/>
    <w:rsid w:val="00717969"/>
    <w:rsid w:val="00731439"/>
    <w:rsid w:val="00732DC7"/>
    <w:rsid w:val="007479CF"/>
    <w:rsid w:val="00747BBD"/>
    <w:rsid w:val="00747BD4"/>
    <w:rsid w:val="00755F84"/>
    <w:rsid w:val="00763663"/>
    <w:rsid w:val="00765107"/>
    <w:rsid w:val="00773AB3"/>
    <w:rsid w:val="00786D92"/>
    <w:rsid w:val="007941D3"/>
    <w:rsid w:val="007A397D"/>
    <w:rsid w:val="007A57C9"/>
    <w:rsid w:val="007B6763"/>
    <w:rsid w:val="007C1B89"/>
    <w:rsid w:val="007C2018"/>
    <w:rsid w:val="007D099C"/>
    <w:rsid w:val="007D0F9A"/>
    <w:rsid w:val="007D1721"/>
    <w:rsid w:val="007E034D"/>
    <w:rsid w:val="007E5553"/>
    <w:rsid w:val="007E5CCA"/>
    <w:rsid w:val="007F08AB"/>
    <w:rsid w:val="007F1511"/>
    <w:rsid w:val="007F5754"/>
    <w:rsid w:val="00801B79"/>
    <w:rsid w:val="00803760"/>
    <w:rsid w:val="00804474"/>
    <w:rsid w:val="00807BEA"/>
    <w:rsid w:val="00813E45"/>
    <w:rsid w:val="008143E7"/>
    <w:rsid w:val="008173AD"/>
    <w:rsid w:val="00822F0E"/>
    <w:rsid w:val="00833706"/>
    <w:rsid w:val="00840B90"/>
    <w:rsid w:val="00846DC7"/>
    <w:rsid w:val="008559D7"/>
    <w:rsid w:val="00855F73"/>
    <w:rsid w:val="00860893"/>
    <w:rsid w:val="00866D45"/>
    <w:rsid w:val="00871CF3"/>
    <w:rsid w:val="0087206F"/>
    <w:rsid w:val="00872CBB"/>
    <w:rsid w:val="008800A4"/>
    <w:rsid w:val="008813DE"/>
    <w:rsid w:val="0088234B"/>
    <w:rsid w:val="008932FE"/>
    <w:rsid w:val="00896B93"/>
    <w:rsid w:val="008B228E"/>
    <w:rsid w:val="008B4D46"/>
    <w:rsid w:val="008B7C17"/>
    <w:rsid w:val="008C2751"/>
    <w:rsid w:val="008D3115"/>
    <w:rsid w:val="008D6A89"/>
    <w:rsid w:val="008D74F2"/>
    <w:rsid w:val="008E5681"/>
    <w:rsid w:val="008F163C"/>
    <w:rsid w:val="008F22C0"/>
    <w:rsid w:val="008F2C8E"/>
    <w:rsid w:val="008F2E59"/>
    <w:rsid w:val="008F2FEA"/>
    <w:rsid w:val="00914C17"/>
    <w:rsid w:val="00915437"/>
    <w:rsid w:val="00917474"/>
    <w:rsid w:val="00923CC6"/>
    <w:rsid w:val="0093785E"/>
    <w:rsid w:val="0094497A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3856"/>
    <w:rsid w:val="009D28CE"/>
    <w:rsid w:val="009D31A7"/>
    <w:rsid w:val="009D3793"/>
    <w:rsid w:val="009E017B"/>
    <w:rsid w:val="009E3A94"/>
    <w:rsid w:val="009E6D68"/>
    <w:rsid w:val="009E6F58"/>
    <w:rsid w:val="009F51D0"/>
    <w:rsid w:val="00A016AB"/>
    <w:rsid w:val="00A030B1"/>
    <w:rsid w:val="00A04D5E"/>
    <w:rsid w:val="00A14221"/>
    <w:rsid w:val="00A20733"/>
    <w:rsid w:val="00A2545B"/>
    <w:rsid w:val="00A2746A"/>
    <w:rsid w:val="00A34783"/>
    <w:rsid w:val="00A365E8"/>
    <w:rsid w:val="00A430AF"/>
    <w:rsid w:val="00A507E8"/>
    <w:rsid w:val="00A830D5"/>
    <w:rsid w:val="00A83715"/>
    <w:rsid w:val="00A924C9"/>
    <w:rsid w:val="00A97DBC"/>
    <w:rsid w:val="00AA01D4"/>
    <w:rsid w:val="00AA2F33"/>
    <w:rsid w:val="00AA355F"/>
    <w:rsid w:val="00AA5388"/>
    <w:rsid w:val="00AA61A9"/>
    <w:rsid w:val="00AB123E"/>
    <w:rsid w:val="00AB2BCB"/>
    <w:rsid w:val="00AB77AC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B01355"/>
    <w:rsid w:val="00B03496"/>
    <w:rsid w:val="00B13712"/>
    <w:rsid w:val="00B17A4E"/>
    <w:rsid w:val="00B17C73"/>
    <w:rsid w:val="00B27E65"/>
    <w:rsid w:val="00B3317A"/>
    <w:rsid w:val="00B3634F"/>
    <w:rsid w:val="00B3693C"/>
    <w:rsid w:val="00B3725A"/>
    <w:rsid w:val="00B439EC"/>
    <w:rsid w:val="00B454C9"/>
    <w:rsid w:val="00B45507"/>
    <w:rsid w:val="00B57352"/>
    <w:rsid w:val="00B57B9E"/>
    <w:rsid w:val="00B60064"/>
    <w:rsid w:val="00B641E5"/>
    <w:rsid w:val="00B70C18"/>
    <w:rsid w:val="00B74A9C"/>
    <w:rsid w:val="00B75D5B"/>
    <w:rsid w:val="00B81905"/>
    <w:rsid w:val="00B86E94"/>
    <w:rsid w:val="00B87823"/>
    <w:rsid w:val="00B90EA9"/>
    <w:rsid w:val="00BA5790"/>
    <w:rsid w:val="00BC3B8A"/>
    <w:rsid w:val="00BD1651"/>
    <w:rsid w:val="00BD51F4"/>
    <w:rsid w:val="00BF065C"/>
    <w:rsid w:val="00BF3288"/>
    <w:rsid w:val="00C018DE"/>
    <w:rsid w:val="00C050F8"/>
    <w:rsid w:val="00C102AF"/>
    <w:rsid w:val="00C131FD"/>
    <w:rsid w:val="00C13CFD"/>
    <w:rsid w:val="00C14BA7"/>
    <w:rsid w:val="00C1561B"/>
    <w:rsid w:val="00C15A2D"/>
    <w:rsid w:val="00C24982"/>
    <w:rsid w:val="00C27CA6"/>
    <w:rsid w:val="00C30049"/>
    <w:rsid w:val="00C37F4E"/>
    <w:rsid w:val="00C37F5C"/>
    <w:rsid w:val="00C41A19"/>
    <w:rsid w:val="00C51FF1"/>
    <w:rsid w:val="00C629C4"/>
    <w:rsid w:val="00C63AC6"/>
    <w:rsid w:val="00C644B8"/>
    <w:rsid w:val="00C73254"/>
    <w:rsid w:val="00C73610"/>
    <w:rsid w:val="00C73672"/>
    <w:rsid w:val="00C743CF"/>
    <w:rsid w:val="00C74919"/>
    <w:rsid w:val="00C80DFE"/>
    <w:rsid w:val="00C8208F"/>
    <w:rsid w:val="00C855A9"/>
    <w:rsid w:val="00C8562A"/>
    <w:rsid w:val="00CA362A"/>
    <w:rsid w:val="00CB0F22"/>
    <w:rsid w:val="00CB1B87"/>
    <w:rsid w:val="00CC2C1D"/>
    <w:rsid w:val="00CD2328"/>
    <w:rsid w:val="00CD77BE"/>
    <w:rsid w:val="00CE0E75"/>
    <w:rsid w:val="00CE6B63"/>
    <w:rsid w:val="00CF1A49"/>
    <w:rsid w:val="00CF6B16"/>
    <w:rsid w:val="00CF6EA9"/>
    <w:rsid w:val="00D00787"/>
    <w:rsid w:val="00D06C4F"/>
    <w:rsid w:val="00D15D56"/>
    <w:rsid w:val="00D16CA1"/>
    <w:rsid w:val="00D2449D"/>
    <w:rsid w:val="00D31D75"/>
    <w:rsid w:val="00D34220"/>
    <w:rsid w:val="00D3467C"/>
    <w:rsid w:val="00D37B32"/>
    <w:rsid w:val="00D41AEF"/>
    <w:rsid w:val="00D42571"/>
    <w:rsid w:val="00D47FF9"/>
    <w:rsid w:val="00D50E07"/>
    <w:rsid w:val="00D51DE8"/>
    <w:rsid w:val="00D64BA2"/>
    <w:rsid w:val="00D70039"/>
    <w:rsid w:val="00D726C1"/>
    <w:rsid w:val="00D74A9D"/>
    <w:rsid w:val="00D810D7"/>
    <w:rsid w:val="00D82E10"/>
    <w:rsid w:val="00D842CB"/>
    <w:rsid w:val="00D92394"/>
    <w:rsid w:val="00D94398"/>
    <w:rsid w:val="00DA6CE0"/>
    <w:rsid w:val="00DC6DCF"/>
    <w:rsid w:val="00DD0BD3"/>
    <w:rsid w:val="00DD1802"/>
    <w:rsid w:val="00DD46C7"/>
    <w:rsid w:val="00DE11E2"/>
    <w:rsid w:val="00DE3C9A"/>
    <w:rsid w:val="00DE3FF1"/>
    <w:rsid w:val="00DE521C"/>
    <w:rsid w:val="00E01AB0"/>
    <w:rsid w:val="00E14157"/>
    <w:rsid w:val="00E1522B"/>
    <w:rsid w:val="00E42226"/>
    <w:rsid w:val="00E535BD"/>
    <w:rsid w:val="00E55F3F"/>
    <w:rsid w:val="00E678CF"/>
    <w:rsid w:val="00E72FAA"/>
    <w:rsid w:val="00E90A12"/>
    <w:rsid w:val="00E9606B"/>
    <w:rsid w:val="00EA5E95"/>
    <w:rsid w:val="00EB0E33"/>
    <w:rsid w:val="00EB2E5B"/>
    <w:rsid w:val="00EC0E7A"/>
    <w:rsid w:val="00EC3B1F"/>
    <w:rsid w:val="00ED10B6"/>
    <w:rsid w:val="00EE3782"/>
    <w:rsid w:val="00EE4803"/>
    <w:rsid w:val="00EF0120"/>
    <w:rsid w:val="00EF2D7E"/>
    <w:rsid w:val="00EF338D"/>
    <w:rsid w:val="00EF7A88"/>
    <w:rsid w:val="00F00592"/>
    <w:rsid w:val="00F00722"/>
    <w:rsid w:val="00F00B5E"/>
    <w:rsid w:val="00F023E4"/>
    <w:rsid w:val="00F10945"/>
    <w:rsid w:val="00F14389"/>
    <w:rsid w:val="00F40860"/>
    <w:rsid w:val="00F42AFE"/>
    <w:rsid w:val="00F5443C"/>
    <w:rsid w:val="00F658AF"/>
    <w:rsid w:val="00F65E6C"/>
    <w:rsid w:val="00F83854"/>
    <w:rsid w:val="00F96BEC"/>
    <w:rsid w:val="00FA665E"/>
    <w:rsid w:val="00FA7C75"/>
    <w:rsid w:val="00FB220C"/>
    <w:rsid w:val="00FB3DC6"/>
    <w:rsid w:val="00FC1504"/>
    <w:rsid w:val="00FC1B98"/>
    <w:rsid w:val="00FC734B"/>
    <w:rsid w:val="00FC7739"/>
    <w:rsid w:val="00FD456C"/>
    <w:rsid w:val="00FE0185"/>
    <w:rsid w:val="00FE0526"/>
    <w:rsid w:val="00FF47B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D1EA5"/>
  <w15:chartTrackingRefBased/>
  <w15:docId w15:val="{A44C1358-0A8E-4E82-9F41-9919D48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562C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2">
    <w:name w:val="normal 2"/>
    <w:basedOn w:val="Parasts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Galvene">
    <w:name w:val="header"/>
    <w:basedOn w:val="Parasts"/>
    <w:rsid w:val="001A56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Parasts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061982"/>
    <w:rPr>
      <w:b/>
      <w:bCs/>
    </w:rPr>
  </w:style>
  <w:style w:type="paragraph" w:customStyle="1" w:styleId="naisf">
    <w:name w:val="naisf"/>
    <w:basedOn w:val="Parasts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Komentraatsauce">
    <w:name w:val="annotation reference"/>
    <w:rsid w:val="0028686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68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86863"/>
  </w:style>
  <w:style w:type="paragraph" w:styleId="Komentratma">
    <w:name w:val="annotation subject"/>
    <w:basedOn w:val="Komentrateksts"/>
    <w:next w:val="Komentrateksts"/>
    <w:link w:val="KomentratmaRakstz"/>
    <w:rsid w:val="00286863"/>
    <w:rPr>
      <w:b/>
      <w:bCs/>
    </w:rPr>
  </w:style>
  <w:style w:type="character" w:customStyle="1" w:styleId="KomentratmaRakstz">
    <w:name w:val="Komentāra tēma Rakstz."/>
    <w:link w:val="Komentratma"/>
    <w:rsid w:val="00286863"/>
    <w:rPr>
      <w:b/>
      <w:bCs/>
    </w:rPr>
  </w:style>
  <w:style w:type="paragraph" w:styleId="Balonteksts">
    <w:name w:val="Balloon Text"/>
    <w:basedOn w:val="Parasts"/>
    <w:link w:val="BalontekstsRakstz"/>
    <w:rsid w:val="002868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86863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E535BD"/>
  </w:style>
  <w:style w:type="character" w:styleId="Hipersaite">
    <w:name w:val="Hyperlink"/>
    <w:rsid w:val="006A7158"/>
    <w:rPr>
      <w:color w:val="0000FF"/>
      <w:u w:val="single"/>
    </w:rPr>
  </w:style>
  <w:style w:type="paragraph" w:customStyle="1" w:styleId="Parastais">
    <w:name w:val="Parastais"/>
    <w:qFormat/>
    <w:rsid w:val="005F1514"/>
    <w:rPr>
      <w:sz w:val="28"/>
      <w:szCs w:val="28"/>
    </w:rPr>
  </w:style>
  <w:style w:type="paragraph" w:styleId="Pamatteksts">
    <w:name w:val="Body Text"/>
    <w:basedOn w:val="Parastais"/>
    <w:link w:val="PamattekstsRakstz"/>
    <w:rsid w:val="005F1514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5F1514"/>
    <w:rPr>
      <w:sz w:val="28"/>
      <w:szCs w:val="24"/>
      <w:lang w:eastAsia="en-US"/>
    </w:rPr>
  </w:style>
  <w:style w:type="character" w:styleId="Neatrisintapieminana">
    <w:name w:val="Unresolved Mention"/>
    <w:uiPriority w:val="99"/>
    <w:semiHidden/>
    <w:unhideWhenUsed/>
    <w:rsid w:val="002F028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22F0E"/>
    <w:pPr>
      <w:ind w:left="720"/>
    </w:pPr>
  </w:style>
  <w:style w:type="paragraph" w:styleId="Vresteksts">
    <w:name w:val="footnote text"/>
    <w:basedOn w:val="Parasts"/>
    <w:link w:val="VrestekstsRakstz"/>
    <w:uiPriority w:val="99"/>
    <w:unhideWhenUsed/>
    <w:rsid w:val="00CD77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D77BE"/>
    <w:rPr>
      <w:rFonts w:asciiTheme="minorHAnsi" w:eastAsiaTheme="minorHAnsi" w:hAnsiTheme="minorHAnsi" w:cstheme="minorBidi"/>
      <w:lang w:eastAsia="en-US"/>
    </w:rPr>
  </w:style>
  <w:style w:type="character" w:styleId="Vresatsauce">
    <w:name w:val="footnote reference"/>
    <w:basedOn w:val="Noklusjumarindkopasfonts"/>
    <w:uiPriority w:val="99"/>
    <w:unhideWhenUsed/>
    <w:rsid w:val="00CD7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EB5C-E0FD-4697-8634-644B8BA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283</Words>
  <Characters>2173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rīcību, lai īstenotu Eiropas Savienības Tiesas 2019. gada 8. jūlija spriedumu lietā C-543/17 Komisija/Beļģija </vt:lpstr>
      <vt:lpstr/>
    </vt:vector>
  </TitlesOfParts>
  <Company>Tieslietu ministrija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rīcību, lai īstenotu Eiropas Savienības Tiesas 2019. gada 8. jūlija spriedumu lietā C-543/17 Komisija/Beļģija </dc:title>
  <dc:subject>Protokollēmuma projekts</dc:subject>
  <dc:creator>Viktorija Soņeca</dc:creator>
  <cp:keywords/>
  <dc:description>67036981, Viktorija.Soneca@tm.gov.lv</dc:description>
  <cp:lastModifiedBy>Viktorija Soņeca</cp:lastModifiedBy>
  <cp:revision>19</cp:revision>
  <cp:lastPrinted>2020-09-21T12:30:00Z</cp:lastPrinted>
  <dcterms:created xsi:type="dcterms:W3CDTF">2020-07-07T11:11:00Z</dcterms:created>
  <dcterms:modified xsi:type="dcterms:W3CDTF">2020-09-22T12:24:00Z</dcterms:modified>
</cp:coreProperties>
</file>